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BBAA" w14:textId="1B5F43D1" w:rsidR="00EC6306" w:rsidRPr="00847710" w:rsidRDefault="0071331A" w:rsidP="008E1411">
      <w:pPr>
        <w:spacing w:after="0"/>
        <w:rPr>
          <w:rFonts w:ascii="Times New Roman" w:hAnsi="Times New Roman" w:cs="Times New Roman"/>
          <w:b/>
          <w:bCs/>
          <w:sz w:val="26"/>
          <w:szCs w:val="26"/>
        </w:rPr>
      </w:pPr>
      <w:bookmarkStart w:id="0" w:name="_Hlk531336411"/>
      <w:bookmarkEnd w:id="0"/>
      <w:r w:rsidRPr="00847710">
        <w:rPr>
          <w:rFonts w:ascii="Times New Roman" w:hAnsi="Times New Roman" w:cs="Times New Roman"/>
          <w:b/>
          <w:bCs/>
          <w:sz w:val="26"/>
          <w:szCs w:val="26"/>
        </w:rPr>
        <w:t xml:space="preserve">Informatīvais ziņojums </w:t>
      </w:r>
      <w:r w:rsidR="004B51FA" w:rsidRPr="00847710">
        <w:rPr>
          <w:rFonts w:ascii="Times New Roman" w:hAnsi="Times New Roman" w:cs="Times New Roman"/>
          <w:b/>
          <w:bCs/>
          <w:sz w:val="26"/>
          <w:szCs w:val="26"/>
        </w:rPr>
        <w:t xml:space="preserve">“Par </w:t>
      </w:r>
      <w:r w:rsidR="00ED2403" w:rsidRPr="00847710">
        <w:rPr>
          <w:rFonts w:ascii="Times New Roman" w:hAnsi="Times New Roman" w:cs="Times New Roman"/>
          <w:b/>
          <w:bCs/>
          <w:sz w:val="26"/>
          <w:szCs w:val="26"/>
        </w:rPr>
        <w:t>veselī</w:t>
      </w:r>
      <w:r w:rsidR="001542DA" w:rsidRPr="00847710">
        <w:rPr>
          <w:rFonts w:ascii="Times New Roman" w:hAnsi="Times New Roman" w:cs="Times New Roman"/>
          <w:b/>
          <w:bCs/>
          <w:sz w:val="26"/>
          <w:szCs w:val="26"/>
        </w:rPr>
        <w:t>bas reformas pasākumu īstenošanu</w:t>
      </w:r>
      <w:r w:rsidR="00506EAF">
        <w:rPr>
          <w:rFonts w:ascii="Times New Roman" w:hAnsi="Times New Roman" w:cs="Times New Roman"/>
          <w:b/>
          <w:bCs/>
          <w:sz w:val="26"/>
          <w:szCs w:val="26"/>
        </w:rPr>
        <w:t xml:space="preserve"> 2019</w:t>
      </w:r>
      <w:r w:rsidR="00F97281">
        <w:rPr>
          <w:rFonts w:ascii="Times New Roman" w:hAnsi="Times New Roman" w:cs="Times New Roman"/>
          <w:b/>
          <w:bCs/>
          <w:sz w:val="26"/>
          <w:szCs w:val="26"/>
        </w:rPr>
        <w:t>.gadā</w:t>
      </w:r>
      <w:r w:rsidR="004B51FA" w:rsidRPr="00847710">
        <w:rPr>
          <w:rFonts w:ascii="Times New Roman" w:hAnsi="Times New Roman" w:cs="Times New Roman"/>
          <w:b/>
          <w:bCs/>
          <w:sz w:val="26"/>
          <w:szCs w:val="26"/>
        </w:rPr>
        <w:t>”</w:t>
      </w:r>
    </w:p>
    <w:p w14:paraId="58E43778" w14:textId="77777777" w:rsidR="003C2151" w:rsidRPr="00847710" w:rsidRDefault="003C2151" w:rsidP="00B45666">
      <w:pPr>
        <w:spacing w:after="80"/>
        <w:ind w:firstLine="720"/>
        <w:jc w:val="both"/>
        <w:rPr>
          <w:rFonts w:ascii="Times New Roman" w:hAnsi="Times New Roman" w:cs="Times New Roman"/>
          <w:sz w:val="24"/>
          <w:szCs w:val="24"/>
        </w:rPr>
      </w:pPr>
    </w:p>
    <w:p w14:paraId="4630DC75" w14:textId="2FEEC54F" w:rsidR="00545AA6" w:rsidRPr="00ED33F6" w:rsidRDefault="0071331A" w:rsidP="00B45666">
      <w:pPr>
        <w:spacing w:after="80"/>
        <w:ind w:firstLine="720"/>
        <w:jc w:val="both"/>
        <w:rPr>
          <w:rFonts w:ascii="Times New Roman" w:hAnsi="Times New Roman" w:cs="Times New Roman"/>
          <w:sz w:val="24"/>
          <w:szCs w:val="24"/>
        </w:rPr>
      </w:pPr>
      <w:r w:rsidRPr="00BF3268">
        <w:rPr>
          <w:rFonts w:ascii="Times New Roman" w:hAnsi="Times New Roman" w:cs="Times New Roman"/>
          <w:sz w:val="24"/>
          <w:szCs w:val="24"/>
        </w:rPr>
        <w:t>Informatīvais ziņojums</w:t>
      </w:r>
      <w:r w:rsidR="00245344" w:rsidRPr="00BF3268">
        <w:rPr>
          <w:rFonts w:ascii="Times New Roman" w:hAnsi="Times New Roman" w:cs="Times New Roman"/>
          <w:sz w:val="24"/>
          <w:szCs w:val="24"/>
        </w:rPr>
        <w:t xml:space="preserve"> (turpmāk </w:t>
      </w:r>
      <w:r w:rsidRPr="00BF3268">
        <w:rPr>
          <w:rFonts w:ascii="Times New Roman" w:hAnsi="Times New Roman" w:cs="Times New Roman"/>
          <w:sz w:val="24"/>
          <w:szCs w:val="24"/>
        </w:rPr>
        <w:t>–</w:t>
      </w:r>
      <w:r w:rsidR="00245344" w:rsidRPr="00BF3268">
        <w:rPr>
          <w:rFonts w:ascii="Times New Roman" w:hAnsi="Times New Roman" w:cs="Times New Roman"/>
          <w:sz w:val="24"/>
          <w:szCs w:val="24"/>
        </w:rPr>
        <w:t xml:space="preserve"> ziņojums) ir sagatavots atbilstoši </w:t>
      </w:r>
      <w:r w:rsidR="00823900" w:rsidRPr="00BF3268">
        <w:rPr>
          <w:rFonts w:ascii="Times New Roman" w:hAnsi="Times New Roman" w:cs="Times New Roman"/>
          <w:noProof/>
          <w:sz w:val="24"/>
          <w:szCs w:val="24"/>
        </w:rPr>
        <w:t>Ministru kabineta 201</w:t>
      </w:r>
      <w:r w:rsidR="004F736F">
        <w:rPr>
          <w:rFonts w:ascii="Times New Roman" w:hAnsi="Times New Roman" w:cs="Times New Roman"/>
          <w:noProof/>
          <w:sz w:val="24"/>
          <w:szCs w:val="24"/>
        </w:rPr>
        <w:t>8</w:t>
      </w:r>
      <w:r w:rsidR="00823900" w:rsidRPr="00BF3268">
        <w:rPr>
          <w:rFonts w:ascii="Times New Roman" w:hAnsi="Times New Roman" w:cs="Times New Roman"/>
          <w:noProof/>
          <w:sz w:val="24"/>
          <w:szCs w:val="24"/>
        </w:rPr>
        <w:t xml:space="preserve">.gada </w:t>
      </w:r>
      <w:r w:rsidR="004F736F">
        <w:rPr>
          <w:rFonts w:ascii="Times New Roman" w:hAnsi="Times New Roman" w:cs="Times New Roman"/>
          <w:noProof/>
          <w:sz w:val="24"/>
          <w:szCs w:val="24"/>
        </w:rPr>
        <w:t>15</w:t>
      </w:r>
      <w:r w:rsidR="00823900" w:rsidRPr="00BF3268">
        <w:rPr>
          <w:rFonts w:ascii="Times New Roman" w:hAnsi="Times New Roman" w:cs="Times New Roman"/>
          <w:noProof/>
          <w:sz w:val="24"/>
          <w:szCs w:val="24"/>
        </w:rPr>
        <w:t>.</w:t>
      </w:r>
      <w:r w:rsidR="004F736F">
        <w:rPr>
          <w:rFonts w:ascii="Times New Roman" w:hAnsi="Times New Roman" w:cs="Times New Roman"/>
          <w:noProof/>
          <w:sz w:val="24"/>
          <w:szCs w:val="24"/>
        </w:rPr>
        <w:t>oktobra</w:t>
      </w:r>
      <w:r w:rsidR="00823900" w:rsidRPr="00BF3268">
        <w:rPr>
          <w:rFonts w:ascii="Times New Roman" w:hAnsi="Times New Roman" w:cs="Times New Roman"/>
          <w:noProof/>
          <w:sz w:val="24"/>
          <w:szCs w:val="24"/>
        </w:rPr>
        <w:t xml:space="preserve"> </w:t>
      </w:r>
      <w:r w:rsidR="004F736F">
        <w:rPr>
          <w:rFonts w:ascii="Times New Roman" w:hAnsi="Times New Roman" w:cs="Times New Roman"/>
          <w:noProof/>
          <w:sz w:val="24"/>
          <w:szCs w:val="24"/>
        </w:rPr>
        <w:t xml:space="preserve">ārkārtas </w:t>
      </w:r>
      <w:r w:rsidR="00823900" w:rsidRPr="00BF3268">
        <w:rPr>
          <w:rFonts w:ascii="Times New Roman" w:hAnsi="Times New Roman" w:cs="Times New Roman"/>
          <w:noProof/>
          <w:sz w:val="24"/>
          <w:szCs w:val="24"/>
        </w:rPr>
        <w:t xml:space="preserve">sēdē </w:t>
      </w:r>
      <w:r w:rsidR="00823900" w:rsidRPr="008E1411">
        <w:rPr>
          <w:rFonts w:ascii="Times New Roman" w:hAnsi="Times New Roman" w:cs="Times New Roman"/>
          <w:noProof/>
          <w:sz w:val="24"/>
          <w:szCs w:val="24"/>
        </w:rPr>
        <w:t>(protokols Nr.4</w:t>
      </w:r>
      <w:r w:rsidR="00BE1A9D" w:rsidRPr="008E1411">
        <w:rPr>
          <w:rFonts w:ascii="Times New Roman" w:hAnsi="Times New Roman" w:cs="Times New Roman"/>
          <w:noProof/>
          <w:sz w:val="24"/>
          <w:szCs w:val="24"/>
        </w:rPr>
        <w:t>7</w:t>
      </w:r>
      <w:r w:rsidR="00823900" w:rsidRPr="008E1411">
        <w:rPr>
          <w:rFonts w:ascii="Times New Roman" w:hAnsi="Times New Roman" w:cs="Times New Roman"/>
          <w:noProof/>
          <w:sz w:val="24"/>
          <w:szCs w:val="24"/>
        </w:rPr>
        <w:t xml:space="preserve">, </w:t>
      </w:r>
      <w:r w:rsidR="00BE1A9D" w:rsidRPr="008E1411">
        <w:rPr>
          <w:rFonts w:ascii="Times New Roman" w:hAnsi="Times New Roman" w:cs="Times New Roman"/>
          <w:noProof/>
          <w:sz w:val="24"/>
          <w:szCs w:val="24"/>
        </w:rPr>
        <w:t>1</w:t>
      </w:r>
      <w:r w:rsidR="00823900" w:rsidRPr="008E1411">
        <w:rPr>
          <w:rFonts w:ascii="Times New Roman" w:hAnsi="Times New Roman" w:cs="Times New Roman"/>
          <w:noProof/>
          <w:sz w:val="24"/>
          <w:szCs w:val="24"/>
        </w:rPr>
        <w:t>.§)</w:t>
      </w:r>
      <w:r w:rsidR="00823900" w:rsidRPr="00BF3268">
        <w:rPr>
          <w:rFonts w:ascii="Times New Roman" w:hAnsi="Times New Roman" w:cs="Times New Roman"/>
          <w:noProof/>
          <w:sz w:val="24"/>
          <w:szCs w:val="24"/>
        </w:rPr>
        <w:t xml:space="preserve"> </w:t>
      </w:r>
      <w:r w:rsidR="00F615C8" w:rsidRPr="00BF3268">
        <w:rPr>
          <w:rFonts w:ascii="Times New Roman" w:hAnsi="Times New Roman" w:cs="Times New Roman"/>
          <w:sz w:val="24"/>
          <w:szCs w:val="24"/>
        </w:rPr>
        <w:t xml:space="preserve">noteiktajam, ka </w:t>
      </w:r>
      <w:r w:rsidR="00823900" w:rsidRPr="00BF3268">
        <w:rPr>
          <w:rFonts w:ascii="Times New Roman" w:hAnsi="Times New Roman" w:cs="Times New Roman"/>
          <w:sz w:val="24"/>
          <w:szCs w:val="24"/>
        </w:rPr>
        <w:t xml:space="preserve">papildus </w:t>
      </w:r>
      <w:r w:rsidR="00324883" w:rsidRPr="00BF3268">
        <w:rPr>
          <w:rFonts w:ascii="Times New Roman" w:hAnsi="Times New Roman" w:cs="Times New Roman"/>
          <w:sz w:val="24"/>
          <w:szCs w:val="24"/>
        </w:rPr>
        <w:t>veselības aprūpes finansēšanai budžeta resora “74. Gadskārtējā valsts budžeta izpildes procesā pārdalāmais finansējums” 08.00.00 programmā “Veselības aprūpes sistēmas reformas ieviešanas finansējums” rezervēto finansējumu 1</w:t>
      </w:r>
      <w:r w:rsidR="004F736F">
        <w:rPr>
          <w:rFonts w:ascii="Times New Roman" w:hAnsi="Times New Roman" w:cs="Times New Roman"/>
          <w:sz w:val="24"/>
          <w:szCs w:val="24"/>
        </w:rPr>
        <w:t>54</w:t>
      </w:r>
      <w:r w:rsidR="00324883" w:rsidRPr="00BF3268">
        <w:rPr>
          <w:rFonts w:ascii="Times New Roman" w:hAnsi="Times New Roman" w:cs="Times New Roman"/>
          <w:sz w:val="24"/>
          <w:szCs w:val="24"/>
        </w:rPr>
        <w:t xml:space="preserve"> </w:t>
      </w:r>
      <w:r w:rsidR="004F736F">
        <w:rPr>
          <w:rFonts w:ascii="Times New Roman" w:hAnsi="Times New Roman" w:cs="Times New Roman"/>
          <w:sz w:val="24"/>
          <w:szCs w:val="24"/>
        </w:rPr>
        <w:t>205</w:t>
      </w:r>
      <w:r w:rsidR="00324883" w:rsidRPr="00BF3268">
        <w:rPr>
          <w:rFonts w:ascii="Times New Roman" w:hAnsi="Times New Roman" w:cs="Times New Roman"/>
          <w:sz w:val="24"/>
          <w:szCs w:val="24"/>
        </w:rPr>
        <w:t xml:space="preserve"> 000 </w:t>
      </w:r>
      <w:r w:rsidR="00324883" w:rsidRPr="008079F4">
        <w:rPr>
          <w:rFonts w:ascii="Times New Roman" w:hAnsi="Times New Roman" w:cs="Times New Roman"/>
          <w:i/>
          <w:sz w:val="24"/>
          <w:szCs w:val="24"/>
        </w:rPr>
        <w:t>euro</w:t>
      </w:r>
      <w:r w:rsidR="00324883" w:rsidRPr="00BF3268">
        <w:rPr>
          <w:rFonts w:ascii="Times New Roman" w:hAnsi="Times New Roman" w:cs="Times New Roman"/>
          <w:sz w:val="24"/>
          <w:szCs w:val="24"/>
        </w:rPr>
        <w:t xml:space="preserve"> apmērā veselības aprūpes sistēmas reformas pasākumu īstenošanai 201</w:t>
      </w:r>
      <w:r w:rsidR="00823900" w:rsidRPr="00BF3268">
        <w:rPr>
          <w:rFonts w:ascii="Times New Roman" w:hAnsi="Times New Roman" w:cs="Times New Roman"/>
          <w:sz w:val="24"/>
          <w:szCs w:val="24"/>
        </w:rPr>
        <w:t>9</w:t>
      </w:r>
      <w:r w:rsidR="00324883" w:rsidRPr="00BF3268">
        <w:rPr>
          <w:rFonts w:ascii="Times New Roman" w:hAnsi="Times New Roman" w:cs="Times New Roman"/>
          <w:sz w:val="24"/>
          <w:szCs w:val="24"/>
        </w:rPr>
        <w:t>.gadā.</w:t>
      </w:r>
      <w:r w:rsidR="00ED33F6">
        <w:rPr>
          <w:rFonts w:ascii="Times New Roman" w:hAnsi="Times New Roman" w:cs="Times New Roman"/>
          <w:sz w:val="24"/>
          <w:szCs w:val="24"/>
        </w:rPr>
        <w:t xml:space="preserve"> </w:t>
      </w:r>
    </w:p>
    <w:p w14:paraId="5B865F33" w14:textId="76142985" w:rsidR="00CD71A2" w:rsidRPr="00847710" w:rsidRDefault="0071331A" w:rsidP="00B45666">
      <w:pPr>
        <w:spacing w:after="80"/>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Latvija savā 2016. gada stabilitātes programmā ir pie</w:t>
      </w:r>
      <w:r w:rsidR="00F01784" w:rsidRPr="00847710">
        <w:rPr>
          <w:rFonts w:ascii="Times New Roman" w:hAnsi="Times New Roman" w:cs="Times New Roman"/>
          <w:sz w:val="24"/>
          <w:szCs w:val="24"/>
        </w:rPr>
        <w:t>prasījusi īslaicīgu novirzi 0,5</w:t>
      </w:r>
      <w:r w:rsidRPr="00847710">
        <w:rPr>
          <w:rFonts w:ascii="Times New Roman" w:hAnsi="Times New Roman" w:cs="Times New Roman"/>
          <w:sz w:val="24"/>
          <w:szCs w:val="24"/>
        </w:rPr>
        <w:t xml:space="preserve">% apmērā no </w:t>
      </w:r>
      <w:r w:rsidR="00504EF9" w:rsidRPr="00847710">
        <w:rPr>
          <w:rFonts w:ascii="Times New Roman" w:hAnsi="Times New Roman" w:cs="Times New Roman"/>
          <w:sz w:val="24"/>
          <w:szCs w:val="24"/>
        </w:rPr>
        <w:t>iekšzemes kopprodukta</w:t>
      </w:r>
      <w:r w:rsidRPr="00847710">
        <w:rPr>
          <w:rFonts w:ascii="Times New Roman" w:hAnsi="Times New Roman" w:cs="Times New Roman"/>
          <w:sz w:val="24"/>
          <w:szCs w:val="24"/>
        </w:rPr>
        <w:t xml:space="preserve"> nepieciešamajām korekcijām vidēja termiņa budžeta mērķa sasniegšanai, lai </w:t>
      </w:r>
      <w:r w:rsidR="00FC5431" w:rsidRPr="00847710">
        <w:rPr>
          <w:rFonts w:ascii="Times New Roman" w:hAnsi="Times New Roman" w:cs="Times New Roman"/>
          <w:sz w:val="24"/>
          <w:szCs w:val="24"/>
        </w:rPr>
        <w:t xml:space="preserve">īstenotu </w:t>
      </w:r>
      <w:r w:rsidRPr="00847710">
        <w:rPr>
          <w:rFonts w:ascii="Times New Roman" w:hAnsi="Times New Roman" w:cs="Times New Roman"/>
          <w:sz w:val="24"/>
          <w:szCs w:val="24"/>
        </w:rPr>
        <w:t xml:space="preserve"> strukturālās reformas ar pozitīvu ietekmi uz publisko finanšu ilgtspēju ilgtermiņā, jo īpaši veselības aprūpes sektorā notiekošo reformu, kuras pamatā ir Sabiedrības veselības p</w:t>
      </w:r>
      <w:r w:rsidR="00AA157F" w:rsidRPr="00847710">
        <w:rPr>
          <w:rFonts w:ascii="Times New Roman" w:hAnsi="Times New Roman" w:cs="Times New Roman"/>
          <w:sz w:val="24"/>
          <w:szCs w:val="24"/>
        </w:rPr>
        <w:t>amatnostādnes 2014.–2020.gadam</w:t>
      </w:r>
      <w:r>
        <w:rPr>
          <w:rStyle w:val="FootnoteReference"/>
          <w:rFonts w:ascii="Times New Roman" w:hAnsi="Times New Roman" w:cs="Times New Roman"/>
          <w:sz w:val="24"/>
          <w:szCs w:val="24"/>
        </w:rPr>
        <w:footnoteReference w:id="2"/>
      </w:r>
      <w:r w:rsidR="00964465"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r w:rsidR="00A51A9F" w:rsidRPr="00847710">
        <w:rPr>
          <w:rFonts w:ascii="Times New Roman" w:hAnsi="Times New Roman" w:cs="Times New Roman"/>
          <w:sz w:val="24"/>
          <w:szCs w:val="24"/>
        </w:rPr>
        <w:t>E</w:t>
      </w:r>
      <w:r w:rsidR="00617D72" w:rsidRPr="00847710">
        <w:rPr>
          <w:rFonts w:ascii="Times New Roman" w:eastAsia="Times New Roman" w:hAnsi="Times New Roman" w:cs="Times New Roman"/>
          <w:sz w:val="24"/>
          <w:szCs w:val="24"/>
          <w:lang w:eastAsia="lv-LV"/>
        </w:rPr>
        <w:t>iropas Savienības Padome savās rekomendācijās Latvijai atkārtoti iesaka uzlabot veselības aprūpes sistēmas pieejamību, kvalitāti un izmaksu lietderību</w:t>
      </w:r>
      <w:r>
        <w:rPr>
          <w:rStyle w:val="FootnoteReference"/>
          <w:rFonts w:ascii="Times New Roman" w:eastAsia="Times New Roman" w:hAnsi="Times New Roman" w:cs="Times New Roman"/>
          <w:sz w:val="24"/>
          <w:szCs w:val="24"/>
          <w:lang w:eastAsia="lv-LV"/>
        </w:rPr>
        <w:footnoteReference w:id="3"/>
      </w:r>
      <w:r w:rsidR="00617D72" w:rsidRPr="00847710">
        <w:rPr>
          <w:rFonts w:ascii="Times New Roman" w:eastAsia="Times New Roman" w:hAnsi="Times New Roman" w:cs="Times New Roman"/>
          <w:sz w:val="24"/>
          <w:szCs w:val="24"/>
          <w:lang w:eastAsia="lv-LV"/>
        </w:rPr>
        <w:t>.</w:t>
      </w:r>
    </w:p>
    <w:p w14:paraId="4CFF1A8B" w14:textId="08ED524F" w:rsidR="007F392F" w:rsidRPr="00847710" w:rsidRDefault="0071331A" w:rsidP="00B45666">
      <w:pPr>
        <w:spacing w:after="80"/>
        <w:ind w:firstLine="709"/>
        <w:jc w:val="both"/>
        <w:rPr>
          <w:rFonts w:ascii="Times New Roman" w:hAnsi="Times New Roman" w:cs="Times New Roman"/>
          <w:color w:val="000000" w:themeColor="text1"/>
          <w:sz w:val="24"/>
          <w:szCs w:val="24"/>
          <w:lang w:eastAsia="lv-LV"/>
        </w:rPr>
      </w:pPr>
      <w:r w:rsidRPr="00847710">
        <w:rPr>
          <w:rFonts w:ascii="Times New Roman" w:eastAsia="Times New Roman" w:hAnsi="Times New Roman" w:cs="Times New Roman"/>
          <w:sz w:val="24"/>
          <w:szCs w:val="24"/>
          <w:lang w:eastAsia="lv-LV"/>
        </w:rPr>
        <w:t>Ministru kabineta ar  2014.gada 14.oktobra rīkojum</w:t>
      </w:r>
      <w:r w:rsidR="00894E2F">
        <w:rPr>
          <w:rFonts w:ascii="Times New Roman" w:eastAsia="Times New Roman" w:hAnsi="Times New Roman" w:cs="Times New Roman"/>
          <w:sz w:val="24"/>
          <w:szCs w:val="24"/>
          <w:lang w:eastAsia="lv-LV"/>
        </w:rPr>
        <w:t>u</w:t>
      </w:r>
      <w:r w:rsidRPr="00847710">
        <w:rPr>
          <w:rFonts w:ascii="Times New Roman" w:eastAsia="Times New Roman" w:hAnsi="Times New Roman" w:cs="Times New Roman"/>
          <w:sz w:val="24"/>
          <w:szCs w:val="24"/>
          <w:lang w:eastAsia="lv-LV"/>
        </w:rPr>
        <w:t xml:space="preserve"> Nr.589 apstiprinātajā vidēja termiņa </w:t>
      </w:r>
      <w:r w:rsidR="008146D4" w:rsidRPr="00847710">
        <w:rPr>
          <w:rFonts w:ascii="Times New Roman" w:eastAsia="Times New Roman" w:hAnsi="Times New Roman" w:cs="Times New Roman"/>
          <w:sz w:val="24"/>
          <w:szCs w:val="24"/>
          <w:lang w:eastAsia="lv-LV"/>
        </w:rPr>
        <w:t>attīstības</w:t>
      </w:r>
      <w:r w:rsidRPr="00847710">
        <w:rPr>
          <w:rFonts w:ascii="Times New Roman" w:eastAsia="Times New Roman" w:hAnsi="Times New Roman" w:cs="Times New Roman"/>
          <w:sz w:val="24"/>
          <w:szCs w:val="24"/>
          <w:lang w:eastAsia="lv-LV"/>
        </w:rPr>
        <w:t xml:space="preserve"> plānošanas dokumentā „Sabiedrības veselības pamatnostādnes 2014.-2020.gadam”</w:t>
      </w:r>
      <w:r>
        <w:rPr>
          <w:rStyle w:val="FootnoteReference"/>
          <w:rFonts w:ascii="Times New Roman" w:eastAsia="Times New Roman" w:hAnsi="Times New Roman" w:cs="Times New Roman"/>
          <w:color w:val="414142"/>
          <w:sz w:val="24"/>
          <w:szCs w:val="24"/>
          <w:lang w:eastAsia="lv-LV"/>
        </w:rPr>
        <w:footnoteReference w:id="4"/>
      </w:r>
      <w:r w:rsidRPr="00847710">
        <w:rPr>
          <w:rFonts w:ascii="Times New Roman" w:eastAsia="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(turpmāk tekstā – SVP), kas izstrādātas atbilstoši </w:t>
      </w:r>
      <w:r w:rsidR="00767D76" w:rsidRPr="00847710">
        <w:rPr>
          <w:rFonts w:ascii="Times New Roman" w:hAnsi="Times New Roman" w:cs="Times New Roman"/>
          <w:sz w:val="24"/>
          <w:szCs w:val="24"/>
          <w:lang w:eastAsia="lv-LV"/>
        </w:rPr>
        <w:t>Latvijas Nacionālā attīstības plāna 2014.-2020.gadam</w:t>
      </w:r>
      <w:r w:rsidRPr="00847710">
        <w:rPr>
          <w:rFonts w:ascii="Times New Roman" w:hAnsi="Times New Roman" w:cs="Times New Roman"/>
          <w:sz w:val="24"/>
          <w:szCs w:val="24"/>
          <w:lang w:eastAsia="lv-LV"/>
        </w:rPr>
        <w:t xml:space="preserve"> rīcības virzienam "Vesels un darbspējīgs cilvēks", </w:t>
      </w:r>
      <w:r w:rsidRPr="00847710">
        <w:rPr>
          <w:rFonts w:ascii="Times New Roman" w:eastAsia="Times New Roman" w:hAnsi="Times New Roman" w:cs="Times New Roman"/>
          <w:sz w:val="24"/>
          <w:szCs w:val="24"/>
          <w:lang w:eastAsia="lv-LV"/>
        </w:rPr>
        <w:t xml:space="preserve">ir iekļauti veselības nozarei sasniedzamie rādītāji un to sasniegšanai īstenojamās reformas. Kā </w:t>
      </w:r>
      <w:r w:rsidRPr="00847710">
        <w:rPr>
          <w:rFonts w:ascii="Times New Roman" w:hAnsi="Times New Roman" w:cs="Times New Roman"/>
          <w:sz w:val="24"/>
          <w:szCs w:val="24"/>
          <w:lang w:eastAsia="lv-LV"/>
        </w:rPr>
        <w:t>virsmērķis</w:t>
      </w:r>
      <w:r w:rsidRPr="00E93259">
        <w:rPr>
          <w:rFonts w:ascii="Times New Roman" w:hAnsi="Times New Roman" w:cs="Times New Roman"/>
          <w:sz w:val="24"/>
          <w:szCs w:val="24"/>
          <w:lang w:eastAsia="lv-LV"/>
        </w:rPr>
        <w:t xml:space="preserve"> SVP noteikts palielināt Latvijas iedzīvotāju veselīgi nodzīvoto mūža gadu skaitu un novērst priekšlaicīgu nāvi, saglabājot, uzlabojot un atjaunojot iedzīvotāju veselību. Lai sasniegtu šo </w:t>
      </w:r>
      <w:r w:rsidR="004D142A" w:rsidRPr="00E93259">
        <w:rPr>
          <w:rFonts w:ascii="Times New Roman" w:hAnsi="Times New Roman" w:cs="Times New Roman"/>
          <w:sz w:val="24"/>
          <w:szCs w:val="24"/>
          <w:lang w:eastAsia="lv-LV"/>
        </w:rPr>
        <w:t>virsmērķi</w:t>
      </w:r>
      <w:r w:rsidRPr="00E93259">
        <w:rPr>
          <w:rFonts w:ascii="Times New Roman" w:hAnsi="Times New Roman" w:cs="Times New Roman"/>
          <w:sz w:val="24"/>
          <w:szCs w:val="24"/>
          <w:lang w:eastAsia="lv-LV"/>
        </w:rPr>
        <w:t xml:space="preserve">, līdz </w:t>
      </w:r>
      <w:r w:rsidR="52B20BA9" w:rsidRPr="00E93259">
        <w:rPr>
          <w:rFonts w:ascii="Times New Roman" w:hAnsi="Times New Roman" w:cs="Times New Roman"/>
          <w:color w:val="000000" w:themeColor="text1"/>
          <w:sz w:val="24"/>
          <w:szCs w:val="24"/>
          <w:lang w:eastAsia="lv-LV"/>
        </w:rPr>
        <w:t>2020. gadam ir plānots:</w:t>
      </w:r>
    </w:p>
    <w:p w14:paraId="71AA195D" w14:textId="137B5A52" w:rsidR="007F392F" w:rsidRPr="00847710" w:rsidRDefault="0071331A" w:rsidP="64AB90BD">
      <w:pPr>
        <w:pStyle w:val="ListParagraph"/>
        <w:numPr>
          <w:ilvl w:val="0"/>
          <w:numId w:val="4"/>
        </w:numPr>
        <w:shd w:val="clear" w:color="auto" w:fill="FFFFFF" w:themeFill="background1"/>
        <w:tabs>
          <w:tab w:val="left" w:pos="1134"/>
        </w:tabs>
        <w:spacing w:after="0" w:line="240" w:lineRule="auto"/>
        <w:ind w:left="714" w:hanging="357"/>
        <w:jc w:val="both"/>
        <w:rPr>
          <w:rFonts w:ascii="Times New Roman" w:eastAsia="Times New Roman" w:hAnsi="Times New Roman"/>
          <w:color w:val="000000" w:themeColor="text1"/>
          <w:sz w:val="24"/>
          <w:szCs w:val="24"/>
          <w:lang w:val="lv-LV" w:eastAsia="lv-LV"/>
        </w:rPr>
      </w:pPr>
      <w:r w:rsidRPr="00847710">
        <w:rPr>
          <w:rFonts w:ascii="Times New Roman" w:eastAsia="Times New Roman" w:hAnsi="Times New Roman"/>
          <w:color w:val="000000" w:themeColor="text1"/>
          <w:sz w:val="24"/>
          <w:szCs w:val="24"/>
          <w:lang w:val="lv-LV" w:eastAsia="lv-LV"/>
        </w:rPr>
        <w:t>par trim gadiem palielināt veselīgi nodzīvoto mūža gadu skaitu (2020.gadā sasniegt 57 gadus vīriešiem un 60 gadus sievietēm)</w:t>
      </w:r>
      <w:r>
        <w:rPr>
          <w:rStyle w:val="FootnoteReference"/>
          <w:rFonts w:ascii="Times New Roman" w:eastAsia="Times New Roman" w:hAnsi="Times New Roman"/>
          <w:color w:val="000000" w:themeColor="text1"/>
          <w:sz w:val="24"/>
          <w:szCs w:val="24"/>
          <w:lang w:val="lv-LV" w:eastAsia="lv-LV"/>
        </w:rPr>
        <w:footnoteReference w:id="5"/>
      </w:r>
      <w:r w:rsidRPr="00847710">
        <w:rPr>
          <w:rFonts w:ascii="Times New Roman" w:eastAsia="Times New Roman" w:hAnsi="Times New Roman"/>
          <w:color w:val="000000" w:themeColor="text1"/>
          <w:sz w:val="24"/>
          <w:szCs w:val="24"/>
          <w:lang w:val="lv-LV" w:eastAsia="lv-LV"/>
        </w:rPr>
        <w:t>;</w:t>
      </w:r>
    </w:p>
    <w:p w14:paraId="259C00F1" w14:textId="2FEFC83E" w:rsidR="0099514E" w:rsidRPr="00847710" w:rsidRDefault="0071331A" w:rsidP="64AB90BD">
      <w:pPr>
        <w:pStyle w:val="ListParagraph"/>
        <w:numPr>
          <w:ilvl w:val="0"/>
          <w:numId w:val="4"/>
        </w:numPr>
        <w:shd w:val="clear" w:color="auto" w:fill="FFFFFF" w:themeFill="background1"/>
        <w:tabs>
          <w:tab w:val="left" w:pos="1134"/>
        </w:tabs>
        <w:spacing w:after="80"/>
        <w:jc w:val="both"/>
        <w:rPr>
          <w:rFonts w:ascii="Times New Roman" w:eastAsia="Times New Roman" w:hAnsi="Times New Roman"/>
          <w:color w:val="000000" w:themeColor="text1"/>
          <w:sz w:val="24"/>
          <w:szCs w:val="24"/>
          <w:lang w:val="lv-LV" w:eastAsia="lv-LV"/>
        </w:rPr>
      </w:pPr>
      <w:r w:rsidRPr="00847710">
        <w:rPr>
          <w:rFonts w:ascii="Times New Roman" w:eastAsia="Times New Roman" w:hAnsi="Times New Roman"/>
          <w:color w:val="000000" w:themeColor="text1"/>
          <w:sz w:val="24"/>
          <w:szCs w:val="24"/>
          <w:lang w:val="lv-LV" w:eastAsia="lv-LV"/>
        </w:rPr>
        <w:t>par 11% samazināt potenciāli zaudēto mūža gadu (līdz 64 gadu vecumam)</w:t>
      </w:r>
      <w:r>
        <w:rPr>
          <w:rStyle w:val="FootnoteReference"/>
          <w:rFonts w:ascii="Times New Roman" w:eastAsia="Times New Roman" w:hAnsi="Times New Roman"/>
          <w:color w:val="000000" w:themeColor="text1"/>
          <w:sz w:val="24"/>
          <w:szCs w:val="24"/>
          <w:lang w:val="lv-LV" w:eastAsia="lv-LV"/>
        </w:rPr>
        <w:footnoteReference w:id="6"/>
      </w:r>
      <w:r w:rsidRPr="00847710">
        <w:rPr>
          <w:rFonts w:ascii="Times New Roman" w:eastAsia="Times New Roman" w:hAnsi="Times New Roman"/>
          <w:color w:val="000000" w:themeColor="text1"/>
          <w:sz w:val="24"/>
          <w:szCs w:val="24"/>
          <w:lang w:val="lv-LV" w:eastAsia="lv-LV"/>
        </w:rPr>
        <w:t xml:space="preserve"> rādītāju (2020.gadā sasniegt 5 300 uz 100 000 iedzīvotāju).</w:t>
      </w:r>
    </w:p>
    <w:p w14:paraId="73EECA4A" w14:textId="27253D3E" w:rsidR="003A2CC3" w:rsidRDefault="0071331A" w:rsidP="00036F24">
      <w:pPr>
        <w:spacing w:after="80"/>
        <w:ind w:firstLine="720"/>
        <w:jc w:val="both"/>
        <w:rPr>
          <w:rFonts w:ascii="Times New Roman" w:hAnsi="Times New Roman" w:cs="Times New Roman"/>
          <w:sz w:val="24"/>
          <w:szCs w:val="24"/>
        </w:rPr>
      </w:pPr>
      <w:r w:rsidRPr="00847710">
        <w:rPr>
          <w:rFonts w:ascii="Times New Roman" w:hAnsi="Times New Roman" w:cs="Times New Roman"/>
          <w:sz w:val="24"/>
          <w:szCs w:val="24"/>
        </w:rPr>
        <w:lastRenderedPageBreak/>
        <w:t xml:space="preserve">2017.gada reformai paredzēto līdzekļu no Eiropas Komisijas pieļautās budžeta deficīta atkāpes 34,3 milj. </w:t>
      </w:r>
      <w:r w:rsidRPr="008079F4">
        <w:rPr>
          <w:rFonts w:ascii="Times New Roman" w:hAnsi="Times New Roman" w:cs="Times New Roman"/>
          <w:i/>
          <w:sz w:val="24"/>
          <w:szCs w:val="24"/>
        </w:rPr>
        <w:t>euro</w:t>
      </w:r>
      <w:r w:rsidRPr="00847710">
        <w:rPr>
          <w:rFonts w:ascii="Times New Roman" w:hAnsi="Times New Roman" w:cs="Times New Roman"/>
          <w:sz w:val="24"/>
          <w:szCs w:val="24"/>
        </w:rPr>
        <w:t xml:space="preserve"> apmērā pl</w:t>
      </w:r>
      <w:r w:rsidR="005E334C" w:rsidRPr="00847710">
        <w:rPr>
          <w:rFonts w:ascii="Times New Roman" w:hAnsi="Times New Roman" w:cs="Times New Roman"/>
          <w:sz w:val="24"/>
          <w:szCs w:val="24"/>
        </w:rPr>
        <w:t>ān</w:t>
      </w:r>
      <w:r w:rsidRPr="00847710">
        <w:rPr>
          <w:rFonts w:ascii="Times New Roman" w:hAnsi="Times New Roman" w:cs="Times New Roman"/>
          <w:sz w:val="24"/>
          <w:szCs w:val="24"/>
        </w:rPr>
        <w:t>otā izlietojuma ziņojumā tika uzsvērti tautsaimniecības zaudējumi</w:t>
      </w:r>
      <w:r w:rsidR="00F72764">
        <w:rPr>
          <w:rFonts w:ascii="Times New Roman" w:hAnsi="Times New Roman" w:cs="Times New Roman"/>
          <w:sz w:val="24"/>
          <w:szCs w:val="24"/>
        </w:rPr>
        <w:t>,</w:t>
      </w:r>
      <w:r w:rsidRPr="00847710">
        <w:rPr>
          <w:rFonts w:ascii="Times New Roman" w:hAnsi="Times New Roman" w:cs="Times New Roman"/>
          <w:sz w:val="24"/>
          <w:szCs w:val="24"/>
        </w:rPr>
        <w:t xml:space="preserve"> ko valstij ik gadu rada iedzīvotāju priekšlaicīga mirstība. Ņemot vērā p</w:t>
      </w:r>
      <w:r w:rsidR="005E334C" w:rsidRPr="00847710">
        <w:rPr>
          <w:rFonts w:ascii="Times New Roman" w:hAnsi="Times New Roman" w:cs="Times New Roman"/>
          <w:sz w:val="24"/>
          <w:szCs w:val="24"/>
        </w:rPr>
        <w:t>i</w:t>
      </w:r>
      <w:r w:rsidRPr="00847710">
        <w:rPr>
          <w:rFonts w:ascii="Times New Roman" w:hAnsi="Times New Roman" w:cs="Times New Roman"/>
          <w:sz w:val="24"/>
          <w:szCs w:val="24"/>
        </w:rPr>
        <w:t xml:space="preserve">eejamo papildus finansējumu, kas 2018. gadā sastāda 0,4% Eiropas Komisijas pieļautās budžeta deficīta atkāpes jeb 113,4 milj. </w:t>
      </w:r>
      <w:r w:rsidRPr="008079F4">
        <w:rPr>
          <w:rFonts w:ascii="Times New Roman" w:hAnsi="Times New Roman" w:cs="Times New Roman"/>
          <w:i/>
          <w:sz w:val="24"/>
          <w:szCs w:val="24"/>
        </w:rPr>
        <w:t>euro</w:t>
      </w:r>
      <w:r w:rsidRPr="00847710">
        <w:rPr>
          <w:rFonts w:ascii="Times New Roman" w:hAnsi="Times New Roman" w:cs="Times New Roman"/>
          <w:sz w:val="24"/>
          <w:szCs w:val="24"/>
        </w:rPr>
        <w:t xml:space="preserve">, uzsāktās reformas </w:t>
      </w:r>
      <w:r w:rsidR="008702B8">
        <w:rPr>
          <w:rFonts w:ascii="Times New Roman" w:hAnsi="Times New Roman" w:cs="Times New Roman"/>
          <w:sz w:val="24"/>
          <w:szCs w:val="24"/>
        </w:rPr>
        <w:t>tika</w:t>
      </w:r>
      <w:r w:rsidRPr="00847710">
        <w:rPr>
          <w:rFonts w:ascii="Times New Roman" w:hAnsi="Times New Roman" w:cs="Times New Roman"/>
          <w:sz w:val="24"/>
          <w:szCs w:val="24"/>
        </w:rPr>
        <w:t xml:space="preserve"> turpināt</w:t>
      </w:r>
      <w:r w:rsidR="008702B8">
        <w:rPr>
          <w:rFonts w:ascii="Times New Roman" w:hAnsi="Times New Roman" w:cs="Times New Roman"/>
          <w:sz w:val="24"/>
          <w:szCs w:val="24"/>
        </w:rPr>
        <w:t>as</w:t>
      </w:r>
      <w:r w:rsidRPr="00847710">
        <w:rPr>
          <w:rFonts w:ascii="Times New Roman" w:hAnsi="Times New Roman" w:cs="Times New Roman"/>
          <w:sz w:val="24"/>
          <w:szCs w:val="24"/>
        </w:rPr>
        <w:t xml:space="preserve"> un paplašināt</w:t>
      </w:r>
      <w:r w:rsidR="008702B8">
        <w:rPr>
          <w:rFonts w:ascii="Times New Roman" w:hAnsi="Times New Roman" w:cs="Times New Roman"/>
          <w:sz w:val="24"/>
          <w:szCs w:val="24"/>
        </w:rPr>
        <w:t>as</w:t>
      </w:r>
      <w:r w:rsidRPr="00847710">
        <w:rPr>
          <w:rFonts w:ascii="Times New Roman" w:hAnsi="Times New Roman" w:cs="Times New Roman"/>
          <w:sz w:val="24"/>
          <w:szCs w:val="24"/>
        </w:rPr>
        <w:t xml:space="preserve"> ar jaunām iniciatīvām</w:t>
      </w:r>
      <w:r w:rsidR="004B55C3" w:rsidRPr="00847710">
        <w:rPr>
          <w:rFonts w:ascii="Times New Roman" w:hAnsi="Times New Roman" w:cs="Times New Roman"/>
          <w:sz w:val="24"/>
          <w:szCs w:val="24"/>
        </w:rPr>
        <w:t xml:space="preserve"> veselības aprūpes efektivitātes un  ilgtspējas uzlabošanā</w:t>
      </w:r>
      <w:r w:rsidR="008702B8">
        <w:rPr>
          <w:rFonts w:ascii="Times New Roman" w:hAnsi="Times New Roman" w:cs="Times New Roman"/>
          <w:sz w:val="24"/>
          <w:szCs w:val="24"/>
        </w:rPr>
        <w:t xml:space="preserve">. Lai turpinātu iesāktās reformas </w:t>
      </w:r>
      <w:r w:rsidR="00974D53">
        <w:rPr>
          <w:rFonts w:ascii="Times New Roman" w:hAnsi="Times New Roman" w:cs="Times New Roman"/>
          <w:sz w:val="24"/>
          <w:szCs w:val="24"/>
        </w:rPr>
        <w:t>un sasniegtu izvirzītos mērķus</w:t>
      </w:r>
      <w:r w:rsidR="008702B8">
        <w:rPr>
          <w:rFonts w:ascii="Times New Roman" w:hAnsi="Times New Roman" w:cs="Times New Roman"/>
          <w:sz w:val="24"/>
          <w:szCs w:val="24"/>
        </w:rPr>
        <w:t xml:space="preserve"> 2019.gadā papildus </w:t>
      </w:r>
      <w:r w:rsidR="00974D53">
        <w:rPr>
          <w:rFonts w:ascii="Times New Roman" w:hAnsi="Times New Roman" w:cs="Times New Roman"/>
          <w:sz w:val="24"/>
          <w:szCs w:val="24"/>
        </w:rPr>
        <w:t>ir nepieciešams finansējums</w:t>
      </w:r>
      <w:r w:rsidR="008702B8">
        <w:rPr>
          <w:rFonts w:ascii="Times New Roman" w:hAnsi="Times New Roman" w:cs="Times New Roman"/>
          <w:sz w:val="24"/>
          <w:szCs w:val="24"/>
        </w:rPr>
        <w:t xml:space="preserve"> 1</w:t>
      </w:r>
      <w:r w:rsidR="007A6E5C">
        <w:rPr>
          <w:rFonts w:ascii="Times New Roman" w:hAnsi="Times New Roman" w:cs="Times New Roman"/>
          <w:sz w:val="24"/>
          <w:szCs w:val="24"/>
        </w:rPr>
        <w:t>5</w:t>
      </w:r>
      <w:r w:rsidR="008702B8">
        <w:rPr>
          <w:rFonts w:ascii="Times New Roman" w:hAnsi="Times New Roman" w:cs="Times New Roman"/>
          <w:sz w:val="24"/>
          <w:szCs w:val="24"/>
        </w:rPr>
        <w:t>4 </w:t>
      </w:r>
      <w:r w:rsidR="007A6E5C">
        <w:rPr>
          <w:rFonts w:ascii="Times New Roman" w:hAnsi="Times New Roman" w:cs="Times New Roman"/>
          <w:sz w:val="24"/>
          <w:szCs w:val="24"/>
        </w:rPr>
        <w:t>205</w:t>
      </w:r>
      <w:r w:rsidR="008702B8">
        <w:rPr>
          <w:rFonts w:ascii="Times New Roman" w:hAnsi="Times New Roman" w:cs="Times New Roman"/>
          <w:sz w:val="24"/>
          <w:szCs w:val="24"/>
        </w:rPr>
        <w:t xml:space="preserve"> 000 </w:t>
      </w:r>
      <w:r w:rsidR="008702B8" w:rsidRPr="008079F4">
        <w:rPr>
          <w:rFonts w:ascii="Times New Roman" w:hAnsi="Times New Roman" w:cs="Times New Roman"/>
          <w:i/>
          <w:sz w:val="24"/>
          <w:szCs w:val="24"/>
        </w:rPr>
        <w:t>euro</w:t>
      </w:r>
      <w:r w:rsidR="008702B8">
        <w:rPr>
          <w:rFonts w:ascii="Times New Roman" w:hAnsi="Times New Roman" w:cs="Times New Roman"/>
          <w:sz w:val="24"/>
          <w:szCs w:val="24"/>
        </w:rPr>
        <w:t xml:space="preserve"> apmērā</w:t>
      </w:r>
      <w:r w:rsidR="00974D53">
        <w:rPr>
          <w:rFonts w:ascii="Times New Roman" w:hAnsi="Times New Roman" w:cs="Times New Roman"/>
          <w:sz w:val="24"/>
          <w:szCs w:val="24"/>
        </w:rPr>
        <w:t>,</w:t>
      </w:r>
      <w:r w:rsidRPr="00847710">
        <w:rPr>
          <w:rFonts w:ascii="Times New Roman" w:hAnsi="Times New Roman" w:cs="Times New Roman"/>
          <w:sz w:val="24"/>
          <w:szCs w:val="24"/>
        </w:rPr>
        <w:t xml:space="preserve"> kas </w:t>
      </w:r>
      <w:r w:rsidR="00974D53">
        <w:rPr>
          <w:rFonts w:ascii="Times New Roman" w:hAnsi="Times New Roman" w:cs="Times New Roman"/>
          <w:sz w:val="24"/>
          <w:szCs w:val="24"/>
        </w:rPr>
        <w:t xml:space="preserve">detalizēti </w:t>
      </w:r>
      <w:r w:rsidRPr="00847710">
        <w:rPr>
          <w:rFonts w:ascii="Times New Roman" w:hAnsi="Times New Roman" w:cs="Times New Roman"/>
          <w:sz w:val="24"/>
          <w:szCs w:val="24"/>
        </w:rPr>
        <w:t>pamatos ziņojumā.</w:t>
      </w:r>
      <w:r w:rsidR="008702B8" w:rsidRPr="008702B8">
        <w:rPr>
          <w:rFonts w:ascii="Times New Roman" w:hAnsi="Times New Roman" w:cs="Times New Roman"/>
          <w:sz w:val="24"/>
          <w:szCs w:val="24"/>
        </w:rPr>
        <w:t xml:space="preserve"> </w:t>
      </w:r>
      <w:r w:rsidR="008702B8" w:rsidRPr="00847710">
        <w:rPr>
          <w:rFonts w:ascii="Times New Roman" w:hAnsi="Times New Roman" w:cs="Times New Roman"/>
          <w:sz w:val="24"/>
          <w:szCs w:val="24"/>
        </w:rPr>
        <w:t>Ņemot vērā pieejamo papildus finansējumu, kas 201</w:t>
      </w:r>
      <w:r w:rsidR="008702B8">
        <w:rPr>
          <w:rFonts w:ascii="Times New Roman" w:hAnsi="Times New Roman" w:cs="Times New Roman"/>
          <w:sz w:val="24"/>
          <w:szCs w:val="24"/>
        </w:rPr>
        <w:t>9</w:t>
      </w:r>
      <w:r w:rsidR="008702B8" w:rsidRPr="00847710">
        <w:rPr>
          <w:rFonts w:ascii="Times New Roman" w:hAnsi="Times New Roman" w:cs="Times New Roman"/>
          <w:sz w:val="24"/>
          <w:szCs w:val="24"/>
        </w:rPr>
        <w:t xml:space="preserve">.gadā </w:t>
      </w:r>
      <w:r w:rsidR="008702B8" w:rsidRPr="00E82730">
        <w:rPr>
          <w:rFonts w:ascii="Times New Roman" w:hAnsi="Times New Roman" w:cs="Times New Roman"/>
          <w:sz w:val="24"/>
          <w:szCs w:val="24"/>
        </w:rPr>
        <w:t>sastā</w:t>
      </w:r>
      <w:r w:rsidR="008702B8" w:rsidRPr="001D5BCC">
        <w:rPr>
          <w:rFonts w:ascii="Times New Roman" w:hAnsi="Times New Roman" w:cs="Times New Roman"/>
          <w:sz w:val="24"/>
          <w:szCs w:val="24"/>
        </w:rPr>
        <w:t xml:space="preserve">da </w:t>
      </w:r>
      <w:r w:rsidR="008702B8" w:rsidRPr="008E1411">
        <w:rPr>
          <w:rFonts w:ascii="Times New Roman" w:hAnsi="Times New Roman" w:cs="Times New Roman"/>
          <w:sz w:val="24"/>
          <w:szCs w:val="24"/>
        </w:rPr>
        <w:t>0,</w:t>
      </w:r>
      <w:r w:rsidR="00986C83" w:rsidRPr="008E1411">
        <w:rPr>
          <w:rFonts w:ascii="Times New Roman" w:hAnsi="Times New Roman" w:cs="Times New Roman"/>
          <w:sz w:val="24"/>
          <w:szCs w:val="24"/>
        </w:rPr>
        <w:t>5</w:t>
      </w:r>
      <w:r w:rsidR="008702B8" w:rsidRPr="008E1411">
        <w:rPr>
          <w:rFonts w:ascii="Times New Roman" w:hAnsi="Times New Roman" w:cs="Times New Roman"/>
          <w:sz w:val="24"/>
          <w:szCs w:val="24"/>
        </w:rPr>
        <w:t>%</w:t>
      </w:r>
      <w:r w:rsidR="00E82730">
        <w:rPr>
          <w:rFonts w:ascii="Times New Roman" w:hAnsi="Times New Roman" w:cs="Times New Roman"/>
          <w:sz w:val="24"/>
          <w:szCs w:val="24"/>
        </w:rPr>
        <w:t xml:space="preserve"> no</w:t>
      </w:r>
      <w:r w:rsidR="008702B8" w:rsidRPr="00847710">
        <w:rPr>
          <w:rFonts w:ascii="Times New Roman" w:hAnsi="Times New Roman" w:cs="Times New Roman"/>
          <w:sz w:val="24"/>
          <w:szCs w:val="24"/>
        </w:rPr>
        <w:t xml:space="preserve"> Eiropas Komisijas pieļautās budžeta deficīta atkāpes jeb 1</w:t>
      </w:r>
      <w:r w:rsidR="0045026F">
        <w:rPr>
          <w:rFonts w:ascii="Times New Roman" w:hAnsi="Times New Roman" w:cs="Times New Roman"/>
          <w:sz w:val="24"/>
          <w:szCs w:val="24"/>
        </w:rPr>
        <w:t>54</w:t>
      </w:r>
      <w:r w:rsidR="008702B8" w:rsidRPr="00847710">
        <w:rPr>
          <w:rFonts w:ascii="Times New Roman" w:hAnsi="Times New Roman" w:cs="Times New Roman"/>
          <w:sz w:val="24"/>
          <w:szCs w:val="24"/>
        </w:rPr>
        <w:t>,</w:t>
      </w:r>
      <w:r w:rsidR="0045026F">
        <w:rPr>
          <w:rFonts w:ascii="Times New Roman" w:hAnsi="Times New Roman" w:cs="Times New Roman"/>
          <w:sz w:val="24"/>
          <w:szCs w:val="24"/>
        </w:rPr>
        <w:t>2</w:t>
      </w:r>
      <w:r w:rsidR="008702B8" w:rsidRPr="00847710">
        <w:rPr>
          <w:rFonts w:ascii="Times New Roman" w:hAnsi="Times New Roman" w:cs="Times New Roman"/>
          <w:sz w:val="24"/>
          <w:szCs w:val="24"/>
        </w:rPr>
        <w:t xml:space="preserve"> milj. </w:t>
      </w:r>
      <w:r w:rsidR="008702B8" w:rsidRPr="008079F4">
        <w:rPr>
          <w:rFonts w:ascii="Times New Roman" w:hAnsi="Times New Roman" w:cs="Times New Roman"/>
          <w:i/>
          <w:sz w:val="24"/>
          <w:szCs w:val="24"/>
        </w:rPr>
        <w:t>euro</w:t>
      </w:r>
      <w:r w:rsidR="008702B8" w:rsidRPr="00847710">
        <w:rPr>
          <w:rFonts w:ascii="Times New Roman" w:hAnsi="Times New Roman" w:cs="Times New Roman"/>
          <w:sz w:val="24"/>
          <w:szCs w:val="24"/>
        </w:rPr>
        <w:t xml:space="preserve">, uzsāktās reformas </w:t>
      </w:r>
      <w:r w:rsidR="008702B8">
        <w:rPr>
          <w:rFonts w:ascii="Times New Roman" w:hAnsi="Times New Roman" w:cs="Times New Roman"/>
          <w:sz w:val="24"/>
          <w:szCs w:val="24"/>
        </w:rPr>
        <w:t>tiks</w:t>
      </w:r>
      <w:r w:rsidR="008702B8" w:rsidRPr="00847710">
        <w:rPr>
          <w:rFonts w:ascii="Times New Roman" w:hAnsi="Times New Roman" w:cs="Times New Roman"/>
          <w:sz w:val="24"/>
          <w:szCs w:val="24"/>
        </w:rPr>
        <w:t xml:space="preserve"> turpināt</w:t>
      </w:r>
      <w:r w:rsidR="008702B8">
        <w:rPr>
          <w:rFonts w:ascii="Times New Roman" w:hAnsi="Times New Roman" w:cs="Times New Roman"/>
          <w:sz w:val="24"/>
          <w:szCs w:val="24"/>
        </w:rPr>
        <w:t>as</w:t>
      </w:r>
      <w:r w:rsidR="008702B8" w:rsidRPr="00847710">
        <w:rPr>
          <w:rFonts w:ascii="Times New Roman" w:hAnsi="Times New Roman" w:cs="Times New Roman"/>
          <w:sz w:val="24"/>
          <w:szCs w:val="24"/>
        </w:rPr>
        <w:t xml:space="preserve"> un paplašināt</w:t>
      </w:r>
      <w:r w:rsidR="008702B8">
        <w:rPr>
          <w:rFonts w:ascii="Times New Roman" w:hAnsi="Times New Roman" w:cs="Times New Roman"/>
          <w:sz w:val="24"/>
          <w:szCs w:val="24"/>
        </w:rPr>
        <w:t>as</w:t>
      </w:r>
      <w:r w:rsidR="008702B8" w:rsidRPr="00847710">
        <w:rPr>
          <w:rFonts w:ascii="Times New Roman" w:hAnsi="Times New Roman" w:cs="Times New Roman"/>
          <w:sz w:val="24"/>
          <w:szCs w:val="24"/>
        </w:rPr>
        <w:t xml:space="preserve"> ar jaunām iniciatīvām veselības aprūpes efektivitātes</w:t>
      </w:r>
      <w:r w:rsidR="00E82730">
        <w:rPr>
          <w:rFonts w:ascii="Times New Roman" w:hAnsi="Times New Roman" w:cs="Times New Roman"/>
          <w:sz w:val="24"/>
          <w:szCs w:val="24"/>
        </w:rPr>
        <w:t>, pakalpojumu pieejamības</w:t>
      </w:r>
      <w:r w:rsidR="008702B8" w:rsidRPr="00847710">
        <w:rPr>
          <w:rFonts w:ascii="Times New Roman" w:hAnsi="Times New Roman" w:cs="Times New Roman"/>
          <w:sz w:val="24"/>
          <w:szCs w:val="24"/>
        </w:rPr>
        <w:t xml:space="preserve"> un  </w:t>
      </w:r>
      <w:r w:rsidR="00E82730">
        <w:rPr>
          <w:rFonts w:ascii="Times New Roman" w:hAnsi="Times New Roman" w:cs="Times New Roman"/>
          <w:sz w:val="24"/>
          <w:szCs w:val="24"/>
        </w:rPr>
        <w:t xml:space="preserve">sistēmas </w:t>
      </w:r>
      <w:r w:rsidR="008702B8" w:rsidRPr="00847710">
        <w:rPr>
          <w:rFonts w:ascii="Times New Roman" w:hAnsi="Times New Roman" w:cs="Times New Roman"/>
          <w:sz w:val="24"/>
          <w:szCs w:val="24"/>
        </w:rPr>
        <w:t>ilgtspējas uzlabošanā</w:t>
      </w:r>
      <w:r w:rsidR="008702B8">
        <w:rPr>
          <w:rFonts w:ascii="Times New Roman" w:hAnsi="Times New Roman" w:cs="Times New Roman"/>
          <w:sz w:val="24"/>
          <w:szCs w:val="24"/>
        </w:rPr>
        <w:t>.</w:t>
      </w:r>
    </w:p>
    <w:p w14:paraId="4D40309D" w14:textId="77777777" w:rsidR="0046087F" w:rsidRPr="00A24E0A" w:rsidRDefault="0046087F" w:rsidP="0046087F">
      <w:pPr>
        <w:spacing w:after="120"/>
        <w:ind w:firstLine="720"/>
        <w:jc w:val="both"/>
        <w:rPr>
          <w:rFonts w:ascii="Times New Roman" w:eastAsia="Times New Roman" w:hAnsi="Times New Roman"/>
          <w:sz w:val="24"/>
          <w:szCs w:val="24"/>
          <w:lang w:eastAsia="lv-LV" w:bidi="lo-LA"/>
        </w:rPr>
      </w:pPr>
      <w:r w:rsidRPr="00A24E0A">
        <w:rPr>
          <w:rFonts w:ascii="Times New Roman" w:eastAsia="Times New Roman" w:hAnsi="Times New Roman"/>
          <w:sz w:val="24"/>
          <w:szCs w:val="24"/>
          <w:lang w:eastAsia="lv-LV" w:bidi="lo-LA"/>
        </w:rPr>
        <w:t>Finansējums no deficīta atkāpes ir paredzēts, lai (1) mazinātu potenciāli zaudēto mūža gadu skaitu un (2) mazinātu dienu skaitu, kad darba spējas vecuma cilvēki atrodas uz slimības lapas. Tādā veidā tiks paplašināts darba tirgus un mazināti izdevumi pabalstiem un līdz ar to dos pozitīvu ilgtermiņa ietekmi uz publiskajām finan</w:t>
      </w:r>
      <w:r>
        <w:rPr>
          <w:rFonts w:ascii="Times New Roman" w:eastAsia="Times New Roman" w:hAnsi="Times New Roman"/>
          <w:sz w:val="24"/>
          <w:szCs w:val="24"/>
          <w:lang w:eastAsia="lv-LV" w:bidi="lo-LA"/>
        </w:rPr>
        <w:t xml:space="preserve">sēm. </w:t>
      </w:r>
    </w:p>
    <w:p w14:paraId="3295E0E9" w14:textId="77777777" w:rsidR="0046087F" w:rsidRPr="00A24E0A" w:rsidRDefault="0046087F" w:rsidP="0046087F">
      <w:pPr>
        <w:spacing w:after="120"/>
        <w:ind w:firstLine="720"/>
        <w:jc w:val="both"/>
        <w:rPr>
          <w:rFonts w:ascii="Times New Roman" w:eastAsia="Times New Roman" w:hAnsi="Times New Roman"/>
          <w:sz w:val="24"/>
          <w:szCs w:val="24"/>
          <w:lang w:eastAsia="lv-LV" w:bidi="lo-LA"/>
        </w:rPr>
      </w:pPr>
      <w:r w:rsidRPr="00A24E0A">
        <w:rPr>
          <w:rFonts w:ascii="Times New Roman" w:eastAsia="Times New Roman" w:hAnsi="Times New Roman"/>
          <w:sz w:val="24"/>
          <w:szCs w:val="24"/>
          <w:lang w:eastAsia="lv-LV" w:bidi="lo-LA"/>
        </w:rPr>
        <w:t>Būtiskākais finansējums</w:t>
      </w:r>
      <w:r>
        <w:rPr>
          <w:rFonts w:ascii="Times New Roman" w:eastAsia="Times New Roman" w:hAnsi="Times New Roman"/>
          <w:sz w:val="24"/>
          <w:szCs w:val="24"/>
          <w:lang w:eastAsia="lv-LV" w:bidi="lo-LA"/>
        </w:rPr>
        <w:t xml:space="preserve"> (virs 83% no kopējā finansējuma)</w:t>
      </w:r>
      <w:r w:rsidRPr="00A24E0A">
        <w:rPr>
          <w:rFonts w:ascii="Times New Roman" w:eastAsia="Times New Roman" w:hAnsi="Times New Roman"/>
          <w:sz w:val="24"/>
          <w:szCs w:val="24"/>
          <w:lang w:eastAsia="lv-LV" w:bidi="lo-LA"/>
        </w:rPr>
        <w:t xml:space="preserve"> tiek novirzīts pasākumiem, kam ir tieša, kvantificējama ietekme uz potenciāli zaudēto mūža gadu skaita samazināšanu vai laiku, kad cilvēks atrodas ārpus darba slimības dēļ. </w:t>
      </w:r>
    </w:p>
    <w:p w14:paraId="3AE2175F" w14:textId="77777777" w:rsidR="0046087F" w:rsidRPr="00A24E0A" w:rsidRDefault="0046087F" w:rsidP="0046087F">
      <w:pPr>
        <w:spacing w:after="120"/>
        <w:ind w:firstLine="720"/>
        <w:jc w:val="both"/>
        <w:rPr>
          <w:rFonts w:ascii="Times New Roman" w:eastAsia="Times New Roman" w:hAnsi="Times New Roman"/>
          <w:sz w:val="24"/>
          <w:szCs w:val="24"/>
          <w:lang w:eastAsia="lv-LV" w:bidi="lo-LA"/>
        </w:rPr>
      </w:pPr>
      <w:r w:rsidRPr="00A24E0A">
        <w:rPr>
          <w:rFonts w:ascii="Times New Roman" w:eastAsia="Times New Roman" w:hAnsi="Times New Roman"/>
          <w:sz w:val="24"/>
          <w:szCs w:val="24"/>
          <w:lang w:eastAsia="lv-LV" w:bidi="lo-LA"/>
        </w:rPr>
        <w:t>Tomēr deficīta atkāpes ietvaros finansējums tiek piešķirts arī pasākumiem , kuriem ir netieša ietekme uz augstāk minētajiem rādītājiem</w:t>
      </w:r>
      <w:r>
        <w:rPr>
          <w:rFonts w:ascii="Times New Roman" w:eastAsia="Times New Roman" w:hAnsi="Times New Roman"/>
          <w:sz w:val="24"/>
          <w:szCs w:val="24"/>
          <w:lang w:eastAsia="lv-LV" w:bidi="lo-LA"/>
        </w:rPr>
        <w:t xml:space="preserve"> (16% no kopējā finansējum)</w:t>
      </w:r>
      <w:r w:rsidRPr="00A24E0A">
        <w:rPr>
          <w:rFonts w:ascii="Times New Roman" w:eastAsia="Times New Roman" w:hAnsi="Times New Roman"/>
          <w:sz w:val="24"/>
          <w:szCs w:val="24"/>
          <w:lang w:eastAsia="lv-LV" w:bidi="lo-LA"/>
        </w:rPr>
        <w:t>. Šajā kategorijā ietilpst:</w:t>
      </w:r>
    </w:p>
    <w:p w14:paraId="0EA7715B" w14:textId="77777777" w:rsidR="0046087F" w:rsidRPr="00A24E0A" w:rsidRDefault="0046087F" w:rsidP="0046087F">
      <w:pPr>
        <w:pStyle w:val="ListParagraph"/>
        <w:numPr>
          <w:ilvl w:val="0"/>
          <w:numId w:val="49"/>
        </w:numPr>
        <w:spacing w:after="120"/>
        <w:jc w:val="both"/>
        <w:rPr>
          <w:rFonts w:ascii="Times New Roman" w:eastAsia="Times New Roman" w:hAnsi="Times New Roman"/>
          <w:sz w:val="24"/>
          <w:szCs w:val="24"/>
          <w:lang w:val="lv-LV" w:eastAsia="lv-LV" w:bidi="lo-LA"/>
        </w:rPr>
      </w:pPr>
      <w:r w:rsidRPr="00A24E0A">
        <w:rPr>
          <w:rFonts w:ascii="Times New Roman" w:eastAsia="Times New Roman" w:hAnsi="Times New Roman"/>
          <w:sz w:val="24"/>
          <w:szCs w:val="24"/>
          <w:lang w:val="lv-LV" w:eastAsia="lv-LV" w:bidi="lo-LA"/>
        </w:rPr>
        <w:t>pasākumi, kas preventīvi mazina saslimšanas risku nākotnē – tie ir 4. nodaļā ietvertie pasākumi. (10% no kopējā finansējuma)</w:t>
      </w:r>
    </w:p>
    <w:p w14:paraId="48B45B5E" w14:textId="2A96E987" w:rsidR="0046087F" w:rsidRPr="00A24E0A" w:rsidRDefault="0046087F" w:rsidP="0046087F">
      <w:pPr>
        <w:pStyle w:val="ListParagraph"/>
        <w:numPr>
          <w:ilvl w:val="0"/>
          <w:numId w:val="49"/>
        </w:numPr>
        <w:spacing w:after="120"/>
        <w:jc w:val="both"/>
        <w:rPr>
          <w:rFonts w:ascii="Times New Roman" w:eastAsia="Times New Roman" w:hAnsi="Times New Roman"/>
          <w:sz w:val="24"/>
          <w:szCs w:val="24"/>
          <w:lang w:val="lv-LV" w:eastAsia="lv-LV" w:bidi="lo-LA"/>
        </w:rPr>
      </w:pPr>
      <w:r w:rsidRPr="00A24E0A">
        <w:rPr>
          <w:rFonts w:ascii="Times New Roman" w:eastAsia="Times New Roman" w:hAnsi="Times New Roman"/>
          <w:sz w:val="24"/>
          <w:szCs w:val="24"/>
          <w:lang w:val="lv-LV" w:eastAsia="lv-LV" w:bidi="lo-LA"/>
        </w:rPr>
        <w:t>pasākumi, kas sekmē ārstniecības iestāžu struktūras optimizāciju, tādā veidā veicinot publiskā finansējuma efektivitāti un līdz ar to – ilgtermiņā publisko finanšu ilgtspēju (5% no kopējā finansējuma)</w:t>
      </w:r>
    </w:p>
    <w:p w14:paraId="096A4C25" w14:textId="77777777" w:rsidR="004D10F4" w:rsidRDefault="0046087F" w:rsidP="004D10F4">
      <w:pPr>
        <w:pStyle w:val="ListParagraph"/>
        <w:numPr>
          <w:ilvl w:val="0"/>
          <w:numId w:val="49"/>
        </w:numPr>
        <w:spacing w:after="120"/>
        <w:jc w:val="both"/>
        <w:rPr>
          <w:rFonts w:ascii="Times New Roman" w:eastAsia="Times New Roman" w:hAnsi="Times New Roman"/>
          <w:sz w:val="24"/>
          <w:szCs w:val="24"/>
          <w:lang w:val="lv-LV" w:eastAsia="lv-LV" w:bidi="lo-LA"/>
        </w:rPr>
      </w:pPr>
      <w:r w:rsidRPr="00A24E0A">
        <w:rPr>
          <w:rFonts w:ascii="Times New Roman" w:eastAsia="Times New Roman" w:hAnsi="Times New Roman"/>
          <w:sz w:val="24"/>
          <w:szCs w:val="24"/>
          <w:lang w:val="lv-LV" w:eastAsia="lv-LV" w:bidi="lo-LA"/>
        </w:rPr>
        <w:t>9. nodaļā ietvertie vides uzlabošanas un infrastruktūras efektivizēšanas pasākumi. Tie ir pasākumi, kas uzlabo vispārējos apstākļus tam, lai veselības pakalpojumi kopumā būtu kvalitatīvāki, tai skaitā tie rada nosacījumus, lai investīcijas pasākumiem citās nodalās būtu efektīvākas. (</w:t>
      </w:r>
      <w:r>
        <w:rPr>
          <w:rFonts w:ascii="Times New Roman" w:eastAsia="Times New Roman" w:hAnsi="Times New Roman"/>
          <w:sz w:val="24"/>
          <w:szCs w:val="24"/>
          <w:lang w:val="lv-LV" w:eastAsia="lv-LV" w:bidi="lo-LA"/>
        </w:rPr>
        <w:t>1% no  kopējā finansējuma)</w:t>
      </w:r>
      <w:r w:rsidR="006B4C0C">
        <w:rPr>
          <w:rFonts w:ascii="Times New Roman" w:eastAsia="Times New Roman" w:hAnsi="Times New Roman"/>
          <w:sz w:val="24"/>
          <w:szCs w:val="24"/>
          <w:lang w:val="lv-LV" w:eastAsia="lv-LV" w:bidi="lo-LA"/>
        </w:rPr>
        <w:t>.</w:t>
      </w:r>
    </w:p>
    <w:p w14:paraId="4501038F" w14:textId="6E8F4581" w:rsidR="004D10F4" w:rsidRPr="004D10F4" w:rsidRDefault="0046087F" w:rsidP="004D10F4">
      <w:pPr>
        <w:spacing w:after="120"/>
        <w:ind w:firstLine="720"/>
        <w:jc w:val="both"/>
        <w:rPr>
          <w:rFonts w:ascii="Times New Roman" w:eastAsia="Times New Roman" w:hAnsi="Times New Roman"/>
          <w:sz w:val="24"/>
          <w:szCs w:val="24"/>
          <w:lang w:eastAsia="lv-LV" w:bidi="lo-LA"/>
        </w:rPr>
      </w:pPr>
      <w:r w:rsidRPr="004D10F4">
        <w:rPr>
          <w:rFonts w:ascii="Times New Roman" w:eastAsia="Times New Roman" w:hAnsi="Times New Roman"/>
          <w:sz w:val="24"/>
          <w:szCs w:val="24"/>
          <w:lang w:eastAsia="lv-LV" w:bidi="lo-LA"/>
        </w:rPr>
        <w:t>Visbeidzot, relatīvi neliels finansējums (0,3% no kopējā finansējuma) tiek novirzīts arī pasākumiem, kam nav ietekmes uz publisko finanšu ilgtspēju, vismaz vērā ņemamā apmērā, tomēr šo pasākumu finansēšana izriet fakta, ka tiek veiktas būtiskas investīcijas citās jomās un uz tā fona apstākļu neuzlabošana  šajās jomās būtu uzskatāma par nepareizu gan sabiedrības ekspektāciju ziņā, gan ar mērķi veicināt inovācijas un zinātnisko potenciālu valsts medicīnas nozarē. Šajā kategorijā ietilpst investīcijas aknu transplantācijas operācijām.</w:t>
      </w:r>
    </w:p>
    <w:p w14:paraId="2AD37B7C" w14:textId="7C9CB809" w:rsidR="00BD53DE" w:rsidRPr="00BC2160" w:rsidRDefault="004D10F4" w:rsidP="004D10F4">
      <w:pPr>
        <w:pStyle w:val="Heading1"/>
        <w:spacing w:before="0" w:after="20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R</w:t>
      </w:r>
      <w:r w:rsidR="0071331A" w:rsidRPr="0012317D">
        <w:rPr>
          <w:rFonts w:ascii="Times New Roman" w:hAnsi="Times New Roman" w:cs="Times New Roman"/>
          <w:b/>
          <w:bCs/>
          <w:color w:val="auto"/>
          <w:sz w:val="28"/>
          <w:szCs w:val="28"/>
        </w:rPr>
        <w:t xml:space="preserve">eformu </w:t>
      </w:r>
      <w:r w:rsidR="001E043E" w:rsidRPr="0012317D">
        <w:rPr>
          <w:rFonts w:ascii="Times New Roman" w:hAnsi="Times New Roman" w:cs="Times New Roman"/>
          <w:b/>
          <w:bCs/>
          <w:color w:val="auto"/>
          <w:sz w:val="28"/>
          <w:szCs w:val="28"/>
        </w:rPr>
        <w:t>virzieni</w:t>
      </w:r>
      <w:r w:rsidR="00E31C1D" w:rsidRPr="0012317D">
        <w:rPr>
          <w:rFonts w:ascii="Times New Roman" w:hAnsi="Times New Roman" w:cs="Times New Roman"/>
          <w:b/>
          <w:bCs/>
          <w:color w:val="auto"/>
          <w:sz w:val="28"/>
          <w:szCs w:val="28"/>
        </w:rPr>
        <w:t xml:space="preserve"> </w:t>
      </w:r>
      <w:r w:rsidR="00DA1CBD" w:rsidRPr="0012317D">
        <w:rPr>
          <w:rFonts w:ascii="Times New Roman" w:hAnsi="Times New Roman" w:cs="Times New Roman"/>
          <w:b/>
          <w:bCs/>
          <w:color w:val="auto"/>
          <w:sz w:val="28"/>
          <w:szCs w:val="28"/>
        </w:rPr>
        <w:t xml:space="preserve">veselības aprūpes pakalpojumu </w:t>
      </w:r>
      <w:r w:rsidR="00E31C1D" w:rsidRPr="0012317D">
        <w:rPr>
          <w:rFonts w:ascii="Times New Roman" w:hAnsi="Times New Roman" w:cs="Times New Roman"/>
          <w:b/>
          <w:bCs/>
          <w:color w:val="auto"/>
          <w:sz w:val="28"/>
          <w:szCs w:val="28"/>
        </w:rPr>
        <w:t xml:space="preserve">pieejamības </w:t>
      </w:r>
      <w:r w:rsidR="0071331A" w:rsidRPr="0012317D">
        <w:rPr>
          <w:rFonts w:ascii="Times New Roman" w:hAnsi="Times New Roman" w:cs="Times New Roman"/>
          <w:b/>
          <w:bCs/>
          <w:color w:val="auto"/>
          <w:sz w:val="28"/>
          <w:szCs w:val="28"/>
        </w:rPr>
        <w:t xml:space="preserve">un kvalitātes </w:t>
      </w:r>
      <w:r w:rsidR="00E31C1D" w:rsidRPr="0012317D">
        <w:rPr>
          <w:rFonts w:ascii="Times New Roman" w:hAnsi="Times New Roman" w:cs="Times New Roman"/>
          <w:b/>
          <w:bCs/>
          <w:color w:val="auto"/>
          <w:sz w:val="28"/>
          <w:szCs w:val="28"/>
        </w:rPr>
        <w:t>uzlabošanai</w:t>
      </w:r>
    </w:p>
    <w:p w14:paraId="0E350E9B" w14:textId="74BA8C98" w:rsidR="00E520B7" w:rsidRPr="00606E46" w:rsidRDefault="0076011A" w:rsidP="64AB90BD">
      <w:pPr>
        <w:shd w:val="clear" w:color="auto" w:fill="FFFFFF" w:themeFill="background1"/>
        <w:ind w:firstLine="720"/>
        <w:jc w:val="both"/>
        <w:rPr>
          <w:rFonts w:ascii="Times New Roman" w:eastAsia="Times New Roman" w:hAnsi="Times New Roman" w:cs="Times New Roman"/>
          <w:color w:val="000000" w:themeColor="text1"/>
          <w:sz w:val="24"/>
          <w:szCs w:val="24"/>
          <w:lang w:eastAsia="lv-LV"/>
        </w:rPr>
      </w:pPr>
      <w:r w:rsidRPr="00606E46">
        <w:rPr>
          <w:rFonts w:ascii="Times New Roman" w:eastAsia="Times New Roman" w:hAnsi="Times New Roman" w:cs="Times New Roman"/>
          <w:color w:val="000000" w:themeColor="text1"/>
          <w:sz w:val="24"/>
          <w:szCs w:val="24"/>
          <w:lang w:eastAsia="lv-LV"/>
        </w:rPr>
        <w:t xml:space="preserve">Lai </w:t>
      </w:r>
      <w:r w:rsidR="0071331A" w:rsidRPr="00606E46">
        <w:rPr>
          <w:rFonts w:ascii="Times New Roman" w:eastAsia="Times New Roman" w:hAnsi="Times New Roman" w:cs="Times New Roman"/>
          <w:color w:val="000000" w:themeColor="text1"/>
          <w:sz w:val="24"/>
          <w:szCs w:val="24"/>
          <w:lang w:eastAsia="lv-LV"/>
        </w:rPr>
        <w:t>realizētu S</w:t>
      </w:r>
      <w:r w:rsidR="00AD69DC" w:rsidRPr="00606E46">
        <w:rPr>
          <w:rFonts w:ascii="Times New Roman" w:eastAsia="Times New Roman" w:hAnsi="Times New Roman" w:cs="Times New Roman"/>
          <w:color w:val="000000" w:themeColor="text1"/>
          <w:sz w:val="24"/>
          <w:szCs w:val="24"/>
          <w:lang w:eastAsia="lv-LV"/>
        </w:rPr>
        <w:t>VP</w:t>
      </w:r>
      <w:r w:rsidR="0071331A" w:rsidRPr="00606E46">
        <w:rPr>
          <w:rFonts w:ascii="Times New Roman" w:eastAsia="Times New Roman" w:hAnsi="Times New Roman" w:cs="Times New Roman"/>
          <w:color w:val="000000" w:themeColor="text1"/>
          <w:sz w:val="24"/>
          <w:szCs w:val="24"/>
          <w:lang w:eastAsia="lv-LV"/>
        </w:rPr>
        <w:t xml:space="preserve"> izvirzītos </w:t>
      </w:r>
      <w:r w:rsidR="00606E46" w:rsidRPr="00606E46">
        <w:rPr>
          <w:rFonts w:ascii="Times New Roman" w:eastAsia="Times New Roman" w:hAnsi="Times New Roman" w:cs="Times New Roman"/>
          <w:color w:val="000000" w:themeColor="text1"/>
          <w:sz w:val="24"/>
          <w:szCs w:val="24"/>
          <w:lang w:eastAsia="lv-LV"/>
        </w:rPr>
        <w:t>virsmērķus</w:t>
      </w:r>
      <w:r w:rsidR="00606E46" w:rsidRPr="64AB90BD">
        <w:rPr>
          <w:rFonts w:ascii="Times New Roman" w:eastAsia="Times New Roman" w:hAnsi="Times New Roman" w:cs="Times New Roman"/>
          <w:color w:val="000000" w:themeColor="text1"/>
          <w:sz w:val="24"/>
          <w:szCs w:val="24"/>
          <w:lang w:eastAsia="lv-LV"/>
        </w:rPr>
        <w:t xml:space="preserve"> nodrošinot kvalitatīvu</w:t>
      </w:r>
      <w:r w:rsidR="0071331A" w:rsidRPr="64AB90BD">
        <w:rPr>
          <w:rFonts w:ascii="Times New Roman" w:eastAsia="Times New Roman" w:hAnsi="Times New Roman" w:cs="Times New Roman"/>
          <w:color w:val="000000" w:themeColor="text1"/>
          <w:sz w:val="24"/>
          <w:szCs w:val="24"/>
          <w:lang w:eastAsia="lv-LV"/>
        </w:rPr>
        <w:t>, drošu un ilgtspējīgu</w:t>
      </w:r>
      <w:r w:rsidR="00606E46" w:rsidRPr="64AB90BD">
        <w:rPr>
          <w:rFonts w:ascii="Times New Roman" w:eastAsia="Times New Roman" w:hAnsi="Times New Roman" w:cs="Times New Roman"/>
          <w:color w:val="000000" w:themeColor="text1"/>
          <w:sz w:val="24"/>
          <w:szCs w:val="24"/>
          <w:lang w:eastAsia="lv-LV"/>
        </w:rPr>
        <w:t xml:space="preserve"> veselības aprūpe</w:t>
      </w:r>
      <w:r w:rsidR="0071331A" w:rsidRPr="64AB90BD">
        <w:rPr>
          <w:rFonts w:ascii="Times New Roman" w:eastAsia="Times New Roman" w:hAnsi="Times New Roman" w:cs="Times New Roman"/>
          <w:color w:val="000000" w:themeColor="text1"/>
          <w:sz w:val="24"/>
          <w:szCs w:val="24"/>
          <w:lang w:eastAsia="lv-LV"/>
        </w:rPr>
        <w:t>s pakalpojumu sistēmas veidošanu, tai skaitā pacienta iemaksu samazināšanu</w:t>
      </w:r>
      <w:r w:rsidR="00606E46" w:rsidRPr="64AB90BD">
        <w:rPr>
          <w:rFonts w:ascii="Times New Roman" w:eastAsia="Times New Roman" w:hAnsi="Times New Roman" w:cs="Times New Roman"/>
          <w:color w:val="000000" w:themeColor="text1"/>
          <w:sz w:val="24"/>
          <w:szCs w:val="24"/>
          <w:lang w:eastAsia="lv-LV"/>
        </w:rPr>
        <w:t>, rindu saīsināšan</w:t>
      </w:r>
      <w:r w:rsidR="0071331A" w:rsidRPr="64AB90BD">
        <w:rPr>
          <w:rFonts w:ascii="Times New Roman" w:eastAsia="Times New Roman" w:hAnsi="Times New Roman" w:cs="Times New Roman"/>
          <w:color w:val="000000" w:themeColor="text1"/>
          <w:sz w:val="24"/>
          <w:szCs w:val="24"/>
          <w:lang w:eastAsia="lv-LV"/>
        </w:rPr>
        <w:t>u</w:t>
      </w:r>
      <w:r w:rsidR="00606E46" w:rsidRPr="64AB90BD">
        <w:rPr>
          <w:rFonts w:ascii="Times New Roman" w:eastAsia="Times New Roman" w:hAnsi="Times New Roman" w:cs="Times New Roman"/>
          <w:color w:val="000000" w:themeColor="text1"/>
          <w:sz w:val="24"/>
          <w:szCs w:val="24"/>
          <w:lang w:eastAsia="lv-LV"/>
        </w:rPr>
        <w:t xml:space="preserve"> uz plānveida pakalpojumiem, darba samaksas paaugstināšan</w:t>
      </w:r>
      <w:r w:rsidR="0071331A" w:rsidRPr="64AB90BD">
        <w:rPr>
          <w:rFonts w:ascii="Times New Roman" w:eastAsia="Times New Roman" w:hAnsi="Times New Roman" w:cs="Times New Roman"/>
          <w:color w:val="000000" w:themeColor="text1"/>
          <w:sz w:val="24"/>
          <w:szCs w:val="24"/>
          <w:lang w:eastAsia="lv-LV"/>
        </w:rPr>
        <w:t>u</w:t>
      </w:r>
      <w:r w:rsidR="00606E46" w:rsidRPr="64AB90BD">
        <w:rPr>
          <w:rFonts w:ascii="Times New Roman" w:eastAsia="Times New Roman" w:hAnsi="Times New Roman" w:cs="Times New Roman"/>
          <w:color w:val="000000" w:themeColor="text1"/>
          <w:sz w:val="24"/>
          <w:szCs w:val="24"/>
          <w:lang w:eastAsia="lv-LV"/>
        </w:rPr>
        <w:t xml:space="preserve"> veselības aprūpes nozares darbiniekiem, zāļu pieejamīb</w:t>
      </w:r>
      <w:r w:rsidR="0071331A" w:rsidRPr="64AB90BD">
        <w:rPr>
          <w:rFonts w:ascii="Times New Roman" w:eastAsia="Times New Roman" w:hAnsi="Times New Roman" w:cs="Times New Roman"/>
          <w:color w:val="000000" w:themeColor="text1"/>
          <w:sz w:val="24"/>
          <w:szCs w:val="24"/>
          <w:lang w:eastAsia="lv-LV"/>
        </w:rPr>
        <w:t>u</w:t>
      </w:r>
      <w:r w:rsidR="00606E46" w:rsidRPr="64AB90BD">
        <w:rPr>
          <w:rFonts w:ascii="Times New Roman" w:eastAsia="Times New Roman" w:hAnsi="Times New Roman" w:cs="Times New Roman"/>
          <w:color w:val="000000" w:themeColor="text1"/>
          <w:sz w:val="24"/>
          <w:szCs w:val="24"/>
          <w:lang w:eastAsia="lv-LV"/>
        </w:rPr>
        <w:t xml:space="preserve"> pacientiem,</w:t>
      </w:r>
      <w:r w:rsidR="00F72764" w:rsidRPr="64AB90BD">
        <w:rPr>
          <w:rFonts w:ascii="Times New Roman" w:eastAsia="Times New Roman" w:hAnsi="Times New Roman" w:cs="Times New Roman"/>
          <w:color w:val="000000" w:themeColor="text1"/>
          <w:sz w:val="24"/>
          <w:szCs w:val="24"/>
          <w:lang w:eastAsia="lv-LV"/>
        </w:rPr>
        <w:t xml:space="preserve"> </w:t>
      </w:r>
      <w:r w:rsidR="00606E46" w:rsidRPr="64AB90BD">
        <w:rPr>
          <w:rFonts w:ascii="Times New Roman" w:eastAsia="Times New Roman" w:hAnsi="Times New Roman" w:cs="Times New Roman"/>
          <w:color w:val="000000" w:themeColor="text1"/>
          <w:sz w:val="24"/>
          <w:szCs w:val="24"/>
          <w:lang w:eastAsia="lv-LV"/>
        </w:rPr>
        <w:t xml:space="preserve">2019.gadā </w:t>
      </w:r>
      <w:r w:rsidR="00DF28A1" w:rsidRPr="64AB90BD">
        <w:rPr>
          <w:rFonts w:ascii="Times New Roman" w:eastAsia="Times New Roman" w:hAnsi="Times New Roman" w:cs="Times New Roman"/>
          <w:color w:val="000000" w:themeColor="text1"/>
          <w:sz w:val="24"/>
          <w:szCs w:val="24"/>
          <w:lang w:eastAsia="lv-LV"/>
        </w:rPr>
        <w:t xml:space="preserve">ir nepieciešams turpināt </w:t>
      </w:r>
      <w:r w:rsidR="00606E46" w:rsidRPr="64AB90BD">
        <w:rPr>
          <w:rFonts w:ascii="Times New Roman" w:eastAsia="Times New Roman" w:hAnsi="Times New Roman" w:cs="Times New Roman"/>
          <w:color w:val="000000" w:themeColor="text1"/>
          <w:sz w:val="24"/>
          <w:szCs w:val="24"/>
          <w:lang w:eastAsia="lv-LV"/>
        </w:rPr>
        <w:t>iesāktās</w:t>
      </w:r>
      <w:r w:rsidR="00DF28A1" w:rsidRPr="64AB90BD">
        <w:rPr>
          <w:rFonts w:ascii="Times New Roman" w:eastAsia="Times New Roman" w:hAnsi="Times New Roman" w:cs="Times New Roman"/>
          <w:color w:val="000000" w:themeColor="text1"/>
          <w:sz w:val="24"/>
          <w:szCs w:val="24"/>
          <w:lang w:eastAsia="lv-LV"/>
        </w:rPr>
        <w:t xml:space="preserve"> reform</w:t>
      </w:r>
      <w:r w:rsidR="0071331A" w:rsidRPr="64AB90BD">
        <w:rPr>
          <w:rFonts w:ascii="Times New Roman" w:eastAsia="Times New Roman" w:hAnsi="Times New Roman" w:cs="Times New Roman"/>
          <w:color w:val="000000" w:themeColor="text1"/>
          <w:sz w:val="24"/>
          <w:szCs w:val="24"/>
          <w:lang w:eastAsia="lv-LV"/>
        </w:rPr>
        <w:t>as</w:t>
      </w:r>
      <w:r w:rsidR="00DF28A1" w:rsidRPr="64AB90BD">
        <w:rPr>
          <w:rFonts w:ascii="Times New Roman" w:eastAsia="Times New Roman" w:hAnsi="Times New Roman" w:cs="Times New Roman"/>
          <w:color w:val="000000" w:themeColor="text1"/>
          <w:sz w:val="24"/>
          <w:szCs w:val="24"/>
          <w:lang w:eastAsia="lv-LV"/>
        </w:rPr>
        <w:t xml:space="preserve"> </w:t>
      </w:r>
      <w:r w:rsidR="0071331A" w:rsidRPr="64AB90BD">
        <w:rPr>
          <w:rFonts w:ascii="Times New Roman" w:eastAsia="Times New Roman" w:hAnsi="Times New Roman" w:cs="Times New Roman"/>
          <w:color w:val="000000" w:themeColor="text1"/>
          <w:sz w:val="24"/>
          <w:szCs w:val="24"/>
          <w:lang w:eastAsia="lv-LV"/>
        </w:rPr>
        <w:t xml:space="preserve">uzlabojot </w:t>
      </w:r>
      <w:r w:rsidR="00DF28A1" w:rsidRPr="64AB90BD">
        <w:rPr>
          <w:rFonts w:ascii="Times New Roman" w:eastAsia="Times New Roman" w:hAnsi="Times New Roman" w:cs="Times New Roman"/>
          <w:color w:val="000000" w:themeColor="text1"/>
          <w:sz w:val="24"/>
          <w:szCs w:val="24"/>
          <w:lang w:eastAsia="lv-LV"/>
        </w:rPr>
        <w:t>pakalpojumu vi</w:t>
      </w:r>
      <w:r w:rsidR="0071331A" w:rsidRPr="64AB90BD">
        <w:rPr>
          <w:rFonts w:ascii="Times New Roman" w:eastAsia="Times New Roman" w:hAnsi="Times New Roman" w:cs="Times New Roman"/>
          <w:color w:val="000000" w:themeColor="text1"/>
          <w:sz w:val="24"/>
          <w:szCs w:val="24"/>
          <w:lang w:eastAsia="lv-LV"/>
        </w:rPr>
        <w:t>enlīdzīgu pieejamību</w:t>
      </w:r>
      <w:r w:rsidR="0071331A" w:rsidRPr="00E93259">
        <w:footnoteReference w:id="7"/>
      </w:r>
      <w:r w:rsidR="00EC6306" w:rsidRPr="00E93259">
        <w:rPr>
          <w:lang w:eastAsia="lv-LV"/>
        </w:rPr>
        <w:t>￼</w:t>
      </w:r>
      <w:r w:rsidR="52B20BA9" w:rsidRPr="00E93259">
        <w:rPr>
          <w:rFonts w:ascii="Times New Roman" w:eastAsia="Times New Roman" w:hAnsi="Times New Roman" w:cs="Times New Roman"/>
          <w:color w:val="000000" w:themeColor="text1"/>
          <w:sz w:val="24"/>
          <w:szCs w:val="24"/>
          <w:lang w:eastAsia="lv-LV"/>
        </w:rPr>
        <w:t>.</w:t>
      </w:r>
    </w:p>
    <w:p w14:paraId="247DF985" w14:textId="2A2F7C60" w:rsidR="00E37EEB" w:rsidRPr="004A0F56" w:rsidRDefault="0071331A">
      <w:pPr>
        <w:ind w:firstLine="709"/>
        <w:jc w:val="both"/>
        <w:rPr>
          <w:rFonts w:ascii="Times New Roman" w:hAnsi="Times New Roman" w:cs="Times New Roman"/>
          <w:bCs/>
          <w:color w:val="000000" w:themeColor="text1"/>
          <w:sz w:val="24"/>
          <w:szCs w:val="24"/>
        </w:rPr>
      </w:pPr>
      <w:r w:rsidRPr="004A0F56">
        <w:rPr>
          <w:rFonts w:ascii="Times New Roman" w:hAnsi="Times New Roman" w:cs="Times New Roman"/>
          <w:color w:val="000000" w:themeColor="text1"/>
          <w:sz w:val="24"/>
          <w:szCs w:val="24"/>
        </w:rPr>
        <w:t xml:space="preserve">Minēto problēmu </w:t>
      </w:r>
      <w:r w:rsidR="00E520B7" w:rsidRPr="004A0F56">
        <w:rPr>
          <w:rFonts w:ascii="Times New Roman" w:hAnsi="Times New Roman" w:cs="Times New Roman"/>
          <w:color w:val="000000" w:themeColor="text1"/>
          <w:sz w:val="24"/>
          <w:szCs w:val="24"/>
        </w:rPr>
        <w:t xml:space="preserve">risināšanai nepieciešams </w:t>
      </w:r>
      <w:r w:rsidR="00E520B7" w:rsidRPr="004A0F56">
        <w:rPr>
          <w:rFonts w:ascii="Times New Roman" w:hAnsi="Times New Roman" w:cs="Times New Roman"/>
          <w:bCs/>
          <w:color w:val="000000" w:themeColor="text1"/>
          <w:sz w:val="24"/>
          <w:szCs w:val="24"/>
        </w:rPr>
        <w:t xml:space="preserve">veicināt pacientu tiešo maksājumu īpatsvara samazināšanos, uzlabojot veselības aprūpes pakalpojumu pieejamību un mazinot gaidīšanas laikus, </w:t>
      </w:r>
      <w:r w:rsidR="004A0F56" w:rsidRPr="004A0F56">
        <w:rPr>
          <w:rFonts w:ascii="Times New Roman" w:hAnsi="Times New Roman" w:cs="Times New Roman"/>
          <w:color w:val="000000" w:themeColor="text1"/>
          <w:sz w:val="24"/>
          <w:szCs w:val="24"/>
        </w:rPr>
        <w:t xml:space="preserve">kā arī </w:t>
      </w:r>
      <w:r w:rsidR="00E520B7" w:rsidRPr="004A0F56">
        <w:rPr>
          <w:rFonts w:ascii="Times New Roman" w:hAnsi="Times New Roman" w:cs="Times New Roman"/>
          <w:bCs/>
          <w:color w:val="000000" w:themeColor="text1"/>
          <w:sz w:val="24"/>
          <w:szCs w:val="24"/>
        </w:rPr>
        <w:t xml:space="preserve">uzlabot veselības aprūpes pakalpojumu pieejamību un kvalitāti </w:t>
      </w:r>
      <w:r w:rsidR="004A0F56" w:rsidRPr="004A0F56">
        <w:rPr>
          <w:rFonts w:ascii="Times New Roman" w:hAnsi="Times New Roman" w:cs="Times New Roman"/>
          <w:bCs/>
          <w:color w:val="000000" w:themeColor="text1"/>
          <w:sz w:val="24"/>
          <w:szCs w:val="24"/>
        </w:rPr>
        <w:t>visos veselības aprūpes līmeņos</w:t>
      </w:r>
      <w:r w:rsidRPr="004A0F56">
        <w:rPr>
          <w:rStyle w:val="FootnoteReference"/>
          <w:rFonts w:ascii="Times New Roman" w:hAnsi="Times New Roman" w:cs="Times New Roman"/>
          <w:bCs/>
          <w:color w:val="000000" w:themeColor="text1"/>
          <w:sz w:val="24"/>
          <w:szCs w:val="24"/>
        </w:rPr>
        <w:footnoteReference w:id="8"/>
      </w:r>
      <w:r w:rsidR="00E520B7" w:rsidRPr="004A0F56">
        <w:rPr>
          <w:rFonts w:ascii="Times New Roman" w:hAnsi="Times New Roman" w:cs="Times New Roman"/>
          <w:bCs/>
          <w:color w:val="000000" w:themeColor="text1"/>
          <w:sz w:val="24"/>
          <w:szCs w:val="24"/>
        </w:rPr>
        <w:t>.</w:t>
      </w:r>
    </w:p>
    <w:p w14:paraId="0FDA396A" w14:textId="095B8236" w:rsidR="00201998" w:rsidRPr="00847710" w:rsidRDefault="64AB90BD" w:rsidP="64AB90BD">
      <w:pPr>
        <w:shd w:val="clear" w:color="auto" w:fill="FFFFFF" w:themeFill="background1"/>
        <w:spacing w:after="80"/>
        <w:ind w:firstLine="709"/>
        <w:jc w:val="both"/>
        <w:rPr>
          <w:rFonts w:ascii="Times New Roman" w:eastAsia="Times New Roman" w:hAnsi="Times New Roman" w:cs="Times New Roman"/>
          <w:color w:val="000000" w:themeColor="text1"/>
          <w:sz w:val="24"/>
          <w:szCs w:val="24"/>
          <w:lang w:eastAsia="lv-LV"/>
        </w:rPr>
      </w:pPr>
      <w:r w:rsidRPr="64AB90BD">
        <w:rPr>
          <w:rFonts w:ascii="Times New Roman" w:eastAsia="Times New Roman" w:hAnsi="Times New Roman" w:cs="Times New Roman"/>
          <w:sz w:val="24"/>
          <w:szCs w:val="24"/>
          <w:lang w:eastAsia="lv-LV"/>
        </w:rPr>
        <w:t xml:space="preserve">Atbilstoši šiem minētajiem </w:t>
      </w:r>
      <w:r w:rsidRPr="64AB90BD">
        <w:rPr>
          <w:rFonts w:ascii="Times New Roman" w:eastAsia="Times New Roman" w:hAnsi="Times New Roman" w:cs="Times New Roman"/>
          <w:color w:val="000000" w:themeColor="text1"/>
          <w:sz w:val="24"/>
          <w:szCs w:val="24"/>
          <w:lang w:eastAsia="lv-LV"/>
        </w:rPr>
        <w:t>SVP</w:t>
      </w:r>
      <w:r w:rsidRPr="64AB90BD">
        <w:rPr>
          <w:rFonts w:ascii="Times New Roman" w:eastAsia="Times New Roman" w:hAnsi="Times New Roman" w:cs="Times New Roman"/>
          <w:sz w:val="24"/>
          <w:szCs w:val="24"/>
          <w:lang w:eastAsia="lv-LV"/>
        </w:rPr>
        <w:t xml:space="preserve"> iezīmētajiem problēmu virzieniem veselības aprūpes nozarē, lai nodrošinātu turpmāku veselības aprūpes pakalpojumu kvalitātes un pieejamības uzlabošanu iedzīvotājiem, un attiecīgi palielinātu veselīgi nodzīvoto mūža gadu skaitu un samazinātu potenciāli zaudēto mūža gadu skaitu, tādējādi veicinot visas tautsaimniecības attīstību, Veselības ministrijai reformu veikšanai papildus tika piešķirts finansējums 2017.gadā  </w:t>
      </w:r>
      <w:r w:rsidRPr="64AB90BD">
        <w:rPr>
          <w:rFonts w:ascii="Times New Roman" w:eastAsia="Times New Roman" w:hAnsi="Times New Roman" w:cs="Times New Roman"/>
          <w:color w:val="000000" w:themeColor="text1"/>
          <w:sz w:val="24"/>
          <w:szCs w:val="24"/>
          <w:lang w:eastAsia="lv-LV"/>
        </w:rPr>
        <w:t xml:space="preserve">34 324 450 </w:t>
      </w:r>
      <w:r w:rsidRPr="704995BB">
        <w:rPr>
          <w:rFonts w:ascii="Times New Roman" w:eastAsia="Times New Roman" w:hAnsi="Times New Roman" w:cs="Times New Roman"/>
          <w:i/>
          <w:iCs/>
          <w:color w:val="000000" w:themeColor="text1"/>
          <w:sz w:val="24"/>
          <w:szCs w:val="24"/>
          <w:lang w:eastAsia="lv-LV"/>
        </w:rPr>
        <w:t>euro</w:t>
      </w:r>
      <w:r w:rsidRPr="64AB90BD">
        <w:rPr>
          <w:rFonts w:ascii="Times New Roman" w:eastAsia="Times New Roman" w:hAnsi="Times New Roman" w:cs="Times New Roman"/>
          <w:color w:val="000000" w:themeColor="text1"/>
          <w:sz w:val="24"/>
          <w:szCs w:val="24"/>
          <w:lang w:eastAsia="lv-LV"/>
        </w:rPr>
        <w:t xml:space="preserve"> un 2018.gadā 113 400 000 </w:t>
      </w:r>
      <w:r w:rsidRPr="704995BB">
        <w:rPr>
          <w:rFonts w:ascii="Times New Roman" w:eastAsia="Times New Roman" w:hAnsi="Times New Roman" w:cs="Times New Roman"/>
          <w:i/>
          <w:iCs/>
          <w:color w:val="000000" w:themeColor="text1"/>
          <w:sz w:val="24"/>
          <w:szCs w:val="24"/>
          <w:lang w:eastAsia="lv-LV"/>
        </w:rPr>
        <w:t>euro</w:t>
      </w:r>
      <w:r w:rsidRPr="64AB90BD">
        <w:rPr>
          <w:rFonts w:ascii="Times New Roman" w:eastAsia="Times New Roman" w:hAnsi="Times New Roman" w:cs="Times New Roman"/>
          <w:color w:val="000000" w:themeColor="text1"/>
          <w:sz w:val="24"/>
          <w:szCs w:val="24"/>
          <w:lang w:eastAsia="lv-LV"/>
        </w:rPr>
        <w:t xml:space="preserve"> apmērā. Pateicoties papildus finansējumam, sekmīgi tika uzsākts īstenot reformas rindu mazināšanai pie speciālistiem, uz diagnostiskajiem izmeklējumiem, dienas stacionārā un ambulatorajā rehabilitācijā, onkoloģisko saslimšanu diagnostikas un ārstēšanas pieejamības uzlabošanai un valsts kompensējamo medikamentu nodrošinājumam hroniska C hepatīta (turpmāk – VHC) pacientiem F3-F4 aknu bojājuma </w:t>
      </w:r>
      <w:r w:rsidR="52B20BA9" w:rsidRPr="00E93259">
        <w:rPr>
          <w:rFonts w:ascii="Times New Roman" w:eastAsia="Times New Roman" w:hAnsi="Times New Roman" w:cs="Times New Roman"/>
          <w:color w:val="000000" w:themeColor="text1"/>
          <w:sz w:val="24"/>
          <w:szCs w:val="24"/>
          <w:lang w:eastAsia="lv-LV"/>
        </w:rPr>
        <w:t>pakāpes stadijā un F2 stadijā no šī gada otrā pusgada, kā arī tika uzlabota ārstēšanas pieejamība HIV inficētām personām, no 2018.gada 1.oktobra nodrošinot visu HIV inficēto ārstēšanu bez ierobežojumiem. Uzsāktās reformas aprakstītas informatīvajos ziņojumos “Par veselības reformas pasākumu īstenošanu 2017.gadā” (Ministru kabineta 2016.gada 20.decembra sēdes protokola Nr.69 86.§) un “Par veselības reformas pasākumu īstenošanas turpināšanu 2017.gadā” (Ministru kabineta 2017.gada 14.februāra  sēdes protokola Nr.7 45.§), kā arī “Par veselības reformas pasākumu īstenošanu 2018.gadā” (Ministru kabineta 2017.gada 19.decembra sēdes protokola Nr.63 66.§).</w:t>
      </w:r>
    </w:p>
    <w:p w14:paraId="41D93FAB" w14:textId="351B807C" w:rsidR="00201998" w:rsidRPr="00847710" w:rsidRDefault="0071331A" w:rsidP="00201998">
      <w:pPr>
        <w:ind w:firstLine="709"/>
        <w:jc w:val="both"/>
        <w:rPr>
          <w:rFonts w:ascii="Times New Roman" w:eastAsia="Times New Roman" w:hAnsi="Times New Roman" w:cs="Times New Roman"/>
          <w:color w:val="000000" w:themeColor="text1"/>
          <w:sz w:val="24"/>
          <w:szCs w:val="24"/>
          <w:lang w:eastAsia="lv-LV"/>
        </w:rPr>
      </w:pPr>
      <w:r w:rsidRPr="00847710">
        <w:rPr>
          <w:rFonts w:ascii="Times New Roman" w:eastAsia="Times New Roman" w:hAnsi="Times New Roman" w:cs="Times New Roman"/>
          <w:color w:val="000000" w:themeColor="text1"/>
          <w:sz w:val="24"/>
          <w:szCs w:val="24"/>
          <w:lang w:eastAsia="lv-LV"/>
        </w:rPr>
        <w:t>Atbilstoši informatīvajos ziņojumos “Par veselības reformas pasākumu īstenošanu 2017.gadā” un “Par veselības reformas pasākumu īstenošanas turpināšanu 2017.gadā”</w:t>
      </w:r>
      <w:r w:rsidR="00DF082F">
        <w:rPr>
          <w:rFonts w:ascii="Times New Roman" w:eastAsia="Times New Roman" w:hAnsi="Times New Roman" w:cs="Times New Roman"/>
          <w:color w:val="000000" w:themeColor="text1"/>
          <w:sz w:val="24"/>
          <w:szCs w:val="24"/>
          <w:lang w:eastAsia="lv-LV"/>
        </w:rPr>
        <w:t>, kā arī “Par veselības reformas pasākumu īstenošanu 2018.gadā”</w:t>
      </w:r>
      <w:r w:rsidRPr="00847710">
        <w:rPr>
          <w:rFonts w:ascii="Times New Roman" w:eastAsia="Times New Roman" w:hAnsi="Times New Roman" w:cs="Times New Roman"/>
          <w:color w:val="000000" w:themeColor="text1"/>
          <w:sz w:val="24"/>
          <w:szCs w:val="24"/>
          <w:lang w:eastAsia="lv-LV"/>
        </w:rPr>
        <w:t xml:space="preserve"> minētajam, lai uzsāktās reformas sasniegtu mērķi, tās nepieciešams turpināt arī turpmākajos periodos. Līdz ar </w:t>
      </w:r>
      <w:r w:rsidR="003D1B42" w:rsidRPr="00847710">
        <w:rPr>
          <w:rFonts w:ascii="Times New Roman" w:eastAsia="Times New Roman" w:hAnsi="Times New Roman" w:cs="Times New Roman"/>
          <w:color w:val="000000" w:themeColor="text1"/>
          <w:sz w:val="24"/>
          <w:szCs w:val="24"/>
          <w:lang w:eastAsia="lv-LV"/>
        </w:rPr>
        <w:t xml:space="preserve">to </w:t>
      </w:r>
      <w:r w:rsidRPr="00847710">
        <w:rPr>
          <w:rFonts w:ascii="Times New Roman" w:eastAsia="Times New Roman" w:hAnsi="Times New Roman" w:cs="Times New Roman"/>
          <w:color w:val="000000" w:themeColor="text1"/>
          <w:sz w:val="24"/>
          <w:szCs w:val="24"/>
          <w:lang w:eastAsia="lv-LV"/>
        </w:rPr>
        <w:t xml:space="preserve">uzsāktās intervences tiks turpinātas, savukārt to paplašināšanai un jaunu reformu uzsākšanai papildus </w:t>
      </w:r>
      <w:r w:rsidRPr="00847710">
        <w:rPr>
          <w:rFonts w:ascii="Times New Roman" w:eastAsia="Times New Roman" w:hAnsi="Times New Roman" w:cs="Times New Roman"/>
          <w:color w:val="000000" w:themeColor="text1"/>
          <w:sz w:val="24"/>
          <w:szCs w:val="24"/>
          <w:lang w:eastAsia="lv-LV"/>
        </w:rPr>
        <w:lastRenderedPageBreak/>
        <w:t>2017.</w:t>
      </w:r>
      <w:r w:rsidR="00DF082F">
        <w:rPr>
          <w:rFonts w:ascii="Times New Roman" w:eastAsia="Times New Roman" w:hAnsi="Times New Roman" w:cs="Times New Roman"/>
          <w:color w:val="000000" w:themeColor="text1"/>
          <w:sz w:val="24"/>
          <w:szCs w:val="24"/>
          <w:lang w:eastAsia="lv-LV"/>
        </w:rPr>
        <w:t xml:space="preserve"> un 2018.</w:t>
      </w:r>
      <w:r w:rsidRPr="00847710">
        <w:rPr>
          <w:rFonts w:ascii="Times New Roman" w:eastAsia="Times New Roman" w:hAnsi="Times New Roman" w:cs="Times New Roman"/>
          <w:color w:val="000000" w:themeColor="text1"/>
          <w:sz w:val="24"/>
          <w:szCs w:val="24"/>
          <w:lang w:eastAsia="lv-LV"/>
        </w:rPr>
        <w:t>gadā piešķirtajam finansējumam, 201</w:t>
      </w:r>
      <w:r w:rsidR="00DF082F">
        <w:rPr>
          <w:rFonts w:ascii="Times New Roman" w:eastAsia="Times New Roman" w:hAnsi="Times New Roman" w:cs="Times New Roman"/>
          <w:color w:val="000000" w:themeColor="text1"/>
          <w:sz w:val="24"/>
          <w:szCs w:val="24"/>
          <w:lang w:eastAsia="lv-LV"/>
        </w:rPr>
        <w:t>9</w:t>
      </w:r>
      <w:r w:rsidRPr="00847710">
        <w:rPr>
          <w:rFonts w:ascii="Times New Roman" w:eastAsia="Times New Roman" w:hAnsi="Times New Roman" w:cs="Times New Roman"/>
          <w:color w:val="000000" w:themeColor="text1"/>
          <w:sz w:val="24"/>
          <w:szCs w:val="24"/>
          <w:lang w:eastAsia="lv-LV"/>
        </w:rPr>
        <w:t xml:space="preserve">.gadā pieejams finansējums </w:t>
      </w:r>
      <w:r w:rsidR="005937F3">
        <w:rPr>
          <w:rFonts w:ascii="Times New Roman" w:eastAsia="Times New Roman" w:hAnsi="Times New Roman" w:cs="Times New Roman"/>
          <w:color w:val="000000" w:themeColor="text1"/>
          <w:sz w:val="24"/>
          <w:szCs w:val="24"/>
          <w:lang w:eastAsia="lv-LV"/>
        </w:rPr>
        <w:t>1</w:t>
      </w:r>
      <w:r w:rsidR="00D96DBE">
        <w:rPr>
          <w:rFonts w:ascii="Times New Roman" w:eastAsia="Times New Roman" w:hAnsi="Times New Roman" w:cs="Times New Roman"/>
          <w:color w:val="000000" w:themeColor="text1"/>
          <w:sz w:val="24"/>
          <w:szCs w:val="24"/>
          <w:lang w:eastAsia="lv-LV"/>
        </w:rPr>
        <w:t>54</w:t>
      </w:r>
      <w:r w:rsidR="00E834B0">
        <w:rPr>
          <w:rFonts w:ascii="Times New Roman" w:eastAsia="Times New Roman" w:hAnsi="Times New Roman" w:cs="Times New Roman"/>
          <w:color w:val="000000" w:themeColor="text1"/>
          <w:sz w:val="24"/>
          <w:szCs w:val="24"/>
          <w:lang w:eastAsia="lv-LV"/>
        </w:rPr>
        <w:t> </w:t>
      </w:r>
      <w:r w:rsidR="00D80F98">
        <w:rPr>
          <w:rFonts w:ascii="Times New Roman" w:eastAsia="Times New Roman" w:hAnsi="Times New Roman" w:cs="Times New Roman"/>
          <w:color w:val="000000" w:themeColor="text1"/>
          <w:sz w:val="24"/>
          <w:szCs w:val="24"/>
          <w:lang w:eastAsia="lv-LV"/>
        </w:rPr>
        <w:t>205</w:t>
      </w:r>
      <w:r w:rsidR="0055110E">
        <w:rPr>
          <w:rFonts w:ascii="Times New Roman" w:eastAsia="Times New Roman" w:hAnsi="Times New Roman" w:cs="Times New Roman"/>
          <w:color w:val="000000" w:themeColor="text1"/>
          <w:sz w:val="24"/>
          <w:szCs w:val="24"/>
          <w:lang w:eastAsia="lv-LV"/>
        </w:rPr>
        <w:t> </w:t>
      </w:r>
      <w:r w:rsidR="00E834B0">
        <w:rPr>
          <w:rFonts w:ascii="Times New Roman" w:eastAsia="Times New Roman" w:hAnsi="Times New Roman" w:cs="Times New Roman"/>
          <w:color w:val="000000" w:themeColor="text1"/>
          <w:sz w:val="24"/>
          <w:szCs w:val="24"/>
          <w:lang w:eastAsia="lv-LV"/>
        </w:rPr>
        <w:t>000</w:t>
      </w:r>
      <w:r w:rsidR="0055110E">
        <w:rPr>
          <w:rFonts w:ascii="Times New Roman" w:eastAsia="Times New Roman" w:hAnsi="Times New Roman" w:cs="Times New Roman"/>
          <w:color w:val="000000" w:themeColor="text1"/>
          <w:sz w:val="24"/>
          <w:szCs w:val="24"/>
          <w:lang w:eastAsia="lv-LV"/>
        </w:rPr>
        <w:t> </w:t>
      </w:r>
      <w:r w:rsidRPr="57326167">
        <w:rPr>
          <w:rFonts w:ascii="Times New Roman" w:eastAsia="Times New Roman" w:hAnsi="Times New Roman" w:cs="Times New Roman"/>
          <w:i/>
          <w:iCs/>
          <w:color w:val="000000" w:themeColor="text1"/>
          <w:sz w:val="24"/>
          <w:szCs w:val="24"/>
          <w:lang w:eastAsia="lv-LV"/>
        </w:rPr>
        <w:t>euro</w:t>
      </w:r>
      <w:r w:rsidRPr="00847710">
        <w:rPr>
          <w:rFonts w:ascii="Times New Roman" w:eastAsia="Times New Roman" w:hAnsi="Times New Roman" w:cs="Times New Roman"/>
          <w:color w:val="000000" w:themeColor="text1"/>
          <w:sz w:val="24"/>
          <w:szCs w:val="24"/>
          <w:lang w:eastAsia="lv-LV"/>
        </w:rPr>
        <w:t xml:space="preserve"> apmērā, kuru plānots izmantot </w:t>
      </w:r>
      <w:r w:rsidR="002D630D" w:rsidRPr="00847710">
        <w:rPr>
          <w:rFonts w:ascii="Times New Roman" w:eastAsia="Times New Roman" w:hAnsi="Times New Roman" w:cs="Times New Roman"/>
          <w:color w:val="000000" w:themeColor="text1"/>
          <w:sz w:val="24"/>
          <w:szCs w:val="24"/>
          <w:lang w:eastAsia="lv-LV"/>
        </w:rPr>
        <w:t xml:space="preserve">veselības aprūpes </w:t>
      </w:r>
      <w:r w:rsidRPr="00847710">
        <w:rPr>
          <w:rFonts w:ascii="Times New Roman" w:eastAsia="Times New Roman" w:hAnsi="Times New Roman" w:cs="Times New Roman"/>
          <w:color w:val="000000" w:themeColor="text1"/>
          <w:sz w:val="24"/>
          <w:szCs w:val="24"/>
          <w:lang w:eastAsia="lv-LV"/>
        </w:rPr>
        <w:t>reformu īstenošan</w:t>
      </w:r>
      <w:r w:rsidR="002A150E">
        <w:rPr>
          <w:rFonts w:ascii="Times New Roman" w:eastAsia="Times New Roman" w:hAnsi="Times New Roman" w:cs="Times New Roman"/>
          <w:color w:val="000000" w:themeColor="text1"/>
          <w:sz w:val="24"/>
          <w:szCs w:val="24"/>
          <w:lang w:eastAsia="lv-LV"/>
        </w:rPr>
        <w:t>ai</w:t>
      </w:r>
      <w:r w:rsidRPr="00847710">
        <w:rPr>
          <w:rFonts w:ascii="Times New Roman" w:eastAsia="Times New Roman" w:hAnsi="Times New Roman" w:cs="Times New Roman"/>
          <w:color w:val="000000" w:themeColor="text1"/>
          <w:sz w:val="24"/>
          <w:szCs w:val="24"/>
          <w:lang w:eastAsia="lv-LV"/>
        </w:rPr>
        <w:t>:</w:t>
      </w:r>
    </w:p>
    <w:p w14:paraId="466C6ABF" w14:textId="3EA401A2" w:rsidR="00BE1F7C" w:rsidRPr="00847710" w:rsidRDefault="0071331A" w:rsidP="00F2728F">
      <w:pPr>
        <w:pStyle w:val="ListParagraph"/>
        <w:numPr>
          <w:ilvl w:val="0"/>
          <w:numId w:val="3"/>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Veselības aprūpes pakalpojumu pieejamības uzlabošanai </w:t>
      </w:r>
      <w:r w:rsidR="002D630D" w:rsidRPr="00847710">
        <w:rPr>
          <w:rFonts w:ascii="Times New Roman" w:eastAsia="Times New Roman" w:hAnsi="Times New Roman"/>
          <w:sz w:val="24"/>
          <w:szCs w:val="24"/>
          <w:lang w:val="lv-LV" w:eastAsia="lv-LV"/>
        </w:rPr>
        <w:t xml:space="preserve"> un rindu mazināšanai </w:t>
      </w:r>
      <w:r w:rsidRPr="00847710">
        <w:rPr>
          <w:rFonts w:ascii="Times New Roman" w:eastAsia="Times New Roman" w:hAnsi="Times New Roman"/>
          <w:sz w:val="24"/>
          <w:szCs w:val="24"/>
          <w:lang w:val="lv-LV" w:eastAsia="lv-LV"/>
        </w:rPr>
        <w:t xml:space="preserve">(t.sk. turpinot </w:t>
      </w:r>
      <w:r w:rsidRPr="00847710">
        <w:rPr>
          <w:rFonts w:ascii="Times New Roman" w:eastAsia="Times New Roman" w:hAnsi="Times New Roman"/>
          <w:color w:val="000000"/>
          <w:sz w:val="24"/>
          <w:szCs w:val="24"/>
          <w:lang w:val="lv-LV" w:eastAsia="lv-LV"/>
        </w:rPr>
        <w:t>2017.</w:t>
      </w:r>
      <w:r w:rsidR="005937F3">
        <w:rPr>
          <w:rFonts w:ascii="Times New Roman" w:eastAsia="Times New Roman" w:hAnsi="Times New Roman"/>
          <w:color w:val="000000"/>
          <w:sz w:val="24"/>
          <w:szCs w:val="24"/>
          <w:lang w:val="lv-LV" w:eastAsia="lv-LV"/>
        </w:rPr>
        <w:t xml:space="preserve"> un 2018.</w:t>
      </w:r>
      <w:r w:rsidRPr="00847710">
        <w:rPr>
          <w:rFonts w:ascii="Times New Roman" w:eastAsia="Times New Roman" w:hAnsi="Times New Roman"/>
          <w:color w:val="000000"/>
          <w:sz w:val="24"/>
          <w:szCs w:val="24"/>
          <w:lang w:val="lv-LV" w:eastAsia="lv-LV"/>
        </w:rPr>
        <w:t>gadā uzsākto rindu mazināšanu pie speciālistiem, uz diagnostiskajiem izmeklējumiem, dienas stacionārā</w:t>
      </w:r>
      <w:r w:rsidRPr="00847710">
        <w:rPr>
          <w:rFonts w:ascii="Times New Roman" w:eastAsia="Times New Roman" w:hAnsi="Times New Roman"/>
          <w:sz w:val="24"/>
          <w:szCs w:val="24"/>
          <w:lang w:val="lv-LV" w:eastAsia="lv-LV"/>
        </w:rPr>
        <w:t>);</w:t>
      </w:r>
    </w:p>
    <w:p w14:paraId="4848033E" w14:textId="77777777" w:rsidR="009C769D" w:rsidRPr="00847710" w:rsidRDefault="0071331A" w:rsidP="00F2728F">
      <w:pPr>
        <w:pStyle w:val="ListParagraph"/>
        <w:numPr>
          <w:ilvl w:val="0"/>
          <w:numId w:val="3"/>
        </w:numPr>
        <w:jc w:val="both"/>
        <w:rPr>
          <w:rFonts w:ascii="Times New Roman" w:eastAsia="Times New Roman" w:hAnsi="Times New Roman"/>
          <w:sz w:val="24"/>
          <w:szCs w:val="24"/>
          <w:lang w:val="lv-LV" w:eastAsia="lv-LV"/>
        </w:rPr>
      </w:pPr>
      <w:r w:rsidRPr="00847710">
        <w:rPr>
          <w:rFonts w:ascii="Times New Roman" w:eastAsia="Times New Roman" w:hAnsi="Times New Roman"/>
          <w:color w:val="000000"/>
          <w:sz w:val="24"/>
          <w:szCs w:val="24"/>
          <w:lang w:val="lv-LV" w:eastAsia="lv-LV"/>
        </w:rPr>
        <w:t xml:space="preserve">Onkoloģisko saslimšanu diagnostikas un ārstēšanas pieejamības uzlabošanai (t.sk. </w:t>
      </w:r>
      <w:r w:rsidR="002D630D" w:rsidRPr="00847710">
        <w:rPr>
          <w:rFonts w:ascii="Times New Roman" w:eastAsia="Times New Roman" w:hAnsi="Times New Roman"/>
          <w:color w:val="000000"/>
          <w:sz w:val="24"/>
          <w:szCs w:val="24"/>
          <w:lang w:val="lv-LV" w:eastAsia="lv-LV"/>
        </w:rPr>
        <w:t xml:space="preserve">turpinot un paplašinot </w:t>
      </w:r>
      <w:r w:rsidRPr="00847710">
        <w:rPr>
          <w:rFonts w:ascii="Times New Roman" w:eastAsia="Times New Roman" w:hAnsi="Times New Roman"/>
          <w:color w:val="000000"/>
          <w:sz w:val="24"/>
          <w:szCs w:val="24"/>
          <w:lang w:val="lv-LV" w:eastAsia="lv-LV"/>
        </w:rPr>
        <w:t>2017.</w:t>
      </w:r>
      <w:r w:rsidR="00DF082F">
        <w:rPr>
          <w:rFonts w:ascii="Times New Roman" w:eastAsia="Times New Roman" w:hAnsi="Times New Roman"/>
          <w:color w:val="000000"/>
          <w:sz w:val="24"/>
          <w:szCs w:val="24"/>
          <w:lang w:val="lv-LV" w:eastAsia="lv-LV"/>
        </w:rPr>
        <w:t xml:space="preserve"> un 2018.</w:t>
      </w:r>
      <w:r w:rsidRPr="00847710">
        <w:rPr>
          <w:rFonts w:ascii="Times New Roman" w:eastAsia="Times New Roman" w:hAnsi="Times New Roman"/>
          <w:color w:val="000000"/>
          <w:sz w:val="24"/>
          <w:szCs w:val="24"/>
          <w:lang w:val="lv-LV" w:eastAsia="lv-LV"/>
        </w:rPr>
        <w:t>gadā uzsāktās aktivitātes);</w:t>
      </w:r>
    </w:p>
    <w:p w14:paraId="0DB143E8" w14:textId="425E1B23" w:rsidR="009C769D" w:rsidRPr="00847710" w:rsidRDefault="0071331A" w:rsidP="00F2728F">
      <w:pPr>
        <w:pStyle w:val="ListParagraph"/>
        <w:numPr>
          <w:ilvl w:val="0"/>
          <w:numId w:val="3"/>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Infekcijas slimību izplatības mazināšanai (t.sk. turpinot 2017.</w:t>
      </w:r>
      <w:r w:rsidR="00DF082F">
        <w:rPr>
          <w:rFonts w:ascii="Times New Roman" w:eastAsia="Times New Roman" w:hAnsi="Times New Roman"/>
          <w:sz w:val="24"/>
          <w:szCs w:val="24"/>
          <w:lang w:val="lv-LV" w:eastAsia="lv-LV"/>
        </w:rPr>
        <w:t xml:space="preserve"> un 2018.</w:t>
      </w:r>
      <w:r w:rsidRPr="00847710">
        <w:rPr>
          <w:rFonts w:ascii="Times New Roman" w:eastAsia="Times New Roman" w:hAnsi="Times New Roman"/>
          <w:sz w:val="24"/>
          <w:szCs w:val="24"/>
          <w:lang w:val="lv-LV" w:eastAsia="lv-LV"/>
        </w:rPr>
        <w:t>gadā uzsāktās r</w:t>
      </w:r>
      <w:r w:rsidRPr="00847710">
        <w:rPr>
          <w:rFonts w:ascii="Times New Roman" w:eastAsia="Times New Roman" w:hAnsi="Times New Roman"/>
          <w:color w:val="000000"/>
          <w:sz w:val="24"/>
          <w:szCs w:val="24"/>
          <w:lang w:val="lv-LV" w:eastAsia="lv-LV"/>
        </w:rPr>
        <w:t>eformas valsts kompensējamo medikamentu nodrošināju</w:t>
      </w:r>
      <w:r w:rsidR="00D44C7E">
        <w:rPr>
          <w:rFonts w:ascii="Times New Roman" w:eastAsia="Times New Roman" w:hAnsi="Times New Roman"/>
          <w:color w:val="000000"/>
          <w:sz w:val="24"/>
          <w:szCs w:val="24"/>
          <w:lang w:val="lv-LV" w:eastAsia="lv-LV"/>
        </w:rPr>
        <w:t>mam VHC pacientiem</w:t>
      </w:r>
      <w:r w:rsidRPr="00847710">
        <w:rPr>
          <w:rFonts w:ascii="Times New Roman" w:eastAsia="Times New Roman" w:hAnsi="Times New Roman"/>
          <w:color w:val="000000"/>
          <w:sz w:val="24"/>
          <w:szCs w:val="24"/>
          <w:lang w:val="lv-LV" w:eastAsia="lv-LV"/>
        </w:rPr>
        <w:t>);</w:t>
      </w:r>
    </w:p>
    <w:p w14:paraId="6486E1B6" w14:textId="77777777" w:rsidR="009C769D" w:rsidRPr="00847710" w:rsidRDefault="0071331A" w:rsidP="00F2728F">
      <w:pPr>
        <w:pStyle w:val="ListParagraph"/>
        <w:numPr>
          <w:ilvl w:val="0"/>
          <w:numId w:val="3"/>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Primārās veselības aprūpes sistēmas </w:t>
      </w:r>
      <w:r w:rsidR="00B71B67" w:rsidRPr="00847710">
        <w:rPr>
          <w:rFonts w:ascii="Times New Roman" w:eastAsia="Times New Roman" w:hAnsi="Times New Roman"/>
          <w:sz w:val="24"/>
          <w:szCs w:val="24"/>
          <w:lang w:val="lv-LV" w:eastAsia="lv-LV"/>
        </w:rPr>
        <w:t>kvalitātes un pieejamības uzlabošanai;</w:t>
      </w:r>
    </w:p>
    <w:p w14:paraId="258DF96E" w14:textId="77777777" w:rsidR="00DF082F" w:rsidRPr="005937F3" w:rsidRDefault="0071331A" w:rsidP="00F2728F">
      <w:pPr>
        <w:pStyle w:val="ListParagraph"/>
        <w:numPr>
          <w:ilvl w:val="0"/>
          <w:numId w:val="3"/>
        </w:numPr>
        <w:jc w:val="both"/>
        <w:rPr>
          <w:rFonts w:ascii="Times New Roman" w:eastAsia="Times New Roman" w:hAnsi="Times New Roman"/>
          <w:sz w:val="24"/>
          <w:szCs w:val="24"/>
          <w:lang w:val="lv-LV" w:eastAsia="lv-LV"/>
        </w:rPr>
      </w:pPr>
      <w:r w:rsidRPr="005937F3">
        <w:rPr>
          <w:rFonts w:ascii="Times New Roman" w:eastAsia="Times New Roman" w:hAnsi="Times New Roman"/>
          <w:sz w:val="24"/>
          <w:szCs w:val="24"/>
          <w:lang w:val="lv-LV" w:eastAsia="lv-LV"/>
        </w:rPr>
        <w:t>Kardiovaskulārās saslimstības mazināšanai un slimību ārstēšanas</w:t>
      </w:r>
      <w:r w:rsidR="00DF082F" w:rsidRPr="005937F3">
        <w:rPr>
          <w:rFonts w:ascii="Times New Roman" w:eastAsia="Times New Roman" w:hAnsi="Times New Roman"/>
          <w:sz w:val="24"/>
          <w:szCs w:val="24"/>
          <w:lang w:val="lv-LV" w:eastAsia="lv-LV"/>
        </w:rPr>
        <w:t xml:space="preserve"> efektivitātes uzlabošanai;</w:t>
      </w:r>
    </w:p>
    <w:p w14:paraId="52A6C388" w14:textId="77777777" w:rsidR="00DF082F" w:rsidRPr="005937F3" w:rsidRDefault="00DF082F" w:rsidP="00F2728F">
      <w:pPr>
        <w:pStyle w:val="ListParagraph"/>
        <w:numPr>
          <w:ilvl w:val="0"/>
          <w:numId w:val="3"/>
        </w:numPr>
        <w:jc w:val="both"/>
        <w:rPr>
          <w:rFonts w:ascii="Times New Roman" w:eastAsia="Times New Roman" w:hAnsi="Times New Roman"/>
          <w:sz w:val="24"/>
          <w:szCs w:val="24"/>
          <w:lang w:val="lv-LV" w:eastAsia="lv-LV"/>
        </w:rPr>
      </w:pPr>
      <w:r w:rsidRPr="005937F3">
        <w:rPr>
          <w:rFonts w:ascii="Times New Roman" w:eastAsia="Times New Roman" w:hAnsi="Times New Roman"/>
          <w:sz w:val="24"/>
          <w:szCs w:val="24"/>
          <w:lang w:val="lv-LV" w:eastAsia="lv-LV"/>
        </w:rPr>
        <w:t>Ārstniecības iestāžu līmeņu reforma;</w:t>
      </w:r>
    </w:p>
    <w:p w14:paraId="62A818B0" w14:textId="77777777" w:rsidR="00DF082F" w:rsidRPr="005937F3" w:rsidRDefault="00DF082F" w:rsidP="00F2728F">
      <w:pPr>
        <w:pStyle w:val="ListParagraph"/>
        <w:numPr>
          <w:ilvl w:val="0"/>
          <w:numId w:val="3"/>
        </w:numPr>
        <w:jc w:val="both"/>
        <w:rPr>
          <w:rFonts w:ascii="Times New Roman" w:eastAsia="Times New Roman" w:hAnsi="Times New Roman"/>
          <w:sz w:val="24"/>
          <w:szCs w:val="24"/>
          <w:lang w:val="lv-LV" w:eastAsia="lv-LV"/>
        </w:rPr>
      </w:pPr>
      <w:r w:rsidRPr="005937F3">
        <w:rPr>
          <w:rFonts w:ascii="Times New Roman" w:eastAsia="Times New Roman" w:hAnsi="Times New Roman"/>
          <w:sz w:val="24"/>
          <w:szCs w:val="24"/>
          <w:lang w:val="lv-LV" w:eastAsia="lv-LV"/>
        </w:rPr>
        <w:t>Rehabilitācijas pakalpojumu stratēģiskais iepirkums;</w:t>
      </w:r>
    </w:p>
    <w:p w14:paraId="0D5F74B3" w14:textId="3F3FAF27" w:rsidR="0080471B" w:rsidRPr="00D86F74" w:rsidRDefault="00294163" w:rsidP="00F2728F">
      <w:pPr>
        <w:pStyle w:val="ListParagraph"/>
        <w:numPr>
          <w:ilvl w:val="0"/>
          <w:numId w:val="3"/>
        </w:numPr>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w:t>
      </w:r>
      <w:r w:rsidR="005937F3" w:rsidRPr="005937F3">
        <w:rPr>
          <w:rFonts w:ascii="Times New Roman" w:eastAsia="Times New Roman" w:hAnsi="Times New Roman"/>
          <w:sz w:val="24"/>
          <w:szCs w:val="24"/>
          <w:lang w:val="lv-LV" w:eastAsia="lv-LV"/>
        </w:rPr>
        <w:t xml:space="preserve">sihiskās veselības </w:t>
      </w:r>
      <w:r w:rsidR="0026639B">
        <w:rPr>
          <w:rFonts w:ascii="Times New Roman" w:eastAsia="Times New Roman" w:hAnsi="Times New Roman"/>
          <w:sz w:val="24"/>
          <w:szCs w:val="24"/>
          <w:lang w:val="lv-LV" w:eastAsia="lv-LV"/>
        </w:rPr>
        <w:t xml:space="preserve"> aprūpes </w:t>
      </w:r>
      <w:r w:rsidR="00835D76">
        <w:rPr>
          <w:rFonts w:ascii="Times New Roman" w:eastAsia="Times New Roman" w:hAnsi="Times New Roman"/>
          <w:sz w:val="24"/>
          <w:szCs w:val="24"/>
          <w:lang w:val="lv-LV" w:eastAsia="lv-LV"/>
        </w:rPr>
        <w:t>uzlabošana</w:t>
      </w:r>
      <w:r w:rsidR="0080471B">
        <w:rPr>
          <w:rFonts w:ascii="Times New Roman" w:eastAsia="Times New Roman" w:hAnsi="Times New Roman"/>
          <w:sz w:val="24"/>
          <w:szCs w:val="24"/>
          <w:lang w:eastAsia="lv-LV"/>
        </w:rPr>
        <w:t>;</w:t>
      </w:r>
    </w:p>
    <w:p w14:paraId="2FBFCE65" w14:textId="6D73201A" w:rsidR="0060477C" w:rsidRPr="00835D76" w:rsidRDefault="0080471B" w:rsidP="00835D76">
      <w:pPr>
        <w:pStyle w:val="ListParagraph"/>
        <w:numPr>
          <w:ilvl w:val="0"/>
          <w:numId w:val="3"/>
        </w:numPr>
        <w:jc w:val="both"/>
        <w:rPr>
          <w:rFonts w:ascii="Times New Roman" w:eastAsia="Times New Roman" w:hAnsi="Times New Roman"/>
          <w:sz w:val="24"/>
          <w:szCs w:val="24"/>
          <w:lang w:val="lv-LV" w:eastAsia="lv-LV"/>
        </w:rPr>
      </w:pPr>
      <w:r>
        <w:rPr>
          <w:rFonts w:ascii="Times New Roman" w:eastAsia="Times New Roman" w:hAnsi="Times New Roman"/>
          <w:sz w:val="24"/>
          <w:szCs w:val="24"/>
          <w:lang w:eastAsia="lv-LV"/>
        </w:rPr>
        <w:t>Vides</w:t>
      </w:r>
      <w:r w:rsidR="00665076">
        <w:rPr>
          <w:rFonts w:ascii="Times New Roman" w:eastAsia="Times New Roman" w:hAnsi="Times New Roman"/>
          <w:sz w:val="24"/>
          <w:szCs w:val="24"/>
          <w:lang w:eastAsia="lv-LV"/>
        </w:rPr>
        <w:t xml:space="preserve"> uzlabošana</w:t>
      </w:r>
      <w:r>
        <w:rPr>
          <w:rFonts w:ascii="Times New Roman" w:eastAsia="Times New Roman" w:hAnsi="Times New Roman"/>
          <w:sz w:val="24"/>
          <w:szCs w:val="24"/>
          <w:lang w:eastAsia="lv-LV"/>
        </w:rPr>
        <w:t xml:space="preserve"> un infrastruktūras efektivizēšana</w:t>
      </w:r>
      <w:r w:rsidR="005937F3">
        <w:rPr>
          <w:rFonts w:ascii="Times New Roman" w:eastAsia="Times New Roman" w:hAnsi="Times New Roman"/>
          <w:sz w:val="24"/>
          <w:szCs w:val="24"/>
          <w:lang w:eastAsia="lv-LV"/>
        </w:rPr>
        <w:t>.</w:t>
      </w:r>
    </w:p>
    <w:p w14:paraId="2B46C045" w14:textId="2DF8757B" w:rsidR="008A0E37" w:rsidRPr="00C002BE" w:rsidRDefault="0071331A" w:rsidP="00BC2160">
      <w:pPr>
        <w:pStyle w:val="ListParagraph"/>
        <w:spacing w:after="0" w:line="240" w:lineRule="auto"/>
        <w:jc w:val="right"/>
        <w:rPr>
          <w:rFonts w:ascii="Times New Roman" w:eastAsia="Times New Roman" w:hAnsi="Times New Roman"/>
          <w:i/>
          <w:iCs/>
          <w:sz w:val="24"/>
          <w:szCs w:val="24"/>
          <w:lang w:val="lv-LV" w:eastAsia="lv-LV"/>
        </w:rPr>
      </w:pPr>
      <w:r w:rsidRPr="57326167">
        <w:rPr>
          <w:rFonts w:ascii="Times New Roman" w:eastAsia="Times New Roman" w:hAnsi="Times New Roman"/>
          <w:i/>
          <w:iCs/>
          <w:sz w:val="24"/>
          <w:szCs w:val="24"/>
          <w:lang w:val="lv-LV" w:eastAsia="lv-LV"/>
        </w:rPr>
        <w:t>1.tabula</w:t>
      </w:r>
    </w:p>
    <w:p w14:paraId="58879748" w14:textId="5F74CFD9" w:rsidR="008A0E37" w:rsidRPr="00186004" w:rsidRDefault="0071331A" w:rsidP="00186004">
      <w:pPr>
        <w:pStyle w:val="ListParagraph"/>
        <w:spacing w:after="0" w:line="240" w:lineRule="auto"/>
        <w:ind w:left="0"/>
        <w:jc w:val="center"/>
        <w:rPr>
          <w:rFonts w:ascii="Times New Roman" w:eastAsia="Times New Roman" w:hAnsi="Times New Roman"/>
          <w:b/>
          <w:bCs/>
          <w:sz w:val="24"/>
          <w:szCs w:val="24"/>
          <w:lang w:val="lv-LV" w:eastAsia="lv-LV"/>
        </w:rPr>
      </w:pPr>
      <w:r w:rsidRPr="0012317D">
        <w:rPr>
          <w:rFonts w:ascii="Times New Roman" w:eastAsia="Times New Roman" w:hAnsi="Times New Roman"/>
          <w:b/>
          <w:bCs/>
          <w:sz w:val="24"/>
          <w:szCs w:val="24"/>
          <w:lang w:val="lv-LV" w:eastAsia="lv-LV"/>
        </w:rPr>
        <w:t xml:space="preserve">Veselības nozares reformu turpināšanai no Eiropas Komisijas pieļautā budžeta deficīta </w:t>
      </w:r>
      <w:r w:rsidR="00F72764">
        <w:rPr>
          <w:rFonts w:ascii="Times New Roman" w:eastAsia="Times New Roman" w:hAnsi="Times New Roman"/>
          <w:b/>
          <w:bCs/>
          <w:sz w:val="24"/>
          <w:szCs w:val="24"/>
          <w:lang w:val="lv-LV" w:eastAsia="lv-LV"/>
        </w:rPr>
        <w:t xml:space="preserve">atkāpes </w:t>
      </w:r>
      <w:r w:rsidRPr="0012317D">
        <w:rPr>
          <w:rFonts w:ascii="Times New Roman" w:eastAsia="Times New Roman" w:hAnsi="Times New Roman"/>
          <w:b/>
          <w:bCs/>
          <w:sz w:val="24"/>
          <w:szCs w:val="24"/>
          <w:lang w:val="lv-LV" w:eastAsia="lv-LV"/>
        </w:rPr>
        <w:t>papildus piešķirtā finansējuma sadalījums 201</w:t>
      </w:r>
      <w:r w:rsidR="00BC6285">
        <w:rPr>
          <w:rFonts w:ascii="Times New Roman" w:eastAsia="Times New Roman" w:hAnsi="Times New Roman"/>
          <w:b/>
          <w:bCs/>
          <w:sz w:val="24"/>
          <w:szCs w:val="24"/>
          <w:lang w:val="lv-LV" w:eastAsia="lv-LV"/>
        </w:rPr>
        <w:t>9</w:t>
      </w:r>
      <w:r w:rsidRPr="0078437D">
        <w:rPr>
          <w:rFonts w:ascii="Times New Roman" w:eastAsia="Times New Roman" w:hAnsi="Times New Roman"/>
          <w:b/>
          <w:bCs/>
          <w:sz w:val="24"/>
          <w:szCs w:val="24"/>
          <w:lang w:val="lv-LV" w:eastAsia="lv-LV"/>
        </w:rPr>
        <w:t>.gadam</w:t>
      </w:r>
    </w:p>
    <w:tbl>
      <w:tblPr>
        <w:tblW w:w="6224" w:type="dxa"/>
        <w:jc w:val="center"/>
        <w:tblLook w:val="04A0" w:firstRow="1" w:lastRow="0" w:firstColumn="1" w:lastColumn="0" w:noHBand="0" w:noVBand="1"/>
      </w:tblPr>
      <w:tblGrid>
        <w:gridCol w:w="465"/>
        <w:gridCol w:w="3925"/>
        <w:gridCol w:w="1834"/>
      </w:tblGrid>
      <w:tr w:rsidR="00591368" w14:paraId="363904BE"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4C38DAE" w14:textId="77777777"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p w14:paraId="3D1F34F6" w14:textId="77777777"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tc>
        <w:tc>
          <w:tcPr>
            <w:tcW w:w="392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13F98A8" w14:textId="77777777" w:rsidR="00C205F3" w:rsidRPr="00C002BE" w:rsidRDefault="0071331A" w:rsidP="00C002BE">
            <w:pPr>
              <w:spacing w:after="0" w:line="240" w:lineRule="auto"/>
              <w:jc w:val="center"/>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Plānotais pasākums</w:t>
            </w:r>
          </w:p>
        </w:tc>
        <w:tc>
          <w:tcPr>
            <w:tcW w:w="18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FD05653" w14:textId="77777777" w:rsidR="00C205F3" w:rsidRPr="00C002BE" w:rsidRDefault="0071331A" w:rsidP="00C002BE">
            <w:pPr>
              <w:spacing w:after="0" w:line="240" w:lineRule="auto"/>
              <w:jc w:val="center"/>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Finansējums kopā</w:t>
            </w:r>
          </w:p>
          <w:p w14:paraId="668C7A34" w14:textId="77777777"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tc>
      </w:tr>
      <w:tr w:rsidR="00591368" w14:paraId="64784C5E" w14:textId="77777777" w:rsidTr="00C002BE">
        <w:trPr>
          <w:trHeight w:val="315"/>
          <w:jc w:val="center"/>
        </w:trPr>
        <w:tc>
          <w:tcPr>
            <w:tcW w:w="465" w:type="dxa"/>
            <w:tcBorders>
              <w:top w:val="nil"/>
              <w:left w:val="single" w:sz="4" w:space="0" w:color="auto"/>
              <w:bottom w:val="single" w:sz="4" w:space="0" w:color="auto"/>
              <w:right w:val="single" w:sz="4" w:space="0" w:color="auto"/>
            </w:tcBorders>
            <w:shd w:val="clear" w:color="auto" w:fill="FBD4B4" w:themeFill="accent6" w:themeFillTint="66"/>
          </w:tcPr>
          <w:p w14:paraId="4477BD6C" w14:textId="77777777" w:rsidR="00C205F3" w:rsidRPr="00847710" w:rsidRDefault="00C205F3" w:rsidP="00D1321B">
            <w:pPr>
              <w:spacing w:after="0" w:line="240" w:lineRule="auto"/>
              <w:jc w:val="center"/>
              <w:rPr>
                <w:rFonts w:ascii="Times New Roman" w:eastAsia="Times New Roman" w:hAnsi="Times New Roman" w:cs="Times New Roman"/>
                <w:color w:val="000000"/>
                <w:sz w:val="20"/>
                <w:szCs w:val="20"/>
                <w:lang w:eastAsia="lv-LV"/>
              </w:rPr>
            </w:pPr>
          </w:p>
        </w:tc>
        <w:tc>
          <w:tcPr>
            <w:tcW w:w="392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0AAAE41" w14:textId="77777777" w:rsidR="00C205F3" w:rsidRPr="00847710" w:rsidRDefault="00C205F3" w:rsidP="00D1321B">
            <w:pPr>
              <w:spacing w:after="0" w:line="240" w:lineRule="auto"/>
              <w:jc w:val="center"/>
              <w:rPr>
                <w:rFonts w:ascii="Times New Roman" w:eastAsia="Times New Roman" w:hAnsi="Times New Roman" w:cs="Times New Roman"/>
                <w:color w:val="000000"/>
                <w:sz w:val="20"/>
                <w:szCs w:val="20"/>
                <w:lang w:eastAsia="lv-LV"/>
              </w:rPr>
            </w:pPr>
          </w:p>
        </w:tc>
        <w:tc>
          <w:tcPr>
            <w:tcW w:w="1834" w:type="dxa"/>
            <w:tcBorders>
              <w:top w:val="nil"/>
              <w:left w:val="single" w:sz="4" w:space="0" w:color="auto"/>
              <w:bottom w:val="single" w:sz="4" w:space="0" w:color="auto"/>
              <w:right w:val="single" w:sz="4" w:space="0" w:color="auto"/>
            </w:tcBorders>
            <w:shd w:val="clear" w:color="auto" w:fill="FBD4B4" w:themeFill="accent6" w:themeFillTint="66"/>
          </w:tcPr>
          <w:p w14:paraId="6EEBBB2B" w14:textId="77777777" w:rsidR="00C205F3" w:rsidRPr="00C002BE" w:rsidRDefault="0071331A" w:rsidP="57326167">
            <w:pPr>
              <w:spacing w:after="0" w:line="240" w:lineRule="auto"/>
              <w:jc w:val="center"/>
              <w:rPr>
                <w:rFonts w:ascii="Times New Roman" w:eastAsia="Times New Roman" w:hAnsi="Times New Roman" w:cs="Times New Roman"/>
                <w:i/>
                <w:iCs/>
                <w:color w:val="000000" w:themeColor="text1"/>
                <w:sz w:val="24"/>
                <w:szCs w:val="24"/>
                <w:lang w:eastAsia="lv-LV"/>
              </w:rPr>
            </w:pPr>
            <w:r w:rsidRPr="57326167">
              <w:rPr>
                <w:rFonts w:ascii="Times New Roman" w:eastAsia="Times New Roman" w:hAnsi="Times New Roman" w:cs="Times New Roman"/>
                <w:i/>
                <w:iCs/>
                <w:color w:val="000000"/>
                <w:sz w:val="24"/>
                <w:szCs w:val="24"/>
                <w:lang w:eastAsia="lv-LV"/>
              </w:rPr>
              <w:t>(euro)</w:t>
            </w:r>
          </w:p>
        </w:tc>
      </w:tr>
      <w:tr w:rsidR="00591368" w14:paraId="5688F45F" w14:textId="77777777" w:rsidTr="00C002BE">
        <w:trPr>
          <w:trHeight w:val="630"/>
          <w:jc w:val="center"/>
        </w:trPr>
        <w:tc>
          <w:tcPr>
            <w:tcW w:w="465" w:type="dxa"/>
            <w:tcBorders>
              <w:top w:val="nil"/>
              <w:left w:val="single" w:sz="4" w:space="0" w:color="auto"/>
              <w:bottom w:val="single" w:sz="4" w:space="0" w:color="auto"/>
              <w:right w:val="single" w:sz="4" w:space="0" w:color="auto"/>
            </w:tcBorders>
            <w:vAlign w:val="center"/>
          </w:tcPr>
          <w:p w14:paraId="761693C7"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3925" w:type="dxa"/>
            <w:tcBorders>
              <w:top w:val="nil"/>
              <w:left w:val="single" w:sz="4" w:space="0" w:color="auto"/>
              <w:bottom w:val="single" w:sz="4" w:space="0" w:color="auto"/>
              <w:right w:val="single" w:sz="4" w:space="0" w:color="auto"/>
            </w:tcBorders>
            <w:shd w:val="clear" w:color="auto" w:fill="auto"/>
            <w:vAlign w:val="center"/>
            <w:hideMark/>
          </w:tcPr>
          <w:p w14:paraId="5B302D21"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Veselības aprūpes pakalpojumu pieejamības uzlabošana</w:t>
            </w:r>
          </w:p>
        </w:tc>
        <w:tc>
          <w:tcPr>
            <w:tcW w:w="1834" w:type="dxa"/>
            <w:tcBorders>
              <w:top w:val="nil"/>
              <w:left w:val="single" w:sz="4" w:space="0" w:color="auto"/>
              <w:bottom w:val="single" w:sz="4" w:space="0" w:color="auto"/>
              <w:right w:val="single" w:sz="4" w:space="0" w:color="auto"/>
            </w:tcBorders>
            <w:vAlign w:val="center"/>
          </w:tcPr>
          <w:p w14:paraId="6240444C" w14:textId="63E2098D" w:rsidR="00C35158" w:rsidRPr="00847710" w:rsidRDefault="00C50D78" w:rsidP="00C35158">
            <w:pPr>
              <w:spacing w:after="0" w:line="240" w:lineRule="auto"/>
              <w:ind w:firstLineChars="100" w:firstLine="24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57 538 646</w:t>
            </w:r>
          </w:p>
        </w:tc>
      </w:tr>
      <w:tr w:rsidR="00591368" w14:paraId="11A781FB"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5F13B567"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328E8"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Onkoloģisko saslimšanu diagnostikas un ārstēšanas pieejamības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69E502C0" w14:textId="419F8913" w:rsidR="00C205F3" w:rsidRPr="00847710" w:rsidRDefault="001759A6" w:rsidP="00300B72">
            <w:pPr>
              <w:spacing w:after="0" w:line="240" w:lineRule="auto"/>
              <w:ind w:firstLineChars="100" w:firstLine="24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sz w:val="24"/>
                <w:szCs w:val="24"/>
                <w:lang w:eastAsia="lv-LV"/>
              </w:rPr>
              <w:t>29</w:t>
            </w:r>
            <w:r w:rsidR="00C50D78">
              <w:rPr>
                <w:rFonts w:ascii="Times New Roman" w:eastAsia="Times New Roman" w:hAnsi="Times New Roman" w:cs="Times New Roman"/>
                <w:color w:val="000000"/>
                <w:sz w:val="24"/>
                <w:szCs w:val="24"/>
                <w:lang w:eastAsia="lv-LV"/>
              </w:rPr>
              <w:t> 215 914</w:t>
            </w:r>
          </w:p>
        </w:tc>
      </w:tr>
      <w:tr w:rsidR="00591368" w14:paraId="7A05A7DC"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623221D2"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38485280"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Infekcijas slimību izplatības mazināšana</w:t>
            </w:r>
          </w:p>
        </w:tc>
        <w:tc>
          <w:tcPr>
            <w:tcW w:w="1834" w:type="dxa"/>
            <w:tcBorders>
              <w:top w:val="single" w:sz="4" w:space="0" w:color="auto"/>
              <w:left w:val="single" w:sz="4" w:space="0" w:color="auto"/>
              <w:bottom w:val="single" w:sz="4" w:space="0" w:color="auto"/>
              <w:right w:val="single" w:sz="4" w:space="0" w:color="auto"/>
            </w:tcBorders>
            <w:vAlign w:val="center"/>
          </w:tcPr>
          <w:p w14:paraId="4991D0D7" w14:textId="746A0232" w:rsidR="00C205F3" w:rsidRPr="00847710" w:rsidRDefault="001759A6" w:rsidP="00300B72">
            <w:pPr>
              <w:spacing w:after="0" w:line="240" w:lineRule="auto"/>
              <w:ind w:firstLineChars="100" w:firstLine="24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16 484 214</w:t>
            </w:r>
          </w:p>
        </w:tc>
      </w:tr>
      <w:tr w:rsidR="00591368" w14:paraId="643EC34F"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4605A85E"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62190B51"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Primārās veselības aprūpes sistēmas kvalitātes un pieejamības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75D41537" w14:textId="32861676" w:rsidR="00C205F3" w:rsidRPr="00847710" w:rsidRDefault="005937F3" w:rsidP="00300B72">
            <w:pPr>
              <w:spacing w:after="0" w:line="240" w:lineRule="auto"/>
              <w:ind w:firstLineChars="100" w:firstLine="24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E5283F">
              <w:rPr>
                <w:rFonts w:ascii="Times New Roman" w:eastAsia="Times New Roman" w:hAnsi="Times New Roman" w:cs="Times New Roman"/>
                <w:color w:val="000000"/>
                <w:sz w:val="24"/>
                <w:szCs w:val="24"/>
                <w:lang w:eastAsia="lv-LV"/>
              </w:rPr>
              <w:t>5</w:t>
            </w:r>
            <w:r w:rsidR="00C50D78">
              <w:rPr>
                <w:rFonts w:ascii="Times New Roman" w:eastAsia="Times New Roman" w:hAnsi="Times New Roman" w:cs="Times New Roman"/>
                <w:color w:val="000000"/>
                <w:sz w:val="24"/>
                <w:szCs w:val="24"/>
                <w:lang w:eastAsia="lv-LV"/>
              </w:rPr>
              <w:t> 433 208</w:t>
            </w:r>
          </w:p>
        </w:tc>
      </w:tr>
      <w:tr w:rsidR="00591368" w14:paraId="0A67C802"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56D78FEE"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26B97C52"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Kardiovaskulārās saslimstības mazināšana un slimību ārstēšanas efektivitātes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34E32DFB" w14:textId="311C9051" w:rsidR="00C205F3" w:rsidRPr="00847710" w:rsidRDefault="008B2E16" w:rsidP="3AF9296D">
            <w:pPr>
              <w:spacing w:after="0" w:line="240" w:lineRule="auto"/>
              <w:ind w:firstLine="22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themeColor="text1"/>
                <w:sz w:val="24"/>
                <w:szCs w:val="24"/>
                <w:lang w:eastAsia="lv-LV"/>
              </w:rPr>
              <w:t>10 460 87</w:t>
            </w:r>
            <w:r w:rsidR="003459AB">
              <w:rPr>
                <w:rFonts w:ascii="Times New Roman" w:eastAsia="Times New Roman" w:hAnsi="Times New Roman" w:cs="Times New Roman"/>
                <w:color w:val="000000" w:themeColor="text1"/>
                <w:sz w:val="24"/>
                <w:szCs w:val="24"/>
                <w:lang w:eastAsia="lv-LV"/>
              </w:rPr>
              <w:t>3</w:t>
            </w:r>
          </w:p>
        </w:tc>
      </w:tr>
      <w:tr w:rsidR="005937F3" w14:paraId="324D891D"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4A70B5B0" w14:textId="70C45E09" w:rsidR="005937F3" w:rsidRPr="00847710" w:rsidRDefault="002038CC" w:rsidP="00D1321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60F70D48" w14:textId="77777777" w:rsidR="005937F3" w:rsidRPr="00847710" w:rsidRDefault="005937F3" w:rsidP="00D1321B">
            <w:pPr>
              <w:spacing w:after="0" w:line="240" w:lineRule="auto"/>
              <w:rPr>
                <w:rFonts w:ascii="Times New Roman" w:eastAsia="Times New Roman" w:hAnsi="Times New Roman" w:cs="Times New Roman"/>
                <w:sz w:val="24"/>
                <w:szCs w:val="24"/>
                <w:lang w:eastAsia="lv-LV"/>
              </w:rPr>
            </w:pPr>
            <w:r w:rsidRPr="005937F3">
              <w:rPr>
                <w:rFonts w:ascii="Times New Roman" w:eastAsia="Times New Roman" w:hAnsi="Times New Roman"/>
                <w:sz w:val="24"/>
                <w:szCs w:val="24"/>
                <w:lang w:eastAsia="lv-LV"/>
              </w:rPr>
              <w:t>Ārstniecības iestāžu līmeņu reforma</w:t>
            </w:r>
          </w:p>
        </w:tc>
        <w:tc>
          <w:tcPr>
            <w:tcW w:w="1834" w:type="dxa"/>
            <w:tcBorders>
              <w:top w:val="single" w:sz="4" w:space="0" w:color="auto"/>
              <w:left w:val="single" w:sz="4" w:space="0" w:color="auto"/>
              <w:bottom w:val="single" w:sz="4" w:space="0" w:color="auto"/>
              <w:right w:val="single" w:sz="4" w:space="0" w:color="auto"/>
            </w:tcBorders>
            <w:vAlign w:val="center"/>
          </w:tcPr>
          <w:p w14:paraId="00C57607" w14:textId="3B3D007E" w:rsidR="005937F3" w:rsidRPr="00847710" w:rsidRDefault="001759A6" w:rsidP="00300B72">
            <w:pPr>
              <w:spacing w:after="0" w:line="240" w:lineRule="auto"/>
              <w:ind w:firstLineChars="100" w:firstLine="24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6 928 936</w:t>
            </w:r>
          </w:p>
        </w:tc>
      </w:tr>
      <w:tr w:rsidR="005937F3" w14:paraId="0D52AA1D"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6391FB92" w14:textId="75766F07" w:rsidR="005937F3" w:rsidRPr="00847710" w:rsidRDefault="002038CC" w:rsidP="00D1321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726CF3CE" w14:textId="77777777" w:rsidR="005937F3" w:rsidRPr="00847710" w:rsidRDefault="005937F3" w:rsidP="00D1321B">
            <w:pPr>
              <w:spacing w:after="0" w:line="240" w:lineRule="auto"/>
              <w:rPr>
                <w:rFonts w:ascii="Times New Roman" w:eastAsia="Times New Roman" w:hAnsi="Times New Roman" w:cs="Times New Roman"/>
                <w:sz w:val="24"/>
                <w:szCs w:val="24"/>
                <w:lang w:eastAsia="lv-LV"/>
              </w:rPr>
            </w:pPr>
            <w:r w:rsidRPr="005937F3">
              <w:rPr>
                <w:rFonts w:ascii="Times New Roman" w:eastAsia="Times New Roman" w:hAnsi="Times New Roman"/>
                <w:sz w:val="24"/>
                <w:szCs w:val="24"/>
                <w:lang w:eastAsia="lv-LV"/>
              </w:rPr>
              <w:t>Rehabilitācijas pakalpojumu stratēģiskais iepirkums</w:t>
            </w:r>
          </w:p>
        </w:tc>
        <w:tc>
          <w:tcPr>
            <w:tcW w:w="1834" w:type="dxa"/>
            <w:tcBorders>
              <w:top w:val="single" w:sz="4" w:space="0" w:color="auto"/>
              <w:left w:val="single" w:sz="4" w:space="0" w:color="auto"/>
              <w:bottom w:val="single" w:sz="4" w:space="0" w:color="auto"/>
              <w:right w:val="single" w:sz="4" w:space="0" w:color="auto"/>
            </w:tcBorders>
            <w:vAlign w:val="center"/>
          </w:tcPr>
          <w:p w14:paraId="58D20D3C" w14:textId="2E48B4A5" w:rsidR="005937F3" w:rsidRPr="00333EE8" w:rsidRDefault="00CE42DE" w:rsidP="00300B72">
            <w:pPr>
              <w:spacing w:after="0" w:line="240" w:lineRule="auto"/>
              <w:ind w:firstLineChars="100" w:firstLine="2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3 874 7</w:t>
            </w:r>
            <w:r w:rsidR="00F80C9F">
              <w:rPr>
                <w:rFonts w:ascii="Times New Roman" w:eastAsia="Times New Roman" w:hAnsi="Times New Roman" w:cs="Times New Roman"/>
                <w:sz w:val="24"/>
                <w:szCs w:val="24"/>
                <w:lang w:eastAsia="lv-LV"/>
              </w:rPr>
              <w:t>74</w:t>
            </w:r>
          </w:p>
        </w:tc>
      </w:tr>
      <w:tr w:rsidR="005937F3" w14:paraId="5A0D7632"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2E9E6C19" w14:textId="78FB743D" w:rsidR="005937F3" w:rsidRDefault="3AF9296D" w:rsidP="00D1321B">
            <w:pPr>
              <w:spacing w:after="0" w:line="240" w:lineRule="auto"/>
              <w:jc w:val="center"/>
              <w:rPr>
                <w:rFonts w:ascii="Times New Roman" w:eastAsia="Times New Roman" w:hAnsi="Times New Roman" w:cs="Times New Roman"/>
                <w:color w:val="000000" w:themeColor="text1"/>
                <w:sz w:val="24"/>
                <w:szCs w:val="24"/>
                <w:lang w:eastAsia="lv-LV"/>
              </w:rPr>
            </w:pPr>
            <w:r w:rsidRPr="3AF9296D">
              <w:rPr>
                <w:rFonts w:ascii="Times New Roman" w:eastAsia="Times New Roman" w:hAnsi="Times New Roman" w:cs="Times New Roman"/>
                <w:color w:val="000000" w:themeColor="text1"/>
                <w:sz w:val="24"/>
                <w:szCs w:val="24"/>
                <w:lang w:eastAsia="lv-LV"/>
              </w:rPr>
              <w:t>8</w:t>
            </w:r>
            <w:r w:rsidR="005937F3" w:rsidRPr="3AF9296D">
              <w:rPr>
                <w:rFonts w:ascii="Times New Roman" w:eastAsia="Times New Roman" w:hAnsi="Times New Roman" w:cs="Times New Roman"/>
                <w:color w:val="000000" w:themeColor="text1"/>
                <w:sz w:val="24"/>
                <w:szCs w:val="24"/>
                <w:lang w:eastAsia="lv-LV"/>
              </w:rPr>
              <w:t>.</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0EA5CCAF" w14:textId="747361BA" w:rsidR="005937F3" w:rsidRPr="005937F3" w:rsidRDefault="00B2170E" w:rsidP="00D1321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5937F3" w:rsidRPr="005937F3">
              <w:rPr>
                <w:rFonts w:ascii="Times New Roman" w:eastAsia="Times New Roman" w:hAnsi="Times New Roman"/>
                <w:sz w:val="24"/>
                <w:szCs w:val="24"/>
                <w:lang w:eastAsia="lv-LV"/>
              </w:rPr>
              <w:t xml:space="preserve">sihiskās veselības </w:t>
            </w:r>
            <w:r w:rsidR="00D0506B">
              <w:rPr>
                <w:rFonts w:ascii="Times New Roman" w:eastAsia="Times New Roman" w:hAnsi="Times New Roman"/>
                <w:sz w:val="24"/>
                <w:szCs w:val="24"/>
                <w:lang w:eastAsia="lv-LV"/>
              </w:rPr>
              <w:t xml:space="preserve">aprūpes </w:t>
            </w:r>
            <w:r w:rsidR="005937F3" w:rsidRPr="005937F3">
              <w:rPr>
                <w:rFonts w:ascii="Times New Roman" w:eastAsia="Times New Roman" w:hAnsi="Times New Roman"/>
                <w:sz w:val="24"/>
                <w:szCs w:val="24"/>
                <w:lang w:eastAsia="lv-LV"/>
              </w:rPr>
              <w:t>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09AA01A3" w14:textId="753D8962" w:rsidR="005937F3" w:rsidRPr="00333EE8" w:rsidRDefault="00576435" w:rsidP="00300B72">
            <w:pPr>
              <w:spacing w:after="0" w:line="240" w:lineRule="auto"/>
              <w:ind w:firstLineChars="100" w:firstLine="2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C50D78">
              <w:rPr>
                <w:rFonts w:ascii="Times New Roman" w:eastAsia="Times New Roman" w:hAnsi="Times New Roman" w:cs="Times New Roman"/>
                <w:sz w:val="24"/>
                <w:szCs w:val="24"/>
                <w:lang w:eastAsia="lv-LV"/>
              </w:rPr>
              <w:t xml:space="preserve"> 308 </w:t>
            </w:r>
            <w:r w:rsidR="00F0234E">
              <w:rPr>
                <w:rFonts w:ascii="Times New Roman" w:eastAsia="Times New Roman" w:hAnsi="Times New Roman" w:cs="Times New Roman"/>
                <w:sz w:val="24"/>
                <w:szCs w:val="24"/>
                <w:lang w:eastAsia="lv-LV"/>
              </w:rPr>
              <w:t>906</w:t>
            </w:r>
          </w:p>
        </w:tc>
      </w:tr>
      <w:tr w:rsidR="0080471B" w14:paraId="72A0BA26"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50D84DCC" w14:textId="1FE1C0B1" w:rsidR="0080471B" w:rsidRPr="3AF9296D" w:rsidRDefault="0080471B" w:rsidP="00D1321B">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9.</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152D66AD" w14:textId="75A72610" w:rsidR="0080471B" w:rsidRDefault="000156C0" w:rsidP="00D1321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Vides uzlabošana</w:t>
            </w:r>
            <w:r w:rsidR="0080471B">
              <w:rPr>
                <w:rFonts w:ascii="Times New Roman" w:eastAsia="Times New Roman" w:hAnsi="Times New Roman"/>
                <w:sz w:val="24"/>
                <w:szCs w:val="24"/>
                <w:lang w:eastAsia="lv-LV"/>
              </w:rPr>
              <w:t xml:space="preserve"> un infrastrukt</w:t>
            </w:r>
            <w:r>
              <w:rPr>
                <w:rFonts w:ascii="Times New Roman" w:eastAsia="Times New Roman" w:hAnsi="Times New Roman"/>
                <w:sz w:val="24"/>
                <w:szCs w:val="24"/>
                <w:lang w:eastAsia="lv-LV"/>
              </w:rPr>
              <w:t>ūras efektivizēšana</w:t>
            </w:r>
          </w:p>
        </w:tc>
        <w:tc>
          <w:tcPr>
            <w:tcW w:w="1834" w:type="dxa"/>
            <w:tcBorders>
              <w:top w:val="single" w:sz="4" w:space="0" w:color="auto"/>
              <w:left w:val="single" w:sz="4" w:space="0" w:color="auto"/>
              <w:bottom w:val="single" w:sz="4" w:space="0" w:color="auto"/>
              <w:right w:val="single" w:sz="4" w:space="0" w:color="auto"/>
            </w:tcBorders>
            <w:vAlign w:val="center"/>
          </w:tcPr>
          <w:p w14:paraId="09C8ACFA" w14:textId="75AA4DEA" w:rsidR="0080471B" w:rsidRPr="00333EE8" w:rsidRDefault="00C50D78" w:rsidP="00300B72">
            <w:pPr>
              <w:spacing w:after="0" w:line="240" w:lineRule="auto"/>
              <w:ind w:firstLineChars="100" w:firstLine="2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7 959 5</w:t>
            </w:r>
            <w:r w:rsidR="00F0234E">
              <w:rPr>
                <w:rFonts w:ascii="Times New Roman" w:eastAsia="Times New Roman" w:hAnsi="Times New Roman" w:cs="Times New Roman"/>
                <w:sz w:val="24"/>
                <w:szCs w:val="24"/>
                <w:lang w:eastAsia="lv-LV"/>
              </w:rPr>
              <w:t>29</w:t>
            </w:r>
          </w:p>
        </w:tc>
      </w:tr>
      <w:tr w:rsidR="00591368" w14:paraId="22B6024E" w14:textId="77777777" w:rsidTr="00C002BE">
        <w:trPr>
          <w:trHeight w:val="315"/>
          <w:jc w:val="center"/>
        </w:trPr>
        <w:tc>
          <w:tcPr>
            <w:tcW w:w="465" w:type="dxa"/>
            <w:tcBorders>
              <w:top w:val="nil"/>
              <w:left w:val="single" w:sz="4" w:space="0" w:color="auto"/>
              <w:bottom w:val="single" w:sz="4" w:space="0" w:color="auto"/>
              <w:right w:val="single" w:sz="4" w:space="0" w:color="auto"/>
            </w:tcBorders>
            <w:shd w:val="clear" w:color="auto" w:fill="FABF8F" w:themeFill="accent6" w:themeFillTint="99"/>
          </w:tcPr>
          <w:p w14:paraId="517C4DE8" w14:textId="77777777" w:rsidR="00C205F3" w:rsidRPr="00847710" w:rsidRDefault="00C205F3" w:rsidP="00D1321B">
            <w:pPr>
              <w:spacing w:after="0" w:line="240" w:lineRule="auto"/>
              <w:jc w:val="right"/>
              <w:rPr>
                <w:rFonts w:ascii="Times New Roman" w:eastAsia="Times New Roman" w:hAnsi="Times New Roman" w:cs="Times New Roman"/>
                <w:b/>
                <w:bCs/>
                <w:color w:val="000000"/>
                <w:sz w:val="24"/>
                <w:szCs w:val="24"/>
                <w:lang w:eastAsia="lv-LV"/>
              </w:rPr>
            </w:pPr>
          </w:p>
        </w:tc>
        <w:tc>
          <w:tcPr>
            <w:tcW w:w="3925"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8C58CC8" w14:textId="77777777" w:rsidR="00C205F3" w:rsidRPr="00847710" w:rsidRDefault="0071331A" w:rsidP="00D1321B">
            <w:pPr>
              <w:spacing w:after="0" w:line="240" w:lineRule="auto"/>
              <w:jc w:val="right"/>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 xml:space="preserve">Kopā: </w:t>
            </w:r>
          </w:p>
        </w:tc>
        <w:tc>
          <w:tcPr>
            <w:tcW w:w="1834" w:type="dxa"/>
            <w:tcBorders>
              <w:top w:val="nil"/>
              <w:left w:val="single" w:sz="4" w:space="0" w:color="auto"/>
              <w:bottom w:val="single" w:sz="4" w:space="0" w:color="auto"/>
              <w:right w:val="single" w:sz="4" w:space="0" w:color="auto"/>
            </w:tcBorders>
            <w:shd w:val="clear" w:color="auto" w:fill="FABF8F" w:themeFill="accent6" w:themeFillTint="99"/>
            <w:vAlign w:val="center"/>
          </w:tcPr>
          <w:p w14:paraId="3DB6A3C8" w14:textId="11E1BF5F" w:rsidR="00C205F3" w:rsidRPr="00007A5A" w:rsidRDefault="005937F3" w:rsidP="004902B2">
            <w:pPr>
              <w:spacing w:after="0" w:line="240" w:lineRule="auto"/>
              <w:jc w:val="center"/>
              <w:rPr>
                <w:rFonts w:ascii="Times New Roman" w:eastAsia="Times New Roman" w:hAnsi="Times New Roman"/>
                <w:b/>
                <w:bCs/>
                <w:color w:val="000000"/>
                <w:sz w:val="24"/>
                <w:szCs w:val="24"/>
                <w:lang w:eastAsia="lv-LV"/>
              </w:rPr>
            </w:pPr>
            <w:r w:rsidRPr="00007A5A">
              <w:rPr>
                <w:rFonts w:ascii="Times New Roman" w:eastAsia="Times New Roman" w:hAnsi="Times New Roman"/>
                <w:b/>
                <w:bCs/>
                <w:color w:val="000000"/>
                <w:sz w:val="24"/>
                <w:szCs w:val="24"/>
                <w:lang w:eastAsia="lv-LV"/>
              </w:rPr>
              <w:t>1</w:t>
            </w:r>
            <w:r w:rsidR="00874855">
              <w:rPr>
                <w:rFonts w:ascii="Times New Roman" w:eastAsia="Times New Roman" w:hAnsi="Times New Roman"/>
                <w:b/>
                <w:bCs/>
                <w:color w:val="000000"/>
                <w:sz w:val="24"/>
                <w:szCs w:val="24"/>
                <w:lang w:eastAsia="lv-LV"/>
              </w:rPr>
              <w:t>5</w:t>
            </w:r>
            <w:r w:rsidRPr="00007A5A">
              <w:rPr>
                <w:rFonts w:ascii="Times New Roman" w:eastAsia="Times New Roman" w:hAnsi="Times New Roman"/>
                <w:b/>
                <w:bCs/>
                <w:color w:val="000000"/>
                <w:sz w:val="24"/>
                <w:szCs w:val="24"/>
                <w:lang w:eastAsia="lv-LV"/>
              </w:rPr>
              <w:t>4 </w:t>
            </w:r>
            <w:r w:rsidR="00874855">
              <w:rPr>
                <w:rFonts w:ascii="Times New Roman" w:eastAsia="Times New Roman" w:hAnsi="Times New Roman"/>
                <w:b/>
                <w:bCs/>
                <w:color w:val="000000"/>
                <w:sz w:val="24"/>
                <w:szCs w:val="24"/>
                <w:lang w:eastAsia="lv-LV"/>
              </w:rPr>
              <w:t>205</w:t>
            </w:r>
            <w:r w:rsidRPr="00007A5A">
              <w:rPr>
                <w:rFonts w:ascii="Times New Roman" w:eastAsia="Times New Roman" w:hAnsi="Times New Roman"/>
                <w:b/>
                <w:bCs/>
                <w:color w:val="000000"/>
                <w:sz w:val="24"/>
                <w:szCs w:val="24"/>
                <w:lang w:eastAsia="lv-LV"/>
              </w:rPr>
              <w:t> 000</w:t>
            </w:r>
          </w:p>
        </w:tc>
      </w:tr>
    </w:tbl>
    <w:p w14:paraId="3B832B39" w14:textId="77777777" w:rsidR="004B3E85" w:rsidRDefault="004B3E85" w:rsidP="000631DF">
      <w:pPr>
        <w:jc w:val="both"/>
        <w:rPr>
          <w:rFonts w:ascii="Times New Roman" w:hAnsi="Times New Roman" w:cs="Times New Roman"/>
          <w:sz w:val="24"/>
          <w:szCs w:val="24"/>
          <w:lang w:eastAsia="lv-LV"/>
        </w:rPr>
      </w:pPr>
    </w:p>
    <w:p w14:paraId="321E0F16" w14:textId="229F66C1" w:rsidR="007823BB" w:rsidRPr="00847710" w:rsidRDefault="0071331A" w:rsidP="00BD17C7">
      <w:pPr>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Vērtējot reformu veikto pasākumu ietekmi uz konkrētiem veselības nozares rādītājiem, ziņojumā izmantotas Veselības ministrijas galveno speciālistu, profesionālo asociāciju, VSIA</w:t>
      </w:r>
      <w:r w:rsidR="005937F3">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“Paula Stradiņa klīniskā universitātes slimnīca”, SIA “Rīgas </w:t>
      </w:r>
      <w:r w:rsidR="005937F3">
        <w:rPr>
          <w:rFonts w:ascii="Times New Roman" w:hAnsi="Times New Roman" w:cs="Times New Roman"/>
          <w:sz w:val="24"/>
          <w:szCs w:val="24"/>
          <w:lang w:eastAsia="lv-LV"/>
        </w:rPr>
        <w:t>A</w:t>
      </w:r>
      <w:r>
        <w:rPr>
          <w:rFonts w:ascii="Times New Roman" w:hAnsi="Times New Roman" w:cs="Times New Roman"/>
          <w:sz w:val="24"/>
          <w:szCs w:val="24"/>
          <w:lang w:eastAsia="lv-LV"/>
        </w:rPr>
        <w:t>ustrumu klīniskā universitātes slimnīca” speciālistu prognozes. Citu speciālistu prognožu gadījumā ziņojumā iekļauta atsauce.</w:t>
      </w:r>
    </w:p>
    <w:p w14:paraId="46358F9D" w14:textId="56200E79" w:rsidR="000A515E" w:rsidRPr="00C002BE" w:rsidRDefault="0071331A" w:rsidP="00F2728F">
      <w:pPr>
        <w:pStyle w:val="Heading2"/>
        <w:numPr>
          <w:ilvl w:val="0"/>
          <w:numId w:val="6"/>
        </w:numPr>
        <w:spacing w:before="0" w:after="200"/>
        <w:jc w:val="center"/>
        <w:rPr>
          <w:rFonts w:ascii="Times New Roman" w:hAnsi="Times New Roman" w:cs="Times New Roman"/>
          <w:b/>
          <w:bCs/>
          <w:color w:val="auto"/>
          <w:sz w:val="24"/>
          <w:szCs w:val="24"/>
        </w:rPr>
      </w:pPr>
      <w:r w:rsidRPr="0012317D">
        <w:rPr>
          <w:rFonts w:ascii="Times New Roman" w:hAnsi="Times New Roman" w:cs="Times New Roman"/>
          <w:b/>
          <w:bCs/>
          <w:color w:val="auto"/>
          <w:sz w:val="24"/>
          <w:szCs w:val="24"/>
        </w:rPr>
        <w:t>Veselības aprūpes pakalpojumu pieejamības uzlabošanas rezultāti 201</w:t>
      </w:r>
      <w:r w:rsidR="005937F3">
        <w:rPr>
          <w:rFonts w:ascii="Times New Roman" w:hAnsi="Times New Roman" w:cs="Times New Roman"/>
          <w:b/>
          <w:bCs/>
          <w:color w:val="auto"/>
          <w:sz w:val="24"/>
          <w:szCs w:val="24"/>
        </w:rPr>
        <w:t>8</w:t>
      </w:r>
      <w:r w:rsidRPr="0012317D">
        <w:rPr>
          <w:rFonts w:ascii="Times New Roman" w:hAnsi="Times New Roman" w:cs="Times New Roman"/>
          <w:b/>
          <w:bCs/>
          <w:color w:val="auto"/>
          <w:sz w:val="24"/>
          <w:szCs w:val="24"/>
        </w:rPr>
        <w:t>.</w:t>
      </w:r>
      <w:r w:rsidR="005937F3">
        <w:rPr>
          <w:rFonts w:ascii="Times New Roman" w:hAnsi="Times New Roman" w:cs="Times New Roman"/>
          <w:b/>
          <w:bCs/>
          <w:color w:val="auto"/>
          <w:sz w:val="24"/>
          <w:szCs w:val="24"/>
        </w:rPr>
        <w:t>gada 1.pus</w:t>
      </w:r>
      <w:r w:rsidRPr="0012317D">
        <w:rPr>
          <w:rFonts w:ascii="Times New Roman" w:hAnsi="Times New Roman" w:cs="Times New Roman"/>
          <w:b/>
          <w:bCs/>
          <w:color w:val="auto"/>
          <w:sz w:val="24"/>
          <w:szCs w:val="24"/>
        </w:rPr>
        <w:t>gadā un jaunās iniciatīvas 201</w:t>
      </w:r>
      <w:r w:rsidR="005937F3">
        <w:rPr>
          <w:rFonts w:ascii="Times New Roman" w:hAnsi="Times New Roman" w:cs="Times New Roman"/>
          <w:b/>
          <w:bCs/>
          <w:color w:val="auto"/>
          <w:sz w:val="24"/>
          <w:szCs w:val="24"/>
        </w:rPr>
        <w:t>9</w:t>
      </w:r>
      <w:r w:rsidRPr="0012317D">
        <w:rPr>
          <w:rFonts w:ascii="Times New Roman" w:hAnsi="Times New Roman" w:cs="Times New Roman"/>
          <w:b/>
          <w:bCs/>
          <w:color w:val="auto"/>
          <w:sz w:val="24"/>
          <w:szCs w:val="24"/>
        </w:rPr>
        <w:t>.gadā</w:t>
      </w:r>
    </w:p>
    <w:p w14:paraId="0FD364F6" w14:textId="445E4862" w:rsidR="00CB4F41" w:rsidRPr="00C002BE" w:rsidRDefault="0071331A" w:rsidP="00C002BE">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1.1. Reformas rezultāti 201</w:t>
      </w:r>
      <w:r w:rsidR="005937F3">
        <w:rPr>
          <w:rFonts w:ascii="Times New Roman" w:hAnsi="Times New Roman" w:cs="Times New Roman"/>
          <w:b/>
          <w:bCs/>
          <w:color w:val="auto"/>
          <w:sz w:val="24"/>
          <w:szCs w:val="24"/>
          <w:u w:val="single"/>
        </w:rPr>
        <w:t>8</w:t>
      </w:r>
      <w:r w:rsidRPr="0012317D">
        <w:rPr>
          <w:rFonts w:ascii="Times New Roman" w:hAnsi="Times New Roman" w:cs="Times New Roman"/>
          <w:b/>
          <w:bCs/>
          <w:color w:val="auto"/>
          <w:sz w:val="24"/>
          <w:szCs w:val="24"/>
          <w:u w:val="single"/>
        </w:rPr>
        <w:t>.</w:t>
      </w:r>
      <w:r w:rsidR="001D5BCC">
        <w:rPr>
          <w:rFonts w:ascii="Times New Roman" w:hAnsi="Times New Roman" w:cs="Times New Roman"/>
          <w:b/>
          <w:bCs/>
          <w:color w:val="auto"/>
          <w:sz w:val="24"/>
          <w:szCs w:val="24"/>
          <w:u w:val="single"/>
        </w:rPr>
        <w:t xml:space="preserve">gada </w:t>
      </w:r>
      <w:r w:rsidR="005937F3">
        <w:rPr>
          <w:rFonts w:ascii="Times New Roman" w:hAnsi="Times New Roman" w:cs="Times New Roman"/>
          <w:b/>
          <w:bCs/>
          <w:color w:val="auto"/>
          <w:sz w:val="24"/>
          <w:szCs w:val="24"/>
          <w:u w:val="single"/>
        </w:rPr>
        <w:t>1.pusgadā</w:t>
      </w:r>
    </w:p>
    <w:p w14:paraId="3BD4EC90" w14:textId="0A611C36" w:rsidR="003D1B42" w:rsidRPr="00847710" w:rsidRDefault="0071331A" w:rsidP="00FA37E8">
      <w:pPr>
        <w:autoSpaceDE w:val="0"/>
        <w:autoSpaceDN w:val="0"/>
        <w:adjustRightInd w:val="0"/>
        <w:spacing w:after="12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201</w:t>
      </w:r>
      <w:r w:rsidR="00D372CA">
        <w:rPr>
          <w:rFonts w:ascii="Times New Roman" w:hAnsi="Times New Roman" w:cs="Times New Roman"/>
          <w:sz w:val="24"/>
          <w:szCs w:val="24"/>
          <w:lang w:bidi="lo-LA"/>
        </w:rPr>
        <w:t>7</w:t>
      </w:r>
      <w:r w:rsidRPr="00847710">
        <w:rPr>
          <w:rFonts w:ascii="Times New Roman" w:hAnsi="Times New Roman" w:cs="Times New Roman"/>
          <w:sz w:val="24"/>
          <w:szCs w:val="24"/>
          <w:lang w:bidi="lo-LA"/>
        </w:rPr>
        <w:t>.gadā uzsākt</w:t>
      </w:r>
      <w:r w:rsidR="005937F3">
        <w:rPr>
          <w:rFonts w:ascii="Times New Roman" w:hAnsi="Times New Roman" w:cs="Times New Roman"/>
          <w:sz w:val="24"/>
          <w:szCs w:val="24"/>
          <w:lang w:bidi="lo-LA"/>
        </w:rPr>
        <w:t>ā</w:t>
      </w:r>
      <w:r w:rsidRPr="00847710">
        <w:rPr>
          <w:rFonts w:ascii="Times New Roman" w:hAnsi="Times New Roman" w:cs="Times New Roman"/>
          <w:sz w:val="24"/>
          <w:szCs w:val="24"/>
          <w:lang w:bidi="lo-LA"/>
        </w:rPr>
        <w:t>s reformas</w:t>
      </w:r>
      <w:r w:rsidR="00284DE6">
        <w:rPr>
          <w:rFonts w:ascii="Times New Roman" w:hAnsi="Times New Roman" w:cs="Times New Roman"/>
          <w:sz w:val="24"/>
          <w:szCs w:val="24"/>
          <w:lang w:bidi="lo-LA"/>
        </w:rPr>
        <w:t xml:space="preserve"> ti</w:t>
      </w:r>
      <w:r w:rsidR="00FA7054">
        <w:rPr>
          <w:rFonts w:ascii="Times New Roman" w:hAnsi="Times New Roman" w:cs="Times New Roman"/>
          <w:sz w:val="24"/>
          <w:szCs w:val="24"/>
          <w:lang w:bidi="lo-LA"/>
        </w:rPr>
        <w:t>ek</w:t>
      </w:r>
      <w:r w:rsidR="00284DE6">
        <w:rPr>
          <w:rFonts w:ascii="Times New Roman" w:hAnsi="Times New Roman" w:cs="Times New Roman"/>
          <w:sz w:val="24"/>
          <w:szCs w:val="24"/>
          <w:lang w:bidi="lo-LA"/>
        </w:rPr>
        <w:t xml:space="preserve"> turpinātas</w:t>
      </w:r>
      <w:r w:rsidR="00A63168">
        <w:rPr>
          <w:rFonts w:ascii="Times New Roman" w:hAnsi="Times New Roman" w:cs="Times New Roman"/>
          <w:sz w:val="24"/>
          <w:szCs w:val="24"/>
          <w:lang w:bidi="lo-LA"/>
        </w:rPr>
        <w:t xml:space="preserve"> </w:t>
      </w:r>
      <w:r w:rsidR="005937F3">
        <w:rPr>
          <w:rFonts w:ascii="Times New Roman" w:hAnsi="Times New Roman" w:cs="Times New Roman"/>
          <w:sz w:val="24"/>
          <w:szCs w:val="24"/>
          <w:lang w:bidi="lo-LA"/>
        </w:rPr>
        <w:t>201</w:t>
      </w:r>
      <w:r w:rsidR="00A63168">
        <w:rPr>
          <w:rFonts w:ascii="Times New Roman" w:hAnsi="Times New Roman" w:cs="Times New Roman"/>
          <w:sz w:val="24"/>
          <w:szCs w:val="24"/>
          <w:lang w:bidi="lo-LA"/>
        </w:rPr>
        <w:t>8</w:t>
      </w:r>
      <w:r w:rsidR="005937F3">
        <w:rPr>
          <w:rFonts w:ascii="Times New Roman" w:hAnsi="Times New Roman" w:cs="Times New Roman"/>
          <w:sz w:val="24"/>
          <w:szCs w:val="24"/>
          <w:lang w:bidi="lo-LA"/>
        </w:rPr>
        <w:t>.gadā</w:t>
      </w:r>
      <w:r w:rsidRPr="00847710">
        <w:rPr>
          <w:rFonts w:ascii="Times New Roman" w:hAnsi="Times New Roman" w:cs="Times New Roman"/>
          <w:sz w:val="24"/>
          <w:szCs w:val="24"/>
          <w:lang w:bidi="lo-LA"/>
        </w:rPr>
        <w:t xml:space="preserve"> veselības aprūpes pakalpojumu pieejamības uzlabošanai, kas atbilstoši pasākumu izpildei uz 201</w:t>
      </w:r>
      <w:r w:rsidR="005937F3">
        <w:rPr>
          <w:rFonts w:ascii="Times New Roman" w:hAnsi="Times New Roman" w:cs="Times New Roman"/>
          <w:sz w:val="24"/>
          <w:szCs w:val="24"/>
          <w:lang w:bidi="lo-LA"/>
        </w:rPr>
        <w:t>8</w:t>
      </w:r>
      <w:r w:rsidRPr="00847710">
        <w:rPr>
          <w:rFonts w:ascii="Times New Roman" w:hAnsi="Times New Roman" w:cs="Times New Roman"/>
          <w:sz w:val="24"/>
          <w:szCs w:val="24"/>
          <w:lang w:bidi="lo-LA"/>
        </w:rPr>
        <w:t xml:space="preserve">.gada 1.jūliju </w:t>
      </w:r>
      <w:r w:rsidR="00973056">
        <w:rPr>
          <w:rFonts w:ascii="Times New Roman" w:hAnsi="Times New Roman" w:cs="Times New Roman"/>
          <w:sz w:val="24"/>
          <w:szCs w:val="24"/>
          <w:lang w:bidi="lo-LA"/>
        </w:rPr>
        <w:t>tiek turpināt</w:t>
      </w:r>
      <w:r w:rsidR="005937F3">
        <w:rPr>
          <w:rFonts w:ascii="Times New Roman" w:hAnsi="Times New Roman" w:cs="Times New Roman"/>
          <w:sz w:val="24"/>
          <w:szCs w:val="24"/>
          <w:lang w:bidi="lo-LA"/>
        </w:rPr>
        <w:t>s</w:t>
      </w:r>
      <w:r w:rsidR="00973056">
        <w:rPr>
          <w:rFonts w:ascii="Times New Roman" w:hAnsi="Times New Roman" w:cs="Times New Roman"/>
          <w:sz w:val="24"/>
          <w:szCs w:val="24"/>
          <w:lang w:bidi="lo-LA"/>
        </w:rPr>
        <w:t xml:space="preserve"> 2017.gadā iesāktais rindu sama</w:t>
      </w:r>
      <w:r w:rsidR="005937F3">
        <w:rPr>
          <w:rFonts w:ascii="Times New Roman" w:hAnsi="Times New Roman" w:cs="Times New Roman"/>
          <w:sz w:val="24"/>
          <w:szCs w:val="24"/>
          <w:lang w:bidi="lo-LA"/>
        </w:rPr>
        <w:t>z</w:t>
      </w:r>
      <w:r w:rsidR="00973056">
        <w:rPr>
          <w:rFonts w:ascii="Times New Roman" w:hAnsi="Times New Roman" w:cs="Times New Roman"/>
          <w:sz w:val="24"/>
          <w:szCs w:val="24"/>
          <w:lang w:bidi="lo-LA"/>
        </w:rPr>
        <w:t>i</w:t>
      </w:r>
      <w:r w:rsidR="005937F3">
        <w:rPr>
          <w:rFonts w:ascii="Times New Roman" w:hAnsi="Times New Roman" w:cs="Times New Roman"/>
          <w:sz w:val="24"/>
          <w:szCs w:val="24"/>
          <w:lang w:bidi="lo-LA"/>
        </w:rPr>
        <w:t>nājums</w:t>
      </w:r>
      <w:r w:rsidR="00973056">
        <w:rPr>
          <w:rFonts w:ascii="Times New Roman" w:hAnsi="Times New Roman" w:cs="Times New Roman"/>
          <w:sz w:val="24"/>
          <w:szCs w:val="24"/>
          <w:lang w:bidi="lo-LA"/>
        </w:rPr>
        <w:t>, palielinot pieejamību veselības aprūpes pakalpojumiem</w:t>
      </w:r>
      <w:r w:rsidRPr="00847710">
        <w:rPr>
          <w:rFonts w:ascii="Times New Roman" w:hAnsi="Times New Roman" w:cs="Times New Roman"/>
          <w:sz w:val="24"/>
          <w:szCs w:val="24"/>
          <w:lang w:bidi="lo-LA"/>
        </w:rPr>
        <w:t>.</w:t>
      </w:r>
      <w:r w:rsidR="00FF4D3B" w:rsidRPr="00847710">
        <w:rPr>
          <w:rFonts w:ascii="Times New Roman" w:hAnsi="Times New Roman" w:cs="Times New Roman"/>
          <w:sz w:val="24"/>
          <w:szCs w:val="24"/>
          <w:lang w:bidi="lo-LA"/>
        </w:rPr>
        <w:t xml:space="preserve"> </w:t>
      </w:r>
      <w:r w:rsidR="00EC5913" w:rsidRPr="00847710">
        <w:rPr>
          <w:rFonts w:ascii="Times New Roman" w:hAnsi="Times New Roman" w:cs="Times New Roman"/>
          <w:sz w:val="24"/>
          <w:szCs w:val="24"/>
        </w:rPr>
        <w:t xml:space="preserve">Kopā ambulatoro pakalpojumu skaita pieaugums plānots </w:t>
      </w:r>
      <w:r w:rsidR="00F4709A">
        <w:rPr>
          <w:rFonts w:ascii="Times New Roman" w:hAnsi="Times New Roman" w:cs="Times New Roman"/>
          <w:sz w:val="24"/>
          <w:szCs w:val="24"/>
        </w:rPr>
        <w:t>1</w:t>
      </w:r>
      <w:r w:rsidR="001D5BCC">
        <w:rPr>
          <w:rFonts w:ascii="Times New Roman" w:hAnsi="Times New Roman" w:cs="Times New Roman"/>
          <w:sz w:val="24"/>
          <w:szCs w:val="24"/>
        </w:rPr>
        <w:t> </w:t>
      </w:r>
      <w:r w:rsidR="00F4709A">
        <w:rPr>
          <w:rFonts w:ascii="Times New Roman" w:hAnsi="Times New Roman" w:cs="Times New Roman"/>
          <w:sz w:val="24"/>
          <w:szCs w:val="24"/>
        </w:rPr>
        <w:t>111</w:t>
      </w:r>
      <w:r w:rsidR="001D5BCC">
        <w:rPr>
          <w:rFonts w:ascii="Times New Roman" w:hAnsi="Times New Roman" w:cs="Times New Roman"/>
          <w:sz w:val="24"/>
          <w:szCs w:val="24"/>
        </w:rPr>
        <w:t> </w:t>
      </w:r>
      <w:r w:rsidR="00F4709A">
        <w:rPr>
          <w:rFonts w:ascii="Times New Roman" w:hAnsi="Times New Roman" w:cs="Times New Roman"/>
          <w:sz w:val="24"/>
          <w:szCs w:val="24"/>
        </w:rPr>
        <w:t>258</w:t>
      </w:r>
      <w:r w:rsidR="00EC5913" w:rsidRPr="00847710">
        <w:rPr>
          <w:rFonts w:ascii="Times New Roman" w:hAnsi="Times New Roman" w:cs="Times New Roman"/>
          <w:sz w:val="24"/>
          <w:szCs w:val="24"/>
        </w:rPr>
        <w:t xml:space="preserve"> pacientiem, tādējādi nodrošinot pakalpojumu apjoma pieaugumu </w:t>
      </w:r>
      <w:r w:rsidR="009075A3" w:rsidRPr="00E12709">
        <w:rPr>
          <w:rFonts w:ascii="Times New Roman" w:hAnsi="Times New Roman" w:cs="Times New Roman"/>
          <w:sz w:val="24"/>
          <w:szCs w:val="24"/>
        </w:rPr>
        <w:t>1</w:t>
      </w:r>
      <w:r w:rsidR="009D2311" w:rsidRPr="00E12709">
        <w:rPr>
          <w:rFonts w:ascii="Times New Roman" w:hAnsi="Times New Roman" w:cs="Times New Roman"/>
          <w:sz w:val="24"/>
          <w:szCs w:val="24"/>
        </w:rPr>
        <w:t>9</w:t>
      </w:r>
      <w:r w:rsidR="009075A3" w:rsidRPr="00E12709">
        <w:rPr>
          <w:rFonts w:ascii="Times New Roman" w:hAnsi="Times New Roman" w:cs="Times New Roman"/>
          <w:sz w:val="24"/>
          <w:szCs w:val="24"/>
        </w:rPr>
        <w:t>,</w:t>
      </w:r>
      <w:r w:rsidR="009D2311" w:rsidRPr="00E12709">
        <w:rPr>
          <w:rFonts w:ascii="Times New Roman" w:hAnsi="Times New Roman" w:cs="Times New Roman"/>
          <w:sz w:val="24"/>
          <w:szCs w:val="24"/>
        </w:rPr>
        <w:t>0</w:t>
      </w:r>
      <w:r w:rsidR="009075A3" w:rsidRPr="00E12709">
        <w:rPr>
          <w:rFonts w:ascii="Times New Roman" w:hAnsi="Times New Roman" w:cs="Times New Roman"/>
          <w:sz w:val="24"/>
          <w:szCs w:val="24"/>
        </w:rPr>
        <w:t>3</w:t>
      </w:r>
      <w:r w:rsidR="00EC5913" w:rsidRPr="00E12709">
        <w:rPr>
          <w:rFonts w:ascii="Times New Roman" w:hAnsi="Times New Roman" w:cs="Times New Roman"/>
          <w:sz w:val="24"/>
          <w:szCs w:val="24"/>
        </w:rPr>
        <w:t>%</w:t>
      </w:r>
      <w:r w:rsidR="00EC5913" w:rsidRPr="00847710">
        <w:rPr>
          <w:rFonts w:ascii="Times New Roman" w:hAnsi="Times New Roman" w:cs="Times New Roman"/>
          <w:sz w:val="24"/>
          <w:szCs w:val="24"/>
        </w:rPr>
        <w:t xml:space="preserve"> apmērā, kas veido </w:t>
      </w:r>
      <w:r w:rsidR="009075A3" w:rsidRPr="001F35D2">
        <w:rPr>
          <w:rFonts w:ascii="Times New Roman" w:hAnsi="Times New Roman" w:cs="Times New Roman"/>
          <w:sz w:val="24"/>
          <w:szCs w:val="24"/>
        </w:rPr>
        <w:t>4</w:t>
      </w:r>
      <w:r w:rsidR="007A0F5A" w:rsidRPr="00E12709">
        <w:rPr>
          <w:rFonts w:ascii="Times New Roman" w:hAnsi="Times New Roman" w:cs="Times New Roman"/>
          <w:sz w:val="24"/>
          <w:szCs w:val="24"/>
        </w:rPr>
        <w:t>0</w:t>
      </w:r>
      <w:r w:rsidR="00EC5913" w:rsidRPr="00E12709">
        <w:rPr>
          <w:rFonts w:ascii="Times New Roman" w:hAnsi="Times New Roman" w:cs="Times New Roman"/>
          <w:sz w:val="24"/>
          <w:szCs w:val="24"/>
        </w:rPr>
        <w:t>%</w:t>
      </w:r>
      <w:r w:rsidR="00EC5913" w:rsidRPr="00847710">
        <w:rPr>
          <w:rFonts w:ascii="Times New Roman" w:hAnsi="Times New Roman" w:cs="Times New Roman"/>
          <w:sz w:val="24"/>
          <w:szCs w:val="24"/>
        </w:rPr>
        <w:t xml:space="preserve"> rindas samazinājumu. </w:t>
      </w:r>
      <w:r w:rsidR="00FF4D3B" w:rsidRPr="00847710">
        <w:rPr>
          <w:rFonts w:ascii="Times New Roman" w:hAnsi="Times New Roman" w:cs="Times New Roman"/>
          <w:sz w:val="24"/>
          <w:szCs w:val="24"/>
          <w:lang w:bidi="lo-LA"/>
        </w:rPr>
        <w:t>A</w:t>
      </w:r>
      <w:r w:rsidRPr="00847710">
        <w:rPr>
          <w:rFonts w:ascii="Times New Roman" w:hAnsi="Times New Roman" w:cs="Times New Roman"/>
          <w:sz w:val="24"/>
          <w:szCs w:val="24"/>
          <w:lang w:bidi="lo-LA"/>
        </w:rPr>
        <w:t xml:space="preserve">r papildus </w:t>
      </w:r>
      <w:r w:rsidR="00FF4D3B" w:rsidRPr="00847710">
        <w:rPr>
          <w:rFonts w:ascii="Times New Roman" w:hAnsi="Times New Roman" w:cs="Times New Roman"/>
          <w:sz w:val="24"/>
          <w:szCs w:val="24"/>
          <w:lang w:bidi="lo-LA"/>
        </w:rPr>
        <w:t>201</w:t>
      </w:r>
      <w:r w:rsidR="005937F3">
        <w:rPr>
          <w:rFonts w:ascii="Times New Roman" w:hAnsi="Times New Roman" w:cs="Times New Roman"/>
          <w:sz w:val="24"/>
          <w:szCs w:val="24"/>
          <w:lang w:bidi="lo-LA"/>
        </w:rPr>
        <w:t>8</w:t>
      </w:r>
      <w:r w:rsidR="00FF4D3B" w:rsidRPr="00847710">
        <w:rPr>
          <w:rFonts w:ascii="Times New Roman" w:hAnsi="Times New Roman" w:cs="Times New Roman"/>
          <w:sz w:val="24"/>
          <w:szCs w:val="24"/>
          <w:lang w:bidi="lo-LA"/>
        </w:rPr>
        <w:t xml:space="preserve">.gadā </w:t>
      </w:r>
      <w:r w:rsidRPr="00847710">
        <w:rPr>
          <w:rFonts w:ascii="Times New Roman" w:hAnsi="Times New Roman" w:cs="Times New Roman"/>
          <w:sz w:val="24"/>
          <w:szCs w:val="24"/>
          <w:lang w:bidi="lo-LA"/>
        </w:rPr>
        <w:t xml:space="preserve">piešķirto finansējumu </w:t>
      </w:r>
      <w:r w:rsidR="00A63168">
        <w:rPr>
          <w:rFonts w:ascii="Times New Roman" w:hAnsi="Times New Roman" w:cs="Times New Roman"/>
          <w:sz w:val="24"/>
          <w:szCs w:val="24"/>
          <w:lang w:bidi="lo-LA"/>
        </w:rPr>
        <w:t>28</w:t>
      </w:r>
      <w:r w:rsidR="001D5BCC">
        <w:rPr>
          <w:rFonts w:ascii="Times New Roman" w:hAnsi="Times New Roman" w:cs="Times New Roman"/>
          <w:sz w:val="24"/>
          <w:szCs w:val="24"/>
          <w:lang w:bidi="lo-LA"/>
        </w:rPr>
        <w:t> </w:t>
      </w:r>
      <w:r w:rsidR="00A63168">
        <w:rPr>
          <w:rFonts w:ascii="Times New Roman" w:hAnsi="Times New Roman" w:cs="Times New Roman"/>
          <w:sz w:val="24"/>
          <w:szCs w:val="24"/>
          <w:lang w:bidi="lo-LA"/>
        </w:rPr>
        <w:t>050</w:t>
      </w:r>
      <w:r w:rsidR="001D5BCC">
        <w:rPr>
          <w:rFonts w:ascii="Times New Roman" w:hAnsi="Times New Roman" w:cs="Times New Roman"/>
          <w:sz w:val="24"/>
          <w:szCs w:val="24"/>
          <w:lang w:bidi="lo-LA"/>
        </w:rPr>
        <w:t> </w:t>
      </w:r>
      <w:r w:rsidR="00A63168">
        <w:rPr>
          <w:rFonts w:ascii="Times New Roman" w:hAnsi="Times New Roman" w:cs="Times New Roman"/>
          <w:sz w:val="24"/>
          <w:szCs w:val="24"/>
          <w:lang w:bidi="lo-LA"/>
        </w:rPr>
        <w:t>016</w:t>
      </w:r>
      <w:r w:rsidRPr="00847710">
        <w:rPr>
          <w:rFonts w:ascii="Times New Roman" w:hAnsi="Times New Roman" w:cs="Times New Roman"/>
          <w:sz w:val="24"/>
          <w:szCs w:val="24"/>
          <w:lang w:bidi="lo-LA"/>
        </w:rPr>
        <w:t xml:space="preserve"> </w:t>
      </w:r>
      <w:r w:rsidRPr="008079F4">
        <w:rPr>
          <w:rFonts w:ascii="Times New Roman" w:hAnsi="Times New Roman" w:cs="Times New Roman"/>
          <w:i/>
          <w:sz w:val="24"/>
          <w:szCs w:val="24"/>
          <w:lang w:bidi="lo-LA"/>
        </w:rPr>
        <w:t>euro</w:t>
      </w:r>
      <w:r w:rsidRPr="00847710">
        <w:rPr>
          <w:rFonts w:ascii="Times New Roman" w:hAnsi="Times New Roman" w:cs="Times New Roman"/>
          <w:sz w:val="24"/>
          <w:szCs w:val="24"/>
          <w:lang w:bidi="lo-LA"/>
        </w:rPr>
        <w:t xml:space="preserve"> apmērā, ti</w:t>
      </w:r>
      <w:r w:rsidR="00467BA5" w:rsidRPr="00847710">
        <w:rPr>
          <w:rFonts w:ascii="Times New Roman" w:hAnsi="Times New Roman" w:cs="Times New Roman"/>
          <w:sz w:val="24"/>
          <w:szCs w:val="24"/>
          <w:lang w:bidi="lo-LA"/>
        </w:rPr>
        <w:t>ek</w:t>
      </w:r>
      <w:r w:rsidRPr="00847710">
        <w:rPr>
          <w:rFonts w:ascii="Times New Roman" w:hAnsi="Times New Roman" w:cs="Times New Roman"/>
          <w:sz w:val="24"/>
          <w:szCs w:val="24"/>
          <w:lang w:bidi="lo-LA"/>
        </w:rPr>
        <w:t xml:space="preserve"> nodrošinātas:</w:t>
      </w:r>
    </w:p>
    <w:p w14:paraId="728416D1" w14:textId="7A6820F2" w:rsidR="003D1B42"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papildus </w:t>
      </w:r>
      <w:r w:rsidR="007A0F5A">
        <w:rPr>
          <w:rFonts w:ascii="Times New Roman" w:hAnsi="Times New Roman"/>
          <w:sz w:val="24"/>
          <w:szCs w:val="24"/>
          <w:lang w:val="lv-LV"/>
        </w:rPr>
        <w:t>378 911</w:t>
      </w:r>
      <w:r w:rsidR="00106926" w:rsidRPr="00847710">
        <w:rPr>
          <w:rFonts w:ascii="Times New Roman" w:hAnsi="Times New Roman"/>
          <w:sz w:val="24"/>
          <w:szCs w:val="24"/>
          <w:lang w:val="lv-LV"/>
        </w:rPr>
        <w:t xml:space="preserve"> speciālistu konsultācijas;</w:t>
      </w:r>
    </w:p>
    <w:p w14:paraId="506C4D35" w14:textId="07C4D762" w:rsidR="003D1B42"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papildus </w:t>
      </w:r>
      <w:r w:rsidR="007A0F5A">
        <w:rPr>
          <w:rFonts w:ascii="Times New Roman" w:hAnsi="Times New Roman"/>
          <w:sz w:val="24"/>
          <w:szCs w:val="24"/>
          <w:lang w:val="lv-LV"/>
        </w:rPr>
        <w:t>535 232</w:t>
      </w:r>
      <w:r w:rsidRPr="00847710">
        <w:rPr>
          <w:rFonts w:ascii="Times New Roman" w:hAnsi="Times New Roman"/>
          <w:sz w:val="24"/>
          <w:szCs w:val="24"/>
          <w:lang w:val="lv-LV"/>
        </w:rPr>
        <w:t xml:space="preserve"> ambulatorie izmeklējumi</w:t>
      </w:r>
      <w:r w:rsidR="00106926" w:rsidRPr="00847710">
        <w:rPr>
          <w:rFonts w:ascii="Times New Roman" w:hAnsi="Times New Roman"/>
          <w:sz w:val="24"/>
          <w:szCs w:val="24"/>
          <w:lang w:val="lv-LV"/>
        </w:rPr>
        <w:t>;</w:t>
      </w:r>
      <w:r w:rsidRPr="00847710">
        <w:rPr>
          <w:rFonts w:ascii="Times New Roman" w:hAnsi="Times New Roman"/>
          <w:sz w:val="24"/>
          <w:szCs w:val="24"/>
          <w:lang w:val="lv-LV"/>
        </w:rPr>
        <w:t xml:space="preserve"> </w:t>
      </w:r>
    </w:p>
    <w:p w14:paraId="65DAB8B4" w14:textId="25877AA2" w:rsidR="003D1B42"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papildus </w:t>
      </w:r>
      <w:r w:rsidR="007A0F5A">
        <w:rPr>
          <w:rFonts w:ascii="Times New Roman" w:hAnsi="Times New Roman"/>
          <w:sz w:val="24"/>
          <w:szCs w:val="24"/>
          <w:lang w:val="lv-LV"/>
        </w:rPr>
        <w:t>97 561</w:t>
      </w:r>
      <w:r w:rsidRPr="00847710">
        <w:rPr>
          <w:rFonts w:ascii="Times New Roman" w:hAnsi="Times New Roman"/>
          <w:sz w:val="24"/>
          <w:szCs w:val="24"/>
          <w:lang w:val="lv-LV"/>
        </w:rPr>
        <w:t xml:space="preserve"> dienas stacionāra pakalpojumi</w:t>
      </w:r>
      <w:r w:rsidR="00106926" w:rsidRPr="00847710">
        <w:rPr>
          <w:rFonts w:ascii="Times New Roman" w:hAnsi="Times New Roman"/>
          <w:sz w:val="24"/>
          <w:szCs w:val="24"/>
          <w:lang w:val="lv-LV"/>
        </w:rPr>
        <w:t>;</w:t>
      </w:r>
    </w:p>
    <w:p w14:paraId="12ECB20D" w14:textId="59785CE3" w:rsidR="003D1B42"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papildus </w:t>
      </w:r>
      <w:r w:rsidR="007A0F5A">
        <w:rPr>
          <w:rFonts w:ascii="Times New Roman" w:hAnsi="Times New Roman"/>
          <w:sz w:val="24"/>
          <w:szCs w:val="24"/>
          <w:lang w:val="lv-LV"/>
        </w:rPr>
        <w:t>99 554</w:t>
      </w:r>
      <w:r w:rsidRPr="00847710">
        <w:rPr>
          <w:rFonts w:ascii="Times New Roman" w:hAnsi="Times New Roman"/>
          <w:sz w:val="24"/>
          <w:szCs w:val="24"/>
          <w:lang w:val="lv-LV"/>
        </w:rPr>
        <w:t xml:space="preserve"> ambulatorās reh</w:t>
      </w:r>
      <w:r w:rsidR="00106926" w:rsidRPr="00847710">
        <w:rPr>
          <w:rFonts w:ascii="Times New Roman" w:hAnsi="Times New Roman"/>
          <w:sz w:val="24"/>
          <w:szCs w:val="24"/>
          <w:lang w:val="lv-LV"/>
        </w:rPr>
        <w:t>abilitācijas pakalpojumi;</w:t>
      </w:r>
    </w:p>
    <w:p w14:paraId="1D775C57" w14:textId="7990479A" w:rsidR="00EC5913" w:rsidRPr="00847710" w:rsidRDefault="0071331A" w:rsidP="003D1B42">
      <w:pPr>
        <w:autoSpaceDE w:val="0"/>
        <w:autoSpaceDN w:val="0"/>
        <w:adjustRightInd w:val="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Atbilstoši 201</w:t>
      </w:r>
      <w:r w:rsidR="00A63168">
        <w:rPr>
          <w:rFonts w:ascii="Times New Roman" w:hAnsi="Times New Roman" w:cs="Times New Roman"/>
          <w:sz w:val="24"/>
          <w:szCs w:val="24"/>
          <w:lang w:bidi="lo-LA"/>
        </w:rPr>
        <w:t>8</w:t>
      </w:r>
      <w:r w:rsidRPr="00847710">
        <w:rPr>
          <w:rFonts w:ascii="Times New Roman" w:hAnsi="Times New Roman" w:cs="Times New Roman"/>
          <w:sz w:val="24"/>
          <w:szCs w:val="24"/>
          <w:lang w:bidi="lo-LA"/>
        </w:rPr>
        <w:t>.gada 1.pusgada faktiskajai izpildei:</w:t>
      </w:r>
    </w:p>
    <w:p w14:paraId="071E3141" w14:textId="51F65034" w:rsidR="00EC5913"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speciālistu konsultāciju pieaugums īstenots </w:t>
      </w:r>
      <w:r w:rsidR="00A63168">
        <w:rPr>
          <w:rFonts w:ascii="Times New Roman" w:hAnsi="Times New Roman"/>
          <w:sz w:val="24"/>
          <w:szCs w:val="24"/>
          <w:lang w:val="lv-LV"/>
        </w:rPr>
        <w:t>40,62</w:t>
      </w:r>
      <w:r w:rsidRPr="00847710">
        <w:rPr>
          <w:rFonts w:ascii="Times New Roman" w:hAnsi="Times New Roman"/>
          <w:sz w:val="24"/>
          <w:szCs w:val="24"/>
          <w:lang w:val="lv-LV"/>
        </w:rPr>
        <w:t xml:space="preserve">% apmērā no gada plānotā konsultāciju pieauguma apjoma, vidēji samazinot rindu garumu uz speciālistu pakalpojumiem par </w:t>
      </w:r>
      <w:r w:rsidR="00A63168">
        <w:rPr>
          <w:rFonts w:ascii="Times New Roman" w:hAnsi="Times New Roman"/>
          <w:sz w:val="24"/>
          <w:szCs w:val="24"/>
          <w:lang w:val="lv-LV"/>
        </w:rPr>
        <w:t>15,75</w:t>
      </w:r>
      <w:r w:rsidRPr="00847710">
        <w:rPr>
          <w:rFonts w:ascii="Times New Roman" w:hAnsi="Times New Roman"/>
          <w:sz w:val="24"/>
          <w:szCs w:val="24"/>
          <w:lang w:val="lv-LV"/>
        </w:rPr>
        <w:t>%;</w:t>
      </w:r>
    </w:p>
    <w:p w14:paraId="2C542E35" w14:textId="64E2A233" w:rsidR="00283CAE"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ambulatoro izmeklējumu un terapijas pieaugums īstenots 5</w:t>
      </w:r>
      <w:r w:rsidR="00A63168">
        <w:rPr>
          <w:rFonts w:ascii="Times New Roman" w:hAnsi="Times New Roman"/>
          <w:sz w:val="24"/>
          <w:szCs w:val="24"/>
          <w:lang w:val="lv-LV"/>
        </w:rPr>
        <w:t>2,09</w:t>
      </w:r>
      <w:r w:rsidRPr="00847710">
        <w:rPr>
          <w:rFonts w:ascii="Times New Roman" w:hAnsi="Times New Roman"/>
          <w:sz w:val="24"/>
          <w:szCs w:val="24"/>
          <w:lang w:val="lv-LV"/>
        </w:rPr>
        <w:t xml:space="preserve">% apmērā no gada plānotā izmeklējumu un terapijas pieauguma apjoma, vidēji samazinot rindu garumu uz speciālistu pakalpojumiem par </w:t>
      </w:r>
      <w:r w:rsidR="00A63168">
        <w:rPr>
          <w:rFonts w:ascii="Times New Roman" w:hAnsi="Times New Roman"/>
          <w:sz w:val="24"/>
          <w:szCs w:val="24"/>
          <w:lang w:val="lv-LV"/>
        </w:rPr>
        <w:t>8,81</w:t>
      </w:r>
      <w:r w:rsidRPr="00847710">
        <w:rPr>
          <w:rFonts w:ascii="Times New Roman" w:hAnsi="Times New Roman"/>
          <w:sz w:val="24"/>
          <w:szCs w:val="24"/>
          <w:lang w:val="lv-LV"/>
        </w:rPr>
        <w:t>%;</w:t>
      </w:r>
    </w:p>
    <w:p w14:paraId="347D6572" w14:textId="647DC0C8" w:rsidR="00EC5913"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valsts apmaksāto pakalpojumu apjoms dienas stacionārā īstenots </w:t>
      </w:r>
      <w:r w:rsidR="00A63168">
        <w:rPr>
          <w:rFonts w:ascii="Times New Roman" w:hAnsi="Times New Roman"/>
          <w:sz w:val="24"/>
          <w:szCs w:val="24"/>
          <w:lang w:val="lv-LV"/>
        </w:rPr>
        <w:t>32,83</w:t>
      </w:r>
      <w:r w:rsidRPr="00847710">
        <w:rPr>
          <w:rFonts w:ascii="Times New Roman" w:hAnsi="Times New Roman"/>
          <w:sz w:val="24"/>
          <w:szCs w:val="24"/>
          <w:lang w:val="lv-LV"/>
        </w:rPr>
        <w:t xml:space="preserve"> % apmērā no gada plānotā dienas stacionāra pieauguma apjoma, vidēji samazinot rindu garumu uz dienas stacionāra pakalpojumiem par </w:t>
      </w:r>
      <w:r w:rsidR="00A63168">
        <w:rPr>
          <w:rFonts w:ascii="Times New Roman" w:hAnsi="Times New Roman"/>
          <w:sz w:val="24"/>
          <w:szCs w:val="24"/>
          <w:lang w:val="lv-LV"/>
        </w:rPr>
        <w:t>63,51</w:t>
      </w:r>
      <w:r w:rsidRPr="00847710">
        <w:rPr>
          <w:rFonts w:ascii="Times New Roman" w:hAnsi="Times New Roman"/>
          <w:sz w:val="24"/>
          <w:szCs w:val="24"/>
          <w:lang w:val="lv-LV"/>
        </w:rPr>
        <w:t>%;</w:t>
      </w:r>
    </w:p>
    <w:p w14:paraId="49A9971D" w14:textId="45A68593" w:rsidR="00EC5913"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ambulatorās rehabilitācijas  pieaugums īstenots </w:t>
      </w:r>
      <w:r w:rsidR="00A63168">
        <w:rPr>
          <w:rFonts w:ascii="Times New Roman" w:hAnsi="Times New Roman"/>
          <w:sz w:val="24"/>
          <w:szCs w:val="24"/>
          <w:lang w:val="lv-LV"/>
        </w:rPr>
        <w:t>39,39</w:t>
      </w:r>
      <w:r w:rsidRPr="00847710">
        <w:rPr>
          <w:rFonts w:ascii="Times New Roman" w:hAnsi="Times New Roman"/>
          <w:sz w:val="24"/>
          <w:szCs w:val="24"/>
          <w:lang w:val="lv-LV"/>
        </w:rPr>
        <w:t xml:space="preserve">% apmērā no gada plānotā pieauguma apjoma rehabilitācijā, vidēji samazinot rindu garumu uz speciālistu pakalpojumiem par </w:t>
      </w:r>
      <w:r w:rsidR="00A63168">
        <w:rPr>
          <w:rFonts w:ascii="Times New Roman" w:hAnsi="Times New Roman"/>
          <w:sz w:val="24"/>
          <w:szCs w:val="24"/>
          <w:lang w:val="lv-LV"/>
        </w:rPr>
        <w:t>41,06</w:t>
      </w:r>
      <w:r w:rsidRPr="00847710">
        <w:rPr>
          <w:rFonts w:ascii="Times New Roman" w:hAnsi="Times New Roman"/>
          <w:sz w:val="24"/>
          <w:szCs w:val="24"/>
          <w:lang w:val="lv-LV"/>
        </w:rPr>
        <w:t>%.</w:t>
      </w:r>
    </w:p>
    <w:tbl>
      <w:tblPr>
        <w:tblStyle w:val="TableGrid"/>
        <w:tblW w:w="0" w:type="auto"/>
        <w:tblLook w:val="04A0" w:firstRow="1" w:lastRow="0" w:firstColumn="1" w:lastColumn="0" w:noHBand="0" w:noVBand="1"/>
      </w:tblPr>
      <w:tblGrid>
        <w:gridCol w:w="9089"/>
      </w:tblGrid>
      <w:tr w:rsidR="00591368" w14:paraId="2F43E640" w14:textId="77777777" w:rsidTr="57326167">
        <w:tc>
          <w:tcPr>
            <w:tcW w:w="9089" w:type="dxa"/>
          </w:tcPr>
          <w:p w14:paraId="0A16FF11" w14:textId="3D2B21BE" w:rsidR="00D03600" w:rsidRPr="00847710" w:rsidRDefault="0071331A" w:rsidP="00EC4207">
            <w:pPr>
              <w:autoSpaceDE w:val="0"/>
              <w:autoSpaceDN w:val="0"/>
              <w:adjustRightInd w:val="0"/>
              <w:spacing w:after="120"/>
              <w:ind w:firstLine="720"/>
              <w:jc w:val="both"/>
              <w:rPr>
                <w:rFonts w:ascii="Times New Roman" w:hAnsi="Times New Roman"/>
                <w:sz w:val="24"/>
                <w:szCs w:val="24"/>
              </w:rPr>
            </w:pPr>
            <w:r w:rsidRPr="0012317D">
              <w:rPr>
                <w:rFonts w:ascii="Times New Roman" w:hAnsi="Times New Roman"/>
                <w:b/>
                <w:bCs/>
                <w:sz w:val="24"/>
                <w:szCs w:val="24"/>
              </w:rPr>
              <w:lastRenderedPageBreak/>
              <w:t>Līdz ar to secināms, ka uzsāktās reformas 201</w:t>
            </w:r>
            <w:r w:rsidR="00A63168">
              <w:rPr>
                <w:rFonts w:ascii="Times New Roman" w:hAnsi="Times New Roman"/>
                <w:b/>
                <w:bCs/>
                <w:sz w:val="24"/>
                <w:szCs w:val="24"/>
              </w:rPr>
              <w:t>8</w:t>
            </w:r>
            <w:r w:rsidRPr="0012317D">
              <w:rPr>
                <w:rFonts w:ascii="Times New Roman" w:hAnsi="Times New Roman"/>
                <w:b/>
                <w:bCs/>
                <w:sz w:val="24"/>
                <w:szCs w:val="24"/>
              </w:rPr>
              <w:t>.gada 1.pusgadā ir sasniegušas mērķi un, lai sekmīgi turpinātu uzsāktās intervences pakalpojumu pieejamības jomā un nodrošinātu, ka līdz 2019.gada beigām rindu apjoms ambulatorā aprūpē samazinās par 50%, nepieciešams papildus pakalpojumu apjoma pieaugums 201</w:t>
            </w:r>
            <w:r w:rsidR="00A63168">
              <w:rPr>
                <w:rFonts w:ascii="Times New Roman" w:hAnsi="Times New Roman"/>
                <w:b/>
                <w:bCs/>
                <w:sz w:val="24"/>
                <w:szCs w:val="24"/>
              </w:rPr>
              <w:t>9</w:t>
            </w:r>
            <w:r w:rsidRPr="0012317D">
              <w:rPr>
                <w:rFonts w:ascii="Times New Roman" w:hAnsi="Times New Roman"/>
                <w:b/>
                <w:bCs/>
                <w:sz w:val="24"/>
                <w:szCs w:val="24"/>
              </w:rPr>
              <w:t xml:space="preserve">. gadā. </w:t>
            </w:r>
          </w:p>
        </w:tc>
      </w:tr>
    </w:tbl>
    <w:p w14:paraId="062D9972" w14:textId="77777777" w:rsidR="00AE64D6" w:rsidRDefault="00AE64D6" w:rsidP="00DD54E1">
      <w:pPr>
        <w:pStyle w:val="ListParagraph"/>
        <w:spacing w:after="0" w:line="240" w:lineRule="auto"/>
        <w:ind w:left="357"/>
        <w:jc w:val="right"/>
        <w:rPr>
          <w:rFonts w:ascii="Times New Roman" w:hAnsi="Times New Roman"/>
          <w:i/>
          <w:iCs/>
          <w:sz w:val="24"/>
          <w:szCs w:val="24"/>
          <w:lang w:val="lv-LV"/>
        </w:rPr>
      </w:pPr>
    </w:p>
    <w:p w14:paraId="0D872A99" w14:textId="48C69ACD" w:rsidR="00DD54E1" w:rsidRPr="00847710" w:rsidRDefault="0071331A" w:rsidP="00DD54E1">
      <w:pPr>
        <w:pStyle w:val="ListParagraph"/>
        <w:spacing w:after="0" w:line="240" w:lineRule="auto"/>
        <w:ind w:left="357"/>
        <w:jc w:val="right"/>
        <w:rPr>
          <w:rFonts w:ascii="Times New Roman" w:hAnsi="Times New Roman"/>
          <w:sz w:val="24"/>
          <w:szCs w:val="24"/>
          <w:lang w:val="lv-LV"/>
        </w:rPr>
      </w:pPr>
      <w:r w:rsidRPr="57326167">
        <w:rPr>
          <w:rFonts w:ascii="Times New Roman" w:hAnsi="Times New Roman"/>
          <w:i/>
          <w:iCs/>
          <w:sz w:val="24"/>
          <w:szCs w:val="24"/>
          <w:lang w:val="lv-LV"/>
        </w:rPr>
        <w:t>2</w:t>
      </w:r>
      <w:r w:rsidRPr="00847710">
        <w:rPr>
          <w:rFonts w:ascii="Times New Roman" w:hAnsi="Times New Roman"/>
          <w:sz w:val="24"/>
          <w:szCs w:val="24"/>
          <w:lang w:val="lv-LV"/>
        </w:rPr>
        <w:t>.</w:t>
      </w:r>
      <w:r w:rsidRPr="57326167">
        <w:rPr>
          <w:rFonts w:ascii="Times New Roman" w:hAnsi="Times New Roman"/>
          <w:i/>
          <w:iCs/>
          <w:sz w:val="24"/>
          <w:szCs w:val="24"/>
          <w:lang w:val="lv-LV"/>
        </w:rPr>
        <w:t>tabula</w:t>
      </w:r>
    </w:p>
    <w:p w14:paraId="1579EBC1" w14:textId="77777777" w:rsidR="008F3558" w:rsidRPr="00847710" w:rsidRDefault="0071331A" w:rsidP="00E659E8">
      <w:pPr>
        <w:spacing w:after="0" w:line="264" w:lineRule="auto"/>
        <w:jc w:val="center"/>
        <w:rPr>
          <w:rFonts w:ascii="Times New Roman" w:hAnsi="Times New Roman" w:cs="Times New Roman"/>
          <w:color w:val="000000"/>
          <w:sz w:val="24"/>
          <w:szCs w:val="24"/>
        </w:rPr>
      </w:pPr>
      <w:r w:rsidRPr="0012317D">
        <w:rPr>
          <w:rFonts w:ascii="Times New Roman" w:hAnsi="Times New Roman" w:cs="Times New Roman"/>
          <w:b/>
          <w:bCs/>
          <w:sz w:val="24"/>
          <w:szCs w:val="24"/>
        </w:rPr>
        <w:t>Sekundārajā ambulatorajā veselības aprūpē plānotais pakalpojuma skaits</w:t>
      </w:r>
    </w:p>
    <w:p w14:paraId="0155F920" w14:textId="77777777" w:rsidR="00DD54E1" w:rsidRPr="00847710" w:rsidRDefault="00DD54E1" w:rsidP="00DD54E1">
      <w:pPr>
        <w:pStyle w:val="ListParagraph"/>
        <w:spacing w:after="0" w:line="240" w:lineRule="auto"/>
        <w:ind w:left="357"/>
        <w:jc w:val="center"/>
        <w:rPr>
          <w:rFonts w:ascii="Times New Roman" w:hAnsi="Times New Roman"/>
          <w:b/>
          <w:sz w:val="24"/>
          <w:szCs w:val="24"/>
          <w:lang w:val="lv-LV"/>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40"/>
        <w:gridCol w:w="999"/>
        <w:gridCol w:w="1513"/>
        <w:gridCol w:w="1310"/>
      </w:tblGrid>
      <w:tr w:rsidR="00591368" w14:paraId="08B710DE" w14:textId="77777777" w:rsidTr="002D1C41">
        <w:trPr>
          <w:cantSplit/>
          <w:trHeight w:val="1882"/>
          <w:jc w:val="center"/>
        </w:trPr>
        <w:tc>
          <w:tcPr>
            <w:tcW w:w="421" w:type="dxa"/>
            <w:shd w:val="clear" w:color="auto" w:fill="E36C0A" w:themeFill="accent6" w:themeFillShade="BF"/>
            <w:vAlign w:val="center"/>
            <w:hideMark/>
          </w:tcPr>
          <w:p w14:paraId="5A42E1F8" w14:textId="77777777" w:rsidR="00DD54E1" w:rsidRPr="00847710" w:rsidRDefault="00DD54E1" w:rsidP="00C01ED4">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A" w:themeFill="accent6" w:themeFillShade="BF"/>
            <w:textDirection w:val="btLr"/>
            <w:vAlign w:val="center"/>
            <w:hideMark/>
          </w:tcPr>
          <w:p w14:paraId="52E3BA6A" w14:textId="77777777"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auto" w:fill="E36C0A" w:themeFill="accent6" w:themeFillShade="BF"/>
            <w:textDirection w:val="btLr"/>
            <w:vAlign w:val="center"/>
            <w:hideMark/>
          </w:tcPr>
          <w:p w14:paraId="05735937" w14:textId="77777777" w:rsidR="00DD54E1"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 pakalpojuma vidējās izmaksas</w:t>
            </w:r>
            <w:r w:rsidR="00453471" w:rsidRPr="00847710">
              <w:rPr>
                <w:rFonts w:ascii="Times New Roman" w:eastAsia="Times New Roman" w:hAnsi="Times New Roman" w:cs="Times New Roman"/>
                <w:b/>
                <w:bCs/>
                <w:sz w:val="20"/>
                <w:szCs w:val="20"/>
                <w:lang w:eastAsia="lv-LV"/>
              </w:rPr>
              <w:t xml:space="preserve"> *</w:t>
            </w:r>
            <w:r w:rsidRPr="00847710">
              <w:rPr>
                <w:rFonts w:ascii="Times New Roman" w:eastAsia="Times New Roman" w:hAnsi="Times New Roman" w:cs="Times New Roman"/>
                <w:b/>
                <w:bCs/>
                <w:sz w:val="20"/>
                <w:szCs w:val="20"/>
                <w:lang w:eastAsia="lv-LV"/>
              </w:rPr>
              <w:t xml:space="preserve"> </w:t>
            </w:r>
          </w:p>
        </w:tc>
        <w:tc>
          <w:tcPr>
            <w:tcW w:w="1513" w:type="dxa"/>
            <w:shd w:val="clear" w:color="auto" w:fill="E36C0A" w:themeFill="accent6" w:themeFillShade="BF"/>
            <w:textDirection w:val="btLr"/>
            <w:vAlign w:val="center"/>
          </w:tcPr>
          <w:p w14:paraId="35324B41" w14:textId="77777777" w:rsidR="00DD54E1"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657DBFE6" w14:textId="77777777"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1310" w:type="dxa"/>
            <w:shd w:val="clear" w:color="auto" w:fill="E36C0A" w:themeFill="accent6" w:themeFillShade="BF"/>
            <w:textDirection w:val="btLr"/>
            <w:vAlign w:val="center"/>
          </w:tcPr>
          <w:p w14:paraId="2437B8BE" w14:textId="77777777" w:rsidR="00DD54E1"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rsidR="00591368" w14:paraId="30116BE5" w14:textId="77777777" w:rsidTr="002D1C41">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720EBED5" w14:textId="77777777" w:rsidR="00DD54E1" w:rsidRPr="00847710" w:rsidRDefault="00DD54E1" w:rsidP="00C01ED4">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BBD555" w14:textId="77777777" w:rsidR="00DD54E1" w:rsidRPr="00847710" w:rsidRDefault="00DD54E1" w:rsidP="00C01ED4">
            <w:pPr>
              <w:spacing w:after="0" w:line="240" w:lineRule="auto"/>
              <w:jc w:val="center"/>
              <w:rPr>
                <w:rFonts w:ascii="Times New Roman" w:eastAsia="Times New Roman" w:hAnsi="Times New Roman" w:cs="Times New Roman"/>
                <w:color w:val="000000"/>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52F403B5" w14:textId="77777777" w:rsidR="00DD54E1" w:rsidRPr="00C002BE" w:rsidRDefault="0071331A" w:rsidP="00C002BE">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3F0AD2" w14:textId="075516C3" w:rsidR="00DD54E1" w:rsidRPr="00C002BE" w:rsidRDefault="0071331A" w:rsidP="00C002B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EA210E">
              <w:rPr>
                <w:rFonts w:ascii="Times New Roman" w:eastAsia="Times New Roman" w:hAnsi="Times New Roman" w:cs="Times New Roman"/>
                <w:b/>
                <w:bCs/>
                <w:sz w:val="20"/>
                <w:szCs w:val="20"/>
                <w:lang w:eastAsia="lv-LV"/>
              </w:rPr>
              <w:t>8</w:t>
            </w:r>
          </w:p>
          <w:p w14:paraId="6B8F12D9" w14:textId="77777777" w:rsidR="00DD54E1" w:rsidRPr="00C002BE" w:rsidRDefault="0071331A" w:rsidP="00C002BE">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3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AD2F2B6" w14:textId="77777777" w:rsidR="00DD54E1" w:rsidRPr="00847710" w:rsidRDefault="00DD54E1" w:rsidP="00C01ED4">
            <w:pPr>
              <w:spacing w:after="0" w:line="240" w:lineRule="auto"/>
              <w:jc w:val="center"/>
              <w:rPr>
                <w:rFonts w:ascii="Times New Roman" w:eastAsia="Times New Roman" w:hAnsi="Times New Roman" w:cs="Times New Roman"/>
                <w:b/>
                <w:sz w:val="20"/>
                <w:szCs w:val="20"/>
                <w:lang w:eastAsia="lv-LV"/>
              </w:rPr>
            </w:pPr>
          </w:p>
          <w:p w14:paraId="39B60EE7" w14:textId="2FD25250" w:rsidR="00DD54E1" w:rsidRPr="00C002BE" w:rsidRDefault="0071331A" w:rsidP="00C002B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EA210E">
              <w:rPr>
                <w:rFonts w:ascii="Times New Roman" w:eastAsia="Times New Roman" w:hAnsi="Times New Roman" w:cs="Times New Roman"/>
                <w:b/>
                <w:bCs/>
                <w:sz w:val="20"/>
                <w:szCs w:val="20"/>
                <w:lang w:eastAsia="lv-LV"/>
              </w:rPr>
              <w:t>8</w:t>
            </w:r>
          </w:p>
          <w:p w14:paraId="18668538" w14:textId="77777777" w:rsidR="00DD54E1" w:rsidRPr="00847710" w:rsidRDefault="00DD54E1" w:rsidP="00C01ED4">
            <w:pPr>
              <w:spacing w:after="0" w:line="240" w:lineRule="auto"/>
              <w:jc w:val="center"/>
              <w:rPr>
                <w:rFonts w:ascii="Times New Roman" w:eastAsia="Times New Roman" w:hAnsi="Times New Roman" w:cs="Times New Roman"/>
                <w:b/>
                <w:sz w:val="20"/>
                <w:szCs w:val="20"/>
                <w:lang w:eastAsia="lv-LV"/>
              </w:rPr>
            </w:pPr>
          </w:p>
        </w:tc>
      </w:tr>
      <w:tr w:rsidR="00591368" w14:paraId="061DAB17" w14:textId="77777777" w:rsidTr="002D1C41">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4ECA9"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7D946"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Speciālistu konsultācijas</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73004"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12,53</w:t>
            </w:r>
          </w:p>
        </w:tc>
        <w:tc>
          <w:tcPr>
            <w:tcW w:w="1513" w:type="dxa"/>
            <w:tcBorders>
              <w:top w:val="single" w:sz="4" w:space="0" w:color="auto"/>
              <w:left w:val="single" w:sz="4" w:space="0" w:color="auto"/>
              <w:bottom w:val="single" w:sz="4" w:space="0" w:color="auto"/>
              <w:right w:val="single" w:sz="4" w:space="0" w:color="auto"/>
            </w:tcBorders>
            <w:vAlign w:val="bottom"/>
          </w:tcPr>
          <w:p w14:paraId="22B9DE46" w14:textId="18A50250" w:rsidR="003551A1" w:rsidRPr="00C002BE" w:rsidRDefault="007A0F5A" w:rsidP="00C002BE">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5 425 824</w:t>
            </w:r>
          </w:p>
        </w:tc>
        <w:tc>
          <w:tcPr>
            <w:tcW w:w="1310" w:type="dxa"/>
            <w:tcBorders>
              <w:top w:val="single" w:sz="4" w:space="0" w:color="auto"/>
              <w:left w:val="single" w:sz="4" w:space="0" w:color="auto"/>
              <w:bottom w:val="single" w:sz="4" w:space="0" w:color="auto"/>
              <w:right w:val="single" w:sz="4" w:space="0" w:color="auto"/>
            </w:tcBorders>
            <w:vAlign w:val="bottom"/>
          </w:tcPr>
          <w:p w14:paraId="4F90EE95" w14:textId="0D567BDA" w:rsidR="003551A1" w:rsidRPr="00847710" w:rsidRDefault="007A0F5A" w:rsidP="003551A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378 911</w:t>
            </w:r>
          </w:p>
        </w:tc>
      </w:tr>
      <w:tr w:rsidR="00591368" w14:paraId="567CDA23" w14:textId="77777777" w:rsidTr="002D1C41">
        <w:trPr>
          <w:trHeight w:val="41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467B"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1AE35"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Ambulatorie izmeklējumi un terapija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4F2B6"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22,9</w:t>
            </w:r>
            <w:r w:rsidR="00BF5880" w:rsidRPr="00847710">
              <w:rPr>
                <w:rFonts w:ascii="Times New Roman" w:eastAsia="Times New Roman" w:hAnsi="Times New Roman" w:cs="Times New Roman"/>
                <w:sz w:val="20"/>
                <w:szCs w:val="20"/>
                <w:lang w:eastAsia="lv-LV"/>
              </w:rPr>
              <w:t>9</w:t>
            </w:r>
          </w:p>
        </w:tc>
        <w:tc>
          <w:tcPr>
            <w:tcW w:w="1513" w:type="dxa"/>
            <w:tcBorders>
              <w:top w:val="single" w:sz="4" w:space="0" w:color="auto"/>
              <w:left w:val="single" w:sz="4" w:space="0" w:color="auto"/>
              <w:bottom w:val="single" w:sz="4" w:space="0" w:color="auto"/>
              <w:right w:val="single" w:sz="4" w:space="0" w:color="auto"/>
            </w:tcBorders>
            <w:vAlign w:val="bottom"/>
          </w:tcPr>
          <w:p w14:paraId="3C2FE039" w14:textId="4A212599" w:rsidR="003551A1" w:rsidRPr="00C002BE" w:rsidRDefault="007A0F5A" w:rsidP="00C002BE">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12 698 580</w:t>
            </w:r>
          </w:p>
        </w:tc>
        <w:tc>
          <w:tcPr>
            <w:tcW w:w="1310" w:type="dxa"/>
            <w:tcBorders>
              <w:top w:val="single" w:sz="4" w:space="0" w:color="auto"/>
              <w:left w:val="single" w:sz="4" w:space="0" w:color="auto"/>
              <w:bottom w:val="single" w:sz="4" w:space="0" w:color="auto"/>
              <w:right w:val="single" w:sz="4" w:space="0" w:color="auto"/>
            </w:tcBorders>
            <w:vAlign w:val="bottom"/>
          </w:tcPr>
          <w:p w14:paraId="13B9B5B7" w14:textId="74AC4E26" w:rsidR="003551A1" w:rsidRPr="00847710" w:rsidRDefault="007A0F5A" w:rsidP="003551A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535 232</w:t>
            </w:r>
          </w:p>
        </w:tc>
      </w:tr>
      <w:tr w:rsidR="00591368" w14:paraId="6FB4C21D" w14:textId="77777777" w:rsidTr="002D1C41">
        <w:trPr>
          <w:trHeight w:val="41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95473"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96A2F"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Dienas stacionārā sniegtie pakalpojumi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85EF" w14:textId="77777777" w:rsidR="003551A1" w:rsidRPr="00847710" w:rsidRDefault="0071331A" w:rsidP="003551A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82,6</w:t>
            </w:r>
            <w:r w:rsidR="00BF5880" w:rsidRPr="00847710">
              <w:rPr>
                <w:rFonts w:ascii="Times New Roman" w:eastAsia="Times New Roman" w:hAnsi="Times New Roman" w:cs="Times New Roman"/>
                <w:sz w:val="20"/>
                <w:szCs w:val="20"/>
                <w:lang w:eastAsia="lv-LV"/>
              </w:rPr>
              <w:t>5</w:t>
            </w:r>
          </w:p>
        </w:tc>
        <w:tc>
          <w:tcPr>
            <w:tcW w:w="1513" w:type="dxa"/>
            <w:tcBorders>
              <w:top w:val="single" w:sz="4" w:space="0" w:color="auto"/>
              <w:left w:val="single" w:sz="4" w:space="0" w:color="auto"/>
              <w:bottom w:val="single" w:sz="4" w:space="0" w:color="auto"/>
              <w:right w:val="single" w:sz="4" w:space="0" w:color="auto"/>
            </w:tcBorders>
            <w:vAlign w:val="bottom"/>
          </w:tcPr>
          <w:p w14:paraId="30BDFB24" w14:textId="370C89F7" w:rsidR="003551A1" w:rsidRPr="00C002BE" w:rsidRDefault="007A0F5A" w:rsidP="00C002BE">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9 035 733</w:t>
            </w:r>
          </w:p>
        </w:tc>
        <w:tc>
          <w:tcPr>
            <w:tcW w:w="1310" w:type="dxa"/>
            <w:tcBorders>
              <w:top w:val="single" w:sz="4" w:space="0" w:color="auto"/>
              <w:left w:val="single" w:sz="4" w:space="0" w:color="auto"/>
              <w:bottom w:val="single" w:sz="4" w:space="0" w:color="auto"/>
              <w:right w:val="single" w:sz="4" w:space="0" w:color="auto"/>
            </w:tcBorders>
            <w:vAlign w:val="bottom"/>
          </w:tcPr>
          <w:p w14:paraId="03585B57" w14:textId="77159082" w:rsidR="003551A1" w:rsidRPr="00847710" w:rsidRDefault="007A0F5A" w:rsidP="003551A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97 561</w:t>
            </w:r>
          </w:p>
        </w:tc>
      </w:tr>
      <w:tr w:rsidR="00591368" w14:paraId="520E091F" w14:textId="77777777" w:rsidTr="002D1C41">
        <w:trPr>
          <w:trHeight w:val="27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7C481"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46FA"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Ambulatorā rehabilitācija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1D4EA" w14:textId="77777777" w:rsidR="003551A1" w:rsidRPr="00847710" w:rsidRDefault="0071331A" w:rsidP="003551A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7,26</w:t>
            </w:r>
          </w:p>
        </w:tc>
        <w:tc>
          <w:tcPr>
            <w:tcW w:w="1513" w:type="dxa"/>
            <w:tcBorders>
              <w:top w:val="single" w:sz="4" w:space="0" w:color="auto"/>
              <w:left w:val="single" w:sz="4" w:space="0" w:color="auto"/>
              <w:bottom w:val="single" w:sz="4" w:space="0" w:color="auto"/>
              <w:right w:val="single" w:sz="4" w:space="0" w:color="auto"/>
            </w:tcBorders>
            <w:vAlign w:val="bottom"/>
          </w:tcPr>
          <w:p w14:paraId="12E1E4A9" w14:textId="237B4BEF" w:rsidR="003551A1" w:rsidRPr="00812901" w:rsidRDefault="007A0F5A" w:rsidP="00C002BE">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889 879</w:t>
            </w:r>
          </w:p>
        </w:tc>
        <w:tc>
          <w:tcPr>
            <w:tcW w:w="1310" w:type="dxa"/>
            <w:tcBorders>
              <w:top w:val="single" w:sz="4" w:space="0" w:color="auto"/>
              <w:left w:val="single" w:sz="4" w:space="0" w:color="auto"/>
              <w:bottom w:val="single" w:sz="4" w:space="0" w:color="auto"/>
              <w:right w:val="single" w:sz="4" w:space="0" w:color="auto"/>
            </w:tcBorders>
            <w:vAlign w:val="bottom"/>
          </w:tcPr>
          <w:p w14:paraId="7F0DDE17" w14:textId="4C1CD775" w:rsidR="003551A1" w:rsidRPr="00847710" w:rsidRDefault="007A0F5A" w:rsidP="003551A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99 554</w:t>
            </w:r>
          </w:p>
        </w:tc>
      </w:tr>
      <w:tr w:rsidR="00591368" w14:paraId="1726414D" w14:textId="77777777" w:rsidTr="002D1C41">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7F80D255" w14:textId="77777777"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C12128C" w14:textId="77777777" w:rsidR="003551A1" w:rsidRPr="00543703" w:rsidRDefault="0071331A">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9"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2C5E4E84" w14:textId="77777777" w:rsidR="003551A1" w:rsidRPr="00847710" w:rsidRDefault="003551A1" w:rsidP="003551A1">
            <w:pPr>
              <w:spacing w:after="0" w:line="240" w:lineRule="auto"/>
              <w:jc w:val="center"/>
              <w:rPr>
                <w:rFonts w:ascii="Times New Roman" w:eastAsia="Times New Roman" w:hAnsi="Times New Roman" w:cs="Times New Roman"/>
                <w:b/>
                <w:sz w:val="20"/>
                <w:szCs w:val="20"/>
                <w:lang w:eastAsia="lv-LV"/>
              </w:rPr>
            </w:pPr>
          </w:p>
        </w:tc>
        <w:tc>
          <w:tcPr>
            <w:tcW w:w="1513" w:type="dxa"/>
            <w:tcBorders>
              <w:top w:val="single" w:sz="4" w:space="0" w:color="auto"/>
              <w:left w:val="single" w:sz="4" w:space="0" w:color="auto"/>
              <w:bottom w:val="single" w:sz="4" w:space="0" w:color="auto"/>
              <w:right w:val="single" w:sz="4" w:space="0" w:color="auto"/>
            </w:tcBorders>
            <w:shd w:val="clear" w:color="auto" w:fill="FCD5B4"/>
            <w:vAlign w:val="bottom"/>
          </w:tcPr>
          <w:p w14:paraId="38F6E6A2" w14:textId="158609E6" w:rsidR="003551A1" w:rsidRPr="00C002BE" w:rsidRDefault="007A0F5A">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sz w:val="20"/>
                <w:szCs w:val="20"/>
                <w:lang w:eastAsia="lv-LV"/>
              </w:rPr>
              <w:t>28 050 016</w:t>
            </w:r>
          </w:p>
        </w:tc>
        <w:tc>
          <w:tcPr>
            <w:tcW w:w="1310" w:type="dxa"/>
            <w:tcBorders>
              <w:top w:val="single" w:sz="4" w:space="0" w:color="auto"/>
              <w:left w:val="single" w:sz="4" w:space="0" w:color="auto"/>
              <w:bottom w:val="single" w:sz="4" w:space="0" w:color="auto"/>
              <w:right w:val="single" w:sz="4" w:space="0" w:color="auto"/>
            </w:tcBorders>
            <w:shd w:val="clear" w:color="auto" w:fill="FCD5B4"/>
            <w:vAlign w:val="bottom"/>
          </w:tcPr>
          <w:p w14:paraId="72FAB608" w14:textId="45C8735B" w:rsidR="003551A1" w:rsidRPr="00C002BE" w:rsidRDefault="007D2CEC">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eastAsia="Times New Roman" w:hAnsi="Times New Roman" w:cs="Times New Roman"/>
                <w:b/>
                <w:bCs/>
                <w:sz w:val="20"/>
                <w:szCs w:val="20"/>
                <w:lang w:eastAsia="lv-LV"/>
              </w:rPr>
              <w:t>1 111 258</w:t>
            </w:r>
          </w:p>
        </w:tc>
      </w:tr>
    </w:tbl>
    <w:p w14:paraId="31A3EC22" w14:textId="280DE14C" w:rsidR="00DD54E1" w:rsidRPr="00847710" w:rsidRDefault="0071331A" w:rsidP="00EC4207">
      <w:pPr>
        <w:autoSpaceDE w:val="0"/>
        <w:autoSpaceDN w:val="0"/>
        <w:adjustRightInd w:val="0"/>
        <w:spacing w:after="120"/>
        <w:ind w:firstLine="720"/>
        <w:jc w:val="both"/>
        <w:rPr>
          <w:rFonts w:ascii="Times New Roman" w:hAnsi="Times New Roman" w:cs="Times New Roman"/>
          <w:sz w:val="20"/>
          <w:szCs w:val="20"/>
        </w:rPr>
      </w:pPr>
      <w:r w:rsidRPr="00847710">
        <w:rPr>
          <w:rFonts w:ascii="Times New Roman" w:hAnsi="Times New Roman" w:cs="Times New Roman"/>
          <w:sz w:val="20"/>
          <w:szCs w:val="20"/>
        </w:rPr>
        <w:t>* pakalpojumu tarifs ar 201</w:t>
      </w:r>
      <w:r w:rsidR="007A0F5A">
        <w:rPr>
          <w:rFonts w:ascii="Times New Roman" w:hAnsi="Times New Roman" w:cs="Times New Roman"/>
          <w:sz w:val="20"/>
          <w:szCs w:val="20"/>
        </w:rPr>
        <w:t>8</w:t>
      </w:r>
      <w:r w:rsidRPr="00847710">
        <w:rPr>
          <w:rFonts w:ascii="Times New Roman" w:hAnsi="Times New Roman" w:cs="Times New Roman"/>
          <w:sz w:val="20"/>
          <w:szCs w:val="20"/>
        </w:rPr>
        <w:t xml:space="preserve">.gada </w:t>
      </w:r>
      <w:r w:rsidR="0017367B" w:rsidRPr="00847710">
        <w:rPr>
          <w:rFonts w:ascii="Times New Roman" w:hAnsi="Times New Roman" w:cs="Times New Roman"/>
          <w:sz w:val="20"/>
          <w:szCs w:val="20"/>
        </w:rPr>
        <w:t>darba samaksu</w:t>
      </w:r>
      <w:r w:rsidR="006B12CC" w:rsidRPr="00847710">
        <w:rPr>
          <w:rFonts w:ascii="Times New Roman" w:hAnsi="Times New Roman" w:cs="Times New Roman"/>
          <w:sz w:val="20"/>
          <w:szCs w:val="20"/>
        </w:rPr>
        <w:t xml:space="preserve">. Darba samaksas pieaugums esošajiem pakalpojumiem nodrošināts no </w:t>
      </w:r>
      <w:r w:rsidR="006B12CC" w:rsidRPr="00847710">
        <w:rPr>
          <w:rFonts w:ascii="Times New Roman" w:eastAsia="Times New Roman" w:hAnsi="Times New Roman" w:cs="Times New Roman"/>
          <w:noProof/>
          <w:sz w:val="20"/>
          <w:szCs w:val="20"/>
          <w:lang w:bidi="gu-IN"/>
        </w:rPr>
        <w:t>papildus fin</w:t>
      </w:r>
      <w:r w:rsidR="00F72764">
        <w:rPr>
          <w:rFonts w:ascii="Times New Roman" w:eastAsia="Times New Roman" w:hAnsi="Times New Roman" w:cs="Times New Roman"/>
          <w:noProof/>
          <w:sz w:val="20"/>
          <w:szCs w:val="20"/>
          <w:lang w:bidi="gu-IN"/>
        </w:rPr>
        <w:t>ansējuma piešķīruma nozarei sais</w:t>
      </w:r>
      <w:r w:rsidR="006B12CC" w:rsidRPr="00847710">
        <w:rPr>
          <w:rFonts w:ascii="Times New Roman" w:eastAsia="Times New Roman" w:hAnsi="Times New Roman" w:cs="Times New Roman"/>
          <w:noProof/>
          <w:sz w:val="20"/>
          <w:szCs w:val="20"/>
          <w:lang w:bidi="gu-IN"/>
        </w:rPr>
        <w:t>tībā ar 1% palielinājumu sociālajām iemaksām</w:t>
      </w:r>
    </w:p>
    <w:p w14:paraId="04223B10" w14:textId="42CA69F3" w:rsidR="008A7228" w:rsidRDefault="0071331A" w:rsidP="00FF02DA">
      <w:pPr>
        <w:autoSpaceDE w:val="0"/>
        <w:autoSpaceDN w:val="0"/>
        <w:adjustRightInd w:val="0"/>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201</w:t>
      </w:r>
      <w:r w:rsidR="00DB3AAB">
        <w:rPr>
          <w:rFonts w:ascii="Times New Roman" w:hAnsi="Times New Roman" w:cs="Times New Roman"/>
          <w:sz w:val="24"/>
          <w:szCs w:val="24"/>
        </w:rPr>
        <w:t>9</w:t>
      </w:r>
      <w:r w:rsidRPr="00847710">
        <w:rPr>
          <w:rFonts w:ascii="Times New Roman" w:hAnsi="Times New Roman" w:cs="Times New Roman"/>
          <w:sz w:val="24"/>
          <w:szCs w:val="24"/>
        </w:rPr>
        <w:t>.gad</w:t>
      </w:r>
      <w:r w:rsidR="00DB3AAB">
        <w:rPr>
          <w:rFonts w:ascii="Times New Roman" w:hAnsi="Times New Roman" w:cs="Times New Roman"/>
          <w:sz w:val="24"/>
          <w:szCs w:val="24"/>
        </w:rPr>
        <w:t xml:space="preserve">ā papildus plānots uzsākt </w:t>
      </w:r>
      <w:r w:rsidRPr="00847710">
        <w:rPr>
          <w:rFonts w:ascii="Times New Roman" w:hAnsi="Times New Roman" w:cs="Times New Roman"/>
          <w:sz w:val="24"/>
          <w:szCs w:val="24"/>
        </w:rPr>
        <w:t>pasākumus stacionāro pakalpojumu pieejamības uzlabošanā –</w:t>
      </w:r>
      <w:r w:rsidR="001D5BCC">
        <w:rPr>
          <w:rFonts w:ascii="Times New Roman" w:hAnsi="Times New Roman" w:cs="Times New Roman"/>
          <w:sz w:val="24"/>
          <w:szCs w:val="24"/>
        </w:rPr>
        <w:t xml:space="preserve"> </w:t>
      </w:r>
      <w:r w:rsidR="00DB3AAB">
        <w:rPr>
          <w:rFonts w:ascii="Times New Roman" w:hAnsi="Times New Roman" w:cs="Times New Roman"/>
          <w:sz w:val="24"/>
          <w:szCs w:val="24"/>
        </w:rPr>
        <w:t>ārstniecības iestāžu līmeņu reformai, rehabilitācijas pakalpojumu</w:t>
      </w:r>
      <w:r w:rsidR="002B5922">
        <w:rPr>
          <w:rFonts w:ascii="Times New Roman" w:hAnsi="Times New Roman" w:cs="Times New Roman"/>
          <w:sz w:val="24"/>
          <w:szCs w:val="24"/>
        </w:rPr>
        <w:t xml:space="preserve"> stratēģisk</w:t>
      </w:r>
      <w:r w:rsidR="006F3ABB">
        <w:rPr>
          <w:rFonts w:ascii="Times New Roman" w:hAnsi="Times New Roman" w:cs="Times New Roman"/>
          <w:sz w:val="24"/>
          <w:szCs w:val="24"/>
        </w:rPr>
        <w:t>o</w:t>
      </w:r>
      <w:r w:rsidR="002B5922">
        <w:rPr>
          <w:rFonts w:ascii="Times New Roman" w:hAnsi="Times New Roman" w:cs="Times New Roman"/>
          <w:sz w:val="24"/>
          <w:szCs w:val="24"/>
        </w:rPr>
        <w:t xml:space="preserve"> iepirkum</w:t>
      </w:r>
      <w:r w:rsidR="006F3ABB">
        <w:rPr>
          <w:rFonts w:ascii="Times New Roman" w:hAnsi="Times New Roman" w:cs="Times New Roman"/>
          <w:sz w:val="24"/>
          <w:szCs w:val="24"/>
        </w:rPr>
        <w:t>u</w:t>
      </w:r>
      <w:r w:rsidR="002B5922">
        <w:rPr>
          <w:rFonts w:ascii="Times New Roman" w:hAnsi="Times New Roman" w:cs="Times New Roman"/>
          <w:sz w:val="24"/>
          <w:szCs w:val="24"/>
        </w:rPr>
        <w:t>, medicīnas tehnoloģiju attīstīb</w:t>
      </w:r>
      <w:r w:rsidR="006F3ABB">
        <w:rPr>
          <w:rFonts w:ascii="Times New Roman" w:hAnsi="Times New Roman" w:cs="Times New Roman"/>
          <w:sz w:val="24"/>
          <w:szCs w:val="24"/>
        </w:rPr>
        <w:t>u</w:t>
      </w:r>
      <w:r w:rsidR="002B5922">
        <w:rPr>
          <w:rFonts w:ascii="Times New Roman" w:hAnsi="Times New Roman" w:cs="Times New Roman"/>
          <w:sz w:val="24"/>
          <w:szCs w:val="24"/>
        </w:rPr>
        <w:t xml:space="preserve"> un psihiskās veselības </w:t>
      </w:r>
      <w:r w:rsidR="00D0506B">
        <w:rPr>
          <w:rFonts w:ascii="Times New Roman" w:hAnsi="Times New Roman" w:cs="Times New Roman"/>
          <w:sz w:val="24"/>
          <w:szCs w:val="24"/>
        </w:rPr>
        <w:t xml:space="preserve">aprūpes </w:t>
      </w:r>
      <w:r w:rsidR="002B5922">
        <w:rPr>
          <w:rFonts w:ascii="Times New Roman" w:hAnsi="Times New Roman" w:cs="Times New Roman"/>
          <w:sz w:val="24"/>
          <w:szCs w:val="24"/>
        </w:rPr>
        <w:t>uzlabošan</w:t>
      </w:r>
      <w:r w:rsidR="006F3ABB">
        <w:rPr>
          <w:rFonts w:ascii="Times New Roman" w:hAnsi="Times New Roman" w:cs="Times New Roman"/>
          <w:sz w:val="24"/>
          <w:szCs w:val="24"/>
        </w:rPr>
        <w:t>u</w:t>
      </w:r>
      <w:r w:rsidR="008A7228">
        <w:rPr>
          <w:rFonts w:ascii="Times New Roman" w:hAnsi="Times New Roman" w:cs="Times New Roman"/>
          <w:sz w:val="24"/>
          <w:szCs w:val="24"/>
        </w:rPr>
        <w:t>.</w:t>
      </w:r>
    </w:p>
    <w:p w14:paraId="2DE85065" w14:textId="21FF2435" w:rsidR="00B73022" w:rsidRPr="0060477C" w:rsidRDefault="00B73022" w:rsidP="00FF02DA">
      <w:pPr>
        <w:spacing w:after="120"/>
        <w:ind w:firstLine="720"/>
        <w:jc w:val="both"/>
        <w:rPr>
          <w:rFonts w:ascii="Times New Roman" w:hAnsi="Times New Roman" w:cs="Times New Roman"/>
          <w:sz w:val="24"/>
          <w:szCs w:val="24"/>
        </w:rPr>
      </w:pPr>
      <w:r w:rsidRPr="00B73022">
        <w:rPr>
          <w:rFonts w:ascii="Times New Roman" w:hAnsi="Times New Roman" w:cs="Times New Roman"/>
          <w:sz w:val="24"/>
          <w:szCs w:val="24"/>
        </w:rPr>
        <w:t>2018.gada 1.pusgada dati liecina, ka sekundāro ambulatoro veselības aprūpes pakalpojumu faktiskais rindu garuma samazinājums, kas ir izveidojies papildus piešķirtā tiešā finansējuma ietekmē uz veselības aprūpes pakalpojumu pieprasījumu, notiek lēnāk, jo novērojama pacientu uzvedības maiņa: rindā ienāk tie Latvijas iedzīvotāji, kuri rindu, attāluma vai finanšu dēļ līdz šīm nav saņēmuši v</w:t>
      </w:r>
      <w:r w:rsidR="003354B4">
        <w:rPr>
          <w:rFonts w:ascii="Times New Roman" w:hAnsi="Times New Roman" w:cs="Times New Roman"/>
          <w:sz w:val="24"/>
          <w:szCs w:val="24"/>
        </w:rPr>
        <w:t xml:space="preserve">eselības aprūpes </w:t>
      </w:r>
      <w:r w:rsidR="003354B4" w:rsidRPr="0060477C">
        <w:rPr>
          <w:rFonts w:ascii="Times New Roman" w:hAnsi="Times New Roman" w:cs="Times New Roman"/>
          <w:sz w:val="24"/>
          <w:szCs w:val="24"/>
        </w:rPr>
        <w:t>pakalpojumus (3</w:t>
      </w:r>
      <w:r w:rsidRPr="0060477C">
        <w:rPr>
          <w:rFonts w:ascii="Times New Roman" w:hAnsi="Times New Roman" w:cs="Times New Roman"/>
          <w:sz w:val="24"/>
          <w:szCs w:val="24"/>
        </w:rPr>
        <w:t xml:space="preserve">.tabula), kā arī notiek daļas pacientu pārvirzīšanās no maksas pakalpojumiem uz valsts apmaksātu veselības aprūpes pakalpojumu sektoru. Šīs divas iedzīvotāju grupas papildus finansējuma tiešai ietekmei palielina pieprasījumu pēc valsts apmaksātas veselības aprūpes, vienlaikus samazinot to pacientu skaitu, kuri līdz šīm nav varējuši saņemt veselības aprūpes pakalpojumus. </w:t>
      </w:r>
    </w:p>
    <w:p w14:paraId="002FBD49" w14:textId="6E437FF4" w:rsidR="00FB010E" w:rsidRPr="00B73022" w:rsidRDefault="00B73022" w:rsidP="00FF02DA">
      <w:pPr>
        <w:autoSpaceDE w:val="0"/>
        <w:autoSpaceDN w:val="0"/>
        <w:adjustRightInd w:val="0"/>
        <w:spacing w:after="120"/>
        <w:ind w:firstLine="720"/>
        <w:jc w:val="both"/>
        <w:rPr>
          <w:rFonts w:ascii="Times New Roman" w:hAnsi="Times New Roman" w:cs="Times New Roman"/>
          <w:sz w:val="24"/>
          <w:szCs w:val="24"/>
        </w:rPr>
      </w:pPr>
      <w:r w:rsidRPr="0060477C">
        <w:rPr>
          <w:rFonts w:ascii="Times New Roman" w:hAnsi="Times New Roman" w:cs="Times New Roman"/>
          <w:sz w:val="24"/>
          <w:szCs w:val="24"/>
        </w:rPr>
        <w:t>Salīdzinot ar Reformu ziņojumā iesniegtajiem datiem, kad</w:t>
      </w:r>
      <w:r w:rsidRPr="0060477C">
        <w:rPr>
          <w:rFonts w:ascii="Times New Roman" w:hAnsi="Times New Roman" w:cs="Times New Roman"/>
          <w:bCs/>
          <w:sz w:val="24"/>
          <w:szCs w:val="24"/>
        </w:rPr>
        <w:t xml:space="preserve"> sekundārajā ambulatorajā veselības aprūpē aprēķināta nesaņemto sekundāro ambulatoro veselības aprūpes pakalpojumu ietekme (ieplūšana valsts apmaksāto pakalpojumu segmentā) indikatīvi tika noteikta 16,16% apmērā, </w:t>
      </w:r>
      <w:r w:rsidRPr="0060477C">
        <w:rPr>
          <w:rFonts w:ascii="Times New Roman" w:hAnsi="Times New Roman" w:cs="Times New Roman"/>
          <w:sz w:val="24"/>
          <w:szCs w:val="24"/>
        </w:rPr>
        <w:t xml:space="preserve">pacientu uzvedības maiņas noteikšanai 2018.gadam tika izmantoti Centrālās statistikas </w:t>
      </w:r>
      <w:r w:rsidRPr="0060477C">
        <w:rPr>
          <w:rFonts w:ascii="Times New Roman" w:hAnsi="Times New Roman" w:cs="Times New Roman"/>
          <w:sz w:val="24"/>
          <w:szCs w:val="24"/>
        </w:rPr>
        <w:lastRenderedPageBreak/>
        <w:t>pārvaldes 2016.gada izstrādātie iedzīvotāju veselības apsekošanas rezultāti (</w:t>
      </w:r>
      <w:r w:rsidR="003354B4" w:rsidRPr="0060477C">
        <w:rPr>
          <w:rFonts w:ascii="Times New Roman" w:hAnsi="Times New Roman" w:cs="Times New Roman"/>
          <w:sz w:val="24"/>
          <w:szCs w:val="24"/>
        </w:rPr>
        <w:t>3</w:t>
      </w:r>
      <w:r w:rsidRPr="0060477C">
        <w:rPr>
          <w:rFonts w:ascii="Times New Roman" w:hAnsi="Times New Roman" w:cs="Times New Roman"/>
          <w:sz w:val="24"/>
          <w:szCs w:val="24"/>
        </w:rPr>
        <w:t>.tabula), kā</w:t>
      </w:r>
      <w:r w:rsidRPr="00B73022">
        <w:rPr>
          <w:rFonts w:ascii="Times New Roman" w:hAnsi="Times New Roman" w:cs="Times New Roman"/>
          <w:sz w:val="24"/>
          <w:szCs w:val="24"/>
        </w:rPr>
        <w:t xml:space="preserve"> arī aktuālie statistikas dati par Latvijas iedzīvotāju skaitu 2018.gadā</w:t>
      </w:r>
      <w:r w:rsidR="0071331A" w:rsidRPr="00B73022">
        <w:rPr>
          <w:rFonts w:ascii="Times New Roman" w:hAnsi="Times New Roman" w:cs="Times New Roman"/>
          <w:sz w:val="24"/>
          <w:szCs w:val="24"/>
        </w:rPr>
        <w:t>.</w:t>
      </w:r>
    </w:p>
    <w:p w14:paraId="427D4222" w14:textId="25C99227" w:rsidR="00A82F65" w:rsidRDefault="0071331A" w:rsidP="00FA6424">
      <w:pPr>
        <w:spacing w:after="0"/>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 xml:space="preserve">3.tabula </w:t>
      </w:r>
    </w:p>
    <w:p w14:paraId="40F896D8" w14:textId="24ED25DA" w:rsidR="00047297" w:rsidRPr="00FA6424" w:rsidRDefault="00047297" w:rsidP="00047297">
      <w:pPr>
        <w:jc w:val="center"/>
        <w:rPr>
          <w:rFonts w:ascii="Times New Roman" w:hAnsi="Times New Roman" w:cs="Times New Roman"/>
          <w:b/>
          <w:i/>
          <w:iCs/>
          <w:sz w:val="24"/>
          <w:szCs w:val="24"/>
        </w:rPr>
      </w:pPr>
      <w:r w:rsidRPr="00FA6424">
        <w:rPr>
          <w:rFonts w:ascii="Times New Roman" w:hAnsi="Times New Roman" w:cs="Times New Roman"/>
          <w:b/>
          <w:sz w:val="24"/>
          <w:szCs w:val="24"/>
        </w:rPr>
        <w:t>Pacientu uzvedības maiņas noteikšanai izmantotie rādītāji, balstoties uz Centrālās statistikas pārvaldes 2016.gada “Iedzīvotāju veselības apsekošanas rezultātiem”</w:t>
      </w:r>
    </w:p>
    <w:tbl>
      <w:tblPr>
        <w:tblW w:w="7933" w:type="dxa"/>
        <w:jc w:val="center"/>
        <w:tblLook w:val="04A0" w:firstRow="1" w:lastRow="0" w:firstColumn="1" w:lastColumn="0" w:noHBand="0" w:noVBand="1"/>
      </w:tblPr>
      <w:tblGrid>
        <w:gridCol w:w="846"/>
        <w:gridCol w:w="5812"/>
        <w:gridCol w:w="1275"/>
      </w:tblGrid>
      <w:tr w:rsidR="00A36FE4" w14:paraId="39B26BD6" w14:textId="77777777" w:rsidTr="00FA6424">
        <w:trPr>
          <w:trHeight w:val="315"/>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A5EE56F"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1.</w:t>
            </w:r>
          </w:p>
        </w:tc>
        <w:tc>
          <w:tcPr>
            <w:tcW w:w="5812" w:type="dxa"/>
            <w:tcBorders>
              <w:top w:val="single" w:sz="4" w:space="0" w:color="auto"/>
              <w:left w:val="nil"/>
              <w:bottom w:val="single" w:sz="4" w:space="0" w:color="auto"/>
              <w:right w:val="single" w:sz="4" w:space="0" w:color="auto"/>
            </w:tcBorders>
            <w:noWrap/>
            <w:vAlign w:val="center"/>
            <w:hideMark/>
          </w:tcPr>
          <w:p w14:paraId="0594B868" w14:textId="3599CEBA" w:rsidR="00A36FE4" w:rsidRPr="00847710" w:rsidRDefault="00A36FE4" w:rsidP="00D37056">
            <w:pPr>
              <w:spacing w:after="0" w:line="240" w:lineRule="auto"/>
              <w:rPr>
                <w:rFonts w:ascii="Times New Roman" w:hAnsi="Times New Roman" w:cs="Times New Roman"/>
                <w:color w:val="000000"/>
                <w:sz w:val="24"/>
                <w:szCs w:val="24"/>
              </w:rPr>
            </w:pPr>
            <w:r w:rsidRPr="00007A5A">
              <w:rPr>
                <w:rFonts w:ascii="Times New Roman" w:hAnsi="Times New Roman" w:cs="Times New Roman"/>
                <w:sz w:val="24"/>
                <w:szCs w:val="24"/>
              </w:rPr>
              <w:t>Latvijas iedzīvotāju skaits 2018</w:t>
            </w:r>
            <w:r w:rsidRPr="00007A5A">
              <w:rPr>
                <w:rStyle w:val="FootnoteReference"/>
                <w:rFonts w:ascii="Times New Roman" w:hAnsi="Times New Roman" w:cs="Times New Roman"/>
                <w:sz w:val="24"/>
                <w:szCs w:val="24"/>
              </w:rPr>
              <w:footnoteReference w:id="9"/>
            </w:r>
            <w:r w:rsidRPr="00007A5A">
              <w:rPr>
                <w:rFonts w:ascii="Times New Roman" w:hAnsi="Times New Roman" w:cs="Times New Roman"/>
                <w:sz w:val="24"/>
                <w:szCs w:val="24"/>
              </w:rPr>
              <w:t>.gadā</w:t>
            </w:r>
          </w:p>
        </w:tc>
        <w:tc>
          <w:tcPr>
            <w:tcW w:w="1275" w:type="dxa"/>
            <w:tcBorders>
              <w:top w:val="single" w:sz="4" w:space="0" w:color="auto"/>
              <w:left w:val="single" w:sz="4" w:space="0" w:color="auto"/>
              <w:bottom w:val="single" w:sz="4" w:space="0" w:color="auto"/>
              <w:right w:val="single" w:sz="4" w:space="0" w:color="auto"/>
            </w:tcBorders>
            <w:vAlign w:val="center"/>
          </w:tcPr>
          <w:p w14:paraId="35732288" w14:textId="77777777" w:rsidR="00A36FE4" w:rsidRPr="00BA45E4" w:rsidRDefault="00A36FE4" w:rsidP="00D37056">
            <w:pPr>
              <w:spacing w:after="0" w:line="240" w:lineRule="auto"/>
              <w:jc w:val="center"/>
              <w:rPr>
                <w:rFonts w:ascii="Times New Roman" w:hAnsi="Times New Roman" w:cs="Times New Roman"/>
                <w:color w:val="000000"/>
                <w:sz w:val="24"/>
                <w:szCs w:val="24"/>
              </w:rPr>
            </w:pPr>
            <w:r w:rsidRPr="00007A5A">
              <w:rPr>
                <w:rFonts w:ascii="Times New Roman" w:hAnsi="Times New Roman" w:cs="Times New Roman"/>
                <w:sz w:val="24"/>
                <w:szCs w:val="24"/>
              </w:rPr>
              <w:t>1 934 379</w:t>
            </w:r>
          </w:p>
        </w:tc>
      </w:tr>
      <w:tr w:rsidR="00A36FE4" w14:paraId="72B2A161" w14:textId="77777777" w:rsidTr="00FA6424">
        <w:trPr>
          <w:trHeight w:val="387"/>
          <w:jc w:val="center"/>
        </w:trPr>
        <w:tc>
          <w:tcPr>
            <w:tcW w:w="846" w:type="dxa"/>
            <w:tcBorders>
              <w:top w:val="nil"/>
              <w:left w:val="single" w:sz="4" w:space="0" w:color="auto"/>
              <w:bottom w:val="single" w:sz="4" w:space="0" w:color="auto"/>
              <w:right w:val="single" w:sz="4" w:space="0" w:color="auto"/>
            </w:tcBorders>
            <w:noWrap/>
            <w:vAlign w:val="center"/>
            <w:hideMark/>
          </w:tcPr>
          <w:p w14:paraId="0CDFC557"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2.</w:t>
            </w:r>
          </w:p>
        </w:tc>
        <w:tc>
          <w:tcPr>
            <w:tcW w:w="5812" w:type="dxa"/>
            <w:tcBorders>
              <w:top w:val="nil"/>
              <w:left w:val="nil"/>
              <w:bottom w:val="single" w:sz="4" w:space="0" w:color="auto"/>
              <w:right w:val="single" w:sz="4" w:space="0" w:color="auto"/>
            </w:tcBorders>
            <w:vAlign w:val="center"/>
            <w:hideMark/>
          </w:tcPr>
          <w:p w14:paraId="7FA250DA" w14:textId="77777777" w:rsidR="00A36FE4" w:rsidRPr="00847710" w:rsidRDefault="00A36FE4" w:rsidP="00D37056">
            <w:pPr>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Iedzīvotāju skaits %, kuri rindu, attāluma vai finanšu dēļ nav saņēmuši veselības aprūpes pakalpojumus</w:t>
            </w:r>
          </w:p>
        </w:tc>
        <w:tc>
          <w:tcPr>
            <w:tcW w:w="1275" w:type="dxa"/>
            <w:tcBorders>
              <w:top w:val="single" w:sz="4" w:space="0" w:color="auto"/>
              <w:left w:val="single" w:sz="4" w:space="0" w:color="auto"/>
              <w:bottom w:val="single" w:sz="4" w:space="0" w:color="auto"/>
              <w:right w:val="single" w:sz="4" w:space="0" w:color="auto"/>
            </w:tcBorders>
            <w:vAlign w:val="center"/>
          </w:tcPr>
          <w:p w14:paraId="1104A885" w14:textId="77777777" w:rsidR="00A36FE4" w:rsidRPr="00BA45E4" w:rsidRDefault="00A36FE4" w:rsidP="00A36FE4">
            <w:pPr>
              <w:jc w:val="center"/>
              <w:rPr>
                <w:rFonts w:ascii="Times New Roman" w:hAnsi="Times New Roman" w:cs="Times New Roman"/>
                <w:color w:val="000000"/>
                <w:sz w:val="24"/>
                <w:szCs w:val="24"/>
              </w:rPr>
            </w:pPr>
            <w:r w:rsidRPr="00007A5A">
              <w:rPr>
                <w:rFonts w:ascii="Times New Roman" w:hAnsi="Times New Roman" w:cs="Times New Roman"/>
                <w:sz w:val="24"/>
                <w:szCs w:val="24"/>
              </w:rPr>
              <w:t>8,2%</w:t>
            </w:r>
            <w:r w:rsidRPr="00007A5A">
              <w:rPr>
                <w:rStyle w:val="FootnoteReference"/>
                <w:rFonts w:ascii="Times New Roman" w:hAnsi="Times New Roman" w:cs="Times New Roman"/>
                <w:sz w:val="24"/>
                <w:szCs w:val="24"/>
              </w:rPr>
              <w:footnoteReference w:id="10"/>
            </w:r>
          </w:p>
        </w:tc>
      </w:tr>
      <w:tr w:rsidR="00A36FE4" w14:paraId="665C8D52" w14:textId="77777777" w:rsidTr="00FA6424">
        <w:trPr>
          <w:trHeight w:val="929"/>
          <w:jc w:val="center"/>
        </w:trPr>
        <w:tc>
          <w:tcPr>
            <w:tcW w:w="846" w:type="dxa"/>
            <w:tcBorders>
              <w:top w:val="nil"/>
              <w:left w:val="single" w:sz="4" w:space="0" w:color="auto"/>
              <w:bottom w:val="single" w:sz="4" w:space="0" w:color="auto"/>
              <w:right w:val="single" w:sz="4" w:space="0" w:color="auto"/>
            </w:tcBorders>
            <w:noWrap/>
            <w:vAlign w:val="center"/>
            <w:hideMark/>
          </w:tcPr>
          <w:p w14:paraId="49E60B89"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3.</w:t>
            </w:r>
          </w:p>
        </w:tc>
        <w:tc>
          <w:tcPr>
            <w:tcW w:w="5812" w:type="dxa"/>
            <w:tcBorders>
              <w:top w:val="nil"/>
              <w:left w:val="nil"/>
              <w:bottom w:val="single" w:sz="4" w:space="0" w:color="auto"/>
              <w:right w:val="single" w:sz="4" w:space="0" w:color="auto"/>
            </w:tcBorders>
            <w:vAlign w:val="center"/>
            <w:hideMark/>
          </w:tcPr>
          <w:p w14:paraId="19556602" w14:textId="77777777" w:rsidR="00A36FE4" w:rsidRPr="00847710" w:rsidRDefault="00A36FE4" w:rsidP="00D37056">
            <w:pPr>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Iedzīvotāju skaits, kuri rindu, attāluma vai finanšu dēļ nav saņēmuši sekundāros ambulatoros veselības aprūpes pakalpojumus</w:t>
            </w:r>
          </w:p>
        </w:tc>
        <w:tc>
          <w:tcPr>
            <w:tcW w:w="1275" w:type="dxa"/>
            <w:tcBorders>
              <w:top w:val="single" w:sz="4" w:space="0" w:color="auto"/>
              <w:left w:val="single" w:sz="4" w:space="0" w:color="auto"/>
              <w:bottom w:val="single" w:sz="4" w:space="0" w:color="auto"/>
              <w:right w:val="single" w:sz="4" w:space="0" w:color="auto"/>
            </w:tcBorders>
            <w:vAlign w:val="center"/>
          </w:tcPr>
          <w:p w14:paraId="7C370907" w14:textId="77777777" w:rsidR="00A36FE4" w:rsidRPr="00BA45E4" w:rsidRDefault="00A36FE4" w:rsidP="00A36FE4">
            <w:pPr>
              <w:jc w:val="center"/>
              <w:rPr>
                <w:rFonts w:ascii="Times New Roman" w:hAnsi="Times New Roman" w:cs="Times New Roman"/>
                <w:color w:val="000000"/>
                <w:sz w:val="24"/>
                <w:szCs w:val="24"/>
              </w:rPr>
            </w:pPr>
            <w:r w:rsidRPr="00007A5A">
              <w:rPr>
                <w:rFonts w:ascii="Times New Roman" w:hAnsi="Times New Roman" w:cs="Times New Roman"/>
                <w:sz w:val="24"/>
                <w:szCs w:val="24"/>
              </w:rPr>
              <w:t>158 619</w:t>
            </w:r>
          </w:p>
        </w:tc>
      </w:tr>
      <w:tr w:rsidR="00A36FE4" w14:paraId="03030AE3" w14:textId="77777777" w:rsidTr="00FA6424">
        <w:trPr>
          <w:trHeight w:val="421"/>
          <w:jc w:val="center"/>
        </w:trPr>
        <w:tc>
          <w:tcPr>
            <w:tcW w:w="846" w:type="dxa"/>
            <w:tcBorders>
              <w:top w:val="nil"/>
              <w:left w:val="single" w:sz="4" w:space="0" w:color="auto"/>
              <w:bottom w:val="single" w:sz="4" w:space="0" w:color="auto"/>
              <w:right w:val="single" w:sz="4" w:space="0" w:color="auto"/>
            </w:tcBorders>
            <w:noWrap/>
            <w:vAlign w:val="center"/>
            <w:hideMark/>
          </w:tcPr>
          <w:p w14:paraId="07A66480"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4.</w:t>
            </w:r>
          </w:p>
        </w:tc>
        <w:tc>
          <w:tcPr>
            <w:tcW w:w="5812" w:type="dxa"/>
            <w:tcBorders>
              <w:top w:val="nil"/>
              <w:left w:val="nil"/>
              <w:bottom w:val="single" w:sz="4" w:space="0" w:color="auto"/>
              <w:right w:val="single" w:sz="4" w:space="0" w:color="auto"/>
            </w:tcBorders>
            <w:vAlign w:val="center"/>
            <w:hideMark/>
          </w:tcPr>
          <w:p w14:paraId="156A3095" w14:textId="77777777" w:rsidR="00A36FE4" w:rsidRPr="00847710" w:rsidRDefault="00A36FE4" w:rsidP="00D37056">
            <w:pPr>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Konsultāciju biežums pie speciālistiem divas vai vairāk reižu (četrās nedēļās)</w:t>
            </w:r>
          </w:p>
        </w:tc>
        <w:tc>
          <w:tcPr>
            <w:tcW w:w="1275" w:type="dxa"/>
            <w:tcBorders>
              <w:top w:val="single" w:sz="4" w:space="0" w:color="auto"/>
              <w:left w:val="single" w:sz="4" w:space="0" w:color="auto"/>
              <w:bottom w:val="single" w:sz="4" w:space="0" w:color="auto"/>
              <w:right w:val="single" w:sz="4" w:space="0" w:color="auto"/>
            </w:tcBorders>
            <w:vAlign w:val="center"/>
          </w:tcPr>
          <w:p w14:paraId="25D692CE" w14:textId="77777777" w:rsidR="00A36FE4" w:rsidRPr="00BA45E4" w:rsidRDefault="00A36FE4" w:rsidP="00A36FE4">
            <w:pPr>
              <w:jc w:val="center"/>
              <w:rPr>
                <w:rFonts w:ascii="Times New Roman" w:hAnsi="Times New Roman" w:cs="Times New Roman"/>
                <w:color w:val="000000"/>
                <w:sz w:val="24"/>
                <w:szCs w:val="24"/>
              </w:rPr>
            </w:pPr>
            <w:r w:rsidRPr="00007A5A">
              <w:rPr>
                <w:rFonts w:ascii="Times New Roman" w:hAnsi="Times New Roman" w:cs="Times New Roman"/>
                <w:sz w:val="24"/>
                <w:szCs w:val="24"/>
              </w:rPr>
              <w:t xml:space="preserve">4,7% </w:t>
            </w:r>
            <w:r w:rsidRPr="00007A5A">
              <w:rPr>
                <w:rStyle w:val="FootnoteReference"/>
                <w:rFonts w:ascii="Times New Roman" w:hAnsi="Times New Roman" w:cs="Times New Roman"/>
                <w:sz w:val="24"/>
                <w:szCs w:val="24"/>
              </w:rPr>
              <w:footnoteReference w:id="11"/>
            </w:r>
          </w:p>
        </w:tc>
      </w:tr>
      <w:tr w:rsidR="00A36FE4" w14:paraId="719C01A3" w14:textId="77777777" w:rsidTr="00FA6424">
        <w:trPr>
          <w:trHeight w:val="671"/>
          <w:jc w:val="center"/>
        </w:trPr>
        <w:tc>
          <w:tcPr>
            <w:tcW w:w="84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26C5633C"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5.</w:t>
            </w:r>
          </w:p>
        </w:tc>
        <w:tc>
          <w:tcPr>
            <w:tcW w:w="5812" w:type="dxa"/>
            <w:tcBorders>
              <w:top w:val="nil"/>
              <w:left w:val="nil"/>
              <w:bottom w:val="single" w:sz="4" w:space="0" w:color="auto"/>
              <w:right w:val="single" w:sz="4" w:space="0" w:color="auto"/>
            </w:tcBorders>
            <w:shd w:val="clear" w:color="auto" w:fill="FDE9D9" w:themeFill="accent6" w:themeFillTint="33"/>
            <w:vAlign w:val="center"/>
            <w:hideMark/>
          </w:tcPr>
          <w:p w14:paraId="7D7CB42F" w14:textId="77777777" w:rsidR="00A36FE4" w:rsidRPr="00847710" w:rsidRDefault="00A36FE4" w:rsidP="00D37056">
            <w:pPr>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Nesaņemto sekundāro ambulatoro veselības aprūpes pakalpojumu skaits (rindu, attāluma vai finanšu dēļ)</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19798B" w14:textId="77777777" w:rsidR="00A36FE4" w:rsidRPr="00BA45E4" w:rsidRDefault="00A36FE4" w:rsidP="00A36FE4">
            <w:pPr>
              <w:jc w:val="center"/>
              <w:rPr>
                <w:rFonts w:ascii="Times New Roman" w:hAnsi="Times New Roman" w:cs="Times New Roman"/>
                <w:color w:val="000000"/>
                <w:sz w:val="24"/>
                <w:szCs w:val="24"/>
              </w:rPr>
            </w:pPr>
            <w:r w:rsidRPr="00007A5A">
              <w:rPr>
                <w:rFonts w:ascii="Times New Roman" w:hAnsi="Times New Roman" w:cs="Times New Roman"/>
                <w:sz w:val="24"/>
                <w:szCs w:val="24"/>
              </w:rPr>
              <w:t>166 074</w:t>
            </w:r>
          </w:p>
        </w:tc>
      </w:tr>
    </w:tbl>
    <w:p w14:paraId="08F7CBC5" w14:textId="77777777" w:rsidR="00A82F65" w:rsidRPr="00847710" w:rsidRDefault="00A82F65" w:rsidP="00A82F65">
      <w:pPr>
        <w:jc w:val="both"/>
        <w:rPr>
          <w:rFonts w:ascii="Times New Roman" w:hAnsi="Times New Roman" w:cs="Times New Roman"/>
          <w:sz w:val="24"/>
          <w:szCs w:val="24"/>
        </w:rPr>
      </w:pPr>
    </w:p>
    <w:p w14:paraId="4D03D705" w14:textId="26D808A8" w:rsidR="00047297" w:rsidRPr="00047297" w:rsidRDefault="00047297" w:rsidP="00FF02DA">
      <w:pPr>
        <w:spacing w:after="120"/>
        <w:ind w:firstLine="720"/>
        <w:jc w:val="both"/>
        <w:rPr>
          <w:rFonts w:ascii="Times New Roman" w:hAnsi="Times New Roman" w:cs="Times New Roman"/>
          <w:bCs/>
          <w:sz w:val="24"/>
          <w:szCs w:val="24"/>
        </w:rPr>
      </w:pPr>
      <w:r w:rsidRPr="00047297">
        <w:rPr>
          <w:rFonts w:ascii="Times New Roman" w:hAnsi="Times New Roman" w:cs="Times New Roman"/>
          <w:bCs/>
          <w:sz w:val="24"/>
          <w:szCs w:val="24"/>
        </w:rPr>
        <w:t>2018.gadam nesaņemto sekundāro ambulatoro veselības aprūpes pakalpojumu ietekme indikatīvi noteiktā 10,2%, kas rezultējas ar 5,96% no kopējā plānotā sekundāro ambulatoro veselības aprūpes pakalpojumu skaita, kas tiek piedāvāts papildus piešķirtā finansējuma ietekmē. Aprēķina pamatā ir 2018.gadā sekundārajā ambulatorajā veselības aprūpē plānotais pakalpojuma skaits 730 822, kas atbilst 25% rindas samazinājumam, nesaņemto sekundāro ambulatoro veselības aprūpes pakalpojumu skaits (rindu, attāluma vai finanšu dēļ</w:t>
      </w:r>
      <w:r w:rsidRPr="0060477C">
        <w:rPr>
          <w:rFonts w:ascii="Times New Roman" w:hAnsi="Times New Roman" w:cs="Times New Roman"/>
          <w:bCs/>
          <w:sz w:val="24"/>
          <w:szCs w:val="24"/>
        </w:rPr>
        <w:t>) (</w:t>
      </w:r>
      <w:r w:rsidR="00894E2F" w:rsidRPr="0060477C">
        <w:rPr>
          <w:rFonts w:ascii="Times New Roman" w:hAnsi="Times New Roman" w:cs="Times New Roman"/>
          <w:bCs/>
          <w:sz w:val="24"/>
          <w:szCs w:val="24"/>
        </w:rPr>
        <w:t>3</w:t>
      </w:r>
      <w:r w:rsidRPr="0060477C">
        <w:rPr>
          <w:rFonts w:ascii="Times New Roman" w:hAnsi="Times New Roman" w:cs="Times New Roman"/>
          <w:bCs/>
          <w:sz w:val="24"/>
          <w:szCs w:val="24"/>
        </w:rPr>
        <w:t>.tabula) un  rindas koriģētais samazinājums, kas paredz, ka samazinoties rindai proporcionāli pieaug to</w:t>
      </w:r>
      <w:r w:rsidRPr="00047297">
        <w:rPr>
          <w:rFonts w:ascii="Times New Roman" w:hAnsi="Times New Roman" w:cs="Times New Roman"/>
          <w:bCs/>
          <w:sz w:val="24"/>
          <w:szCs w:val="24"/>
        </w:rPr>
        <w:t xml:space="preserve"> pakalpojumu saņēmušo iedzīvotāju skaits, kas ieplūst valsts apmaksājamo pakalpojumu segmentā.</w:t>
      </w:r>
    </w:p>
    <w:p w14:paraId="275CAA9E" w14:textId="77777777" w:rsidR="00047297" w:rsidRPr="00047297" w:rsidRDefault="00047297" w:rsidP="00FF02DA">
      <w:pPr>
        <w:spacing w:after="120"/>
        <w:ind w:firstLine="720"/>
        <w:jc w:val="both"/>
        <w:rPr>
          <w:rFonts w:ascii="Times New Roman" w:hAnsi="Times New Roman" w:cs="Times New Roman"/>
          <w:bCs/>
          <w:sz w:val="24"/>
          <w:szCs w:val="24"/>
        </w:rPr>
      </w:pPr>
      <w:r w:rsidRPr="00047297">
        <w:rPr>
          <w:rFonts w:ascii="Times New Roman" w:hAnsi="Times New Roman" w:cs="Times New Roman"/>
          <w:bCs/>
          <w:sz w:val="24"/>
          <w:szCs w:val="24"/>
        </w:rPr>
        <w:t xml:space="preserve">Savukārt, </w:t>
      </w:r>
      <w:r w:rsidRPr="00047297">
        <w:rPr>
          <w:rFonts w:ascii="Times New Roman" w:hAnsi="Times New Roman" w:cs="Times New Roman"/>
          <w:sz w:val="24"/>
          <w:szCs w:val="24"/>
        </w:rPr>
        <w:t xml:space="preserve">pacientu uzvedības maiņas noteikšanai </w:t>
      </w:r>
      <w:r w:rsidRPr="00047297">
        <w:rPr>
          <w:rFonts w:ascii="Times New Roman" w:hAnsi="Times New Roman" w:cs="Times New Roman"/>
          <w:bCs/>
          <w:sz w:val="24"/>
          <w:szCs w:val="24"/>
        </w:rPr>
        <w:t xml:space="preserve">izmantojot nesaņemto sekundāro ambulatoro veselības aprūpes pakalpojumu skaita (rindu, attāluma vai finanšu dēļ) attiecību pret kopējo rindu uz šiem pakalpojumiem no reformu sākuma, ir secināts, ka par 5,68% ir palielinājies pieprasījums uz valsts apmaksātiem sekundārajiem ambulatorajiem veselības aprūpes pakalpojumiem, ko veido tās iedzīvotāju grupas, kuras līdz šim nesaņēma </w:t>
      </w:r>
      <w:r w:rsidRPr="00047297">
        <w:rPr>
          <w:rFonts w:ascii="Times New Roman" w:hAnsi="Times New Roman" w:cs="Times New Roman"/>
          <w:sz w:val="24"/>
          <w:szCs w:val="24"/>
        </w:rPr>
        <w:t>sekundāros ambulatoros veselības aprūpes pakalpojumus</w:t>
      </w:r>
      <w:r w:rsidRPr="00047297">
        <w:rPr>
          <w:rFonts w:ascii="Times New Roman" w:hAnsi="Times New Roman" w:cs="Times New Roman"/>
          <w:bCs/>
          <w:sz w:val="24"/>
          <w:szCs w:val="24"/>
        </w:rPr>
        <w:t xml:space="preserve"> </w:t>
      </w:r>
      <w:r w:rsidRPr="00047297">
        <w:rPr>
          <w:rFonts w:ascii="Times New Roman" w:hAnsi="Times New Roman" w:cs="Times New Roman"/>
          <w:sz w:val="24"/>
          <w:szCs w:val="24"/>
        </w:rPr>
        <w:t xml:space="preserve">rindu, attāluma vai finanšu dēļ. </w:t>
      </w:r>
    </w:p>
    <w:p w14:paraId="290A3409" w14:textId="77777777" w:rsidR="00047297" w:rsidRPr="00047297" w:rsidRDefault="00047297" w:rsidP="00FF02DA">
      <w:pPr>
        <w:spacing w:after="120"/>
        <w:ind w:firstLine="720"/>
        <w:jc w:val="both"/>
        <w:rPr>
          <w:rFonts w:ascii="Times New Roman" w:hAnsi="Times New Roman" w:cs="Times New Roman"/>
          <w:bCs/>
          <w:sz w:val="24"/>
          <w:szCs w:val="24"/>
        </w:rPr>
      </w:pPr>
      <w:r w:rsidRPr="00047297">
        <w:rPr>
          <w:rFonts w:ascii="Times New Roman" w:hAnsi="Times New Roman" w:cs="Times New Roman"/>
          <w:bCs/>
          <w:sz w:val="24"/>
          <w:szCs w:val="24"/>
        </w:rPr>
        <w:t>To iedzīvotāju īpatsvars, kas līdz šim ir saņēmuši sekundāro ambulatoro veselības aprūpi par personīgiem līdzekļiem (“</w:t>
      </w:r>
      <w:r w:rsidRPr="009317E3">
        <w:rPr>
          <w:rFonts w:ascii="Times New Roman" w:hAnsi="Times New Roman" w:cs="Times New Roman"/>
          <w:bCs/>
          <w:sz w:val="24"/>
          <w:szCs w:val="24"/>
        </w:rPr>
        <w:t>out-of-pocket”</w:t>
      </w:r>
      <w:r w:rsidRPr="00047297">
        <w:rPr>
          <w:rFonts w:ascii="Times New Roman" w:hAnsi="Times New Roman" w:cs="Times New Roman"/>
          <w:bCs/>
          <w:sz w:val="24"/>
          <w:szCs w:val="24"/>
        </w:rPr>
        <w:t xml:space="preserve"> maksājumiem) 2017.gadā, salīdzinājumā ar 2016.gadu, valsts kapitālsabiedrībās ir samazinājies par 11%, palielinoties valsts apmaksātiem pakalpojumiem par 10% (ņemot vērā kopējo pakalpojumu skaita apjomu un tā </w:t>
      </w:r>
      <w:r w:rsidRPr="00047297">
        <w:rPr>
          <w:rFonts w:ascii="Times New Roman" w:hAnsi="Times New Roman" w:cs="Times New Roman"/>
          <w:bCs/>
          <w:sz w:val="24"/>
          <w:szCs w:val="24"/>
        </w:rPr>
        <w:lastRenderedPageBreak/>
        <w:t xml:space="preserve">izmaiņas). Šai proporcijai saglabājoties iepriekšējā gada līmenī, var pieņemt, ka 2018.gadā valsts finansēto sekundārās ambulatorās veselības aprūpes pakalpojumu skaitā ir ieplūduši vismaz 11% no līdz šim no personīgiem līdzekļiem apmaksātiem pakalpojumiem. </w:t>
      </w:r>
    </w:p>
    <w:p w14:paraId="2E9ECBCA" w14:textId="4417ACE5" w:rsidR="007A0F5A" w:rsidRPr="00007A5A" w:rsidRDefault="00047297" w:rsidP="00FF02DA">
      <w:pPr>
        <w:autoSpaceDE w:val="0"/>
        <w:autoSpaceDN w:val="0"/>
        <w:adjustRightInd w:val="0"/>
        <w:spacing w:after="120"/>
        <w:ind w:firstLine="720"/>
        <w:jc w:val="both"/>
        <w:rPr>
          <w:rFonts w:ascii="Times New Roman" w:hAnsi="Times New Roman" w:cs="Times New Roman"/>
          <w:sz w:val="24"/>
          <w:szCs w:val="24"/>
          <w:lang w:bidi="lo-LA"/>
        </w:rPr>
      </w:pPr>
      <w:r w:rsidRPr="00047297">
        <w:rPr>
          <w:rFonts w:ascii="Times New Roman" w:hAnsi="Times New Roman" w:cs="Times New Roman"/>
          <w:bCs/>
          <w:sz w:val="24"/>
          <w:szCs w:val="24"/>
        </w:rPr>
        <w:t>Ņemot vērā novēroto pacientu uzvedības maiņu, kas 2018.gadā indikatīvi atstāj ietekmi 16,68% apmērā (augstāk aprakstītie 5,68% un 11%), faktiskais rindas samazinājums, kas kā viens no reformas mērķiem tika noteikts tās uzsākot, būtu koriģējams ar rindā ieplūdušajiem pacientiem un tiem nodrošināto pakalpojumu skaita pieaugumu.</w:t>
      </w:r>
      <w:r w:rsidR="007A0F5A">
        <w:rPr>
          <w:rFonts w:ascii="Times New Roman" w:hAnsi="Times New Roman" w:cs="Times New Roman"/>
          <w:bCs/>
          <w:sz w:val="24"/>
          <w:szCs w:val="24"/>
        </w:rPr>
        <w:t xml:space="preserve"> </w:t>
      </w:r>
      <w:r w:rsidR="007A0F5A" w:rsidRPr="00007A5A">
        <w:rPr>
          <w:rFonts w:ascii="Times New Roman" w:hAnsi="Times New Roman" w:cs="Times New Roman"/>
          <w:sz w:val="24"/>
          <w:szCs w:val="24"/>
          <w:lang w:bidi="lo-LA"/>
        </w:rPr>
        <w:t xml:space="preserve">Pie noteiktiem speciālistiem var doties bez nosūtījuma (tiešā pieejamība). Uz 2018.gada 1.jūliju pacientu gaidīšanas </w:t>
      </w:r>
      <w:r w:rsidR="007A0F5A" w:rsidRPr="00007A5A">
        <w:rPr>
          <w:rFonts w:ascii="Times New Roman" w:hAnsi="Times New Roman" w:cs="Times New Roman"/>
          <w:b/>
          <w:bCs/>
          <w:sz w:val="24"/>
          <w:szCs w:val="24"/>
          <w:lang w:bidi="lo-LA"/>
        </w:rPr>
        <w:t>rindas uz speciālistu konsultācijām ir samazinājušās</w:t>
      </w:r>
      <w:r w:rsidR="007A0F5A" w:rsidRPr="00007A5A">
        <w:rPr>
          <w:rFonts w:ascii="Times New Roman" w:hAnsi="Times New Roman" w:cs="Times New Roman"/>
          <w:sz w:val="24"/>
          <w:szCs w:val="24"/>
          <w:lang w:bidi="lo-LA"/>
        </w:rPr>
        <w:t xml:space="preserve"> vidēji līdz 84,65 dienām salīdzinājumā ar situāciju pirms reformu uzsākšanas, kad vidējais gaidīšanas laiks bija līdz 100,48 dienām. 2018.gada 1.pusgadā rindu samazinājums nodrošināts par </w:t>
      </w:r>
      <w:r w:rsidR="007A0F5A" w:rsidRPr="00007A5A">
        <w:rPr>
          <w:rFonts w:ascii="Times New Roman" w:hAnsi="Times New Roman" w:cs="Times New Roman"/>
          <w:b/>
          <w:sz w:val="24"/>
          <w:szCs w:val="24"/>
          <w:lang w:bidi="lo-LA"/>
        </w:rPr>
        <w:t>15,75%</w:t>
      </w:r>
      <w:r w:rsidR="007A0F5A" w:rsidRPr="00007A5A">
        <w:rPr>
          <w:rFonts w:ascii="Times New Roman" w:hAnsi="Times New Roman" w:cs="Times New Roman"/>
          <w:sz w:val="24"/>
          <w:szCs w:val="24"/>
          <w:lang w:bidi="lo-LA"/>
        </w:rPr>
        <w:t xml:space="preserve"> no sākotnējā rindu apjoma, savukārt rindu samazinājums bez pacientu uzvedības maiņas nodrošināts </w:t>
      </w:r>
      <w:r w:rsidR="007A0F5A" w:rsidRPr="00007A5A">
        <w:rPr>
          <w:rFonts w:ascii="Times New Roman" w:hAnsi="Times New Roman" w:cs="Times New Roman"/>
          <w:b/>
          <w:sz w:val="24"/>
          <w:szCs w:val="24"/>
          <w:lang w:bidi="lo-LA"/>
        </w:rPr>
        <w:t>2</w:t>
      </w:r>
      <w:r>
        <w:rPr>
          <w:rFonts w:ascii="Times New Roman" w:hAnsi="Times New Roman" w:cs="Times New Roman"/>
          <w:b/>
          <w:sz w:val="24"/>
          <w:szCs w:val="24"/>
          <w:lang w:bidi="lo-LA"/>
        </w:rPr>
        <w:t>7</w:t>
      </w:r>
      <w:r w:rsidR="007A0F5A" w:rsidRPr="00007A5A">
        <w:rPr>
          <w:rFonts w:ascii="Times New Roman" w:hAnsi="Times New Roman" w:cs="Times New Roman"/>
          <w:b/>
          <w:sz w:val="24"/>
          <w:szCs w:val="24"/>
          <w:lang w:bidi="lo-LA"/>
        </w:rPr>
        <w:t>,</w:t>
      </w:r>
      <w:r>
        <w:rPr>
          <w:rFonts w:ascii="Times New Roman" w:hAnsi="Times New Roman" w:cs="Times New Roman"/>
          <w:b/>
          <w:sz w:val="24"/>
          <w:szCs w:val="24"/>
          <w:lang w:bidi="lo-LA"/>
        </w:rPr>
        <w:t>80</w:t>
      </w:r>
      <w:r w:rsidR="007A0F5A" w:rsidRPr="00007A5A">
        <w:rPr>
          <w:rFonts w:ascii="Times New Roman" w:hAnsi="Times New Roman" w:cs="Times New Roman"/>
          <w:b/>
          <w:sz w:val="24"/>
          <w:szCs w:val="24"/>
          <w:lang w:bidi="lo-LA"/>
        </w:rPr>
        <w:t>%</w:t>
      </w:r>
      <w:r w:rsidR="007A0F5A" w:rsidRPr="00007A5A">
        <w:rPr>
          <w:rFonts w:ascii="Times New Roman" w:hAnsi="Times New Roman" w:cs="Times New Roman"/>
          <w:sz w:val="24"/>
          <w:szCs w:val="24"/>
          <w:lang w:bidi="lo-LA"/>
        </w:rPr>
        <w:t xml:space="preserve"> apmērā.</w:t>
      </w:r>
    </w:p>
    <w:p w14:paraId="1CFCD53C" w14:textId="33C006C7" w:rsidR="007A0F5A" w:rsidRPr="00007A5A" w:rsidRDefault="007A0F5A" w:rsidP="00FF02DA">
      <w:pPr>
        <w:autoSpaceDE w:val="0"/>
        <w:autoSpaceDN w:val="0"/>
        <w:adjustRightInd w:val="0"/>
        <w:spacing w:after="120"/>
        <w:ind w:firstLine="720"/>
        <w:jc w:val="both"/>
        <w:rPr>
          <w:rFonts w:ascii="Times New Roman" w:hAnsi="Times New Roman" w:cs="Times New Roman"/>
          <w:sz w:val="24"/>
          <w:szCs w:val="24"/>
          <w:lang w:bidi="lo-LA"/>
        </w:rPr>
      </w:pPr>
      <w:r w:rsidRPr="00007A5A">
        <w:rPr>
          <w:rFonts w:ascii="Times New Roman" w:hAnsi="Times New Roman" w:cs="Times New Roman"/>
          <w:sz w:val="24"/>
          <w:szCs w:val="24"/>
          <w:lang w:bidi="lo-LA"/>
        </w:rPr>
        <w:t xml:space="preserve">Uz 2018.gada 1.jūliju pacientu gaidīšanas </w:t>
      </w:r>
      <w:r w:rsidRPr="00007A5A">
        <w:rPr>
          <w:rFonts w:ascii="Times New Roman" w:hAnsi="Times New Roman" w:cs="Times New Roman"/>
          <w:b/>
          <w:bCs/>
          <w:sz w:val="24"/>
          <w:szCs w:val="24"/>
          <w:lang w:bidi="lo-LA"/>
        </w:rPr>
        <w:t>rindas uz ambulatorajiem izmeklējumiem un terapiju ir samazinājušās</w:t>
      </w:r>
      <w:r w:rsidRPr="00007A5A">
        <w:rPr>
          <w:rFonts w:ascii="Times New Roman" w:hAnsi="Times New Roman" w:cs="Times New Roman"/>
          <w:sz w:val="24"/>
          <w:szCs w:val="24"/>
          <w:lang w:bidi="lo-LA"/>
        </w:rPr>
        <w:t xml:space="preserve"> vidēji līdz 36,83 dienām salīdzinājumā ar situāciju pirms reformu uzsākšanas, kad vidējais gaidīšanas laiks bija līdz 40,39 dienām. Sākotnēji sasniegts lielāks rindas samazinājums nekā plānots, tomēr turpmāk nav gaidāms tik straujš rindu samazinājums, t.sk. ņemot vērā iepriekš skaidroto pacientu uzvedības maiņu. 2018.gada 1.pusgadā rindu samazinājums nodrošināts par </w:t>
      </w:r>
      <w:r w:rsidRPr="00007A5A">
        <w:rPr>
          <w:rFonts w:ascii="Times New Roman" w:hAnsi="Times New Roman" w:cs="Times New Roman"/>
          <w:b/>
          <w:sz w:val="24"/>
          <w:szCs w:val="24"/>
          <w:lang w:bidi="lo-LA"/>
        </w:rPr>
        <w:t>8,81%</w:t>
      </w:r>
      <w:r w:rsidRPr="00007A5A">
        <w:rPr>
          <w:rFonts w:ascii="Times New Roman" w:hAnsi="Times New Roman" w:cs="Times New Roman"/>
          <w:sz w:val="24"/>
          <w:szCs w:val="24"/>
          <w:lang w:bidi="lo-LA"/>
        </w:rPr>
        <w:t xml:space="preserve"> no sākotnējā rindu apjoma, savukārt rindu samazinājums bez pacientu uzvedības maiņas nodrošināts </w:t>
      </w:r>
      <w:r w:rsidR="00047297">
        <w:rPr>
          <w:rFonts w:ascii="Times New Roman" w:hAnsi="Times New Roman" w:cs="Times New Roman"/>
          <w:b/>
          <w:sz w:val="24"/>
          <w:szCs w:val="24"/>
          <w:lang w:bidi="lo-LA"/>
        </w:rPr>
        <w:t>21,8</w:t>
      </w:r>
      <w:r w:rsidRPr="00007A5A">
        <w:rPr>
          <w:rFonts w:ascii="Times New Roman" w:hAnsi="Times New Roman" w:cs="Times New Roman"/>
          <w:b/>
          <w:sz w:val="24"/>
          <w:szCs w:val="24"/>
          <w:lang w:bidi="lo-LA"/>
        </w:rPr>
        <w:t>5%</w:t>
      </w:r>
      <w:r w:rsidRPr="00007A5A">
        <w:rPr>
          <w:rFonts w:ascii="Times New Roman" w:hAnsi="Times New Roman" w:cs="Times New Roman"/>
          <w:sz w:val="24"/>
          <w:szCs w:val="24"/>
          <w:lang w:bidi="lo-LA"/>
        </w:rPr>
        <w:t xml:space="preserve"> apmērā.</w:t>
      </w:r>
    </w:p>
    <w:p w14:paraId="2A8D11E6" w14:textId="55D099A9" w:rsidR="007A0F5A" w:rsidRPr="00007A5A" w:rsidRDefault="007A0F5A" w:rsidP="00FF02DA">
      <w:pPr>
        <w:autoSpaceDE w:val="0"/>
        <w:autoSpaceDN w:val="0"/>
        <w:adjustRightInd w:val="0"/>
        <w:spacing w:after="120"/>
        <w:ind w:firstLine="720"/>
        <w:jc w:val="both"/>
        <w:rPr>
          <w:rFonts w:ascii="Times New Roman" w:hAnsi="Times New Roman" w:cs="Times New Roman"/>
          <w:sz w:val="24"/>
          <w:szCs w:val="24"/>
          <w:lang w:bidi="lo-LA"/>
        </w:rPr>
      </w:pPr>
      <w:r w:rsidRPr="00007A5A">
        <w:rPr>
          <w:rFonts w:ascii="Times New Roman" w:hAnsi="Times New Roman" w:cs="Times New Roman"/>
          <w:sz w:val="24"/>
          <w:szCs w:val="24"/>
          <w:lang w:bidi="lo-LA"/>
        </w:rPr>
        <w:t xml:space="preserve">Uz 2018.gada 1.jūliju pacientu gaidīšanas </w:t>
      </w:r>
      <w:r w:rsidRPr="00007A5A">
        <w:rPr>
          <w:rFonts w:ascii="Times New Roman" w:hAnsi="Times New Roman" w:cs="Times New Roman"/>
          <w:b/>
          <w:bCs/>
          <w:sz w:val="24"/>
          <w:szCs w:val="24"/>
          <w:lang w:bidi="lo-LA"/>
        </w:rPr>
        <w:t>rindas uz dienas stacionārā sniegtajiem pakalpojumiem ir samazinājušās</w:t>
      </w:r>
      <w:r w:rsidRPr="00007A5A">
        <w:rPr>
          <w:rFonts w:ascii="Times New Roman" w:hAnsi="Times New Roman" w:cs="Times New Roman"/>
          <w:sz w:val="24"/>
          <w:szCs w:val="24"/>
          <w:lang w:bidi="lo-LA"/>
        </w:rPr>
        <w:t xml:space="preserve"> vidēji līdz 148,50 dienām salīdzinājumā ar situāciju pirms reformu uzsākšanas, kad vidējais gaidīšanas laiks bija līdz 407 dienām. 2018.gada 1.pusgadā rindu samazinājums nodrošināts par </w:t>
      </w:r>
      <w:r w:rsidRPr="00007A5A">
        <w:rPr>
          <w:rFonts w:ascii="Times New Roman" w:hAnsi="Times New Roman" w:cs="Times New Roman"/>
          <w:b/>
          <w:sz w:val="24"/>
          <w:szCs w:val="24"/>
          <w:lang w:bidi="lo-LA"/>
        </w:rPr>
        <w:t>63,51%</w:t>
      </w:r>
      <w:r w:rsidRPr="00007A5A">
        <w:rPr>
          <w:rFonts w:ascii="Times New Roman" w:hAnsi="Times New Roman" w:cs="Times New Roman"/>
          <w:sz w:val="24"/>
          <w:szCs w:val="24"/>
          <w:lang w:bidi="lo-LA"/>
        </w:rPr>
        <w:t xml:space="preserve"> no sākotnējā rindu apjoma, savukārt rindu samazinājums bez pacientu uzvedības maiņas nodrošināts </w:t>
      </w:r>
      <w:r w:rsidRPr="00007A5A">
        <w:rPr>
          <w:rFonts w:ascii="Times New Roman" w:hAnsi="Times New Roman" w:cs="Times New Roman"/>
          <w:b/>
          <w:sz w:val="24"/>
          <w:szCs w:val="24"/>
          <w:lang w:bidi="lo-LA"/>
        </w:rPr>
        <w:t>6</w:t>
      </w:r>
      <w:r w:rsidR="00047297">
        <w:rPr>
          <w:rFonts w:ascii="Times New Roman" w:hAnsi="Times New Roman" w:cs="Times New Roman"/>
          <w:b/>
          <w:sz w:val="24"/>
          <w:szCs w:val="24"/>
          <w:lang w:bidi="lo-LA"/>
        </w:rPr>
        <w:t>8</w:t>
      </w:r>
      <w:r w:rsidRPr="00007A5A">
        <w:rPr>
          <w:rFonts w:ascii="Times New Roman" w:hAnsi="Times New Roman" w:cs="Times New Roman"/>
          <w:b/>
          <w:sz w:val="24"/>
          <w:szCs w:val="24"/>
          <w:lang w:bidi="lo-LA"/>
        </w:rPr>
        <w:t>,</w:t>
      </w:r>
      <w:r w:rsidR="00047297">
        <w:rPr>
          <w:rFonts w:ascii="Times New Roman" w:hAnsi="Times New Roman" w:cs="Times New Roman"/>
          <w:b/>
          <w:sz w:val="24"/>
          <w:szCs w:val="24"/>
          <w:lang w:bidi="lo-LA"/>
        </w:rPr>
        <w:t>73</w:t>
      </w:r>
      <w:r w:rsidRPr="00007A5A">
        <w:rPr>
          <w:rFonts w:ascii="Times New Roman" w:hAnsi="Times New Roman" w:cs="Times New Roman"/>
          <w:b/>
          <w:sz w:val="24"/>
          <w:szCs w:val="24"/>
          <w:lang w:bidi="lo-LA"/>
        </w:rPr>
        <w:t>%</w:t>
      </w:r>
      <w:r w:rsidRPr="00007A5A">
        <w:rPr>
          <w:rFonts w:ascii="Times New Roman" w:hAnsi="Times New Roman" w:cs="Times New Roman"/>
          <w:sz w:val="24"/>
          <w:szCs w:val="24"/>
          <w:lang w:bidi="lo-LA"/>
        </w:rPr>
        <w:t xml:space="preserve"> apmērā.</w:t>
      </w:r>
    </w:p>
    <w:p w14:paraId="2869B5F5" w14:textId="6A6F50F8" w:rsidR="00780921" w:rsidRPr="00847710" w:rsidRDefault="007A0F5A"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lang w:bidi="lo-LA"/>
        </w:rPr>
        <w:t xml:space="preserve">Uz 2018.gada 1.jūliju pacientu gaidīšanas </w:t>
      </w:r>
      <w:r w:rsidRPr="00007A5A">
        <w:rPr>
          <w:rFonts w:ascii="Times New Roman" w:hAnsi="Times New Roman" w:cs="Times New Roman"/>
          <w:b/>
          <w:bCs/>
          <w:sz w:val="24"/>
          <w:szCs w:val="24"/>
          <w:lang w:bidi="lo-LA"/>
        </w:rPr>
        <w:t>rindas uz ambulatorās rehabilitācijas pakalpojumiem ir samazinājušās</w:t>
      </w:r>
      <w:r w:rsidRPr="00007A5A">
        <w:rPr>
          <w:rFonts w:ascii="Times New Roman" w:hAnsi="Times New Roman" w:cs="Times New Roman"/>
          <w:sz w:val="24"/>
          <w:szCs w:val="24"/>
          <w:lang w:bidi="lo-LA"/>
        </w:rPr>
        <w:t xml:space="preserve"> vidēji līdz 294,80 dienām salīdzinājumā ar situāciju pirms reformu uzsākšanas, kad vidējais gaidīšanas laiks bija līdz 500,2 dienām. Ņemot vērā ievērojamo rindu garumu uz rehabilitācijas pakalpojumiem rindu samazinājums ir ļoti būtisks  pieejamības uzlabojums pacientiem. </w:t>
      </w:r>
      <w:r w:rsidRPr="00007A5A">
        <w:rPr>
          <w:rFonts w:ascii="Times New Roman" w:hAnsi="Times New Roman" w:cs="Times New Roman"/>
          <w:b/>
          <w:sz w:val="24"/>
          <w:szCs w:val="24"/>
          <w:lang w:bidi="lo-LA"/>
        </w:rPr>
        <w:t>41,06%</w:t>
      </w:r>
      <w:r w:rsidRPr="00007A5A">
        <w:rPr>
          <w:rFonts w:ascii="Times New Roman" w:hAnsi="Times New Roman" w:cs="Times New Roman"/>
          <w:sz w:val="24"/>
          <w:szCs w:val="24"/>
          <w:lang w:bidi="lo-LA"/>
        </w:rPr>
        <w:t xml:space="preserve"> rindu samazinājums saīsinājis gaidīšanas rindu vairāk kā par aptuveni 7 mēnešiem, savukārt rindu samazinājums bez pacientu uzvedības maiņas nodrošināts </w:t>
      </w:r>
      <w:r w:rsidRPr="00007A5A">
        <w:rPr>
          <w:rFonts w:ascii="Times New Roman" w:hAnsi="Times New Roman" w:cs="Times New Roman"/>
          <w:b/>
          <w:sz w:val="24"/>
          <w:szCs w:val="24"/>
          <w:lang w:bidi="lo-LA"/>
        </w:rPr>
        <w:t>4</w:t>
      </w:r>
      <w:r w:rsidR="00047297">
        <w:rPr>
          <w:rFonts w:ascii="Times New Roman" w:hAnsi="Times New Roman" w:cs="Times New Roman"/>
          <w:b/>
          <w:sz w:val="24"/>
          <w:szCs w:val="24"/>
          <w:lang w:bidi="lo-LA"/>
        </w:rPr>
        <w:t>9</w:t>
      </w:r>
      <w:r w:rsidRPr="00007A5A">
        <w:rPr>
          <w:rFonts w:ascii="Times New Roman" w:hAnsi="Times New Roman" w:cs="Times New Roman"/>
          <w:b/>
          <w:sz w:val="24"/>
          <w:szCs w:val="24"/>
          <w:lang w:bidi="lo-LA"/>
        </w:rPr>
        <w:t>,</w:t>
      </w:r>
      <w:r w:rsidR="00047297">
        <w:rPr>
          <w:rFonts w:ascii="Times New Roman" w:hAnsi="Times New Roman" w:cs="Times New Roman"/>
          <w:b/>
          <w:sz w:val="24"/>
          <w:szCs w:val="24"/>
          <w:lang w:bidi="lo-LA"/>
        </w:rPr>
        <w:t>49</w:t>
      </w:r>
      <w:r w:rsidRPr="00007A5A">
        <w:rPr>
          <w:rFonts w:ascii="Times New Roman" w:hAnsi="Times New Roman" w:cs="Times New Roman"/>
          <w:b/>
          <w:sz w:val="24"/>
          <w:szCs w:val="24"/>
          <w:lang w:bidi="lo-LA"/>
        </w:rPr>
        <w:t>%</w:t>
      </w:r>
      <w:r w:rsidRPr="00007A5A">
        <w:rPr>
          <w:rFonts w:ascii="Times New Roman" w:hAnsi="Times New Roman" w:cs="Times New Roman"/>
          <w:sz w:val="24"/>
          <w:szCs w:val="24"/>
          <w:lang w:bidi="lo-LA"/>
        </w:rPr>
        <w:t xml:space="preserve"> apmērā</w:t>
      </w:r>
      <w:r w:rsidR="0061521F">
        <w:rPr>
          <w:rFonts w:ascii="Times New Roman" w:hAnsi="Times New Roman" w:cs="Times New Roman"/>
          <w:sz w:val="24"/>
          <w:szCs w:val="24"/>
          <w:lang w:bidi="lo-LA"/>
        </w:rPr>
        <w:t>.</w:t>
      </w:r>
    </w:p>
    <w:p w14:paraId="0EB2FB8A" w14:textId="77777777" w:rsidR="00E11AFF" w:rsidRDefault="00E11AFF" w:rsidP="00FA6424">
      <w:pPr>
        <w:spacing w:after="0"/>
        <w:ind w:firstLine="720"/>
        <w:jc w:val="right"/>
        <w:rPr>
          <w:rFonts w:ascii="Times New Roman" w:hAnsi="Times New Roman" w:cs="Times New Roman"/>
          <w:i/>
          <w:iCs/>
          <w:sz w:val="24"/>
          <w:szCs w:val="24"/>
        </w:rPr>
      </w:pPr>
    </w:p>
    <w:p w14:paraId="5CEB0911" w14:textId="77777777" w:rsidR="00E11AFF" w:rsidRDefault="00E11AFF" w:rsidP="00FA6424">
      <w:pPr>
        <w:spacing w:after="0"/>
        <w:ind w:firstLine="720"/>
        <w:jc w:val="right"/>
        <w:rPr>
          <w:rFonts w:ascii="Times New Roman" w:hAnsi="Times New Roman" w:cs="Times New Roman"/>
          <w:i/>
          <w:iCs/>
          <w:sz w:val="24"/>
          <w:szCs w:val="24"/>
        </w:rPr>
      </w:pPr>
    </w:p>
    <w:p w14:paraId="6D45A41A" w14:textId="77777777" w:rsidR="00E11AFF" w:rsidRDefault="00E11AFF" w:rsidP="00FA6424">
      <w:pPr>
        <w:spacing w:after="0"/>
        <w:ind w:firstLine="720"/>
        <w:jc w:val="right"/>
        <w:rPr>
          <w:rFonts w:ascii="Times New Roman" w:hAnsi="Times New Roman" w:cs="Times New Roman"/>
          <w:i/>
          <w:iCs/>
          <w:sz w:val="24"/>
          <w:szCs w:val="24"/>
        </w:rPr>
      </w:pPr>
    </w:p>
    <w:p w14:paraId="009ECE5F" w14:textId="77777777" w:rsidR="00E11AFF" w:rsidRDefault="00E11AFF" w:rsidP="00FA6424">
      <w:pPr>
        <w:spacing w:after="0"/>
        <w:ind w:firstLine="720"/>
        <w:jc w:val="right"/>
        <w:rPr>
          <w:rFonts w:ascii="Times New Roman" w:hAnsi="Times New Roman" w:cs="Times New Roman"/>
          <w:i/>
          <w:iCs/>
          <w:sz w:val="24"/>
          <w:szCs w:val="24"/>
        </w:rPr>
      </w:pPr>
    </w:p>
    <w:p w14:paraId="7A763A76" w14:textId="23B562DF" w:rsidR="00D1321B" w:rsidRPr="00C002BE" w:rsidRDefault="0071331A" w:rsidP="00FA6424">
      <w:pPr>
        <w:spacing w:after="0"/>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 xml:space="preserve">4.tabula </w:t>
      </w:r>
    </w:p>
    <w:p w14:paraId="24ADC57E" w14:textId="35299262" w:rsidR="00950AC7" w:rsidRPr="00847710" w:rsidRDefault="0071331A" w:rsidP="00230100">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 xml:space="preserve">Sekundārajā ambulatorajā veselības aprūpē plānotais </w:t>
      </w:r>
      <w:r w:rsidR="00AD4ADD">
        <w:rPr>
          <w:rFonts w:ascii="Times New Roman" w:hAnsi="Times New Roman" w:cs="Times New Roman"/>
          <w:b/>
          <w:bCs/>
          <w:sz w:val="24"/>
          <w:szCs w:val="24"/>
        </w:rPr>
        <w:t xml:space="preserve">finansējums un </w:t>
      </w:r>
      <w:r w:rsidRPr="0012317D">
        <w:rPr>
          <w:rFonts w:ascii="Times New Roman" w:hAnsi="Times New Roman" w:cs="Times New Roman"/>
          <w:b/>
          <w:bCs/>
          <w:sz w:val="24"/>
          <w:szCs w:val="24"/>
        </w:rPr>
        <w:t>pakalpojuma skaits</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437"/>
        <w:gridCol w:w="1134"/>
        <w:gridCol w:w="1418"/>
        <w:gridCol w:w="1417"/>
      </w:tblGrid>
      <w:tr w:rsidR="007A0F5A" w14:paraId="1B087069" w14:textId="77777777" w:rsidTr="00203B62">
        <w:trPr>
          <w:cantSplit/>
          <w:trHeight w:val="1401"/>
          <w:jc w:val="center"/>
        </w:trPr>
        <w:tc>
          <w:tcPr>
            <w:tcW w:w="401" w:type="dxa"/>
            <w:shd w:val="clear" w:color="auto" w:fill="E36C0A" w:themeFill="accent6" w:themeFillShade="BF"/>
            <w:vAlign w:val="center"/>
            <w:hideMark/>
          </w:tcPr>
          <w:p w14:paraId="397E39BB" w14:textId="77777777"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E36C0A" w:themeFill="accent6" w:themeFillShade="BF"/>
            <w:vAlign w:val="center"/>
            <w:hideMark/>
          </w:tcPr>
          <w:p w14:paraId="3A79954C" w14:textId="77777777" w:rsidR="007A0F5A" w:rsidRPr="00847710" w:rsidRDefault="007A0F5A" w:rsidP="00B622A9">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656160B2"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63C76F91"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751004E2"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p>
        </w:tc>
        <w:tc>
          <w:tcPr>
            <w:tcW w:w="1418" w:type="dxa"/>
            <w:shd w:val="clear" w:color="auto" w:fill="E36C0A" w:themeFill="accent6" w:themeFillShade="BF"/>
            <w:textDirection w:val="btLr"/>
            <w:vAlign w:val="center"/>
            <w:hideMark/>
          </w:tcPr>
          <w:p w14:paraId="029851EF"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w:t>
            </w:r>
            <w:r>
              <w:rPr>
                <w:rFonts w:ascii="Times New Roman" w:eastAsia="Times New Roman" w:hAnsi="Times New Roman" w:cs="Times New Roman"/>
                <w:b/>
                <w:bCs/>
                <w:sz w:val="20"/>
                <w:szCs w:val="20"/>
                <w:lang w:eastAsia="lv-LV"/>
              </w:rPr>
              <w:t xml:space="preserve">plānotais </w:t>
            </w:r>
            <w:r w:rsidRPr="00847710">
              <w:rPr>
                <w:rFonts w:ascii="Times New Roman" w:eastAsia="Times New Roman" w:hAnsi="Times New Roman" w:cs="Times New Roman"/>
                <w:b/>
                <w:bCs/>
                <w:sz w:val="20"/>
                <w:szCs w:val="20"/>
                <w:lang w:eastAsia="lv-LV"/>
              </w:rPr>
              <w:t xml:space="preserve">finansējums </w:t>
            </w:r>
          </w:p>
        </w:tc>
        <w:tc>
          <w:tcPr>
            <w:tcW w:w="1417" w:type="dxa"/>
            <w:shd w:val="clear" w:color="auto" w:fill="E36C0A" w:themeFill="accent6" w:themeFillShade="BF"/>
            <w:textDirection w:val="btLr"/>
            <w:vAlign w:val="center"/>
            <w:hideMark/>
          </w:tcPr>
          <w:p w14:paraId="288BECCE"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7A0F5A" w14:paraId="2B105225" w14:textId="77777777" w:rsidTr="00203B62">
        <w:trPr>
          <w:trHeight w:val="640"/>
          <w:jc w:val="center"/>
        </w:trPr>
        <w:tc>
          <w:tcPr>
            <w:tcW w:w="401" w:type="dxa"/>
            <w:shd w:val="clear" w:color="auto" w:fill="FABF8F" w:themeFill="accent6" w:themeFillTint="99"/>
            <w:vAlign w:val="center"/>
          </w:tcPr>
          <w:p w14:paraId="2DCD20E5" w14:textId="77777777"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FABF8F" w:themeFill="accent6" w:themeFillTint="99"/>
            <w:vAlign w:val="center"/>
          </w:tcPr>
          <w:p w14:paraId="3173C63C" w14:textId="77777777"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4188CBDB" w14:textId="77777777" w:rsidR="007A0F5A" w:rsidRPr="00847710" w:rsidRDefault="007A0F5A" w:rsidP="00B622A9">
            <w:pPr>
              <w:spacing w:after="0" w:line="240" w:lineRule="auto"/>
              <w:jc w:val="center"/>
              <w:rPr>
                <w:rFonts w:ascii="Times New Roman" w:eastAsia="Times New Roman" w:hAnsi="Times New Roman" w:cs="Times New Roman"/>
                <w:i/>
                <w:iCs/>
                <w:sz w:val="20"/>
                <w:szCs w:val="20"/>
                <w:lang w:eastAsia="lv-LV"/>
              </w:rPr>
            </w:pPr>
          </w:p>
          <w:p w14:paraId="38016527" w14:textId="77777777"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8" w:type="dxa"/>
            <w:shd w:val="clear" w:color="auto" w:fill="FABF8F" w:themeFill="accent6" w:themeFillTint="99"/>
            <w:vAlign w:val="center"/>
          </w:tcPr>
          <w:p w14:paraId="289265C8" w14:textId="77777777" w:rsidR="007A0F5A" w:rsidRPr="00847710" w:rsidRDefault="007A0F5A" w:rsidP="00B622A9">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1357709E" w14:textId="77777777" w:rsidR="007A0F5A" w:rsidRPr="00C002BE" w:rsidRDefault="007A0F5A" w:rsidP="00C002BE">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BF8F" w:themeFill="accent6" w:themeFillTint="99"/>
            <w:vAlign w:val="center"/>
          </w:tcPr>
          <w:p w14:paraId="1C881167" w14:textId="0628ED51"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7A0F5A" w14:paraId="0BBC6A3F" w14:textId="77777777" w:rsidTr="00203B62">
        <w:trPr>
          <w:trHeight w:val="525"/>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C11FC" w14:textId="77777777" w:rsidR="007A0F5A" w:rsidRPr="00847710" w:rsidRDefault="007A0F5A" w:rsidP="006138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AC165"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Speciālistu konsultācijas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A1927" w14:textId="18B62E33" w:rsidR="007A0F5A" w:rsidRPr="00E93259" w:rsidRDefault="00361D79" w:rsidP="0092667A">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16</w:t>
            </w:r>
            <w:r w:rsidR="001D5BCC" w:rsidRPr="00E93259">
              <w:rPr>
                <w:rFonts w:ascii="Times New Roman" w:hAnsi="Times New Roman" w:cs="Times New Roman"/>
                <w:sz w:val="20"/>
                <w:szCs w:val="20"/>
              </w:rPr>
              <w:t>,</w:t>
            </w:r>
            <w:r w:rsidRPr="00E93259">
              <w:rPr>
                <w:rFonts w:ascii="Times New Roman" w:hAnsi="Times New Roman" w:cs="Times New Roman"/>
                <w:sz w:val="20"/>
                <w:szCs w:val="20"/>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3E8BB" w14:textId="3E9FEF90" w:rsidR="007A0F5A" w:rsidRPr="00E93259" w:rsidRDefault="00C83AB6" w:rsidP="00613881">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8 613 724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3EF34" w14:textId="20170790" w:rsidR="007A0F5A" w:rsidRPr="00E93259" w:rsidRDefault="00382154" w:rsidP="00C002BE">
            <w:pPr>
              <w:spacing w:after="0" w:line="240" w:lineRule="auto"/>
              <w:jc w:val="center"/>
              <w:rPr>
                <w:rFonts w:ascii="Times New Roman" w:hAnsi="Times New Roman" w:cs="Times New Roman"/>
                <w:b/>
                <w:bCs/>
                <w:sz w:val="20"/>
                <w:szCs w:val="20"/>
              </w:rPr>
            </w:pPr>
            <w:r w:rsidRPr="00E93259">
              <w:rPr>
                <w:rFonts w:ascii="Times New Roman" w:hAnsi="Times New Roman" w:cs="Times New Roman"/>
                <w:b/>
                <w:bCs/>
                <w:sz w:val="20"/>
                <w:szCs w:val="20"/>
              </w:rPr>
              <w:t>512 112</w:t>
            </w:r>
          </w:p>
        </w:tc>
      </w:tr>
      <w:tr w:rsidR="007A0F5A" w14:paraId="7119887A" w14:textId="77777777" w:rsidTr="00203B62">
        <w:trPr>
          <w:trHeight w:val="708"/>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4A9E2" w14:textId="77777777" w:rsidR="007A0F5A" w:rsidRPr="00847710" w:rsidRDefault="007A0F5A" w:rsidP="006138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tcPr>
          <w:p w14:paraId="23362961"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Ambulatorie</w:t>
            </w:r>
          </w:p>
          <w:p w14:paraId="6FDE45C0"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izmeklējumi un terapija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6DCF2" w14:textId="2E89D929" w:rsidR="007A0F5A" w:rsidRPr="00E93259" w:rsidRDefault="00361D79" w:rsidP="0092667A">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23</w:t>
            </w:r>
            <w:r w:rsidR="001D5BCC" w:rsidRPr="00E93259">
              <w:rPr>
                <w:rFonts w:ascii="Times New Roman" w:hAnsi="Times New Roman" w:cs="Times New Roman"/>
                <w:sz w:val="20"/>
                <w:szCs w:val="20"/>
              </w:rPr>
              <w:t>,</w:t>
            </w:r>
            <w:r w:rsidR="00203B62" w:rsidRPr="00E9325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7160B" w14:textId="3646F3BC" w:rsidR="007A0F5A" w:rsidRPr="00E93259" w:rsidRDefault="009011B7" w:rsidP="00613881">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15 770</w:t>
            </w:r>
            <w:r w:rsidR="00D22862" w:rsidRPr="00E93259">
              <w:rPr>
                <w:rFonts w:ascii="Times New Roman" w:hAnsi="Times New Roman" w:cs="Times New Roman"/>
                <w:sz w:val="20"/>
                <w:szCs w:val="20"/>
              </w:rPr>
              <w:t> </w:t>
            </w:r>
            <w:r w:rsidR="00434A1D" w:rsidRPr="00E93259">
              <w:rPr>
                <w:rFonts w:ascii="Times New Roman" w:hAnsi="Times New Roman" w:cs="Times New Roman"/>
                <w:sz w:val="20"/>
                <w:szCs w:val="20"/>
              </w:rPr>
              <w:t>91</w:t>
            </w:r>
            <w:r w:rsidR="000F44AC" w:rsidRPr="00E93259">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56D94" w14:textId="6F91353C" w:rsidR="007A0F5A" w:rsidRPr="00E93259" w:rsidRDefault="007A0F5A" w:rsidP="00C002BE">
            <w:pPr>
              <w:spacing w:after="0" w:line="240" w:lineRule="auto"/>
              <w:jc w:val="center"/>
              <w:rPr>
                <w:rFonts w:ascii="Times New Roman" w:hAnsi="Times New Roman" w:cs="Times New Roman"/>
                <w:b/>
                <w:bCs/>
                <w:sz w:val="20"/>
                <w:szCs w:val="20"/>
              </w:rPr>
            </w:pPr>
            <w:r w:rsidRPr="00E93259">
              <w:rPr>
                <w:rFonts w:ascii="Times New Roman" w:hAnsi="Times New Roman" w:cs="Times New Roman"/>
                <w:b/>
                <w:bCs/>
                <w:sz w:val="20"/>
                <w:szCs w:val="20"/>
              </w:rPr>
              <w:t>6</w:t>
            </w:r>
            <w:r w:rsidR="00203B62" w:rsidRPr="00E93259">
              <w:rPr>
                <w:rFonts w:ascii="Times New Roman" w:hAnsi="Times New Roman" w:cs="Times New Roman"/>
                <w:b/>
                <w:bCs/>
                <w:sz w:val="20"/>
                <w:szCs w:val="20"/>
              </w:rPr>
              <w:t>6</w:t>
            </w:r>
            <w:r w:rsidR="007714F0" w:rsidRPr="00E93259">
              <w:rPr>
                <w:rFonts w:ascii="Times New Roman" w:hAnsi="Times New Roman" w:cs="Times New Roman"/>
                <w:b/>
                <w:bCs/>
                <w:sz w:val="20"/>
                <w:szCs w:val="20"/>
              </w:rPr>
              <w:t>2</w:t>
            </w:r>
            <w:r w:rsidR="00D22862" w:rsidRPr="00E93259">
              <w:rPr>
                <w:rFonts w:ascii="Times New Roman" w:hAnsi="Times New Roman" w:cs="Times New Roman"/>
                <w:b/>
                <w:bCs/>
                <w:sz w:val="20"/>
                <w:szCs w:val="20"/>
              </w:rPr>
              <w:t xml:space="preserve"> 36</w:t>
            </w:r>
            <w:r w:rsidR="002A5BA4" w:rsidRPr="00E93259">
              <w:rPr>
                <w:rFonts w:ascii="Times New Roman" w:hAnsi="Times New Roman" w:cs="Times New Roman"/>
                <w:b/>
                <w:bCs/>
                <w:sz w:val="20"/>
                <w:szCs w:val="20"/>
              </w:rPr>
              <w:t>5</w:t>
            </w:r>
          </w:p>
        </w:tc>
      </w:tr>
      <w:tr w:rsidR="007A0F5A" w14:paraId="318B45DA" w14:textId="77777777" w:rsidTr="00203B62">
        <w:trPr>
          <w:trHeight w:val="846"/>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5959F" w14:textId="77777777" w:rsidR="007A0F5A" w:rsidRPr="00847710" w:rsidRDefault="007A0F5A"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499E4C8"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Dienas stacionārā sniegtie pakalpojumi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A956A" w14:textId="7455EDCA" w:rsidR="007A0F5A" w:rsidRPr="00E93259" w:rsidRDefault="005D2F32" w:rsidP="0092667A">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115</w:t>
            </w:r>
            <w:r w:rsidR="001D5BCC" w:rsidRPr="00E93259">
              <w:rPr>
                <w:rFonts w:ascii="Times New Roman" w:hAnsi="Times New Roman" w:cs="Times New Roman"/>
                <w:sz w:val="20"/>
                <w:szCs w:val="20"/>
              </w:rPr>
              <w:t>,</w:t>
            </w:r>
            <w:r w:rsidRPr="00E93259">
              <w:rPr>
                <w:rFonts w:ascii="Times New Roman" w:hAnsi="Times New Roman" w:cs="Times New Roman"/>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2C54B" w14:textId="09E387CE" w:rsidR="007A0F5A" w:rsidRPr="00E93259" w:rsidRDefault="007A0F5A" w:rsidP="00613881">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 xml:space="preserve">12 </w:t>
            </w:r>
            <w:r w:rsidR="00C727C1" w:rsidRPr="00E93259">
              <w:rPr>
                <w:rFonts w:ascii="Times New Roman" w:hAnsi="Times New Roman" w:cs="Times New Roman"/>
                <w:sz w:val="20"/>
                <w:szCs w:val="20"/>
              </w:rPr>
              <w:t>2</w:t>
            </w:r>
            <w:r w:rsidRPr="00E93259">
              <w:rPr>
                <w:rFonts w:ascii="Times New Roman" w:hAnsi="Times New Roman" w:cs="Times New Roman"/>
                <w:sz w:val="20"/>
                <w:szCs w:val="20"/>
              </w:rPr>
              <w:t>02</w:t>
            </w:r>
            <w:r w:rsidR="00203B62" w:rsidRPr="00E93259">
              <w:rPr>
                <w:rFonts w:ascii="Times New Roman" w:hAnsi="Times New Roman" w:cs="Times New Roman"/>
                <w:sz w:val="20"/>
                <w:szCs w:val="20"/>
              </w:rPr>
              <w:t> </w:t>
            </w:r>
            <w:r w:rsidR="00A35DFC" w:rsidRPr="00E93259">
              <w:rPr>
                <w:rFonts w:ascii="Times New Roman" w:hAnsi="Times New Roman" w:cs="Times New Roman"/>
                <w:sz w:val="20"/>
                <w:szCs w:val="20"/>
              </w:rPr>
              <w:t>3</w:t>
            </w:r>
            <w:r w:rsidR="00203B62" w:rsidRPr="00E93259">
              <w:rPr>
                <w:rFonts w:ascii="Times New Roman" w:hAnsi="Times New Roman" w:cs="Times New Roman"/>
                <w:sz w:val="20"/>
                <w:szCs w:val="20"/>
              </w:rPr>
              <w:t>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7BA84" w14:textId="688FBBBE" w:rsidR="007A0F5A" w:rsidRPr="00E93259" w:rsidRDefault="00382154" w:rsidP="00C002BE">
            <w:pPr>
              <w:spacing w:after="0" w:line="240" w:lineRule="auto"/>
              <w:jc w:val="center"/>
              <w:rPr>
                <w:rFonts w:ascii="Times New Roman" w:hAnsi="Times New Roman" w:cs="Times New Roman"/>
                <w:b/>
                <w:bCs/>
                <w:sz w:val="20"/>
                <w:szCs w:val="20"/>
              </w:rPr>
            </w:pPr>
            <w:r w:rsidRPr="00E93259">
              <w:rPr>
                <w:rFonts w:ascii="Times New Roman" w:hAnsi="Times New Roman" w:cs="Times New Roman"/>
                <w:b/>
                <w:bCs/>
                <w:sz w:val="20"/>
                <w:szCs w:val="20"/>
              </w:rPr>
              <w:t>105 749</w:t>
            </w:r>
          </w:p>
        </w:tc>
      </w:tr>
      <w:tr w:rsidR="0092667A" w14:paraId="212DE5CA" w14:textId="77777777" w:rsidTr="00203B62">
        <w:trPr>
          <w:trHeight w:val="416"/>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6C87F" w14:textId="08B52FBB" w:rsidR="0092667A" w:rsidRPr="00847710" w:rsidRDefault="0092667A" w:rsidP="0078223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3C67BAA" w14:textId="21B168A2" w:rsidR="0092667A" w:rsidRPr="00847710" w:rsidRDefault="0092667A" w:rsidP="0061388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Rehabilitācijas pakalpojumi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30633" w14:textId="6D224E26" w:rsidR="0092667A" w:rsidRPr="00E93259" w:rsidRDefault="00361D79" w:rsidP="0092667A">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11</w:t>
            </w:r>
            <w:r w:rsidR="001D5BCC" w:rsidRPr="00E93259">
              <w:rPr>
                <w:rFonts w:ascii="Times New Roman" w:hAnsi="Times New Roman" w:cs="Times New Roman"/>
                <w:sz w:val="20"/>
                <w:szCs w:val="20"/>
              </w:rPr>
              <w:t>,</w:t>
            </w:r>
            <w:r w:rsidRPr="00E93259">
              <w:rPr>
                <w:rFonts w:ascii="Times New Roman" w:hAnsi="Times New Roman" w:cs="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1730C" w14:textId="7D5D4DE8" w:rsidR="0092667A" w:rsidRPr="00E93259" w:rsidRDefault="00467BDD" w:rsidP="00613881">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1 117</w:t>
            </w:r>
            <w:r w:rsidR="00CA7E42" w:rsidRPr="00E93259">
              <w:rPr>
                <w:rFonts w:ascii="Times New Roman" w:hAnsi="Times New Roman" w:cs="Times New Roman"/>
                <w:sz w:val="20"/>
                <w:szCs w:val="20"/>
              </w:rPr>
              <w:t> </w:t>
            </w:r>
            <w:r w:rsidR="005D383B" w:rsidRPr="00E93259">
              <w:rPr>
                <w:rFonts w:ascii="Times New Roman" w:hAnsi="Times New Roman" w:cs="Times New Roman"/>
                <w:sz w:val="20"/>
                <w:szCs w:val="20"/>
              </w:rPr>
              <w:t>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766C2" w14:textId="4ED2BACC" w:rsidR="0092667A" w:rsidRPr="00E93259" w:rsidRDefault="005D383B" w:rsidP="00C002BE">
            <w:pPr>
              <w:spacing w:after="0" w:line="240" w:lineRule="auto"/>
              <w:jc w:val="center"/>
              <w:rPr>
                <w:rFonts w:ascii="Times New Roman" w:hAnsi="Times New Roman" w:cs="Times New Roman"/>
                <w:b/>
                <w:bCs/>
                <w:sz w:val="20"/>
                <w:szCs w:val="20"/>
              </w:rPr>
            </w:pPr>
            <w:r w:rsidRPr="00E93259">
              <w:rPr>
                <w:rFonts w:ascii="Times New Roman" w:hAnsi="Times New Roman" w:cs="Times New Roman"/>
                <w:b/>
                <w:bCs/>
                <w:sz w:val="20"/>
                <w:szCs w:val="20"/>
              </w:rPr>
              <w:t>97 555</w:t>
            </w:r>
          </w:p>
        </w:tc>
      </w:tr>
      <w:tr w:rsidR="007A0F5A" w14:paraId="0FCDAC96" w14:textId="77777777" w:rsidTr="00203B62">
        <w:trPr>
          <w:trHeight w:val="300"/>
          <w:jc w:val="center"/>
        </w:trPr>
        <w:tc>
          <w:tcPr>
            <w:tcW w:w="401" w:type="dxa"/>
            <w:shd w:val="clear" w:color="auto" w:fill="FBD4B4" w:themeFill="accent6" w:themeFillTint="66"/>
            <w:noWrap/>
            <w:vAlign w:val="bottom"/>
            <w:hideMark/>
          </w:tcPr>
          <w:p w14:paraId="74E52CBA" w14:textId="77777777" w:rsidR="007A0F5A" w:rsidRPr="00847710" w:rsidRDefault="007A0F5A" w:rsidP="00613881">
            <w:pPr>
              <w:spacing w:after="0" w:line="240" w:lineRule="auto"/>
              <w:jc w:val="right"/>
              <w:rPr>
                <w:rFonts w:ascii="Times New Roman" w:eastAsia="Times New Roman" w:hAnsi="Times New Roman" w:cs="Times New Roman"/>
                <w:sz w:val="20"/>
                <w:szCs w:val="20"/>
                <w:lang w:eastAsia="lv-LV"/>
              </w:rPr>
            </w:pPr>
          </w:p>
        </w:tc>
        <w:tc>
          <w:tcPr>
            <w:tcW w:w="1437" w:type="dxa"/>
            <w:shd w:val="clear" w:color="auto" w:fill="FBD4B4" w:themeFill="accent6" w:themeFillTint="66"/>
            <w:noWrap/>
            <w:vAlign w:val="center"/>
            <w:hideMark/>
          </w:tcPr>
          <w:p w14:paraId="16F1CBBE"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center"/>
            <w:hideMark/>
          </w:tcPr>
          <w:p w14:paraId="5521E85A" w14:textId="77777777" w:rsidR="007A0F5A" w:rsidRPr="001E4659" w:rsidRDefault="007A0F5A" w:rsidP="00613881">
            <w:pPr>
              <w:spacing w:after="0" w:line="240" w:lineRule="auto"/>
              <w:jc w:val="center"/>
              <w:rPr>
                <w:rFonts w:ascii="Times New Roman" w:eastAsia="Times New Roman" w:hAnsi="Times New Roman" w:cs="Times New Roman"/>
                <w:sz w:val="20"/>
                <w:szCs w:val="20"/>
                <w:lang w:eastAsia="lv-LV"/>
              </w:rPr>
            </w:pPr>
          </w:p>
        </w:tc>
        <w:tc>
          <w:tcPr>
            <w:tcW w:w="1418" w:type="dxa"/>
            <w:shd w:val="clear" w:color="auto" w:fill="FBD4B4" w:themeFill="accent6" w:themeFillTint="66"/>
            <w:noWrap/>
            <w:vAlign w:val="center"/>
            <w:hideMark/>
          </w:tcPr>
          <w:p w14:paraId="10DBA49B" w14:textId="5B014C4F" w:rsidR="007A0F5A" w:rsidRPr="001E4659" w:rsidRDefault="00361D79" w:rsidP="00613881">
            <w:pPr>
              <w:spacing w:after="0" w:line="240" w:lineRule="auto"/>
              <w:jc w:val="center"/>
              <w:rPr>
                <w:rFonts w:ascii="Times New Roman" w:hAnsi="Times New Roman" w:cs="Times New Roman"/>
                <w:b/>
                <w:sz w:val="20"/>
                <w:szCs w:val="20"/>
              </w:rPr>
            </w:pPr>
            <w:r w:rsidRPr="00E93259">
              <w:rPr>
                <w:rFonts w:ascii="Times New Roman" w:hAnsi="Times New Roman" w:cs="Times New Roman"/>
                <w:b/>
                <w:sz w:val="20"/>
                <w:szCs w:val="20"/>
              </w:rPr>
              <w:t>3</w:t>
            </w:r>
            <w:r w:rsidR="004D032D" w:rsidRPr="00E93259">
              <w:rPr>
                <w:rFonts w:ascii="Times New Roman" w:hAnsi="Times New Roman" w:cs="Times New Roman"/>
                <w:b/>
                <w:sz w:val="20"/>
                <w:szCs w:val="20"/>
              </w:rPr>
              <w:t>7 704 9</w:t>
            </w:r>
            <w:r w:rsidR="002A5BA4" w:rsidRPr="00E93259">
              <w:rPr>
                <w:rFonts w:ascii="Times New Roman" w:hAnsi="Times New Roman" w:cs="Times New Roman"/>
                <w:b/>
                <w:sz w:val="20"/>
                <w:szCs w:val="20"/>
              </w:rPr>
              <w:t>9</w:t>
            </w:r>
            <w:r w:rsidR="000F44AC" w:rsidRPr="00E93259">
              <w:rPr>
                <w:rFonts w:ascii="Times New Roman" w:hAnsi="Times New Roman" w:cs="Times New Roman"/>
                <w:b/>
                <w:sz w:val="20"/>
                <w:szCs w:val="20"/>
              </w:rPr>
              <w:t>2</w:t>
            </w:r>
          </w:p>
        </w:tc>
        <w:tc>
          <w:tcPr>
            <w:tcW w:w="1417" w:type="dxa"/>
            <w:shd w:val="clear" w:color="auto" w:fill="FBD4B4" w:themeFill="accent6" w:themeFillTint="66"/>
            <w:noWrap/>
            <w:vAlign w:val="center"/>
            <w:hideMark/>
          </w:tcPr>
          <w:p w14:paraId="554694F7" w14:textId="4317B6E6" w:rsidR="007A0F5A" w:rsidRPr="00E93259" w:rsidRDefault="00284DE6" w:rsidP="00560715">
            <w:pPr>
              <w:spacing w:after="0" w:line="240" w:lineRule="auto"/>
              <w:jc w:val="center"/>
              <w:rPr>
                <w:rFonts w:ascii="Times New Roman" w:hAnsi="Times New Roman" w:cs="Times New Roman"/>
                <w:b/>
                <w:bCs/>
                <w:sz w:val="20"/>
                <w:szCs w:val="20"/>
              </w:rPr>
            </w:pPr>
            <w:r w:rsidRPr="00E93259">
              <w:rPr>
                <w:rFonts w:ascii="Times New Roman" w:hAnsi="Times New Roman" w:cs="Times New Roman"/>
                <w:b/>
                <w:bCs/>
                <w:sz w:val="20"/>
                <w:szCs w:val="20"/>
              </w:rPr>
              <w:t>1</w:t>
            </w:r>
            <w:r w:rsidR="00A6445C" w:rsidRPr="00E93259">
              <w:rPr>
                <w:rFonts w:ascii="Times New Roman" w:hAnsi="Times New Roman" w:cs="Times New Roman"/>
                <w:b/>
                <w:bCs/>
                <w:sz w:val="20"/>
                <w:szCs w:val="20"/>
              </w:rPr>
              <w:t> </w:t>
            </w:r>
            <w:r w:rsidR="004D032D" w:rsidRPr="00E93259">
              <w:rPr>
                <w:rFonts w:ascii="Times New Roman" w:hAnsi="Times New Roman" w:cs="Times New Roman"/>
                <w:b/>
                <w:bCs/>
                <w:sz w:val="20"/>
                <w:szCs w:val="20"/>
              </w:rPr>
              <w:t>377 7</w:t>
            </w:r>
            <w:r w:rsidR="002A5BA4" w:rsidRPr="00E93259">
              <w:rPr>
                <w:rFonts w:ascii="Times New Roman" w:hAnsi="Times New Roman" w:cs="Times New Roman"/>
                <w:b/>
                <w:bCs/>
                <w:sz w:val="20"/>
                <w:szCs w:val="20"/>
              </w:rPr>
              <w:t>81</w:t>
            </w:r>
          </w:p>
        </w:tc>
      </w:tr>
    </w:tbl>
    <w:p w14:paraId="7370A3B3" w14:textId="2DB114B5" w:rsidR="007F6AC5" w:rsidRPr="00CC64B7" w:rsidRDefault="00E355BA" w:rsidP="00CC64B7">
      <w:pPr>
        <w:ind w:left="1440"/>
        <w:jc w:val="both"/>
        <w:rPr>
          <w:rFonts w:ascii="Times New Roman" w:hAnsi="Times New Roman" w:cs="Times New Roman"/>
          <w:sz w:val="20"/>
          <w:szCs w:val="20"/>
          <w:lang w:eastAsia="lv-LV"/>
        </w:rPr>
      </w:pPr>
      <w:r>
        <w:rPr>
          <w:rFonts w:ascii="Times New Roman" w:hAnsi="Times New Roman" w:cs="Times New Roman"/>
          <w:sz w:val="20"/>
          <w:szCs w:val="20"/>
          <w:lang w:eastAsia="lv-LV"/>
        </w:rPr>
        <w:t xml:space="preserve">      </w:t>
      </w:r>
      <w:r w:rsidR="0071331A" w:rsidRPr="00847710">
        <w:rPr>
          <w:rFonts w:ascii="Times New Roman" w:hAnsi="Times New Roman" w:cs="Times New Roman"/>
          <w:sz w:val="20"/>
          <w:szCs w:val="20"/>
          <w:lang w:eastAsia="lv-LV"/>
        </w:rPr>
        <w:t>*</w:t>
      </w:r>
      <w:r w:rsidR="00B90565" w:rsidRPr="00847710">
        <w:rPr>
          <w:rFonts w:ascii="Times New Roman" w:hAnsi="Times New Roman" w:cs="Times New Roman"/>
          <w:sz w:val="20"/>
          <w:szCs w:val="20"/>
          <w:lang w:eastAsia="lv-LV"/>
        </w:rPr>
        <w:t>t.sk. tarifa palielinājums saistībā ar darba samaksas pieaugumu</w:t>
      </w:r>
    </w:p>
    <w:p w14:paraId="664703B5" w14:textId="77777777" w:rsidR="00B36E9A" w:rsidRDefault="00B36E9A" w:rsidP="007F6AC5">
      <w:pPr>
        <w:ind w:left="1440"/>
        <w:jc w:val="right"/>
        <w:rPr>
          <w:rFonts w:ascii="Times New Roman" w:hAnsi="Times New Roman" w:cs="Times New Roman"/>
          <w:i/>
          <w:sz w:val="24"/>
          <w:szCs w:val="24"/>
          <w:lang w:eastAsia="lv-LV"/>
        </w:rPr>
        <w:sectPr w:rsidR="00B36E9A" w:rsidSect="006138D3">
          <w:headerReference w:type="default" r:id="rId8"/>
          <w:footerReference w:type="default" r:id="rId9"/>
          <w:headerReference w:type="first" r:id="rId10"/>
          <w:footerReference w:type="first" r:id="rId11"/>
          <w:pgSz w:w="12240" w:h="15840"/>
          <w:pgMar w:top="1440" w:right="1440" w:bottom="1440" w:left="1701" w:header="708" w:footer="708" w:gutter="0"/>
          <w:cols w:space="708"/>
          <w:titlePg/>
          <w:docGrid w:linePitch="360"/>
        </w:sectPr>
      </w:pPr>
    </w:p>
    <w:p w14:paraId="41D217E8" w14:textId="519BEFB0" w:rsidR="00245CB9" w:rsidRDefault="007F6AC5" w:rsidP="007F6AC5">
      <w:pPr>
        <w:ind w:left="1440"/>
        <w:jc w:val="right"/>
        <w:rPr>
          <w:rFonts w:ascii="Times New Roman" w:hAnsi="Times New Roman" w:cs="Times New Roman"/>
          <w:i/>
          <w:sz w:val="24"/>
          <w:szCs w:val="24"/>
          <w:lang w:eastAsia="lv-LV"/>
        </w:rPr>
      </w:pPr>
      <w:r w:rsidRPr="007F6AC5">
        <w:rPr>
          <w:rFonts w:ascii="Times New Roman" w:hAnsi="Times New Roman" w:cs="Times New Roman"/>
          <w:i/>
          <w:sz w:val="24"/>
          <w:szCs w:val="24"/>
          <w:lang w:eastAsia="lv-LV"/>
        </w:rPr>
        <w:lastRenderedPageBreak/>
        <w:t>5.tabula</w:t>
      </w:r>
    </w:p>
    <w:p w14:paraId="6D51A449" w14:textId="61BA366D" w:rsidR="003A58A7" w:rsidRPr="00D86F74" w:rsidRDefault="003A58A7" w:rsidP="00D86F74">
      <w:pPr>
        <w:jc w:val="center"/>
        <w:rPr>
          <w:rFonts w:ascii="Times New Roman" w:hAnsi="Times New Roman" w:cs="Times New Roman"/>
          <w:color w:val="000000" w:themeColor="text1"/>
          <w:sz w:val="24"/>
          <w:szCs w:val="24"/>
        </w:rPr>
      </w:pPr>
      <w:r w:rsidRPr="0012317D">
        <w:rPr>
          <w:rFonts w:ascii="Times New Roman" w:hAnsi="Times New Roman" w:cs="Times New Roman"/>
          <w:b/>
          <w:bCs/>
          <w:sz w:val="24"/>
          <w:szCs w:val="24"/>
        </w:rPr>
        <w:t xml:space="preserve">Sekundārajā ambulatorajā veselības aprūpē plānotais </w:t>
      </w:r>
      <w:r>
        <w:rPr>
          <w:rFonts w:ascii="Times New Roman" w:hAnsi="Times New Roman" w:cs="Times New Roman"/>
          <w:b/>
          <w:bCs/>
          <w:sz w:val="24"/>
          <w:szCs w:val="24"/>
        </w:rPr>
        <w:t xml:space="preserve">finansējums un </w:t>
      </w:r>
      <w:r w:rsidRPr="0012317D">
        <w:rPr>
          <w:rFonts w:ascii="Times New Roman" w:hAnsi="Times New Roman" w:cs="Times New Roman"/>
          <w:b/>
          <w:bCs/>
          <w:sz w:val="24"/>
          <w:szCs w:val="24"/>
        </w:rPr>
        <w:t>pakalpojuma skaits</w:t>
      </w:r>
      <w:r w:rsidR="00CE14D9">
        <w:rPr>
          <w:rFonts w:ascii="Times New Roman" w:hAnsi="Times New Roman" w:cs="Times New Roman"/>
          <w:b/>
          <w:bCs/>
          <w:sz w:val="24"/>
          <w:szCs w:val="24"/>
        </w:rPr>
        <w:t xml:space="preserve"> 2017.,</w:t>
      </w:r>
      <w:r>
        <w:rPr>
          <w:rFonts w:ascii="Times New Roman" w:hAnsi="Times New Roman" w:cs="Times New Roman"/>
          <w:b/>
          <w:bCs/>
          <w:sz w:val="24"/>
          <w:szCs w:val="24"/>
        </w:rPr>
        <w:t xml:space="preserve"> 2018. un 2019.gadā</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281"/>
        <w:gridCol w:w="841"/>
        <w:gridCol w:w="1134"/>
        <w:gridCol w:w="1134"/>
        <w:gridCol w:w="1134"/>
        <w:gridCol w:w="992"/>
        <w:gridCol w:w="1134"/>
        <w:gridCol w:w="1134"/>
        <w:gridCol w:w="1134"/>
        <w:gridCol w:w="992"/>
        <w:gridCol w:w="1134"/>
        <w:gridCol w:w="992"/>
        <w:gridCol w:w="993"/>
        <w:gridCol w:w="992"/>
      </w:tblGrid>
      <w:tr w:rsidR="00800D3D" w14:paraId="3677F69A" w14:textId="77777777" w:rsidTr="00E11AFF">
        <w:trPr>
          <w:cantSplit/>
          <w:trHeight w:val="1656"/>
          <w:jc w:val="center"/>
        </w:trPr>
        <w:tc>
          <w:tcPr>
            <w:tcW w:w="430" w:type="dxa"/>
            <w:shd w:val="clear" w:color="auto" w:fill="E36C0A" w:themeFill="accent6" w:themeFillShade="BF"/>
            <w:vAlign w:val="center"/>
            <w:hideMark/>
          </w:tcPr>
          <w:p w14:paraId="58712E84" w14:textId="77777777" w:rsidR="00800D3D" w:rsidRPr="00847710" w:rsidRDefault="00800D3D" w:rsidP="000B48D7">
            <w:pPr>
              <w:spacing w:after="0" w:line="240" w:lineRule="auto"/>
              <w:jc w:val="center"/>
              <w:rPr>
                <w:rFonts w:ascii="Times New Roman" w:eastAsia="Times New Roman" w:hAnsi="Times New Roman" w:cs="Times New Roman"/>
                <w:b/>
                <w:bCs/>
                <w:sz w:val="20"/>
                <w:szCs w:val="20"/>
                <w:lang w:eastAsia="lv-LV"/>
              </w:rPr>
            </w:pPr>
            <w:bookmarkStart w:id="2" w:name="_Hlk531359921"/>
          </w:p>
        </w:tc>
        <w:tc>
          <w:tcPr>
            <w:tcW w:w="1281" w:type="dxa"/>
            <w:shd w:val="clear" w:color="auto" w:fill="E36C0A" w:themeFill="accent6" w:themeFillShade="BF"/>
            <w:vAlign w:val="center"/>
            <w:hideMark/>
          </w:tcPr>
          <w:p w14:paraId="09125AF1" w14:textId="77777777" w:rsidR="00800D3D" w:rsidRPr="00294727" w:rsidRDefault="00800D3D" w:rsidP="000B48D7">
            <w:pPr>
              <w:spacing w:after="0" w:line="240" w:lineRule="auto"/>
              <w:rPr>
                <w:rFonts w:ascii="Times New Roman" w:eastAsia="Times New Roman" w:hAnsi="Times New Roman" w:cs="Times New Roman"/>
                <w:b/>
                <w:bCs/>
                <w:sz w:val="16"/>
                <w:szCs w:val="16"/>
                <w:lang w:eastAsia="lv-LV"/>
              </w:rPr>
            </w:pPr>
          </w:p>
        </w:tc>
        <w:tc>
          <w:tcPr>
            <w:tcW w:w="841" w:type="dxa"/>
            <w:shd w:val="clear" w:color="auto" w:fill="E36C0A" w:themeFill="accent6" w:themeFillShade="BF"/>
            <w:textDirection w:val="btLr"/>
            <w:vAlign w:val="center"/>
            <w:hideMark/>
          </w:tcPr>
          <w:p w14:paraId="203792FD" w14:textId="77777777" w:rsidR="00800D3D" w:rsidRPr="00294727" w:rsidRDefault="00800D3D"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Vienas ārstēšanas vidējās</w:t>
            </w:r>
          </w:p>
          <w:p w14:paraId="0F0EB9AC" w14:textId="77777777" w:rsidR="00800D3D" w:rsidRPr="00294727" w:rsidRDefault="00800D3D"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Izmaksas*</w:t>
            </w:r>
          </w:p>
          <w:p w14:paraId="42F5B315" w14:textId="77777777" w:rsidR="00800D3D" w:rsidRPr="00294727" w:rsidRDefault="00800D3D" w:rsidP="000B48D7">
            <w:pPr>
              <w:spacing w:after="0" w:line="240" w:lineRule="auto"/>
              <w:ind w:left="113" w:right="113"/>
              <w:jc w:val="center"/>
              <w:rPr>
                <w:rFonts w:ascii="Times New Roman" w:eastAsia="Times New Roman" w:hAnsi="Times New Roman" w:cs="Times New Roman"/>
                <w:b/>
                <w:bCs/>
                <w:sz w:val="16"/>
                <w:szCs w:val="16"/>
                <w:lang w:eastAsia="lv-LV"/>
              </w:rPr>
            </w:pPr>
          </w:p>
        </w:tc>
        <w:tc>
          <w:tcPr>
            <w:tcW w:w="3402" w:type="dxa"/>
            <w:gridSpan w:val="3"/>
            <w:shd w:val="clear" w:color="auto" w:fill="E36C0A" w:themeFill="accent6" w:themeFillShade="BF"/>
            <w:textDirection w:val="btLr"/>
            <w:vAlign w:val="center"/>
          </w:tcPr>
          <w:p w14:paraId="0FDA8843" w14:textId="72CCE708" w:rsidR="00800D3D" w:rsidRPr="00294727" w:rsidRDefault="00800D3D"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 xml:space="preserve">Plānotais finansējums </w:t>
            </w:r>
          </w:p>
        </w:tc>
        <w:tc>
          <w:tcPr>
            <w:tcW w:w="3260" w:type="dxa"/>
            <w:gridSpan w:val="3"/>
            <w:shd w:val="clear" w:color="auto" w:fill="E36C0A" w:themeFill="accent6" w:themeFillShade="BF"/>
            <w:textDirection w:val="btLr"/>
            <w:vAlign w:val="center"/>
          </w:tcPr>
          <w:p w14:paraId="53914A02" w14:textId="0E1025F1" w:rsidR="00800D3D" w:rsidRPr="00294727" w:rsidRDefault="00800D3D"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 xml:space="preserve">Papildus finansējums </w:t>
            </w:r>
          </w:p>
        </w:tc>
        <w:tc>
          <w:tcPr>
            <w:tcW w:w="3260" w:type="dxa"/>
            <w:gridSpan w:val="3"/>
            <w:shd w:val="clear" w:color="auto" w:fill="E36C0A" w:themeFill="accent6" w:themeFillShade="BF"/>
            <w:textDirection w:val="btLr"/>
            <w:vAlign w:val="center"/>
          </w:tcPr>
          <w:p w14:paraId="3FE689DD" w14:textId="629A7831" w:rsidR="00800D3D" w:rsidRPr="00294727" w:rsidRDefault="00800D3D" w:rsidP="00CE14D9">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Plānotais pakalpojumu skaits</w:t>
            </w:r>
          </w:p>
        </w:tc>
        <w:tc>
          <w:tcPr>
            <w:tcW w:w="2977" w:type="dxa"/>
            <w:gridSpan w:val="3"/>
            <w:shd w:val="clear" w:color="auto" w:fill="E36C0A" w:themeFill="accent6" w:themeFillShade="BF"/>
            <w:textDirection w:val="btLr"/>
            <w:vAlign w:val="center"/>
          </w:tcPr>
          <w:p w14:paraId="3E428955" w14:textId="6B6FADAB" w:rsidR="00800D3D" w:rsidRPr="00294727" w:rsidRDefault="00800D3D"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Plānotais pakalpojumu skaits</w:t>
            </w:r>
            <w:r>
              <w:rPr>
                <w:rFonts w:ascii="Times New Roman" w:eastAsia="Times New Roman" w:hAnsi="Times New Roman" w:cs="Times New Roman"/>
                <w:b/>
                <w:bCs/>
                <w:sz w:val="16"/>
                <w:szCs w:val="16"/>
                <w:lang w:eastAsia="lv-LV"/>
              </w:rPr>
              <w:t xml:space="preserve"> pēc finansējuma piešķīruma</w:t>
            </w:r>
          </w:p>
        </w:tc>
      </w:tr>
      <w:tr w:rsidR="00E11AFF" w14:paraId="267017E7" w14:textId="77777777" w:rsidTr="00E11AFF">
        <w:trPr>
          <w:trHeight w:val="640"/>
          <w:jc w:val="center"/>
        </w:trPr>
        <w:tc>
          <w:tcPr>
            <w:tcW w:w="4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3C46D7" w14:textId="77777777" w:rsidR="00800D3D" w:rsidRPr="00847710" w:rsidRDefault="00800D3D" w:rsidP="00800D3D">
            <w:pPr>
              <w:spacing w:after="0" w:line="240" w:lineRule="auto"/>
              <w:ind w:left="306" w:hanging="306"/>
              <w:jc w:val="center"/>
              <w:rPr>
                <w:rFonts w:ascii="Times New Roman" w:eastAsia="Times New Roman" w:hAnsi="Times New Roman" w:cs="Times New Roman"/>
                <w:b/>
                <w:bCs/>
                <w:sz w:val="20"/>
                <w:szCs w:val="20"/>
                <w:lang w:eastAsia="lv-LV"/>
              </w:rPr>
            </w:pPr>
          </w:p>
        </w:tc>
        <w:tc>
          <w:tcPr>
            <w:tcW w:w="128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A76783B" w14:textId="77777777"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p>
        </w:tc>
        <w:tc>
          <w:tcPr>
            <w:tcW w:w="8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EF25E9" w14:textId="3605D438" w:rsidR="00800D3D" w:rsidRPr="00294727" w:rsidRDefault="00800D3D" w:rsidP="00800D3D">
            <w:pPr>
              <w:spacing w:after="0" w:line="240" w:lineRule="auto"/>
              <w:jc w:val="center"/>
              <w:rPr>
                <w:rFonts w:ascii="Times New Roman" w:eastAsia="Times New Roman" w:hAnsi="Times New Roman" w:cs="Times New Roman"/>
                <w:i/>
                <w:iCs/>
                <w:sz w:val="16"/>
                <w:szCs w:val="16"/>
                <w:lang w:eastAsia="lv-LV"/>
              </w:rPr>
            </w:pPr>
            <w:r>
              <w:rPr>
                <w:rFonts w:ascii="Times New Roman" w:eastAsia="Times New Roman" w:hAnsi="Times New Roman" w:cs="Times New Roman"/>
                <w:i/>
                <w:iCs/>
                <w:sz w:val="16"/>
                <w:szCs w:val="16"/>
                <w:lang w:eastAsia="lv-LV"/>
              </w:rPr>
              <w:t>2019</w:t>
            </w:r>
          </w:p>
          <w:p w14:paraId="7A8E1124" w14:textId="77777777"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i/>
                <w:iCs/>
                <w:sz w:val="16"/>
                <w:szCs w:val="16"/>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965C32" w14:textId="4081643D"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201</w:t>
            </w:r>
            <w:r>
              <w:rPr>
                <w:rFonts w:ascii="Times New Roman" w:eastAsia="Times New Roman" w:hAnsi="Times New Roman" w:cs="Times New Roman"/>
                <w:b/>
                <w:bCs/>
                <w:sz w:val="16"/>
                <w:szCs w:val="16"/>
                <w:lang w:eastAsia="lv-LV"/>
              </w:rPr>
              <w:t>7</w:t>
            </w:r>
          </w:p>
          <w:p w14:paraId="7F14A579" w14:textId="5F5BDD67"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i/>
                <w:iCs/>
                <w:sz w:val="16"/>
                <w:szCs w:val="16"/>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9925AC" w14:textId="4C51F444"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2018</w:t>
            </w:r>
          </w:p>
          <w:p w14:paraId="530140DC" w14:textId="78473702" w:rsidR="00800D3D" w:rsidRPr="00294727" w:rsidRDefault="00800D3D" w:rsidP="00800D3D">
            <w:pPr>
              <w:spacing w:after="0" w:line="240" w:lineRule="auto"/>
              <w:jc w:val="center"/>
              <w:rPr>
                <w:rFonts w:ascii="Times New Roman" w:eastAsia="Times New Roman" w:hAnsi="Times New Roman" w:cs="Times New Roman"/>
                <w:sz w:val="16"/>
                <w:szCs w:val="16"/>
                <w:lang w:eastAsia="lv-LV"/>
              </w:rPr>
            </w:pPr>
            <w:r w:rsidRPr="00294727">
              <w:rPr>
                <w:rFonts w:ascii="Times New Roman" w:eastAsia="Times New Roman" w:hAnsi="Times New Roman" w:cs="Times New Roman"/>
                <w:i/>
                <w:iCs/>
                <w:sz w:val="16"/>
                <w:szCs w:val="16"/>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8A9F40" w14:textId="66A00AB2" w:rsidR="00800D3D" w:rsidRPr="00E93259" w:rsidRDefault="00800D3D" w:rsidP="00800D3D">
            <w:pPr>
              <w:spacing w:after="0" w:line="240" w:lineRule="auto"/>
              <w:jc w:val="center"/>
              <w:rPr>
                <w:rFonts w:ascii="Times New Roman" w:eastAsia="Times New Roman" w:hAnsi="Times New Roman" w:cs="Times New Roman"/>
                <w:i/>
                <w:iCs/>
                <w:sz w:val="16"/>
                <w:szCs w:val="16"/>
                <w:lang w:eastAsia="lv-LV"/>
              </w:rPr>
            </w:pPr>
            <w:r w:rsidRPr="7672C071">
              <w:rPr>
                <w:rFonts w:ascii="Times New Roman" w:eastAsia="Times New Roman" w:hAnsi="Times New Roman" w:cs="Times New Roman"/>
                <w:i/>
                <w:iCs/>
                <w:sz w:val="16"/>
                <w:szCs w:val="16"/>
                <w:lang w:eastAsia="lv-LV"/>
              </w:rPr>
              <w:t>2019**</w:t>
            </w:r>
          </w:p>
          <w:p w14:paraId="11AAC96C" w14:textId="73ACF729" w:rsidR="00800D3D" w:rsidRPr="00294727" w:rsidRDefault="00800D3D" w:rsidP="00800D3D">
            <w:pPr>
              <w:spacing w:after="0" w:line="240" w:lineRule="auto"/>
              <w:jc w:val="center"/>
              <w:rPr>
                <w:rFonts w:ascii="Times New Roman" w:eastAsia="Times New Roman" w:hAnsi="Times New Roman" w:cs="Times New Roman"/>
                <w:bCs/>
                <w:i/>
                <w:iCs/>
                <w:sz w:val="16"/>
                <w:szCs w:val="16"/>
                <w:lang w:eastAsia="lv-LV"/>
              </w:rPr>
            </w:pPr>
            <w:r>
              <w:rPr>
                <w:rFonts w:ascii="Times New Roman" w:eastAsia="Times New Roman" w:hAnsi="Times New Roman" w:cs="Times New Roman"/>
                <w:bCs/>
                <w:i/>
                <w:iCs/>
                <w:sz w:val="16"/>
                <w:szCs w:val="16"/>
                <w:lang w:eastAsia="lv-LV"/>
              </w:rPr>
              <w:t>euro</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906D1F" w14:textId="46EA0E27" w:rsidR="00800D3D" w:rsidRPr="00294727" w:rsidRDefault="00800D3D" w:rsidP="00800D3D">
            <w:pPr>
              <w:spacing w:after="0" w:line="240" w:lineRule="auto"/>
              <w:jc w:val="center"/>
              <w:rPr>
                <w:rFonts w:ascii="Times New Roman" w:eastAsia="Times New Roman" w:hAnsi="Times New Roman" w:cs="Times New Roman"/>
                <w:bCs/>
                <w:i/>
                <w:iCs/>
                <w:sz w:val="16"/>
                <w:szCs w:val="16"/>
                <w:lang w:eastAsia="lv-LV"/>
              </w:rPr>
            </w:pPr>
            <w:r w:rsidRPr="00294727">
              <w:rPr>
                <w:rFonts w:ascii="Times New Roman" w:eastAsia="Times New Roman" w:hAnsi="Times New Roman" w:cs="Times New Roman"/>
                <w:bCs/>
                <w:i/>
                <w:iCs/>
                <w:sz w:val="16"/>
                <w:szCs w:val="16"/>
                <w:lang w:eastAsia="lv-LV"/>
              </w:rPr>
              <w:t>201</w:t>
            </w:r>
            <w:r>
              <w:rPr>
                <w:rFonts w:ascii="Times New Roman" w:eastAsia="Times New Roman" w:hAnsi="Times New Roman" w:cs="Times New Roman"/>
                <w:bCs/>
                <w:i/>
                <w:iCs/>
                <w:sz w:val="16"/>
                <w:szCs w:val="16"/>
                <w:lang w:eastAsia="lv-LV"/>
              </w:rPr>
              <w:t>7</w:t>
            </w:r>
          </w:p>
          <w:p w14:paraId="36997231" w14:textId="2DB72537" w:rsidR="00800D3D" w:rsidRPr="00294727" w:rsidRDefault="00800D3D" w:rsidP="00800D3D">
            <w:pPr>
              <w:spacing w:after="0" w:line="240" w:lineRule="auto"/>
              <w:jc w:val="center"/>
              <w:rPr>
                <w:rFonts w:ascii="Times New Roman" w:eastAsia="Times New Roman" w:hAnsi="Times New Roman" w:cs="Times New Roman"/>
                <w:bCs/>
                <w:i/>
                <w:iCs/>
                <w:sz w:val="16"/>
                <w:szCs w:val="16"/>
                <w:lang w:eastAsia="lv-LV"/>
              </w:rPr>
            </w:pPr>
            <w:r w:rsidRPr="00294727">
              <w:rPr>
                <w:rFonts w:ascii="Times New Roman" w:eastAsia="Times New Roman" w:hAnsi="Times New Roman" w:cs="Times New Roman"/>
                <w:i/>
                <w:iCs/>
                <w:sz w:val="16"/>
                <w:szCs w:val="16"/>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035D9C" w14:textId="331C53C3" w:rsidR="00800D3D" w:rsidRPr="00294727" w:rsidRDefault="00800D3D" w:rsidP="00800D3D">
            <w:pPr>
              <w:spacing w:after="0" w:line="240" w:lineRule="auto"/>
              <w:jc w:val="center"/>
              <w:rPr>
                <w:rFonts w:ascii="Times New Roman" w:eastAsia="Times New Roman" w:hAnsi="Times New Roman" w:cs="Times New Roman"/>
                <w:bCs/>
                <w:i/>
                <w:iCs/>
                <w:sz w:val="16"/>
                <w:szCs w:val="16"/>
                <w:lang w:eastAsia="lv-LV"/>
              </w:rPr>
            </w:pPr>
            <w:r w:rsidRPr="00294727">
              <w:rPr>
                <w:rFonts w:ascii="Times New Roman" w:eastAsia="Times New Roman" w:hAnsi="Times New Roman" w:cs="Times New Roman"/>
                <w:bCs/>
                <w:i/>
                <w:iCs/>
                <w:sz w:val="16"/>
                <w:szCs w:val="16"/>
                <w:lang w:eastAsia="lv-LV"/>
              </w:rPr>
              <w:t>201</w:t>
            </w:r>
            <w:r>
              <w:rPr>
                <w:rFonts w:ascii="Times New Roman" w:eastAsia="Times New Roman" w:hAnsi="Times New Roman" w:cs="Times New Roman"/>
                <w:bCs/>
                <w:i/>
                <w:iCs/>
                <w:sz w:val="16"/>
                <w:szCs w:val="16"/>
                <w:lang w:eastAsia="lv-LV"/>
              </w:rPr>
              <w:t>8</w:t>
            </w:r>
          </w:p>
          <w:p w14:paraId="7F8793FF" w14:textId="7C2B0648" w:rsidR="00800D3D" w:rsidRPr="00294727" w:rsidRDefault="00800D3D" w:rsidP="00800D3D">
            <w:pPr>
              <w:spacing w:after="0" w:line="240" w:lineRule="auto"/>
              <w:jc w:val="center"/>
              <w:rPr>
                <w:rFonts w:ascii="Times New Roman" w:eastAsia="Times New Roman" w:hAnsi="Times New Roman" w:cs="Times New Roman"/>
                <w:bCs/>
                <w:i/>
                <w:iCs/>
                <w:sz w:val="16"/>
                <w:szCs w:val="16"/>
                <w:lang w:eastAsia="lv-LV"/>
              </w:rPr>
            </w:pPr>
            <w:r w:rsidRPr="00294727">
              <w:rPr>
                <w:rFonts w:ascii="Times New Roman" w:eastAsia="Times New Roman" w:hAnsi="Times New Roman" w:cs="Times New Roman"/>
                <w:i/>
                <w:iCs/>
                <w:sz w:val="16"/>
                <w:szCs w:val="16"/>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221774" w14:textId="4CF8CAC4" w:rsidR="00800D3D" w:rsidRPr="00294727" w:rsidRDefault="00800D3D" w:rsidP="00800D3D">
            <w:pPr>
              <w:spacing w:after="0" w:line="240" w:lineRule="auto"/>
              <w:jc w:val="center"/>
              <w:rPr>
                <w:rFonts w:ascii="Times New Roman" w:eastAsia="Times New Roman" w:hAnsi="Times New Roman" w:cs="Times New Roman"/>
                <w:bCs/>
                <w:i/>
                <w:iCs/>
                <w:sz w:val="16"/>
                <w:szCs w:val="16"/>
                <w:lang w:eastAsia="lv-LV"/>
              </w:rPr>
            </w:pPr>
            <w:r w:rsidRPr="00294727">
              <w:rPr>
                <w:rFonts w:ascii="Times New Roman" w:eastAsia="Times New Roman" w:hAnsi="Times New Roman" w:cs="Times New Roman"/>
                <w:bCs/>
                <w:i/>
                <w:iCs/>
                <w:sz w:val="16"/>
                <w:szCs w:val="16"/>
                <w:lang w:eastAsia="lv-LV"/>
              </w:rPr>
              <w:t>2019</w:t>
            </w:r>
          </w:p>
          <w:p w14:paraId="20EAADAF" w14:textId="77777777" w:rsidR="00800D3D" w:rsidRPr="00294727" w:rsidRDefault="00800D3D" w:rsidP="00800D3D">
            <w:pPr>
              <w:spacing w:after="0" w:line="240" w:lineRule="auto"/>
              <w:jc w:val="center"/>
              <w:rPr>
                <w:rFonts w:ascii="Times New Roman" w:eastAsia="Times New Roman" w:hAnsi="Times New Roman" w:cs="Times New Roman"/>
                <w:i/>
                <w:iCs/>
                <w:sz w:val="16"/>
                <w:szCs w:val="16"/>
                <w:lang w:eastAsia="lv-LV"/>
              </w:rPr>
            </w:pPr>
            <w:r w:rsidRPr="00294727">
              <w:rPr>
                <w:rFonts w:ascii="Times New Roman" w:eastAsia="Times New Roman" w:hAnsi="Times New Roman" w:cs="Times New Roman"/>
                <w:i/>
                <w:iCs/>
                <w:sz w:val="16"/>
                <w:szCs w:val="16"/>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C2D8B8" w14:textId="5A7F5987"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201</w:t>
            </w:r>
            <w:r>
              <w:rPr>
                <w:rFonts w:ascii="Times New Roman" w:eastAsia="Times New Roman" w:hAnsi="Times New Roman" w:cs="Times New Roman"/>
                <w:b/>
                <w:bCs/>
                <w:sz w:val="16"/>
                <w:szCs w:val="16"/>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1E7B8F" w14:textId="37221D17"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2018</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CC5A02" w14:textId="795C007E"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2019</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233841" w14:textId="39C58F0C"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2017</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386BE58" w14:textId="3C5092A1"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2018</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8DF0DF" w14:textId="37A7EA01" w:rsidR="00800D3D" w:rsidRPr="00294727" w:rsidRDefault="00800D3D" w:rsidP="00800D3D">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2019</w:t>
            </w:r>
          </w:p>
        </w:tc>
      </w:tr>
      <w:tr w:rsidR="00660E10" w14:paraId="323E81E7" w14:textId="77777777" w:rsidTr="00E11AFF">
        <w:trPr>
          <w:trHeight w:val="525"/>
          <w:jc w:val="center"/>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1CEA3" w14:textId="77777777" w:rsidR="00660E10" w:rsidRPr="00847710" w:rsidRDefault="00660E10" w:rsidP="00660E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11544" w14:textId="77777777" w:rsidR="00660E10" w:rsidRPr="00294727" w:rsidRDefault="00660E10" w:rsidP="00660E10">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Speciālistu konsultācijas</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8134" w14:textId="4C609D32" w:rsidR="00660E10" w:rsidRPr="00DF0854" w:rsidRDefault="00660E10" w:rsidP="00660E10">
            <w:pPr>
              <w:spacing w:after="0" w:line="240" w:lineRule="auto"/>
              <w:jc w:val="center"/>
              <w:rPr>
                <w:rFonts w:ascii="Times New Roman" w:eastAsia="Times New Roman" w:hAnsi="Times New Roman" w:cs="Times New Roman"/>
                <w:sz w:val="16"/>
                <w:szCs w:val="16"/>
                <w:lang w:eastAsia="lv-LV"/>
              </w:rPr>
            </w:pPr>
            <w:r w:rsidRPr="00DF0854">
              <w:rPr>
                <w:rFonts w:ascii="Times New Roman" w:hAnsi="Times New Roman" w:cs="Times New Roman"/>
                <w:sz w:val="16"/>
                <w:szCs w:val="16"/>
              </w:rPr>
              <w:t>16,82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5B2A51" w14:textId="2563BBA6" w:rsidR="00660E10" w:rsidRPr="00CB4538" w:rsidRDefault="00660E10" w:rsidP="00660E10">
            <w:pPr>
              <w:spacing w:after="0" w:line="240" w:lineRule="auto"/>
              <w:jc w:val="center"/>
              <w:rPr>
                <w:rFonts w:ascii="Times New Roman" w:hAnsi="Times New Roman" w:cs="Times New Roman"/>
                <w:color w:val="000000"/>
                <w:sz w:val="16"/>
                <w:szCs w:val="16"/>
              </w:rPr>
            </w:pPr>
            <w:r w:rsidRPr="00E11AFF">
              <w:rPr>
                <w:rFonts w:ascii="Times New Roman" w:eastAsia="Times New Roman" w:hAnsi="Times New Roman" w:cs="Times New Roman"/>
                <w:sz w:val="16"/>
                <w:szCs w:val="16"/>
                <w:lang w:eastAsia="lv-LV"/>
              </w:rPr>
              <w:t>28 104 954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9F27DD" w14:textId="7E22A000" w:rsidR="00660E10" w:rsidRPr="00CB4538" w:rsidRDefault="00CC682F" w:rsidP="00660E10">
            <w:pPr>
              <w:spacing w:after="0" w:line="240" w:lineRule="auto"/>
              <w:jc w:val="center"/>
              <w:rPr>
                <w:rFonts w:ascii="Times New Roman" w:hAnsi="Times New Roman" w:cs="Times New Roman"/>
                <w:color w:val="FF0000"/>
                <w:sz w:val="16"/>
                <w:szCs w:val="16"/>
              </w:rPr>
            </w:pPr>
            <w:r>
              <w:rPr>
                <w:rFonts w:ascii="Times New Roman" w:hAnsi="Times New Roman" w:cs="Times New Roman"/>
                <w:color w:val="000000"/>
                <w:sz w:val="16"/>
                <w:szCs w:val="16"/>
              </w:rPr>
              <w:t>45 487 218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FD00A" w14:textId="0F56A19A" w:rsidR="00660E10" w:rsidRPr="00CB4538" w:rsidRDefault="00660E10" w:rsidP="00660E10">
            <w:pPr>
              <w:spacing w:after="0" w:line="240" w:lineRule="auto"/>
              <w:jc w:val="center"/>
              <w:rPr>
                <w:rFonts w:ascii="Times New Roman" w:hAnsi="Times New Roman" w:cs="Times New Roman"/>
                <w:sz w:val="16"/>
                <w:szCs w:val="16"/>
              </w:rPr>
            </w:pPr>
            <w:r w:rsidRPr="00CB4538">
              <w:rPr>
                <w:rFonts w:ascii="Times New Roman" w:hAnsi="Times New Roman" w:cs="Times New Roman"/>
                <w:sz w:val="16"/>
                <w:szCs w:val="16"/>
              </w:rPr>
              <w:t>46 530 061</w:t>
            </w:r>
          </w:p>
        </w:tc>
        <w:tc>
          <w:tcPr>
            <w:tcW w:w="992" w:type="dxa"/>
            <w:tcBorders>
              <w:top w:val="single" w:sz="4" w:space="0" w:color="auto"/>
              <w:left w:val="single" w:sz="4" w:space="0" w:color="auto"/>
              <w:bottom w:val="single" w:sz="4" w:space="0" w:color="auto"/>
              <w:right w:val="single" w:sz="4" w:space="0" w:color="auto"/>
            </w:tcBorders>
            <w:vAlign w:val="center"/>
          </w:tcPr>
          <w:p w14:paraId="23B99308" w14:textId="7208D422" w:rsidR="00660E10" w:rsidRPr="00FD7B70" w:rsidRDefault="00660E10" w:rsidP="00660E10">
            <w:pPr>
              <w:spacing w:after="0" w:line="240" w:lineRule="auto"/>
              <w:jc w:val="center"/>
              <w:rPr>
                <w:rFonts w:ascii="Times New Roman" w:hAnsi="Times New Roman" w:cs="Times New Roman"/>
                <w:sz w:val="16"/>
                <w:szCs w:val="16"/>
              </w:rPr>
            </w:pPr>
            <w:r w:rsidRPr="00E11AFF">
              <w:rPr>
                <w:rFonts w:ascii="Times New Roman" w:eastAsia="Times New Roman" w:hAnsi="Times New Roman" w:cs="Times New Roman"/>
                <w:sz w:val="16"/>
                <w:szCs w:val="16"/>
                <w:lang w:eastAsia="lv-LV"/>
              </w:rPr>
              <w:t>3 386 187</w:t>
            </w:r>
          </w:p>
        </w:tc>
        <w:tc>
          <w:tcPr>
            <w:tcW w:w="1134" w:type="dxa"/>
            <w:tcBorders>
              <w:top w:val="single" w:sz="4" w:space="0" w:color="auto"/>
              <w:left w:val="single" w:sz="4" w:space="0" w:color="auto"/>
              <w:bottom w:val="single" w:sz="4" w:space="0" w:color="auto"/>
              <w:right w:val="single" w:sz="4" w:space="0" w:color="auto"/>
            </w:tcBorders>
            <w:vAlign w:val="center"/>
          </w:tcPr>
          <w:p w14:paraId="7B1E85C9" w14:textId="13CA02AE" w:rsidR="00660E10" w:rsidRPr="00294727" w:rsidRDefault="00660E10" w:rsidP="00660E1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2 039 642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C90A9F" w14:textId="0F4592D4" w:rsidR="00660E10" w:rsidRPr="00294727" w:rsidRDefault="00660E10" w:rsidP="00660E10">
            <w:pPr>
              <w:spacing w:after="0" w:line="240" w:lineRule="auto"/>
              <w:jc w:val="center"/>
              <w:rPr>
                <w:rFonts w:ascii="Times New Roman" w:hAnsi="Times New Roman" w:cs="Times New Roman"/>
                <w:sz w:val="16"/>
                <w:szCs w:val="16"/>
              </w:rPr>
            </w:pPr>
            <w:r w:rsidRPr="00294727">
              <w:rPr>
                <w:rFonts w:ascii="Times New Roman" w:hAnsi="Times New Roman" w:cs="Times New Roman"/>
                <w:sz w:val="16"/>
                <w:szCs w:val="16"/>
              </w:rPr>
              <w:t>3 </w:t>
            </w:r>
            <w:r>
              <w:rPr>
                <w:rFonts w:ascii="Times New Roman" w:hAnsi="Times New Roman" w:cs="Times New Roman"/>
                <w:sz w:val="16"/>
                <w:szCs w:val="16"/>
              </w:rPr>
              <w:t>187 900</w:t>
            </w:r>
          </w:p>
        </w:tc>
        <w:tc>
          <w:tcPr>
            <w:tcW w:w="1134" w:type="dxa"/>
            <w:tcBorders>
              <w:top w:val="single" w:sz="4" w:space="0" w:color="auto"/>
              <w:left w:val="single" w:sz="4" w:space="0" w:color="auto"/>
              <w:bottom w:val="single" w:sz="4" w:space="0" w:color="auto"/>
              <w:right w:val="single" w:sz="4" w:space="0" w:color="auto"/>
            </w:tcBorders>
            <w:vAlign w:val="center"/>
          </w:tcPr>
          <w:p w14:paraId="516F4BFE" w14:textId="116111E5" w:rsidR="00660E10" w:rsidRPr="00E11AFF" w:rsidRDefault="00660E10" w:rsidP="00660E10">
            <w:pPr>
              <w:spacing w:after="0" w:line="240" w:lineRule="auto"/>
              <w:jc w:val="center"/>
              <w:rPr>
                <w:rFonts w:ascii="Times New Roman" w:hAnsi="Times New Roman" w:cs="Times New Roman"/>
                <w:bCs/>
                <w:sz w:val="16"/>
                <w:szCs w:val="16"/>
              </w:rPr>
            </w:pPr>
            <w:r w:rsidRPr="00E11AFF">
              <w:rPr>
                <w:rFonts w:ascii="Times New Roman" w:eastAsia="Times New Roman" w:hAnsi="Times New Roman" w:cs="Times New Roman"/>
                <w:sz w:val="16"/>
                <w:szCs w:val="16"/>
                <w:lang w:eastAsia="lv-LV"/>
              </w:rPr>
              <w:t>2 243 013</w:t>
            </w:r>
          </w:p>
        </w:tc>
        <w:tc>
          <w:tcPr>
            <w:tcW w:w="992" w:type="dxa"/>
            <w:tcBorders>
              <w:top w:val="single" w:sz="4" w:space="0" w:color="auto"/>
              <w:left w:val="single" w:sz="4" w:space="0" w:color="auto"/>
              <w:bottom w:val="single" w:sz="4" w:space="0" w:color="auto"/>
              <w:right w:val="single" w:sz="4" w:space="0" w:color="auto"/>
            </w:tcBorders>
            <w:vAlign w:val="center"/>
          </w:tcPr>
          <w:p w14:paraId="4F9E7EC0" w14:textId="53F83543" w:rsidR="00660E10" w:rsidRPr="00E11AFF" w:rsidRDefault="00660E10" w:rsidP="00660E10">
            <w:pPr>
              <w:spacing w:after="0" w:line="240" w:lineRule="auto"/>
              <w:jc w:val="center"/>
              <w:rPr>
                <w:rFonts w:ascii="Times New Roman" w:eastAsia="Times New Roman" w:hAnsi="Times New Roman" w:cs="Times New Roman"/>
                <w:bCs/>
                <w:sz w:val="16"/>
                <w:szCs w:val="16"/>
                <w:lang w:eastAsia="lv-LV"/>
              </w:rPr>
            </w:pPr>
            <w:r w:rsidRPr="00E11AFF">
              <w:rPr>
                <w:rFonts w:ascii="Times New Roman" w:hAnsi="Times New Roman" w:cs="Times New Roman"/>
                <w:bCs/>
                <w:sz w:val="16"/>
                <w:szCs w:val="16"/>
              </w:rPr>
              <w:t>2 423 400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2B07E" w14:textId="76BD7D85" w:rsidR="00660E10" w:rsidRPr="00E11AFF" w:rsidRDefault="00660E10" w:rsidP="00660E10">
            <w:pPr>
              <w:spacing w:after="0" w:line="240" w:lineRule="auto"/>
              <w:jc w:val="center"/>
              <w:rPr>
                <w:rFonts w:ascii="Times New Roman" w:hAnsi="Times New Roman" w:cs="Times New Roman"/>
                <w:b/>
                <w:bCs/>
                <w:sz w:val="16"/>
                <w:szCs w:val="16"/>
              </w:rPr>
            </w:pPr>
            <w:r w:rsidRPr="00E11AFF">
              <w:rPr>
                <w:rFonts w:ascii="Times New Roman" w:hAnsi="Times New Roman" w:cs="Times New Roman"/>
                <w:sz w:val="16"/>
                <w:szCs w:val="16"/>
              </w:rPr>
              <w:t>2 472 802</w:t>
            </w:r>
          </w:p>
        </w:tc>
        <w:tc>
          <w:tcPr>
            <w:tcW w:w="992" w:type="dxa"/>
            <w:tcBorders>
              <w:top w:val="single" w:sz="4" w:space="0" w:color="auto"/>
              <w:left w:val="single" w:sz="4" w:space="0" w:color="auto"/>
              <w:bottom w:val="single" w:sz="4" w:space="0" w:color="auto"/>
              <w:right w:val="single" w:sz="4" w:space="0" w:color="auto"/>
            </w:tcBorders>
            <w:vAlign w:val="center"/>
          </w:tcPr>
          <w:p w14:paraId="384272D8" w14:textId="7D3A75DB"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eastAsia="Times New Roman" w:hAnsi="Times New Roman" w:cs="Times New Roman"/>
                <w:b/>
                <w:sz w:val="16"/>
                <w:szCs w:val="16"/>
                <w:lang w:eastAsia="lv-LV"/>
              </w:rPr>
              <w:t>2 513 259</w:t>
            </w:r>
          </w:p>
        </w:tc>
        <w:tc>
          <w:tcPr>
            <w:tcW w:w="993" w:type="dxa"/>
            <w:tcBorders>
              <w:top w:val="single" w:sz="4" w:space="0" w:color="auto"/>
              <w:left w:val="single" w:sz="4" w:space="0" w:color="auto"/>
              <w:bottom w:val="single" w:sz="4" w:space="0" w:color="auto"/>
              <w:right w:val="single" w:sz="4" w:space="0" w:color="auto"/>
            </w:tcBorders>
            <w:vAlign w:val="center"/>
          </w:tcPr>
          <w:p w14:paraId="5EAFB069" w14:textId="7406E25A"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2 532 065</w:t>
            </w:r>
          </w:p>
        </w:tc>
        <w:tc>
          <w:tcPr>
            <w:tcW w:w="992" w:type="dxa"/>
            <w:tcBorders>
              <w:top w:val="single" w:sz="4" w:space="0" w:color="auto"/>
              <w:left w:val="single" w:sz="4" w:space="0" w:color="auto"/>
              <w:bottom w:val="single" w:sz="4" w:space="0" w:color="auto"/>
              <w:right w:val="single" w:sz="4" w:space="0" w:color="auto"/>
            </w:tcBorders>
            <w:vAlign w:val="center"/>
          </w:tcPr>
          <w:p w14:paraId="01DAA852" w14:textId="1CD97CE7"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2 984 914</w:t>
            </w:r>
          </w:p>
        </w:tc>
      </w:tr>
      <w:tr w:rsidR="00660E10" w14:paraId="621865CE" w14:textId="77777777" w:rsidTr="00E11AFF">
        <w:trPr>
          <w:trHeight w:val="708"/>
          <w:jc w:val="center"/>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A5702" w14:textId="77777777" w:rsidR="00660E10" w:rsidRPr="00847710" w:rsidRDefault="00660E10" w:rsidP="00660E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14:paraId="5EB8A444" w14:textId="77777777" w:rsidR="00660E10" w:rsidRPr="00294727" w:rsidRDefault="00660E10" w:rsidP="00660E10">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Ambulatorie</w:t>
            </w:r>
          </w:p>
          <w:p w14:paraId="6C82BBE9" w14:textId="77777777" w:rsidR="00660E10" w:rsidRPr="00294727" w:rsidRDefault="00660E10" w:rsidP="00660E10">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izmeklējumi un terapija</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FD978" w14:textId="0B4BF277" w:rsidR="00660E10" w:rsidRPr="00DF0854" w:rsidRDefault="00660E10" w:rsidP="00660E10">
            <w:pPr>
              <w:spacing w:after="0" w:line="240" w:lineRule="auto"/>
              <w:jc w:val="center"/>
              <w:rPr>
                <w:rFonts w:ascii="Times New Roman" w:eastAsia="Times New Roman" w:hAnsi="Times New Roman" w:cs="Times New Roman"/>
                <w:sz w:val="16"/>
                <w:szCs w:val="16"/>
                <w:lang w:eastAsia="lv-LV"/>
              </w:rPr>
            </w:pPr>
            <w:r w:rsidRPr="00DF0854">
              <w:rPr>
                <w:rFonts w:ascii="Times New Roman" w:hAnsi="Times New Roman" w:cs="Times New Roman"/>
                <w:sz w:val="16"/>
                <w:szCs w:val="16"/>
              </w:rPr>
              <w:t>23,81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91596C" w14:textId="74203895" w:rsidR="00660E10" w:rsidRPr="00CB4538" w:rsidRDefault="00660E10" w:rsidP="00660E10">
            <w:pPr>
              <w:spacing w:after="0" w:line="240" w:lineRule="auto"/>
              <w:jc w:val="center"/>
              <w:rPr>
                <w:rFonts w:ascii="Times New Roman" w:hAnsi="Times New Roman" w:cs="Times New Roman"/>
                <w:color w:val="000000"/>
                <w:sz w:val="16"/>
                <w:szCs w:val="16"/>
              </w:rPr>
            </w:pPr>
            <w:r w:rsidRPr="00E11AFF">
              <w:rPr>
                <w:rFonts w:ascii="Times New Roman" w:eastAsia="Times New Roman" w:hAnsi="Times New Roman" w:cs="Times New Roman"/>
                <w:sz w:val="16"/>
                <w:szCs w:val="16"/>
                <w:lang w:eastAsia="lv-LV"/>
              </w:rPr>
              <w:t>42 405 017</w:t>
            </w:r>
          </w:p>
        </w:tc>
        <w:tc>
          <w:tcPr>
            <w:tcW w:w="1134" w:type="dxa"/>
            <w:tcBorders>
              <w:top w:val="single" w:sz="4" w:space="0" w:color="auto"/>
              <w:left w:val="single" w:sz="4" w:space="0" w:color="auto"/>
              <w:bottom w:val="single" w:sz="4" w:space="0" w:color="auto"/>
              <w:right w:val="single" w:sz="4" w:space="0" w:color="auto"/>
            </w:tcBorders>
            <w:noWrap/>
            <w:vAlign w:val="center"/>
          </w:tcPr>
          <w:p w14:paraId="3E087B9E" w14:textId="1327A5E4" w:rsidR="00660E10" w:rsidRPr="00CB4538" w:rsidRDefault="00CC682F" w:rsidP="00660E10">
            <w:pPr>
              <w:spacing w:after="0" w:line="240" w:lineRule="auto"/>
              <w:jc w:val="center"/>
              <w:rPr>
                <w:rFonts w:ascii="Times New Roman" w:eastAsia="Times New Roman" w:hAnsi="Times New Roman" w:cs="Times New Roman"/>
                <w:sz w:val="16"/>
                <w:szCs w:val="16"/>
                <w:lang w:eastAsia="lv-LV"/>
              </w:rPr>
            </w:pPr>
            <w:r>
              <w:rPr>
                <w:rFonts w:ascii="Times New Roman" w:hAnsi="Times New Roman" w:cs="Times New Roman"/>
                <w:color w:val="000000"/>
                <w:sz w:val="16"/>
                <w:szCs w:val="16"/>
              </w:rPr>
              <w:t>53 456 203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645F8E" w14:textId="69396A5B" w:rsidR="00660E10" w:rsidRPr="00CB4538" w:rsidRDefault="00660E10" w:rsidP="00660E10">
            <w:pPr>
              <w:spacing w:after="0" w:line="240" w:lineRule="auto"/>
              <w:jc w:val="center"/>
              <w:rPr>
                <w:rFonts w:ascii="Times New Roman" w:hAnsi="Times New Roman" w:cs="Times New Roman"/>
                <w:sz w:val="16"/>
                <w:szCs w:val="16"/>
              </w:rPr>
            </w:pPr>
            <w:r w:rsidRPr="00CB4538">
              <w:rPr>
                <w:rFonts w:ascii="Times New Roman" w:hAnsi="Times New Roman" w:cs="Times New Roman"/>
                <w:sz w:val="16"/>
                <w:szCs w:val="16"/>
              </w:rPr>
              <w:t>54 832 302</w:t>
            </w:r>
          </w:p>
        </w:tc>
        <w:tc>
          <w:tcPr>
            <w:tcW w:w="992" w:type="dxa"/>
            <w:tcBorders>
              <w:top w:val="single" w:sz="4" w:space="0" w:color="auto"/>
              <w:left w:val="single" w:sz="4" w:space="0" w:color="auto"/>
              <w:bottom w:val="single" w:sz="4" w:space="0" w:color="auto"/>
              <w:right w:val="single" w:sz="4" w:space="0" w:color="auto"/>
            </w:tcBorders>
            <w:vAlign w:val="center"/>
          </w:tcPr>
          <w:p w14:paraId="3DB7D58C" w14:textId="583EB633" w:rsidR="00660E10" w:rsidRPr="00FD7B70" w:rsidRDefault="00660E10" w:rsidP="00660E10">
            <w:pPr>
              <w:spacing w:after="0" w:line="240" w:lineRule="auto"/>
              <w:jc w:val="center"/>
              <w:rPr>
                <w:rFonts w:ascii="Times New Roman" w:hAnsi="Times New Roman" w:cs="Times New Roman"/>
                <w:sz w:val="16"/>
                <w:szCs w:val="16"/>
              </w:rPr>
            </w:pPr>
            <w:r w:rsidRPr="00E11AFF">
              <w:rPr>
                <w:rFonts w:ascii="Times New Roman" w:eastAsia="Times New Roman" w:hAnsi="Times New Roman" w:cs="Times New Roman"/>
                <w:sz w:val="16"/>
                <w:szCs w:val="16"/>
                <w:lang w:eastAsia="lv-LV"/>
              </w:rPr>
              <w:t>7 541 491</w:t>
            </w:r>
          </w:p>
        </w:tc>
        <w:tc>
          <w:tcPr>
            <w:tcW w:w="1134" w:type="dxa"/>
            <w:tcBorders>
              <w:top w:val="single" w:sz="4" w:space="0" w:color="auto"/>
              <w:left w:val="single" w:sz="4" w:space="0" w:color="auto"/>
              <w:bottom w:val="single" w:sz="4" w:space="0" w:color="auto"/>
              <w:right w:val="single" w:sz="4" w:space="0" w:color="auto"/>
            </w:tcBorders>
            <w:vAlign w:val="center"/>
          </w:tcPr>
          <w:p w14:paraId="4D3C3B24" w14:textId="4CAFD6D2" w:rsidR="00660E10" w:rsidRPr="00294727" w:rsidRDefault="00660E10" w:rsidP="00660E1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5 156 113</w:t>
            </w:r>
          </w:p>
        </w:tc>
        <w:tc>
          <w:tcPr>
            <w:tcW w:w="1134" w:type="dxa"/>
            <w:tcBorders>
              <w:top w:val="single" w:sz="4" w:space="0" w:color="auto"/>
              <w:left w:val="single" w:sz="4" w:space="0" w:color="auto"/>
              <w:bottom w:val="single" w:sz="4" w:space="0" w:color="auto"/>
              <w:right w:val="single" w:sz="4" w:space="0" w:color="auto"/>
            </w:tcBorders>
            <w:noWrap/>
            <w:vAlign w:val="center"/>
          </w:tcPr>
          <w:p w14:paraId="667B2779" w14:textId="5CFF67C1" w:rsidR="00660E10" w:rsidRPr="00294727" w:rsidRDefault="00660E10" w:rsidP="00660E10">
            <w:pPr>
              <w:spacing w:after="0" w:line="240" w:lineRule="auto"/>
              <w:jc w:val="center"/>
              <w:rPr>
                <w:rFonts w:ascii="Times New Roman" w:hAnsi="Times New Roman" w:cs="Times New Roman"/>
                <w:sz w:val="16"/>
                <w:szCs w:val="16"/>
              </w:rPr>
            </w:pPr>
            <w:r w:rsidRPr="00294727">
              <w:rPr>
                <w:rFonts w:ascii="Times New Roman" w:hAnsi="Times New Roman" w:cs="Times New Roman"/>
                <w:sz w:val="16"/>
                <w:szCs w:val="16"/>
              </w:rPr>
              <w:t>3 0</w:t>
            </w:r>
            <w:r>
              <w:rPr>
                <w:rFonts w:ascii="Times New Roman" w:hAnsi="Times New Roman" w:cs="Times New Roman"/>
                <w:sz w:val="16"/>
                <w:szCs w:val="16"/>
              </w:rPr>
              <w:t>72 331</w:t>
            </w:r>
          </w:p>
        </w:tc>
        <w:tc>
          <w:tcPr>
            <w:tcW w:w="1134" w:type="dxa"/>
            <w:tcBorders>
              <w:top w:val="single" w:sz="4" w:space="0" w:color="auto"/>
              <w:left w:val="single" w:sz="4" w:space="0" w:color="auto"/>
              <w:bottom w:val="single" w:sz="4" w:space="0" w:color="auto"/>
              <w:right w:val="single" w:sz="4" w:space="0" w:color="auto"/>
            </w:tcBorders>
            <w:vAlign w:val="center"/>
          </w:tcPr>
          <w:p w14:paraId="1BF304DD" w14:textId="7313D5BF" w:rsidR="00660E10" w:rsidRPr="00E11AFF" w:rsidRDefault="00660E10" w:rsidP="00660E10">
            <w:pPr>
              <w:spacing w:after="0" w:line="240" w:lineRule="auto"/>
              <w:jc w:val="center"/>
              <w:rPr>
                <w:rFonts w:ascii="Times New Roman" w:hAnsi="Times New Roman" w:cs="Times New Roman"/>
                <w:bCs/>
                <w:sz w:val="16"/>
                <w:szCs w:val="16"/>
              </w:rPr>
            </w:pPr>
            <w:r w:rsidRPr="00E11AFF">
              <w:rPr>
                <w:rFonts w:ascii="Times New Roman" w:eastAsia="Times New Roman" w:hAnsi="Times New Roman" w:cs="Times New Roman"/>
                <w:sz w:val="16"/>
                <w:szCs w:val="16"/>
                <w:lang w:eastAsia="lv-LV"/>
              </w:rPr>
              <w:t>1 844 739</w:t>
            </w:r>
          </w:p>
        </w:tc>
        <w:tc>
          <w:tcPr>
            <w:tcW w:w="992" w:type="dxa"/>
            <w:tcBorders>
              <w:top w:val="single" w:sz="4" w:space="0" w:color="auto"/>
              <w:left w:val="single" w:sz="4" w:space="0" w:color="auto"/>
              <w:bottom w:val="single" w:sz="4" w:space="0" w:color="auto"/>
              <w:right w:val="single" w:sz="4" w:space="0" w:color="auto"/>
            </w:tcBorders>
            <w:vAlign w:val="center"/>
          </w:tcPr>
          <w:p w14:paraId="0FF0AF50" w14:textId="0D4879B7" w:rsidR="00660E10" w:rsidRPr="00E11AFF" w:rsidRDefault="00660E10" w:rsidP="00660E10">
            <w:pPr>
              <w:spacing w:after="0" w:line="240" w:lineRule="auto"/>
              <w:jc w:val="center"/>
              <w:rPr>
                <w:rFonts w:ascii="Times New Roman" w:eastAsia="Times New Roman" w:hAnsi="Times New Roman" w:cs="Times New Roman"/>
                <w:bCs/>
                <w:sz w:val="16"/>
                <w:szCs w:val="16"/>
                <w:lang w:eastAsia="lv-LV"/>
              </w:rPr>
            </w:pPr>
            <w:r w:rsidRPr="00E11AFF">
              <w:rPr>
                <w:rFonts w:ascii="Times New Roman" w:hAnsi="Times New Roman" w:cs="Times New Roman"/>
                <w:bCs/>
                <w:sz w:val="16"/>
                <w:szCs w:val="16"/>
              </w:rPr>
              <w:t>2 147 968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85FBE" w14:textId="68784315" w:rsidR="00660E10" w:rsidRPr="00E11AFF" w:rsidRDefault="00660E10" w:rsidP="00660E10">
            <w:pPr>
              <w:spacing w:after="0" w:line="240" w:lineRule="auto"/>
              <w:jc w:val="center"/>
              <w:rPr>
                <w:rFonts w:ascii="Times New Roman" w:hAnsi="Times New Roman" w:cs="Times New Roman"/>
                <w:b/>
                <w:bCs/>
                <w:sz w:val="16"/>
                <w:szCs w:val="16"/>
              </w:rPr>
            </w:pPr>
            <w:r w:rsidRPr="00E11AFF">
              <w:rPr>
                <w:rFonts w:ascii="Times New Roman" w:hAnsi="Times New Roman" w:cs="Times New Roman"/>
                <w:sz w:val="16"/>
                <w:szCs w:val="16"/>
              </w:rPr>
              <w:t>2 196 097</w:t>
            </w:r>
          </w:p>
        </w:tc>
        <w:tc>
          <w:tcPr>
            <w:tcW w:w="992" w:type="dxa"/>
            <w:tcBorders>
              <w:top w:val="single" w:sz="4" w:space="0" w:color="auto"/>
              <w:left w:val="single" w:sz="4" w:space="0" w:color="auto"/>
              <w:bottom w:val="single" w:sz="4" w:space="0" w:color="auto"/>
              <w:right w:val="single" w:sz="4" w:space="0" w:color="auto"/>
            </w:tcBorders>
            <w:vAlign w:val="center"/>
          </w:tcPr>
          <w:p w14:paraId="79849E5C" w14:textId="3E40F6DB"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eastAsia="Times New Roman" w:hAnsi="Times New Roman" w:cs="Times New Roman"/>
                <w:b/>
                <w:sz w:val="16"/>
                <w:szCs w:val="16"/>
                <w:lang w:eastAsia="lv-LV"/>
              </w:rPr>
              <w:t>2 172 815</w:t>
            </w:r>
          </w:p>
        </w:tc>
        <w:tc>
          <w:tcPr>
            <w:tcW w:w="993" w:type="dxa"/>
            <w:tcBorders>
              <w:top w:val="single" w:sz="4" w:space="0" w:color="auto"/>
              <w:left w:val="single" w:sz="4" w:space="0" w:color="auto"/>
              <w:bottom w:val="single" w:sz="4" w:space="0" w:color="auto"/>
              <w:right w:val="single" w:sz="4" w:space="0" w:color="auto"/>
            </w:tcBorders>
            <w:vAlign w:val="center"/>
          </w:tcPr>
          <w:p w14:paraId="0F93E639" w14:textId="445D28DD"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2 354 854</w:t>
            </w:r>
          </w:p>
        </w:tc>
        <w:tc>
          <w:tcPr>
            <w:tcW w:w="992" w:type="dxa"/>
            <w:tcBorders>
              <w:top w:val="single" w:sz="4" w:space="0" w:color="auto"/>
              <w:left w:val="single" w:sz="4" w:space="0" w:color="auto"/>
              <w:bottom w:val="single" w:sz="4" w:space="0" w:color="auto"/>
              <w:right w:val="single" w:sz="4" w:space="0" w:color="auto"/>
            </w:tcBorders>
            <w:vAlign w:val="center"/>
          </w:tcPr>
          <w:p w14:paraId="627A7E5E" w14:textId="3E138CAE"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2 858 462</w:t>
            </w:r>
          </w:p>
        </w:tc>
      </w:tr>
      <w:tr w:rsidR="00660E10" w14:paraId="5FEDC588" w14:textId="77777777" w:rsidTr="00E11AFF">
        <w:trPr>
          <w:trHeight w:val="500"/>
          <w:jc w:val="center"/>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67AE8" w14:textId="77777777" w:rsidR="00660E10" w:rsidRPr="00847710" w:rsidRDefault="00660E10" w:rsidP="00660E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14:paraId="5CA605C6" w14:textId="77777777" w:rsidR="00660E10" w:rsidRPr="00294727" w:rsidRDefault="00660E10" w:rsidP="00660E10">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Dienas stacionārā sniegtie pakalpojumi</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8618E" w14:textId="7BA174CD" w:rsidR="00660E10" w:rsidRPr="00DF0854" w:rsidRDefault="00660E10" w:rsidP="00660E10">
            <w:pPr>
              <w:spacing w:after="0" w:line="240" w:lineRule="auto"/>
              <w:jc w:val="center"/>
              <w:rPr>
                <w:rFonts w:ascii="Times New Roman" w:eastAsia="Times New Roman" w:hAnsi="Times New Roman" w:cs="Times New Roman"/>
                <w:sz w:val="16"/>
                <w:szCs w:val="16"/>
                <w:lang w:eastAsia="lv-LV"/>
              </w:rPr>
            </w:pPr>
            <w:r w:rsidRPr="00DF0854">
              <w:rPr>
                <w:rFonts w:ascii="Times New Roman" w:hAnsi="Times New Roman" w:cs="Times New Roman"/>
                <w:sz w:val="16"/>
                <w:szCs w:val="16"/>
              </w:rPr>
              <w:t>115,39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B20880" w14:textId="30722990" w:rsidR="00660E10" w:rsidRPr="00CB4538" w:rsidRDefault="00660E10" w:rsidP="00660E10">
            <w:pPr>
              <w:spacing w:after="0" w:line="240" w:lineRule="auto"/>
              <w:jc w:val="center"/>
              <w:rPr>
                <w:rFonts w:ascii="Times New Roman" w:hAnsi="Times New Roman" w:cs="Times New Roman"/>
                <w:color w:val="000000"/>
                <w:sz w:val="16"/>
                <w:szCs w:val="16"/>
              </w:rPr>
            </w:pPr>
            <w:r w:rsidRPr="00E11AFF">
              <w:rPr>
                <w:rFonts w:ascii="Times New Roman" w:eastAsia="Times New Roman" w:hAnsi="Times New Roman" w:cs="Times New Roman"/>
                <w:sz w:val="16"/>
                <w:szCs w:val="16"/>
                <w:lang w:eastAsia="lv-LV"/>
              </w:rPr>
              <w:t>39 677 107</w:t>
            </w:r>
          </w:p>
        </w:tc>
        <w:tc>
          <w:tcPr>
            <w:tcW w:w="1134" w:type="dxa"/>
            <w:tcBorders>
              <w:top w:val="single" w:sz="4" w:space="0" w:color="auto"/>
              <w:left w:val="single" w:sz="4" w:space="0" w:color="auto"/>
              <w:bottom w:val="single" w:sz="4" w:space="0" w:color="auto"/>
              <w:right w:val="single" w:sz="4" w:space="0" w:color="auto"/>
            </w:tcBorders>
            <w:noWrap/>
            <w:vAlign w:val="center"/>
          </w:tcPr>
          <w:p w14:paraId="5FB6AECE" w14:textId="26B1491D" w:rsidR="00660E10" w:rsidRPr="00CB4538" w:rsidRDefault="00CC682F" w:rsidP="00660E10">
            <w:pPr>
              <w:spacing w:after="0" w:line="240" w:lineRule="auto"/>
              <w:jc w:val="center"/>
              <w:rPr>
                <w:rFonts w:ascii="Times New Roman" w:eastAsia="Times New Roman" w:hAnsi="Times New Roman" w:cs="Times New Roman"/>
                <w:sz w:val="16"/>
                <w:szCs w:val="16"/>
                <w:lang w:eastAsia="lv-LV"/>
              </w:rPr>
            </w:pPr>
            <w:r>
              <w:rPr>
                <w:rFonts w:ascii="Times New Roman" w:hAnsi="Times New Roman" w:cs="Times New Roman"/>
                <w:color w:val="000000"/>
                <w:sz w:val="16"/>
                <w:szCs w:val="16"/>
              </w:rPr>
              <w:t>58 144 380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3505EE" w14:textId="7D44046B" w:rsidR="00660E10" w:rsidRPr="00CB4538" w:rsidRDefault="00660E10" w:rsidP="00660E10">
            <w:pPr>
              <w:spacing w:after="0" w:line="240" w:lineRule="auto"/>
              <w:jc w:val="center"/>
              <w:rPr>
                <w:rFonts w:ascii="Times New Roman" w:hAnsi="Times New Roman" w:cs="Times New Roman"/>
                <w:sz w:val="16"/>
                <w:szCs w:val="16"/>
              </w:rPr>
            </w:pPr>
            <w:r w:rsidRPr="00CB4538">
              <w:rPr>
                <w:rFonts w:ascii="Times New Roman" w:hAnsi="Times New Roman" w:cs="Times New Roman"/>
                <w:sz w:val="16"/>
                <w:szCs w:val="16"/>
              </w:rPr>
              <w:t>52 167 630</w:t>
            </w:r>
          </w:p>
        </w:tc>
        <w:tc>
          <w:tcPr>
            <w:tcW w:w="992" w:type="dxa"/>
            <w:tcBorders>
              <w:top w:val="single" w:sz="4" w:space="0" w:color="auto"/>
              <w:left w:val="single" w:sz="4" w:space="0" w:color="auto"/>
              <w:bottom w:val="single" w:sz="4" w:space="0" w:color="auto"/>
              <w:right w:val="single" w:sz="4" w:space="0" w:color="auto"/>
            </w:tcBorders>
            <w:vAlign w:val="center"/>
          </w:tcPr>
          <w:p w14:paraId="1184481A" w14:textId="5C34AFCF" w:rsidR="00660E10" w:rsidRPr="00FD7B70" w:rsidRDefault="00660E10" w:rsidP="00660E10">
            <w:pPr>
              <w:spacing w:after="0" w:line="240" w:lineRule="auto"/>
              <w:jc w:val="center"/>
              <w:rPr>
                <w:rFonts w:ascii="Times New Roman" w:hAnsi="Times New Roman" w:cs="Times New Roman"/>
                <w:sz w:val="16"/>
                <w:szCs w:val="16"/>
              </w:rPr>
            </w:pPr>
            <w:r w:rsidRPr="00E11AFF">
              <w:rPr>
                <w:rFonts w:ascii="Times New Roman" w:eastAsia="Times New Roman" w:hAnsi="Times New Roman" w:cs="Times New Roman"/>
                <w:sz w:val="16"/>
                <w:szCs w:val="16"/>
                <w:lang w:eastAsia="lv-LV"/>
              </w:rPr>
              <w:t>5 163 159</w:t>
            </w:r>
          </w:p>
        </w:tc>
        <w:tc>
          <w:tcPr>
            <w:tcW w:w="1134" w:type="dxa"/>
            <w:tcBorders>
              <w:top w:val="single" w:sz="4" w:space="0" w:color="auto"/>
              <w:left w:val="single" w:sz="4" w:space="0" w:color="auto"/>
              <w:bottom w:val="single" w:sz="4" w:space="0" w:color="auto"/>
              <w:right w:val="single" w:sz="4" w:space="0" w:color="auto"/>
            </w:tcBorders>
            <w:vAlign w:val="center"/>
          </w:tcPr>
          <w:p w14:paraId="49AF6195" w14:textId="06FBB2A4" w:rsidR="00660E10" w:rsidRPr="00294727" w:rsidRDefault="00660E10" w:rsidP="00660E1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3 872 422</w:t>
            </w:r>
          </w:p>
        </w:tc>
        <w:tc>
          <w:tcPr>
            <w:tcW w:w="1134" w:type="dxa"/>
            <w:tcBorders>
              <w:top w:val="single" w:sz="4" w:space="0" w:color="auto"/>
              <w:left w:val="single" w:sz="4" w:space="0" w:color="auto"/>
              <w:bottom w:val="single" w:sz="4" w:space="0" w:color="auto"/>
              <w:right w:val="single" w:sz="4" w:space="0" w:color="auto"/>
            </w:tcBorders>
            <w:noWrap/>
            <w:vAlign w:val="center"/>
          </w:tcPr>
          <w:p w14:paraId="7E5CF2A5" w14:textId="1AB5C0BA" w:rsidR="00660E10" w:rsidRPr="00294727" w:rsidRDefault="00660E10" w:rsidP="00660E10">
            <w:pPr>
              <w:spacing w:after="0" w:line="240" w:lineRule="auto"/>
              <w:jc w:val="center"/>
              <w:rPr>
                <w:rFonts w:ascii="Times New Roman" w:hAnsi="Times New Roman" w:cs="Times New Roman"/>
                <w:sz w:val="16"/>
                <w:szCs w:val="16"/>
              </w:rPr>
            </w:pPr>
            <w:r w:rsidRPr="00294727">
              <w:rPr>
                <w:rFonts w:ascii="Times New Roman" w:hAnsi="Times New Roman" w:cs="Times New Roman"/>
                <w:sz w:val="16"/>
                <w:szCs w:val="16"/>
              </w:rPr>
              <w:t>3 </w:t>
            </w:r>
            <w:r>
              <w:rPr>
                <w:rFonts w:ascii="Times New Roman" w:hAnsi="Times New Roman" w:cs="Times New Roman"/>
                <w:sz w:val="16"/>
                <w:szCs w:val="16"/>
              </w:rPr>
              <w:t>1</w:t>
            </w:r>
            <w:r w:rsidRPr="00294727">
              <w:rPr>
                <w:rFonts w:ascii="Times New Roman" w:hAnsi="Times New Roman" w:cs="Times New Roman"/>
                <w:sz w:val="16"/>
                <w:szCs w:val="16"/>
              </w:rPr>
              <w:t>66 6</w:t>
            </w:r>
            <w:r>
              <w:rPr>
                <w:rFonts w:ascii="Times New Roman" w:hAnsi="Times New Roman" w:cs="Times New Roman"/>
                <w:sz w:val="16"/>
                <w:szCs w:val="16"/>
              </w:rPr>
              <w:t>44</w:t>
            </w:r>
          </w:p>
        </w:tc>
        <w:tc>
          <w:tcPr>
            <w:tcW w:w="1134" w:type="dxa"/>
            <w:tcBorders>
              <w:top w:val="single" w:sz="4" w:space="0" w:color="auto"/>
              <w:left w:val="single" w:sz="4" w:space="0" w:color="auto"/>
              <w:bottom w:val="single" w:sz="4" w:space="0" w:color="auto"/>
              <w:right w:val="single" w:sz="4" w:space="0" w:color="auto"/>
            </w:tcBorders>
            <w:vAlign w:val="center"/>
          </w:tcPr>
          <w:p w14:paraId="21DBC164" w14:textId="7A4EA22B" w:rsidR="00660E10" w:rsidRPr="00E11AFF" w:rsidRDefault="00660E10" w:rsidP="00660E10">
            <w:pPr>
              <w:spacing w:after="0" w:line="240" w:lineRule="auto"/>
              <w:jc w:val="center"/>
              <w:rPr>
                <w:rFonts w:ascii="Times New Roman" w:hAnsi="Times New Roman" w:cs="Times New Roman"/>
                <w:bCs/>
                <w:sz w:val="16"/>
                <w:szCs w:val="16"/>
              </w:rPr>
            </w:pPr>
            <w:r w:rsidRPr="00E11AFF">
              <w:rPr>
                <w:rFonts w:ascii="Times New Roman" w:eastAsia="Times New Roman" w:hAnsi="Times New Roman" w:cs="Times New Roman"/>
                <w:sz w:val="16"/>
                <w:szCs w:val="16"/>
                <w:lang w:eastAsia="lv-LV"/>
              </w:rPr>
              <w:t>480 073</w:t>
            </w:r>
          </w:p>
        </w:tc>
        <w:tc>
          <w:tcPr>
            <w:tcW w:w="992" w:type="dxa"/>
            <w:tcBorders>
              <w:top w:val="single" w:sz="4" w:space="0" w:color="auto"/>
              <w:left w:val="single" w:sz="4" w:space="0" w:color="auto"/>
              <w:bottom w:val="single" w:sz="4" w:space="0" w:color="auto"/>
              <w:right w:val="single" w:sz="4" w:space="0" w:color="auto"/>
            </w:tcBorders>
            <w:vAlign w:val="center"/>
          </w:tcPr>
          <w:p w14:paraId="71A897FC" w14:textId="35B03426" w:rsidR="00660E10" w:rsidRPr="00E11AFF" w:rsidRDefault="00660E10" w:rsidP="00660E10">
            <w:pPr>
              <w:spacing w:after="0" w:line="240" w:lineRule="auto"/>
              <w:jc w:val="center"/>
              <w:rPr>
                <w:rFonts w:ascii="Times New Roman" w:eastAsia="Times New Roman" w:hAnsi="Times New Roman" w:cs="Times New Roman"/>
                <w:bCs/>
                <w:sz w:val="16"/>
                <w:szCs w:val="16"/>
                <w:lang w:eastAsia="lv-LV"/>
              </w:rPr>
            </w:pPr>
            <w:r w:rsidRPr="00E11AFF">
              <w:rPr>
                <w:rFonts w:ascii="Times New Roman" w:hAnsi="Times New Roman" w:cs="Times New Roman"/>
                <w:bCs/>
                <w:sz w:val="16"/>
                <w:szCs w:val="16"/>
              </w:rPr>
              <w:t>526 861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F9C99" w14:textId="1E0ABB7D" w:rsidR="00660E10" w:rsidRPr="00E11AFF" w:rsidRDefault="00660E10" w:rsidP="00660E10">
            <w:pPr>
              <w:spacing w:after="0" w:line="240" w:lineRule="auto"/>
              <w:jc w:val="center"/>
              <w:rPr>
                <w:rFonts w:ascii="Times New Roman" w:hAnsi="Times New Roman" w:cs="Times New Roman"/>
                <w:b/>
                <w:bCs/>
                <w:sz w:val="16"/>
                <w:szCs w:val="16"/>
              </w:rPr>
            </w:pPr>
            <w:r w:rsidRPr="00E11AFF">
              <w:rPr>
                <w:rFonts w:ascii="Times New Roman" w:hAnsi="Times New Roman" w:cs="Times New Roman"/>
                <w:sz w:val="16"/>
                <w:szCs w:val="16"/>
              </w:rPr>
              <w:t>476 594</w:t>
            </w:r>
          </w:p>
        </w:tc>
        <w:tc>
          <w:tcPr>
            <w:tcW w:w="992" w:type="dxa"/>
            <w:tcBorders>
              <w:top w:val="single" w:sz="4" w:space="0" w:color="auto"/>
              <w:left w:val="single" w:sz="4" w:space="0" w:color="auto"/>
              <w:bottom w:val="single" w:sz="4" w:space="0" w:color="auto"/>
              <w:right w:val="single" w:sz="4" w:space="0" w:color="auto"/>
            </w:tcBorders>
            <w:vAlign w:val="center"/>
          </w:tcPr>
          <w:p w14:paraId="1F84D56E" w14:textId="2263E35A"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eastAsia="Times New Roman" w:hAnsi="Times New Roman" w:cs="Times New Roman"/>
                <w:b/>
                <w:sz w:val="16"/>
                <w:szCs w:val="16"/>
                <w:lang w:eastAsia="lv-LV"/>
              </w:rPr>
              <w:t>542 545</w:t>
            </w:r>
          </w:p>
        </w:tc>
        <w:tc>
          <w:tcPr>
            <w:tcW w:w="993" w:type="dxa"/>
            <w:tcBorders>
              <w:top w:val="single" w:sz="4" w:space="0" w:color="auto"/>
              <w:left w:val="single" w:sz="4" w:space="0" w:color="auto"/>
              <w:bottom w:val="single" w:sz="4" w:space="0" w:color="auto"/>
              <w:right w:val="single" w:sz="4" w:space="0" w:color="auto"/>
            </w:tcBorders>
            <w:vAlign w:val="center"/>
          </w:tcPr>
          <w:p w14:paraId="1EDBB986" w14:textId="32DA42B3"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561 950</w:t>
            </w:r>
          </w:p>
        </w:tc>
        <w:tc>
          <w:tcPr>
            <w:tcW w:w="992" w:type="dxa"/>
            <w:tcBorders>
              <w:top w:val="single" w:sz="4" w:space="0" w:color="auto"/>
              <w:left w:val="single" w:sz="4" w:space="0" w:color="auto"/>
              <w:bottom w:val="single" w:sz="4" w:space="0" w:color="auto"/>
              <w:right w:val="single" w:sz="4" w:space="0" w:color="auto"/>
            </w:tcBorders>
            <w:vAlign w:val="center"/>
          </w:tcPr>
          <w:p w14:paraId="3ACA4CFE" w14:textId="3E49B7C1"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582 343</w:t>
            </w:r>
          </w:p>
        </w:tc>
      </w:tr>
      <w:tr w:rsidR="00660E10" w14:paraId="65671C8D" w14:textId="77777777" w:rsidTr="00E11AFF">
        <w:trPr>
          <w:trHeight w:val="510"/>
          <w:jc w:val="center"/>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FE13A" w14:textId="77777777" w:rsidR="00660E10" w:rsidRPr="00847710" w:rsidRDefault="00660E10" w:rsidP="00660E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03A59" w14:textId="77777777" w:rsidR="00660E10" w:rsidRPr="00294727" w:rsidRDefault="00660E10" w:rsidP="00660E10">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Ambulatorā rehabilitācija</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3EBA" w14:textId="43910974" w:rsidR="00660E10" w:rsidRPr="00DF0854" w:rsidRDefault="00660E10" w:rsidP="00660E10">
            <w:pPr>
              <w:spacing w:after="0" w:line="240" w:lineRule="auto"/>
              <w:jc w:val="center"/>
              <w:rPr>
                <w:rFonts w:ascii="Times New Roman" w:eastAsia="Times New Roman" w:hAnsi="Times New Roman" w:cs="Times New Roman"/>
                <w:sz w:val="16"/>
                <w:szCs w:val="16"/>
                <w:lang w:eastAsia="lv-LV"/>
              </w:rPr>
            </w:pPr>
            <w:r w:rsidRPr="00DF0854">
              <w:rPr>
                <w:rFonts w:ascii="Times New Roman" w:hAnsi="Times New Roman" w:cs="Times New Roman"/>
                <w:sz w:val="16"/>
                <w:szCs w:val="16"/>
              </w:rPr>
              <w:t>11,46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3D454" w14:textId="43CD5844" w:rsidR="00660E10" w:rsidRPr="00CB4538" w:rsidRDefault="00660E10" w:rsidP="00660E10">
            <w:pPr>
              <w:spacing w:after="0" w:line="240" w:lineRule="auto"/>
              <w:jc w:val="center"/>
              <w:rPr>
                <w:rFonts w:ascii="Times New Roman" w:hAnsi="Times New Roman" w:cs="Times New Roman"/>
                <w:color w:val="000000"/>
                <w:sz w:val="16"/>
                <w:szCs w:val="16"/>
              </w:rPr>
            </w:pPr>
            <w:r w:rsidRPr="00E11AFF">
              <w:rPr>
                <w:rFonts w:ascii="Times New Roman" w:eastAsia="Times New Roman" w:hAnsi="Times New Roman" w:cs="Times New Roman"/>
                <w:sz w:val="16"/>
                <w:szCs w:val="16"/>
                <w:lang w:eastAsia="lv-LV"/>
              </w:rPr>
              <w:t>5 104 087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662F674" w14:textId="37C006F7" w:rsidR="00660E10" w:rsidRPr="00CB4538" w:rsidRDefault="00CC682F" w:rsidP="00660E10">
            <w:pPr>
              <w:spacing w:after="0" w:line="240" w:lineRule="auto"/>
              <w:jc w:val="center"/>
              <w:rPr>
                <w:rFonts w:ascii="Times New Roman" w:eastAsia="Times New Roman" w:hAnsi="Times New Roman" w:cs="Times New Roman"/>
                <w:sz w:val="16"/>
                <w:szCs w:val="16"/>
                <w:lang w:eastAsia="lv-LV"/>
              </w:rPr>
            </w:pPr>
            <w:r>
              <w:rPr>
                <w:rFonts w:ascii="Times New Roman" w:hAnsi="Times New Roman" w:cs="Times New Roman"/>
                <w:color w:val="000000"/>
                <w:sz w:val="16"/>
                <w:szCs w:val="16"/>
              </w:rPr>
              <w:t>9 587 379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64B30" w14:textId="4E089935" w:rsidR="00660E10" w:rsidRPr="00CB4538" w:rsidRDefault="00660E10" w:rsidP="00660E10">
            <w:pPr>
              <w:spacing w:after="0" w:line="240" w:lineRule="auto"/>
              <w:jc w:val="center"/>
              <w:rPr>
                <w:rFonts w:ascii="Times New Roman" w:hAnsi="Times New Roman" w:cs="Times New Roman"/>
                <w:sz w:val="16"/>
                <w:szCs w:val="16"/>
              </w:rPr>
            </w:pPr>
            <w:r w:rsidRPr="00CB4538">
              <w:rPr>
                <w:rFonts w:ascii="Times New Roman" w:hAnsi="Times New Roman" w:cs="Times New Roman"/>
                <w:sz w:val="16"/>
                <w:szCs w:val="16"/>
              </w:rPr>
              <w:t>9 758 830</w:t>
            </w:r>
          </w:p>
        </w:tc>
        <w:tc>
          <w:tcPr>
            <w:tcW w:w="992" w:type="dxa"/>
            <w:tcBorders>
              <w:top w:val="single" w:sz="4" w:space="0" w:color="auto"/>
              <w:left w:val="single" w:sz="4" w:space="0" w:color="auto"/>
              <w:bottom w:val="single" w:sz="4" w:space="0" w:color="auto"/>
              <w:right w:val="single" w:sz="4" w:space="0" w:color="auto"/>
            </w:tcBorders>
            <w:vAlign w:val="center"/>
          </w:tcPr>
          <w:p w14:paraId="0C07CA2A" w14:textId="5C744F97" w:rsidR="00660E10" w:rsidRPr="00FD7B70" w:rsidRDefault="00660E10" w:rsidP="00660E10">
            <w:pPr>
              <w:spacing w:after="0" w:line="240" w:lineRule="auto"/>
              <w:jc w:val="center"/>
              <w:rPr>
                <w:rFonts w:ascii="Times New Roman" w:hAnsi="Times New Roman" w:cs="Times New Roman"/>
                <w:sz w:val="16"/>
                <w:szCs w:val="16"/>
              </w:rPr>
            </w:pPr>
            <w:r w:rsidRPr="00E11AFF">
              <w:rPr>
                <w:rFonts w:ascii="Times New Roman" w:eastAsia="Times New Roman" w:hAnsi="Times New Roman" w:cs="Times New Roman"/>
                <w:sz w:val="16"/>
                <w:szCs w:val="16"/>
                <w:lang w:eastAsia="lv-LV"/>
              </w:rPr>
              <w:t>508 470</w:t>
            </w:r>
          </w:p>
        </w:tc>
        <w:tc>
          <w:tcPr>
            <w:tcW w:w="1134" w:type="dxa"/>
            <w:tcBorders>
              <w:top w:val="single" w:sz="4" w:space="0" w:color="auto"/>
              <w:left w:val="single" w:sz="4" w:space="0" w:color="auto"/>
              <w:bottom w:val="single" w:sz="4" w:space="0" w:color="auto"/>
              <w:right w:val="single" w:sz="4" w:space="0" w:color="auto"/>
            </w:tcBorders>
            <w:vAlign w:val="center"/>
          </w:tcPr>
          <w:p w14:paraId="641CDC15" w14:textId="4F25EB11" w:rsidR="00660E10" w:rsidRPr="00294727" w:rsidRDefault="00660E10" w:rsidP="00660E1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381 476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D957D22" w14:textId="683F6BF1" w:rsidR="00660E10" w:rsidRPr="00294727" w:rsidRDefault="00660E10" w:rsidP="00660E10">
            <w:pPr>
              <w:spacing w:after="0" w:line="240" w:lineRule="auto"/>
              <w:jc w:val="center"/>
              <w:rPr>
                <w:rFonts w:ascii="Times New Roman" w:hAnsi="Times New Roman" w:cs="Times New Roman"/>
                <w:sz w:val="16"/>
                <w:szCs w:val="16"/>
              </w:rPr>
            </w:pPr>
            <w:r w:rsidRPr="00294727">
              <w:rPr>
                <w:rFonts w:ascii="Times New Roman" w:hAnsi="Times New Roman" w:cs="Times New Roman"/>
                <w:sz w:val="16"/>
                <w:szCs w:val="16"/>
              </w:rPr>
              <w:t>228 10</w:t>
            </w: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E5395E" w14:textId="5CD7F889" w:rsidR="00660E10" w:rsidRPr="00E11AFF" w:rsidRDefault="00660E10" w:rsidP="00660E10">
            <w:pPr>
              <w:spacing w:after="0" w:line="240" w:lineRule="auto"/>
              <w:jc w:val="center"/>
              <w:rPr>
                <w:rFonts w:ascii="Times New Roman" w:hAnsi="Times New Roman" w:cs="Times New Roman"/>
                <w:bCs/>
                <w:sz w:val="16"/>
                <w:szCs w:val="16"/>
              </w:rPr>
            </w:pPr>
            <w:r w:rsidRPr="00E11AFF">
              <w:rPr>
                <w:rFonts w:ascii="Times New Roman" w:eastAsia="Times New Roman" w:hAnsi="Times New Roman" w:cs="Times New Roman"/>
                <w:sz w:val="16"/>
                <w:szCs w:val="16"/>
                <w:lang w:eastAsia="lv-LV"/>
              </w:rPr>
              <w:t>702 945</w:t>
            </w:r>
          </w:p>
        </w:tc>
        <w:tc>
          <w:tcPr>
            <w:tcW w:w="992" w:type="dxa"/>
            <w:tcBorders>
              <w:top w:val="single" w:sz="4" w:space="0" w:color="auto"/>
              <w:left w:val="single" w:sz="4" w:space="0" w:color="auto"/>
              <w:bottom w:val="single" w:sz="4" w:space="0" w:color="auto"/>
              <w:right w:val="single" w:sz="4" w:space="0" w:color="auto"/>
            </w:tcBorders>
            <w:vAlign w:val="center"/>
          </w:tcPr>
          <w:p w14:paraId="1458820C" w14:textId="6466928F" w:rsidR="00660E10" w:rsidRPr="00E11AFF" w:rsidRDefault="00660E10" w:rsidP="00660E10">
            <w:pPr>
              <w:spacing w:after="0" w:line="240" w:lineRule="auto"/>
              <w:jc w:val="center"/>
              <w:rPr>
                <w:rFonts w:ascii="Times New Roman" w:eastAsia="Times New Roman" w:hAnsi="Times New Roman" w:cs="Times New Roman"/>
                <w:bCs/>
                <w:sz w:val="16"/>
                <w:szCs w:val="16"/>
                <w:lang w:eastAsia="lv-LV"/>
              </w:rPr>
            </w:pPr>
            <w:r w:rsidRPr="00E11AFF">
              <w:rPr>
                <w:rFonts w:ascii="Times New Roman" w:hAnsi="Times New Roman" w:cs="Times New Roman"/>
                <w:bCs/>
                <w:sz w:val="16"/>
                <w:szCs w:val="16"/>
              </w:rPr>
              <w:t>742 287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B9DEAB" w14:textId="2C7CE4AF" w:rsidR="00660E10" w:rsidRPr="00E11AFF" w:rsidRDefault="00660E10" w:rsidP="00660E10">
            <w:pPr>
              <w:spacing w:after="0" w:line="240" w:lineRule="auto"/>
              <w:jc w:val="center"/>
              <w:rPr>
                <w:rFonts w:ascii="Times New Roman" w:hAnsi="Times New Roman" w:cs="Times New Roman"/>
                <w:b/>
                <w:bCs/>
                <w:sz w:val="16"/>
                <w:szCs w:val="16"/>
              </w:rPr>
            </w:pPr>
            <w:r w:rsidRPr="00E11AFF">
              <w:rPr>
                <w:rFonts w:ascii="Times New Roman" w:hAnsi="Times New Roman" w:cs="Times New Roman"/>
                <w:sz w:val="16"/>
                <w:szCs w:val="16"/>
              </w:rPr>
              <w:t>753 486</w:t>
            </w:r>
          </w:p>
        </w:tc>
        <w:tc>
          <w:tcPr>
            <w:tcW w:w="992" w:type="dxa"/>
            <w:tcBorders>
              <w:top w:val="single" w:sz="4" w:space="0" w:color="auto"/>
              <w:left w:val="single" w:sz="4" w:space="0" w:color="auto"/>
              <w:bottom w:val="single" w:sz="4" w:space="0" w:color="auto"/>
              <w:right w:val="single" w:sz="4" w:space="0" w:color="auto"/>
            </w:tcBorders>
            <w:vAlign w:val="center"/>
          </w:tcPr>
          <w:p w14:paraId="09C7361E" w14:textId="72B554E9"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eastAsia="Times New Roman" w:hAnsi="Times New Roman" w:cs="Times New Roman"/>
                <w:b/>
                <w:sz w:val="16"/>
                <w:szCs w:val="16"/>
                <w:lang w:eastAsia="lv-LV"/>
              </w:rPr>
              <w:t>772 973</w:t>
            </w:r>
          </w:p>
        </w:tc>
        <w:tc>
          <w:tcPr>
            <w:tcW w:w="993" w:type="dxa"/>
            <w:tcBorders>
              <w:top w:val="single" w:sz="4" w:space="0" w:color="auto"/>
              <w:left w:val="single" w:sz="4" w:space="0" w:color="auto"/>
              <w:bottom w:val="single" w:sz="4" w:space="0" w:color="auto"/>
              <w:right w:val="single" w:sz="4" w:space="0" w:color="auto"/>
            </w:tcBorders>
            <w:vAlign w:val="center"/>
          </w:tcPr>
          <w:p w14:paraId="50680F4D" w14:textId="3231AC8F"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771 813</w:t>
            </w:r>
          </w:p>
        </w:tc>
        <w:tc>
          <w:tcPr>
            <w:tcW w:w="992" w:type="dxa"/>
            <w:tcBorders>
              <w:top w:val="single" w:sz="4" w:space="0" w:color="auto"/>
              <w:left w:val="single" w:sz="4" w:space="0" w:color="auto"/>
              <w:bottom w:val="single" w:sz="4" w:space="0" w:color="auto"/>
              <w:right w:val="single" w:sz="4" w:space="0" w:color="auto"/>
            </w:tcBorders>
            <w:vAlign w:val="center"/>
          </w:tcPr>
          <w:p w14:paraId="3F1EBC29" w14:textId="22BD24C6"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851 041</w:t>
            </w:r>
          </w:p>
        </w:tc>
      </w:tr>
      <w:tr w:rsidR="007717A4" w14:paraId="60820720" w14:textId="77777777" w:rsidTr="00660E10">
        <w:trPr>
          <w:trHeight w:val="300"/>
          <w:jc w:val="center"/>
        </w:trPr>
        <w:tc>
          <w:tcPr>
            <w:tcW w:w="43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3FBF3765" w14:textId="77777777" w:rsidR="00660E10" w:rsidRPr="00847710" w:rsidRDefault="00660E10" w:rsidP="00660E10">
            <w:pPr>
              <w:spacing w:after="0" w:line="240" w:lineRule="auto"/>
              <w:jc w:val="right"/>
              <w:rPr>
                <w:rFonts w:ascii="Times New Roman" w:eastAsia="Times New Roman" w:hAnsi="Times New Roman" w:cs="Times New Roman"/>
                <w:sz w:val="20"/>
                <w:szCs w:val="20"/>
                <w:lang w:eastAsia="lv-LV"/>
              </w:rPr>
            </w:pPr>
          </w:p>
        </w:tc>
        <w:tc>
          <w:tcPr>
            <w:tcW w:w="128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25BD064B" w14:textId="77777777" w:rsidR="00660E10" w:rsidRPr="00294727" w:rsidRDefault="00660E10" w:rsidP="00660E10">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Kopā</w:t>
            </w:r>
          </w:p>
        </w:tc>
        <w:tc>
          <w:tcPr>
            <w:tcW w:w="84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5FA73499" w14:textId="77777777" w:rsidR="00660E10" w:rsidRPr="00294727" w:rsidRDefault="00660E10" w:rsidP="00660E10">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B8F71B" w14:textId="4E115C47" w:rsidR="00660E10" w:rsidRPr="00CB4538" w:rsidRDefault="00660E10" w:rsidP="00660E10">
            <w:pPr>
              <w:spacing w:after="0" w:line="240" w:lineRule="auto"/>
              <w:jc w:val="center"/>
              <w:rPr>
                <w:rFonts w:ascii="Times New Roman" w:hAnsi="Times New Roman" w:cs="Times New Roman"/>
                <w:b/>
                <w:sz w:val="16"/>
                <w:szCs w:val="16"/>
              </w:rPr>
            </w:pPr>
            <w:r w:rsidRPr="00E11AFF">
              <w:rPr>
                <w:rFonts w:ascii="Times New Roman" w:eastAsia="Times New Roman" w:hAnsi="Times New Roman" w:cs="Times New Roman"/>
                <w:b/>
                <w:sz w:val="16"/>
                <w:szCs w:val="16"/>
                <w:lang w:eastAsia="lv-LV"/>
              </w:rPr>
              <w:t>115 291 165</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3120934" w14:textId="0B0DF1F4" w:rsidR="00660E10" w:rsidRPr="00E11AFF" w:rsidRDefault="00CC682F" w:rsidP="00660E10">
            <w:pPr>
              <w:spacing w:after="0" w:line="240" w:lineRule="auto"/>
              <w:jc w:val="center"/>
              <w:rPr>
                <w:rFonts w:ascii="Times New Roman" w:eastAsia="Times New Roman" w:hAnsi="Times New Roman" w:cs="Times New Roman"/>
                <w:b/>
                <w:sz w:val="16"/>
                <w:szCs w:val="16"/>
                <w:lang w:eastAsia="lv-LV"/>
              </w:rPr>
            </w:pPr>
            <w:r>
              <w:rPr>
                <w:rFonts w:ascii="Times New Roman" w:hAnsi="Times New Roman" w:cs="Times New Roman"/>
                <w:b/>
                <w:sz w:val="16"/>
                <w:szCs w:val="16"/>
              </w:rPr>
              <w:t>166 675 180</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1803959" w14:textId="61331FF1" w:rsidR="00660E10" w:rsidRPr="00FD7B70" w:rsidRDefault="00660E10" w:rsidP="00660E10">
            <w:pPr>
              <w:spacing w:after="0" w:line="240" w:lineRule="auto"/>
              <w:jc w:val="center"/>
              <w:rPr>
                <w:rFonts w:ascii="Times New Roman" w:hAnsi="Times New Roman" w:cs="Times New Roman"/>
                <w:b/>
                <w:sz w:val="16"/>
                <w:szCs w:val="16"/>
              </w:rPr>
            </w:pPr>
            <w:r w:rsidRPr="00FD7B70">
              <w:rPr>
                <w:rFonts w:ascii="Times New Roman" w:hAnsi="Times New Roman" w:cs="Times New Roman"/>
                <w:b/>
                <w:sz w:val="16"/>
                <w:szCs w:val="16"/>
              </w:rPr>
              <w:t>163 288 822</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4D9A9C" w14:textId="25B42A55" w:rsidR="00660E10" w:rsidRPr="00FD7B70" w:rsidRDefault="00660E10" w:rsidP="00660E10">
            <w:pPr>
              <w:spacing w:after="0" w:line="240" w:lineRule="auto"/>
              <w:jc w:val="center"/>
              <w:rPr>
                <w:rFonts w:ascii="Times New Roman" w:hAnsi="Times New Roman" w:cs="Times New Roman"/>
                <w:b/>
                <w:sz w:val="16"/>
                <w:szCs w:val="16"/>
              </w:rPr>
            </w:pPr>
            <w:r w:rsidRPr="00E11AFF">
              <w:rPr>
                <w:rFonts w:ascii="Times New Roman" w:eastAsia="Times New Roman" w:hAnsi="Times New Roman" w:cs="Times New Roman"/>
                <w:b/>
                <w:sz w:val="16"/>
                <w:szCs w:val="16"/>
                <w:lang w:eastAsia="lv-LV"/>
              </w:rPr>
              <w:t>16 599 307</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0442514" w14:textId="178EA5B8" w:rsidR="00660E10" w:rsidRPr="00CB4538" w:rsidRDefault="00660E10" w:rsidP="00660E10">
            <w:pPr>
              <w:spacing w:after="0" w:line="240" w:lineRule="auto"/>
              <w:jc w:val="center"/>
              <w:rPr>
                <w:rFonts w:ascii="Times New Roman" w:hAnsi="Times New Roman" w:cs="Times New Roman"/>
                <w:b/>
                <w:sz w:val="16"/>
                <w:szCs w:val="16"/>
              </w:rPr>
            </w:pPr>
            <w:r w:rsidRPr="00CB4538">
              <w:rPr>
                <w:rFonts w:ascii="Times New Roman" w:hAnsi="Times New Roman" w:cs="Times New Roman"/>
                <w:b/>
                <w:sz w:val="16"/>
                <w:szCs w:val="16"/>
              </w:rPr>
              <w:t>11 449 653</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05F7D86D" w14:textId="3107CF2B" w:rsidR="00660E10" w:rsidRPr="00E11AFF" w:rsidRDefault="00660E10" w:rsidP="00660E10">
            <w:pPr>
              <w:spacing w:after="0" w:line="240" w:lineRule="auto"/>
              <w:jc w:val="center"/>
              <w:rPr>
                <w:rFonts w:ascii="Times New Roman" w:hAnsi="Times New Roman" w:cs="Times New Roman"/>
                <w:b/>
                <w:sz w:val="16"/>
                <w:szCs w:val="16"/>
              </w:rPr>
            </w:pPr>
            <w:r w:rsidRPr="00CB4538">
              <w:rPr>
                <w:rFonts w:ascii="Times New Roman" w:hAnsi="Times New Roman" w:cs="Times New Roman"/>
                <w:b/>
                <w:sz w:val="16"/>
                <w:szCs w:val="16"/>
              </w:rPr>
              <w:t>9</w:t>
            </w:r>
            <w:r w:rsidR="00444696" w:rsidRPr="00CB4538">
              <w:rPr>
                <w:rFonts w:ascii="Times New Roman" w:hAnsi="Times New Roman" w:cs="Times New Roman"/>
                <w:b/>
                <w:sz w:val="16"/>
                <w:szCs w:val="16"/>
              </w:rPr>
              <w:t> </w:t>
            </w:r>
            <w:r w:rsidRPr="00CB4538">
              <w:rPr>
                <w:rFonts w:ascii="Times New Roman" w:hAnsi="Times New Roman" w:cs="Times New Roman"/>
                <w:b/>
                <w:sz w:val="16"/>
                <w:szCs w:val="16"/>
              </w:rPr>
              <w:t>654</w:t>
            </w:r>
            <w:r w:rsidR="00444696" w:rsidRPr="00A11CC5">
              <w:rPr>
                <w:rFonts w:ascii="Times New Roman" w:hAnsi="Times New Roman" w:cs="Times New Roman"/>
                <w:b/>
                <w:sz w:val="16"/>
                <w:szCs w:val="16"/>
              </w:rPr>
              <w:t xml:space="preserve"> </w:t>
            </w:r>
            <w:r w:rsidRPr="00A11CC5">
              <w:rPr>
                <w:rFonts w:ascii="Times New Roman" w:hAnsi="Times New Roman" w:cs="Times New Roman"/>
                <w:b/>
                <w:sz w:val="16"/>
                <w:szCs w:val="16"/>
              </w:rPr>
              <w:t>976</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0889A3" w14:textId="13A380F0" w:rsidR="00660E10" w:rsidRPr="00CB4538" w:rsidRDefault="00660E10" w:rsidP="00660E10">
            <w:pPr>
              <w:spacing w:after="0" w:line="240" w:lineRule="auto"/>
              <w:jc w:val="center"/>
              <w:rPr>
                <w:rFonts w:ascii="Times New Roman" w:hAnsi="Times New Roman" w:cs="Times New Roman"/>
                <w:b/>
                <w:bCs/>
                <w:sz w:val="16"/>
                <w:szCs w:val="16"/>
              </w:rPr>
            </w:pPr>
            <w:r w:rsidRPr="00E11AFF">
              <w:rPr>
                <w:rFonts w:ascii="Times New Roman" w:eastAsia="Times New Roman" w:hAnsi="Times New Roman" w:cs="Times New Roman"/>
                <w:b/>
                <w:sz w:val="16"/>
                <w:szCs w:val="16"/>
                <w:lang w:eastAsia="lv-LV"/>
              </w:rPr>
              <w:t>5 270 770</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0592F5" w14:textId="54AD9BEA" w:rsidR="00660E10" w:rsidRPr="00A11CC5" w:rsidRDefault="00660E10" w:rsidP="00660E10">
            <w:pPr>
              <w:spacing w:after="0" w:line="240" w:lineRule="auto"/>
              <w:jc w:val="center"/>
              <w:rPr>
                <w:rFonts w:ascii="Times New Roman" w:eastAsia="Times New Roman" w:hAnsi="Times New Roman" w:cs="Times New Roman"/>
                <w:b/>
                <w:bCs/>
                <w:sz w:val="16"/>
                <w:szCs w:val="16"/>
                <w:lang w:eastAsia="lv-LV"/>
              </w:rPr>
            </w:pPr>
            <w:r w:rsidRPr="00CB4538">
              <w:rPr>
                <w:rFonts w:ascii="Times New Roman" w:hAnsi="Times New Roman" w:cs="Times New Roman"/>
                <w:b/>
                <w:bCs/>
                <w:sz w:val="16"/>
                <w:szCs w:val="16"/>
              </w:rPr>
              <w:t>5 840 246</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55BB906" w14:textId="5E8554AB" w:rsidR="00660E10" w:rsidRPr="00482E94" w:rsidRDefault="00660E10" w:rsidP="00660E10">
            <w:pPr>
              <w:spacing w:after="0" w:line="240" w:lineRule="auto"/>
              <w:jc w:val="center"/>
              <w:rPr>
                <w:rFonts w:ascii="Times New Roman" w:hAnsi="Times New Roman" w:cs="Times New Roman"/>
                <w:b/>
                <w:bCs/>
                <w:sz w:val="16"/>
                <w:szCs w:val="16"/>
              </w:rPr>
            </w:pPr>
            <w:r w:rsidRPr="00482E94">
              <w:rPr>
                <w:rFonts w:ascii="Times New Roman" w:hAnsi="Times New Roman" w:cs="Times New Roman"/>
                <w:b/>
                <w:bCs/>
                <w:sz w:val="16"/>
                <w:szCs w:val="16"/>
              </w:rPr>
              <w:t>5 898 980</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B21FB6" w14:textId="61C2EB82"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eastAsia="Times New Roman" w:hAnsi="Times New Roman" w:cs="Times New Roman"/>
                <w:b/>
                <w:sz w:val="16"/>
                <w:szCs w:val="16"/>
                <w:lang w:eastAsia="lv-LV"/>
              </w:rPr>
              <w:t>6 001 592</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94AED2" w14:textId="4F06E5F2"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6 220 682</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5D669CC" w14:textId="0C4DF053" w:rsidR="00660E10" w:rsidRPr="00E11AFF" w:rsidRDefault="00660E10" w:rsidP="00660E10">
            <w:pPr>
              <w:spacing w:after="0" w:line="240" w:lineRule="auto"/>
              <w:jc w:val="center"/>
              <w:rPr>
                <w:rFonts w:ascii="Times New Roman" w:hAnsi="Times New Roman" w:cs="Times New Roman"/>
                <w:b/>
                <w:sz w:val="16"/>
                <w:szCs w:val="16"/>
              </w:rPr>
            </w:pPr>
            <w:r w:rsidRPr="00E11AFF">
              <w:rPr>
                <w:rFonts w:ascii="Times New Roman" w:hAnsi="Times New Roman" w:cs="Times New Roman"/>
                <w:b/>
                <w:sz w:val="16"/>
                <w:szCs w:val="16"/>
              </w:rPr>
              <w:t>7 276 760</w:t>
            </w:r>
          </w:p>
        </w:tc>
      </w:tr>
    </w:tbl>
    <w:bookmarkEnd w:id="2"/>
    <w:p w14:paraId="2DEE216F" w14:textId="24C73A1D" w:rsidR="00294727" w:rsidRDefault="00294727" w:rsidP="005B0F9C">
      <w:pPr>
        <w:pStyle w:val="ListParagraph"/>
        <w:spacing w:after="0" w:line="240" w:lineRule="auto"/>
        <w:ind w:left="0"/>
        <w:jc w:val="both"/>
        <w:rPr>
          <w:rFonts w:ascii="Times New Roman" w:hAnsi="Times New Roman"/>
          <w:sz w:val="20"/>
          <w:szCs w:val="20"/>
          <w:lang w:val="lv-LV" w:eastAsia="lv-LV"/>
        </w:rPr>
      </w:pPr>
      <w:r w:rsidRPr="00D86F74">
        <w:rPr>
          <w:rFonts w:ascii="Times New Roman" w:hAnsi="Times New Roman"/>
          <w:sz w:val="20"/>
          <w:szCs w:val="20"/>
          <w:lang w:val="lv-LV" w:eastAsia="lv-LV"/>
        </w:rPr>
        <w:t>*</w:t>
      </w:r>
      <w:r w:rsidR="00854878" w:rsidRPr="00556557">
        <w:rPr>
          <w:rFonts w:ascii="Times New Roman" w:hAnsi="Times New Roman"/>
          <w:sz w:val="20"/>
          <w:szCs w:val="20"/>
          <w:lang w:val="lv-LV" w:eastAsia="lv-LV"/>
        </w:rPr>
        <w:t xml:space="preserve">2019.gada </w:t>
      </w:r>
      <w:r w:rsidR="00333A9F">
        <w:rPr>
          <w:rFonts w:ascii="Times New Roman" w:hAnsi="Times New Roman"/>
          <w:sz w:val="20"/>
          <w:szCs w:val="20"/>
          <w:lang w:val="lv-LV" w:eastAsia="lv-LV"/>
        </w:rPr>
        <w:t xml:space="preserve">prognozētās </w:t>
      </w:r>
      <w:r w:rsidRPr="00556557">
        <w:rPr>
          <w:rFonts w:ascii="Times New Roman" w:hAnsi="Times New Roman"/>
          <w:sz w:val="20"/>
          <w:szCs w:val="20"/>
          <w:lang w:val="lv-LV" w:eastAsia="lv-LV"/>
        </w:rPr>
        <w:t>vienas ārstēšanas vidējās izmaksas balstoties</w:t>
      </w:r>
      <w:r w:rsidR="00811016">
        <w:rPr>
          <w:rFonts w:ascii="Times New Roman" w:hAnsi="Times New Roman"/>
          <w:sz w:val="20"/>
          <w:szCs w:val="20"/>
          <w:lang w:val="lv-LV" w:eastAsia="lv-LV"/>
        </w:rPr>
        <w:t xml:space="preserve"> uz 2018.gada I pusgada izmaksām</w:t>
      </w:r>
      <w:r w:rsidR="00B470EB">
        <w:rPr>
          <w:rFonts w:ascii="Times New Roman" w:hAnsi="Times New Roman"/>
          <w:sz w:val="20"/>
          <w:szCs w:val="20"/>
          <w:lang w:val="lv-LV" w:eastAsia="lv-LV"/>
        </w:rPr>
        <w:t>, saskaņā ar NVD vadības informācijas datiem</w:t>
      </w:r>
    </w:p>
    <w:p w14:paraId="643D7359" w14:textId="172E8758" w:rsidR="00CC64B7" w:rsidRDefault="00AD4ADD" w:rsidP="005B0F9C">
      <w:pPr>
        <w:pStyle w:val="ListParagraph"/>
        <w:spacing w:after="0" w:line="240" w:lineRule="auto"/>
        <w:ind w:left="0"/>
        <w:jc w:val="both"/>
        <w:rPr>
          <w:rFonts w:ascii="Times New Roman" w:hAnsi="Times New Roman"/>
          <w:sz w:val="20"/>
          <w:szCs w:val="20"/>
          <w:lang w:val="lv-LV" w:eastAsia="lv-LV"/>
        </w:rPr>
        <w:sectPr w:rsidR="00CC64B7" w:rsidSect="00E11AFF">
          <w:pgSz w:w="15840" w:h="12240" w:orient="landscape"/>
          <w:pgMar w:top="1701" w:right="1440" w:bottom="1440" w:left="1440" w:header="709" w:footer="709" w:gutter="0"/>
          <w:cols w:space="708"/>
          <w:docGrid w:linePitch="360"/>
        </w:sectPr>
      </w:pPr>
      <w:r>
        <w:rPr>
          <w:rFonts w:ascii="Times New Roman" w:hAnsi="Times New Roman"/>
          <w:sz w:val="20"/>
          <w:szCs w:val="20"/>
          <w:lang w:val="lv-LV" w:eastAsia="lv-LV"/>
        </w:rPr>
        <w:t>**</w:t>
      </w:r>
      <w:r w:rsidR="00663DAA">
        <w:rPr>
          <w:rFonts w:ascii="Times New Roman" w:hAnsi="Times New Roman"/>
          <w:sz w:val="20"/>
          <w:szCs w:val="20"/>
          <w:lang w:val="lv-LV" w:eastAsia="lv-LV"/>
        </w:rPr>
        <w:t xml:space="preserve">finansējuma samazinājums </w:t>
      </w:r>
      <w:r>
        <w:rPr>
          <w:rFonts w:ascii="Times New Roman" w:hAnsi="Times New Roman"/>
          <w:sz w:val="20"/>
          <w:szCs w:val="20"/>
          <w:lang w:val="lv-LV" w:eastAsia="lv-LV"/>
        </w:rPr>
        <w:t>saistībā ar darba organizācijas maiņu, kur dienas stacionāra pak</w:t>
      </w:r>
      <w:r w:rsidR="00CC64B7">
        <w:rPr>
          <w:rFonts w:ascii="Times New Roman" w:hAnsi="Times New Roman"/>
          <w:sz w:val="20"/>
          <w:szCs w:val="20"/>
          <w:lang w:val="lv-LV" w:eastAsia="lv-LV"/>
        </w:rPr>
        <w:t>alpojumi pārcelti uz stacionāru</w:t>
      </w:r>
    </w:p>
    <w:p w14:paraId="685853A9" w14:textId="6EA44243" w:rsidR="0040055C" w:rsidRDefault="00EC2098" w:rsidP="00CC64B7">
      <w:pPr>
        <w:spacing w:after="120"/>
        <w:ind w:firstLine="72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lastRenderedPageBreak/>
        <w:t>Prognozējamā pakalpojumu izpilde</w:t>
      </w:r>
      <w:r w:rsidR="0039771D">
        <w:rPr>
          <w:rFonts w:ascii="Times New Roman" w:hAnsi="Times New Roman" w:cs="Times New Roman"/>
          <w:color w:val="000000"/>
          <w:sz w:val="24"/>
          <w:szCs w:val="24"/>
          <w:lang w:eastAsia="lv-LV"/>
        </w:rPr>
        <w:t>,</w:t>
      </w:r>
      <w:r w:rsidR="007149B7">
        <w:rPr>
          <w:rFonts w:ascii="Times New Roman" w:hAnsi="Times New Roman" w:cs="Times New Roman"/>
          <w:color w:val="000000"/>
          <w:sz w:val="24"/>
          <w:szCs w:val="24"/>
          <w:lang w:eastAsia="lv-LV"/>
        </w:rPr>
        <w:t xml:space="preserve"> līdz ar to </w:t>
      </w:r>
      <w:r w:rsidR="00C443DF">
        <w:rPr>
          <w:rFonts w:ascii="Times New Roman" w:hAnsi="Times New Roman" w:cs="Times New Roman"/>
          <w:color w:val="000000"/>
          <w:sz w:val="24"/>
          <w:szCs w:val="24"/>
          <w:lang w:eastAsia="lv-LV"/>
        </w:rPr>
        <w:t xml:space="preserve">arī </w:t>
      </w:r>
      <w:r w:rsidR="007149B7">
        <w:rPr>
          <w:rFonts w:ascii="Times New Roman" w:hAnsi="Times New Roman" w:cs="Times New Roman"/>
          <w:color w:val="000000"/>
          <w:sz w:val="24"/>
          <w:szCs w:val="24"/>
          <w:lang w:eastAsia="lv-LV"/>
        </w:rPr>
        <w:t xml:space="preserve">rindu samazinājums </w:t>
      </w:r>
      <w:r>
        <w:rPr>
          <w:rFonts w:ascii="Times New Roman" w:hAnsi="Times New Roman" w:cs="Times New Roman"/>
          <w:color w:val="000000"/>
          <w:sz w:val="24"/>
          <w:szCs w:val="24"/>
          <w:lang w:eastAsia="lv-LV"/>
        </w:rPr>
        <w:t>būtu l</w:t>
      </w:r>
      <w:r w:rsidR="007149B7">
        <w:rPr>
          <w:rFonts w:ascii="Times New Roman" w:hAnsi="Times New Roman" w:cs="Times New Roman"/>
          <w:color w:val="000000"/>
          <w:sz w:val="24"/>
          <w:szCs w:val="24"/>
          <w:lang w:eastAsia="lv-LV"/>
        </w:rPr>
        <w:t>abāk</w:t>
      </w:r>
      <w:r w:rsidR="00C443DF">
        <w:rPr>
          <w:rFonts w:ascii="Times New Roman" w:hAnsi="Times New Roman" w:cs="Times New Roman"/>
          <w:color w:val="000000"/>
          <w:sz w:val="24"/>
          <w:szCs w:val="24"/>
          <w:lang w:eastAsia="lv-LV"/>
        </w:rPr>
        <w:t>s</w:t>
      </w:r>
      <w:r>
        <w:rPr>
          <w:rFonts w:ascii="Times New Roman" w:hAnsi="Times New Roman" w:cs="Times New Roman"/>
          <w:color w:val="000000"/>
          <w:sz w:val="24"/>
          <w:szCs w:val="24"/>
          <w:lang w:eastAsia="lv-LV"/>
        </w:rPr>
        <w:t xml:space="preserve">, ja 2018.gada laikā </w:t>
      </w:r>
      <w:r w:rsidR="00BB7CEA">
        <w:rPr>
          <w:rFonts w:ascii="Times New Roman" w:hAnsi="Times New Roman" w:cs="Times New Roman"/>
          <w:color w:val="000000"/>
          <w:sz w:val="24"/>
          <w:szCs w:val="24"/>
          <w:lang w:eastAsia="lv-LV"/>
        </w:rPr>
        <w:t>ārstniecības iestādes būtu nodrošināj</w:t>
      </w:r>
      <w:r w:rsidR="007149B7">
        <w:rPr>
          <w:rFonts w:ascii="Times New Roman" w:hAnsi="Times New Roman" w:cs="Times New Roman"/>
          <w:color w:val="000000"/>
          <w:sz w:val="24"/>
          <w:szCs w:val="24"/>
          <w:lang w:eastAsia="lv-LV"/>
        </w:rPr>
        <w:t xml:space="preserve">ušas 100% </w:t>
      </w:r>
      <w:r w:rsidR="0099388D">
        <w:rPr>
          <w:rFonts w:ascii="Times New Roman" w:hAnsi="Times New Roman" w:cs="Times New Roman"/>
          <w:color w:val="000000"/>
          <w:sz w:val="24"/>
          <w:szCs w:val="24"/>
          <w:lang w:eastAsia="lv-LV"/>
        </w:rPr>
        <w:t xml:space="preserve">apmērā </w:t>
      </w:r>
      <w:r w:rsidR="007149B7">
        <w:rPr>
          <w:rFonts w:ascii="Times New Roman" w:hAnsi="Times New Roman" w:cs="Times New Roman"/>
          <w:color w:val="000000"/>
          <w:sz w:val="24"/>
          <w:szCs w:val="24"/>
          <w:lang w:eastAsia="lv-LV"/>
        </w:rPr>
        <w:t>veselības aprūpes  pakalpojumu sniegšanu. Ņemot vērā 2018.gada I pusgada izpildes datus, kurā vērojama pakalpojumu neizpilde atsevišķās ārstniecības iestādēs ir skaidrojama ar cilvēkresursu trūkuma nodrošināšanu</w:t>
      </w:r>
      <w:r w:rsidR="00EF5C65">
        <w:rPr>
          <w:rFonts w:ascii="Times New Roman" w:hAnsi="Times New Roman" w:cs="Times New Roman"/>
          <w:color w:val="000000"/>
          <w:sz w:val="24"/>
          <w:szCs w:val="24"/>
          <w:lang w:eastAsia="lv-LV"/>
        </w:rPr>
        <w:t xml:space="preserve"> un novecojušo medicīnisko tehnoloģisko ierīču rezultātā</w:t>
      </w:r>
      <w:r w:rsidR="007149B7">
        <w:rPr>
          <w:rFonts w:ascii="Times New Roman" w:hAnsi="Times New Roman" w:cs="Times New Roman"/>
          <w:color w:val="000000"/>
          <w:sz w:val="24"/>
          <w:szCs w:val="24"/>
          <w:lang w:eastAsia="lv-LV"/>
        </w:rPr>
        <w:t xml:space="preserve">. Prognozējam, ka palielinot 2019.gadā algu ārstniecības personām palielināsies veselības aprūpes pakalpojumu </w:t>
      </w:r>
      <w:r w:rsidR="00BD156A">
        <w:rPr>
          <w:rFonts w:ascii="Times New Roman" w:hAnsi="Times New Roman" w:cs="Times New Roman"/>
          <w:color w:val="000000"/>
          <w:sz w:val="24"/>
          <w:szCs w:val="24"/>
          <w:lang w:eastAsia="lv-LV"/>
        </w:rPr>
        <w:t>pieejamība</w:t>
      </w:r>
      <w:r w:rsidR="007233DD">
        <w:rPr>
          <w:rFonts w:ascii="Times New Roman" w:hAnsi="Times New Roman" w:cs="Times New Roman"/>
          <w:color w:val="000000"/>
          <w:sz w:val="24"/>
          <w:szCs w:val="24"/>
          <w:lang w:eastAsia="lv-LV"/>
        </w:rPr>
        <w:t xml:space="preserve"> </w:t>
      </w:r>
      <w:r w:rsidR="00E839A7">
        <w:rPr>
          <w:rFonts w:ascii="Times New Roman" w:hAnsi="Times New Roman" w:cs="Times New Roman"/>
          <w:color w:val="000000"/>
          <w:sz w:val="24"/>
          <w:szCs w:val="24"/>
          <w:lang w:eastAsia="lv-LV"/>
        </w:rPr>
        <w:t xml:space="preserve">un </w:t>
      </w:r>
      <w:r w:rsidR="007233DD">
        <w:rPr>
          <w:rFonts w:ascii="Times New Roman" w:hAnsi="Times New Roman" w:cs="Times New Roman"/>
          <w:color w:val="000000"/>
          <w:sz w:val="24"/>
          <w:szCs w:val="24"/>
          <w:lang w:eastAsia="lv-LV"/>
        </w:rPr>
        <w:t>ņemot vērā 2018.gadā ieguldīto medicīnas tehnolo</w:t>
      </w:r>
      <w:r w:rsidR="0067202D">
        <w:rPr>
          <w:rFonts w:ascii="Times New Roman" w:hAnsi="Times New Roman" w:cs="Times New Roman"/>
          <w:color w:val="000000"/>
          <w:sz w:val="24"/>
          <w:szCs w:val="24"/>
          <w:lang w:eastAsia="lv-LV"/>
        </w:rPr>
        <w:t>ģiju attīstībā, kas sekmē</w:t>
      </w:r>
      <w:r w:rsidR="00AC28F0">
        <w:rPr>
          <w:rFonts w:ascii="Times New Roman" w:hAnsi="Times New Roman" w:cs="Times New Roman"/>
          <w:color w:val="000000"/>
          <w:sz w:val="24"/>
          <w:szCs w:val="24"/>
          <w:lang w:eastAsia="lv-LV"/>
        </w:rPr>
        <w:t xml:space="preserve"> kvalitatīvāku, drošāku, efektīvāku</w:t>
      </w:r>
      <w:r w:rsidR="007233DD">
        <w:rPr>
          <w:rFonts w:ascii="Times New Roman" w:hAnsi="Times New Roman" w:cs="Times New Roman"/>
          <w:color w:val="000000"/>
          <w:sz w:val="24"/>
          <w:szCs w:val="24"/>
          <w:lang w:eastAsia="lv-LV"/>
        </w:rPr>
        <w:t xml:space="preserve"> un īsāku laiku iz</w:t>
      </w:r>
      <w:r w:rsidR="00AC28F0">
        <w:rPr>
          <w:rFonts w:ascii="Times New Roman" w:hAnsi="Times New Roman" w:cs="Times New Roman"/>
          <w:color w:val="000000"/>
          <w:sz w:val="24"/>
          <w:szCs w:val="24"/>
          <w:lang w:eastAsia="lv-LV"/>
        </w:rPr>
        <w:t>meklējumu veikšanu</w:t>
      </w:r>
      <w:r w:rsidR="0067202D">
        <w:rPr>
          <w:rFonts w:ascii="Times New Roman" w:hAnsi="Times New Roman" w:cs="Times New Roman"/>
          <w:color w:val="000000"/>
          <w:sz w:val="24"/>
          <w:szCs w:val="24"/>
          <w:lang w:eastAsia="lv-LV"/>
        </w:rPr>
        <w:t xml:space="preserve"> kopumā</w:t>
      </w:r>
      <w:r w:rsidR="007233DD">
        <w:rPr>
          <w:rFonts w:ascii="Times New Roman" w:hAnsi="Times New Roman" w:cs="Times New Roman"/>
          <w:color w:val="000000"/>
          <w:sz w:val="24"/>
          <w:szCs w:val="24"/>
          <w:lang w:eastAsia="lv-LV"/>
        </w:rPr>
        <w:t xml:space="preserve"> prognozējams veselības aprūpes pakalpojumu 50% rindu samazinājums.</w:t>
      </w:r>
      <w:r w:rsidR="00BB7CEA">
        <w:rPr>
          <w:rFonts w:ascii="Times New Roman" w:hAnsi="Times New Roman" w:cs="Times New Roman"/>
          <w:color w:val="000000"/>
          <w:sz w:val="24"/>
          <w:szCs w:val="24"/>
          <w:lang w:eastAsia="lv-LV"/>
        </w:rPr>
        <w:t xml:space="preserve"> </w:t>
      </w:r>
    </w:p>
    <w:p w14:paraId="6918BC8D" w14:textId="27F1F2D3" w:rsidR="00A974E8" w:rsidRDefault="00A974E8" w:rsidP="00C02E75">
      <w:pPr>
        <w:spacing w:after="0" w:line="240" w:lineRule="auto"/>
        <w:jc w:val="both"/>
        <w:rPr>
          <w:rFonts w:ascii="Times New Roman" w:hAnsi="Times New Roman"/>
          <w:b/>
          <w:sz w:val="24"/>
          <w:szCs w:val="24"/>
          <w:u w:val="single"/>
        </w:rPr>
      </w:pPr>
    </w:p>
    <w:p w14:paraId="18DE5C39" w14:textId="248D56A1" w:rsidR="00C02E75" w:rsidRPr="00E93259" w:rsidRDefault="009317E3" w:rsidP="00E93259">
      <w:pPr>
        <w:spacing w:after="0" w:line="240" w:lineRule="auto"/>
        <w:jc w:val="center"/>
        <w:rPr>
          <w:rFonts w:ascii="Times New Roman" w:hAnsi="Times New Roman"/>
          <w:b/>
          <w:bCs/>
          <w:sz w:val="24"/>
          <w:szCs w:val="24"/>
          <w:u w:val="single"/>
        </w:rPr>
      </w:pPr>
      <w:r w:rsidRPr="001E4659">
        <w:rPr>
          <w:rFonts w:ascii="Times New Roman" w:hAnsi="Times New Roman"/>
          <w:b/>
          <w:bCs/>
          <w:sz w:val="24"/>
          <w:szCs w:val="24"/>
          <w:u w:val="single"/>
        </w:rPr>
        <w:t>1.</w:t>
      </w:r>
      <w:r w:rsidR="003116BB">
        <w:rPr>
          <w:rFonts w:ascii="Times New Roman" w:hAnsi="Times New Roman"/>
          <w:b/>
          <w:bCs/>
          <w:sz w:val="24"/>
          <w:szCs w:val="24"/>
          <w:u w:val="single"/>
        </w:rPr>
        <w:t>2</w:t>
      </w:r>
      <w:r w:rsidRPr="001E4659">
        <w:rPr>
          <w:rFonts w:ascii="Times New Roman" w:hAnsi="Times New Roman"/>
          <w:b/>
          <w:bCs/>
          <w:sz w:val="24"/>
          <w:szCs w:val="24"/>
          <w:u w:val="single"/>
        </w:rPr>
        <w:t xml:space="preserve">. </w:t>
      </w:r>
      <w:r w:rsidR="00C02E75" w:rsidRPr="001E4659">
        <w:rPr>
          <w:rFonts w:ascii="Times New Roman" w:hAnsi="Times New Roman"/>
          <w:b/>
          <w:bCs/>
          <w:sz w:val="24"/>
          <w:szCs w:val="24"/>
          <w:u w:val="single"/>
        </w:rPr>
        <w:t>Jaunais reformas pasākums 2019.gadam - Pediatra kā tiešās pieejamības speciālista palīdzības pi</w:t>
      </w:r>
      <w:r w:rsidR="00C02E75" w:rsidRPr="001A0684">
        <w:rPr>
          <w:rFonts w:ascii="Times New Roman" w:hAnsi="Times New Roman"/>
          <w:b/>
          <w:bCs/>
          <w:sz w:val="24"/>
          <w:szCs w:val="24"/>
          <w:u w:val="single"/>
        </w:rPr>
        <w:t>eejamība III,  IV un V līmeņa slimnīcās, tai skaitā neatliekamās medicīniskās palīdzības situācijā.</w:t>
      </w:r>
    </w:p>
    <w:p w14:paraId="2584B101" w14:textId="77777777" w:rsidR="00C02E75" w:rsidRDefault="00C02E75" w:rsidP="00C02E75">
      <w:pPr>
        <w:spacing w:after="0" w:line="240" w:lineRule="auto"/>
        <w:jc w:val="both"/>
        <w:rPr>
          <w:rFonts w:ascii="Times New Roman" w:hAnsi="Times New Roman"/>
          <w:b/>
          <w:sz w:val="24"/>
          <w:szCs w:val="24"/>
          <w:u w:val="single"/>
        </w:rPr>
      </w:pPr>
    </w:p>
    <w:p w14:paraId="6E8732FA" w14:textId="77777777" w:rsidR="00C02E75" w:rsidRPr="003B6E07" w:rsidRDefault="00C02E75" w:rsidP="00C02E75">
      <w:pPr>
        <w:spacing w:after="120"/>
        <w:ind w:firstLine="720"/>
        <w:jc w:val="both"/>
        <w:rPr>
          <w:rFonts w:ascii="Times New Roman" w:hAnsi="Times New Roman" w:cs="Times New Roman"/>
          <w:sz w:val="24"/>
          <w:szCs w:val="24"/>
          <w:shd w:val="clear" w:color="auto" w:fill="FFFFFF"/>
        </w:rPr>
      </w:pPr>
      <w:r w:rsidRPr="003B6E07">
        <w:rPr>
          <w:rFonts w:ascii="Times New Roman" w:hAnsi="Times New Roman" w:cs="Times New Roman"/>
          <w:sz w:val="24"/>
          <w:szCs w:val="24"/>
          <w:shd w:val="clear" w:color="auto" w:fill="FFFFFF"/>
        </w:rPr>
        <w:t xml:space="preserve">VSIA “Bērnu klīniskā universitātes slimnīca” ir lielākā specializētā bērnu daudzprofilu ārstniecības iestāde Latvijā, kas nodrošina valsts apmaksātu specializētu ārstniecības, diagnostikas un rehabilitācijas pakalpojumu sniegšanu bērniem ambulatori un stacionārā neatliekamās, steidzamās (akūtās) un plānveida palīdzības ietvaros. VSIA “Bērnu klīniskā universitātes slimnīca”  sniedz ārstniecības un aprūpes pakalpojumus 28 ārstēšanas profilos, kas ļauj veidot </w:t>
      </w:r>
      <w:r w:rsidR="52B20BA9" w:rsidRPr="00E93259">
        <w:rPr>
          <w:rFonts w:ascii="Times New Roman" w:hAnsi="Times New Roman" w:cs="Times New Roman"/>
          <w:sz w:val="24"/>
          <w:szCs w:val="24"/>
        </w:rPr>
        <w:t>multidisciplinārās komandas un nodrošināt terciārā līmeņa ārstniecību, kas ietver diagnostiku, ārstēšanu, pacientu aprūpi, medicīnisko rehabilitāciju un slimību profilaksi. VSIA “Bērnu klīniskā universitātes slimnīca” sniegto pakalpojumu apjomā pēdējo gadu laikā iezīmējas stabila tendence pieaugt pakalpojumu skaitam, kurus pacientiem būtu iespējams saņemt primārās veselības aprūpes līmenī. Stacionāro pakalpojumu sniegšanai VSIA “Bērnu klīniskā universitātes slimnīca” ir pieejamas 400 dažādu profilu gultas, tostarp dienas stacionāra pacientiem. Ambulatoro pakalpojumu plūsma un īpatsvars VSIA “Bērnu klīniskā universitātes slimnīca”  sniegto pakalpojumu klāstā ir ar pieaugošu tendence.</w:t>
      </w:r>
    </w:p>
    <w:p w14:paraId="53BB82D3" w14:textId="77777777" w:rsidR="00C02E75" w:rsidRPr="003B6E07" w:rsidRDefault="00C02E75" w:rsidP="00E93259">
      <w:pPr>
        <w:pStyle w:val="NormalWeb"/>
        <w:shd w:val="clear" w:color="auto" w:fill="FFFFFF" w:themeFill="background1"/>
        <w:spacing w:before="0" w:beforeAutospacing="0" w:after="120" w:afterAutospacing="0" w:line="276" w:lineRule="auto"/>
        <w:ind w:firstLine="720"/>
        <w:jc w:val="both"/>
      </w:pPr>
      <w:r w:rsidRPr="003B6E07">
        <w:rPr>
          <w:shd w:val="clear" w:color="auto" w:fill="FFFFFF"/>
        </w:rPr>
        <w:t xml:space="preserve">VSIA “Bērnu klīniskā universitātes slimnīca” </w:t>
      </w:r>
      <w:r w:rsidRPr="003B6E07">
        <w:t xml:space="preserve">NMPON liela daļa apkalpoto pacienti (2014.gadā 59,9 %, 2015.gadā - 52,4%, 2016.gadā 42%) ir ambulatorās veselības aprūpes līmenim atbilstoši pacienti. Tikai 18-19% no visiem </w:t>
      </w:r>
      <w:r w:rsidRPr="003B6E07">
        <w:rPr>
          <w:shd w:val="clear" w:color="auto" w:fill="FFFFFF"/>
        </w:rPr>
        <w:t xml:space="preserve">VSIA “Bērnu klīniskā universitātes slimnīca” </w:t>
      </w:r>
      <w:r w:rsidRPr="003B6E07">
        <w:t xml:space="preserve">NMPON apkalpotiem bērniem tiek </w:t>
      </w:r>
      <w:r w:rsidRPr="003B6E07">
        <w:rPr>
          <w:shd w:val="clear" w:color="auto" w:fill="FFFFFF"/>
        </w:rPr>
        <w:t>stacionēti</w:t>
      </w:r>
      <w:r w:rsidRPr="003B6E07">
        <w:t xml:space="preserve">. Pēc observācijas no NMPON tiek izrakstīti apmēram trešdaļa bērnu (attiecīgi 39% 2016.gadā, 30% 2015.gadā). Pacientu skaits, kuri apmeklē </w:t>
      </w:r>
      <w:r w:rsidRPr="003B6E07">
        <w:rPr>
          <w:shd w:val="clear" w:color="auto" w:fill="FFFFFF"/>
        </w:rPr>
        <w:t xml:space="preserve">VSIA “Bērnu klīniskā universitātes slimnīca” </w:t>
      </w:r>
      <w:r w:rsidRPr="003B6E07">
        <w:t xml:space="preserve">NMPON īpaši palielinās pēcpusdienās, vakara un nakts stundās, kā arī brīvdienās un svētku dienās. 2016.gadā </w:t>
      </w:r>
      <w:r w:rsidRPr="003B6E07">
        <w:rPr>
          <w:shd w:val="clear" w:color="auto" w:fill="FFFFFF"/>
        </w:rPr>
        <w:t xml:space="preserve">VSIA “Bērnu klīniskā universitātes slimnīca” </w:t>
      </w:r>
      <w:r w:rsidRPr="003B6E07">
        <w:t xml:space="preserve"> NMPON pārliecinoši lielākā daļa pacientu - 64.8% - ir ieradušies pēc pašu iniciatīvas, bez ģimenes ārsta vai ārsta speciālista nosūtījuma. 26.9% pacientu atvedis Neatliekamās medicīniskās palīdzības dienests. Ārsta palīgam, veicot primāro pacientu šķirošanu </w:t>
      </w:r>
      <w:r w:rsidRPr="3F576A31">
        <w:t xml:space="preserve">VSIA “Bērnu klīniskā universitātes slimnīca” </w:t>
      </w:r>
      <w:r w:rsidRPr="00E93259">
        <w:t xml:space="preserve"> NMPON atbilstoši starptautiskās pacientu </w:t>
      </w:r>
      <w:r w:rsidRPr="003B6E07">
        <w:t>triažēšanas</w:t>
      </w:r>
      <w:r w:rsidR="52B20BA9" w:rsidRPr="704995BB">
        <w:t xml:space="preserve"> (</w:t>
      </w:r>
      <w:r w:rsidR="52B20BA9" w:rsidRPr="00E93259">
        <w:rPr>
          <w:i/>
          <w:iCs/>
        </w:rPr>
        <w:t>triage</w:t>
      </w:r>
      <w:r w:rsidR="52B20BA9">
        <w:t>) algoritmiem, 2016.gadā 70,25% pacientu tika novērtēti kā atbilstoši zaļai prioritātei, kas atbilst ambulatoram līmenim.</w:t>
      </w:r>
    </w:p>
    <w:p w14:paraId="5B96C8F8" w14:textId="77777777" w:rsidR="00C02E75" w:rsidRPr="003B6E07" w:rsidRDefault="00C02E75" w:rsidP="00E93259">
      <w:pPr>
        <w:pStyle w:val="NormalWeb"/>
        <w:shd w:val="clear" w:color="auto" w:fill="FFFFFF" w:themeFill="background1"/>
        <w:spacing w:before="0" w:beforeAutospacing="0" w:after="120" w:afterAutospacing="0" w:line="276" w:lineRule="auto"/>
        <w:ind w:firstLine="720"/>
        <w:jc w:val="both"/>
      </w:pPr>
      <w:r w:rsidRPr="003B6E07">
        <w:lastRenderedPageBreak/>
        <w:t xml:space="preserve">Pēc </w:t>
      </w:r>
      <w:r w:rsidRPr="003B6E07">
        <w:rPr>
          <w:shd w:val="clear" w:color="auto" w:fill="FFFFFF"/>
        </w:rPr>
        <w:t xml:space="preserve">VSIA “Bērnu klīniskā universitātes slimnīca” </w:t>
      </w:r>
      <w:r w:rsidRPr="003B6E07">
        <w:t xml:space="preserve">pieejamiem datiem par 2017.gadu atzīmējama līdzīga tendence - gada pirmajos trīs mēnešos (janvāris - marts) </w:t>
      </w:r>
      <w:r w:rsidRPr="003B6E07">
        <w:rPr>
          <w:shd w:val="clear" w:color="auto" w:fill="FFFFFF"/>
        </w:rPr>
        <w:t xml:space="preserve">VSIA “Bērnu klīniskā universitātes slimnīca” </w:t>
      </w:r>
      <w:r w:rsidRPr="003B6E07">
        <w:t xml:space="preserve"> NMPON sniegta palīdzība 15 353 pacientiem, no kuriem 80% (n=12 398) bijuši ambulatori. Detalizētāk analizējot šos ambulatoros pacientus, 63% (n=7835) no tiem bijuši pediatriska profila pacienti. Savukārt 37% (n=4563) no visiem ambulatoriem pacientiem bijuši bērni ar vieglām traumām, kuri pēc palīdzības saņemšanas tūlīt atlaisti mājās un no kuriem daļai pacientu palīdzību savas kompetences ietvaros varētu sniegt arī ģimenes </w:t>
      </w:r>
      <w:r w:rsidR="52B20BA9">
        <w:t>ārsts (piemēram, virspusēji ādas un mīksto audu bojājumi, viegli apdegumi, grieztas brūces, izmežģījumi, brūču apdares, incīzijas ar/bez drenāžas strutainu ādas bojājumu gadījumos).</w:t>
      </w:r>
    </w:p>
    <w:p w14:paraId="42A8B6A6" w14:textId="77777777" w:rsidR="00C02E75" w:rsidRPr="003B6E07" w:rsidRDefault="00C02E75" w:rsidP="00E93259">
      <w:pPr>
        <w:pStyle w:val="NormalWeb"/>
        <w:shd w:val="clear" w:color="auto" w:fill="FFFFFF" w:themeFill="background1"/>
        <w:spacing w:before="0" w:beforeAutospacing="0" w:after="120" w:afterAutospacing="0" w:line="276" w:lineRule="auto"/>
        <w:ind w:firstLine="720"/>
        <w:jc w:val="both"/>
      </w:pPr>
      <w:r w:rsidRPr="003B6E07">
        <w:t xml:space="preserve">Attiecībā par </w:t>
      </w:r>
      <w:r w:rsidRPr="003B6E07">
        <w:rPr>
          <w:shd w:val="clear" w:color="auto" w:fill="FFFFFF"/>
        </w:rPr>
        <w:t xml:space="preserve">VSIA “Bērnu klīniskā universitātes slimnīca” </w:t>
      </w:r>
      <w:r w:rsidRPr="003B6E07">
        <w:t xml:space="preserve"> NMPON diagnožu grupām un iespējamām pielietotām diagnostiskas un ārstēšanas metodēm, analizējot datus </w:t>
      </w:r>
      <w:r w:rsidRPr="003B6E07">
        <w:rPr>
          <w:shd w:val="clear" w:color="auto" w:fill="FFFFFF"/>
        </w:rPr>
        <w:t xml:space="preserve">VSIA “Bērnu klīniskā universitātes slimnīca” </w:t>
      </w:r>
      <w:r w:rsidRPr="003B6E07">
        <w:t xml:space="preserve"> NMPON no 2017.gada 1.janvāra līdz 1.jūnijam ārstēto 11 345 ambulatoro pediatrisko pacientu diagnožu grupas un, apkopojot klīniski līdzīgās diagnozes pēc SSK 10.klasifikatora, 21% (n=2348) pacientu konstatētas akūtas nekomplicētas augšējo elpceļu saslimšanas, 17% (n=1985) - funkcionāli kuņģa zarnu trakta darbības traucējumi, 1092 (10%) pacientu bijuši akūti, nekomplicēti </w:t>
      </w:r>
      <w:r w:rsidRPr="00E93259">
        <w:t>otīti</w:t>
      </w:r>
      <w:r w:rsidRPr="003B6E07">
        <w:t>, bet 573 (5%) pacientiem bijusi tikai viena diagnoze - "parastas iesnas" (J00). Atbilstoši jaunākām pediatrijas un bērnu infekciju slimību starptautiskās literatūras nostādnēm, bērnu vecuma pacienti ar šādām diagnozēm primāri nav papildus izmeklējami vai ārstējami stacionāra apstākļos</w:t>
      </w:r>
      <w:r w:rsidR="52B20BA9" w:rsidRPr="00E93259">
        <w:rPr>
          <w:vertAlign w:val="superscript"/>
        </w:rPr>
        <w:t>43</w:t>
      </w:r>
      <w:r w:rsidR="52B20BA9">
        <w:t>. Reti, bet ja tomēr pastāv diferenciāldiagnoze starp virālu (95% gadījumu bērniem akūtas augšējo elpceļu saslimšanas ir vīrusu izcelsmes) vai bakteriālu slimības ierosinātāju, vai iespējamu slimības gaitas komplicēšanos, arī jebkuram primārās aprūpes ārstam iespējams veikt pilnu asins ainu, asins bioķīmisko analīžu (C reaktīvā olbaltuma u.c. parametru) izmeklēšanu vai citus infekciju, vai attēlu diagnostikas (piem. krūšu kurvja rentgenogramma) izmeklējumus.</w:t>
      </w:r>
    </w:p>
    <w:p w14:paraId="5D73CF00" w14:textId="77777777" w:rsidR="00C02E75" w:rsidRDefault="00C02E75" w:rsidP="00E93259">
      <w:pPr>
        <w:pStyle w:val="NormalWeb"/>
        <w:shd w:val="clear" w:color="auto" w:fill="FFFFFF" w:themeFill="background1"/>
        <w:spacing w:before="0" w:beforeAutospacing="0" w:after="120" w:afterAutospacing="0" w:line="276" w:lineRule="auto"/>
        <w:ind w:firstLine="720"/>
        <w:jc w:val="both"/>
      </w:pPr>
      <w:r w:rsidRPr="003B6E07">
        <w:t xml:space="preserve">Analizējot pacientu plūsmu </w:t>
      </w:r>
      <w:r w:rsidRPr="003B6E07">
        <w:rPr>
          <w:shd w:val="clear" w:color="auto" w:fill="FFFFFF"/>
        </w:rPr>
        <w:t xml:space="preserve">VSIA “Bērnu klīniskā universitātes slimnīca” </w:t>
      </w:r>
      <w:r w:rsidRPr="003B6E07">
        <w:t xml:space="preserve">Gaiļezera novietnē no 2017.gada 1.janvāra līdz 30.jūnijam, pusei - 51% (1212) no visiem NMPON pacientiem netika veikts neviens izmeklējums un netika piemērota ārstēšana, pacientus tikai apskatīja ārsts. Turklāt vairāk nekā puse šo pacientu - 52% (n=634) ieradušies ģimenes ārsta darba laikā - darba dienās, laika periodā no plkst. 8:00 līdz 16:00. Analizējot pacientu plūsmu pa diennakts stundām </w:t>
      </w:r>
      <w:r w:rsidRPr="003B6E07">
        <w:rPr>
          <w:shd w:val="clear" w:color="auto" w:fill="FFFFFF"/>
        </w:rPr>
        <w:t xml:space="preserve">VSIA “Bērnu klīniskā universitātes slimnīca” </w:t>
      </w:r>
      <w:r w:rsidRPr="003B6E07">
        <w:t xml:space="preserve">Torņakalna novietnē 2017.gadā, redzams, ka 60% ambulatoro pacientu </w:t>
      </w:r>
      <w:r w:rsidRPr="003B6E07">
        <w:rPr>
          <w:shd w:val="clear" w:color="auto" w:fill="FFFFFF"/>
        </w:rPr>
        <w:t xml:space="preserve">VSIA “Bērnu klīniskā universitātes slimnīca” </w:t>
      </w:r>
      <w:r w:rsidRPr="003B6E07">
        <w:t>ie</w:t>
      </w:r>
      <w:r>
        <w:t>rodas ģimenes ārsta darba laikā.</w:t>
      </w:r>
    </w:p>
    <w:p w14:paraId="3ED924E4" w14:textId="77777777" w:rsidR="00C02E75" w:rsidRPr="00E12849" w:rsidRDefault="00C02E75" w:rsidP="00E93259">
      <w:pPr>
        <w:pStyle w:val="NormalWeb"/>
        <w:shd w:val="clear" w:color="auto" w:fill="FFFFFF" w:themeFill="background1"/>
        <w:spacing w:before="0" w:beforeAutospacing="0" w:after="120" w:afterAutospacing="0" w:line="276" w:lineRule="auto"/>
        <w:ind w:firstLine="720"/>
        <w:jc w:val="both"/>
      </w:pPr>
      <w:r w:rsidRPr="00CD7DB3">
        <w:t>Reģionos novērojama līdzīga situācija - vecāki bērna veselības aprūpes pakalpojumu saņemšanai pēcpusdienās, vakara un nakts stundās, kā arī brīvdienās un svētku dienās (ārpus ģimenes ārsta darba laika) vēršas slimnīcu uzņemšanas nodaļās. Izveidojot pediatru kabinetus, tiks nodrošināta iespēja bērniem savlaicīgi saņemt palīdzību akūtas saslimšanas gadījumā, kā arī speciālista konsultācijas pediatriskos jautājumos. Tāpat tiks atslogota pacientu plūsma slimnīcu uzņemšanas nodaļās, tādējādi, nodrošinot savlaicīgu un kvalitatīvu veselības aprūpi pacientiem dzīvībai bīstamās situācijās.</w:t>
      </w:r>
    </w:p>
    <w:p w14:paraId="1BC13DEF" w14:textId="77777777" w:rsidR="00B217D7" w:rsidRDefault="00B217D7" w:rsidP="00B217D7">
      <w:pPr>
        <w:pStyle w:val="NormalWeb"/>
        <w:shd w:val="clear" w:color="auto" w:fill="FFFFFF" w:themeFill="background1"/>
        <w:spacing w:before="0" w:beforeAutospacing="0" w:after="120" w:afterAutospacing="0" w:line="276" w:lineRule="auto"/>
        <w:ind w:firstLine="720"/>
        <w:jc w:val="right"/>
        <w:rPr>
          <w:i/>
        </w:rPr>
        <w:sectPr w:rsidR="00B217D7" w:rsidSect="006138D3">
          <w:pgSz w:w="12240" w:h="15840"/>
          <w:pgMar w:top="1440" w:right="1440" w:bottom="1440" w:left="1701" w:header="708" w:footer="708" w:gutter="0"/>
          <w:cols w:space="708"/>
          <w:titlePg/>
          <w:docGrid w:linePitch="360"/>
        </w:sectPr>
      </w:pPr>
    </w:p>
    <w:p w14:paraId="0B1A9FF7" w14:textId="3F9B4741" w:rsidR="00633CEE" w:rsidRPr="00633CEE" w:rsidRDefault="00633CEE" w:rsidP="00633CEE">
      <w:pPr>
        <w:pStyle w:val="NormalWeb"/>
        <w:shd w:val="clear" w:color="auto" w:fill="FFFFFF" w:themeFill="background1"/>
        <w:spacing w:before="0" w:beforeAutospacing="0" w:after="120" w:afterAutospacing="0" w:line="276" w:lineRule="auto"/>
        <w:ind w:firstLine="720"/>
        <w:jc w:val="both"/>
      </w:pPr>
      <w:r>
        <w:lastRenderedPageBreak/>
        <w:t>Ņemot vērā minēto, plānots izveidot “pediatru kabinetus” pie noteiktām slimnīcām (7</w:t>
      </w:r>
      <w:r w:rsidRPr="704995BB">
        <w:t>. </w:t>
      </w:r>
      <w:r>
        <w:t>un 8.tabula).</w:t>
      </w:r>
    </w:p>
    <w:p w14:paraId="4718FE44" w14:textId="5C357D74" w:rsidR="00B217D7" w:rsidRPr="00E11AFF" w:rsidRDefault="000678A1" w:rsidP="00E11AFF">
      <w:pPr>
        <w:pStyle w:val="NormalWeb"/>
        <w:shd w:val="clear" w:color="auto" w:fill="FFFFFF" w:themeFill="background1"/>
        <w:spacing w:before="0" w:beforeAutospacing="0" w:after="120" w:afterAutospacing="0" w:line="276" w:lineRule="auto"/>
        <w:ind w:firstLine="720"/>
        <w:jc w:val="right"/>
        <w:rPr>
          <w:i/>
        </w:rPr>
      </w:pPr>
      <w:r>
        <w:rPr>
          <w:i/>
        </w:rPr>
        <w:t>6</w:t>
      </w:r>
      <w:r w:rsidR="00B217D7" w:rsidRPr="00E11AFF">
        <w:rPr>
          <w:i/>
        </w:rPr>
        <w:t>.tabula</w:t>
      </w:r>
    </w:p>
    <w:p w14:paraId="108C36A2" w14:textId="7F84A2AB" w:rsidR="00B217D7" w:rsidRPr="00E11AFF" w:rsidRDefault="00B217D7" w:rsidP="00E11AFF">
      <w:pPr>
        <w:pStyle w:val="NormalWeb"/>
        <w:shd w:val="clear" w:color="auto" w:fill="FFFFFF" w:themeFill="background1"/>
        <w:spacing w:before="0" w:beforeAutospacing="0" w:after="120" w:afterAutospacing="0" w:line="276" w:lineRule="auto"/>
        <w:ind w:firstLine="720"/>
        <w:jc w:val="center"/>
        <w:rPr>
          <w:b/>
        </w:rPr>
      </w:pPr>
      <w:r w:rsidRPr="00E11AFF">
        <w:rPr>
          <w:b/>
        </w:rPr>
        <w:t>Pediatru kabinetu izveidei nepieciešamais finansējums 2017., 2018. un 2019.gadam</w:t>
      </w: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840"/>
        <w:gridCol w:w="851"/>
        <w:gridCol w:w="850"/>
        <w:gridCol w:w="851"/>
        <w:gridCol w:w="850"/>
        <w:gridCol w:w="851"/>
        <w:gridCol w:w="850"/>
        <w:gridCol w:w="851"/>
        <w:gridCol w:w="850"/>
        <w:gridCol w:w="851"/>
        <w:gridCol w:w="850"/>
        <w:gridCol w:w="709"/>
        <w:gridCol w:w="709"/>
        <w:gridCol w:w="850"/>
      </w:tblGrid>
      <w:tr w:rsidR="00E11AFF" w14:paraId="5185CC9E" w14:textId="77777777" w:rsidTr="00097FF6">
        <w:trPr>
          <w:cantSplit/>
          <w:trHeight w:val="1505"/>
          <w:jc w:val="center"/>
        </w:trPr>
        <w:tc>
          <w:tcPr>
            <w:tcW w:w="431" w:type="dxa"/>
            <w:shd w:val="clear" w:color="auto" w:fill="E36C0A" w:themeFill="accent6" w:themeFillShade="BF"/>
          </w:tcPr>
          <w:p w14:paraId="48B66C0A" w14:textId="77777777" w:rsidR="00B217D7" w:rsidRPr="00847710" w:rsidRDefault="00B217D7" w:rsidP="005C58C0">
            <w:pPr>
              <w:spacing w:after="0" w:line="240" w:lineRule="auto"/>
              <w:rPr>
                <w:rFonts w:ascii="Times New Roman" w:eastAsia="Times New Roman" w:hAnsi="Times New Roman" w:cs="Times New Roman"/>
                <w:b/>
                <w:bCs/>
                <w:sz w:val="20"/>
                <w:szCs w:val="20"/>
                <w:lang w:eastAsia="lv-LV"/>
              </w:rPr>
            </w:pPr>
          </w:p>
        </w:tc>
        <w:tc>
          <w:tcPr>
            <w:tcW w:w="840" w:type="dxa"/>
            <w:shd w:val="clear" w:color="auto" w:fill="E36C0A" w:themeFill="accent6" w:themeFillShade="BF"/>
            <w:vAlign w:val="center"/>
            <w:hideMark/>
          </w:tcPr>
          <w:p w14:paraId="195BA8BB" w14:textId="77777777" w:rsidR="00B217D7" w:rsidRPr="00847710" w:rsidRDefault="00B217D7" w:rsidP="005C58C0">
            <w:pPr>
              <w:spacing w:after="0" w:line="240" w:lineRule="auto"/>
              <w:rPr>
                <w:rFonts w:ascii="Times New Roman" w:eastAsia="Times New Roman" w:hAnsi="Times New Roman" w:cs="Times New Roman"/>
                <w:b/>
                <w:bCs/>
                <w:sz w:val="20"/>
                <w:szCs w:val="20"/>
                <w:lang w:eastAsia="lv-LV"/>
              </w:rPr>
            </w:pPr>
          </w:p>
        </w:tc>
        <w:tc>
          <w:tcPr>
            <w:tcW w:w="851" w:type="dxa"/>
            <w:shd w:val="clear" w:color="auto" w:fill="E36C0A" w:themeFill="accent6" w:themeFillShade="BF"/>
            <w:textDirection w:val="btLr"/>
            <w:vAlign w:val="center"/>
            <w:hideMark/>
          </w:tcPr>
          <w:p w14:paraId="6C64D364" w14:textId="77777777" w:rsidR="00B217D7" w:rsidRPr="00847710" w:rsidRDefault="00B217D7"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ārstēšanas</w:t>
            </w:r>
          </w:p>
          <w:p w14:paraId="730E8BC6" w14:textId="77777777" w:rsidR="00B217D7" w:rsidRPr="00847710" w:rsidRDefault="00B217D7"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r>
              <w:rPr>
                <w:rFonts w:ascii="Times New Roman" w:eastAsia="Times New Roman" w:hAnsi="Times New Roman" w:cs="Times New Roman"/>
                <w:b/>
                <w:bCs/>
                <w:sz w:val="20"/>
                <w:szCs w:val="20"/>
                <w:lang w:eastAsia="lv-LV"/>
              </w:rPr>
              <w:t>*</w:t>
            </w:r>
          </w:p>
          <w:p w14:paraId="1015333A" w14:textId="77777777" w:rsidR="00B217D7" w:rsidRPr="00847710" w:rsidRDefault="00B217D7" w:rsidP="005C58C0">
            <w:pPr>
              <w:spacing w:after="0" w:line="240" w:lineRule="auto"/>
              <w:ind w:left="113" w:right="113"/>
              <w:jc w:val="center"/>
              <w:rPr>
                <w:rFonts w:ascii="Times New Roman" w:eastAsia="Times New Roman" w:hAnsi="Times New Roman" w:cs="Times New Roman"/>
                <w:b/>
                <w:bCs/>
                <w:sz w:val="20"/>
                <w:szCs w:val="20"/>
                <w:lang w:eastAsia="lv-LV"/>
              </w:rPr>
            </w:pPr>
          </w:p>
        </w:tc>
        <w:tc>
          <w:tcPr>
            <w:tcW w:w="2551" w:type="dxa"/>
            <w:gridSpan w:val="3"/>
            <w:shd w:val="clear" w:color="auto" w:fill="E36C0A" w:themeFill="accent6" w:themeFillShade="BF"/>
            <w:textDirection w:val="btLr"/>
            <w:vAlign w:val="center"/>
          </w:tcPr>
          <w:p w14:paraId="185AFB22" w14:textId="77777777" w:rsidR="00B217D7" w:rsidRPr="00847710" w:rsidRDefault="00B217D7" w:rsidP="005C58C0">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552" w:type="dxa"/>
            <w:gridSpan w:val="3"/>
            <w:shd w:val="clear" w:color="auto" w:fill="E36C0A" w:themeFill="accent6" w:themeFillShade="BF"/>
            <w:textDirection w:val="btLr"/>
            <w:vAlign w:val="center"/>
          </w:tcPr>
          <w:p w14:paraId="756110A1" w14:textId="77777777" w:rsidR="00B217D7" w:rsidRPr="00847710" w:rsidRDefault="00B217D7"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51" w:type="dxa"/>
            <w:gridSpan w:val="3"/>
            <w:shd w:val="clear" w:color="auto" w:fill="E36C0A" w:themeFill="accent6" w:themeFillShade="BF"/>
            <w:textDirection w:val="btLr"/>
            <w:vAlign w:val="center"/>
          </w:tcPr>
          <w:p w14:paraId="27C7E30E" w14:textId="77777777" w:rsidR="00B217D7" w:rsidRPr="00847710" w:rsidRDefault="00B217D7"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268" w:type="dxa"/>
            <w:gridSpan w:val="3"/>
            <w:shd w:val="clear" w:color="auto" w:fill="E36C0A" w:themeFill="accent6" w:themeFillShade="BF"/>
            <w:textDirection w:val="btLr"/>
            <w:vAlign w:val="center"/>
          </w:tcPr>
          <w:p w14:paraId="3A5E5F96" w14:textId="77777777" w:rsidR="00B217D7" w:rsidRPr="00847710" w:rsidRDefault="00B217D7"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097FF6" w14:paraId="40777A7D" w14:textId="77777777" w:rsidTr="00097FF6">
        <w:trPr>
          <w:trHeight w:val="640"/>
          <w:jc w:val="center"/>
        </w:trPr>
        <w:tc>
          <w:tcPr>
            <w:tcW w:w="431" w:type="dxa"/>
            <w:shd w:val="clear" w:color="auto" w:fill="FABF8F" w:themeFill="accent6" w:themeFillTint="99"/>
          </w:tcPr>
          <w:p w14:paraId="15079C0C"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p>
        </w:tc>
        <w:tc>
          <w:tcPr>
            <w:tcW w:w="840" w:type="dxa"/>
            <w:shd w:val="clear" w:color="auto" w:fill="FABF8F" w:themeFill="accent6" w:themeFillTint="99"/>
            <w:vAlign w:val="center"/>
          </w:tcPr>
          <w:p w14:paraId="5FFA393F"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p>
        </w:tc>
        <w:tc>
          <w:tcPr>
            <w:tcW w:w="851" w:type="dxa"/>
            <w:shd w:val="clear" w:color="auto" w:fill="FABF8F" w:themeFill="accent6" w:themeFillTint="99"/>
            <w:vAlign w:val="center"/>
          </w:tcPr>
          <w:p w14:paraId="1D730B44" w14:textId="77777777" w:rsidR="00B217D7" w:rsidRPr="00847710" w:rsidRDefault="00B217D7" w:rsidP="005C58C0">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61840053"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200D5B14" w14:textId="77777777" w:rsidR="00B217D7"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B6BC976" w14:textId="77777777" w:rsidR="00B217D7" w:rsidRPr="0012317D" w:rsidRDefault="00B217D7"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311C7A60" w14:textId="77777777" w:rsidR="00B217D7"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2C8F8BCB" w14:textId="77777777" w:rsidR="00B217D7" w:rsidRPr="0012317D" w:rsidRDefault="00B217D7"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19F2B933" w14:textId="77777777" w:rsidR="00B217D7"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0FB793D3" w14:textId="77777777" w:rsidR="00B217D7" w:rsidRPr="0012317D" w:rsidRDefault="00B217D7"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10AEC545" w14:textId="77777777" w:rsidR="00B217D7"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1BD2A3B6" w14:textId="77777777" w:rsidR="00B217D7" w:rsidRPr="0012317D" w:rsidRDefault="00B217D7"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7ADF4711" w14:textId="77777777" w:rsidR="00B217D7"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2B66217" w14:textId="77777777" w:rsidR="00B217D7" w:rsidRPr="0012317D" w:rsidRDefault="00B217D7"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09DE0392" w14:textId="77777777" w:rsidR="00B217D7" w:rsidRPr="00C86312" w:rsidRDefault="00B217D7" w:rsidP="005C58C0">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253BAB24" w14:textId="77777777" w:rsidR="00B217D7" w:rsidRPr="00C86312" w:rsidRDefault="00B217D7" w:rsidP="005C58C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7D215945"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036A9A11"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2BA5242A"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79693C9E"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55475FAD"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2E2E4771" w14:textId="77777777" w:rsidR="00B217D7" w:rsidRPr="00847710" w:rsidRDefault="00B217D7" w:rsidP="005C58C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097FF6" w14:paraId="2EC2CC4A" w14:textId="77777777" w:rsidTr="00097FF6">
        <w:trPr>
          <w:trHeight w:val="598"/>
          <w:jc w:val="center"/>
        </w:trPr>
        <w:tc>
          <w:tcPr>
            <w:tcW w:w="431" w:type="dxa"/>
            <w:shd w:val="clear" w:color="auto" w:fill="FFFFFF" w:themeFill="background1"/>
          </w:tcPr>
          <w:p w14:paraId="42A2EF57" w14:textId="77777777" w:rsidR="00B217D7" w:rsidRPr="00E1067B" w:rsidRDefault="00B217D7"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840" w:type="dxa"/>
            <w:shd w:val="clear" w:color="auto" w:fill="FFFFFF" w:themeFill="background1"/>
            <w:vAlign w:val="center"/>
          </w:tcPr>
          <w:p w14:paraId="7FC4C5F3" w14:textId="1D69C2A7" w:rsidR="00B217D7" w:rsidRPr="00030FAC" w:rsidRDefault="00B217D7" w:rsidP="00B217D7">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sz w:val="16"/>
                <w:szCs w:val="16"/>
                <w:lang w:eastAsia="lv-LV"/>
              </w:rPr>
              <w:t>Pediatru kabinetu izveide</w:t>
            </w:r>
          </w:p>
        </w:tc>
        <w:tc>
          <w:tcPr>
            <w:tcW w:w="851" w:type="dxa"/>
            <w:shd w:val="clear" w:color="auto" w:fill="FFFFFF" w:themeFill="background1"/>
            <w:vAlign w:val="center"/>
          </w:tcPr>
          <w:p w14:paraId="3AEB0A51" w14:textId="14AA2ABB" w:rsidR="00B217D7" w:rsidRPr="00030FAC" w:rsidRDefault="00B217D7" w:rsidP="00B217D7">
            <w:pPr>
              <w:spacing w:after="0" w:line="240" w:lineRule="auto"/>
              <w:jc w:val="center"/>
              <w:rPr>
                <w:rFonts w:ascii="Times New Roman" w:eastAsia="Times New Roman" w:hAnsi="Times New Roman" w:cs="Times New Roman"/>
                <w:iCs/>
                <w:sz w:val="16"/>
                <w:szCs w:val="16"/>
                <w:lang w:eastAsia="lv-LV"/>
              </w:rPr>
            </w:pPr>
          </w:p>
        </w:tc>
        <w:tc>
          <w:tcPr>
            <w:tcW w:w="850" w:type="dxa"/>
            <w:shd w:val="clear" w:color="auto" w:fill="FFFFFF" w:themeFill="background1"/>
            <w:vAlign w:val="center"/>
          </w:tcPr>
          <w:p w14:paraId="65F795D2" w14:textId="2ADCCDC3" w:rsidR="00B217D7" w:rsidRDefault="00373AD8"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63B95AB" w14:textId="73CE7798" w:rsidR="00B217D7" w:rsidRDefault="00373AD8"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6E9AF0B" w14:textId="52CF068B" w:rsidR="00B217D7" w:rsidRPr="00E1067B" w:rsidRDefault="00373AD8"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1DECFE62" w14:textId="77777777" w:rsidR="00B217D7" w:rsidRDefault="00B217D7"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7E7B0B9" w14:textId="77777777" w:rsidR="00B217D7" w:rsidRPr="00030FAC" w:rsidRDefault="00B217D7"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E7368BE" w14:textId="65747C22" w:rsidR="00B217D7" w:rsidRPr="00097FF6" w:rsidRDefault="00B217D7" w:rsidP="00B217D7">
            <w:pPr>
              <w:spacing w:after="0" w:line="240" w:lineRule="auto"/>
              <w:jc w:val="center"/>
              <w:rPr>
                <w:rFonts w:ascii="Times New Roman" w:eastAsia="Times New Roman" w:hAnsi="Times New Roman" w:cs="Times New Roman"/>
                <w:bCs/>
                <w:sz w:val="16"/>
                <w:szCs w:val="16"/>
                <w:lang w:eastAsia="lv-LV"/>
              </w:rPr>
            </w:pPr>
            <w:r w:rsidRPr="00097FF6">
              <w:rPr>
                <w:rFonts w:ascii="Times New Roman" w:hAnsi="Times New Roman" w:cs="Times New Roman"/>
                <w:sz w:val="16"/>
                <w:szCs w:val="16"/>
              </w:rPr>
              <w:t xml:space="preserve">573 534 </w:t>
            </w:r>
          </w:p>
        </w:tc>
        <w:tc>
          <w:tcPr>
            <w:tcW w:w="850" w:type="dxa"/>
            <w:shd w:val="clear" w:color="auto" w:fill="FFFFFF" w:themeFill="background1"/>
            <w:vAlign w:val="center"/>
          </w:tcPr>
          <w:p w14:paraId="2C86426D" w14:textId="77777777" w:rsidR="00B217D7" w:rsidRPr="00E1067B" w:rsidRDefault="00B217D7"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5AF1DC0" w14:textId="77777777" w:rsidR="00B217D7" w:rsidRPr="00E1067B" w:rsidRDefault="00B217D7"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A151389" w14:textId="77777777" w:rsidR="00B217D7" w:rsidRPr="00E1067B" w:rsidRDefault="00B217D7"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59B3EDE" w14:textId="77777777" w:rsidR="00B217D7" w:rsidRDefault="00B217D7"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1FC7AB29" w14:textId="77777777" w:rsidR="00B217D7" w:rsidRDefault="00B217D7" w:rsidP="00B217D7">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9FDF592" w14:textId="2C740A16" w:rsidR="00B217D7" w:rsidRPr="00E1067B" w:rsidRDefault="00373AD8" w:rsidP="00B217D7">
            <w:pPr>
              <w:spacing w:after="0" w:line="240" w:lineRule="auto"/>
              <w:jc w:val="center"/>
              <w:rPr>
                <w:rFonts w:ascii="Times New Roman" w:eastAsia="Times New Roman" w:hAnsi="Times New Roman" w:cs="Times New Roman"/>
                <w:bCs/>
                <w:sz w:val="20"/>
                <w:szCs w:val="20"/>
                <w:lang w:eastAsia="lv-LV"/>
              </w:rPr>
            </w:pPr>
            <w:r>
              <w:rPr>
                <w:rFonts w:ascii="Times New Roman" w:hAnsi="Times New Roman"/>
                <w:sz w:val="16"/>
                <w:szCs w:val="16"/>
                <w:lang w:eastAsia="lv-LV"/>
              </w:rPr>
              <w:t>12 398</w:t>
            </w:r>
          </w:p>
        </w:tc>
      </w:tr>
      <w:tr w:rsidR="00097FF6" w14:paraId="645E3E0D" w14:textId="77777777" w:rsidTr="00097FF6">
        <w:trPr>
          <w:trHeight w:val="296"/>
          <w:jc w:val="center"/>
        </w:trPr>
        <w:tc>
          <w:tcPr>
            <w:tcW w:w="431" w:type="dxa"/>
            <w:shd w:val="clear" w:color="auto" w:fill="FBD4B4" w:themeFill="accent6" w:themeFillTint="66"/>
          </w:tcPr>
          <w:p w14:paraId="0223FC18" w14:textId="77777777" w:rsidR="00B217D7" w:rsidRPr="00847710" w:rsidRDefault="00B217D7" w:rsidP="00B217D7">
            <w:pPr>
              <w:spacing w:after="0" w:line="240" w:lineRule="auto"/>
              <w:rPr>
                <w:rFonts w:ascii="Times New Roman" w:eastAsia="Times New Roman" w:hAnsi="Times New Roman" w:cs="Times New Roman"/>
                <w:sz w:val="20"/>
                <w:szCs w:val="20"/>
                <w:lang w:eastAsia="lv-LV"/>
              </w:rPr>
            </w:pPr>
          </w:p>
        </w:tc>
        <w:tc>
          <w:tcPr>
            <w:tcW w:w="840" w:type="dxa"/>
            <w:shd w:val="clear" w:color="auto" w:fill="FBD4B4" w:themeFill="accent6" w:themeFillTint="66"/>
            <w:vAlign w:val="bottom"/>
          </w:tcPr>
          <w:p w14:paraId="398AC397" w14:textId="77777777" w:rsidR="00B217D7" w:rsidRPr="00847710" w:rsidRDefault="00B217D7" w:rsidP="00B217D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851" w:type="dxa"/>
            <w:shd w:val="clear" w:color="auto" w:fill="FBD4B4" w:themeFill="accent6" w:themeFillTint="66"/>
            <w:noWrap/>
            <w:vAlign w:val="bottom"/>
          </w:tcPr>
          <w:p w14:paraId="1B7E4B68" w14:textId="77777777" w:rsidR="00B217D7" w:rsidRPr="00847710" w:rsidRDefault="00B217D7" w:rsidP="00B217D7">
            <w:pPr>
              <w:spacing w:after="0" w:line="240" w:lineRule="auto"/>
              <w:jc w:val="center"/>
              <w:rPr>
                <w:rFonts w:ascii="Times New Roman" w:eastAsia="Times New Roman" w:hAnsi="Times New Roman" w:cs="Times New Roman"/>
                <w:sz w:val="20"/>
                <w:szCs w:val="20"/>
                <w:lang w:eastAsia="lv-LV"/>
              </w:rPr>
            </w:pPr>
          </w:p>
        </w:tc>
        <w:tc>
          <w:tcPr>
            <w:tcW w:w="850" w:type="dxa"/>
            <w:shd w:val="clear" w:color="auto" w:fill="FBD4B4" w:themeFill="accent6" w:themeFillTint="66"/>
            <w:vAlign w:val="center"/>
          </w:tcPr>
          <w:p w14:paraId="571F8D34" w14:textId="77777777" w:rsidR="00B217D7" w:rsidRPr="00847710" w:rsidRDefault="00B217D7" w:rsidP="00B217D7">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7078D51C" w14:textId="77777777" w:rsidR="00B217D7" w:rsidRPr="00847710" w:rsidRDefault="00B217D7" w:rsidP="00B217D7">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66948F7A" w14:textId="77777777" w:rsidR="00B217D7" w:rsidRPr="00847710" w:rsidRDefault="00B217D7" w:rsidP="00B217D7">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6C512258" w14:textId="77777777" w:rsidR="00B217D7" w:rsidRPr="00847710" w:rsidRDefault="00B217D7" w:rsidP="00B217D7">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7F9F80CD" w14:textId="77777777" w:rsidR="00B217D7" w:rsidRPr="00030FAC" w:rsidRDefault="00B217D7" w:rsidP="00B217D7">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noWrap/>
            <w:vAlign w:val="center"/>
          </w:tcPr>
          <w:p w14:paraId="251D3BF9" w14:textId="4C0F8FB7" w:rsidR="00B217D7" w:rsidRPr="00E11AFF" w:rsidRDefault="00B217D7" w:rsidP="00B217D7">
            <w:pPr>
              <w:spacing w:after="0" w:line="240" w:lineRule="auto"/>
              <w:jc w:val="center"/>
              <w:rPr>
                <w:rFonts w:ascii="Times New Roman" w:eastAsia="Times New Roman" w:hAnsi="Times New Roman" w:cs="Times New Roman"/>
                <w:b/>
                <w:sz w:val="16"/>
                <w:szCs w:val="16"/>
                <w:lang w:eastAsia="lv-LV"/>
              </w:rPr>
            </w:pPr>
            <w:r w:rsidRPr="00E11AFF">
              <w:rPr>
                <w:rFonts w:ascii="Times New Roman" w:hAnsi="Times New Roman" w:cs="Times New Roman"/>
                <w:b/>
                <w:sz w:val="16"/>
                <w:szCs w:val="16"/>
              </w:rPr>
              <w:t xml:space="preserve">573 534 </w:t>
            </w:r>
          </w:p>
        </w:tc>
        <w:tc>
          <w:tcPr>
            <w:tcW w:w="850" w:type="dxa"/>
            <w:shd w:val="clear" w:color="auto" w:fill="FBD4B4" w:themeFill="accent6" w:themeFillTint="66"/>
            <w:vAlign w:val="center"/>
          </w:tcPr>
          <w:p w14:paraId="6D9290E7" w14:textId="77777777" w:rsidR="00B217D7" w:rsidRPr="00AE3965" w:rsidRDefault="00B217D7" w:rsidP="00B217D7">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2ACDD8C4" w14:textId="77777777" w:rsidR="00B217D7" w:rsidRPr="00AE3965" w:rsidRDefault="00B217D7" w:rsidP="00B217D7">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3601B1F1" w14:textId="77777777" w:rsidR="00B217D7" w:rsidRPr="00AE3965" w:rsidRDefault="00B217D7" w:rsidP="00B217D7">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7A14431D" w14:textId="77777777" w:rsidR="00B217D7" w:rsidRPr="00AE3965" w:rsidRDefault="00B217D7" w:rsidP="00B217D7">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765FA432" w14:textId="77777777" w:rsidR="00B217D7" w:rsidRPr="00AE3965" w:rsidRDefault="00B217D7" w:rsidP="00B217D7">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noWrap/>
            <w:vAlign w:val="center"/>
          </w:tcPr>
          <w:p w14:paraId="4E2B0B53" w14:textId="3D8E73A0" w:rsidR="00B217D7" w:rsidRPr="00097FF6" w:rsidRDefault="00373AD8" w:rsidP="00B217D7">
            <w:pPr>
              <w:spacing w:after="0" w:line="240" w:lineRule="auto"/>
              <w:jc w:val="center"/>
              <w:rPr>
                <w:rFonts w:ascii="Times New Roman" w:eastAsia="Times New Roman" w:hAnsi="Times New Roman" w:cs="Times New Roman"/>
                <w:b/>
                <w:bCs/>
                <w:color w:val="FF0000"/>
                <w:sz w:val="20"/>
                <w:szCs w:val="20"/>
                <w:lang w:eastAsia="lv-LV"/>
              </w:rPr>
            </w:pPr>
            <w:r w:rsidRPr="00097FF6">
              <w:rPr>
                <w:rFonts w:ascii="Times New Roman" w:hAnsi="Times New Roman"/>
                <w:b/>
                <w:sz w:val="16"/>
                <w:szCs w:val="16"/>
                <w:lang w:eastAsia="lv-LV"/>
              </w:rPr>
              <w:t>12 398</w:t>
            </w:r>
          </w:p>
        </w:tc>
      </w:tr>
    </w:tbl>
    <w:p w14:paraId="2AA72B64" w14:textId="60A654ED" w:rsidR="00025DB7" w:rsidRPr="00E11AFF" w:rsidRDefault="00984DBA" w:rsidP="00E11AFF">
      <w:pPr>
        <w:pStyle w:val="NormalWeb"/>
        <w:shd w:val="clear" w:color="auto" w:fill="FFFFFF" w:themeFill="background1"/>
        <w:tabs>
          <w:tab w:val="left" w:pos="8080"/>
        </w:tabs>
        <w:spacing w:before="0" w:beforeAutospacing="0" w:after="0" w:afterAutospacing="0"/>
        <w:rPr>
          <w:i/>
          <w:iCs/>
          <w:color w:val="414142"/>
          <w:sz w:val="20"/>
          <w:szCs w:val="20"/>
        </w:rPr>
        <w:sectPr w:rsidR="00025DB7" w:rsidRPr="00E11AFF" w:rsidSect="00333B64">
          <w:pgSz w:w="15840" w:h="12240" w:orient="landscape"/>
          <w:pgMar w:top="1701" w:right="1440" w:bottom="1440" w:left="1440" w:header="709" w:footer="709" w:gutter="0"/>
          <w:cols w:space="708"/>
          <w:docGrid w:linePitch="360"/>
        </w:sectPr>
      </w:pPr>
      <w:r w:rsidRPr="00E11AFF">
        <w:rPr>
          <w:i/>
          <w:iCs/>
          <w:color w:val="414142"/>
          <w:sz w:val="20"/>
          <w:szCs w:val="20"/>
        </w:rPr>
        <w:t xml:space="preserve">*detalizētas vidējās izmaksas skatīt </w:t>
      </w:r>
      <w:r w:rsidR="00E11AFF">
        <w:rPr>
          <w:i/>
          <w:iCs/>
          <w:color w:val="414142"/>
          <w:sz w:val="20"/>
          <w:szCs w:val="20"/>
        </w:rPr>
        <w:t>7</w:t>
      </w:r>
      <w:r w:rsidRPr="00E11AFF">
        <w:rPr>
          <w:i/>
          <w:iCs/>
          <w:color w:val="414142"/>
          <w:sz w:val="20"/>
          <w:szCs w:val="20"/>
        </w:rPr>
        <w:t xml:space="preserve">. un </w:t>
      </w:r>
      <w:r w:rsidR="00E11AFF">
        <w:rPr>
          <w:i/>
          <w:iCs/>
          <w:color w:val="414142"/>
          <w:sz w:val="20"/>
          <w:szCs w:val="20"/>
        </w:rPr>
        <w:t>8</w:t>
      </w:r>
      <w:r w:rsidRPr="00E11AFF">
        <w:rPr>
          <w:i/>
          <w:iCs/>
          <w:color w:val="414142"/>
          <w:sz w:val="20"/>
          <w:szCs w:val="20"/>
        </w:rPr>
        <w:t>.tabulā</w:t>
      </w:r>
    </w:p>
    <w:p w14:paraId="41C058BF" w14:textId="5D412478" w:rsidR="00C02E75" w:rsidRPr="00E93259" w:rsidRDefault="000678A1" w:rsidP="00E93259">
      <w:pPr>
        <w:pStyle w:val="NormalWeb"/>
        <w:shd w:val="clear" w:color="auto" w:fill="FFFFFF" w:themeFill="background1"/>
        <w:spacing w:before="0" w:beforeAutospacing="0" w:after="0" w:afterAutospacing="0"/>
        <w:ind w:firstLine="720"/>
        <w:jc w:val="right"/>
        <w:rPr>
          <w:i/>
          <w:iCs/>
          <w:color w:val="414142"/>
        </w:rPr>
      </w:pPr>
      <w:r>
        <w:rPr>
          <w:i/>
          <w:iCs/>
          <w:color w:val="414142"/>
        </w:rPr>
        <w:lastRenderedPageBreak/>
        <w:t>7</w:t>
      </w:r>
      <w:r w:rsidR="00C02E75" w:rsidRPr="704995BB">
        <w:rPr>
          <w:i/>
          <w:iCs/>
          <w:color w:val="414142"/>
        </w:rPr>
        <w:t>.tabula</w:t>
      </w:r>
    </w:p>
    <w:tbl>
      <w:tblPr>
        <w:tblW w:w="11908" w:type="dxa"/>
        <w:tblInd w:w="-851" w:type="dxa"/>
        <w:tblLayout w:type="fixed"/>
        <w:tblLook w:val="04A0" w:firstRow="1" w:lastRow="0" w:firstColumn="1" w:lastColumn="0" w:noHBand="0" w:noVBand="1"/>
      </w:tblPr>
      <w:tblGrid>
        <w:gridCol w:w="959"/>
        <w:gridCol w:w="996"/>
        <w:gridCol w:w="591"/>
        <w:gridCol w:w="715"/>
        <w:gridCol w:w="852"/>
        <w:gridCol w:w="767"/>
        <w:gridCol w:w="760"/>
        <w:gridCol w:w="761"/>
        <w:gridCol w:w="830"/>
        <w:gridCol w:w="992"/>
        <w:gridCol w:w="709"/>
        <w:gridCol w:w="850"/>
        <w:gridCol w:w="851"/>
        <w:gridCol w:w="1275"/>
      </w:tblGrid>
      <w:tr w:rsidR="00C02E75" w:rsidRPr="002F442B" w14:paraId="676F2273" w14:textId="77777777" w:rsidTr="00E93259">
        <w:trPr>
          <w:trHeight w:val="288"/>
        </w:trPr>
        <w:tc>
          <w:tcPr>
            <w:tcW w:w="11908" w:type="dxa"/>
            <w:gridSpan w:val="14"/>
            <w:tcBorders>
              <w:top w:val="nil"/>
              <w:left w:val="nil"/>
              <w:bottom w:val="nil"/>
              <w:right w:val="nil"/>
            </w:tcBorders>
            <w:shd w:val="clear" w:color="auto" w:fill="auto"/>
            <w:noWrap/>
            <w:vAlign w:val="bottom"/>
            <w:hideMark/>
          </w:tcPr>
          <w:p w14:paraId="0B1980F7" w14:textId="77777777" w:rsidR="00C02E75" w:rsidRPr="002F442B" w:rsidRDefault="00C02E75" w:rsidP="00A974E8">
            <w:pPr>
              <w:spacing w:after="0" w:line="240" w:lineRule="auto"/>
              <w:jc w:val="center"/>
              <w:rPr>
                <w:rFonts w:ascii="Times New Roman" w:eastAsia="Times New Roman" w:hAnsi="Times New Roman" w:cs="Times New Roman"/>
                <w:sz w:val="24"/>
                <w:szCs w:val="24"/>
              </w:rPr>
            </w:pPr>
            <w:r w:rsidRPr="602B865C">
              <w:rPr>
                <w:rFonts w:ascii="Times New Roman" w:eastAsia="Times New Roman" w:hAnsi="Times New Roman" w:cs="Times New Roman"/>
                <w:sz w:val="24"/>
                <w:szCs w:val="24"/>
              </w:rPr>
              <w:t xml:space="preserve">Fiksētās piemaksas aprēķins par neatliekamās palīdzības un pacientu uzņemšanas nodaļas darbību </w:t>
            </w:r>
          </w:p>
          <w:p w14:paraId="6C753495" w14:textId="77777777" w:rsidR="00C02E75" w:rsidRPr="002F442B" w:rsidRDefault="00C02E75" w:rsidP="00A974E8">
            <w:pPr>
              <w:spacing w:after="0" w:line="240" w:lineRule="auto"/>
              <w:jc w:val="center"/>
              <w:rPr>
                <w:rFonts w:ascii="Times New Roman" w:eastAsia="Times New Roman" w:hAnsi="Times New Roman" w:cs="Times New Roman"/>
                <w:sz w:val="24"/>
                <w:szCs w:val="24"/>
              </w:rPr>
            </w:pPr>
            <w:r w:rsidRPr="602B865C">
              <w:rPr>
                <w:rFonts w:ascii="Times New Roman" w:eastAsia="Times New Roman" w:hAnsi="Times New Roman" w:cs="Times New Roman"/>
                <w:sz w:val="24"/>
                <w:szCs w:val="24"/>
              </w:rPr>
              <w:t>(viens posteņa aprēķins vienā slimnīcā)</w:t>
            </w:r>
          </w:p>
        </w:tc>
      </w:tr>
      <w:tr w:rsidR="006138D3" w:rsidRPr="002E2D67" w14:paraId="051D32C1" w14:textId="77777777" w:rsidTr="7672C071">
        <w:trPr>
          <w:gridBefore w:val="1"/>
          <w:gridAfter w:val="1"/>
          <w:wBefore w:w="959" w:type="dxa"/>
          <w:wAfter w:w="1275" w:type="dxa"/>
          <w:trHeight w:val="416"/>
        </w:trPr>
        <w:tc>
          <w:tcPr>
            <w:tcW w:w="996"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noWrap/>
            <w:textDirection w:val="btLr"/>
            <w:vAlign w:val="center"/>
            <w:hideMark/>
          </w:tcPr>
          <w:p w14:paraId="2D898C64"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Speciālists</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10DBA06A"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Mēnesī plānotās slodzes  </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54A5ABF1"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Cilvēkresursa nodrošinājums uzņemšanā </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72C2278C"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Mēnešalga, euro </w:t>
            </w:r>
          </w:p>
        </w:tc>
        <w:tc>
          <w:tcPr>
            <w:tcW w:w="3118" w:type="dxa"/>
            <w:gridSpan w:val="4"/>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1D740E63" w14:textId="77777777" w:rsidR="00C02E75" w:rsidRPr="002E2D67" w:rsidRDefault="00C02E75" w:rsidP="00A974E8">
            <w:pPr>
              <w:spacing w:after="0" w:line="240" w:lineRule="auto"/>
              <w:jc w:val="center"/>
              <w:rPr>
                <w:rFonts w:ascii="Times New Roman" w:eastAsia="Times New Roman" w:hAnsi="Times New Roman" w:cs="Times New Roman"/>
                <w:sz w:val="16"/>
                <w:szCs w:val="16"/>
                <w:lang w:eastAsia="lv-LV"/>
              </w:rPr>
            </w:pPr>
            <w:r w:rsidRPr="002E2D67">
              <w:rPr>
                <w:rFonts w:ascii="Times New Roman" w:eastAsia="Times New Roman" w:hAnsi="Times New Roman" w:cs="Times New Roman"/>
                <w:sz w:val="16"/>
                <w:szCs w:val="16"/>
                <w:lang w:eastAsia="lv-LV"/>
              </w:rPr>
              <w:t>Plānotās gada izmaksas atalgojumam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0858AE6E"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Valsts sociālās apdrošināšanas obligātās iemaksas, euro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4D2869DB"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Uzturēšanas maksājums gadam (atbilstoši MK noteikumu Nr.1529 15. pielikumam), euro </w:t>
            </w:r>
          </w:p>
        </w:tc>
        <w:tc>
          <w:tcPr>
            <w:tcW w:w="850"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2271E3BB"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Izmaksas kopā, </w:t>
            </w:r>
            <w:r w:rsidRPr="00E93259">
              <w:rPr>
                <w:rFonts w:ascii="Times New Roman" w:eastAsia="Times New Roman" w:hAnsi="Times New Roman" w:cs="Times New Roman"/>
                <w:i/>
                <w:color w:val="000000"/>
                <w:sz w:val="16"/>
                <w:szCs w:val="16"/>
                <w:lang w:eastAsia="lv-LV"/>
              </w:rPr>
              <w:t xml:space="preserve">euro </w:t>
            </w:r>
            <w:r w:rsidRPr="002E2D67">
              <w:rPr>
                <w:rFonts w:ascii="Times New Roman" w:eastAsia="Times New Roman" w:hAnsi="Times New Roman" w:cs="Times New Roman"/>
                <w:color w:val="000000"/>
                <w:sz w:val="16"/>
                <w:szCs w:val="16"/>
                <w:lang w:eastAsia="lv-LV"/>
              </w:rPr>
              <w:t xml:space="preserve">(ārstam un māsai)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063A495D"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Izmaksas kopā, </w:t>
            </w:r>
            <w:r w:rsidRPr="00E93259">
              <w:rPr>
                <w:rFonts w:ascii="Times New Roman" w:eastAsia="Times New Roman" w:hAnsi="Times New Roman" w:cs="Times New Roman"/>
                <w:i/>
                <w:color w:val="000000"/>
                <w:sz w:val="16"/>
                <w:szCs w:val="16"/>
                <w:lang w:eastAsia="lv-LV"/>
              </w:rPr>
              <w:t xml:space="preserve">euro </w:t>
            </w:r>
            <w:r w:rsidRPr="002E2D67">
              <w:rPr>
                <w:rFonts w:ascii="Times New Roman" w:eastAsia="Times New Roman" w:hAnsi="Times New Roman" w:cs="Times New Roman"/>
                <w:color w:val="000000"/>
                <w:sz w:val="16"/>
                <w:szCs w:val="16"/>
                <w:lang w:eastAsia="lv-LV"/>
              </w:rPr>
              <w:t xml:space="preserve">(pediatrs/neonatalogs) </w:t>
            </w:r>
          </w:p>
        </w:tc>
      </w:tr>
      <w:tr w:rsidR="00C02E75" w:rsidRPr="002E2D67" w14:paraId="648D8CA4" w14:textId="77777777" w:rsidTr="00E93259">
        <w:trPr>
          <w:gridBefore w:val="1"/>
          <w:gridAfter w:val="1"/>
          <w:wBefore w:w="959" w:type="dxa"/>
          <w:wAfter w:w="1275" w:type="dxa"/>
          <w:cantSplit/>
          <w:trHeight w:val="1230"/>
        </w:trPr>
        <w:tc>
          <w:tcPr>
            <w:tcW w:w="996" w:type="dxa"/>
            <w:vMerge/>
            <w:vAlign w:val="center"/>
            <w:hideMark/>
          </w:tcPr>
          <w:p w14:paraId="4C30D1E8"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p>
        </w:tc>
        <w:tc>
          <w:tcPr>
            <w:tcW w:w="591" w:type="dxa"/>
            <w:vMerge/>
            <w:vAlign w:val="center"/>
            <w:hideMark/>
          </w:tcPr>
          <w:p w14:paraId="07F1892D"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p>
        </w:tc>
        <w:tc>
          <w:tcPr>
            <w:tcW w:w="715" w:type="dxa"/>
            <w:vMerge/>
            <w:vAlign w:val="center"/>
            <w:hideMark/>
          </w:tcPr>
          <w:p w14:paraId="5828394B"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p>
        </w:tc>
        <w:tc>
          <w:tcPr>
            <w:tcW w:w="852" w:type="dxa"/>
            <w:vMerge/>
            <w:vAlign w:val="center"/>
            <w:hideMark/>
          </w:tcPr>
          <w:p w14:paraId="1A2AEA0F"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p>
        </w:tc>
        <w:tc>
          <w:tcPr>
            <w:tcW w:w="767"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7B6205EE"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Dienas atalgojumam (16h/d), euro </w:t>
            </w:r>
          </w:p>
        </w:tc>
        <w:tc>
          <w:tcPr>
            <w:tcW w:w="760"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7A8A7C69"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Nakts atalgojumam (8h/d), euro </w:t>
            </w:r>
          </w:p>
        </w:tc>
        <w:tc>
          <w:tcPr>
            <w:tcW w:w="761"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2DD3B936"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Svētku dienu atalgojumam (24h/d),  euro </w:t>
            </w:r>
          </w:p>
        </w:tc>
        <w:tc>
          <w:tcPr>
            <w:tcW w:w="830"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2E752A34" w14:textId="77777777" w:rsidR="00C02E75" w:rsidRPr="002E2D67" w:rsidRDefault="00C02E75" w:rsidP="00A974E8">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Kopā, euro </w:t>
            </w:r>
          </w:p>
        </w:tc>
        <w:tc>
          <w:tcPr>
            <w:tcW w:w="992" w:type="dxa"/>
            <w:vMerge/>
            <w:vAlign w:val="center"/>
            <w:hideMark/>
          </w:tcPr>
          <w:p w14:paraId="5FE0E1B5"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p>
        </w:tc>
        <w:tc>
          <w:tcPr>
            <w:tcW w:w="709" w:type="dxa"/>
            <w:vMerge/>
            <w:vAlign w:val="center"/>
            <w:hideMark/>
          </w:tcPr>
          <w:p w14:paraId="513FCE45"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p>
        </w:tc>
        <w:tc>
          <w:tcPr>
            <w:tcW w:w="850" w:type="dxa"/>
            <w:vMerge/>
            <w:vAlign w:val="center"/>
            <w:hideMark/>
          </w:tcPr>
          <w:p w14:paraId="17D90E07"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p>
        </w:tc>
        <w:tc>
          <w:tcPr>
            <w:tcW w:w="851" w:type="dxa"/>
            <w:vMerge/>
            <w:vAlign w:val="center"/>
            <w:hideMark/>
          </w:tcPr>
          <w:p w14:paraId="7CFBD7AA"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p>
        </w:tc>
      </w:tr>
      <w:tr w:rsidR="00C02E75" w:rsidRPr="002E2D67" w14:paraId="133A1745" w14:textId="77777777" w:rsidTr="00E93259">
        <w:trPr>
          <w:gridBefore w:val="1"/>
          <w:gridAfter w:val="1"/>
          <w:wBefore w:w="959" w:type="dxa"/>
          <w:wAfter w:w="1275" w:type="dxa"/>
          <w:trHeight w:val="288"/>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596165"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Pediatrs/neonatalogs</w:t>
            </w:r>
          </w:p>
        </w:tc>
        <w:tc>
          <w:tcPr>
            <w:tcW w:w="591" w:type="dxa"/>
            <w:tcBorders>
              <w:top w:val="nil"/>
              <w:left w:val="nil"/>
              <w:bottom w:val="single" w:sz="4" w:space="0" w:color="auto"/>
              <w:right w:val="single" w:sz="4" w:space="0" w:color="auto"/>
            </w:tcBorders>
            <w:shd w:val="clear" w:color="auto" w:fill="auto"/>
            <w:vAlign w:val="center"/>
            <w:hideMark/>
          </w:tcPr>
          <w:p w14:paraId="70FA3628" w14:textId="77777777" w:rsidR="00C02E75" w:rsidRPr="002E2D67" w:rsidRDefault="00C02E75" w:rsidP="00A974E8">
            <w:pPr>
              <w:spacing w:after="0" w:line="240" w:lineRule="auto"/>
              <w:jc w:val="right"/>
              <w:rPr>
                <w:rFonts w:ascii="Times New Roman" w:eastAsia="Times New Roman" w:hAnsi="Times New Roman" w:cs="Times New Roman"/>
                <w:b/>
                <w:bCs/>
                <w:color w:val="000000"/>
                <w:sz w:val="16"/>
                <w:szCs w:val="16"/>
                <w:lang w:eastAsia="lv-LV"/>
              </w:rPr>
            </w:pPr>
          </w:p>
        </w:tc>
        <w:tc>
          <w:tcPr>
            <w:tcW w:w="715" w:type="dxa"/>
            <w:tcBorders>
              <w:top w:val="nil"/>
              <w:left w:val="nil"/>
              <w:bottom w:val="single" w:sz="4" w:space="0" w:color="auto"/>
              <w:right w:val="single" w:sz="4" w:space="0" w:color="auto"/>
            </w:tcBorders>
            <w:shd w:val="clear" w:color="auto" w:fill="auto"/>
            <w:vAlign w:val="center"/>
            <w:hideMark/>
          </w:tcPr>
          <w:p w14:paraId="49FC8DE6" w14:textId="77777777" w:rsidR="00C02E75" w:rsidRPr="002E2D67" w:rsidRDefault="00C02E75" w:rsidP="00A974E8">
            <w:pPr>
              <w:spacing w:after="0" w:line="240" w:lineRule="auto"/>
              <w:jc w:val="right"/>
              <w:rPr>
                <w:rFonts w:ascii="Times New Roman" w:eastAsia="Times New Roman" w:hAnsi="Times New Roman" w:cs="Times New Roman"/>
                <w:b/>
                <w:bCs/>
                <w:color w:val="000000"/>
                <w:sz w:val="16"/>
                <w:szCs w:val="16"/>
                <w:lang w:eastAsia="lv-LV"/>
              </w:rPr>
            </w:pPr>
          </w:p>
        </w:tc>
        <w:tc>
          <w:tcPr>
            <w:tcW w:w="852" w:type="dxa"/>
            <w:tcBorders>
              <w:top w:val="nil"/>
              <w:left w:val="nil"/>
              <w:bottom w:val="single" w:sz="4" w:space="0" w:color="auto"/>
              <w:right w:val="single" w:sz="4" w:space="0" w:color="auto"/>
            </w:tcBorders>
            <w:shd w:val="clear" w:color="auto" w:fill="auto"/>
            <w:vAlign w:val="center"/>
            <w:hideMark/>
          </w:tcPr>
          <w:p w14:paraId="78DC83A6" w14:textId="77777777" w:rsidR="00C02E75" w:rsidRPr="002E2D67" w:rsidRDefault="00C02E75" w:rsidP="00A974E8">
            <w:pPr>
              <w:spacing w:after="0" w:line="240" w:lineRule="auto"/>
              <w:jc w:val="right"/>
              <w:rPr>
                <w:rFonts w:ascii="Times New Roman" w:eastAsia="Times New Roman" w:hAnsi="Times New Roman" w:cs="Times New Roman"/>
                <w:b/>
                <w:bCs/>
                <w:color w:val="000000"/>
                <w:sz w:val="16"/>
                <w:szCs w:val="16"/>
                <w:lang w:eastAsia="lv-LV"/>
              </w:rPr>
            </w:pPr>
          </w:p>
        </w:tc>
        <w:tc>
          <w:tcPr>
            <w:tcW w:w="767" w:type="dxa"/>
            <w:tcBorders>
              <w:top w:val="nil"/>
              <w:left w:val="nil"/>
              <w:bottom w:val="single" w:sz="4" w:space="0" w:color="auto"/>
              <w:right w:val="single" w:sz="4" w:space="0" w:color="auto"/>
            </w:tcBorders>
            <w:shd w:val="clear" w:color="auto" w:fill="auto"/>
            <w:vAlign w:val="center"/>
            <w:hideMark/>
          </w:tcPr>
          <w:p w14:paraId="3EB36201"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68 472</w:t>
            </w:r>
          </w:p>
        </w:tc>
        <w:tc>
          <w:tcPr>
            <w:tcW w:w="760" w:type="dxa"/>
            <w:tcBorders>
              <w:top w:val="nil"/>
              <w:left w:val="nil"/>
              <w:bottom w:val="single" w:sz="4" w:space="0" w:color="auto"/>
              <w:right w:val="single" w:sz="4" w:space="0" w:color="auto"/>
            </w:tcBorders>
            <w:shd w:val="clear" w:color="auto" w:fill="auto"/>
            <w:vAlign w:val="center"/>
            <w:hideMark/>
          </w:tcPr>
          <w:p w14:paraId="02C38D05"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59 724</w:t>
            </w:r>
          </w:p>
        </w:tc>
        <w:tc>
          <w:tcPr>
            <w:tcW w:w="761" w:type="dxa"/>
            <w:tcBorders>
              <w:top w:val="nil"/>
              <w:left w:val="nil"/>
              <w:bottom w:val="single" w:sz="4" w:space="0" w:color="auto"/>
              <w:right w:val="single" w:sz="4" w:space="0" w:color="auto"/>
            </w:tcBorders>
            <w:shd w:val="clear" w:color="auto" w:fill="auto"/>
            <w:vAlign w:val="center"/>
            <w:hideMark/>
          </w:tcPr>
          <w:p w14:paraId="2305A553"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4 104</w:t>
            </w:r>
          </w:p>
        </w:tc>
        <w:tc>
          <w:tcPr>
            <w:tcW w:w="830" w:type="dxa"/>
            <w:tcBorders>
              <w:top w:val="nil"/>
              <w:left w:val="nil"/>
              <w:bottom w:val="single" w:sz="4" w:space="0" w:color="auto"/>
              <w:right w:val="single" w:sz="4" w:space="0" w:color="auto"/>
            </w:tcBorders>
            <w:shd w:val="clear" w:color="auto" w:fill="auto"/>
            <w:vAlign w:val="center"/>
            <w:hideMark/>
          </w:tcPr>
          <w:p w14:paraId="2AA436F3"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132 300</w:t>
            </w:r>
          </w:p>
        </w:tc>
        <w:tc>
          <w:tcPr>
            <w:tcW w:w="992" w:type="dxa"/>
            <w:tcBorders>
              <w:top w:val="nil"/>
              <w:left w:val="nil"/>
              <w:bottom w:val="single" w:sz="4" w:space="0" w:color="auto"/>
              <w:right w:val="single" w:sz="4" w:space="0" w:color="auto"/>
            </w:tcBorders>
            <w:shd w:val="clear" w:color="auto" w:fill="auto"/>
            <w:vAlign w:val="center"/>
            <w:hideMark/>
          </w:tcPr>
          <w:p w14:paraId="78DCD1EE"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31 871.07</w:t>
            </w:r>
          </w:p>
        </w:tc>
        <w:tc>
          <w:tcPr>
            <w:tcW w:w="709" w:type="dxa"/>
            <w:tcBorders>
              <w:top w:val="nil"/>
              <w:left w:val="nil"/>
              <w:bottom w:val="single" w:sz="4" w:space="0" w:color="auto"/>
              <w:right w:val="single" w:sz="4" w:space="0" w:color="auto"/>
            </w:tcBorders>
            <w:shd w:val="clear" w:color="auto" w:fill="auto"/>
            <w:noWrap/>
            <w:vAlign w:val="center"/>
            <w:hideMark/>
          </w:tcPr>
          <w:p w14:paraId="4A6E8681"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9 001</w:t>
            </w:r>
          </w:p>
        </w:tc>
        <w:tc>
          <w:tcPr>
            <w:tcW w:w="850" w:type="dxa"/>
            <w:tcBorders>
              <w:top w:val="nil"/>
              <w:left w:val="nil"/>
              <w:bottom w:val="single" w:sz="4" w:space="0" w:color="auto"/>
              <w:right w:val="single" w:sz="4" w:space="0" w:color="auto"/>
            </w:tcBorders>
            <w:shd w:val="clear" w:color="auto" w:fill="auto"/>
            <w:noWrap/>
            <w:vAlign w:val="center"/>
            <w:hideMark/>
          </w:tcPr>
          <w:p w14:paraId="0D2AE433"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p>
        </w:tc>
        <w:tc>
          <w:tcPr>
            <w:tcW w:w="851" w:type="dxa"/>
            <w:tcBorders>
              <w:top w:val="nil"/>
              <w:left w:val="nil"/>
              <w:bottom w:val="single" w:sz="4" w:space="0" w:color="auto"/>
              <w:right w:val="single" w:sz="4" w:space="0" w:color="auto"/>
            </w:tcBorders>
            <w:shd w:val="clear" w:color="auto" w:fill="auto"/>
            <w:vAlign w:val="center"/>
            <w:hideMark/>
          </w:tcPr>
          <w:p w14:paraId="41812A21" w14:textId="77777777" w:rsidR="00C02E75" w:rsidRPr="00534730" w:rsidRDefault="00C02E75" w:rsidP="00A974E8">
            <w:pPr>
              <w:spacing w:after="0" w:line="240" w:lineRule="auto"/>
              <w:jc w:val="right"/>
              <w:rPr>
                <w:rFonts w:ascii="Times New Roman" w:eastAsia="Times New Roman" w:hAnsi="Times New Roman" w:cs="Times New Roman"/>
                <w:bCs/>
                <w:color w:val="000000"/>
                <w:sz w:val="16"/>
                <w:szCs w:val="16"/>
                <w:lang w:eastAsia="lv-LV"/>
              </w:rPr>
            </w:pPr>
            <w:r w:rsidRPr="00534730">
              <w:rPr>
                <w:rFonts w:ascii="Times New Roman" w:eastAsia="Times New Roman" w:hAnsi="Times New Roman" w:cs="Times New Roman"/>
                <w:bCs/>
                <w:color w:val="000000"/>
                <w:sz w:val="16"/>
                <w:szCs w:val="16"/>
                <w:lang w:eastAsia="lv-LV"/>
              </w:rPr>
              <w:t>173 172</w:t>
            </w:r>
          </w:p>
        </w:tc>
      </w:tr>
      <w:tr w:rsidR="00C02E75" w:rsidRPr="002E2D67" w14:paraId="691B2F63" w14:textId="77777777" w:rsidTr="00E93259">
        <w:trPr>
          <w:gridBefore w:val="1"/>
          <w:gridAfter w:val="1"/>
          <w:wBefore w:w="959" w:type="dxa"/>
          <w:wAfter w:w="1275" w:type="dxa"/>
          <w:trHeight w:val="288"/>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69B7F65"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Ārsts</w:t>
            </w:r>
          </w:p>
        </w:tc>
        <w:tc>
          <w:tcPr>
            <w:tcW w:w="591" w:type="dxa"/>
            <w:tcBorders>
              <w:top w:val="nil"/>
              <w:left w:val="nil"/>
              <w:bottom w:val="single" w:sz="4" w:space="0" w:color="auto"/>
              <w:right w:val="single" w:sz="4" w:space="0" w:color="auto"/>
            </w:tcBorders>
            <w:shd w:val="clear" w:color="auto" w:fill="auto"/>
            <w:vAlign w:val="center"/>
            <w:hideMark/>
          </w:tcPr>
          <w:p w14:paraId="06730A8E"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4.75</w:t>
            </w:r>
          </w:p>
        </w:tc>
        <w:tc>
          <w:tcPr>
            <w:tcW w:w="715" w:type="dxa"/>
            <w:tcBorders>
              <w:top w:val="nil"/>
              <w:left w:val="nil"/>
              <w:bottom w:val="single" w:sz="4" w:space="0" w:color="auto"/>
              <w:right w:val="single" w:sz="4" w:space="0" w:color="auto"/>
            </w:tcBorders>
            <w:shd w:val="clear" w:color="auto" w:fill="auto"/>
            <w:vAlign w:val="center"/>
            <w:hideMark/>
          </w:tcPr>
          <w:p w14:paraId="06689A4B"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1.00</w:t>
            </w:r>
          </w:p>
        </w:tc>
        <w:tc>
          <w:tcPr>
            <w:tcW w:w="852" w:type="dxa"/>
            <w:tcBorders>
              <w:top w:val="nil"/>
              <w:left w:val="nil"/>
              <w:bottom w:val="single" w:sz="4" w:space="0" w:color="auto"/>
              <w:right w:val="single" w:sz="4" w:space="0" w:color="auto"/>
            </w:tcBorders>
            <w:shd w:val="clear" w:color="auto" w:fill="auto"/>
            <w:noWrap/>
            <w:vAlign w:val="center"/>
            <w:hideMark/>
          </w:tcPr>
          <w:p w14:paraId="75F3E544"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1 125.00</w:t>
            </w:r>
          </w:p>
        </w:tc>
        <w:tc>
          <w:tcPr>
            <w:tcW w:w="767" w:type="dxa"/>
            <w:tcBorders>
              <w:top w:val="nil"/>
              <w:left w:val="nil"/>
              <w:bottom w:val="single" w:sz="4" w:space="0" w:color="auto"/>
              <w:right w:val="single" w:sz="4" w:space="0" w:color="auto"/>
            </w:tcBorders>
            <w:shd w:val="clear" w:color="auto" w:fill="auto"/>
            <w:vAlign w:val="center"/>
            <w:hideMark/>
          </w:tcPr>
          <w:p w14:paraId="28AF607C"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42 795</w:t>
            </w:r>
          </w:p>
        </w:tc>
        <w:tc>
          <w:tcPr>
            <w:tcW w:w="760" w:type="dxa"/>
            <w:tcBorders>
              <w:top w:val="nil"/>
              <w:left w:val="nil"/>
              <w:bottom w:val="single" w:sz="4" w:space="0" w:color="auto"/>
              <w:right w:val="single" w:sz="4" w:space="0" w:color="auto"/>
            </w:tcBorders>
            <w:shd w:val="clear" w:color="auto" w:fill="auto"/>
            <w:vAlign w:val="center"/>
            <w:hideMark/>
          </w:tcPr>
          <w:p w14:paraId="6B153568"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37 327</w:t>
            </w:r>
          </w:p>
        </w:tc>
        <w:tc>
          <w:tcPr>
            <w:tcW w:w="761" w:type="dxa"/>
            <w:tcBorders>
              <w:top w:val="nil"/>
              <w:left w:val="nil"/>
              <w:bottom w:val="single" w:sz="4" w:space="0" w:color="auto"/>
              <w:right w:val="single" w:sz="4" w:space="0" w:color="auto"/>
            </w:tcBorders>
            <w:shd w:val="clear" w:color="auto" w:fill="auto"/>
            <w:vAlign w:val="center"/>
            <w:hideMark/>
          </w:tcPr>
          <w:p w14:paraId="27AED81C"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2 565</w:t>
            </w:r>
          </w:p>
        </w:tc>
        <w:tc>
          <w:tcPr>
            <w:tcW w:w="830" w:type="dxa"/>
            <w:tcBorders>
              <w:top w:val="nil"/>
              <w:left w:val="nil"/>
              <w:bottom w:val="single" w:sz="4" w:space="0" w:color="auto"/>
              <w:right w:val="single" w:sz="4" w:space="0" w:color="auto"/>
            </w:tcBorders>
            <w:shd w:val="clear" w:color="auto" w:fill="auto"/>
            <w:vAlign w:val="center"/>
            <w:hideMark/>
          </w:tcPr>
          <w:p w14:paraId="79A5716D"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82 687.5</w:t>
            </w:r>
          </w:p>
        </w:tc>
        <w:tc>
          <w:tcPr>
            <w:tcW w:w="992" w:type="dxa"/>
            <w:tcBorders>
              <w:top w:val="nil"/>
              <w:left w:val="nil"/>
              <w:bottom w:val="single" w:sz="4" w:space="0" w:color="auto"/>
              <w:right w:val="single" w:sz="4" w:space="0" w:color="auto"/>
            </w:tcBorders>
            <w:shd w:val="clear" w:color="auto" w:fill="auto"/>
            <w:vAlign w:val="center"/>
            <w:hideMark/>
          </w:tcPr>
          <w:p w14:paraId="5AFD58D5"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19 919.42</w:t>
            </w:r>
          </w:p>
        </w:tc>
        <w:tc>
          <w:tcPr>
            <w:tcW w:w="709" w:type="dxa"/>
            <w:tcBorders>
              <w:top w:val="nil"/>
              <w:left w:val="nil"/>
              <w:bottom w:val="single" w:sz="4" w:space="0" w:color="auto"/>
              <w:right w:val="single" w:sz="4" w:space="0" w:color="auto"/>
            </w:tcBorders>
            <w:shd w:val="clear" w:color="auto" w:fill="auto"/>
            <w:vAlign w:val="center"/>
            <w:hideMark/>
          </w:tcPr>
          <w:p w14:paraId="4445D57F"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p>
        </w:tc>
        <w:tc>
          <w:tcPr>
            <w:tcW w:w="850" w:type="dxa"/>
            <w:tcBorders>
              <w:top w:val="nil"/>
              <w:left w:val="nil"/>
              <w:bottom w:val="single" w:sz="4" w:space="0" w:color="auto"/>
              <w:right w:val="single" w:sz="4" w:space="0" w:color="auto"/>
            </w:tcBorders>
            <w:shd w:val="clear" w:color="auto" w:fill="auto"/>
            <w:vAlign w:val="center"/>
            <w:hideMark/>
          </w:tcPr>
          <w:p w14:paraId="461C351D"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102 607</w:t>
            </w:r>
          </w:p>
        </w:tc>
        <w:tc>
          <w:tcPr>
            <w:tcW w:w="851" w:type="dxa"/>
            <w:tcBorders>
              <w:top w:val="nil"/>
              <w:left w:val="nil"/>
              <w:bottom w:val="single" w:sz="4" w:space="0" w:color="auto"/>
              <w:right w:val="single" w:sz="4" w:space="0" w:color="auto"/>
            </w:tcBorders>
            <w:shd w:val="clear" w:color="auto" w:fill="auto"/>
            <w:vAlign w:val="center"/>
            <w:hideMark/>
          </w:tcPr>
          <w:p w14:paraId="432E7A6B"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p>
        </w:tc>
      </w:tr>
      <w:tr w:rsidR="00C02E75" w:rsidRPr="002E2D67" w14:paraId="3F62A4D5" w14:textId="77777777" w:rsidTr="00E93259">
        <w:trPr>
          <w:gridBefore w:val="1"/>
          <w:gridAfter w:val="1"/>
          <w:wBefore w:w="959" w:type="dxa"/>
          <w:wAfter w:w="1275" w:type="dxa"/>
          <w:trHeight w:val="288"/>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2F5E4F8" w14:textId="77777777" w:rsidR="00C02E75" w:rsidRPr="002E2D67" w:rsidRDefault="00C02E75" w:rsidP="00A974E8">
            <w:pPr>
              <w:spacing w:after="0" w:line="240" w:lineRule="auto"/>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Māsa</w:t>
            </w:r>
          </w:p>
        </w:tc>
        <w:tc>
          <w:tcPr>
            <w:tcW w:w="591" w:type="dxa"/>
            <w:tcBorders>
              <w:top w:val="nil"/>
              <w:left w:val="nil"/>
              <w:bottom w:val="single" w:sz="4" w:space="0" w:color="auto"/>
              <w:right w:val="single" w:sz="4" w:space="0" w:color="auto"/>
            </w:tcBorders>
            <w:shd w:val="clear" w:color="auto" w:fill="auto"/>
            <w:vAlign w:val="center"/>
            <w:hideMark/>
          </w:tcPr>
          <w:p w14:paraId="3E5DEF89"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4.75</w:t>
            </w:r>
          </w:p>
        </w:tc>
        <w:tc>
          <w:tcPr>
            <w:tcW w:w="715" w:type="dxa"/>
            <w:tcBorders>
              <w:top w:val="nil"/>
              <w:left w:val="nil"/>
              <w:bottom w:val="single" w:sz="4" w:space="0" w:color="auto"/>
              <w:right w:val="single" w:sz="4" w:space="0" w:color="auto"/>
            </w:tcBorders>
            <w:shd w:val="clear" w:color="auto" w:fill="auto"/>
            <w:vAlign w:val="center"/>
            <w:hideMark/>
          </w:tcPr>
          <w:p w14:paraId="34BB34C2"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1.00</w:t>
            </w:r>
          </w:p>
        </w:tc>
        <w:tc>
          <w:tcPr>
            <w:tcW w:w="852" w:type="dxa"/>
            <w:tcBorders>
              <w:top w:val="nil"/>
              <w:left w:val="nil"/>
              <w:bottom w:val="single" w:sz="4" w:space="0" w:color="auto"/>
              <w:right w:val="single" w:sz="4" w:space="0" w:color="auto"/>
            </w:tcBorders>
            <w:shd w:val="clear" w:color="auto" w:fill="auto"/>
            <w:noWrap/>
            <w:vAlign w:val="center"/>
            <w:hideMark/>
          </w:tcPr>
          <w:p w14:paraId="0CE3D617"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675.00</w:t>
            </w:r>
          </w:p>
        </w:tc>
        <w:tc>
          <w:tcPr>
            <w:tcW w:w="767" w:type="dxa"/>
            <w:tcBorders>
              <w:top w:val="nil"/>
              <w:left w:val="nil"/>
              <w:bottom w:val="single" w:sz="4" w:space="0" w:color="auto"/>
              <w:right w:val="single" w:sz="4" w:space="0" w:color="auto"/>
            </w:tcBorders>
            <w:shd w:val="clear" w:color="auto" w:fill="auto"/>
            <w:vAlign w:val="center"/>
            <w:hideMark/>
          </w:tcPr>
          <w:p w14:paraId="1B98DB24"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25 677</w:t>
            </w:r>
          </w:p>
        </w:tc>
        <w:tc>
          <w:tcPr>
            <w:tcW w:w="760" w:type="dxa"/>
            <w:tcBorders>
              <w:top w:val="nil"/>
              <w:left w:val="nil"/>
              <w:bottom w:val="single" w:sz="4" w:space="0" w:color="auto"/>
              <w:right w:val="single" w:sz="4" w:space="0" w:color="auto"/>
            </w:tcBorders>
            <w:shd w:val="clear" w:color="auto" w:fill="auto"/>
            <w:vAlign w:val="center"/>
            <w:hideMark/>
          </w:tcPr>
          <w:p w14:paraId="521BC30D"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22 396</w:t>
            </w:r>
          </w:p>
        </w:tc>
        <w:tc>
          <w:tcPr>
            <w:tcW w:w="761" w:type="dxa"/>
            <w:tcBorders>
              <w:top w:val="nil"/>
              <w:left w:val="nil"/>
              <w:bottom w:val="single" w:sz="4" w:space="0" w:color="auto"/>
              <w:right w:val="single" w:sz="4" w:space="0" w:color="auto"/>
            </w:tcBorders>
            <w:shd w:val="clear" w:color="auto" w:fill="auto"/>
            <w:vAlign w:val="center"/>
            <w:hideMark/>
          </w:tcPr>
          <w:p w14:paraId="0E16B4CC"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1 539</w:t>
            </w:r>
          </w:p>
        </w:tc>
        <w:tc>
          <w:tcPr>
            <w:tcW w:w="830" w:type="dxa"/>
            <w:tcBorders>
              <w:top w:val="nil"/>
              <w:left w:val="nil"/>
              <w:bottom w:val="single" w:sz="4" w:space="0" w:color="auto"/>
              <w:right w:val="single" w:sz="4" w:space="0" w:color="auto"/>
            </w:tcBorders>
            <w:shd w:val="clear" w:color="auto" w:fill="auto"/>
            <w:vAlign w:val="center"/>
            <w:hideMark/>
          </w:tcPr>
          <w:p w14:paraId="1822BF3E"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49 612.5</w:t>
            </w:r>
          </w:p>
        </w:tc>
        <w:tc>
          <w:tcPr>
            <w:tcW w:w="992" w:type="dxa"/>
            <w:tcBorders>
              <w:top w:val="nil"/>
              <w:left w:val="nil"/>
              <w:bottom w:val="single" w:sz="4" w:space="0" w:color="auto"/>
              <w:right w:val="single" w:sz="4" w:space="0" w:color="auto"/>
            </w:tcBorders>
            <w:shd w:val="clear" w:color="auto" w:fill="auto"/>
            <w:vAlign w:val="center"/>
            <w:hideMark/>
          </w:tcPr>
          <w:p w14:paraId="080F6BCB"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11 951.65</w:t>
            </w:r>
          </w:p>
        </w:tc>
        <w:tc>
          <w:tcPr>
            <w:tcW w:w="709" w:type="dxa"/>
            <w:tcBorders>
              <w:top w:val="nil"/>
              <w:left w:val="nil"/>
              <w:bottom w:val="single" w:sz="4" w:space="0" w:color="auto"/>
              <w:right w:val="single" w:sz="4" w:space="0" w:color="auto"/>
            </w:tcBorders>
            <w:shd w:val="clear" w:color="auto" w:fill="auto"/>
            <w:vAlign w:val="center"/>
            <w:hideMark/>
          </w:tcPr>
          <w:p w14:paraId="52A6FC0C"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p>
        </w:tc>
        <w:tc>
          <w:tcPr>
            <w:tcW w:w="850" w:type="dxa"/>
            <w:tcBorders>
              <w:top w:val="nil"/>
              <w:left w:val="nil"/>
              <w:bottom w:val="single" w:sz="4" w:space="0" w:color="auto"/>
              <w:right w:val="single" w:sz="4" w:space="0" w:color="auto"/>
            </w:tcBorders>
            <w:shd w:val="clear" w:color="auto" w:fill="auto"/>
            <w:vAlign w:val="center"/>
            <w:hideMark/>
          </w:tcPr>
          <w:p w14:paraId="6B204621"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61 564</w:t>
            </w:r>
          </w:p>
        </w:tc>
        <w:tc>
          <w:tcPr>
            <w:tcW w:w="851" w:type="dxa"/>
            <w:tcBorders>
              <w:top w:val="nil"/>
              <w:left w:val="nil"/>
              <w:bottom w:val="single" w:sz="4" w:space="0" w:color="auto"/>
              <w:right w:val="single" w:sz="4" w:space="0" w:color="auto"/>
            </w:tcBorders>
            <w:shd w:val="clear" w:color="auto" w:fill="auto"/>
            <w:vAlign w:val="center"/>
            <w:hideMark/>
          </w:tcPr>
          <w:p w14:paraId="502F3DCC" w14:textId="77777777" w:rsidR="00C02E75" w:rsidRPr="002E2D67" w:rsidRDefault="00C02E75" w:rsidP="00A974E8">
            <w:pPr>
              <w:spacing w:after="0" w:line="240" w:lineRule="auto"/>
              <w:jc w:val="right"/>
              <w:rPr>
                <w:rFonts w:ascii="Times New Roman" w:eastAsia="Times New Roman" w:hAnsi="Times New Roman" w:cs="Times New Roman"/>
                <w:color w:val="000000"/>
                <w:sz w:val="16"/>
                <w:szCs w:val="16"/>
                <w:lang w:eastAsia="lv-LV"/>
              </w:rPr>
            </w:pPr>
          </w:p>
        </w:tc>
      </w:tr>
    </w:tbl>
    <w:p w14:paraId="465A6488" w14:textId="77777777" w:rsidR="00C02E75" w:rsidRDefault="00C02E75" w:rsidP="00C02E75">
      <w:pPr>
        <w:spacing w:after="0" w:line="240" w:lineRule="auto"/>
        <w:ind w:firstLine="709"/>
        <w:jc w:val="both"/>
        <w:rPr>
          <w:rFonts w:ascii="Times New Roman" w:eastAsia="Times New Roman" w:hAnsi="Times New Roman" w:cs="Times New Roman"/>
          <w:color w:val="000000"/>
          <w:sz w:val="24"/>
          <w:szCs w:val="24"/>
          <w:lang w:eastAsia="lv-LV"/>
        </w:rPr>
      </w:pPr>
    </w:p>
    <w:p w14:paraId="14CF977E" w14:textId="77777777" w:rsidR="00C02E75" w:rsidRDefault="00C02E75" w:rsidP="00C02E75">
      <w:pPr>
        <w:spacing w:after="0"/>
        <w:ind w:firstLine="720"/>
        <w:jc w:val="both"/>
        <w:rPr>
          <w:rFonts w:ascii="Times New Roman" w:eastAsia="Times New Roman" w:hAnsi="Times New Roman" w:cs="Times New Roman"/>
          <w:color w:val="000000"/>
          <w:sz w:val="24"/>
          <w:szCs w:val="24"/>
          <w:lang w:eastAsia="lv-LV"/>
        </w:rPr>
      </w:pPr>
      <w:r w:rsidRPr="0013606A">
        <w:rPr>
          <w:rFonts w:ascii="Times New Roman" w:eastAsia="Times New Roman" w:hAnsi="Times New Roman" w:cs="Times New Roman"/>
          <w:color w:val="000000"/>
          <w:sz w:val="24"/>
          <w:szCs w:val="24"/>
          <w:lang w:eastAsia="lv-LV"/>
        </w:rPr>
        <w:t>Pēc NVD datiem, pašreiz no II</w:t>
      </w:r>
      <w:r>
        <w:rPr>
          <w:rFonts w:ascii="Times New Roman" w:eastAsia="Times New Roman" w:hAnsi="Times New Roman" w:cs="Times New Roman"/>
          <w:color w:val="000000"/>
          <w:sz w:val="24"/>
          <w:szCs w:val="24"/>
          <w:lang w:eastAsia="lv-LV"/>
        </w:rPr>
        <w:t>I</w:t>
      </w:r>
      <w:r w:rsidRPr="0013606A">
        <w:rPr>
          <w:rFonts w:ascii="Times New Roman" w:eastAsia="Times New Roman" w:hAnsi="Times New Roman" w:cs="Times New Roman"/>
          <w:color w:val="000000"/>
          <w:sz w:val="24"/>
          <w:szCs w:val="24"/>
          <w:lang w:eastAsia="lv-LV"/>
        </w:rPr>
        <w:t xml:space="preserve"> un I</w:t>
      </w:r>
      <w:r>
        <w:rPr>
          <w:rFonts w:ascii="Times New Roman" w:eastAsia="Times New Roman" w:hAnsi="Times New Roman" w:cs="Times New Roman"/>
          <w:color w:val="000000"/>
          <w:sz w:val="24"/>
          <w:szCs w:val="24"/>
          <w:lang w:eastAsia="lv-LV"/>
        </w:rPr>
        <w:t>V</w:t>
      </w:r>
      <w:r w:rsidRPr="0013606A">
        <w:rPr>
          <w:rFonts w:ascii="Times New Roman" w:eastAsia="Times New Roman" w:hAnsi="Times New Roman" w:cs="Times New Roman"/>
          <w:color w:val="000000"/>
          <w:sz w:val="24"/>
          <w:szCs w:val="24"/>
          <w:lang w:eastAsia="lv-LV"/>
        </w:rPr>
        <w:t xml:space="preserve"> līmeņa slimnīcām pediatrs/neonatalogs nav pieejams SIA</w:t>
      </w:r>
      <w:r>
        <w:rPr>
          <w:rFonts w:ascii="Times New Roman" w:eastAsia="Times New Roman" w:hAnsi="Times New Roman" w:cs="Times New Roman"/>
          <w:color w:val="000000"/>
          <w:sz w:val="24"/>
          <w:szCs w:val="24"/>
          <w:lang w:eastAsia="lv-LV"/>
        </w:rPr>
        <w:t xml:space="preserve"> </w:t>
      </w:r>
      <w:r w:rsidRPr="0013606A">
        <w:rPr>
          <w:rFonts w:ascii="Times New Roman" w:eastAsia="Times New Roman" w:hAnsi="Times New Roman" w:cs="Times New Roman"/>
          <w:color w:val="000000"/>
          <w:sz w:val="24"/>
          <w:szCs w:val="24"/>
          <w:lang w:eastAsia="lv-LV"/>
        </w:rPr>
        <w:t>,,Kuldīgas slimnīca“</w:t>
      </w:r>
      <w:r>
        <w:rPr>
          <w:rFonts w:ascii="Times New Roman" w:eastAsia="Times New Roman" w:hAnsi="Times New Roman" w:cs="Times New Roman"/>
          <w:color w:val="000000"/>
          <w:sz w:val="24"/>
          <w:szCs w:val="24"/>
          <w:lang w:eastAsia="lv-LV"/>
        </w:rPr>
        <w:t xml:space="preserve"> un SIA “Cēsu slimnīca”</w:t>
      </w:r>
      <w:r w:rsidRPr="0013606A">
        <w:rPr>
          <w:rFonts w:ascii="Times New Roman" w:eastAsia="Times New Roman" w:hAnsi="Times New Roman" w:cs="Times New Roman"/>
          <w:color w:val="000000"/>
          <w:sz w:val="24"/>
          <w:szCs w:val="24"/>
          <w:lang w:eastAsia="lv-LV"/>
        </w:rPr>
        <w:t>. Papildus nepieciešamais finansējums, lai minēto slim</w:t>
      </w:r>
      <w:r>
        <w:rPr>
          <w:rFonts w:ascii="Times New Roman" w:eastAsia="Times New Roman" w:hAnsi="Times New Roman" w:cs="Times New Roman"/>
          <w:color w:val="000000"/>
          <w:sz w:val="24"/>
          <w:szCs w:val="24"/>
          <w:lang w:eastAsia="lv-LV"/>
        </w:rPr>
        <w:t>n</w:t>
      </w:r>
      <w:r w:rsidRPr="0013606A">
        <w:rPr>
          <w:rFonts w:ascii="Times New Roman" w:eastAsia="Times New Roman" w:hAnsi="Times New Roman" w:cs="Times New Roman"/>
          <w:color w:val="000000"/>
          <w:sz w:val="24"/>
          <w:szCs w:val="24"/>
          <w:lang w:eastAsia="lv-LV"/>
        </w:rPr>
        <w:t xml:space="preserve">īcu uzņemšanas nodaļās nodrošinātu diennakts pediatra/neonataloga pieejamību ir: </w:t>
      </w:r>
      <w:r>
        <w:rPr>
          <w:rFonts w:ascii="Times New Roman" w:eastAsia="Times New Roman" w:hAnsi="Times New Roman" w:cs="Times New Roman"/>
          <w:color w:val="000000"/>
          <w:sz w:val="24"/>
          <w:szCs w:val="24"/>
          <w:lang w:eastAsia="lv-LV"/>
        </w:rPr>
        <w:t xml:space="preserve">no 2019.gada 1.aprīļa nepieciešami 259 758 </w:t>
      </w:r>
      <w:r w:rsidRPr="00CD7DB3">
        <w:rPr>
          <w:rFonts w:ascii="Times New Roman" w:eastAsia="Times New Roman" w:hAnsi="Times New Roman" w:cs="Times New Roman"/>
          <w:i/>
          <w:color w:val="000000"/>
          <w:sz w:val="24"/>
          <w:szCs w:val="24"/>
          <w:lang w:eastAsia="lv-LV"/>
        </w:rPr>
        <w:t>euro</w:t>
      </w:r>
      <w:r>
        <w:rPr>
          <w:rFonts w:ascii="Times New Roman" w:eastAsia="Times New Roman" w:hAnsi="Times New Roman" w:cs="Times New Roman"/>
          <w:color w:val="000000"/>
          <w:sz w:val="24"/>
          <w:szCs w:val="24"/>
          <w:lang w:eastAsia="lv-LV"/>
        </w:rPr>
        <w:t xml:space="preserve"> (</w:t>
      </w:r>
      <w:r w:rsidRPr="0013606A">
        <w:rPr>
          <w:rFonts w:ascii="Times New Roman" w:eastAsia="Times New Roman" w:hAnsi="Times New Roman" w:cs="Times New Roman"/>
          <w:color w:val="000000"/>
          <w:sz w:val="24"/>
          <w:szCs w:val="24"/>
          <w:lang w:eastAsia="lv-LV"/>
        </w:rPr>
        <w:t xml:space="preserve">173 172 x 2 = 346 344 </w:t>
      </w:r>
      <w:r w:rsidRPr="0013606A">
        <w:rPr>
          <w:rFonts w:ascii="Times New Roman" w:eastAsia="Times New Roman" w:hAnsi="Times New Roman" w:cs="Times New Roman"/>
          <w:i/>
          <w:iCs/>
          <w:color w:val="000000"/>
          <w:sz w:val="24"/>
          <w:szCs w:val="24"/>
          <w:lang w:eastAsia="lv-LV"/>
        </w:rPr>
        <w:t>euro</w:t>
      </w:r>
      <w:r w:rsidRPr="00CD7DB3">
        <w:rPr>
          <w:rFonts w:ascii="Times New Roman" w:eastAsia="Times New Roman" w:hAnsi="Times New Roman" w:cs="Times New Roman"/>
          <w:iCs/>
          <w:color w:val="000000"/>
          <w:sz w:val="24"/>
          <w:szCs w:val="24"/>
          <w:lang w:eastAsia="lv-LV"/>
        </w:rPr>
        <w:t>)</w:t>
      </w:r>
      <w:r w:rsidRPr="00C02E75">
        <w:rPr>
          <w:rFonts w:ascii="Times New Roman" w:eastAsia="Times New Roman" w:hAnsi="Times New Roman" w:cs="Times New Roman"/>
          <w:color w:val="000000"/>
          <w:sz w:val="24"/>
          <w:szCs w:val="24"/>
          <w:lang w:eastAsia="lv-LV"/>
        </w:rPr>
        <w:t xml:space="preserve"> </w:t>
      </w:r>
      <w:r w:rsidRPr="0013606A">
        <w:rPr>
          <w:rFonts w:ascii="Times New Roman" w:eastAsia="Times New Roman" w:hAnsi="Times New Roman" w:cs="Times New Roman"/>
          <w:color w:val="000000"/>
          <w:sz w:val="24"/>
          <w:szCs w:val="24"/>
          <w:lang w:eastAsia="lv-LV"/>
        </w:rPr>
        <w:t>gadā</w:t>
      </w:r>
      <w:r>
        <w:rPr>
          <w:rFonts w:ascii="Times New Roman" w:eastAsia="Times New Roman" w:hAnsi="Times New Roman" w:cs="Times New Roman"/>
          <w:color w:val="000000"/>
          <w:sz w:val="24"/>
          <w:szCs w:val="24"/>
          <w:lang w:eastAsia="lv-LV"/>
        </w:rPr>
        <w:t>.</w:t>
      </w:r>
    </w:p>
    <w:p w14:paraId="7AF36754" w14:textId="27210276" w:rsidR="00C02E75" w:rsidRPr="00E93259" w:rsidRDefault="000678A1" w:rsidP="7672C071">
      <w:pPr>
        <w:spacing w:after="0" w:line="240" w:lineRule="auto"/>
        <w:ind w:firstLine="709"/>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8</w:t>
      </w:r>
      <w:r w:rsidR="00C02E75" w:rsidRPr="7672C071">
        <w:rPr>
          <w:rFonts w:ascii="Times New Roman" w:eastAsia="Times New Roman" w:hAnsi="Times New Roman" w:cs="Times New Roman"/>
          <w:i/>
          <w:iCs/>
          <w:color w:val="000000"/>
          <w:sz w:val="24"/>
          <w:szCs w:val="24"/>
          <w:lang w:eastAsia="lv-LV"/>
        </w:rPr>
        <w:t>.tabula</w:t>
      </w:r>
    </w:p>
    <w:tbl>
      <w:tblPr>
        <w:tblW w:w="8642" w:type="dxa"/>
        <w:jc w:val="center"/>
        <w:tblLook w:val="04A0" w:firstRow="1" w:lastRow="0" w:firstColumn="1" w:lastColumn="0" w:noHBand="0" w:noVBand="1"/>
      </w:tblPr>
      <w:tblGrid>
        <w:gridCol w:w="1839"/>
        <w:gridCol w:w="802"/>
        <w:gridCol w:w="556"/>
        <w:gridCol w:w="872"/>
        <w:gridCol w:w="535"/>
        <w:gridCol w:w="481"/>
        <w:gridCol w:w="740"/>
        <w:gridCol w:w="786"/>
        <w:gridCol w:w="980"/>
        <w:gridCol w:w="1051"/>
      </w:tblGrid>
      <w:tr w:rsidR="00C02E75" w:rsidRPr="008F16D7" w14:paraId="2445C447" w14:textId="77777777" w:rsidTr="00EA1B0D">
        <w:trPr>
          <w:trHeight w:val="510"/>
          <w:jc w:val="center"/>
        </w:trPr>
        <w:tc>
          <w:tcPr>
            <w:tcW w:w="1839"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noWrap/>
            <w:textDirection w:val="btLr"/>
            <w:vAlign w:val="center"/>
            <w:hideMark/>
          </w:tcPr>
          <w:p w14:paraId="66D0084F"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p>
        </w:tc>
        <w:tc>
          <w:tcPr>
            <w:tcW w:w="802"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55DBB635"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Kabinetu skaits</w:t>
            </w:r>
          </w:p>
        </w:tc>
        <w:tc>
          <w:tcPr>
            <w:tcW w:w="1428" w:type="dxa"/>
            <w:gridSpan w:val="2"/>
            <w:tcBorders>
              <w:top w:val="single" w:sz="4" w:space="0" w:color="auto"/>
              <w:left w:val="nil"/>
              <w:bottom w:val="single" w:sz="4" w:space="0" w:color="auto"/>
              <w:right w:val="single" w:sz="4" w:space="0" w:color="000000" w:themeColor="text1"/>
            </w:tcBorders>
            <w:shd w:val="clear" w:color="auto" w:fill="E36C0A" w:themeFill="accent6" w:themeFillShade="BF"/>
            <w:noWrap/>
            <w:vAlign w:val="center"/>
            <w:hideMark/>
          </w:tcPr>
          <w:p w14:paraId="68EA0497"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Ārsts</w:t>
            </w:r>
          </w:p>
        </w:tc>
        <w:tc>
          <w:tcPr>
            <w:tcW w:w="1016" w:type="dxa"/>
            <w:gridSpan w:val="2"/>
            <w:tcBorders>
              <w:top w:val="single" w:sz="4" w:space="0" w:color="auto"/>
              <w:left w:val="nil"/>
              <w:bottom w:val="single" w:sz="4" w:space="0" w:color="auto"/>
              <w:right w:val="single" w:sz="4" w:space="0" w:color="000000" w:themeColor="text1"/>
            </w:tcBorders>
            <w:shd w:val="clear" w:color="auto" w:fill="E36C0A" w:themeFill="accent6" w:themeFillShade="BF"/>
            <w:vAlign w:val="center"/>
            <w:hideMark/>
          </w:tcPr>
          <w:p w14:paraId="74BEFFED"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Ārstniecības un pacientu aprūpes persona</w:t>
            </w:r>
          </w:p>
        </w:tc>
        <w:tc>
          <w:tcPr>
            <w:tcW w:w="740"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5E6D1697"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Darba samaksa, euro</w:t>
            </w:r>
          </w:p>
        </w:tc>
        <w:tc>
          <w:tcPr>
            <w:tcW w:w="786"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1A08837D"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Valsts sociālās apdrošināšanas obligātās iemaksas, euro</w:t>
            </w:r>
          </w:p>
        </w:tc>
        <w:tc>
          <w:tcPr>
            <w:tcW w:w="980"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53A903B6"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Darbības nodrošināšanai nepieciešamie līdzekļi, euro</w:t>
            </w:r>
          </w:p>
        </w:tc>
        <w:tc>
          <w:tcPr>
            <w:tcW w:w="1051"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16004AE4"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Finansējuma gada apjoms, euro</w:t>
            </w:r>
          </w:p>
        </w:tc>
      </w:tr>
      <w:tr w:rsidR="00C02E75" w:rsidRPr="008F16D7" w14:paraId="1637EEA5" w14:textId="77777777" w:rsidTr="00EA1B0D">
        <w:trPr>
          <w:cantSplit/>
          <w:trHeight w:val="1134"/>
          <w:jc w:val="center"/>
        </w:trPr>
        <w:tc>
          <w:tcPr>
            <w:tcW w:w="1839" w:type="dxa"/>
            <w:vMerge/>
            <w:vAlign w:val="center"/>
            <w:hideMark/>
          </w:tcPr>
          <w:p w14:paraId="23879B28"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802" w:type="dxa"/>
            <w:vMerge/>
            <w:vAlign w:val="center"/>
            <w:hideMark/>
          </w:tcPr>
          <w:p w14:paraId="24580C53"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0" w:type="auto"/>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60DD87DE"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Personu skaits</w:t>
            </w:r>
          </w:p>
        </w:tc>
        <w:tc>
          <w:tcPr>
            <w:tcW w:w="872"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2DB246F0"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Slodzes apjoms</w:t>
            </w:r>
          </w:p>
        </w:tc>
        <w:tc>
          <w:tcPr>
            <w:tcW w:w="535"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2B581F42"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Personu skaits</w:t>
            </w:r>
          </w:p>
        </w:tc>
        <w:tc>
          <w:tcPr>
            <w:tcW w:w="481"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6EB3F80C" w14:textId="77777777" w:rsidR="00C02E75" w:rsidRPr="008F16D7" w:rsidRDefault="00C02E75" w:rsidP="00A974E8">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Slodzes apjoms</w:t>
            </w:r>
          </w:p>
        </w:tc>
        <w:tc>
          <w:tcPr>
            <w:tcW w:w="740" w:type="dxa"/>
            <w:vMerge/>
            <w:vAlign w:val="center"/>
            <w:hideMark/>
          </w:tcPr>
          <w:p w14:paraId="093FD2BC"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786" w:type="dxa"/>
            <w:vMerge/>
            <w:vAlign w:val="center"/>
            <w:hideMark/>
          </w:tcPr>
          <w:p w14:paraId="708418D6"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980" w:type="dxa"/>
            <w:vMerge/>
            <w:vAlign w:val="center"/>
            <w:hideMark/>
          </w:tcPr>
          <w:p w14:paraId="16B9BFD5"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1051" w:type="dxa"/>
            <w:vMerge/>
            <w:vAlign w:val="center"/>
            <w:hideMark/>
          </w:tcPr>
          <w:p w14:paraId="6F010C0B"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r>
      <w:tr w:rsidR="00C02E75" w:rsidRPr="008F16D7" w14:paraId="4338CDF3" w14:textId="77777777" w:rsidTr="00EA1B0D">
        <w:trPr>
          <w:trHeight w:val="288"/>
          <w:jc w:val="cent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AF21A"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Pediatrs/</w:t>
            </w:r>
          </w:p>
          <w:p w14:paraId="56B6B832"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neonatalogs</w:t>
            </w:r>
          </w:p>
        </w:tc>
        <w:tc>
          <w:tcPr>
            <w:tcW w:w="8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52D9B"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9736C2D"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w:t>
            </w:r>
          </w:p>
        </w:tc>
        <w:tc>
          <w:tcPr>
            <w:tcW w:w="8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09BE29"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1.0</w:t>
            </w:r>
          </w:p>
        </w:tc>
        <w:tc>
          <w:tcPr>
            <w:tcW w:w="5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D0ED22"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w:t>
            </w:r>
          </w:p>
        </w:tc>
        <w:tc>
          <w:tcPr>
            <w:tcW w:w="48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25FAB5"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1.0</w:t>
            </w:r>
          </w:p>
        </w:tc>
        <w:tc>
          <w:tcPr>
            <w:tcW w:w="7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0FC4EC"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21 600</w:t>
            </w:r>
          </w:p>
        </w:tc>
        <w:tc>
          <w:tcPr>
            <w:tcW w:w="7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028366"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5 203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D77CEF3"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3 080</w:t>
            </w:r>
          </w:p>
        </w:tc>
        <w:tc>
          <w:tcPr>
            <w:tcW w:w="10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4B1387"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29 883</w:t>
            </w:r>
          </w:p>
        </w:tc>
      </w:tr>
      <w:tr w:rsidR="00C02E75" w:rsidRPr="008F16D7" w14:paraId="78693679" w14:textId="77777777" w:rsidTr="00EA1B0D">
        <w:trPr>
          <w:trHeight w:val="107"/>
          <w:jc w:val="center"/>
        </w:trPr>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1CE0C"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8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8A9C57"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789CAAB7"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87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4E2B16"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5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D7C788"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4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0E6C65"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7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613D2D"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7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74C30F"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9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6BFCE0"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c>
          <w:tcPr>
            <w:tcW w:w="10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D102E8"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p>
        </w:tc>
      </w:tr>
      <w:tr w:rsidR="00C02E75" w:rsidRPr="008F16D7" w14:paraId="6DE2AECE" w14:textId="77777777" w:rsidTr="00EA1B0D">
        <w:trPr>
          <w:trHeight w:val="288"/>
          <w:jc w:val="cent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BC8FF"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color w:val="000000"/>
                <w:sz w:val="18"/>
                <w:szCs w:val="18"/>
                <w:lang w:eastAsia="lv-LV"/>
              </w:rPr>
              <w:t>12 III, IV un V līmeņa slimnīcas</w:t>
            </w:r>
          </w:p>
        </w:tc>
        <w:tc>
          <w:tcPr>
            <w:tcW w:w="802" w:type="dxa"/>
            <w:tcBorders>
              <w:top w:val="nil"/>
              <w:left w:val="nil"/>
              <w:bottom w:val="single" w:sz="4" w:space="0" w:color="auto"/>
              <w:right w:val="single" w:sz="4" w:space="0" w:color="auto"/>
            </w:tcBorders>
            <w:shd w:val="clear" w:color="auto" w:fill="FFFFFF" w:themeFill="background1"/>
            <w:vAlign w:val="center"/>
          </w:tcPr>
          <w:p w14:paraId="173AE762"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12</w:t>
            </w:r>
          </w:p>
        </w:tc>
        <w:tc>
          <w:tcPr>
            <w:tcW w:w="4950" w:type="dxa"/>
            <w:gridSpan w:val="7"/>
            <w:tcBorders>
              <w:top w:val="nil"/>
              <w:left w:val="nil"/>
              <w:bottom w:val="single" w:sz="4" w:space="0" w:color="auto"/>
              <w:right w:val="single" w:sz="4" w:space="0" w:color="auto"/>
            </w:tcBorders>
            <w:shd w:val="clear" w:color="auto" w:fill="FFFFFF" w:themeFill="background1"/>
            <w:vAlign w:val="center"/>
          </w:tcPr>
          <w:p w14:paraId="49CB611C" w14:textId="77777777" w:rsidR="00C02E75" w:rsidRPr="008F16D7" w:rsidRDefault="00C02E75" w:rsidP="00A974E8">
            <w:pPr>
              <w:spacing w:after="0" w:line="240" w:lineRule="auto"/>
              <w:rPr>
                <w:rFonts w:ascii="Times New Roman" w:eastAsia="Times New Roman" w:hAnsi="Times New Roman" w:cs="Times New Roman"/>
                <w:sz w:val="16"/>
                <w:szCs w:val="16"/>
                <w:lang w:eastAsia="lv-LV"/>
              </w:rPr>
            </w:pPr>
          </w:p>
        </w:tc>
        <w:tc>
          <w:tcPr>
            <w:tcW w:w="1051" w:type="dxa"/>
            <w:tcBorders>
              <w:top w:val="nil"/>
              <w:left w:val="nil"/>
              <w:bottom w:val="single" w:sz="4" w:space="0" w:color="auto"/>
              <w:right w:val="single" w:sz="4" w:space="0" w:color="auto"/>
            </w:tcBorders>
            <w:shd w:val="clear" w:color="auto" w:fill="FFFFFF" w:themeFill="background1"/>
            <w:vAlign w:val="center"/>
          </w:tcPr>
          <w:p w14:paraId="1A594617" w14:textId="77777777" w:rsidR="00C02E75" w:rsidRPr="008F16D7" w:rsidRDefault="00C02E75" w:rsidP="00EA1B0D">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358 601</w:t>
            </w:r>
          </w:p>
        </w:tc>
      </w:tr>
      <w:tr w:rsidR="00C02E75" w:rsidRPr="008F16D7" w14:paraId="62E1B3BC" w14:textId="77777777" w:rsidTr="00EA1B0D">
        <w:trPr>
          <w:trHeight w:val="288"/>
          <w:jc w:val="cent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8F57F"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sidRPr="002F442B">
              <w:rPr>
                <w:rFonts w:ascii="Times New Roman" w:eastAsia="Times New Roman" w:hAnsi="Times New Roman" w:cs="Times New Roman"/>
                <w:color w:val="000000"/>
                <w:sz w:val="18"/>
                <w:szCs w:val="18"/>
                <w:lang w:eastAsia="lv-LV"/>
              </w:rPr>
              <w:t>(SIA ,,Kuldīgas slimnīca " un SIA ,,</w:t>
            </w:r>
            <w:r>
              <w:rPr>
                <w:rFonts w:ascii="Times New Roman" w:eastAsia="Times New Roman" w:hAnsi="Times New Roman" w:cs="Times New Roman"/>
                <w:color w:val="000000"/>
                <w:sz w:val="18"/>
                <w:szCs w:val="18"/>
                <w:lang w:eastAsia="lv-LV"/>
              </w:rPr>
              <w:t>Cēsu slimnīca</w:t>
            </w:r>
            <w:r w:rsidRPr="002F442B">
              <w:rPr>
                <w:rFonts w:ascii="Times New Roman" w:eastAsia="Times New Roman" w:hAnsi="Times New Roman" w:cs="Times New Roman"/>
                <w:color w:val="000000"/>
                <w:sz w:val="18"/>
                <w:szCs w:val="18"/>
                <w:lang w:eastAsia="lv-LV"/>
              </w:rPr>
              <w:t>")</w:t>
            </w:r>
          </w:p>
        </w:tc>
        <w:tc>
          <w:tcPr>
            <w:tcW w:w="802" w:type="dxa"/>
            <w:tcBorders>
              <w:top w:val="nil"/>
              <w:left w:val="nil"/>
              <w:bottom w:val="single" w:sz="4" w:space="0" w:color="auto"/>
              <w:right w:val="single" w:sz="4" w:space="0" w:color="auto"/>
            </w:tcBorders>
            <w:shd w:val="clear" w:color="auto" w:fill="FFFFFF" w:themeFill="background1"/>
            <w:vAlign w:val="center"/>
          </w:tcPr>
          <w:p w14:paraId="6BCEC8E6"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w:t>
            </w:r>
          </w:p>
        </w:tc>
        <w:tc>
          <w:tcPr>
            <w:tcW w:w="4950" w:type="dxa"/>
            <w:gridSpan w:val="7"/>
            <w:tcBorders>
              <w:top w:val="nil"/>
              <w:left w:val="nil"/>
              <w:bottom w:val="single" w:sz="4" w:space="0" w:color="auto"/>
              <w:right w:val="single" w:sz="4" w:space="0" w:color="auto"/>
            </w:tcBorders>
            <w:shd w:val="clear" w:color="auto" w:fill="FFFFFF" w:themeFill="background1"/>
            <w:vAlign w:val="center"/>
          </w:tcPr>
          <w:p w14:paraId="76FE0F7F" w14:textId="77777777" w:rsidR="00C02E75" w:rsidRPr="008F16D7" w:rsidRDefault="00C02E75" w:rsidP="00A974E8">
            <w:pPr>
              <w:spacing w:after="0" w:line="240" w:lineRule="auto"/>
              <w:rPr>
                <w:rFonts w:ascii="Times New Roman" w:eastAsia="Times New Roman" w:hAnsi="Times New Roman" w:cs="Times New Roman"/>
                <w:sz w:val="16"/>
                <w:szCs w:val="16"/>
                <w:lang w:eastAsia="lv-LV"/>
              </w:rPr>
            </w:pPr>
          </w:p>
        </w:tc>
        <w:tc>
          <w:tcPr>
            <w:tcW w:w="1051" w:type="dxa"/>
            <w:tcBorders>
              <w:top w:val="nil"/>
              <w:left w:val="nil"/>
              <w:bottom w:val="single" w:sz="4" w:space="0" w:color="auto"/>
              <w:right w:val="single" w:sz="4" w:space="0" w:color="auto"/>
            </w:tcBorders>
            <w:shd w:val="clear" w:color="auto" w:fill="FFFFFF" w:themeFill="background1"/>
            <w:vAlign w:val="center"/>
          </w:tcPr>
          <w:p w14:paraId="0BA5635E" w14:textId="77777777" w:rsidR="00C02E75" w:rsidRPr="008F16D7" w:rsidRDefault="00C02E75" w:rsidP="00EA1B0D">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59 767</w:t>
            </w:r>
          </w:p>
        </w:tc>
      </w:tr>
      <w:tr w:rsidR="00C02E75" w:rsidRPr="008F16D7" w14:paraId="19DBD539" w14:textId="77777777" w:rsidTr="00EA1B0D">
        <w:trPr>
          <w:trHeight w:val="288"/>
          <w:jc w:val="cent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9220B"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Kopā</w:t>
            </w:r>
          </w:p>
        </w:tc>
        <w:tc>
          <w:tcPr>
            <w:tcW w:w="802" w:type="dxa"/>
            <w:tcBorders>
              <w:top w:val="nil"/>
              <w:left w:val="nil"/>
              <w:bottom w:val="single" w:sz="4" w:space="0" w:color="auto"/>
              <w:right w:val="single" w:sz="4" w:space="0" w:color="auto"/>
            </w:tcBorders>
            <w:shd w:val="clear" w:color="auto" w:fill="FFFFFF" w:themeFill="background1"/>
            <w:vAlign w:val="center"/>
          </w:tcPr>
          <w:p w14:paraId="645BC54E" w14:textId="77777777" w:rsidR="00C02E75" w:rsidRPr="008F16D7" w:rsidRDefault="00C02E75" w:rsidP="00A974E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w:t>
            </w:r>
          </w:p>
        </w:tc>
        <w:tc>
          <w:tcPr>
            <w:tcW w:w="4950" w:type="dxa"/>
            <w:gridSpan w:val="7"/>
            <w:tcBorders>
              <w:top w:val="nil"/>
              <w:left w:val="nil"/>
              <w:bottom w:val="single" w:sz="4" w:space="0" w:color="auto"/>
              <w:right w:val="single" w:sz="4" w:space="0" w:color="auto"/>
            </w:tcBorders>
            <w:shd w:val="clear" w:color="auto" w:fill="FFFFFF" w:themeFill="background1"/>
            <w:vAlign w:val="center"/>
          </w:tcPr>
          <w:p w14:paraId="2FAD1BDA" w14:textId="77777777" w:rsidR="00C02E75" w:rsidRPr="008F16D7" w:rsidRDefault="00C02E75" w:rsidP="00A974E8">
            <w:pPr>
              <w:spacing w:after="0" w:line="240" w:lineRule="auto"/>
              <w:rPr>
                <w:rFonts w:ascii="Times New Roman" w:eastAsia="Times New Roman" w:hAnsi="Times New Roman" w:cs="Times New Roman"/>
                <w:sz w:val="16"/>
                <w:szCs w:val="16"/>
                <w:lang w:eastAsia="lv-LV"/>
              </w:rPr>
            </w:pPr>
          </w:p>
        </w:tc>
        <w:tc>
          <w:tcPr>
            <w:tcW w:w="1051" w:type="dxa"/>
            <w:tcBorders>
              <w:top w:val="nil"/>
              <w:left w:val="nil"/>
              <w:bottom w:val="single" w:sz="4" w:space="0" w:color="auto"/>
              <w:right w:val="single" w:sz="4" w:space="0" w:color="auto"/>
            </w:tcBorders>
            <w:shd w:val="clear" w:color="auto" w:fill="FFFFFF" w:themeFill="background1"/>
            <w:vAlign w:val="center"/>
          </w:tcPr>
          <w:p w14:paraId="1F123DDC" w14:textId="77777777" w:rsidR="00C02E75" w:rsidRPr="008F16D7" w:rsidRDefault="00C02E75" w:rsidP="00EA1B0D">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418 368</w:t>
            </w:r>
          </w:p>
        </w:tc>
      </w:tr>
    </w:tbl>
    <w:p w14:paraId="720C5A62" w14:textId="77777777" w:rsidR="001E4659" w:rsidRDefault="001E4659" w:rsidP="00C02E75">
      <w:pPr>
        <w:spacing w:after="120"/>
        <w:ind w:firstLine="720"/>
        <w:jc w:val="both"/>
        <w:rPr>
          <w:rFonts w:ascii="Times New Roman" w:hAnsi="Times New Roman" w:cs="Times New Roman"/>
          <w:sz w:val="24"/>
          <w:szCs w:val="24"/>
        </w:rPr>
      </w:pPr>
    </w:p>
    <w:p w14:paraId="225E2BC2" w14:textId="403884EF" w:rsidR="00C02E75" w:rsidRDefault="00C02E75" w:rsidP="00CC64B7">
      <w:pPr>
        <w:spacing w:after="120"/>
        <w:ind w:firstLine="720"/>
        <w:jc w:val="both"/>
        <w:rPr>
          <w:rFonts w:ascii="Times New Roman" w:hAnsi="Times New Roman" w:cs="Times New Roman"/>
          <w:sz w:val="24"/>
          <w:szCs w:val="24"/>
        </w:rPr>
      </w:pPr>
      <w:r w:rsidRPr="00CD7DB3">
        <w:rPr>
          <w:rFonts w:ascii="Times New Roman" w:hAnsi="Times New Roman" w:cs="Times New Roman"/>
          <w:sz w:val="24"/>
          <w:szCs w:val="24"/>
        </w:rPr>
        <w:t xml:space="preserve">Pediatru/neonatalogu 14 kabinetu izveidei no 2019.gada 1.aprīļa nepieciešami </w:t>
      </w:r>
      <w:r w:rsidR="00FF4216">
        <w:rPr>
          <w:rFonts w:ascii="Times New Roman" w:hAnsi="Times New Roman" w:cs="Times New Roman"/>
          <w:b/>
          <w:sz w:val="24"/>
          <w:szCs w:val="24"/>
        </w:rPr>
        <w:t>313 776 </w:t>
      </w:r>
      <w:r w:rsidRPr="00CD7DB3">
        <w:rPr>
          <w:rFonts w:ascii="Times New Roman" w:hAnsi="Times New Roman" w:cs="Times New Roman"/>
          <w:b/>
          <w:i/>
          <w:sz w:val="24"/>
          <w:szCs w:val="24"/>
        </w:rPr>
        <w:t>euro</w:t>
      </w:r>
      <w:r>
        <w:rPr>
          <w:rFonts w:ascii="Times New Roman" w:hAnsi="Times New Roman" w:cs="Times New Roman"/>
          <w:sz w:val="24"/>
          <w:szCs w:val="24"/>
        </w:rPr>
        <w:t xml:space="preserve"> (</w:t>
      </w:r>
      <w:r w:rsidRPr="00CD7DB3">
        <w:rPr>
          <w:rFonts w:ascii="Times New Roman" w:hAnsi="Times New Roman" w:cs="Times New Roman"/>
          <w:sz w:val="24"/>
          <w:szCs w:val="24"/>
        </w:rPr>
        <w:t xml:space="preserve">gadam nepieciešami 418 368 </w:t>
      </w:r>
      <w:r w:rsidRPr="00CD7DB3">
        <w:rPr>
          <w:rFonts w:ascii="Times New Roman" w:hAnsi="Times New Roman" w:cs="Times New Roman"/>
          <w:i/>
          <w:sz w:val="24"/>
          <w:szCs w:val="24"/>
        </w:rPr>
        <w:t>euro</w:t>
      </w:r>
      <w:r w:rsidRPr="00CD7DB3">
        <w:rPr>
          <w:rFonts w:ascii="Times New Roman" w:hAnsi="Times New Roman" w:cs="Times New Roman"/>
          <w:sz w:val="24"/>
          <w:szCs w:val="24"/>
        </w:rPr>
        <w:t>)</w:t>
      </w:r>
      <w:r>
        <w:rPr>
          <w:rFonts w:ascii="Times New Roman" w:hAnsi="Times New Roman" w:cs="Times New Roman"/>
          <w:i/>
          <w:sz w:val="24"/>
          <w:szCs w:val="24"/>
        </w:rPr>
        <w:t>.</w:t>
      </w:r>
    </w:p>
    <w:p w14:paraId="11C183D3" w14:textId="77777777" w:rsidR="00C02E75" w:rsidRPr="00CD7DB3" w:rsidRDefault="00C02E75" w:rsidP="00C02E75">
      <w:pPr>
        <w:spacing w:after="120"/>
        <w:ind w:firstLine="720"/>
        <w:jc w:val="both"/>
        <w:rPr>
          <w:rFonts w:ascii="Times New Roman" w:hAnsi="Times New Roman" w:cs="Times New Roman"/>
          <w:sz w:val="24"/>
          <w:szCs w:val="24"/>
        </w:rPr>
      </w:pPr>
      <w:r>
        <w:rPr>
          <w:rFonts w:ascii="Times New Roman" w:hAnsi="Times New Roman" w:cs="Times New Roman"/>
          <w:sz w:val="24"/>
          <w:szCs w:val="24"/>
        </w:rPr>
        <w:t>Iepriekšminēto pasākumu īstenošanai n</w:t>
      </w:r>
      <w:r w:rsidRPr="00CD7DB3">
        <w:rPr>
          <w:rFonts w:ascii="Times New Roman" w:hAnsi="Times New Roman" w:cs="Times New Roman"/>
          <w:sz w:val="24"/>
          <w:szCs w:val="24"/>
        </w:rPr>
        <w:t xml:space="preserve">o 2019.gada 1.aprīļa papildus nepieciešami </w:t>
      </w:r>
      <w:r w:rsidRPr="00CD7DB3">
        <w:rPr>
          <w:rFonts w:ascii="Times New Roman" w:hAnsi="Times New Roman" w:cs="Times New Roman"/>
          <w:b/>
          <w:sz w:val="24"/>
          <w:szCs w:val="24"/>
        </w:rPr>
        <w:t xml:space="preserve">573 534 </w:t>
      </w:r>
      <w:r w:rsidRPr="00CD7DB3">
        <w:rPr>
          <w:rFonts w:ascii="Times New Roman" w:hAnsi="Times New Roman" w:cs="Times New Roman"/>
          <w:b/>
          <w:i/>
          <w:sz w:val="24"/>
          <w:szCs w:val="24"/>
        </w:rPr>
        <w:t>euro</w:t>
      </w:r>
      <w:r>
        <w:rPr>
          <w:rFonts w:ascii="Times New Roman" w:hAnsi="Times New Roman" w:cs="Times New Roman"/>
          <w:sz w:val="24"/>
          <w:szCs w:val="24"/>
        </w:rPr>
        <w:t>.</w:t>
      </w:r>
    </w:p>
    <w:p w14:paraId="1DD936EA" w14:textId="47EB0108" w:rsidR="00C4164B" w:rsidRPr="00E93259" w:rsidRDefault="00C02E75" w:rsidP="00E93259">
      <w:pPr>
        <w:spacing w:after="120"/>
        <w:ind w:firstLine="720"/>
        <w:jc w:val="both"/>
        <w:rPr>
          <w:rFonts w:ascii="Times New Roman" w:hAnsi="Times New Roman" w:cs="Times New Roman"/>
          <w:b/>
          <w:bCs/>
          <w:sz w:val="24"/>
          <w:szCs w:val="24"/>
          <w:lang w:eastAsia="lv-LV"/>
        </w:rPr>
      </w:pPr>
      <w:r w:rsidRPr="00C612FE">
        <w:rPr>
          <w:rFonts w:ascii="Times New Roman" w:eastAsia="Times New Roman" w:hAnsi="Times New Roman" w:cs="Times New Roman"/>
          <w:color w:val="000000"/>
          <w:sz w:val="24"/>
          <w:szCs w:val="24"/>
          <w:lang w:eastAsia="lv-LV"/>
        </w:rPr>
        <w:t>Nepieciešamos specialistus un to skaitu NVD nosaka līgumā ar ārstniecības iestādi, ņemot vērā stacionārās ārstniecības iestādes veidu, specializāciju, noslodzi un nepieciešamību nodrošināt neatliekamās palīdzības diennakts pieejamību</w:t>
      </w:r>
      <w:r>
        <w:rPr>
          <w:rFonts w:ascii="Times New Roman" w:eastAsia="Times New Roman" w:hAnsi="Times New Roman" w:cs="Times New Roman"/>
          <w:color w:val="000000"/>
          <w:sz w:val="24"/>
          <w:szCs w:val="24"/>
          <w:lang w:eastAsia="lv-LV"/>
        </w:rPr>
        <w:t>.</w:t>
      </w:r>
    </w:p>
    <w:p w14:paraId="110A4A5C" w14:textId="2035EDA5" w:rsidR="006D2876" w:rsidRPr="00E93259" w:rsidRDefault="006D2876" w:rsidP="00E93259">
      <w:pPr>
        <w:keepNext/>
        <w:keepLines/>
        <w:spacing w:before="100" w:beforeAutospacing="1" w:after="120"/>
        <w:jc w:val="center"/>
        <w:outlineLvl w:val="1"/>
        <w:rPr>
          <w:rFonts w:ascii="Times New Roman" w:eastAsiaTheme="majorEastAsia" w:hAnsi="Times New Roman" w:cs="Times New Roman"/>
          <w:b/>
          <w:bCs/>
          <w:sz w:val="26"/>
          <w:szCs w:val="26"/>
          <w:u w:val="single"/>
        </w:rPr>
      </w:pPr>
      <w:r w:rsidRPr="7672C071">
        <w:rPr>
          <w:rFonts w:ascii="Times New Roman" w:eastAsiaTheme="majorEastAsia" w:hAnsi="Times New Roman" w:cs="Times New Roman"/>
          <w:b/>
          <w:bCs/>
          <w:sz w:val="24"/>
          <w:szCs w:val="24"/>
          <w:u w:val="single"/>
        </w:rPr>
        <w:lastRenderedPageBreak/>
        <w:t>1.</w:t>
      </w:r>
      <w:r w:rsidR="00CC64B7">
        <w:rPr>
          <w:rFonts w:ascii="Times New Roman" w:eastAsiaTheme="majorEastAsia" w:hAnsi="Times New Roman" w:cs="Times New Roman"/>
          <w:b/>
          <w:bCs/>
          <w:sz w:val="24"/>
          <w:szCs w:val="24"/>
          <w:u w:val="single"/>
        </w:rPr>
        <w:t>3</w:t>
      </w:r>
      <w:r w:rsidRPr="7672C071">
        <w:rPr>
          <w:rFonts w:ascii="Times New Roman" w:eastAsiaTheme="majorEastAsia" w:hAnsi="Times New Roman" w:cs="Times New Roman"/>
          <w:b/>
          <w:bCs/>
          <w:sz w:val="24"/>
          <w:szCs w:val="24"/>
          <w:u w:val="single"/>
        </w:rPr>
        <w:t>. Jaunā r</w:t>
      </w:r>
      <w:r w:rsidR="003B5284" w:rsidRPr="7672C071">
        <w:rPr>
          <w:rFonts w:ascii="Times New Roman" w:eastAsiaTheme="majorEastAsia" w:hAnsi="Times New Roman" w:cs="Times New Roman"/>
          <w:b/>
          <w:bCs/>
          <w:sz w:val="24"/>
          <w:szCs w:val="24"/>
          <w:u w:val="single"/>
        </w:rPr>
        <w:t xml:space="preserve">eformas iniciatīva 2019.gadā — </w:t>
      </w:r>
      <w:r w:rsidR="007075FF" w:rsidRPr="001E4659">
        <w:rPr>
          <w:rFonts w:ascii="Times New Roman" w:hAnsi="Times New Roman" w:cs="Times New Roman"/>
          <w:b/>
          <w:bCs/>
          <w:sz w:val="24"/>
          <w:szCs w:val="24"/>
          <w:lang w:eastAsia="lv-LV"/>
        </w:rPr>
        <w:t>Papildus speciālistu piesaiste valsts apmaksāto pakalpojumus segmentā</w:t>
      </w:r>
      <w:r w:rsidR="00DB3448" w:rsidRPr="001E4659">
        <w:rPr>
          <w:rFonts w:ascii="Times New Roman" w:hAnsi="Times New Roman" w:cs="Times New Roman"/>
          <w:b/>
          <w:bCs/>
          <w:sz w:val="24"/>
          <w:szCs w:val="24"/>
          <w:lang w:eastAsia="lv-LV"/>
        </w:rPr>
        <w:t xml:space="preserve"> </w:t>
      </w:r>
    </w:p>
    <w:p w14:paraId="7208BD3F" w14:textId="77777777" w:rsidR="007075FF" w:rsidRDefault="007075FF" w:rsidP="007075FF">
      <w:pPr>
        <w:spacing w:after="120"/>
        <w:ind w:firstLine="720"/>
        <w:jc w:val="both"/>
        <w:rPr>
          <w:rFonts w:ascii="Times New Roman" w:hAnsi="Times New Roman" w:cs="Times New Roman"/>
          <w:sz w:val="24"/>
          <w:szCs w:val="24"/>
        </w:rPr>
      </w:pPr>
      <w:r>
        <w:rPr>
          <w:rFonts w:ascii="Times New Roman" w:hAnsi="Times New Roman" w:cs="Times New Roman"/>
          <w:sz w:val="24"/>
          <w:szCs w:val="24"/>
        </w:rPr>
        <w:t>Šobrīd darbojas tirgus spēka faktors, kā rezultātā speciālisti izvēlas aiziet (vai minimizēt) no valsts apmaksātu pakalpojumu sniegšanas, tā vietā sniedzot maksas pakalpojumus.</w:t>
      </w:r>
    </w:p>
    <w:p w14:paraId="54510CC0" w14:textId="77777777" w:rsidR="007075FF" w:rsidRDefault="007075FF" w:rsidP="007075F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Kā viens no piemēriem, kas raksturo kopējo situāciju ir reimatologa sniegtie pakalpojumi. Valsts ir noslēgusi sadarbības līgumus ar 11 pakalpojumu sniedzējiem, kas sniedz reimatologa pakalpojumus, tomēr 7 no šiem pakalpojumu sniedzējiem nespēj nodrošināt nepieciešamo pakalpojumu apjomu. Laika periodā no 2018.gada janvāra līdz oktobrim valsts pasūtīja 184 504 reimatologa pakalpojumus, kamēr faktiski sniegtais apjoms bija tikai 158 444 pakalpojumi, jeb 85,88% no nepieciešamā. Kā rezultāts reimatologu pakalpojumu sniegšanas trūkumam ir rindu garums valsts apmaksātu pakalpojumu saņemšanai, kur 75% no visām ārstniecības iestādēm rindas ir garākas par 30 dienām. </w:t>
      </w:r>
    </w:p>
    <w:p w14:paraId="44630D1F" w14:textId="44563A4A" w:rsidR="007075FF" w:rsidRPr="007F6AC5" w:rsidRDefault="007075FF" w:rsidP="007075FF">
      <w:pPr>
        <w:spacing w:after="120"/>
        <w:ind w:firstLine="720"/>
        <w:jc w:val="both"/>
        <w:rPr>
          <w:rFonts w:ascii="Times New Roman" w:hAnsi="Times New Roman" w:cs="Times New Roman"/>
          <w:sz w:val="24"/>
          <w:szCs w:val="24"/>
        </w:rPr>
      </w:pPr>
      <w:r>
        <w:rPr>
          <w:rFonts w:ascii="Times New Roman" w:hAnsi="Times New Roman" w:cs="Times New Roman"/>
          <w:sz w:val="24"/>
          <w:szCs w:val="24"/>
        </w:rPr>
        <w:t>Veicot tirgus analīzi un apzinot četrus lielus reimatologa pakalpojumu sniedzējus, tika iegūta informācija, ka lai saņemtu valsts apmaksātu pakalpojumu gaidīšanas laiks ir ievērojami lielāks nekā, ja tiktu maksāts no saviem līdzekļiem (</w:t>
      </w:r>
      <w:r w:rsidR="00E730EE">
        <w:rPr>
          <w:rFonts w:ascii="Times New Roman" w:hAnsi="Times New Roman" w:cs="Times New Roman"/>
          <w:sz w:val="24"/>
          <w:szCs w:val="24"/>
        </w:rPr>
        <w:t>9</w:t>
      </w:r>
      <w:r w:rsidRPr="007F6AC5">
        <w:rPr>
          <w:rFonts w:ascii="Times New Roman" w:hAnsi="Times New Roman" w:cs="Times New Roman"/>
          <w:sz w:val="24"/>
          <w:szCs w:val="24"/>
        </w:rPr>
        <w:t>.tabula).</w:t>
      </w:r>
    </w:p>
    <w:p w14:paraId="26FB4344" w14:textId="3B0711DC" w:rsidR="007075FF" w:rsidRPr="00E93259" w:rsidRDefault="00E730EE" w:rsidP="00E93259">
      <w:pPr>
        <w:spacing w:after="120"/>
        <w:ind w:firstLine="720"/>
        <w:jc w:val="right"/>
        <w:rPr>
          <w:rFonts w:ascii="Times New Roman" w:hAnsi="Times New Roman" w:cs="Times New Roman"/>
          <w:i/>
          <w:iCs/>
          <w:sz w:val="24"/>
          <w:szCs w:val="24"/>
        </w:rPr>
      </w:pPr>
      <w:r w:rsidRPr="001E4659">
        <w:rPr>
          <w:rFonts w:ascii="Times New Roman" w:hAnsi="Times New Roman" w:cs="Times New Roman"/>
          <w:i/>
          <w:iCs/>
          <w:sz w:val="24"/>
          <w:szCs w:val="24"/>
        </w:rPr>
        <w:t>9</w:t>
      </w:r>
      <w:r w:rsidR="007075FF" w:rsidRPr="7672C071">
        <w:rPr>
          <w:rFonts w:ascii="Times New Roman" w:hAnsi="Times New Roman" w:cs="Times New Roman"/>
          <w:i/>
          <w:iCs/>
          <w:sz w:val="24"/>
          <w:szCs w:val="24"/>
        </w:rPr>
        <w:t>.tabula</w:t>
      </w:r>
    </w:p>
    <w:p w14:paraId="10505BDA" w14:textId="77777777" w:rsidR="007075FF" w:rsidRPr="00D3071B" w:rsidRDefault="007075FF" w:rsidP="007075FF">
      <w:pPr>
        <w:spacing w:after="120"/>
        <w:ind w:firstLine="720"/>
        <w:jc w:val="center"/>
        <w:rPr>
          <w:rFonts w:ascii="Times New Roman" w:hAnsi="Times New Roman" w:cs="Times New Roman"/>
          <w:b/>
          <w:sz w:val="24"/>
          <w:szCs w:val="24"/>
        </w:rPr>
      </w:pPr>
      <w:r w:rsidRPr="00D3071B">
        <w:rPr>
          <w:rFonts w:ascii="Times New Roman" w:hAnsi="Times New Roman" w:cs="Times New Roman"/>
          <w:b/>
          <w:sz w:val="24"/>
          <w:szCs w:val="24"/>
        </w:rPr>
        <w:t>Reimatologa pakalpojumu nodrošinājums</w:t>
      </w:r>
    </w:p>
    <w:tbl>
      <w:tblPr>
        <w:tblW w:w="0" w:type="auto"/>
        <w:jc w:val="center"/>
        <w:tblCellMar>
          <w:left w:w="0" w:type="dxa"/>
          <w:right w:w="0" w:type="dxa"/>
        </w:tblCellMar>
        <w:tblLook w:val="04A0" w:firstRow="1" w:lastRow="0" w:firstColumn="1" w:lastColumn="0" w:noHBand="0" w:noVBand="1"/>
      </w:tblPr>
      <w:tblGrid>
        <w:gridCol w:w="3534"/>
        <w:gridCol w:w="2552"/>
        <w:gridCol w:w="2693"/>
      </w:tblGrid>
      <w:tr w:rsidR="007075FF" w:rsidRPr="00541790" w14:paraId="5055CE01" w14:textId="77777777" w:rsidTr="007B34A8">
        <w:trPr>
          <w:trHeight w:val="264"/>
          <w:jc w:val="center"/>
        </w:trPr>
        <w:tc>
          <w:tcPr>
            <w:tcW w:w="3534" w:type="dxa"/>
            <w:tcBorders>
              <w:top w:val="single" w:sz="8" w:space="0" w:color="auto"/>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14:paraId="75E06CFE" w14:textId="77777777" w:rsidR="007075FF" w:rsidRPr="009B1AF0" w:rsidRDefault="007075FF" w:rsidP="007B34A8">
            <w:pPr>
              <w:jc w:val="center"/>
              <w:rPr>
                <w:rFonts w:ascii="Times New Roman" w:hAnsi="Times New Roman" w:cs="Times New Roman"/>
                <w:b/>
                <w:sz w:val="24"/>
                <w:szCs w:val="24"/>
              </w:rPr>
            </w:pPr>
            <w:r>
              <w:rPr>
                <w:rFonts w:ascii="Times New Roman" w:hAnsi="Times New Roman" w:cs="Times New Roman"/>
                <w:b/>
                <w:sz w:val="24"/>
                <w:szCs w:val="24"/>
              </w:rPr>
              <w:t>Ārstniecības iestāde</w:t>
            </w:r>
          </w:p>
        </w:tc>
        <w:tc>
          <w:tcPr>
            <w:tcW w:w="2552" w:type="dxa"/>
            <w:tcBorders>
              <w:top w:val="single" w:sz="8" w:space="0" w:color="auto"/>
              <w:left w:val="nil"/>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hideMark/>
          </w:tcPr>
          <w:p w14:paraId="3DC25252" w14:textId="77777777" w:rsidR="007075FF" w:rsidRPr="009B1AF0" w:rsidRDefault="007075FF" w:rsidP="007B34A8">
            <w:pPr>
              <w:jc w:val="center"/>
              <w:rPr>
                <w:rFonts w:ascii="Times New Roman" w:hAnsi="Times New Roman" w:cs="Times New Roman"/>
                <w:b/>
                <w:sz w:val="24"/>
                <w:szCs w:val="24"/>
              </w:rPr>
            </w:pPr>
            <w:r w:rsidRPr="009B1AF0">
              <w:rPr>
                <w:rFonts w:ascii="Times New Roman" w:hAnsi="Times New Roman" w:cs="Times New Roman"/>
                <w:b/>
                <w:sz w:val="24"/>
                <w:szCs w:val="24"/>
              </w:rPr>
              <w:t>Valsts apmaksāts</w:t>
            </w:r>
          </w:p>
        </w:tc>
        <w:tc>
          <w:tcPr>
            <w:tcW w:w="2693" w:type="dxa"/>
            <w:tcBorders>
              <w:top w:val="single" w:sz="8" w:space="0" w:color="auto"/>
              <w:left w:val="nil"/>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hideMark/>
          </w:tcPr>
          <w:p w14:paraId="62DCEBFA" w14:textId="77777777" w:rsidR="007075FF" w:rsidRPr="009B1AF0" w:rsidRDefault="007075FF" w:rsidP="007B34A8">
            <w:pPr>
              <w:jc w:val="center"/>
              <w:rPr>
                <w:rFonts w:ascii="Times New Roman" w:hAnsi="Times New Roman" w:cs="Times New Roman"/>
                <w:b/>
                <w:sz w:val="24"/>
                <w:szCs w:val="24"/>
              </w:rPr>
            </w:pPr>
            <w:r w:rsidRPr="009B1AF0">
              <w:rPr>
                <w:rFonts w:ascii="Times New Roman" w:hAnsi="Times New Roman" w:cs="Times New Roman"/>
                <w:b/>
                <w:sz w:val="24"/>
                <w:szCs w:val="24"/>
              </w:rPr>
              <w:t>Maksas</w:t>
            </w:r>
          </w:p>
        </w:tc>
      </w:tr>
      <w:tr w:rsidR="007075FF" w:rsidRPr="00541790" w14:paraId="4E0A6F30" w14:textId="77777777" w:rsidTr="007B34A8">
        <w:trPr>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CE3B1" w14:textId="77777777" w:rsidR="007075FF" w:rsidRPr="00541790" w:rsidRDefault="007075FF" w:rsidP="007B34A8">
            <w:pPr>
              <w:spacing w:after="0" w:line="240" w:lineRule="auto"/>
              <w:rPr>
                <w:rFonts w:ascii="Times New Roman" w:hAnsi="Times New Roman" w:cs="Times New Roman"/>
              </w:rPr>
            </w:pPr>
            <w:r>
              <w:rPr>
                <w:rFonts w:ascii="Times New Roman" w:hAnsi="Times New Roman" w:cs="Times New Roman"/>
              </w:rPr>
              <w:t>VSIA “</w:t>
            </w:r>
            <w:r w:rsidRPr="005E32AC">
              <w:rPr>
                <w:rFonts w:ascii="Times New Roman" w:hAnsi="Times New Roman" w:cs="Times New Roman"/>
              </w:rPr>
              <w:t>Bērnu klīniskā universitātes slimnīca</w:t>
            </w:r>
            <w:r>
              <w:rPr>
                <w:rFonts w:ascii="Times New Roman" w:hAnsi="Times New Roman" w:cs="Times New Roman"/>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D47C348"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14.janvāris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51B9405"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2018.gada </w:t>
            </w:r>
            <w:r w:rsidRPr="00541790">
              <w:rPr>
                <w:rFonts w:ascii="Times New Roman" w:hAnsi="Times New Roman" w:cs="Times New Roman"/>
              </w:rPr>
              <w:t>3.decembris</w:t>
            </w:r>
          </w:p>
        </w:tc>
      </w:tr>
      <w:tr w:rsidR="007075FF" w:rsidRPr="00541790" w14:paraId="5A7E44A9" w14:textId="77777777" w:rsidTr="007B34A8">
        <w:trPr>
          <w:trHeight w:val="492"/>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86972" w14:textId="77777777" w:rsidR="007075FF" w:rsidRPr="00541790" w:rsidRDefault="007075FF" w:rsidP="007B34A8">
            <w:pPr>
              <w:spacing w:after="0" w:line="240" w:lineRule="auto"/>
              <w:rPr>
                <w:rFonts w:ascii="Times New Roman" w:hAnsi="Times New Roman" w:cs="Times New Roman"/>
              </w:rPr>
            </w:pPr>
            <w:r>
              <w:rPr>
                <w:rFonts w:ascii="Times New Roman" w:hAnsi="Times New Roman" w:cs="Times New Roman"/>
              </w:rPr>
              <w:t>VSIA “</w:t>
            </w:r>
            <w:r w:rsidRPr="005E32AC">
              <w:rPr>
                <w:rFonts w:ascii="Times New Roman" w:hAnsi="Times New Roman" w:cs="Times New Roman"/>
              </w:rPr>
              <w:t>Paula Stradiņa klīniskā universitātes slimnīca</w:t>
            </w:r>
            <w:r>
              <w:rPr>
                <w:rFonts w:ascii="Times New Roman" w:hAnsi="Times New Roman" w:cs="Times New Roman"/>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7D1E832"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1.marts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AC59F55"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janvāris</w:t>
            </w:r>
          </w:p>
        </w:tc>
      </w:tr>
      <w:tr w:rsidR="007075FF" w:rsidRPr="00541790" w14:paraId="64082F3A" w14:textId="77777777" w:rsidTr="007B34A8">
        <w:trPr>
          <w:trHeight w:val="537"/>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CFDDB" w14:textId="77777777" w:rsidR="007075FF" w:rsidRPr="00541790" w:rsidRDefault="007075FF" w:rsidP="007B34A8">
            <w:pPr>
              <w:spacing w:after="0" w:line="240" w:lineRule="auto"/>
              <w:rPr>
                <w:rFonts w:ascii="Times New Roman" w:hAnsi="Times New Roman" w:cs="Times New Roman"/>
              </w:rPr>
            </w:pPr>
            <w:r>
              <w:rPr>
                <w:rFonts w:ascii="Times New Roman" w:hAnsi="Times New Roman" w:cs="Times New Roman"/>
              </w:rPr>
              <w:t>SIA “</w:t>
            </w:r>
            <w:r w:rsidRPr="005E32AC">
              <w:rPr>
                <w:rFonts w:ascii="Times New Roman" w:hAnsi="Times New Roman" w:cs="Times New Roman"/>
              </w:rPr>
              <w:t>Rīgas Austrumu klīniskā universitātes slimnīca</w:t>
            </w:r>
            <w:r>
              <w:rPr>
                <w:rFonts w:ascii="Times New Roman" w:hAnsi="Times New Roman" w:cs="Times New Roman"/>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8439B11"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21.februāris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4A0B337" w14:textId="77777777" w:rsidR="007075FF" w:rsidRPr="00541790" w:rsidRDefault="007075FF" w:rsidP="007B34A8">
            <w:pPr>
              <w:spacing w:after="0" w:line="240" w:lineRule="auto"/>
              <w:jc w:val="center"/>
              <w:rPr>
                <w:rFonts w:ascii="Times New Roman" w:hAnsi="Times New Roman" w:cs="Times New Roman"/>
              </w:rPr>
            </w:pPr>
            <w:r w:rsidRPr="00541790">
              <w:rPr>
                <w:rFonts w:ascii="Times New Roman" w:hAnsi="Times New Roman" w:cs="Times New Roman"/>
              </w:rPr>
              <w:t>par maksu nesniedz</w:t>
            </w:r>
          </w:p>
        </w:tc>
      </w:tr>
      <w:tr w:rsidR="007075FF" w:rsidRPr="00541790" w14:paraId="2E3433F4" w14:textId="77777777" w:rsidTr="007B34A8">
        <w:trPr>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8B3A4" w14:textId="77777777" w:rsidR="007075FF" w:rsidRPr="00541790" w:rsidRDefault="007075FF" w:rsidP="007B34A8">
            <w:pPr>
              <w:spacing w:after="0" w:line="240" w:lineRule="auto"/>
              <w:rPr>
                <w:rFonts w:ascii="Times New Roman" w:hAnsi="Times New Roman" w:cs="Times New Roman"/>
              </w:rPr>
            </w:pPr>
            <w:r>
              <w:rPr>
                <w:rFonts w:ascii="Times New Roman" w:hAnsi="Times New Roman" w:cs="Times New Roman"/>
              </w:rPr>
              <w:t>SIA “</w:t>
            </w:r>
            <w:r w:rsidRPr="00541790">
              <w:rPr>
                <w:rFonts w:ascii="Times New Roman" w:hAnsi="Times New Roman" w:cs="Times New Roman"/>
              </w:rPr>
              <w:t>Rīgas 1. slimnīca</w:t>
            </w:r>
            <w:r>
              <w:rPr>
                <w:rFonts w:ascii="Times New Roman" w:hAnsi="Times New Roman" w:cs="Times New Roman"/>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DE05FD0"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janvāra beigas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3C8821C"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2018.gada </w:t>
            </w:r>
            <w:r w:rsidRPr="00541790">
              <w:rPr>
                <w:rFonts w:ascii="Times New Roman" w:hAnsi="Times New Roman" w:cs="Times New Roman"/>
              </w:rPr>
              <w:t>29.novembris</w:t>
            </w:r>
          </w:p>
        </w:tc>
      </w:tr>
    </w:tbl>
    <w:p w14:paraId="23B9F1EE" w14:textId="77777777" w:rsidR="007075FF" w:rsidRDefault="007075FF" w:rsidP="007075FF">
      <w:pPr>
        <w:jc w:val="both"/>
        <w:rPr>
          <w:rFonts w:ascii="Times New Roman" w:hAnsi="Times New Roman" w:cs="Times New Roman"/>
          <w:sz w:val="24"/>
          <w:szCs w:val="24"/>
        </w:rPr>
      </w:pPr>
    </w:p>
    <w:p w14:paraId="2DC77958" w14:textId="383E267E" w:rsidR="00CC64B7" w:rsidRDefault="007075FF" w:rsidP="00E11AFF">
      <w:pPr>
        <w:spacing w:after="120"/>
        <w:ind w:firstLine="720"/>
        <w:jc w:val="both"/>
        <w:rPr>
          <w:rFonts w:ascii="Times New Roman" w:hAnsi="Times New Roman" w:cs="Times New Roman"/>
          <w:i/>
          <w:iCs/>
          <w:sz w:val="24"/>
          <w:szCs w:val="24"/>
          <w:lang w:eastAsia="lv-LV"/>
        </w:rPr>
      </w:pPr>
      <w:r w:rsidRPr="006C34C0">
        <w:rPr>
          <w:rFonts w:ascii="Times New Roman" w:hAnsi="Times New Roman" w:cs="Times New Roman"/>
          <w:sz w:val="24"/>
          <w:szCs w:val="24"/>
        </w:rPr>
        <w:t xml:space="preserve">Aprūpes epizodes tarifa pārrēķināšana un papildus finansējuma nepieciešamība tam ir saistīta ar plānoto papildus speciālistu piesaisti atsevišķās veselības aprūpes jomās. Speciālistu piesaiste būtiski uzlabotu veselības aprūpes pakalpojumu pieejamību un pakalpojumu kvalitāti, kā arī mazinātu </w:t>
      </w:r>
      <w:r w:rsidRPr="00165337">
        <w:rPr>
          <w:rFonts w:ascii="Times New Roman" w:hAnsi="Times New Roman" w:cs="Times New Roman"/>
          <w:sz w:val="24"/>
          <w:szCs w:val="24"/>
          <w:u w:val="single"/>
        </w:rPr>
        <w:t>pakalpojumu gaidīšanas rindas</w:t>
      </w:r>
      <w:r w:rsidRPr="006C34C0">
        <w:rPr>
          <w:rFonts w:ascii="Times New Roman" w:hAnsi="Times New Roman" w:cs="Times New Roman"/>
          <w:sz w:val="24"/>
          <w:szCs w:val="24"/>
        </w:rPr>
        <w:t>.</w:t>
      </w:r>
      <w:r>
        <w:rPr>
          <w:rFonts w:ascii="Times New Roman" w:hAnsi="Times New Roman" w:cs="Times New Roman"/>
          <w:sz w:val="24"/>
          <w:szCs w:val="24"/>
        </w:rPr>
        <w:t xml:space="preserve"> Papildus speciālistu piesaistei </w:t>
      </w:r>
      <w:r w:rsidR="0039786D">
        <w:rPr>
          <w:rFonts w:ascii="Times New Roman" w:hAnsi="Times New Roman" w:cs="Times New Roman"/>
          <w:sz w:val="24"/>
          <w:szCs w:val="24"/>
        </w:rPr>
        <w:t xml:space="preserve">no </w:t>
      </w:r>
      <w:r>
        <w:rPr>
          <w:rFonts w:ascii="Times New Roman" w:hAnsi="Times New Roman" w:cs="Times New Roman"/>
          <w:sz w:val="24"/>
          <w:szCs w:val="24"/>
        </w:rPr>
        <w:t>2019.gada</w:t>
      </w:r>
      <w:r w:rsidR="0039786D">
        <w:rPr>
          <w:rFonts w:ascii="Times New Roman" w:hAnsi="Times New Roman" w:cs="Times New Roman"/>
          <w:sz w:val="24"/>
          <w:szCs w:val="24"/>
        </w:rPr>
        <w:t xml:space="preserve"> 1.aprīļa </w:t>
      </w:r>
      <w:r>
        <w:rPr>
          <w:rFonts w:ascii="Times New Roman" w:hAnsi="Times New Roman" w:cs="Times New Roman"/>
          <w:sz w:val="24"/>
          <w:szCs w:val="24"/>
        </w:rPr>
        <w:t xml:space="preserve">nepieciešami </w:t>
      </w:r>
      <w:r w:rsidR="0039786D" w:rsidRPr="00D63888">
        <w:rPr>
          <w:rFonts w:ascii="Times New Roman" w:hAnsi="Times New Roman" w:cs="Times New Roman"/>
          <w:b/>
          <w:sz w:val="24"/>
          <w:szCs w:val="24"/>
        </w:rPr>
        <w:t xml:space="preserve">2 681 281 </w:t>
      </w:r>
      <w:r w:rsidR="0039786D" w:rsidRPr="00D63888">
        <w:rPr>
          <w:rFonts w:ascii="Times New Roman" w:hAnsi="Times New Roman" w:cs="Times New Roman"/>
          <w:b/>
          <w:i/>
          <w:sz w:val="24"/>
          <w:szCs w:val="24"/>
        </w:rPr>
        <w:t>euro</w:t>
      </w:r>
      <w:r w:rsidR="00856315">
        <w:rPr>
          <w:rFonts w:ascii="Times New Roman" w:hAnsi="Times New Roman" w:cs="Times New Roman"/>
          <w:b/>
          <w:i/>
          <w:sz w:val="24"/>
          <w:szCs w:val="24"/>
        </w:rPr>
        <w:t xml:space="preserve"> </w:t>
      </w:r>
      <w:r w:rsidR="00856315" w:rsidRPr="00856315">
        <w:rPr>
          <w:rFonts w:ascii="Times New Roman" w:hAnsi="Times New Roman" w:cs="Times New Roman"/>
          <w:sz w:val="24"/>
          <w:szCs w:val="24"/>
        </w:rPr>
        <w:t>(10.tabula)</w:t>
      </w:r>
      <w:r w:rsidR="0039786D">
        <w:rPr>
          <w:rFonts w:ascii="Times New Roman" w:hAnsi="Times New Roman" w:cs="Times New Roman"/>
          <w:sz w:val="24"/>
          <w:szCs w:val="24"/>
        </w:rPr>
        <w:t xml:space="preserve"> (gadam nepieciešami </w:t>
      </w:r>
      <w:r w:rsidRPr="00D63888">
        <w:rPr>
          <w:rFonts w:ascii="Times New Roman" w:hAnsi="Times New Roman" w:cs="Times New Roman"/>
          <w:sz w:val="24"/>
          <w:szCs w:val="24"/>
        </w:rPr>
        <w:t xml:space="preserve">3 575 040 </w:t>
      </w:r>
      <w:r w:rsidRPr="00D63888">
        <w:rPr>
          <w:rFonts w:ascii="Times New Roman" w:hAnsi="Times New Roman" w:cs="Times New Roman"/>
          <w:i/>
          <w:sz w:val="24"/>
          <w:szCs w:val="24"/>
        </w:rPr>
        <w:t>euro</w:t>
      </w:r>
      <w:r w:rsidR="0039786D" w:rsidRPr="007F6AC5">
        <w:rPr>
          <w:rFonts w:ascii="Times New Roman" w:hAnsi="Times New Roman" w:cs="Times New Roman"/>
          <w:b/>
          <w:i/>
          <w:sz w:val="24"/>
          <w:szCs w:val="24"/>
        </w:rPr>
        <w:t>)</w:t>
      </w:r>
      <w:r w:rsidRPr="007F6AC5">
        <w:rPr>
          <w:rFonts w:ascii="Times New Roman" w:hAnsi="Times New Roman" w:cs="Times New Roman"/>
          <w:b/>
          <w:i/>
          <w:sz w:val="24"/>
          <w:szCs w:val="24"/>
        </w:rPr>
        <w:t xml:space="preserve"> </w:t>
      </w:r>
      <w:r w:rsidRPr="007F6AC5">
        <w:rPr>
          <w:rFonts w:ascii="Times New Roman" w:hAnsi="Times New Roman" w:cs="Times New Roman"/>
          <w:sz w:val="24"/>
          <w:szCs w:val="24"/>
        </w:rPr>
        <w:t>(</w:t>
      </w:r>
      <w:r w:rsidR="00E730EE">
        <w:rPr>
          <w:rFonts w:ascii="Times New Roman" w:hAnsi="Times New Roman" w:cs="Times New Roman"/>
          <w:sz w:val="24"/>
          <w:szCs w:val="24"/>
        </w:rPr>
        <w:t>1</w:t>
      </w:r>
      <w:r w:rsidR="00856315">
        <w:rPr>
          <w:rFonts w:ascii="Times New Roman" w:hAnsi="Times New Roman" w:cs="Times New Roman"/>
          <w:sz w:val="24"/>
          <w:szCs w:val="24"/>
        </w:rPr>
        <w:t>1</w:t>
      </w:r>
      <w:r w:rsidRPr="007F6AC5">
        <w:rPr>
          <w:rFonts w:ascii="Times New Roman" w:hAnsi="Times New Roman" w:cs="Times New Roman"/>
          <w:sz w:val="24"/>
          <w:szCs w:val="24"/>
        </w:rPr>
        <w:t>.tabula)</w:t>
      </w:r>
    </w:p>
    <w:p w14:paraId="44EDA7E4" w14:textId="77777777" w:rsidR="0090538F" w:rsidRDefault="0090538F" w:rsidP="00E93259">
      <w:pPr>
        <w:spacing w:after="0"/>
        <w:jc w:val="right"/>
        <w:rPr>
          <w:rFonts w:ascii="Times New Roman" w:hAnsi="Times New Roman" w:cs="Times New Roman"/>
          <w:i/>
          <w:iCs/>
          <w:sz w:val="24"/>
          <w:szCs w:val="24"/>
          <w:lang w:eastAsia="lv-LV"/>
        </w:rPr>
        <w:sectPr w:rsidR="0090538F" w:rsidSect="00333B64">
          <w:pgSz w:w="12240" w:h="15840"/>
          <w:pgMar w:top="1440" w:right="1440" w:bottom="1440" w:left="1701" w:header="708" w:footer="708" w:gutter="0"/>
          <w:cols w:space="708"/>
          <w:docGrid w:linePitch="360"/>
        </w:sectPr>
      </w:pPr>
    </w:p>
    <w:p w14:paraId="518670CB" w14:textId="5E502D7B" w:rsidR="007075FF" w:rsidRPr="00E93259" w:rsidRDefault="00E730EE" w:rsidP="00E93259">
      <w:pPr>
        <w:spacing w:after="0"/>
        <w:jc w:val="right"/>
        <w:rPr>
          <w:rFonts w:ascii="Times New Roman" w:hAnsi="Times New Roman" w:cs="Times New Roman"/>
          <w:i/>
          <w:iCs/>
          <w:sz w:val="24"/>
          <w:szCs w:val="24"/>
          <w:lang w:eastAsia="lv-LV"/>
        </w:rPr>
      </w:pPr>
      <w:r w:rsidRPr="001E4659">
        <w:rPr>
          <w:rFonts w:ascii="Times New Roman" w:hAnsi="Times New Roman" w:cs="Times New Roman"/>
          <w:i/>
          <w:iCs/>
          <w:sz w:val="24"/>
          <w:szCs w:val="24"/>
          <w:lang w:eastAsia="lv-LV"/>
        </w:rPr>
        <w:lastRenderedPageBreak/>
        <w:t>10</w:t>
      </w:r>
      <w:r w:rsidR="007075FF" w:rsidRPr="7672C071">
        <w:rPr>
          <w:rFonts w:ascii="Times New Roman" w:hAnsi="Times New Roman" w:cs="Times New Roman"/>
          <w:i/>
          <w:iCs/>
          <w:sz w:val="24"/>
          <w:szCs w:val="24"/>
          <w:lang w:eastAsia="lv-LV"/>
        </w:rPr>
        <w:t>.tabula</w:t>
      </w:r>
    </w:p>
    <w:p w14:paraId="42FBA923" w14:textId="4DF189DF" w:rsidR="00D60FF0" w:rsidRDefault="007075FF" w:rsidP="00482E94">
      <w:pPr>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Papildus speciālistu piesaistei</w:t>
      </w:r>
      <w:r w:rsidRPr="00D3071B">
        <w:rPr>
          <w:rFonts w:ascii="Times New Roman" w:hAnsi="Times New Roman" w:cs="Times New Roman"/>
          <w:b/>
          <w:sz w:val="24"/>
          <w:szCs w:val="24"/>
          <w:lang w:eastAsia="lv-LV"/>
        </w:rPr>
        <w:t xml:space="preserve"> </w:t>
      </w:r>
      <w:r>
        <w:rPr>
          <w:rFonts w:ascii="Times New Roman" w:hAnsi="Times New Roman" w:cs="Times New Roman"/>
          <w:b/>
          <w:sz w:val="24"/>
          <w:szCs w:val="24"/>
          <w:lang w:eastAsia="lv-LV"/>
        </w:rPr>
        <w:t xml:space="preserve">valsts apmaksāto pakalpojumus segmentā </w:t>
      </w:r>
      <w:r w:rsidR="00856315">
        <w:rPr>
          <w:rFonts w:ascii="Times New Roman" w:hAnsi="Times New Roman" w:cs="Times New Roman"/>
          <w:b/>
          <w:sz w:val="24"/>
          <w:szCs w:val="24"/>
          <w:lang w:eastAsia="lv-LV"/>
        </w:rPr>
        <w:t xml:space="preserve">2017., 2018. un </w:t>
      </w:r>
      <w:r w:rsidRPr="00D3071B">
        <w:rPr>
          <w:rFonts w:ascii="Times New Roman" w:hAnsi="Times New Roman" w:cs="Times New Roman"/>
          <w:b/>
          <w:sz w:val="24"/>
          <w:szCs w:val="24"/>
          <w:lang w:eastAsia="lv-LV"/>
        </w:rPr>
        <w:t>2019.gadam</w:t>
      </w:r>
      <w:r>
        <w:rPr>
          <w:rFonts w:ascii="Times New Roman" w:hAnsi="Times New Roman" w:cs="Times New Roman"/>
          <w:b/>
          <w:sz w:val="24"/>
          <w:szCs w:val="24"/>
          <w:lang w:eastAsia="lv-LV"/>
        </w:rPr>
        <w:t xml:space="preserve"> n</w:t>
      </w:r>
      <w:r w:rsidRPr="00D3071B">
        <w:rPr>
          <w:rFonts w:ascii="Times New Roman" w:hAnsi="Times New Roman" w:cs="Times New Roman"/>
          <w:b/>
          <w:sz w:val="24"/>
          <w:szCs w:val="24"/>
          <w:lang w:eastAsia="lv-LV"/>
        </w:rPr>
        <w:t>epieciešamais finansējums</w:t>
      </w: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987"/>
        <w:gridCol w:w="992"/>
        <w:gridCol w:w="851"/>
        <w:gridCol w:w="850"/>
        <w:gridCol w:w="851"/>
        <w:gridCol w:w="992"/>
        <w:gridCol w:w="850"/>
        <w:gridCol w:w="993"/>
        <w:gridCol w:w="850"/>
        <w:gridCol w:w="851"/>
        <w:gridCol w:w="708"/>
        <w:gridCol w:w="709"/>
        <w:gridCol w:w="709"/>
        <w:gridCol w:w="850"/>
      </w:tblGrid>
      <w:tr w:rsidR="00E11AFF" w14:paraId="095F36B2" w14:textId="77777777" w:rsidTr="00C4284B">
        <w:trPr>
          <w:cantSplit/>
          <w:trHeight w:val="1505"/>
          <w:jc w:val="center"/>
        </w:trPr>
        <w:tc>
          <w:tcPr>
            <w:tcW w:w="431" w:type="dxa"/>
            <w:shd w:val="clear" w:color="auto" w:fill="E36C0A" w:themeFill="accent6" w:themeFillShade="BF"/>
          </w:tcPr>
          <w:p w14:paraId="11F5E12E" w14:textId="77777777" w:rsidR="00D60FF0" w:rsidRPr="00847710" w:rsidRDefault="00D60FF0" w:rsidP="005C58C0">
            <w:pPr>
              <w:spacing w:after="0" w:line="240" w:lineRule="auto"/>
              <w:rPr>
                <w:rFonts w:ascii="Times New Roman" w:eastAsia="Times New Roman" w:hAnsi="Times New Roman" w:cs="Times New Roman"/>
                <w:b/>
                <w:bCs/>
                <w:sz w:val="20"/>
                <w:szCs w:val="20"/>
                <w:lang w:eastAsia="lv-LV"/>
              </w:rPr>
            </w:pPr>
          </w:p>
        </w:tc>
        <w:tc>
          <w:tcPr>
            <w:tcW w:w="987" w:type="dxa"/>
            <w:shd w:val="clear" w:color="auto" w:fill="E36C0A" w:themeFill="accent6" w:themeFillShade="BF"/>
            <w:vAlign w:val="center"/>
            <w:hideMark/>
          </w:tcPr>
          <w:p w14:paraId="20CC56FD" w14:textId="77777777" w:rsidR="00D60FF0" w:rsidRPr="00847710" w:rsidRDefault="00D60FF0" w:rsidP="005C58C0">
            <w:pPr>
              <w:spacing w:after="0" w:line="240" w:lineRule="auto"/>
              <w:rPr>
                <w:rFonts w:ascii="Times New Roman" w:eastAsia="Times New Roman" w:hAnsi="Times New Roman" w:cs="Times New Roman"/>
                <w:b/>
                <w:bCs/>
                <w:sz w:val="20"/>
                <w:szCs w:val="20"/>
                <w:lang w:eastAsia="lv-LV"/>
              </w:rPr>
            </w:pPr>
          </w:p>
        </w:tc>
        <w:tc>
          <w:tcPr>
            <w:tcW w:w="992" w:type="dxa"/>
            <w:shd w:val="clear" w:color="auto" w:fill="E36C0A" w:themeFill="accent6" w:themeFillShade="BF"/>
            <w:textDirection w:val="btLr"/>
            <w:vAlign w:val="center"/>
            <w:hideMark/>
          </w:tcPr>
          <w:p w14:paraId="5A31E101" w14:textId="77777777" w:rsidR="00D60FF0" w:rsidRPr="00847710" w:rsidRDefault="00D60FF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ārstēšanas</w:t>
            </w:r>
          </w:p>
          <w:p w14:paraId="4691CCF0" w14:textId="77777777" w:rsidR="00D60FF0" w:rsidRPr="00847710" w:rsidRDefault="00D60FF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r>
              <w:rPr>
                <w:rFonts w:ascii="Times New Roman" w:eastAsia="Times New Roman" w:hAnsi="Times New Roman" w:cs="Times New Roman"/>
                <w:b/>
                <w:bCs/>
                <w:sz w:val="20"/>
                <w:szCs w:val="20"/>
                <w:lang w:eastAsia="lv-LV"/>
              </w:rPr>
              <w:t>*</w:t>
            </w:r>
          </w:p>
          <w:p w14:paraId="626FEA67" w14:textId="77777777" w:rsidR="00D60FF0" w:rsidRPr="00847710" w:rsidRDefault="00D60FF0" w:rsidP="005C58C0">
            <w:pPr>
              <w:spacing w:after="0" w:line="240" w:lineRule="auto"/>
              <w:ind w:left="113" w:right="113"/>
              <w:jc w:val="center"/>
              <w:rPr>
                <w:rFonts w:ascii="Times New Roman" w:eastAsia="Times New Roman" w:hAnsi="Times New Roman" w:cs="Times New Roman"/>
                <w:b/>
                <w:bCs/>
                <w:sz w:val="20"/>
                <w:szCs w:val="20"/>
                <w:lang w:eastAsia="lv-LV"/>
              </w:rPr>
            </w:pPr>
          </w:p>
        </w:tc>
        <w:tc>
          <w:tcPr>
            <w:tcW w:w="2552" w:type="dxa"/>
            <w:gridSpan w:val="3"/>
            <w:shd w:val="clear" w:color="auto" w:fill="E36C0A" w:themeFill="accent6" w:themeFillShade="BF"/>
            <w:textDirection w:val="btLr"/>
            <w:vAlign w:val="center"/>
          </w:tcPr>
          <w:p w14:paraId="7A805BBD" w14:textId="77777777" w:rsidR="00D60FF0" w:rsidRPr="00847710" w:rsidRDefault="00D60FF0" w:rsidP="005C58C0">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5" w:type="dxa"/>
            <w:gridSpan w:val="3"/>
            <w:shd w:val="clear" w:color="auto" w:fill="E36C0A" w:themeFill="accent6" w:themeFillShade="BF"/>
            <w:textDirection w:val="btLr"/>
            <w:vAlign w:val="center"/>
          </w:tcPr>
          <w:p w14:paraId="294C5833" w14:textId="77777777" w:rsidR="00D60FF0" w:rsidRPr="00847710" w:rsidRDefault="00D60FF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409" w:type="dxa"/>
            <w:gridSpan w:val="3"/>
            <w:shd w:val="clear" w:color="auto" w:fill="E36C0A" w:themeFill="accent6" w:themeFillShade="BF"/>
            <w:textDirection w:val="btLr"/>
            <w:vAlign w:val="center"/>
          </w:tcPr>
          <w:p w14:paraId="70E05DCA" w14:textId="77777777" w:rsidR="00D60FF0" w:rsidRPr="00847710" w:rsidRDefault="00D60FF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268" w:type="dxa"/>
            <w:gridSpan w:val="3"/>
            <w:shd w:val="clear" w:color="auto" w:fill="E36C0A" w:themeFill="accent6" w:themeFillShade="BF"/>
            <w:textDirection w:val="btLr"/>
            <w:vAlign w:val="center"/>
          </w:tcPr>
          <w:p w14:paraId="6A7AF03D" w14:textId="77777777" w:rsidR="00D60FF0" w:rsidRPr="00847710" w:rsidRDefault="00D60FF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C4284B" w14:paraId="64C2F80E" w14:textId="77777777" w:rsidTr="00C4284B">
        <w:trPr>
          <w:trHeight w:val="640"/>
          <w:jc w:val="center"/>
        </w:trPr>
        <w:tc>
          <w:tcPr>
            <w:tcW w:w="431" w:type="dxa"/>
            <w:shd w:val="clear" w:color="auto" w:fill="FABF8F" w:themeFill="accent6" w:themeFillTint="99"/>
          </w:tcPr>
          <w:p w14:paraId="24C1F8AC"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p>
        </w:tc>
        <w:tc>
          <w:tcPr>
            <w:tcW w:w="987" w:type="dxa"/>
            <w:shd w:val="clear" w:color="auto" w:fill="FABF8F" w:themeFill="accent6" w:themeFillTint="99"/>
            <w:vAlign w:val="center"/>
          </w:tcPr>
          <w:p w14:paraId="406DA631"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p>
        </w:tc>
        <w:tc>
          <w:tcPr>
            <w:tcW w:w="992" w:type="dxa"/>
            <w:shd w:val="clear" w:color="auto" w:fill="FABF8F" w:themeFill="accent6" w:themeFillTint="99"/>
            <w:vAlign w:val="center"/>
          </w:tcPr>
          <w:p w14:paraId="498D791F" w14:textId="77777777" w:rsidR="00D60FF0" w:rsidRPr="00847710" w:rsidRDefault="00D60FF0" w:rsidP="005C58C0">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536C7380"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0297DC28" w14:textId="77777777" w:rsidR="00D60FF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16E5982A" w14:textId="77777777" w:rsidR="00D60FF0" w:rsidRPr="0012317D" w:rsidRDefault="00D60FF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010B4E7E" w14:textId="77777777" w:rsidR="00D60FF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29CEE9FA" w14:textId="77777777" w:rsidR="00D60FF0" w:rsidRPr="0012317D" w:rsidRDefault="00D60FF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01F2EA20" w14:textId="77777777" w:rsidR="00D60FF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5F0C857C" w14:textId="77777777" w:rsidR="00D60FF0" w:rsidRPr="0012317D" w:rsidRDefault="00D60FF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7E69BC8D" w14:textId="77777777" w:rsidR="00D60FF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97365DC" w14:textId="77777777" w:rsidR="00D60FF0" w:rsidRPr="0012317D" w:rsidRDefault="00D60FF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1B176D7C" w14:textId="77777777" w:rsidR="00D60FF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CCFE93D" w14:textId="77777777" w:rsidR="00D60FF0" w:rsidRPr="0012317D" w:rsidRDefault="00D60FF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3" w:type="dxa"/>
            <w:shd w:val="clear" w:color="auto" w:fill="FABF8F" w:themeFill="accent6" w:themeFillTint="99"/>
            <w:vAlign w:val="center"/>
          </w:tcPr>
          <w:p w14:paraId="7F33B607" w14:textId="77777777" w:rsidR="00D60FF0" w:rsidRPr="00C86312" w:rsidRDefault="00D60FF0" w:rsidP="005C58C0">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7DDB27E5" w14:textId="77777777" w:rsidR="00D60FF0" w:rsidRPr="00C86312" w:rsidRDefault="00D60FF0" w:rsidP="005C58C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5B96780C"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368847F1"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8" w:type="dxa"/>
            <w:shd w:val="clear" w:color="auto" w:fill="FABF8F" w:themeFill="accent6" w:themeFillTint="99"/>
            <w:vAlign w:val="center"/>
          </w:tcPr>
          <w:p w14:paraId="253CAB64"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2387CFB4"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2C3804F5"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7C22F94D" w14:textId="77777777" w:rsidR="00D60FF0" w:rsidRPr="00847710" w:rsidRDefault="00D60FF0" w:rsidP="005C58C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C4284B" w14:paraId="0F8A6245" w14:textId="77777777" w:rsidTr="00C4284B">
        <w:trPr>
          <w:trHeight w:val="598"/>
          <w:jc w:val="center"/>
        </w:trPr>
        <w:tc>
          <w:tcPr>
            <w:tcW w:w="431" w:type="dxa"/>
            <w:shd w:val="clear" w:color="auto" w:fill="FFFFFF" w:themeFill="background1"/>
          </w:tcPr>
          <w:p w14:paraId="26B31F4F" w14:textId="77777777" w:rsidR="00D60FF0" w:rsidRPr="00E1067B"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987" w:type="dxa"/>
            <w:shd w:val="clear" w:color="auto" w:fill="FFFFFF" w:themeFill="background1"/>
            <w:vAlign w:val="center"/>
          </w:tcPr>
          <w:p w14:paraId="40C4D498" w14:textId="3EAA5632" w:rsidR="00D60FF0" w:rsidRPr="00030FAC" w:rsidRDefault="00D60FF0" w:rsidP="00D60FF0">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sz w:val="16"/>
                <w:szCs w:val="16"/>
                <w:lang w:eastAsia="lv-LV"/>
              </w:rPr>
              <w:t>Speciālistu piesaiste</w:t>
            </w:r>
          </w:p>
        </w:tc>
        <w:tc>
          <w:tcPr>
            <w:tcW w:w="992" w:type="dxa"/>
            <w:shd w:val="clear" w:color="auto" w:fill="FFFFFF" w:themeFill="background1"/>
            <w:vAlign w:val="center"/>
          </w:tcPr>
          <w:p w14:paraId="5A1C9C37" w14:textId="1FCBD267" w:rsidR="00D60FF0" w:rsidRPr="00030FAC" w:rsidRDefault="00D60FF0" w:rsidP="00D60FF0">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16,82</w:t>
            </w:r>
          </w:p>
        </w:tc>
        <w:tc>
          <w:tcPr>
            <w:tcW w:w="851" w:type="dxa"/>
            <w:shd w:val="clear" w:color="auto" w:fill="FFFFFF" w:themeFill="background1"/>
            <w:vAlign w:val="center"/>
          </w:tcPr>
          <w:p w14:paraId="16A1D162" w14:textId="77777777" w:rsidR="00D60FF0"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8EA698D" w14:textId="77777777" w:rsidR="00D60FF0"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3E034F8" w14:textId="77777777" w:rsidR="00D60FF0" w:rsidRPr="00E1067B"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3B5CD367" w14:textId="77777777" w:rsidR="00D60FF0"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326F0EE" w14:textId="60EA8B3D" w:rsidR="00D60FF0" w:rsidRPr="00030FAC"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37F5C47C" w14:textId="7CA16539" w:rsidR="00D60FF0" w:rsidRPr="00030FAC" w:rsidRDefault="00D60FF0" w:rsidP="00D60FF0">
            <w:pPr>
              <w:spacing w:after="0" w:line="240" w:lineRule="auto"/>
              <w:jc w:val="center"/>
              <w:rPr>
                <w:rFonts w:ascii="Times New Roman" w:eastAsia="Times New Roman" w:hAnsi="Times New Roman" w:cs="Times New Roman"/>
                <w:bCs/>
                <w:sz w:val="20"/>
                <w:szCs w:val="20"/>
                <w:lang w:eastAsia="lv-LV"/>
              </w:rPr>
            </w:pPr>
            <w:r w:rsidRPr="00856315">
              <w:rPr>
                <w:rFonts w:ascii="Times New Roman" w:hAnsi="Times New Roman"/>
                <w:sz w:val="16"/>
                <w:szCs w:val="16"/>
                <w:lang w:eastAsia="lv-LV"/>
              </w:rPr>
              <w:t>2 681 281</w:t>
            </w:r>
          </w:p>
        </w:tc>
        <w:tc>
          <w:tcPr>
            <w:tcW w:w="850" w:type="dxa"/>
            <w:shd w:val="clear" w:color="auto" w:fill="FFFFFF" w:themeFill="background1"/>
            <w:vAlign w:val="center"/>
          </w:tcPr>
          <w:p w14:paraId="6A7FA3C8" w14:textId="77777777" w:rsidR="00D60FF0" w:rsidRPr="00E1067B"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DBB2E96" w14:textId="77777777" w:rsidR="00D60FF0" w:rsidRPr="00E1067B"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8" w:type="dxa"/>
            <w:shd w:val="clear" w:color="auto" w:fill="FFFFFF" w:themeFill="background1"/>
            <w:vAlign w:val="center"/>
          </w:tcPr>
          <w:p w14:paraId="50F6FECB" w14:textId="77777777" w:rsidR="00D60FF0" w:rsidRPr="00E1067B"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2E998478" w14:textId="77777777" w:rsidR="00D60FF0"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527BB773" w14:textId="5D34AF35" w:rsidR="00D60FF0" w:rsidRDefault="00D60FF0" w:rsidP="00D60FF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F399808" w14:textId="09C11006" w:rsidR="00D60FF0" w:rsidRPr="00E1067B" w:rsidRDefault="00D60FF0" w:rsidP="00D60FF0">
            <w:pPr>
              <w:spacing w:after="0" w:line="240" w:lineRule="auto"/>
              <w:jc w:val="center"/>
              <w:rPr>
                <w:rFonts w:ascii="Times New Roman" w:eastAsia="Times New Roman" w:hAnsi="Times New Roman" w:cs="Times New Roman"/>
                <w:bCs/>
                <w:sz w:val="20"/>
                <w:szCs w:val="20"/>
                <w:lang w:eastAsia="lv-LV"/>
              </w:rPr>
            </w:pPr>
            <w:r w:rsidRPr="00856315">
              <w:rPr>
                <w:rFonts w:ascii="Times New Roman" w:hAnsi="Times New Roman"/>
                <w:sz w:val="16"/>
                <w:szCs w:val="16"/>
                <w:lang w:eastAsia="lv-LV"/>
              </w:rPr>
              <w:t>653 971</w:t>
            </w:r>
          </w:p>
        </w:tc>
      </w:tr>
      <w:tr w:rsidR="00C4284B" w14:paraId="7EBD6A15" w14:textId="77777777" w:rsidTr="00C4284B">
        <w:trPr>
          <w:trHeight w:val="296"/>
          <w:jc w:val="center"/>
        </w:trPr>
        <w:tc>
          <w:tcPr>
            <w:tcW w:w="431" w:type="dxa"/>
            <w:shd w:val="clear" w:color="auto" w:fill="FBD4B4" w:themeFill="accent6" w:themeFillTint="66"/>
          </w:tcPr>
          <w:p w14:paraId="4AE8B22E" w14:textId="77777777" w:rsidR="00D60FF0" w:rsidRPr="00847710" w:rsidRDefault="00D60FF0" w:rsidP="00D60FF0">
            <w:pPr>
              <w:spacing w:after="0" w:line="240" w:lineRule="auto"/>
              <w:rPr>
                <w:rFonts w:ascii="Times New Roman" w:eastAsia="Times New Roman" w:hAnsi="Times New Roman" w:cs="Times New Roman"/>
                <w:sz w:val="20"/>
                <w:szCs w:val="20"/>
                <w:lang w:eastAsia="lv-LV"/>
              </w:rPr>
            </w:pPr>
          </w:p>
        </w:tc>
        <w:tc>
          <w:tcPr>
            <w:tcW w:w="987" w:type="dxa"/>
            <w:shd w:val="clear" w:color="auto" w:fill="FBD4B4" w:themeFill="accent6" w:themeFillTint="66"/>
            <w:vAlign w:val="bottom"/>
          </w:tcPr>
          <w:p w14:paraId="5C0862A1" w14:textId="77777777" w:rsidR="00D60FF0" w:rsidRPr="00847710" w:rsidRDefault="00D60FF0" w:rsidP="00D60FF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2" w:type="dxa"/>
            <w:shd w:val="clear" w:color="auto" w:fill="FBD4B4" w:themeFill="accent6" w:themeFillTint="66"/>
            <w:noWrap/>
            <w:vAlign w:val="bottom"/>
          </w:tcPr>
          <w:p w14:paraId="48BCA51C" w14:textId="77777777" w:rsidR="00D60FF0" w:rsidRPr="00847710" w:rsidRDefault="00D60FF0" w:rsidP="00D60FF0">
            <w:pPr>
              <w:spacing w:after="0" w:line="240" w:lineRule="auto"/>
              <w:jc w:val="center"/>
              <w:rPr>
                <w:rFonts w:ascii="Times New Roman" w:eastAsia="Times New Roman" w:hAnsi="Times New Roman" w:cs="Times New Roman"/>
                <w:sz w:val="20"/>
                <w:szCs w:val="20"/>
                <w:lang w:eastAsia="lv-LV"/>
              </w:rPr>
            </w:pPr>
          </w:p>
        </w:tc>
        <w:tc>
          <w:tcPr>
            <w:tcW w:w="851" w:type="dxa"/>
            <w:shd w:val="clear" w:color="auto" w:fill="FBD4B4" w:themeFill="accent6" w:themeFillTint="66"/>
            <w:vAlign w:val="center"/>
          </w:tcPr>
          <w:p w14:paraId="08170F39" w14:textId="77777777" w:rsidR="00D60FF0" w:rsidRPr="00847710" w:rsidRDefault="00D60FF0" w:rsidP="00D60FF0">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77AFAE55" w14:textId="77777777" w:rsidR="00D60FF0" w:rsidRPr="00847710" w:rsidRDefault="00D60FF0" w:rsidP="00D60FF0">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29BFEEAA" w14:textId="77777777" w:rsidR="00D60FF0" w:rsidRPr="00847710" w:rsidRDefault="00D60FF0" w:rsidP="00D60FF0">
            <w:pPr>
              <w:spacing w:after="0" w:line="240" w:lineRule="auto"/>
              <w:jc w:val="center"/>
              <w:rPr>
                <w:rFonts w:ascii="Times New Roman" w:hAnsi="Times New Roman" w:cs="Times New Roman"/>
                <w:sz w:val="20"/>
                <w:szCs w:val="20"/>
              </w:rPr>
            </w:pPr>
          </w:p>
        </w:tc>
        <w:tc>
          <w:tcPr>
            <w:tcW w:w="992" w:type="dxa"/>
            <w:shd w:val="clear" w:color="auto" w:fill="FBD4B4" w:themeFill="accent6" w:themeFillTint="66"/>
            <w:vAlign w:val="center"/>
          </w:tcPr>
          <w:p w14:paraId="4333A5EE" w14:textId="77777777" w:rsidR="00D60FF0" w:rsidRPr="00847710" w:rsidRDefault="00D60FF0" w:rsidP="00D60FF0">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2F7181D0" w14:textId="37700E8A" w:rsidR="00D60FF0" w:rsidRPr="00030FAC" w:rsidRDefault="00D60FF0" w:rsidP="00D60FF0">
            <w:pPr>
              <w:spacing w:after="0" w:line="240" w:lineRule="auto"/>
              <w:jc w:val="center"/>
              <w:rPr>
                <w:rFonts w:ascii="Times New Roman" w:hAnsi="Times New Roman" w:cs="Times New Roman"/>
                <w:sz w:val="20"/>
                <w:szCs w:val="20"/>
              </w:rPr>
            </w:pPr>
          </w:p>
        </w:tc>
        <w:tc>
          <w:tcPr>
            <w:tcW w:w="993" w:type="dxa"/>
            <w:shd w:val="clear" w:color="auto" w:fill="FBD4B4" w:themeFill="accent6" w:themeFillTint="66"/>
            <w:noWrap/>
            <w:vAlign w:val="center"/>
          </w:tcPr>
          <w:p w14:paraId="308DE70C" w14:textId="02F8DDB0" w:rsidR="00D60FF0" w:rsidRPr="00C4284B" w:rsidRDefault="00D60FF0" w:rsidP="00D60FF0">
            <w:pPr>
              <w:spacing w:after="0" w:line="240" w:lineRule="auto"/>
              <w:jc w:val="center"/>
              <w:rPr>
                <w:rFonts w:ascii="Times New Roman" w:eastAsia="Times New Roman" w:hAnsi="Times New Roman" w:cs="Times New Roman"/>
                <w:b/>
                <w:sz w:val="20"/>
                <w:szCs w:val="20"/>
                <w:lang w:eastAsia="lv-LV"/>
              </w:rPr>
            </w:pPr>
            <w:r w:rsidRPr="00C4284B">
              <w:rPr>
                <w:rFonts w:ascii="Times New Roman" w:hAnsi="Times New Roman"/>
                <w:b/>
                <w:sz w:val="16"/>
                <w:szCs w:val="16"/>
                <w:lang w:eastAsia="lv-LV"/>
              </w:rPr>
              <w:t>2 681 281</w:t>
            </w:r>
          </w:p>
        </w:tc>
        <w:tc>
          <w:tcPr>
            <w:tcW w:w="850" w:type="dxa"/>
            <w:shd w:val="clear" w:color="auto" w:fill="FBD4B4" w:themeFill="accent6" w:themeFillTint="66"/>
            <w:vAlign w:val="center"/>
          </w:tcPr>
          <w:p w14:paraId="4EE59312" w14:textId="77777777" w:rsidR="00D60FF0" w:rsidRPr="00C4284B" w:rsidRDefault="00D60FF0" w:rsidP="00D60FF0">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5847FFF7" w14:textId="77777777" w:rsidR="00D60FF0" w:rsidRPr="00C4284B" w:rsidRDefault="00D60FF0" w:rsidP="00D60FF0">
            <w:pPr>
              <w:spacing w:after="0" w:line="240" w:lineRule="auto"/>
              <w:jc w:val="center"/>
              <w:rPr>
                <w:rFonts w:ascii="Times New Roman" w:hAnsi="Times New Roman" w:cs="Times New Roman"/>
                <w:b/>
                <w:bCs/>
                <w:sz w:val="20"/>
                <w:szCs w:val="20"/>
              </w:rPr>
            </w:pPr>
          </w:p>
        </w:tc>
        <w:tc>
          <w:tcPr>
            <w:tcW w:w="708" w:type="dxa"/>
            <w:shd w:val="clear" w:color="auto" w:fill="FBD4B4" w:themeFill="accent6" w:themeFillTint="66"/>
            <w:vAlign w:val="center"/>
          </w:tcPr>
          <w:p w14:paraId="5D338C2F" w14:textId="77777777" w:rsidR="00D60FF0" w:rsidRPr="00C4284B" w:rsidRDefault="00D60FF0" w:rsidP="00D60FF0">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1D95BEAB" w14:textId="77777777" w:rsidR="00D60FF0" w:rsidRPr="00C4284B" w:rsidRDefault="00D60FF0" w:rsidP="00D60FF0">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14C06690" w14:textId="00AF3945" w:rsidR="00D60FF0" w:rsidRPr="00C4284B" w:rsidRDefault="00D60FF0" w:rsidP="00D60FF0">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noWrap/>
            <w:vAlign w:val="center"/>
          </w:tcPr>
          <w:p w14:paraId="342B5DE2" w14:textId="15EFDB2C" w:rsidR="00D60FF0" w:rsidRPr="00C4284B" w:rsidRDefault="00D60FF0" w:rsidP="00D60FF0">
            <w:pPr>
              <w:spacing w:after="0" w:line="240" w:lineRule="auto"/>
              <w:jc w:val="center"/>
              <w:rPr>
                <w:rFonts w:ascii="Times New Roman" w:eastAsia="Times New Roman" w:hAnsi="Times New Roman" w:cs="Times New Roman"/>
                <w:b/>
                <w:bCs/>
                <w:color w:val="FF0000"/>
                <w:sz w:val="20"/>
                <w:szCs w:val="20"/>
                <w:lang w:eastAsia="lv-LV"/>
              </w:rPr>
            </w:pPr>
            <w:r w:rsidRPr="00C4284B">
              <w:rPr>
                <w:rFonts w:ascii="Times New Roman" w:hAnsi="Times New Roman"/>
                <w:b/>
                <w:sz w:val="16"/>
                <w:szCs w:val="16"/>
                <w:lang w:eastAsia="lv-LV"/>
              </w:rPr>
              <w:t>653 971</w:t>
            </w:r>
          </w:p>
        </w:tc>
      </w:tr>
    </w:tbl>
    <w:p w14:paraId="1A6AE4B8" w14:textId="1DE5BE12" w:rsidR="00D60FF0" w:rsidRDefault="00D60FF0" w:rsidP="007075FF">
      <w:pPr>
        <w:jc w:val="center"/>
        <w:rPr>
          <w:rFonts w:ascii="Times New Roman" w:hAnsi="Times New Roman" w:cs="Times New Roman"/>
          <w:b/>
          <w:sz w:val="24"/>
          <w:szCs w:val="24"/>
          <w:lang w:eastAsia="lv-LV"/>
        </w:rPr>
      </w:pPr>
    </w:p>
    <w:p w14:paraId="11B96F77" w14:textId="77777777" w:rsidR="00D60FF0" w:rsidRDefault="00D60FF0" w:rsidP="007075FF">
      <w:pPr>
        <w:jc w:val="center"/>
        <w:rPr>
          <w:rFonts w:ascii="Times New Roman" w:hAnsi="Times New Roman" w:cs="Times New Roman"/>
          <w:b/>
          <w:sz w:val="24"/>
          <w:szCs w:val="24"/>
          <w:lang w:eastAsia="lv-LV"/>
        </w:rPr>
      </w:pPr>
    </w:p>
    <w:p w14:paraId="230375CB" w14:textId="77777777" w:rsidR="0090538F" w:rsidRDefault="0090538F" w:rsidP="007075FF">
      <w:pPr>
        <w:rPr>
          <w:rFonts w:ascii="Times New Roman" w:hAnsi="Times New Roman" w:cs="Times New Roman"/>
          <w:b/>
          <w:sz w:val="24"/>
          <w:szCs w:val="24"/>
          <w:lang w:eastAsia="lv-LV"/>
        </w:rPr>
        <w:sectPr w:rsidR="0090538F" w:rsidSect="00E11AFF">
          <w:pgSz w:w="15840" w:h="12240" w:orient="landscape"/>
          <w:pgMar w:top="1701" w:right="1440" w:bottom="1440" w:left="1440" w:header="709" w:footer="709" w:gutter="0"/>
          <w:cols w:space="708"/>
          <w:docGrid w:linePitch="360"/>
        </w:sectPr>
      </w:pPr>
    </w:p>
    <w:p w14:paraId="24DCC9C8" w14:textId="6C4EB85B" w:rsidR="007075FF" w:rsidRDefault="007075FF" w:rsidP="007075FF">
      <w:pPr>
        <w:rPr>
          <w:rFonts w:ascii="Times New Roman" w:hAnsi="Times New Roman" w:cs="Times New Roman"/>
          <w:b/>
          <w:sz w:val="24"/>
          <w:szCs w:val="24"/>
          <w:lang w:eastAsia="lv-LV"/>
        </w:rPr>
      </w:pPr>
    </w:p>
    <w:p w14:paraId="32213370" w14:textId="2C86ED5E" w:rsidR="00856315" w:rsidRPr="00856315" w:rsidRDefault="00856315" w:rsidP="00856315">
      <w:pPr>
        <w:jc w:val="right"/>
        <w:rPr>
          <w:rFonts w:ascii="Times New Roman" w:hAnsi="Times New Roman" w:cs="Times New Roman"/>
          <w:i/>
          <w:sz w:val="24"/>
          <w:szCs w:val="24"/>
          <w:lang w:eastAsia="lv-LV"/>
        </w:rPr>
      </w:pPr>
      <w:r w:rsidRPr="00856315">
        <w:rPr>
          <w:rFonts w:ascii="Times New Roman" w:hAnsi="Times New Roman" w:cs="Times New Roman"/>
          <w:i/>
          <w:sz w:val="24"/>
          <w:szCs w:val="24"/>
          <w:lang w:eastAsia="lv-LV"/>
        </w:rPr>
        <w:t>11.tabula</w:t>
      </w:r>
    </w:p>
    <w:p w14:paraId="1793E357" w14:textId="1092B901" w:rsidR="00856315" w:rsidRDefault="00856315" w:rsidP="00856315">
      <w:pPr>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Papildus speciālistu piesaistei</w:t>
      </w:r>
      <w:r w:rsidRPr="00D3071B">
        <w:rPr>
          <w:rFonts w:ascii="Times New Roman" w:hAnsi="Times New Roman" w:cs="Times New Roman"/>
          <w:b/>
          <w:sz w:val="24"/>
          <w:szCs w:val="24"/>
          <w:lang w:eastAsia="lv-LV"/>
        </w:rPr>
        <w:t xml:space="preserve"> </w:t>
      </w:r>
      <w:r>
        <w:rPr>
          <w:rFonts w:ascii="Times New Roman" w:hAnsi="Times New Roman" w:cs="Times New Roman"/>
          <w:b/>
          <w:sz w:val="24"/>
          <w:szCs w:val="24"/>
          <w:lang w:eastAsia="lv-LV"/>
        </w:rPr>
        <w:t xml:space="preserve">valsts apmaksāto pakalpojumus segmentā </w:t>
      </w:r>
      <w:r w:rsidRPr="00D3071B">
        <w:rPr>
          <w:rFonts w:ascii="Times New Roman" w:hAnsi="Times New Roman" w:cs="Times New Roman"/>
          <w:b/>
          <w:sz w:val="24"/>
          <w:szCs w:val="24"/>
          <w:lang w:eastAsia="lv-LV"/>
        </w:rPr>
        <w:t>2019.gadam</w:t>
      </w:r>
      <w:r>
        <w:rPr>
          <w:rFonts w:ascii="Times New Roman" w:hAnsi="Times New Roman" w:cs="Times New Roman"/>
          <w:b/>
          <w:sz w:val="24"/>
          <w:szCs w:val="24"/>
          <w:lang w:eastAsia="lv-LV"/>
        </w:rPr>
        <w:t xml:space="preserve"> n</w:t>
      </w:r>
      <w:r w:rsidRPr="00D3071B">
        <w:rPr>
          <w:rFonts w:ascii="Times New Roman" w:hAnsi="Times New Roman" w:cs="Times New Roman"/>
          <w:b/>
          <w:sz w:val="24"/>
          <w:szCs w:val="24"/>
          <w:lang w:eastAsia="lv-LV"/>
        </w:rPr>
        <w:t>epieciešamais finansējums</w:t>
      </w:r>
    </w:p>
    <w:tbl>
      <w:tblPr>
        <w:tblStyle w:val="TableGrid"/>
        <w:tblW w:w="0" w:type="auto"/>
        <w:jc w:val="center"/>
        <w:tblLook w:val="04A0" w:firstRow="1" w:lastRow="0" w:firstColumn="1" w:lastColumn="0" w:noHBand="0" w:noVBand="1"/>
      </w:tblPr>
      <w:tblGrid>
        <w:gridCol w:w="1980"/>
        <w:gridCol w:w="1417"/>
        <w:gridCol w:w="1418"/>
        <w:gridCol w:w="1276"/>
        <w:gridCol w:w="1483"/>
        <w:gridCol w:w="1483"/>
      </w:tblGrid>
      <w:tr w:rsidR="00856315" w14:paraId="1BE1E8B3" w14:textId="77777777" w:rsidTr="00C4284B">
        <w:trPr>
          <w:jc w:val="center"/>
        </w:trPr>
        <w:tc>
          <w:tcPr>
            <w:tcW w:w="1980" w:type="dxa"/>
            <w:shd w:val="clear" w:color="auto" w:fill="E36C0A" w:themeFill="accent6" w:themeFillShade="BF"/>
            <w:vAlign w:val="center"/>
          </w:tcPr>
          <w:p w14:paraId="1147FCBD" w14:textId="77777777" w:rsidR="00856315" w:rsidRDefault="00856315" w:rsidP="003A01F7">
            <w:pPr>
              <w:jc w:val="center"/>
              <w:rPr>
                <w:rFonts w:ascii="Times New Roman" w:hAnsi="Times New Roman"/>
                <w:b/>
                <w:lang w:eastAsia="lv-LV"/>
              </w:rPr>
            </w:pPr>
            <w:r w:rsidRPr="003103F4">
              <w:rPr>
                <w:rFonts w:ascii="Times New Roman" w:hAnsi="Times New Roman"/>
                <w:b/>
                <w:lang w:eastAsia="lv-LV"/>
              </w:rPr>
              <w:t>Prognozētā vidējā vienas speciālista konsultācijas cena pirms palielinājuma</w:t>
            </w:r>
          </w:p>
          <w:p w14:paraId="11B7A8EB" w14:textId="77777777" w:rsidR="00856315" w:rsidRPr="0033765D" w:rsidRDefault="00856315" w:rsidP="003A01F7">
            <w:pPr>
              <w:jc w:val="center"/>
              <w:rPr>
                <w:rFonts w:ascii="Times New Roman" w:hAnsi="Times New Roman"/>
                <w:b/>
                <w:i/>
                <w:lang w:eastAsia="lv-LV"/>
              </w:rPr>
            </w:pPr>
            <w:r w:rsidRPr="0033765D">
              <w:rPr>
                <w:rFonts w:ascii="Times New Roman" w:hAnsi="Times New Roman"/>
                <w:b/>
                <w:i/>
                <w:lang w:eastAsia="lv-LV"/>
              </w:rPr>
              <w:t>euro</w:t>
            </w:r>
          </w:p>
        </w:tc>
        <w:tc>
          <w:tcPr>
            <w:tcW w:w="1417" w:type="dxa"/>
            <w:shd w:val="clear" w:color="auto" w:fill="E36C0A" w:themeFill="accent6" w:themeFillShade="BF"/>
            <w:vAlign w:val="center"/>
          </w:tcPr>
          <w:p w14:paraId="4DD7F312" w14:textId="77777777" w:rsidR="00856315" w:rsidRDefault="00856315" w:rsidP="003A01F7">
            <w:pPr>
              <w:jc w:val="center"/>
              <w:rPr>
                <w:rFonts w:ascii="Times New Roman" w:hAnsi="Times New Roman"/>
                <w:b/>
                <w:lang w:eastAsia="lv-LV"/>
              </w:rPr>
            </w:pPr>
            <w:r w:rsidRPr="003103F4">
              <w:rPr>
                <w:rFonts w:ascii="Times New Roman" w:hAnsi="Times New Roman"/>
                <w:b/>
                <w:lang w:eastAsia="lv-LV"/>
              </w:rPr>
              <w:t>Plānotais palielinājums 2019.gadam</w:t>
            </w:r>
          </w:p>
          <w:p w14:paraId="7094E01D" w14:textId="77777777" w:rsidR="00856315" w:rsidRPr="0033765D" w:rsidRDefault="00856315" w:rsidP="003A01F7">
            <w:pPr>
              <w:jc w:val="center"/>
              <w:rPr>
                <w:rFonts w:ascii="Times New Roman" w:hAnsi="Times New Roman"/>
                <w:b/>
                <w:i/>
                <w:lang w:eastAsia="lv-LV"/>
              </w:rPr>
            </w:pPr>
            <w:r w:rsidRPr="0033765D">
              <w:rPr>
                <w:rFonts w:ascii="Times New Roman" w:hAnsi="Times New Roman"/>
                <w:b/>
                <w:i/>
                <w:lang w:eastAsia="lv-LV"/>
              </w:rPr>
              <w:t>euro</w:t>
            </w:r>
          </w:p>
        </w:tc>
        <w:tc>
          <w:tcPr>
            <w:tcW w:w="1418" w:type="dxa"/>
            <w:shd w:val="clear" w:color="auto" w:fill="E36C0A" w:themeFill="accent6" w:themeFillShade="BF"/>
            <w:vAlign w:val="center"/>
          </w:tcPr>
          <w:p w14:paraId="1A66ABED" w14:textId="77777777" w:rsidR="00856315" w:rsidRPr="003103F4" w:rsidRDefault="00856315" w:rsidP="003A01F7">
            <w:pPr>
              <w:jc w:val="center"/>
              <w:rPr>
                <w:rFonts w:ascii="Times New Roman" w:hAnsi="Times New Roman"/>
                <w:b/>
                <w:lang w:eastAsia="lv-LV"/>
              </w:rPr>
            </w:pPr>
            <w:r w:rsidRPr="003103F4">
              <w:rPr>
                <w:rFonts w:ascii="Times New Roman" w:hAnsi="Times New Roman"/>
                <w:b/>
                <w:lang w:eastAsia="lv-LV"/>
              </w:rPr>
              <w:t>Sniegto konsultāciju skaits 2019.gadam</w:t>
            </w:r>
          </w:p>
        </w:tc>
        <w:tc>
          <w:tcPr>
            <w:tcW w:w="1276" w:type="dxa"/>
            <w:shd w:val="clear" w:color="auto" w:fill="E36C0A" w:themeFill="accent6" w:themeFillShade="BF"/>
            <w:vAlign w:val="center"/>
          </w:tcPr>
          <w:p w14:paraId="6FDE7272" w14:textId="77777777" w:rsidR="00856315" w:rsidRPr="003103F4" w:rsidRDefault="00856315" w:rsidP="003A01F7">
            <w:pPr>
              <w:jc w:val="center"/>
              <w:rPr>
                <w:rFonts w:ascii="Times New Roman" w:hAnsi="Times New Roman"/>
                <w:b/>
                <w:bCs/>
                <w:lang w:eastAsia="lv-LV"/>
              </w:rPr>
            </w:pPr>
            <w:r w:rsidRPr="64AB90BD">
              <w:rPr>
                <w:rFonts w:ascii="Times New Roman" w:hAnsi="Times New Roman"/>
                <w:b/>
                <w:bCs/>
                <w:lang w:eastAsia="lv-LV"/>
              </w:rPr>
              <w:t>Sniegto konsultāciju skaits  no 2019.gada 1.aprīļa</w:t>
            </w:r>
          </w:p>
        </w:tc>
        <w:tc>
          <w:tcPr>
            <w:tcW w:w="1483" w:type="dxa"/>
            <w:shd w:val="clear" w:color="auto" w:fill="E36C0A" w:themeFill="accent6" w:themeFillShade="BF"/>
            <w:vAlign w:val="center"/>
          </w:tcPr>
          <w:p w14:paraId="43D966F7" w14:textId="77777777" w:rsidR="00856315" w:rsidRDefault="00856315" w:rsidP="003A01F7">
            <w:pPr>
              <w:jc w:val="center"/>
              <w:rPr>
                <w:rFonts w:ascii="Times New Roman" w:hAnsi="Times New Roman"/>
                <w:b/>
                <w:lang w:eastAsia="lv-LV"/>
              </w:rPr>
            </w:pPr>
            <w:r w:rsidRPr="003103F4">
              <w:rPr>
                <w:rFonts w:ascii="Times New Roman" w:hAnsi="Times New Roman"/>
                <w:b/>
                <w:lang w:eastAsia="lv-LV"/>
              </w:rPr>
              <w:t>Kopējais nepieciešamais finansējums 2019.gadam</w:t>
            </w:r>
          </w:p>
          <w:p w14:paraId="064FECC6" w14:textId="77777777" w:rsidR="00856315" w:rsidRPr="0033765D" w:rsidRDefault="00856315" w:rsidP="003A01F7">
            <w:pPr>
              <w:jc w:val="center"/>
              <w:rPr>
                <w:rFonts w:ascii="Times New Roman" w:hAnsi="Times New Roman"/>
                <w:b/>
                <w:i/>
                <w:lang w:eastAsia="lv-LV"/>
              </w:rPr>
            </w:pPr>
            <w:r w:rsidRPr="0033765D">
              <w:rPr>
                <w:rFonts w:ascii="Times New Roman" w:hAnsi="Times New Roman"/>
                <w:b/>
                <w:i/>
                <w:lang w:eastAsia="lv-LV"/>
              </w:rPr>
              <w:t>euro</w:t>
            </w:r>
          </w:p>
        </w:tc>
        <w:tc>
          <w:tcPr>
            <w:tcW w:w="1483" w:type="dxa"/>
            <w:shd w:val="clear" w:color="auto" w:fill="E36C0A" w:themeFill="accent6" w:themeFillShade="BF"/>
            <w:vAlign w:val="center"/>
          </w:tcPr>
          <w:p w14:paraId="433B0FA4" w14:textId="77777777" w:rsidR="00856315" w:rsidRDefault="00856315" w:rsidP="003A01F7">
            <w:pPr>
              <w:jc w:val="center"/>
              <w:rPr>
                <w:rFonts w:ascii="Times New Roman" w:hAnsi="Times New Roman"/>
                <w:b/>
                <w:bCs/>
                <w:lang w:eastAsia="lv-LV"/>
              </w:rPr>
            </w:pPr>
            <w:r w:rsidRPr="64AB90BD">
              <w:rPr>
                <w:rFonts w:ascii="Times New Roman" w:hAnsi="Times New Roman"/>
                <w:b/>
                <w:bCs/>
                <w:lang w:eastAsia="lv-LV"/>
              </w:rPr>
              <w:t>Kopējais nepieciešamais finansējums no 2019.gada 1.aprīļa</w:t>
            </w:r>
          </w:p>
          <w:p w14:paraId="4BD3EAC2" w14:textId="77777777" w:rsidR="00856315" w:rsidRPr="003103F4" w:rsidRDefault="00856315" w:rsidP="003A01F7">
            <w:pPr>
              <w:jc w:val="center"/>
              <w:rPr>
                <w:rFonts w:ascii="Times New Roman" w:hAnsi="Times New Roman"/>
                <w:b/>
                <w:lang w:eastAsia="lv-LV"/>
              </w:rPr>
            </w:pPr>
            <w:r w:rsidRPr="0033765D">
              <w:rPr>
                <w:rFonts w:ascii="Times New Roman" w:hAnsi="Times New Roman"/>
                <w:b/>
                <w:i/>
                <w:lang w:eastAsia="lv-LV"/>
              </w:rPr>
              <w:t>euro</w:t>
            </w:r>
          </w:p>
        </w:tc>
      </w:tr>
      <w:tr w:rsidR="00856315" w14:paraId="7FEC0FF7" w14:textId="77777777" w:rsidTr="00C4284B">
        <w:trPr>
          <w:jc w:val="center"/>
        </w:trPr>
        <w:tc>
          <w:tcPr>
            <w:tcW w:w="1980" w:type="dxa"/>
          </w:tcPr>
          <w:p w14:paraId="44A8D4CC" w14:textId="77777777" w:rsidR="00856315" w:rsidRPr="003103F4" w:rsidRDefault="00856315" w:rsidP="003A01F7">
            <w:pPr>
              <w:jc w:val="center"/>
              <w:rPr>
                <w:rFonts w:ascii="Times New Roman" w:hAnsi="Times New Roman"/>
                <w:lang w:eastAsia="lv-LV"/>
              </w:rPr>
            </w:pPr>
            <w:r>
              <w:rPr>
                <w:rFonts w:ascii="Times New Roman" w:hAnsi="Times New Roman"/>
                <w:lang w:eastAsia="lv-LV"/>
              </w:rPr>
              <w:t>1</w:t>
            </w:r>
          </w:p>
        </w:tc>
        <w:tc>
          <w:tcPr>
            <w:tcW w:w="1417" w:type="dxa"/>
          </w:tcPr>
          <w:p w14:paraId="1BF871AD" w14:textId="77777777" w:rsidR="00856315" w:rsidRPr="003103F4" w:rsidRDefault="00856315" w:rsidP="003A01F7">
            <w:pPr>
              <w:jc w:val="center"/>
              <w:rPr>
                <w:rFonts w:ascii="Times New Roman" w:hAnsi="Times New Roman"/>
                <w:lang w:eastAsia="lv-LV"/>
              </w:rPr>
            </w:pPr>
            <w:r>
              <w:rPr>
                <w:rFonts w:ascii="Times New Roman" w:hAnsi="Times New Roman"/>
                <w:lang w:eastAsia="lv-LV"/>
              </w:rPr>
              <w:t>2</w:t>
            </w:r>
          </w:p>
        </w:tc>
        <w:tc>
          <w:tcPr>
            <w:tcW w:w="1418" w:type="dxa"/>
          </w:tcPr>
          <w:p w14:paraId="252DABFA" w14:textId="77777777" w:rsidR="00856315" w:rsidRPr="003103F4" w:rsidRDefault="00856315" w:rsidP="003A01F7">
            <w:pPr>
              <w:jc w:val="center"/>
              <w:rPr>
                <w:rFonts w:ascii="Times New Roman" w:hAnsi="Times New Roman"/>
                <w:lang w:eastAsia="lv-LV"/>
              </w:rPr>
            </w:pPr>
            <w:r>
              <w:rPr>
                <w:rFonts w:ascii="Times New Roman" w:hAnsi="Times New Roman"/>
                <w:lang w:eastAsia="lv-LV"/>
              </w:rPr>
              <w:t>3</w:t>
            </w:r>
          </w:p>
        </w:tc>
        <w:tc>
          <w:tcPr>
            <w:tcW w:w="1276" w:type="dxa"/>
          </w:tcPr>
          <w:p w14:paraId="642B5D26" w14:textId="77777777" w:rsidR="00856315" w:rsidRDefault="00856315" w:rsidP="003A01F7">
            <w:pPr>
              <w:jc w:val="center"/>
              <w:rPr>
                <w:rFonts w:ascii="Times New Roman" w:hAnsi="Times New Roman"/>
                <w:lang w:eastAsia="lv-LV"/>
              </w:rPr>
            </w:pPr>
            <w:r>
              <w:rPr>
                <w:rFonts w:ascii="Times New Roman" w:hAnsi="Times New Roman"/>
                <w:lang w:eastAsia="lv-LV"/>
              </w:rPr>
              <w:t>4=3/12*9</w:t>
            </w:r>
          </w:p>
        </w:tc>
        <w:tc>
          <w:tcPr>
            <w:tcW w:w="1483" w:type="dxa"/>
          </w:tcPr>
          <w:p w14:paraId="6EA17802" w14:textId="77777777" w:rsidR="00856315" w:rsidRPr="003103F4" w:rsidRDefault="00856315" w:rsidP="003A01F7">
            <w:pPr>
              <w:jc w:val="center"/>
              <w:rPr>
                <w:rFonts w:ascii="Times New Roman" w:hAnsi="Times New Roman"/>
                <w:lang w:eastAsia="lv-LV"/>
              </w:rPr>
            </w:pPr>
            <w:r>
              <w:rPr>
                <w:rFonts w:ascii="Times New Roman" w:hAnsi="Times New Roman"/>
                <w:lang w:eastAsia="lv-LV"/>
              </w:rPr>
              <w:t>5=2*3</w:t>
            </w:r>
          </w:p>
        </w:tc>
        <w:tc>
          <w:tcPr>
            <w:tcW w:w="1483" w:type="dxa"/>
          </w:tcPr>
          <w:p w14:paraId="4385D292" w14:textId="77777777" w:rsidR="00856315" w:rsidRDefault="00856315" w:rsidP="003A01F7">
            <w:pPr>
              <w:jc w:val="center"/>
              <w:rPr>
                <w:rFonts w:ascii="Times New Roman" w:hAnsi="Times New Roman"/>
                <w:lang w:eastAsia="lv-LV"/>
              </w:rPr>
            </w:pPr>
            <w:r>
              <w:rPr>
                <w:rFonts w:ascii="Times New Roman" w:hAnsi="Times New Roman"/>
                <w:lang w:eastAsia="lv-LV"/>
              </w:rPr>
              <w:t>6=4*2</w:t>
            </w:r>
          </w:p>
        </w:tc>
      </w:tr>
      <w:tr w:rsidR="00856315" w14:paraId="1D2A815F" w14:textId="77777777" w:rsidTr="00C4284B">
        <w:trPr>
          <w:jc w:val="center"/>
        </w:trPr>
        <w:tc>
          <w:tcPr>
            <w:tcW w:w="1980" w:type="dxa"/>
          </w:tcPr>
          <w:p w14:paraId="1E2D6A46" w14:textId="77777777" w:rsidR="00856315" w:rsidRPr="003103F4" w:rsidRDefault="00856315" w:rsidP="003A01F7">
            <w:pPr>
              <w:jc w:val="center"/>
              <w:rPr>
                <w:rFonts w:ascii="Times New Roman" w:hAnsi="Times New Roman"/>
                <w:lang w:eastAsia="lv-LV"/>
              </w:rPr>
            </w:pPr>
            <w:r w:rsidRPr="003103F4">
              <w:rPr>
                <w:rFonts w:ascii="Times New Roman" w:hAnsi="Times New Roman"/>
                <w:lang w:eastAsia="lv-LV"/>
              </w:rPr>
              <w:t>16</w:t>
            </w:r>
            <w:r>
              <w:rPr>
                <w:rFonts w:ascii="Times New Roman" w:hAnsi="Times New Roman"/>
                <w:lang w:eastAsia="lv-LV"/>
              </w:rPr>
              <w:t>,</w:t>
            </w:r>
            <w:r w:rsidRPr="003103F4">
              <w:rPr>
                <w:rFonts w:ascii="Times New Roman" w:hAnsi="Times New Roman"/>
                <w:lang w:eastAsia="lv-LV"/>
              </w:rPr>
              <w:t>82</w:t>
            </w:r>
          </w:p>
        </w:tc>
        <w:tc>
          <w:tcPr>
            <w:tcW w:w="1417" w:type="dxa"/>
          </w:tcPr>
          <w:p w14:paraId="4F52B680" w14:textId="77777777" w:rsidR="00856315" w:rsidRPr="003103F4" w:rsidRDefault="00856315" w:rsidP="003A01F7">
            <w:pPr>
              <w:jc w:val="center"/>
              <w:rPr>
                <w:rFonts w:ascii="Times New Roman" w:hAnsi="Times New Roman"/>
                <w:lang w:eastAsia="lv-LV"/>
              </w:rPr>
            </w:pPr>
            <w:r w:rsidRPr="003103F4">
              <w:rPr>
                <w:rFonts w:ascii="Times New Roman" w:hAnsi="Times New Roman"/>
                <w:lang w:eastAsia="lv-LV"/>
              </w:rPr>
              <w:t>4</w:t>
            </w:r>
            <w:r>
              <w:rPr>
                <w:rFonts w:ascii="Times New Roman" w:hAnsi="Times New Roman"/>
                <w:lang w:eastAsia="lv-LV"/>
              </w:rPr>
              <w:t>,</w:t>
            </w:r>
            <w:r w:rsidRPr="003103F4">
              <w:rPr>
                <w:rFonts w:ascii="Times New Roman" w:hAnsi="Times New Roman"/>
                <w:lang w:eastAsia="lv-LV"/>
              </w:rPr>
              <w:t>10</w:t>
            </w:r>
          </w:p>
        </w:tc>
        <w:tc>
          <w:tcPr>
            <w:tcW w:w="1418" w:type="dxa"/>
          </w:tcPr>
          <w:p w14:paraId="333039BF" w14:textId="77777777" w:rsidR="00856315" w:rsidRPr="003103F4" w:rsidRDefault="00856315" w:rsidP="003A01F7">
            <w:pPr>
              <w:jc w:val="center"/>
              <w:rPr>
                <w:rFonts w:ascii="Times New Roman" w:hAnsi="Times New Roman"/>
                <w:lang w:eastAsia="lv-LV"/>
              </w:rPr>
            </w:pPr>
            <w:r w:rsidRPr="003103F4">
              <w:rPr>
                <w:rFonts w:ascii="Times New Roman" w:hAnsi="Times New Roman"/>
                <w:lang w:eastAsia="lv-LV"/>
              </w:rPr>
              <w:t>871 961</w:t>
            </w:r>
          </w:p>
        </w:tc>
        <w:tc>
          <w:tcPr>
            <w:tcW w:w="1276" w:type="dxa"/>
          </w:tcPr>
          <w:p w14:paraId="5C2427C8" w14:textId="77777777" w:rsidR="00856315" w:rsidRPr="003103F4" w:rsidRDefault="00856315" w:rsidP="003A01F7">
            <w:pPr>
              <w:jc w:val="center"/>
              <w:rPr>
                <w:rFonts w:ascii="Times New Roman" w:hAnsi="Times New Roman"/>
                <w:lang w:eastAsia="lv-LV"/>
              </w:rPr>
            </w:pPr>
            <w:r>
              <w:rPr>
                <w:rFonts w:ascii="Times New Roman" w:hAnsi="Times New Roman"/>
                <w:lang w:eastAsia="lv-LV"/>
              </w:rPr>
              <w:t>653 971</w:t>
            </w:r>
          </w:p>
        </w:tc>
        <w:tc>
          <w:tcPr>
            <w:tcW w:w="1483" w:type="dxa"/>
          </w:tcPr>
          <w:p w14:paraId="721703DD" w14:textId="77777777" w:rsidR="00856315" w:rsidRPr="003103F4" w:rsidRDefault="00856315" w:rsidP="003A01F7">
            <w:pPr>
              <w:jc w:val="center"/>
              <w:rPr>
                <w:rFonts w:ascii="Times New Roman" w:hAnsi="Times New Roman"/>
                <w:lang w:eastAsia="lv-LV"/>
              </w:rPr>
            </w:pPr>
            <w:r w:rsidRPr="003103F4">
              <w:rPr>
                <w:rFonts w:ascii="Times New Roman" w:hAnsi="Times New Roman"/>
                <w:lang w:eastAsia="lv-LV"/>
              </w:rPr>
              <w:t>3 575 040</w:t>
            </w:r>
          </w:p>
        </w:tc>
        <w:tc>
          <w:tcPr>
            <w:tcW w:w="1483" w:type="dxa"/>
          </w:tcPr>
          <w:p w14:paraId="77FC17D0" w14:textId="77777777" w:rsidR="00856315" w:rsidRPr="003103F4" w:rsidRDefault="00856315" w:rsidP="003A01F7">
            <w:pPr>
              <w:jc w:val="center"/>
              <w:rPr>
                <w:rFonts w:ascii="Times New Roman" w:hAnsi="Times New Roman"/>
                <w:lang w:eastAsia="lv-LV"/>
              </w:rPr>
            </w:pPr>
            <w:r>
              <w:rPr>
                <w:rFonts w:ascii="Times New Roman" w:hAnsi="Times New Roman"/>
                <w:lang w:eastAsia="lv-LV"/>
              </w:rPr>
              <w:t>2 681 281</w:t>
            </w:r>
          </w:p>
        </w:tc>
      </w:tr>
    </w:tbl>
    <w:p w14:paraId="58A6C7B3" w14:textId="77777777" w:rsidR="00856315" w:rsidRDefault="00856315" w:rsidP="007075FF">
      <w:pPr>
        <w:rPr>
          <w:rFonts w:ascii="Times New Roman" w:hAnsi="Times New Roman" w:cs="Times New Roman"/>
          <w:b/>
          <w:sz w:val="24"/>
          <w:szCs w:val="24"/>
          <w:lang w:eastAsia="lv-LV"/>
        </w:rPr>
      </w:pPr>
    </w:p>
    <w:p w14:paraId="666BFE46" w14:textId="62AF37E5" w:rsidR="00FF02DA" w:rsidRDefault="007075FF" w:rsidP="007075FF">
      <w:pPr>
        <w:spacing w:after="120"/>
        <w:ind w:firstLine="720"/>
        <w:jc w:val="both"/>
        <w:rPr>
          <w:rFonts w:ascii="Times New Roman" w:hAnsi="Times New Roman" w:cs="Times New Roman"/>
          <w:color w:val="000000"/>
          <w:sz w:val="24"/>
          <w:szCs w:val="24"/>
          <w:lang w:eastAsia="lv-LV"/>
        </w:rPr>
      </w:pPr>
      <w:r>
        <w:rPr>
          <w:rFonts w:ascii="Times New Roman" w:hAnsi="Times New Roman" w:cs="Times New Roman"/>
          <w:sz w:val="24"/>
          <w:szCs w:val="24"/>
          <w:lang w:eastAsia="lv-LV"/>
        </w:rPr>
        <w:t>Kopumā s</w:t>
      </w:r>
      <w:r w:rsidRPr="00847710">
        <w:rPr>
          <w:rFonts w:ascii="Times New Roman" w:hAnsi="Times New Roman" w:cs="Times New Roman"/>
          <w:sz w:val="24"/>
          <w:szCs w:val="24"/>
          <w:lang w:eastAsia="lv-LV"/>
        </w:rPr>
        <w:t xml:space="preserve">traujāku papildus pakalpojumu sniegšanu ierobežo arī ārstniecības iestāžu spēja (kapacitāte) sniegt nepieciešamos pakalpojumus valsts pasūtītajā apjomā. Tam pamatā ir atšķirība starp faktisko tirgus cenu pakalpojuma apmaksas tarifu, galvenokārt darba samaksas jomā, kas pietiekami ātri neatļauj piesaistīt uz maksas pakalpojumu sektoru pārgājušo darbaspēku. </w:t>
      </w:r>
      <w:r>
        <w:rPr>
          <w:rFonts w:ascii="Times New Roman" w:hAnsi="Times New Roman" w:cs="Times New Roman"/>
          <w:sz w:val="24"/>
          <w:szCs w:val="24"/>
          <w:lang w:eastAsia="lv-LV"/>
        </w:rPr>
        <w:t xml:space="preserve">Tomēr pateicoties papildus piešķirtajam finansējumam ārstniecības personām un palielinoties kopējam nozares finansējuma apmēram pozitīva tendence ir parādījusies, jo, atbilstoši NVD datiem 2018.gada 6 mēnešos par 41 unikālo ārstu skaitu speciālistu pakalpojumu veidos ir pieaudzis valsts sektorā strādājošo ārstu skaits salīdzinoši ar 2017.gada 6 mēnešu datiem. Tāpat 2018.gada 6 mēnešos pieaudzis par 55 922 sniegto aprūpes epizožu skaits. </w:t>
      </w:r>
      <w:r w:rsidRPr="00847710">
        <w:rPr>
          <w:rFonts w:ascii="Times New Roman" w:hAnsi="Times New Roman" w:cs="Times New Roman"/>
          <w:sz w:val="24"/>
          <w:szCs w:val="24"/>
          <w:lang w:eastAsia="lv-LV"/>
        </w:rPr>
        <w:t>Kā secināms, lai nodrošinātu ārstniecības iestāžu iespējas sniegt vēl vairāk valsts apmaksātus pakalpojumus, nepieciešams pakāpeniski palielināt ārstniecības personu darba samaksu, tādējādi ārstniecības personām radot apstākļus izvēlēties sniegt valsts apmaksātus pakalpojumus, maksas pakalpojumu vietā</w:t>
      </w:r>
      <w:r w:rsidRPr="008016B1">
        <w:rPr>
          <w:rFonts w:ascii="Times New Roman" w:hAnsi="Times New Roman" w:cs="Times New Roman"/>
          <w:sz w:val="24"/>
          <w:szCs w:val="24"/>
          <w:lang w:eastAsia="lv-LV"/>
        </w:rPr>
        <w:t xml:space="preserve">. Arī 2019.gadā Veselības ministrija </w:t>
      </w:r>
      <w:r>
        <w:rPr>
          <w:rFonts w:ascii="Times New Roman" w:hAnsi="Times New Roman" w:cs="Times New Roman"/>
          <w:sz w:val="24"/>
          <w:szCs w:val="24"/>
          <w:lang w:eastAsia="lv-LV"/>
        </w:rPr>
        <w:t>p</w:t>
      </w:r>
      <w:r w:rsidRPr="008016B1">
        <w:rPr>
          <w:rFonts w:ascii="Times New Roman" w:hAnsi="Times New Roman" w:cs="Times New Roman"/>
          <w:sz w:val="24"/>
          <w:szCs w:val="24"/>
          <w:lang w:eastAsia="lv-LV"/>
        </w:rPr>
        <w:t xml:space="preserve">lāno darba samaksas palielinājumu par 20%, kas sekmētu ārstniecības personu vēlmi realizēt savas iegūtās zināšanas, prasmes un iemaņas strādājot valsts sektorā. </w:t>
      </w:r>
      <w:r>
        <w:rPr>
          <w:rFonts w:ascii="Times New Roman" w:hAnsi="Times New Roman" w:cs="Times New Roman"/>
          <w:sz w:val="24"/>
          <w:szCs w:val="24"/>
          <w:lang w:eastAsia="lv-LV"/>
        </w:rPr>
        <w:t>Līdz ar to nepieciešams turpināt iesāktos darbus 2019.gadā un iesākt jaunu iniciatīvu attīstību pilnveidojot piedāvāto pakalpojumu apjomu</w:t>
      </w:r>
      <w:r w:rsidR="002D5295">
        <w:rPr>
          <w:rFonts w:ascii="Times New Roman" w:hAnsi="Times New Roman" w:cs="Times New Roman"/>
          <w:sz w:val="24"/>
          <w:szCs w:val="24"/>
          <w:lang w:eastAsia="lv-LV"/>
        </w:rPr>
        <w:t>.</w:t>
      </w:r>
    </w:p>
    <w:p w14:paraId="79BCD1BD" w14:textId="730E72E5" w:rsidR="00D07823" w:rsidRPr="00560715" w:rsidRDefault="0071331A" w:rsidP="00E93259">
      <w:pPr>
        <w:pStyle w:val="Heading2"/>
        <w:spacing w:before="100" w:beforeAutospacing="1"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CC64B7">
        <w:rPr>
          <w:rFonts w:ascii="Times New Roman" w:hAnsi="Times New Roman" w:cs="Times New Roman"/>
          <w:b/>
          <w:bCs/>
          <w:color w:val="auto"/>
          <w:sz w:val="24"/>
          <w:szCs w:val="24"/>
          <w:u w:val="single"/>
        </w:rPr>
        <w:t>4</w:t>
      </w:r>
      <w:r w:rsidR="005B46C3" w:rsidRPr="0012317D">
        <w:rPr>
          <w:rFonts w:ascii="Times New Roman" w:hAnsi="Times New Roman" w:cs="Times New Roman"/>
          <w:b/>
          <w:bCs/>
          <w:color w:val="auto"/>
          <w:sz w:val="24"/>
          <w:szCs w:val="24"/>
          <w:u w:val="single"/>
        </w:rPr>
        <w:t xml:space="preserve">. </w:t>
      </w:r>
      <w:r w:rsidR="00784CDF">
        <w:rPr>
          <w:rFonts w:ascii="Times New Roman" w:hAnsi="Times New Roman" w:cs="Times New Roman"/>
          <w:b/>
          <w:bCs/>
          <w:color w:val="auto"/>
          <w:sz w:val="24"/>
          <w:szCs w:val="24"/>
          <w:u w:val="single"/>
        </w:rPr>
        <w:t>D</w:t>
      </w:r>
      <w:r w:rsidRPr="00901A9F">
        <w:rPr>
          <w:rFonts w:ascii="Times New Roman" w:hAnsi="Times New Roman" w:cs="Times New Roman"/>
          <w:b/>
          <w:bCs/>
          <w:color w:val="auto"/>
          <w:sz w:val="24"/>
          <w:szCs w:val="24"/>
          <w:u w:val="single"/>
        </w:rPr>
        <w:t>iabēta apmācības kabinetu izveide</w:t>
      </w:r>
    </w:p>
    <w:p w14:paraId="6283725D" w14:textId="5C8456FD" w:rsidR="00993CCD" w:rsidRDefault="00F35A2A" w:rsidP="00FF02DA">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5A7185">
        <w:rPr>
          <w:rFonts w:ascii="Times New Roman" w:hAnsi="Times New Roman" w:cs="Times New Roman"/>
          <w:sz w:val="24"/>
          <w:szCs w:val="24"/>
        </w:rPr>
        <w:t>2018.gada informatīvajā ziņojumā plānotajam ir nepieciešams turpināt iesāktās reformas arī 2019.gadā</w:t>
      </w:r>
      <w:r w:rsidR="00BD7B63">
        <w:rPr>
          <w:rFonts w:ascii="Times New Roman" w:hAnsi="Times New Roman" w:cs="Times New Roman"/>
          <w:sz w:val="24"/>
          <w:szCs w:val="24"/>
        </w:rPr>
        <w:t xml:space="preserve"> (12.tabula)</w:t>
      </w:r>
      <w:r w:rsidR="005A7185">
        <w:rPr>
          <w:rFonts w:ascii="Times New Roman" w:hAnsi="Times New Roman" w:cs="Times New Roman"/>
          <w:sz w:val="24"/>
          <w:szCs w:val="24"/>
        </w:rPr>
        <w:t xml:space="preserve">. </w:t>
      </w:r>
    </w:p>
    <w:p w14:paraId="397F5934" w14:textId="77777777" w:rsidR="0090538F" w:rsidRDefault="0090538F" w:rsidP="00993CCD">
      <w:pPr>
        <w:spacing w:after="120"/>
        <w:ind w:firstLine="709"/>
        <w:jc w:val="right"/>
        <w:rPr>
          <w:rFonts w:ascii="Times New Roman" w:hAnsi="Times New Roman" w:cs="Times New Roman"/>
          <w:i/>
          <w:sz w:val="24"/>
          <w:szCs w:val="24"/>
        </w:rPr>
        <w:sectPr w:rsidR="0090538F" w:rsidSect="006138D3">
          <w:pgSz w:w="12240" w:h="15840"/>
          <w:pgMar w:top="1440" w:right="1440" w:bottom="1440" w:left="1701" w:header="708" w:footer="708" w:gutter="0"/>
          <w:cols w:space="708"/>
          <w:titlePg/>
          <w:docGrid w:linePitch="360"/>
        </w:sectPr>
      </w:pPr>
    </w:p>
    <w:p w14:paraId="624A9951" w14:textId="56CAB49A" w:rsidR="00993CCD" w:rsidRDefault="00993CCD" w:rsidP="00993CCD">
      <w:pPr>
        <w:spacing w:after="120"/>
        <w:ind w:firstLine="709"/>
        <w:jc w:val="right"/>
        <w:rPr>
          <w:rFonts w:ascii="Times New Roman" w:hAnsi="Times New Roman" w:cs="Times New Roman"/>
          <w:i/>
          <w:sz w:val="24"/>
          <w:szCs w:val="24"/>
        </w:rPr>
      </w:pPr>
      <w:r w:rsidRPr="00993CCD">
        <w:rPr>
          <w:rFonts w:ascii="Times New Roman" w:hAnsi="Times New Roman" w:cs="Times New Roman"/>
          <w:i/>
          <w:sz w:val="24"/>
          <w:szCs w:val="24"/>
        </w:rPr>
        <w:lastRenderedPageBreak/>
        <w:t>12.tabula</w:t>
      </w:r>
    </w:p>
    <w:p w14:paraId="43D775B9" w14:textId="45804E3D" w:rsidR="00993CCD" w:rsidRDefault="00993CCD" w:rsidP="00993CCD">
      <w:pPr>
        <w:spacing w:after="120"/>
        <w:ind w:firstLine="709"/>
        <w:jc w:val="center"/>
        <w:rPr>
          <w:rFonts w:ascii="Times New Roman" w:hAnsi="Times New Roman" w:cs="Times New Roman"/>
          <w:b/>
          <w:sz w:val="24"/>
          <w:szCs w:val="24"/>
        </w:rPr>
      </w:pPr>
      <w:r w:rsidRPr="00993CCD">
        <w:rPr>
          <w:rFonts w:ascii="Times New Roman" w:hAnsi="Times New Roman" w:cs="Times New Roman"/>
          <w:b/>
          <w:sz w:val="24"/>
          <w:szCs w:val="24"/>
        </w:rPr>
        <w:t>Diabēta kabinetu izveidei 2017., 2018. un 2019.gadā nepieciešamais finansējums</w:t>
      </w:r>
    </w:p>
    <w:tbl>
      <w:tblPr>
        <w:tblW w:w="12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97"/>
        <w:gridCol w:w="851"/>
        <w:gridCol w:w="846"/>
        <w:gridCol w:w="850"/>
        <w:gridCol w:w="851"/>
        <w:gridCol w:w="850"/>
        <w:gridCol w:w="992"/>
        <w:gridCol w:w="851"/>
        <w:gridCol w:w="709"/>
        <w:gridCol w:w="850"/>
        <w:gridCol w:w="851"/>
        <w:gridCol w:w="1134"/>
        <w:gridCol w:w="850"/>
      </w:tblGrid>
      <w:tr w:rsidR="00A11CC5" w14:paraId="77B57AD4" w14:textId="77777777" w:rsidTr="00C4284B">
        <w:trPr>
          <w:cantSplit/>
          <w:trHeight w:val="1505"/>
          <w:jc w:val="center"/>
        </w:trPr>
        <w:tc>
          <w:tcPr>
            <w:tcW w:w="425" w:type="dxa"/>
            <w:shd w:val="clear" w:color="auto" w:fill="E36C0A" w:themeFill="accent6" w:themeFillShade="BF"/>
          </w:tcPr>
          <w:p w14:paraId="3BDE6AF5" w14:textId="77777777" w:rsidR="00A11CC5" w:rsidRPr="00847710" w:rsidRDefault="00A11CC5" w:rsidP="005C58C0">
            <w:pPr>
              <w:spacing w:after="0" w:line="240" w:lineRule="auto"/>
              <w:rPr>
                <w:rFonts w:ascii="Times New Roman" w:eastAsia="Times New Roman" w:hAnsi="Times New Roman" w:cs="Times New Roman"/>
                <w:b/>
                <w:bCs/>
                <w:sz w:val="20"/>
                <w:szCs w:val="20"/>
                <w:lang w:eastAsia="lv-LV"/>
              </w:rPr>
            </w:pPr>
          </w:p>
        </w:tc>
        <w:tc>
          <w:tcPr>
            <w:tcW w:w="850" w:type="dxa"/>
            <w:shd w:val="clear" w:color="auto" w:fill="E36C0A" w:themeFill="accent6" w:themeFillShade="BF"/>
            <w:vAlign w:val="center"/>
            <w:hideMark/>
          </w:tcPr>
          <w:p w14:paraId="5EB9FF5C" w14:textId="77777777" w:rsidR="00A11CC5" w:rsidRPr="00847710" w:rsidRDefault="00A11CC5" w:rsidP="005C58C0">
            <w:pPr>
              <w:spacing w:after="0" w:line="240" w:lineRule="auto"/>
              <w:rPr>
                <w:rFonts w:ascii="Times New Roman" w:eastAsia="Times New Roman" w:hAnsi="Times New Roman" w:cs="Times New Roman"/>
                <w:b/>
                <w:bCs/>
                <w:sz w:val="20"/>
                <w:szCs w:val="20"/>
                <w:lang w:eastAsia="lv-LV"/>
              </w:rPr>
            </w:pPr>
          </w:p>
        </w:tc>
        <w:tc>
          <w:tcPr>
            <w:tcW w:w="997" w:type="dxa"/>
            <w:shd w:val="clear" w:color="auto" w:fill="E36C0A" w:themeFill="accent6" w:themeFillShade="BF"/>
            <w:textDirection w:val="btLr"/>
            <w:vAlign w:val="center"/>
            <w:hideMark/>
          </w:tcPr>
          <w:p w14:paraId="20865BC4" w14:textId="77777777" w:rsidR="00A11CC5" w:rsidRPr="00847710" w:rsidRDefault="00A11CC5"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ārstēšanas</w:t>
            </w:r>
          </w:p>
          <w:p w14:paraId="5D7B44E5" w14:textId="77777777" w:rsidR="00A11CC5" w:rsidRPr="00847710" w:rsidRDefault="00A11CC5"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r>
              <w:rPr>
                <w:rFonts w:ascii="Times New Roman" w:eastAsia="Times New Roman" w:hAnsi="Times New Roman" w:cs="Times New Roman"/>
                <w:b/>
                <w:bCs/>
                <w:sz w:val="20"/>
                <w:szCs w:val="20"/>
                <w:lang w:eastAsia="lv-LV"/>
              </w:rPr>
              <w:t>*</w:t>
            </w:r>
          </w:p>
          <w:p w14:paraId="5D0EE519" w14:textId="77777777" w:rsidR="00A11CC5" w:rsidRPr="00847710" w:rsidRDefault="00A11CC5" w:rsidP="005C58C0">
            <w:pPr>
              <w:spacing w:after="0" w:line="240" w:lineRule="auto"/>
              <w:ind w:left="113" w:right="113"/>
              <w:jc w:val="center"/>
              <w:rPr>
                <w:rFonts w:ascii="Times New Roman" w:eastAsia="Times New Roman" w:hAnsi="Times New Roman" w:cs="Times New Roman"/>
                <w:b/>
                <w:bCs/>
                <w:sz w:val="20"/>
                <w:szCs w:val="20"/>
                <w:lang w:eastAsia="lv-LV"/>
              </w:rPr>
            </w:pPr>
          </w:p>
        </w:tc>
        <w:tc>
          <w:tcPr>
            <w:tcW w:w="2547" w:type="dxa"/>
            <w:gridSpan w:val="3"/>
            <w:shd w:val="clear" w:color="auto" w:fill="E36C0A" w:themeFill="accent6" w:themeFillShade="BF"/>
            <w:textDirection w:val="btLr"/>
            <w:vAlign w:val="center"/>
          </w:tcPr>
          <w:p w14:paraId="1F77DD1B" w14:textId="77777777" w:rsidR="00A11CC5" w:rsidRPr="00847710" w:rsidRDefault="00A11CC5" w:rsidP="005C58C0">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693" w:type="dxa"/>
            <w:gridSpan w:val="3"/>
            <w:shd w:val="clear" w:color="auto" w:fill="E36C0A" w:themeFill="accent6" w:themeFillShade="BF"/>
            <w:textDirection w:val="btLr"/>
            <w:vAlign w:val="center"/>
          </w:tcPr>
          <w:p w14:paraId="546A134C" w14:textId="77777777" w:rsidR="00A11CC5" w:rsidRPr="00847710" w:rsidRDefault="00A11CC5"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410" w:type="dxa"/>
            <w:gridSpan w:val="3"/>
            <w:shd w:val="clear" w:color="auto" w:fill="E36C0A" w:themeFill="accent6" w:themeFillShade="BF"/>
            <w:textDirection w:val="btLr"/>
            <w:vAlign w:val="center"/>
          </w:tcPr>
          <w:p w14:paraId="0473372F" w14:textId="77777777" w:rsidR="00A11CC5" w:rsidRPr="00847710" w:rsidRDefault="00A11CC5"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835" w:type="dxa"/>
            <w:gridSpan w:val="3"/>
            <w:shd w:val="clear" w:color="auto" w:fill="E36C0A" w:themeFill="accent6" w:themeFillShade="BF"/>
            <w:textDirection w:val="btLr"/>
            <w:vAlign w:val="center"/>
          </w:tcPr>
          <w:p w14:paraId="5318C11E" w14:textId="77777777" w:rsidR="00A11CC5" w:rsidRPr="00847710" w:rsidRDefault="00A11CC5"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C4284B" w14:paraId="4115170A" w14:textId="77777777" w:rsidTr="00C4284B">
        <w:trPr>
          <w:trHeight w:val="640"/>
          <w:jc w:val="center"/>
        </w:trPr>
        <w:tc>
          <w:tcPr>
            <w:tcW w:w="425" w:type="dxa"/>
            <w:shd w:val="clear" w:color="auto" w:fill="FABF8F" w:themeFill="accent6" w:themeFillTint="99"/>
          </w:tcPr>
          <w:p w14:paraId="08361C8B"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FABF8F" w:themeFill="accent6" w:themeFillTint="99"/>
            <w:vAlign w:val="center"/>
          </w:tcPr>
          <w:p w14:paraId="1EF1A7FC"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p>
        </w:tc>
        <w:tc>
          <w:tcPr>
            <w:tcW w:w="997" w:type="dxa"/>
            <w:shd w:val="clear" w:color="auto" w:fill="FABF8F" w:themeFill="accent6" w:themeFillTint="99"/>
            <w:vAlign w:val="center"/>
          </w:tcPr>
          <w:p w14:paraId="37C63DD2" w14:textId="77777777" w:rsidR="00A11CC5" w:rsidRPr="00847710" w:rsidRDefault="00A11CC5" w:rsidP="005C58C0">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4B3E81DF"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38092706" w14:textId="77777777" w:rsidR="00A11CC5"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522AD0F1" w14:textId="77777777" w:rsidR="00A11CC5" w:rsidRPr="0012317D" w:rsidRDefault="00A11CC5"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46" w:type="dxa"/>
            <w:shd w:val="clear" w:color="auto" w:fill="FABF8F" w:themeFill="accent6" w:themeFillTint="99"/>
            <w:vAlign w:val="center"/>
          </w:tcPr>
          <w:p w14:paraId="4F9E9D7E" w14:textId="77777777" w:rsidR="00A11CC5"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130CD2DA" w14:textId="77777777" w:rsidR="00A11CC5" w:rsidRPr="0012317D" w:rsidRDefault="00A11CC5"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6E01B422" w14:textId="77777777" w:rsidR="00A11CC5"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52686C5E" w14:textId="77777777" w:rsidR="00A11CC5" w:rsidRPr="0012317D" w:rsidRDefault="00A11CC5"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0B124145" w14:textId="77777777" w:rsidR="00A11CC5"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565EB5DA" w14:textId="77777777" w:rsidR="00A11CC5" w:rsidRPr="0012317D" w:rsidRDefault="00A11CC5"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0A735878" w14:textId="77777777" w:rsidR="00A11CC5"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0615B922" w14:textId="77777777" w:rsidR="00A11CC5" w:rsidRPr="0012317D" w:rsidRDefault="00A11CC5"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0A6BF00C" w14:textId="77777777" w:rsidR="00A11CC5" w:rsidRPr="00C86312" w:rsidRDefault="00A11CC5" w:rsidP="005C58C0">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69E4B3A7" w14:textId="77777777" w:rsidR="00A11CC5" w:rsidRPr="00C86312" w:rsidRDefault="00A11CC5" w:rsidP="005C58C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05CD0FD3"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26E4B253"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2E99D51F"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1" w:type="dxa"/>
            <w:shd w:val="clear" w:color="auto" w:fill="FABF8F" w:themeFill="accent6" w:themeFillTint="99"/>
            <w:vAlign w:val="center"/>
          </w:tcPr>
          <w:p w14:paraId="5E91DE3A"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1134" w:type="dxa"/>
            <w:shd w:val="clear" w:color="auto" w:fill="FABF8F" w:themeFill="accent6" w:themeFillTint="99"/>
            <w:vAlign w:val="center"/>
          </w:tcPr>
          <w:p w14:paraId="1D073A5A"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39565C06" w14:textId="77777777" w:rsidR="00A11CC5" w:rsidRPr="00847710" w:rsidRDefault="00A11CC5" w:rsidP="005C58C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C4284B" w14:paraId="71085EAB" w14:textId="77777777" w:rsidTr="00C4284B">
        <w:trPr>
          <w:trHeight w:val="598"/>
          <w:jc w:val="center"/>
        </w:trPr>
        <w:tc>
          <w:tcPr>
            <w:tcW w:w="425" w:type="dxa"/>
            <w:shd w:val="clear" w:color="auto" w:fill="FFFFFF" w:themeFill="background1"/>
          </w:tcPr>
          <w:p w14:paraId="6121B1B3" w14:textId="77777777" w:rsidR="00A11CC5" w:rsidRPr="00E1067B"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850" w:type="dxa"/>
            <w:shd w:val="clear" w:color="auto" w:fill="FFFFFF" w:themeFill="background1"/>
            <w:vAlign w:val="center"/>
          </w:tcPr>
          <w:p w14:paraId="64AAFC69" w14:textId="17B12C89" w:rsidR="00A11CC5" w:rsidRPr="00030FAC" w:rsidRDefault="00A11CC5" w:rsidP="00A11CC5">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sz w:val="16"/>
                <w:szCs w:val="16"/>
                <w:lang w:eastAsia="lv-LV"/>
              </w:rPr>
              <w:t>Diabēta kabinetu izveide</w:t>
            </w:r>
          </w:p>
        </w:tc>
        <w:tc>
          <w:tcPr>
            <w:tcW w:w="997" w:type="dxa"/>
            <w:shd w:val="clear" w:color="auto" w:fill="FFFFFF" w:themeFill="background1"/>
            <w:vAlign w:val="center"/>
          </w:tcPr>
          <w:p w14:paraId="0EA246ED" w14:textId="77777777" w:rsidR="00A11CC5" w:rsidRPr="00030FAC" w:rsidRDefault="00A11CC5" w:rsidP="00A11CC5">
            <w:pPr>
              <w:spacing w:after="0" w:line="240" w:lineRule="auto"/>
              <w:jc w:val="center"/>
              <w:rPr>
                <w:rFonts w:ascii="Times New Roman" w:eastAsia="Times New Roman" w:hAnsi="Times New Roman" w:cs="Times New Roman"/>
                <w:iCs/>
                <w:sz w:val="16"/>
                <w:szCs w:val="16"/>
                <w:lang w:eastAsia="lv-LV"/>
              </w:rPr>
            </w:pPr>
          </w:p>
        </w:tc>
        <w:tc>
          <w:tcPr>
            <w:tcW w:w="851" w:type="dxa"/>
            <w:shd w:val="clear" w:color="auto" w:fill="FFFFFF" w:themeFill="background1"/>
            <w:vAlign w:val="center"/>
          </w:tcPr>
          <w:p w14:paraId="0287B277" w14:textId="77777777" w:rsidR="00A11CC5"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46" w:type="dxa"/>
            <w:shd w:val="clear" w:color="auto" w:fill="FFFFFF" w:themeFill="background1"/>
            <w:vAlign w:val="center"/>
          </w:tcPr>
          <w:p w14:paraId="2AD633D5" w14:textId="77777777" w:rsidR="00A11CC5"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68F397C" w14:textId="77777777" w:rsidR="00A11CC5" w:rsidRPr="00E1067B"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F9D4959" w14:textId="77777777" w:rsidR="00A11CC5"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013CC8E" w14:textId="315F9FAE" w:rsidR="00A11CC5" w:rsidRPr="00030FAC"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hAnsi="Times New Roman" w:cs="Times New Roman"/>
                <w:sz w:val="16"/>
                <w:szCs w:val="16"/>
              </w:rPr>
              <w:t>139 912</w:t>
            </w:r>
          </w:p>
        </w:tc>
        <w:tc>
          <w:tcPr>
            <w:tcW w:w="992" w:type="dxa"/>
            <w:shd w:val="clear" w:color="auto" w:fill="FFFFFF" w:themeFill="background1"/>
            <w:vAlign w:val="center"/>
          </w:tcPr>
          <w:p w14:paraId="129B0262" w14:textId="36592215" w:rsidR="00A11CC5" w:rsidRPr="00030FAC" w:rsidRDefault="00D60FF0" w:rsidP="00A11CC5">
            <w:pPr>
              <w:spacing w:after="0" w:line="240" w:lineRule="auto"/>
              <w:jc w:val="center"/>
              <w:rPr>
                <w:rFonts w:ascii="Times New Roman" w:eastAsia="Times New Roman" w:hAnsi="Times New Roman" w:cs="Times New Roman"/>
                <w:bCs/>
                <w:sz w:val="20"/>
                <w:szCs w:val="20"/>
                <w:lang w:eastAsia="lv-LV"/>
              </w:rPr>
            </w:pPr>
            <w:r>
              <w:rPr>
                <w:rFonts w:ascii="Times New Roman" w:hAnsi="Times New Roman" w:cs="Times New Roman"/>
                <w:sz w:val="16"/>
                <w:szCs w:val="16"/>
              </w:rPr>
              <w:t>225 768</w:t>
            </w:r>
          </w:p>
        </w:tc>
        <w:tc>
          <w:tcPr>
            <w:tcW w:w="851" w:type="dxa"/>
            <w:shd w:val="clear" w:color="auto" w:fill="FFFFFF" w:themeFill="background1"/>
            <w:vAlign w:val="center"/>
          </w:tcPr>
          <w:p w14:paraId="5FB7362E" w14:textId="77777777" w:rsidR="00A11CC5" w:rsidRPr="00E1067B"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12A65C46" w14:textId="77777777" w:rsidR="00A11CC5" w:rsidRPr="00E1067B"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32E975D" w14:textId="77777777" w:rsidR="00A11CC5" w:rsidRPr="00E1067B"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D718B85" w14:textId="77777777" w:rsidR="00A11CC5" w:rsidRDefault="00A11CC5" w:rsidP="00A11CC5">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08026B20" w14:textId="3377982C" w:rsidR="00A11CC5" w:rsidRPr="00C4284B" w:rsidRDefault="00D60FF0" w:rsidP="00A11CC5">
            <w:pPr>
              <w:spacing w:after="0" w:line="240" w:lineRule="auto"/>
              <w:jc w:val="center"/>
              <w:rPr>
                <w:rFonts w:ascii="Times New Roman" w:eastAsia="Times New Roman" w:hAnsi="Times New Roman" w:cs="Times New Roman"/>
                <w:bCs/>
                <w:sz w:val="20"/>
                <w:szCs w:val="20"/>
                <w:lang w:eastAsia="lv-LV"/>
              </w:rPr>
            </w:pPr>
            <w:r w:rsidRPr="00C4284B">
              <w:rPr>
                <w:rFonts w:ascii="Times New Roman" w:eastAsia="Times New Roman" w:hAnsi="Times New Roman" w:cs="Times New Roman"/>
                <w:bCs/>
                <w:sz w:val="20"/>
                <w:szCs w:val="20"/>
                <w:lang w:eastAsia="lv-LV"/>
              </w:rPr>
              <w:t>33 264</w:t>
            </w:r>
          </w:p>
        </w:tc>
        <w:tc>
          <w:tcPr>
            <w:tcW w:w="850" w:type="dxa"/>
            <w:shd w:val="clear" w:color="auto" w:fill="FFFFFF" w:themeFill="background1"/>
            <w:vAlign w:val="center"/>
          </w:tcPr>
          <w:p w14:paraId="5FD45D33" w14:textId="73E51A2B" w:rsidR="00A11CC5" w:rsidRPr="00C4284B" w:rsidRDefault="00A11CC5" w:rsidP="00A11CC5">
            <w:pPr>
              <w:spacing w:after="0" w:line="240" w:lineRule="auto"/>
              <w:jc w:val="center"/>
              <w:rPr>
                <w:rFonts w:ascii="Times New Roman" w:eastAsia="Times New Roman" w:hAnsi="Times New Roman" w:cs="Times New Roman"/>
                <w:bCs/>
                <w:sz w:val="20"/>
                <w:szCs w:val="20"/>
                <w:lang w:eastAsia="lv-LV"/>
              </w:rPr>
            </w:pPr>
            <w:r w:rsidRPr="00C4284B">
              <w:rPr>
                <w:rFonts w:ascii="Times New Roman" w:hAnsi="Times New Roman" w:cs="Times New Roman"/>
                <w:bCs/>
                <w:sz w:val="16"/>
                <w:szCs w:val="16"/>
              </w:rPr>
              <w:t>41 769</w:t>
            </w:r>
          </w:p>
        </w:tc>
      </w:tr>
      <w:tr w:rsidR="00C4284B" w:rsidRPr="00C4284B" w14:paraId="4554A15A" w14:textId="77777777" w:rsidTr="00C4284B">
        <w:trPr>
          <w:trHeight w:val="296"/>
          <w:jc w:val="center"/>
        </w:trPr>
        <w:tc>
          <w:tcPr>
            <w:tcW w:w="425" w:type="dxa"/>
            <w:shd w:val="clear" w:color="auto" w:fill="FBD4B4" w:themeFill="accent6" w:themeFillTint="66"/>
          </w:tcPr>
          <w:p w14:paraId="6924AA99" w14:textId="77777777" w:rsidR="00A11CC5" w:rsidRPr="00C4284B" w:rsidRDefault="00A11CC5" w:rsidP="00A11CC5">
            <w:pPr>
              <w:spacing w:after="0" w:line="240" w:lineRule="auto"/>
              <w:rPr>
                <w:rFonts w:ascii="Times New Roman" w:eastAsia="Times New Roman" w:hAnsi="Times New Roman" w:cs="Times New Roman"/>
                <w:b/>
                <w:sz w:val="20"/>
                <w:szCs w:val="20"/>
                <w:lang w:eastAsia="lv-LV"/>
              </w:rPr>
            </w:pPr>
          </w:p>
        </w:tc>
        <w:tc>
          <w:tcPr>
            <w:tcW w:w="850" w:type="dxa"/>
            <w:shd w:val="clear" w:color="auto" w:fill="FBD4B4" w:themeFill="accent6" w:themeFillTint="66"/>
            <w:vAlign w:val="bottom"/>
          </w:tcPr>
          <w:p w14:paraId="3EB19FC0" w14:textId="77777777" w:rsidR="00A11CC5" w:rsidRPr="00C4284B" w:rsidRDefault="00A11CC5" w:rsidP="00A11CC5">
            <w:pPr>
              <w:spacing w:after="0" w:line="240" w:lineRule="auto"/>
              <w:rPr>
                <w:rFonts w:ascii="Times New Roman" w:eastAsia="Times New Roman" w:hAnsi="Times New Roman" w:cs="Times New Roman"/>
                <w:b/>
                <w:sz w:val="20"/>
                <w:szCs w:val="20"/>
                <w:lang w:eastAsia="lv-LV"/>
              </w:rPr>
            </w:pPr>
            <w:r w:rsidRPr="00C4284B">
              <w:rPr>
                <w:rFonts w:ascii="Times New Roman" w:eastAsia="Times New Roman" w:hAnsi="Times New Roman" w:cs="Times New Roman"/>
                <w:b/>
                <w:sz w:val="20"/>
                <w:szCs w:val="20"/>
                <w:lang w:eastAsia="lv-LV"/>
              </w:rPr>
              <w:t>Kopā</w:t>
            </w:r>
          </w:p>
        </w:tc>
        <w:tc>
          <w:tcPr>
            <w:tcW w:w="997" w:type="dxa"/>
            <w:shd w:val="clear" w:color="auto" w:fill="FBD4B4" w:themeFill="accent6" w:themeFillTint="66"/>
            <w:noWrap/>
            <w:vAlign w:val="bottom"/>
          </w:tcPr>
          <w:p w14:paraId="3F4A5F5E" w14:textId="77777777" w:rsidR="00A11CC5" w:rsidRPr="00C4284B" w:rsidRDefault="00A11CC5" w:rsidP="00A11CC5">
            <w:pPr>
              <w:spacing w:after="0" w:line="240" w:lineRule="auto"/>
              <w:jc w:val="center"/>
              <w:rPr>
                <w:rFonts w:ascii="Times New Roman" w:eastAsia="Times New Roman" w:hAnsi="Times New Roman" w:cs="Times New Roman"/>
                <w:b/>
                <w:sz w:val="20"/>
                <w:szCs w:val="20"/>
                <w:lang w:eastAsia="lv-LV"/>
              </w:rPr>
            </w:pPr>
          </w:p>
        </w:tc>
        <w:tc>
          <w:tcPr>
            <w:tcW w:w="851" w:type="dxa"/>
            <w:shd w:val="clear" w:color="auto" w:fill="FBD4B4" w:themeFill="accent6" w:themeFillTint="66"/>
            <w:vAlign w:val="center"/>
          </w:tcPr>
          <w:p w14:paraId="23397217" w14:textId="77777777" w:rsidR="00A11CC5" w:rsidRPr="00C4284B" w:rsidRDefault="00A11CC5" w:rsidP="00A11CC5">
            <w:pPr>
              <w:spacing w:after="0" w:line="240" w:lineRule="auto"/>
              <w:jc w:val="center"/>
              <w:rPr>
                <w:rFonts w:ascii="Times New Roman" w:hAnsi="Times New Roman" w:cs="Times New Roman"/>
                <w:b/>
                <w:sz w:val="20"/>
                <w:szCs w:val="20"/>
              </w:rPr>
            </w:pPr>
          </w:p>
        </w:tc>
        <w:tc>
          <w:tcPr>
            <w:tcW w:w="846" w:type="dxa"/>
            <w:shd w:val="clear" w:color="auto" w:fill="FBD4B4" w:themeFill="accent6" w:themeFillTint="66"/>
            <w:vAlign w:val="center"/>
          </w:tcPr>
          <w:p w14:paraId="6DDAA722" w14:textId="77777777" w:rsidR="00A11CC5" w:rsidRPr="00C4284B" w:rsidRDefault="00A11CC5" w:rsidP="00A11CC5">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vAlign w:val="center"/>
          </w:tcPr>
          <w:p w14:paraId="784AA7D4" w14:textId="77777777" w:rsidR="00A11CC5" w:rsidRPr="00C4284B" w:rsidRDefault="00A11CC5" w:rsidP="00A11CC5">
            <w:pPr>
              <w:spacing w:after="0" w:line="240" w:lineRule="auto"/>
              <w:jc w:val="center"/>
              <w:rPr>
                <w:rFonts w:ascii="Times New Roman" w:hAnsi="Times New Roman" w:cs="Times New Roman"/>
                <w:b/>
                <w:sz w:val="20"/>
                <w:szCs w:val="20"/>
              </w:rPr>
            </w:pPr>
          </w:p>
        </w:tc>
        <w:tc>
          <w:tcPr>
            <w:tcW w:w="851" w:type="dxa"/>
            <w:shd w:val="clear" w:color="auto" w:fill="FBD4B4" w:themeFill="accent6" w:themeFillTint="66"/>
            <w:vAlign w:val="center"/>
          </w:tcPr>
          <w:p w14:paraId="6315602E" w14:textId="77777777" w:rsidR="00A11CC5" w:rsidRPr="00C4284B" w:rsidRDefault="00A11CC5" w:rsidP="00A11CC5">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vAlign w:val="center"/>
          </w:tcPr>
          <w:p w14:paraId="4617C1C4" w14:textId="5B165047" w:rsidR="00A11CC5" w:rsidRPr="00C4284B" w:rsidRDefault="00A11CC5" w:rsidP="00A11CC5">
            <w:pPr>
              <w:spacing w:after="0" w:line="240" w:lineRule="auto"/>
              <w:jc w:val="center"/>
              <w:rPr>
                <w:rFonts w:ascii="Times New Roman" w:hAnsi="Times New Roman" w:cs="Times New Roman"/>
                <w:b/>
                <w:sz w:val="20"/>
                <w:szCs w:val="20"/>
              </w:rPr>
            </w:pPr>
            <w:r w:rsidRPr="00C4284B">
              <w:rPr>
                <w:rFonts w:ascii="Times New Roman" w:hAnsi="Times New Roman" w:cs="Times New Roman"/>
                <w:b/>
                <w:sz w:val="16"/>
                <w:szCs w:val="16"/>
              </w:rPr>
              <w:t>139 912</w:t>
            </w:r>
          </w:p>
        </w:tc>
        <w:tc>
          <w:tcPr>
            <w:tcW w:w="992" w:type="dxa"/>
            <w:shd w:val="clear" w:color="auto" w:fill="FBD4B4" w:themeFill="accent6" w:themeFillTint="66"/>
            <w:noWrap/>
            <w:vAlign w:val="center"/>
          </w:tcPr>
          <w:p w14:paraId="18715C1D" w14:textId="147D5354" w:rsidR="00A11CC5" w:rsidRPr="00C4284B" w:rsidRDefault="00D60FF0" w:rsidP="00A11CC5">
            <w:pPr>
              <w:spacing w:after="0" w:line="240" w:lineRule="auto"/>
              <w:jc w:val="center"/>
              <w:rPr>
                <w:rFonts w:ascii="Times New Roman" w:eastAsia="Times New Roman" w:hAnsi="Times New Roman" w:cs="Times New Roman"/>
                <w:b/>
                <w:sz w:val="20"/>
                <w:szCs w:val="20"/>
                <w:lang w:eastAsia="lv-LV"/>
              </w:rPr>
            </w:pPr>
            <w:r w:rsidRPr="00C4284B">
              <w:rPr>
                <w:rFonts w:ascii="Times New Roman" w:hAnsi="Times New Roman" w:cs="Times New Roman"/>
                <w:b/>
                <w:sz w:val="16"/>
                <w:szCs w:val="16"/>
              </w:rPr>
              <w:t>225 768</w:t>
            </w:r>
          </w:p>
        </w:tc>
        <w:tc>
          <w:tcPr>
            <w:tcW w:w="851" w:type="dxa"/>
            <w:shd w:val="clear" w:color="auto" w:fill="FBD4B4" w:themeFill="accent6" w:themeFillTint="66"/>
            <w:vAlign w:val="center"/>
          </w:tcPr>
          <w:p w14:paraId="4FE78B31" w14:textId="77777777" w:rsidR="00A11CC5" w:rsidRPr="00C4284B" w:rsidRDefault="00A11CC5" w:rsidP="00A11CC5">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00D3BBA9" w14:textId="77777777" w:rsidR="00A11CC5" w:rsidRPr="00C4284B" w:rsidRDefault="00A11CC5" w:rsidP="00A11CC5">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55D2E23D" w14:textId="77777777" w:rsidR="00A11CC5" w:rsidRPr="00C4284B" w:rsidRDefault="00A11CC5" w:rsidP="00A11CC5">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163E1F92" w14:textId="77777777" w:rsidR="00A11CC5" w:rsidRPr="00C4284B" w:rsidRDefault="00A11CC5" w:rsidP="00A11CC5">
            <w:pPr>
              <w:spacing w:after="0" w:line="240" w:lineRule="auto"/>
              <w:jc w:val="center"/>
              <w:rPr>
                <w:rFonts w:ascii="Times New Roman" w:hAnsi="Times New Roman" w:cs="Times New Roman"/>
                <w:b/>
                <w:bCs/>
                <w:sz w:val="20"/>
                <w:szCs w:val="20"/>
              </w:rPr>
            </w:pPr>
          </w:p>
        </w:tc>
        <w:tc>
          <w:tcPr>
            <w:tcW w:w="1134" w:type="dxa"/>
            <w:shd w:val="clear" w:color="auto" w:fill="FBD4B4" w:themeFill="accent6" w:themeFillTint="66"/>
            <w:vAlign w:val="center"/>
          </w:tcPr>
          <w:p w14:paraId="684DE812" w14:textId="50D39CA7" w:rsidR="00A11CC5" w:rsidRPr="00C4284B" w:rsidRDefault="00D60FF0" w:rsidP="00A11CC5">
            <w:pPr>
              <w:spacing w:after="0" w:line="240" w:lineRule="auto"/>
              <w:jc w:val="center"/>
              <w:rPr>
                <w:rFonts w:ascii="Times New Roman" w:hAnsi="Times New Roman" w:cs="Times New Roman"/>
                <w:b/>
                <w:bCs/>
                <w:sz w:val="20"/>
                <w:szCs w:val="20"/>
              </w:rPr>
            </w:pPr>
            <w:r w:rsidRPr="00C4284B">
              <w:rPr>
                <w:rFonts w:ascii="Times New Roman" w:eastAsia="Times New Roman" w:hAnsi="Times New Roman" w:cs="Times New Roman"/>
                <w:b/>
                <w:bCs/>
                <w:sz w:val="20"/>
                <w:szCs w:val="20"/>
                <w:lang w:eastAsia="lv-LV"/>
              </w:rPr>
              <w:t>33 264</w:t>
            </w:r>
          </w:p>
        </w:tc>
        <w:tc>
          <w:tcPr>
            <w:tcW w:w="850" w:type="dxa"/>
            <w:shd w:val="clear" w:color="auto" w:fill="FBD4B4" w:themeFill="accent6" w:themeFillTint="66"/>
            <w:noWrap/>
            <w:vAlign w:val="center"/>
          </w:tcPr>
          <w:p w14:paraId="0FCCF80C" w14:textId="5AE8407D" w:rsidR="00A11CC5" w:rsidRPr="00C4284B" w:rsidRDefault="00A11CC5" w:rsidP="00A11CC5">
            <w:pPr>
              <w:spacing w:after="0" w:line="240" w:lineRule="auto"/>
              <w:jc w:val="center"/>
              <w:rPr>
                <w:rFonts w:ascii="Times New Roman" w:eastAsia="Times New Roman" w:hAnsi="Times New Roman" w:cs="Times New Roman"/>
                <w:b/>
                <w:bCs/>
                <w:sz w:val="20"/>
                <w:szCs w:val="20"/>
                <w:lang w:eastAsia="lv-LV"/>
              </w:rPr>
            </w:pPr>
            <w:r w:rsidRPr="00C4284B">
              <w:rPr>
                <w:rFonts w:ascii="Times New Roman" w:hAnsi="Times New Roman" w:cs="Times New Roman"/>
                <w:b/>
                <w:bCs/>
                <w:sz w:val="16"/>
                <w:szCs w:val="16"/>
              </w:rPr>
              <w:t>41 769</w:t>
            </w:r>
          </w:p>
        </w:tc>
      </w:tr>
    </w:tbl>
    <w:p w14:paraId="66465831" w14:textId="6BEC9C85" w:rsidR="00A11CC5" w:rsidRPr="00C4284B" w:rsidRDefault="00B132AB" w:rsidP="00B132AB">
      <w:pPr>
        <w:spacing w:after="120"/>
        <w:ind w:firstLine="709"/>
        <w:rPr>
          <w:rFonts w:ascii="Times New Roman" w:hAnsi="Times New Roman" w:cs="Times New Roman"/>
          <w:sz w:val="20"/>
          <w:szCs w:val="20"/>
        </w:rPr>
      </w:pPr>
      <w:r w:rsidRPr="00C4284B">
        <w:rPr>
          <w:rFonts w:ascii="Times New Roman" w:hAnsi="Times New Roman" w:cs="Times New Roman"/>
          <w:sz w:val="20"/>
          <w:szCs w:val="20"/>
        </w:rPr>
        <w:t>*detalizētus aprēķinus skatīt 13.tabulā</w:t>
      </w:r>
    </w:p>
    <w:p w14:paraId="5A77AAC0" w14:textId="77777777" w:rsidR="00A11CC5" w:rsidRPr="00993CCD" w:rsidRDefault="00A11CC5" w:rsidP="00993CCD">
      <w:pPr>
        <w:spacing w:after="120"/>
        <w:ind w:firstLine="709"/>
        <w:jc w:val="center"/>
        <w:rPr>
          <w:rFonts w:ascii="Times New Roman" w:hAnsi="Times New Roman" w:cs="Times New Roman"/>
          <w:b/>
          <w:sz w:val="24"/>
          <w:szCs w:val="24"/>
        </w:rPr>
      </w:pPr>
    </w:p>
    <w:p w14:paraId="115F1BDE" w14:textId="77777777" w:rsidR="0090538F" w:rsidRDefault="0090538F" w:rsidP="00993CCD">
      <w:pPr>
        <w:spacing w:after="120"/>
        <w:ind w:firstLine="709"/>
        <w:jc w:val="right"/>
        <w:rPr>
          <w:rFonts w:ascii="Times New Roman" w:hAnsi="Times New Roman" w:cs="Times New Roman"/>
          <w:i/>
          <w:sz w:val="24"/>
          <w:szCs w:val="24"/>
        </w:rPr>
        <w:sectPr w:rsidR="0090538F" w:rsidSect="00E11AFF">
          <w:pgSz w:w="15840" w:h="12240" w:orient="landscape"/>
          <w:pgMar w:top="1701" w:right="1440" w:bottom="1440" w:left="1440" w:header="709" w:footer="709" w:gutter="0"/>
          <w:cols w:space="708"/>
          <w:docGrid w:linePitch="360"/>
        </w:sectPr>
      </w:pPr>
    </w:p>
    <w:p w14:paraId="6B15E653" w14:textId="658DF0E3" w:rsidR="00993CCD" w:rsidRPr="00993CCD" w:rsidRDefault="00993CCD" w:rsidP="00993CCD">
      <w:pPr>
        <w:spacing w:after="120"/>
        <w:ind w:firstLine="709"/>
        <w:jc w:val="right"/>
        <w:rPr>
          <w:rFonts w:ascii="Times New Roman" w:hAnsi="Times New Roman" w:cs="Times New Roman"/>
          <w:i/>
          <w:sz w:val="24"/>
          <w:szCs w:val="24"/>
        </w:rPr>
      </w:pPr>
    </w:p>
    <w:p w14:paraId="2D18BDE3" w14:textId="7CC1F1C0" w:rsidR="003A24BA" w:rsidRPr="007F6AC5" w:rsidRDefault="005A7185" w:rsidP="00FF02DA">
      <w:pPr>
        <w:spacing w:after="120"/>
        <w:ind w:firstLine="709"/>
        <w:jc w:val="both"/>
        <w:rPr>
          <w:rFonts w:ascii="Times New Roman" w:hAnsi="Times New Roman" w:cs="Times New Roman"/>
          <w:sz w:val="24"/>
          <w:szCs w:val="24"/>
          <w:lang w:eastAsia="lv-LV"/>
        </w:rPr>
      </w:pPr>
      <w:r>
        <w:rPr>
          <w:rFonts w:ascii="Times New Roman" w:hAnsi="Times New Roman" w:cs="Times New Roman"/>
          <w:sz w:val="24"/>
          <w:szCs w:val="24"/>
        </w:rPr>
        <w:t xml:space="preserve">Ņemot vērā </w:t>
      </w:r>
      <w:r w:rsidR="007F6143" w:rsidRPr="00007A5A">
        <w:rPr>
          <w:rFonts w:ascii="Times New Roman" w:hAnsi="Times New Roman" w:cs="Times New Roman"/>
          <w:sz w:val="24"/>
          <w:szCs w:val="24"/>
        </w:rPr>
        <w:t>2018.gada 1.pusgad</w:t>
      </w:r>
      <w:r w:rsidR="00A42D33">
        <w:rPr>
          <w:rFonts w:ascii="Times New Roman" w:hAnsi="Times New Roman" w:cs="Times New Roman"/>
          <w:sz w:val="24"/>
          <w:szCs w:val="24"/>
        </w:rPr>
        <w:t xml:space="preserve">a </w:t>
      </w:r>
      <w:r w:rsidR="00964180">
        <w:rPr>
          <w:rFonts w:ascii="Times New Roman" w:hAnsi="Times New Roman" w:cs="Times New Roman"/>
          <w:sz w:val="24"/>
          <w:szCs w:val="24"/>
        </w:rPr>
        <w:t>izpildes</w:t>
      </w:r>
      <w:r>
        <w:rPr>
          <w:rFonts w:ascii="Times New Roman" w:hAnsi="Times New Roman" w:cs="Times New Roman"/>
          <w:sz w:val="24"/>
          <w:szCs w:val="24"/>
        </w:rPr>
        <w:t xml:space="preserve"> dat</w:t>
      </w:r>
      <w:r w:rsidR="00A42D33">
        <w:rPr>
          <w:rFonts w:ascii="Times New Roman" w:hAnsi="Times New Roman" w:cs="Times New Roman"/>
          <w:sz w:val="24"/>
          <w:szCs w:val="24"/>
        </w:rPr>
        <w:t>us</w:t>
      </w:r>
      <w:r>
        <w:rPr>
          <w:rFonts w:ascii="Times New Roman" w:hAnsi="Times New Roman" w:cs="Times New Roman"/>
          <w:sz w:val="24"/>
          <w:szCs w:val="24"/>
        </w:rPr>
        <w:t>, k</w:t>
      </w:r>
      <w:r w:rsidR="00704874">
        <w:rPr>
          <w:rFonts w:ascii="Times New Roman" w:hAnsi="Times New Roman" w:cs="Times New Roman"/>
          <w:sz w:val="24"/>
          <w:szCs w:val="24"/>
        </w:rPr>
        <w:t>ur</w:t>
      </w:r>
      <w:r>
        <w:rPr>
          <w:rFonts w:ascii="Times New Roman" w:hAnsi="Times New Roman" w:cs="Times New Roman"/>
          <w:sz w:val="24"/>
          <w:szCs w:val="24"/>
        </w:rPr>
        <w:t xml:space="preserve"> </w:t>
      </w:r>
      <w:r w:rsidR="006628E5">
        <w:rPr>
          <w:rFonts w:ascii="Times New Roman" w:hAnsi="Times New Roman" w:cs="Times New Roman"/>
          <w:sz w:val="24"/>
          <w:szCs w:val="24"/>
        </w:rPr>
        <w:t xml:space="preserve">10 </w:t>
      </w:r>
      <w:r w:rsidR="007F6143" w:rsidRPr="00007A5A">
        <w:rPr>
          <w:rFonts w:ascii="Times New Roman" w:hAnsi="Times New Roman" w:cs="Times New Roman"/>
          <w:sz w:val="24"/>
          <w:szCs w:val="24"/>
        </w:rPr>
        <w:t>izveidotajos diabēta apmācību kabinetos pacientu apmācība tika veikta 6</w:t>
      </w:r>
      <w:r w:rsidR="00CA7E42">
        <w:rPr>
          <w:rFonts w:ascii="Times New Roman" w:hAnsi="Times New Roman" w:cs="Times New Roman"/>
          <w:sz w:val="24"/>
          <w:szCs w:val="24"/>
        </w:rPr>
        <w:t> </w:t>
      </w:r>
      <w:r w:rsidR="007F6143" w:rsidRPr="00007A5A">
        <w:rPr>
          <w:rFonts w:ascii="Times New Roman" w:hAnsi="Times New Roman" w:cs="Times New Roman"/>
          <w:sz w:val="24"/>
          <w:szCs w:val="24"/>
        </w:rPr>
        <w:t>541 reizi, 2</w:t>
      </w:r>
      <w:r w:rsidR="00CA7E42">
        <w:rPr>
          <w:rFonts w:ascii="Times New Roman" w:hAnsi="Times New Roman" w:cs="Times New Roman"/>
          <w:sz w:val="24"/>
          <w:szCs w:val="24"/>
        </w:rPr>
        <w:t> </w:t>
      </w:r>
      <w:r w:rsidR="007F6143" w:rsidRPr="00007A5A">
        <w:rPr>
          <w:rFonts w:ascii="Times New Roman" w:hAnsi="Times New Roman" w:cs="Times New Roman"/>
          <w:sz w:val="24"/>
          <w:szCs w:val="24"/>
        </w:rPr>
        <w:t xml:space="preserve">133 unikālajiem pacientiem par kopējo summu 55 647 </w:t>
      </w:r>
      <w:r w:rsidR="007F6143" w:rsidRPr="00277C2F">
        <w:rPr>
          <w:rFonts w:ascii="Times New Roman" w:hAnsi="Times New Roman" w:cs="Times New Roman"/>
          <w:i/>
          <w:sz w:val="24"/>
          <w:szCs w:val="24"/>
        </w:rPr>
        <w:t>euro</w:t>
      </w:r>
      <w:r w:rsidR="007F6143" w:rsidRPr="00007A5A">
        <w:rPr>
          <w:rFonts w:ascii="Times New Roman" w:hAnsi="Times New Roman" w:cs="Times New Roman"/>
          <w:sz w:val="24"/>
          <w:szCs w:val="24"/>
        </w:rPr>
        <w:t xml:space="preserve"> jeb 39,77% no gada plānotā finansējuma</w:t>
      </w:r>
      <w:r w:rsidR="00A42D33">
        <w:rPr>
          <w:rFonts w:ascii="Times New Roman" w:hAnsi="Times New Roman" w:cs="Times New Roman"/>
          <w:sz w:val="24"/>
          <w:szCs w:val="24"/>
          <w:lang w:eastAsia="lv-LV"/>
        </w:rPr>
        <w:t xml:space="preserve"> ir</w:t>
      </w:r>
      <w:r w:rsidR="007F6143">
        <w:rPr>
          <w:rFonts w:ascii="Times New Roman" w:hAnsi="Times New Roman" w:cs="Times New Roman"/>
          <w:sz w:val="24"/>
          <w:szCs w:val="24"/>
          <w:lang w:eastAsia="lv-LV"/>
        </w:rPr>
        <w:t xml:space="preserve"> </w:t>
      </w:r>
      <w:r w:rsidR="00A42D33">
        <w:rPr>
          <w:rFonts w:ascii="Times New Roman" w:hAnsi="Times New Roman" w:cs="Times New Roman"/>
          <w:sz w:val="24"/>
          <w:szCs w:val="24"/>
          <w:lang w:eastAsia="lv-LV"/>
        </w:rPr>
        <w:t>novērota pozitīva</w:t>
      </w:r>
      <w:r w:rsidR="006628E5">
        <w:rPr>
          <w:rFonts w:ascii="Times New Roman" w:hAnsi="Times New Roman" w:cs="Times New Roman"/>
          <w:sz w:val="24"/>
          <w:szCs w:val="24"/>
          <w:lang w:eastAsia="lv-LV"/>
        </w:rPr>
        <w:t xml:space="preserve"> tendenc</w:t>
      </w:r>
      <w:r w:rsidR="00A42D33">
        <w:rPr>
          <w:rFonts w:ascii="Times New Roman" w:hAnsi="Times New Roman" w:cs="Times New Roman"/>
          <w:sz w:val="24"/>
          <w:szCs w:val="24"/>
          <w:lang w:eastAsia="lv-LV"/>
        </w:rPr>
        <w:t>e</w:t>
      </w:r>
      <w:r w:rsidR="006628E5">
        <w:rPr>
          <w:rFonts w:ascii="Times New Roman" w:hAnsi="Times New Roman" w:cs="Times New Roman"/>
          <w:sz w:val="24"/>
          <w:szCs w:val="24"/>
          <w:lang w:eastAsia="lv-LV"/>
        </w:rPr>
        <w:t xml:space="preserve"> </w:t>
      </w:r>
      <w:r w:rsidR="00784CDF">
        <w:rPr>
          <w:rFonts w:ascii="Times New Roman" w:hAnsi="Times New Roman" w:cs="Times New Roman"/>
          <w:sz w:val="24"/>
          <w:szCs w:val="24"/>
          <w:lang w:eastAsia="lv-LV"/>
        </w:rPr>
        <w:t xml:space="preserve">no </w:t>
      </w:r>
      <w:r w:rsidR="006628E5">
        <w:rPr>
          <w:rFonts w:ascii="Times New Roman" w:hAnsi="Times New Roman" w:cs="Times New Roman"/>
          <w:sz w:val="24"/>
          <w:szCs w:val="24"/>
          <w:lang w:eastAsia="lv-LV"/>
        </w:rPr>
        <w:t>diabēta pacientu puses, izmantot iespēju apmeklēt jaunatvērtos diabēta apmācību kabinetus</w:t>
      </w:r>
      <w:r w:rsidR="003A218E">
        <w:rPr>
          <w:rFonts w:ascii="Times New Roman" w:hAnsi="Times New Roman" w:cs="Times New Roman"/>
          <w:sz w:val="24"/>
          <w:szCs w:val="24"/>
          <w:lang w:eastAsia="lv-LV"/>
        </w:rPr>
        <w:t xml:space="preserve">, kas </w:t>
      </w:r>
      <w:r w:rsidR="003A218E" w:rsidRPr="003A218E">
        <w:rPr>
          <w:rFonts w:ascii="Times New Roman" w:hAnsi="Times New Roman" w:cs="Times New Roman"/>
          <w:sz w:val="24"/>
          <w:szCs w:val="24"/>
          <w:lang w:eastAsia="lv-LV"/>
        </w:rPr>
        <w:t>veicina</w:t>
      </w:r>
      <w:r w:rsidR="00A42D33" w:rsidRPr="003A218E">
        <w:rPr>
          <w:rFonts w:ascii="Times New Roman" w:hAnsi="Times New Roman" w:cs="Times New Roman"/>
          <w:sz w:val="24"/>
          <w:szCs w:val="24"/>
          <w:lang w:eastAsia="lv-LV"/>
        </w:rPr>
        <w:t xml:space="preserve"> </w:t>
      </w:r>
      <w:r w:rsidR="003A218E" w:rsidRPr="003A218E">
        <w:rPr>
          <w:rFonts w:ascii="Times New Roman" w:hAnsi="Times New Roman"/>
          <w:bCs/>
          <w:sz w:val="24"/>
          <w:szCs w:val="24"/>
          <w:lang w:eastAsia="lv-LV"/>
        </w:rPr>
        <w:t>izpratni lietot nepieciešamos medikamentus un attīst</w:t>
      </w:r>
      <w:r w:rsidR="000B4248">
        <w:rPr>
          <w:rFonts w:ascii="Times New Roman" w:hAnsi="Times New Roman"/>
          <w:bCs/>
          <w:sz w:val="24"/>
          <w:szCs w:val="24"/>
          <w:lang w:eastAsia="lv-LV"/>
        </w:rPr>
        <w:t>ī</w:t>
      </w:r>
      <w:r w:rsidR="003A218E" w:rsidRPr="003A218E">
        <w:rPr>
          <w:rFonts w:ascii="Times New Roman" w:hAnsi="Times New Roman"/>
          <w:bCs/>
          <w:sz w:val="24"/>
          <w:szCs w:val="24"/>
          <w:lang w:eastAsia="lv-LV"/>
        </w:rPr>
        <w:t>t prasmi novērs</w:t>
      </w:r>
      <w:r w:rsidR="000B4248">
        <w:rPr>
          <w:rFonts w:ascii="Times New Roman" w:hAnsi="Times New Roman"/>
          <w:bCs/>
          <w:sz w:val="24"/>
          <w:szCs w:val="24"/>
          <w:lang w:eastAsia="lv-LV"/>
        </w:rPr>
        <w:t>t akūtus veselības sarežģījumus līdz ar to</w:t>
      </w:r>
      <w:r w:rsidR="003A218E" w:rsidRPr="003A218E">
        <w:rPr>
          <w:rFonts w:ascii="Times New Roman" w:hAnsi="Times New Roman"/>
          <w:bCs/>
          <w:sz w:val="24"/>
          <w:szCs w:val="24"/>
          <w:lang w:eastAsia="lv-LV"/>
        </w:rPr>
        <w:t xml:space="preserve"> samazinās akūtās un vēlīnās komplikācijas, invaliditātes iestāšanās riski un efektīvāk tiek izlietots veselības aprūpes finansējums, pacientiem saglabājot dzīves kvalitāti</w:t>
      </w:r>
      <w:r w:rsidR="003A218E">
        <w:rPr>
          <w:rFonts w:ascii="Times New Roman" w:hAnsi="Times New Roman"/>
          <w:b/>
          <w:bCs/>
          <w:sz w:val="24"/>
          <w:szCs w:val="24"/>
          <w:lang w:eastAsia="lv-LV"/>
        </w:rPr>
        <w:t xml:space="preserve"> </w:t>
      </w:r>
      <w:r w:rsidR="000B4248" w:rsidRPr="00FA6424">
        <w:rPr>
          <w:rFonts w:ascii="Times New Roman" w:hAnsi="Times New Roman"/>
          <w:bCs/>
          <w:sz w:val="24"/>
          <w:szCs w:val="24"/>
          <w:lang w:eastAsia="lv-LV"/>
        </w:rPr>
        <w:t>2</w:t>
      </w:r>
      <w:r w:rsidR="0071331A" w:rsidRPr="00847710">
        <w:rPr>
          <w:rFonts w:ascii="Times New Roman" w:hAnsi="Times New Roman" w:cs="Times New Roman"/>
          <w:sz w:val="24"/>
          <w:szCs w:val="24"/>
          <w:lang w:eastAsia="lv-LV"/>
        </w:rPr>
        <w:t>01</w:t>
      </w:r>
      <w:r w:rsidR="00720DFD">
        <w:rPr>
          <w:rFonts w:ascii="Times New Roman" w:hAnsi="Times New Roman" w:cs="Times New Roman"/>
          <w:sz w:val="24"/>
          <w:szCs w:val="24"/>
          <w:lang w:eastAsia="lv-LV"/>
        </w:rPr>
        <w:t>9</w:t>
      </w:r>
      <w:r w:rsidR="0071331A" w:rsidRPr="00847710">
        <w:rPr>
          <w:rFonts w:ascii="Times New Roman" w:hAnsi="Times New Roman" w:cs="Times New Roman"/>
          <w:sz w:val="24"/>
          <w:szCs w:val="24"/>
          <w:lang w:eastAsia="lv-LV"/>
        </w:rPr>
        <w:t xml:space="preserve">.gadā </w:t>
      </w:r>
      <w:r w:rsidR="000B4248">
        <w:rPr>
          <w:rFonts w:ascii="Times New Roman" w:hAnsi="Times New Roman" w:cs="Times New Roman"/>
          <w:sz w:val="24"/>
          <w:szCs w:val="24"/>
          <w:lang w:eastAsia="lv-LV"/>
        </w:rPr>
        <w:t>ir jā</w:t>
      </w:r>
      <w:r w:rsidR="00A42D33">
        <w:rPr>
          <w:rFonts w:ascii="Times New Roman" w:hAnsi="Times New Roman" w:cs="Times New Roman"/>
          <w:sz w:val="24"/>
          <w:szCs w:val="24"/>
          <w:lang w:eastAsia="lv-LV"/>
        </w:rPr>
        <w:t>tu</w:t>
      </w:r>
      <w:r w:rsidR="007F6143">
        <w:rPr>
          <w:rFonts w:ascii="Times New Roman" w:hAnsi="Times New Roman" w:cs="Times New Roman"/>
          <w:sz w:val="24"/>
          <w:szCs w:val="24"/>
          <w:lang w:eastAsia="lv-LV"/>
        </w:rPr>
        <w:t>rpin</w:t>
      </w:r>
      <w:r w:rsidR="00A42D33">
        <w:rPr>
          <w:rFonts w:ascii="Times New Roman" w:hAnsi="Times New Roman" w:cs="Times New Roman"/>
          <w:sz w:val="24"/>
          <w:szCs w:val="24"/>
          <w:lang w:eastAsia="lv-LV"/>
        </w:rPr>
        <w:t xml:space="preserve">a, </w:t>
      </w:r>
      <w:r w:rsidR="0071331A" w:rsidRPr="00847710">
        <w:rPr>
          <w:rFonts w:ascii="Times New Roman" w:hAnsi="Times New Roman" w:cs="Times New Roman"/>
          <w:sz w:val="24"/>
          <w:szCs w:val="24"/>
          <w:lang w:eastAsia="lv-LV"/>
        </w:rPr>
        <w:t xml:space="preserve">apmaksāt 11 </w:t>
      </w:r>
      <w:r w:rsidR="00DD467D">
        <w:rPr>
          <w:rFonts w:ascii="Times New Roman" w:hAnsi="Times New Roman" w:cs="Times New Roman"/>
          <w:sz w:val="24"/>
          <w:szCs w:val="24"/>
          <w:lang w:eastAsia="lv-LV"/>
        </w:rPr>
        <w:t xml:space="preserve">2018.gadā atvērtos </w:t>
      </w:r>
      <w:r w:rsidR="00BD7B63">
        <w:rPr>
          <w:rFonts w:ascii="Times New Roman" w:hAnsi="Times New Roman" w:cs="Times New Roman"/>
          <w:sz w:val="24"/>
          <w:szCs w:val="24"/>
          <w:lang w:eastAsia="lv-LV"/>
        </w:rPr>
        <w:t>diabēta apmācības kabinetus (4 </w:t>
      </w:r>
      <w:r w:rsidR="0071331A" w:rsidRPr="00847710">
        <w:rPr>
          <w:rFonts w:ascii="Times New Roman" w:hAnsi="Times New Roman" w:cs="Times New Roman"/>
          <w:sz w:val="24"/>
          <w:szCs w:val="24"/>
          <w:lang w:eastAsia="lv-LV"/>
        </w:rPr>
        <w:t>kabinetus universitātes slimnīcās un 7</w:t>
      </w:r>
      <w:r w:rsidR="00585D52">
        <w:rPr>
          <w:rFonts w:ascii="Times New Roman" w:hAnsi="Times New Roman" w:cs="Times New Roman"/>
          <w:sz w:val="24"/>
          <w:szCs w:val="24"/>
          <w:lang w:eastAsia="lv-LV"/>
        </w:rPr>
        <w:t> </w:t>
      </w:r>
      <w:r w:rsidR="0071331A" w:rsidRPr="00847710">
        <w:rPr>
          <w:rFonts w:ascii="Times New Roman" w:hAnsi="Times New Roman" w:cs="Times New Roman"/>
          <w:sz w:val="24"/>
          <w:szCs w:val="24"/>
          <w:lang w:eastAsia="lv-LV"/>
        </w:rPr>
        <w:t xml:space="preserve">reģionālās slimnīcās), </w:t>
      </w:r>
      <w:r w:rsidR="00B854FE">
        <w:rPr>
          <w:rFonts w:ascii="Times New Roman" w:hAnsi="Times New Roman" w:cs="Times New Roman"/>
          <w:sz w:val="24"/>
          <w:szCs w:val="24"/>
          <w:lang w:eastAsia="lv-LV"/>
        </w:rPr>
        <w:t xml:space="preserve">par kopējo </w:t>
      </w:r>
      <w:r w:rsidR="00B854FE" w:rsidRPr="007F6AC5">
        <w:rPr>
          <w:rFonts w:ascii="Times New Roman" w:hAnsi="Times New Roman" w:cs="Times New Roman"/>
          <w:sz w:val="24"/>
          <w:szCs w:val="24"/>
          <w:lang w:eastAsia="lv-LV"/>
        </w:rPr>
        <w:t>summu</w:t>
      </w:r>
      <w:r w:rsidR="0071331A" w:rsidRPr="007F6AC5">
        <w:rPr>
          <w:rFonts w:ascii="Times New Roman" w:hAnsi="Times New Roman" w:cs="Times New Roman"/>
          <w:sz w:val="24"/>
          <w:szCs w:val="24"/>
          <w:lang w:eastAsia="lv-LV"/>
        </w:rPr>
        <w:t xml:space="preserve"> </w:t>
      </w:r>
      <w:r w:rsidR="007F6143" w:rsidRPr="007F6AC5">
        <w:rPr>
          <w:rFonts w:ascii="Times New Roman" w:hAnsi="Times New Roman" w:cs="Times New Roman"/>
          <w:sz w:val="24"/>
          <w:szCs w:val="24"/>
          <w:lang w:eastAsia="lv-LV"/>
        </w:rPr>
        <w:t>139 912</w:t>
      </w:r>
      <w:r w:rsidR="0071331A" w:rsidRPr="007F6AC5">
        <w:rPr>
          <w:rFonts w:ascii="Times New Roman" w:hAnsi="Times New Roman" w:cs="Times New Roman"/>
          <w:sz w:val="24"/>
          <w:szCs w:val="24"/>
          <w:lang w:eastAsia="lv-LV"/>
        </w:rPr>
        <w:t xml:space="preserve"> </w:t>
      </w:r>
      <w:r w:rsidR="0071331A" w:rsidRPr="007F6AC5">
        <w:rPr>
          <w:rFonts w:ascii="Times New Roman" w:hAnsi="Times New Roman" w:cs="Times New Roman"/>
          <w:i/>
          <w:sz w:val="24"/>
          <w:szCs w:val="24"/>
          <w:lang w:eastAsia="lv-LV"/>
        </w:rPr>
        <w:t>euro</w:t>
      </w:r>
      <w:r w:rsidR="00DD467D" w:rsidRPr="007F6AC5">
        <w:rPr>
          <w:rFonts w:ascii="Times New Roman" w:hAnsi="Times New Roman" w:cs="Times New Roman"/>
          <w:i/>
          <w:sz w:val="24"/>
          <w:szCs w:val="24"/>
          <w:lang w:eastAsia="lv-LV"/>
        </w:rPr>
        <w:t xml:space="preserve"> </w:t>
      </w:r>
      <w:r w:rsidR="00DD467D" w:rsidRPr="007F6AC5">
        <w:rPr>
          <w:rFonts w:ascii="Times New Roman" w:hAnsi="Times New Roman" w:cs="Times New Roman"/>
          <w:sz w:val="24"/>
          <w:szCs w:val="24"/>
          <w:lang w:eastAsia="lv-LV"/>
        </w:rPr>
        <w:t xml:space="preserve">un papildus </w:t>
      </w:r>
      <w:r w:rsidR="004C47C0" w:rsidRPr="007F6AC5">
        <w:rPr>
          <w:rFonts w:ascii="Times New Roman" w:hAnsi="Times New Roman" w:cs="Times New Roman"/>
          <w:sz w:val="24"/>
          <w:szCs w:val="24"/>
          <w:lang w:eastAsia="lv-LV"/>
        </w:rPr>
        <w:t xml:space="preserve"> no 2019.gada 1.aprīļa</w:t>
      </w:r>
      <w:r w:rsidR="00DD467D" w:rsidRPr="007F6AC5">
        <w:rPr>
          <w:rFonts w:ascii="Times New Roman" w:hAnsi="Times New Roman" w:cs="Times New Roman"/>
          <w:sz w:val="24"/>
          <w:szCs w:val="24"/>
          <w:lang w:eastAsia="lv-LV"/>
        </w:rPr>
        <w:t xml:space="preserve"> </w:t>
      </w:r>
      <w:r w:rsidR="004C47C0" w:rsidRPr="007F6AC5">
        <w:rPr>
          <w:rFonts w:ascii="Times New Roman" w:hAnsi="Times New Roman" w:cs="Times New Roman"/>
          <w:sz w:val="24"/>
          <w:szCs w:val="24"/>
          <w:lang w:eastAsia="lv-LV"/>
        </w:rPr>
        <w:t>plānots</w:t>
      </w:r>
      <w:r w:rsidR="00DD467D" w:rsidRPr="007F6AC5">
        <w:rPr>
          <w:rFonts w:ascii="Times New Roman" w:hAnsi="Times New Roman" w:cs="Times New Roman"/>
          <w:sz w:val="24"/>
          <w:szCs w:val="24"/>
          <w:lang w:eastAsia="lv-LV"/>
        </w:rPr>
        <w:t xml:space="preserve"> izveidot 9 jaunus diabēta apmācību kabinetus reģionālajās slimnīcās un citās ārstniecības iestādēs</w:t>
      </w:r>
      <w:r w:rsidR="004F44A5" w:rsidRPr="007F6AC5">
        <w:rPr>
          <w:rFonts w:ascii="Times New Roman" w:hAnsi="Times New Roman" w:cs="Times New Roman"/>
          <w:sz w:val="24"/>
          <w:szCs w:val="24"/>
          <w:lang w:eastAsia="lv-LV"/>
        </w:rPr>
        <w:t xml:space="preserve"> par kopējo summu </w:t>
      </w:r>
      <w:r w:rsidR="00A404D4" w:rsidRPr="007F6AC5">
        <w:rPr>
          <w:rFonts w:ascii="Times New Roman" w:hAnsi="Times New Roman" w:cs="Times New Roman"/>
          <w:sz w:val="24"/>
          <w:szCs w:val="24"/>
          <w:lang w:eastAsia="lv-LV"/>
        </w:rPr>
        <w:t>85 85</w:t>
      </w:r>
      <w:r w:rsidR="002D5295">
        <w:rPr>
          <w:rFonts w:ascii="Times New Roman" w:hAnsi="Times New Roman" w:cs="Times New Roman"/>
          <w:sz w:val="24"/>
          <w:szCs w:val="24"/>
          <w:lang w:eastAsia="lv-LV"/>
        </w:rPr>
        <w:t>6</w:t>
      </w:r>
      <w:r w:rsidR="00A404D4" w:rsidRPr="007F6AC5">
        <w:rPr>
          <w:rFonts w:ascii="Times New Roman" w:hAnsi="Times New Roman" w:cs="Times New Roman"/>
          <w:sz w:val="24"/>
          <w:szCs w:val="24"/>
          <w:lang w:eastAsia="lv-LV"/>
        </w:rPr>
        <w:t xml:space="preserve"> </w:t>
      </w:r>
      <w:r w:rsidR="00A404D4" w:rsidRPr="007F6AC5">
        <w:rPr>
          <w:rFonts w:ascii="Times New Roman" w:hAnsi="Times New Roman" w:cs="Times New Roman"/>
          <w:i/>
          <w:sz w:val="24"/>
          <w:szCs w:val="24"/>
          <w:lang w:eastAsia="lv-LV"/>
        </w:rPr>
        <w:t>euro</w:t>
      </w:r>
      <w:r w:rsidR="00A404D4" w:rsidRPr="007F6AC5">
        <w:rPr>
          <w:rFonts w:ascii="Times New Roman" w:hAnsi="Times New Roman" w:cs="Times New Roman"/>
          <w:sz w:val="24"/>
          <w:szCs w:val="24"/>
          <w:lang w:eastAsia="lv-LV"/>
        </w:rPr>
        <w:t xml:space="preserve"> (summa gadam </w:t>
      </w:r>
      <w:r w:rsidR="004F44A5" w:rsidRPr="007F6AC5">
        <w:rPr>
          <w:rFonts w:ascii="Times New Roman" w:hAnsi="Times New Roman" w:cs="Times New Roman"/>
          <w:b/>
          <w:sz w:val="24"/>
          <w:szCs w:val="24"/>
          <w:lang w:eastAsia="lv-LV"/>
        </w:rPr>
        <w:t xml:space="preserve">114 474 </w:t>
      </w:r>
      <w:r w:rsidR="004F44A5" w:rsidRPr="007F6AC5">
        <w:rPr>
          <w:rFonts w:ascii="Times New Roman" w:hAnsi="Times New Roman" w:cs="Times New Roman"/>
          <w:b/>
          <w:i/>
          <w:sz w:val="24"/>
          <w:szCs w:val="24"/>
          <w:lang w:eastAsia="lv-LV"/>
        </w:rPr>
        <w:t>euro</w:t>
      </w:r>
      <w:r w:rsidR="00A404D4" w:rsidRPr="007F6AC5">
        <w:rPr>
          <w:rFonts w:ascii="Times New Roman" w:hAnsi="Times New Roman" w:cs="Times New Roman"/>
          <w:sz w:val="24"/>
          <w:szCs w:val="24"/>
          <w:lang w:eastAsia="lv-LV"/>
        </w:rPr>
        <w:t>)</w:t>
      </w:r>
      <w:r w:rsidR="004C47C0" w:rsidRPr="007F6AC5">
        <w:rPr>
          <w:rFonts w:ascii="Times New Roman" w:hAnsi="Times New Roman" w:cs="Times New Roman"/>
          <w:b/>
          <w:i/>
          <w:sz w:val="24"/>
          <w:szCs w:val="24"/>
          <w:lang w:eastAsia="lv-LV"/>
        </w:rPr>
        <w:t xml:space="preserve"> </w:t>
      </w:r>
      <w:r w:rsidR="004C47C0" w:rsidRPr="007F6AC5">
        <w:rPr>
          <w:rFonts w:ascii="Times New Roman" w:hAnsi="Times New Roman" w:cs="Times New Roman"/>
          <w:sz w:val="24"/>
          <w:szCs w:val="24"/>
          <w:lang w:eastAsia="lv-LV"/>
        </w:rPr>
        <w:t>(</w:t>
      </w:r>
      <w:r w:rsidR="003D4B12">
        <w:rPr>
          <w:rFonts w:ascii="Times New Roman" w:hAnsi="Times New Roman" w:cs="Times New Roman"/>
          <w:sz w:val="24"/>
          <w:szCs w:val="24"/>
          <w:lang w:eastAsia="lv-LV"/>
        </w:rPr>
        <w:t>1</w:t>
      </w:r>
      <w:r w:rsidR="00BD7B63">
        <w:rPr>
          <w:rFonts w:ascii="Times New Roman" w:hAnsi="Times New Roman" w:cs="Times New Roman"/>
          <w:sz w:val="24"/>
          <w:szCs w:val="24"/>
          <w:lang w:eastAsia="lv-LV"/>
        </w:rPr>
        <w:t>3</w:t>
      </w:r>
      <w:r w:rsidR="004C47C0" w:rsidRPr="007F6AC5">
        <w:rPr>
          <w:rFonts w:ascii="Times New Roman" w:hAnsi="Times New Roman" w:cs="Times New Roman"/>
          <w:sz w:val="24"/>
          <w:szCs w:val="24"/>
          <w:lang w:eastAsia="lv-LV"/>
        </w:rPr>
        <w:t>.tabul</w:t>
      </w:r>
      <w:r w:rsidR="003B5284" w:rsidRPr="007F6AC5">
        <w:rPr>
          <w:rFonts w:ascii="Times New Roman" w:hAnsi="Times New Roman" w:cs="Times New Roman"/>
          <w:sz w:val="24"/>
          <w:szCs w:val="24"/>
          <w:lang w:eastAsia="lv-LV"/>
        </w:rPr>
        <w:t>a</w:t>
      </w:r>
      <w:r w:rsidR="004C47C0" w:rsidRPr="007F6AC5">
        <w:rPr>
          <w:rFonts w:ascii="Times New Roman" w:hAnsi="Times New Roman" w:cs="Times New Roman"/>
          <w:sz w:val="24"/>
          <w:szCs w:val="24"/>
          <w:lang w:eastAsia="lv-LV"/>
        </w:rPr>
        <w:t>)</w:t>
      </w:r>
      <w:r w:rsidR="004C47C0" w:rsidRPr="007F6AC5">
        <w:rPr>
          <w:rFonts w:ascii="Times New Roman" w:hAnsi="Times New Roman" w:cs="Times New Roman"/>
          <w:b/>
          <w:i/>
          <w:sz w:val="24"/>
          <w:szCs w:val="24"/>
          <w:lang w:eastAsia="lv-LV"/>
        </w:rPr>
        <w:t xml:space="preserve">, </w:t>
      </w:r>
      <w:r w:rsidR="004C47C0" w:rsidRPr="007F6AC5">
        <w:rPr>
          <w:rFonts w:ascii="Times New Roman" w:hAnsi="Times New Roman" w:cs="Times New Roman"/>
          <w:sz w:val="24"/>
          <w:szCs w:val="24"/>
          <w:lang w:eastAsia="lv-LV"/>
        </w:rPr>
        <w:t xml:space="preserve">papildus nodrošinot </w:t>
      </w:r>
      <w:r w:rsidR="00704874" w:rsidRPr="007F6AC5">
        <w:rPr>
          <w:rFonts w:ascii="Times New Roman" w:hAnsi="Times New Roman" w:cs="Times New Roman"/>
          <w:sz w:val="24"/>
          <w:szCs w:val="24"/>
          <w:lang w:eastAsia="lv-LV"/>
        </w:rPr>
        <w:t>8 505</w:t>
      </w:r>
      <w:r w:rsidR="004C47C0" w:rsidRPr="007F6AC5">
        <w:rPr>
          <w:rFonts w:ascii="Times New Roman" w:hAnsi="Times New Roman" w:cs="Times New Roman"/>
          <w:sz w:val="24"/>
          <w:szCs w:val="24"/>
          <w:lang w:eastAsia="lv-LV"/>
        </w:rPr>
        <w:t xml:space="preserve"> diabēta pacientu apmācības</w:t>
      </w:r>
      <w:r w:rsidR="0071331A" w:rsidRPr="007F6AC5">
        <w:rPr>
          <w:rFonts w:ascii="Times New Roman" w:hAnsi="Times New Roman" w:cs="Times New Roman"/>
          <w:sz w:val="24"/>
          <w:szCs w:val="24"/>
          <w:lang w:eastAsia="lv-LV"/>
        </w:rPr>
        <w:t xml:space="preserve">. </w:t>
      </w:r>
      <w:r w:rsidR="004C47C0" w:rsidRPr="007F6AC5">
        <w:rPr>
          <w:rFonts w:ascii="Times New Roman" w:hAnsi="Times New Roman" w:cs="Times New Roman"/>
          <w:sz w:val="24"/>
          <w:szCs w:val="24"/>
          <w:lang w:eastAsia="lv-LV"/>
        </w:rPr>
        <w:t>Kopā p</w:t>
      </w:r>
      <w:r w:rsidR="0071331A" w:rsidRPr="007F6AC5">
        <w:rPr>
          <w:rFonts w:ascii="Times New Roman" w:hAnsi="Times New Roman" w:cs="Times New Roman"/>
          <w:sz w:val="24"/>
          <w:szCs w:val="24"/>
          <w:lang w:eastAsia="lv-LV"/>
        </w:rPr>
        <w:t xml:space="preserve">rognozētais </w:t>
      </w:r>
      <w:r w:rsidR="004C47C0" w:rsidRPr="007F6AC5">
        <w:rPr>
          <w:rFonts w:ascii="Times New Roman" w:hAnsi="Times New Roman" w:cs="Times New Roman"/>
          <w:sz w:val="24"/>
          <w:szCs w:val="24"/>
          <w:lang w:eastAsia="lv-LV"/>
        </w:rPr>
        <w:t xml:space="preserve">2019.gadā </w:t>
      </w:r>
      <w:r w:rsidR="0071331A" w:rsidRPr="007F6AC5">
        <w:rPr>
          <w:rFonts w:ascii="Times New Roman" w:hAnsi="Times New Roman" w:cs="Times New Roman"/>
          <w:sz w:val="24"/>
          <w:szCs w:val="24"/>
          <w:lang w:eastAsia="lv-LV"/>
        </w:rPr>
        <w:t xml:space="preserve">apmeklējumu skaits šajos kabinetos – </w:t>
      </w:r>
      <w:r w:rsidR="00704874" w:rsidRPr="007F6AC5">
        <w:rPr>
          <w:rFonts w:ascii="Times New Roman" w:hAnsi="Times New Roman" w:cs="Times New Roman"/>
          <w:sz w:val="24"/>
          <w:szCs w:val="24"/>
          <w:lang w:eastAsia="lv-LV"/>
        </w:rPr>
        <w:t>41 769</w:t>
      </w:r>
      <w:r w:rsidR="00A42D33" w:rsidRPr="007F6AC5">
        <w:rPr>
          <w:rFonts w:ascii="Times New Roman" w:hAnsi="Times New Roman" w:cs="Times New Roman"/>
          <w:sz w:val="24"/>
          <w:szCs w:val="24"/>
          <w:lang w:eastAsia="lv-LV"/>
        </w:rPr>
        <w:t> </w:t>
      </w:r>
      <w:r w:rsidR="0071331A" w:rsidRPr="007F6AC5">
        <w:rPr>
          <w:rFonts w:ascii="Times New Roman" w:hAnsi="Times New Roman" w:cs="Times New Roman"/>
          <w:sz w:val="24"/>
          <w:szCs w:val="24"/>
          <w:lang w:eastAsia="lv-LV"/>
        </w:rPr>
        <w:t>apmeklējumi</w:t>
      </w:r>
      <w:r w:rsidR="009E2B9A" w:rsidRPr="007F6AC5">
        <w:rPr>
          <w:rFonts w:ascii="Times New Roman" w:hAnsi="Times New Roman" w:cs="Times New Roman"/>
          <w:sz w:val="24"/>
          <w:szCs w:val="24"/>
          <w:lang w:eastAsia="lv-LV"/>
        </w:rPr>
        <w:t>, nodrošinot 3</w:t>
      </w:r>
      <w:r w:rsidR="00704874" w:rsidRPr="007F6AC5">
        <w:rPr>
          <w:rFonts w:ascii="Times New Roman" w:hAnsi="Times New Roman" w:cs="Times New Roman"/>
          <w:sz w:val="24"/>
          <w:szCs w:val="24"/>
          <w:lang w:eastAsia="lv-LV"/>
        </w:rPr>
        <w:t>5</w:t>
      </w:r>
      <w:r w:rsidR="009E2B9A" w:rsidRPr="007F6AC5">
        <w:rPr>
          <w:rFonts w:ascii="Times New Roman" w:hAnsi="Times New Roman" w:cs="Times New Roman"/>
          <w:sz w:val="24"/>
          <w:szCs w:val="24"/>
          <w:lang w:eastAsia="lv-LV"/>
        </w:rPr>
        <w:t>,</w:t>
      </w:r>
      <w:r w:rsidR="00704874" w:rsidRPr="007F6AC5">
        <w:rPr>
          <w:rFonts w:ascii="Times New Roman" w:hAnsi="Times New Roman" w:cs="Times New Roman"/>
          <w:sz w:val="24"/>
          <w:szCs w:val="24"/>
          <w:lang w:eastAsia="lv-LV"/>
        </w:rPr>
        <w:t>7</w:t>
      </w:r>
      <w:r w:rsidR="009E2B9A" w:rsidRPr="007F6AC5">
        <w:rPr>
          <w:rFonts w:ascii="Times New Roman" w:hAnsi="Times New Roman" w:cs="Times New Roman"/>
          <w:sz w:val="24"/>
          <w:szCs w:val="24"/>
          <w:lang w:eastAsia="lv-LV"/>
        </w:rPr>
        <w:t>1% no plānotā gada apmeklējumu apjoma</w:t>
      </w:r>
      <w:r w:rsidR="0071331A" w:rsidRPr="007F6AC5">
        <w:rPr>
          <w:rFonts w:ascii="Times New Roman" w:hAnsi="Times New Roman" w:cs="Times New Roman"/>
          <w:sz w:val="24"/>
          <w:szCs w:val="24"/>
          <w:lang w:eastAsia="lv-LV"/>
        </w:rPr>
        <w:t>.</w:t>
      </w:r>
      <w:r w:rsidR="00B03E08" w:rsidRPr="007F6AC5">
        <w:rPr>
          <w:rFonts w:ascii="Times New Roman" w:hAnsi="Times New Roman" w:cs="Times New Roman"/>
          <w:sz w:val="24"/>
          <w:szCs w:val="24"/>
          <w:lang w:eastAsia="lv-LV"/>
        </w:rPr>
        <w:t xml:space="preserve"> Kopā 2019.gadam nepieciešamais finansējums sastāda </w:t>
      </w:r>
      <w:r w:rsidR="00B03E08" w:rsidRPr="007F6AC5">
        <w:rPr>
          <w:rFonts w:ascii="Times New Roman" w:hAnsi="Times New Roman" w:cs="Times New Roman"/>
          <w:b/>
          <w:sz w:val="24"/>
          <w:szCs w:val="24"/>
          <w:lang w:eastAsia="lv-LV"/>
        </w:rPr>
        <w:t>2</w:t>
      </w:r>
      <w:r w:rsidR="00A404D4" w:rsidRPr="007F6AC5">
        <w:rPr>
          <w:rFonts w:ascii="Times New Roman" w:hAnsi="Times New Roman" w:cs="Times New Roman"/>
          <w:b/>
          <w:sz w:val="24"/>
          <w:szCs w:val="24"/>
          <w:lang w:eastAsia="lv-LV"/>
        </w:rPr>
        <w:t>25</w:t>
      </w:r>
      <w:r w:rsidR="00CA7E42" w:rsidRPr="007F6AC5">
        <w:rPr>
          <w:rFonts w:ascii="Times New Roman" w:hAnsi="Times New Roman" w:cs="Times New Roman"/>
          <w:b/>
          <w:sz w:val="24"/>
          <w:szCs w:val="24"/>
          <w:lang w:eastAsia="lv-LV"/>
        </w:rPr>
        <w:t> </w:t>
      </w:r>
      <w:r w:rsidR="00A404D4" w:rsidRPr="007F6AC5">
        <w:rPr>
          <w:rFonts w:ascii="Times New Roman" w:hAnsi="Times New Roman" w:cs="Times New Roman"/>
          <w:b/>
          <w:sz w:val="24"/>
          <w:szCs w:val="24"/>
          <w:lang w:eastAsia="lv-LV"/>
        </w:rPr>
        <w:t>76</w:t>
      </w:r>
      <w:r w:rsidR="00FA6424" w:rsidRPr="007F6AC5">
        <w:rPr>
          <w:rFonts w:ascii="Times New Roman" w:hAnsi="Times New Roman" w:cs="Times New Roman"/>
          <w:b/>
          <w:sz w:val="24"/>
          <w:szCs w:val="24"/>
          <w:lang w:eastAsia="lv-LV"/>
        </w:rPr>
        <w:t>8</w:t>
      </w:r>
      <w:r w:rsidR="00B03E08" w:rsidRPr="007F6AC5">
        <w:rPr>
          <w:rFonts w:ascii="Times New Roman" w:hAnsi="Times New Roman" w:cs="Times New Roman"/>
          <w:sz w:val="24"/>
          <w:szCs w:val="24"/>
          <w:lang w:eastAsia="lv-LV"/>
        </w:rPr>
        <w:t xml:space="preserve"> </w:t>
      </w:r>
      <w:r w:rsidR="00B03E08" w:rsidRPr="007F6AC5">
        <w:rPr>
          <w:rFonts w:ascii="Times New Roman" w:hAnsi="Times New Roman" w:cs="Times New Roman"/>
          <w:b/>
          <w:i/>
          <w:sz w:val="24"/>
          <w:szCs w:val="24"/>
          <w:lang w:eastAsia="lv-LV"/>
        </w:rPr>
        <w:t>euro</w:t>
      </w:r>
      <w:r w:rsidR="00B03E08" w:rsidRPr="007F6AC5">
        <w:rPr>
          <w:rFonts w:ascii="Times New Roman" w:hAnsi="Times New Roman" w:cs="Times New Roman"/>
          <w:sz w:val="24"/>
          <w:szCs w:val="24"/>
          <w:lang w:eastAsia="lv-LV"/>
        </w:rPr>
        <w:t>.</w:t>
      </w:r>
    </w:p>
    <w:p w14:paraId="48BE3AB9" w14:textId="06C6D65E" w:rsidR="00333451" w:rsidRPr="00E93259" w:rsidRDefault="00E730EE" w:rsidP="00E93259">
      <w:pPr>
        <w:spacing w:after="0" w:line="240" w:lineRule="auto"/>
        <w:ind w:firstLine="720"/>
        <w:jc w:val="right"/>
        <w:rPr>
          <w:rFonts w:ascii="Times New Roman" w:hAnsi="Times New Roman" w:cs="Times New Roman"/>
          <w:i/>
          <w:iCs/>
          <w:sz w:val="24"/>
          <w:szCs w:val="24"/>
          <w:shd w:val="clear" w:color="auto" w:fill="FFFFFF"/>
        </w:rPr>
      </w:pPr>
      <w:r w:rsidRPr="704995BB">
        <w:rPr>
          <w:rFonts w:ascii="Times New Roman" w:hAnsi="Times New Roman" w:cs="Times New Roman"/>
          <w:i/>
          <w:iCs/>
          <w:sz w:val="24"/>
          <w:szCs w:val="24"/>
          <w:shd w:val="clear" w:color="auto" w:fill="FFFFFF"/>
        </w:rPr>
        <w:t>1</w:t>
      </w:r>
      <w:r w:rsidR="00BD7B63">
        <w:rPr>
          <w:rFonts w:ascii="Times New Roman" w:hAnsi="Times New Roman" w:cs="Times New Roman"/>
          <w:i/>
          <w:iCs/>
          <w:sz w:val="24"/>
          <w:szCs w:val="24"/>
          <w:shd w:val="clear" w:color="auto" w:fill="FFFFFF"/>
        </w:rPr>
        <w:t>3</w:t>
      </w:r>
      <w:r w:rsidR="00CC64B7">
        <w:rPr>
          <w:rFonts w:ascii="Times New Roman" w:hAnsi="Times New Roman" w:cs="Times New Roman"/>
          <w:i/>
          <w:iCs/>
          <w:sz w:val="24"/>
          <w:szCs w:val="24"/>
          <w:shd w:val="clear" w:color="auto" w:fill="FFFFFF"/>
        </w:rPr>
        <w:t>.</w:t>
      </w:r>
      <w:r w:rsidR="00333451" w:rsidRPr="704995BB">
        <w:rPr>
          <w:rFonts w:ascii="Times New Roman" w:hAnsi="Times New Roman" w:cs="Times New Roman"/>
          <w:i/>
          <w:iCs/>
          <w:sz w:val="24"/>
          <w:szCs w:val="24"/>
          <w:shd w:val="clear" w:color="auto" w:fill="FFFFFF"/>
        </w:rPr>
        <w:t>tabula</w:t>
      </w:r>
    </w:p>
    <w:p w14:paraId="3878547E" w14:textId="1E44BE82" w:rsidR="00A1203E" w:rsidRPr="00295826" w:rsidRDefault="00DD467D" w:rsidP="00A1203E">
      <w:pPr>
        <w:jc w:val="center"/>
        <w:rPr>
          <w:rFonts w:ascii="Times New Roman" w:hAnsi="Times New Roman" w:cs="Times New Roman"/>
          <w:b/>
          <w:color w:val="000000"/>
          <w:sz w:val="24"/>
          <w:szCs w:val="24"/>
        </w:rPr>
      </w:pPr>
      <w:r>
        <w:rPr>
          <w:rFonts w:ascii="Times New Roman" w:hAnsi="Times New Roman" w:cs="Times New Roman"/>
          <w:b/>
          <w:bCs/>
          <w:sz w:val="24"/>
          <w:szCs w:val="24"/>
        </w:rPr>
        <w:t>Papildus d</w:t>
      </w:r>
      <w:r w:rsidR="00A1203E" w:rsidRPr="0012317D">
        <w:rPr>
          <w:rFonts w:ascii="Times New Roman" w:hAnsi="Times New Roman" w:cs="Times New Roman"/>
          <w:b/>
          <w:bCs/>
          <w:sz w:val="24"/>
          <w:szCs w:val="24"/>
        </w:rPr>
        <w:t>iabēta apmācības kabinetu izveidei nepieciešamais finansējums</w:t>
      </w:r>
      <w:r w:rsidR="00A1203E">
        <w:rPr>
          <w:rFonts w:ascii="Times New Roman" w:hAnsi="Times New Roman" w:cs="Times New Roman"/>
          <w:color w:val="000000"/>
          <w:sz w:val="24"/>
          <w:szCs w:val="24"/>
        </w:rPr>
        <w:t xml:space="preserve"> </w:t>
      </w:r>
      <w:r w:rsidR="00295826" w:rsidRPr="00295826">
        <w:rPr>
          <w:rFonts w:ascii="Times New Roman" w:hAnsi="Times New Roman" w:cs="Times New Roman"/>
          <w:b/>
          <w:color w:val="000000"/>
          <w:sz w:val="24"/>
          <w:szCs w:val="24"/>
        </w:rPr>
        <w:t xml:space="preserve">2017., 2018. un </w:t>
      </w:r>
      <w:r w:rsidR="00A1203E" w:rsidRPr="00295826">
        <w:rPr>
          <w:rFonts w:ascii="Times New Roman" w:hAnsi="Times New Roman" w:cs="Times New Roman"/>
          <w:b/>
          <w:color w:val="000000"/>
          <w:sz w:val="24"/>
          <w:szCs w:val="24"/>
        </w:rPr>
        <w:t>2019.gadam</w:t>
      </w:r>
    </w:p>
    <w:tbl>
      <w:tblPr>
        <w:tblW w:w="11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83"/>
        <w:gridCol w:w="1048"/>
        <w:gridCol w:w="937"/>
        <w:gridCol w:w="1134"/>
        <w:gridCol w:w="992"/>
        <w:gridCol w:w="1427"/>
        <w:gridCol w:w="1416"/>
        <w:gridCol w:w="1328"/>
        <w:gridCol w:w="1328"/>
      </w:tblGrid>
      <w:tr w:rsidR="002D5295" w14:paraId="4304BF96" w14:textId="77777777" w:rsidTr="00DC1F76">
        <w:trPr>
          <w:trHeight w:val="255"/>
          <w:jc w:val="center"/>
        </w:trPr>
        <w:tc>
          <w:tcPr>
            <w:tcW w:w="572" w:type="dxa"/>
            <w:vMerge w:val="restart"/>
            <w:shd w:val="clear" w:color="auto" w:fill="E36C0A" w:themeFill="accent6" w:themeFillShade="BF"/>
            <w:noWrap/>
            <w:vAlign w:val="center"/>
            <w:hideMark/>
          </w:tcPr>
          <w:p w14:paraId="70F89F17" w14:textId="77777777" w:rsidR="002D5295" w:rsidRPr="00E93259" w:rsidRDefault="002D5295" w:rsidP="00D071CB">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N. p. k.</w:t>
            </w:r>
          </w:p>
        </w:tc>
        <w:tc>
          <w:tcPr>
            <w:tcW w:w="1283" w:type="dxa"/>
            <w:vMerge w:val="restart"/>
            <w:shd w:val="clear" w:color="auto" w:fill="E36C0A" w:themeFill="accent6" w:themeFillShade="BF"/>
            <w:noWrap/>
            <w:vAlign w:val="center"/>
            <w:hideMark/>
          </w:tcPr>
          <w:p w14:paraId="0CFC1617" w14:textId="77777777" w:rsidR="002D5295" w:rsidRPr="00E93259" w:rsidRDefault="002D5295" w:rsidP="00D071CB">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 </w:t>
            </w:r>
          </w:p>
        </w:tc>
        <w:tc>
          <w:tcPr>
            <w:tcW w:w="1048" w:type="dxa"/>
            <w:vMerge w:val="restart"/>
            <w:shd w:val="clear" w:color="auto" w:fill="E36C0A" w:themeFill="accent6" w:themeFillShade="BF"/>
            <w:vAlign w:val="center"/>
            <w:hideMark/>
          </w:tcPr>
          <w:p w14:paraId="3DE83703" w14:textId="77777777" w:rsidR="002D5295" w:rsidRPr="00E93259" w:rsidRDefault="002D5295" w:rsidP="00D071CB">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Papildus kabinetu skaits</w:t>
            </w:r>
          </w:p>
        </w:tc>
        <w:tc>
          <w:tcPr>
            <w:tcW w:w="2071" w:type="dxa"/>
            <w:gridSpan w:val="2"/>
            <w:shd w:val="clear" w:color="auto" w:fill="E36C0A" w:themeFill="accent6" w:themeFillShade="BF"/>
            <w:vAlign w:val="center"/>
            <w:hideMark/>
          </w:tcPr>
          <w:p w14:paraId="109352F2" w14:textId="77777777"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Ārstniecības un pacientu aprūpes personas</w:t>
            </w:r>
          </w:p>
        </w:tc>
        <w:tc>
          <w:tcPr>
            <w:tcW w:w="992" w:type="dxa"/>
            <w:vMerge w:val="restart"/>
            <w:shd w:val="clear" w:color="auto" w:fill="E36C0A" w:themeFill="accent6" w:themeFillShade="BF"/>
            <w:vAlign w:val="center"/>
            <w:hideMark/>
          </w:tcPr>
          <w:p w14:paraId="7EE1D41E" w14:textId="77777777"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 xml:space="preserve">Darba samaksa, </w:t>
            </w:r>
            <w:r w:rsidRPr="007A18D8">
              <w:rPr>
                <w:rFonts w:ascii="Times New Roman" w:eastAsia="Times New Roman" w:hAnsi="Times New Roman" w:cs="Times New Roman"/>
                <w:i/>
                <w:iCs/>
                <w:sz w:val="20"/>
                <w:szCs w:val="20"/>
                <w:lang w:eastAsia="lv-LV"/>
              </w:rPr>
              <w:t>(euro)</w:t>
            </w:r>
          </w:p>
        </w:tc>
        <w:tc>
          <w:tcPr>
            <w:tcW w:w="1427" w:type="dxa"/>
            <w:vMerge w:val="restart"/>
            <w:shd w:val="clear" w:color="auto" w:fill="E36C0A" w:themeFill="accent6" w:themeFillShade="BF"/>
            <w:vAlign w:val="center"/>
            <w:hideMark/>
          </w:tcPr>
          <w:p w14:paraId="38938AAB" w14:textId="77777777"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 xml:space="preserve">Valsts sociālās apdrošināšanas obligātās iemaksas, </w:t>
            </w:r>
            <w:r w:rsidRPr="007A18D8">
              <w:rPr>
                <w:rFonts w:ascii="Times New Roman" w:eastAsia="Times New Roman" w:hAnsi="Times New Roman" w:cs="Times New Roman"/>
                <w:i/>
                <w:iCs/>
                <w:sz w:val="20"/>
                <w:szCs w:val="20"/>
                <w:lang w:eastAsia="lv-LV"/>
              </w:rPr>
              <w:t>(euro)</w:t>
            </w:r>
            <w:r w:rsidRPr="007A18D8">
              <w:rPr>
                <w:rFonts w:ascii="Times New Roman" w:eastAsia="Times New Roman" w:hAnsi="Times New Roman" w:cs="Times New Roman"/>
                <w:sz w:val="20"/>
                <w:szCs w:val="20"/>
                <w:lang w:eastAsia="lv-LV"/>
              </w:rPr>
              <w:t xml:space="preserve"> </w:t>
            </w:r>
          </w:p>
        </w:tc>
        <w:tc>
          <w:tcPr>
            <w:tcW w:w="1416" w:type="dxa"/>
            <w:vMerge w:val="restart"/>
            <w:shd w:val="clear" w:color="auto" w:fill="E36C0A" w:themeFill="accent6" w:themeFillShade="BF"/>
            <w:vAlign w:val="center"/>
            <w:hideMark/>
          </w:tcPr>
          <w:p w14:paraId="0F3BA10F" w14:textId="77777777"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Darbības nodrošināšanai nepieciešamie līdzekļi, (</w:t>
            </w:r>
            <w:r w:rsidRPr="007A18D8">
              <w:rPr>
                <w:rFonts w:ascii="Times New Roman" w:eastAsia="Times New Roman" w:hAnsi="Times New Roman" w:cs="Times New Roman"/>
                <w:i/>
                <w:iCs/>
                <w:sz w:val="20"/>
                <w:szCs w:val="20"/>
                <w:lang w:eastAsia="lv-LV"/>
              </w:rPr>
              <w:t>euro)</w:t>
            </w:r>
            <w:r w:rsidRPr="007A18D8">
              <w:rPr>
                <w:rFonts w:ascii="Times New Roman" w:eastAsia="Times New Roman" w:hAnsi="Times New Roman" w:cs="Times New Roman"/>
                <w:sz w:val="20"/>
                <w:szCs w:val="20"/>
                <w:lang w:eastAsia="lv-LV"/>
              </w:rPr>
              <w:t xml:space="preserve"> </w:t>
            </w:r>
          </w:p>
        </w:tc>
        <w:tc>
          <w:tcPr>
            <w:tcW w:w="1328" w:type="dxa"/>
            <w:vMerge w:val="restart"/>
            <w:shd w:val="clear" w:color="auto" w:fill="E36C0A" w:themeFill="accent6" w:themeFillShade="BF"/>
            <w:vAlign w:val="center"/>
          </w:tcPr>
          <w:p w14:paraId="1480C541" w14:textId="5D0829E1" w:rsidR="002D5295" w:rsidRPr="00E93259" w:rsidRDefault="002D5295" w:rsidP="00D071CB">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Finansējuma apjoms no 2019.gada 1.aprīļa, (euro)</w:t>
            </w:r>
          </w:p>
        </w:tc>
        <w:tc>
          <w:tcPr>
            <w:tcW w:w="1328" w:type="dxa"/>
            <w:vMerge w:val="restart"/>
            <w:shd w:val="clear" w:color="auto" w:fill="E36C0A" w:themeFill="accent6" w:themeFillShade="BF"/>
            <w:vAlign w:val="center"/>
            <w:hideMark/>
          </w:tcPr>
          <w:p w14:paraId="7D9E753E" w14:textId="5DEAD1D5" w:rsidR="002D5295" w:rsidRPr="00E93259" w:rsidRDefault="002D5295" w:rsidP="00D071CB">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 xml:space="preserve">Finansējuma gada apjoms, </w:t>
            </w:r>
            <w:r w:rsidRPr="00E93259">
              <w:rPr>
                <w:rFonts w:ascii="Times New Roman" w:eastAsia="Times New Roman" w:hAnsi="Times New Roman" w:cs="Times New Roman"/>
                <w:b/>
                <w:bCs/>
                <w:i/>
                <w:iCs/>
                <w:sz w:val="20"/>
                <w:szCs w:val="20"/>
                <w:lang w:eastAsia="lv-LV"/>
              </w:rPr>
              <w:t>(euro</w:t>
            </w:r>
            <w:r w:rsidRPr="00E93259">
              <w:rPr>
                <w:rFonts w:ascii="Times New Roman" w:eastAsia="Times New Roman" w:hAnsi="Times New Roman" w:cs="Times New Roman"/>
                <w:b/>
                <w:bCs/>
                <w:sz w:val="20"/>
                <w:szCs w:val="20"/>
                <w:lang w:eastAsia="lv-LV"/>
              </w:rPr>
              <w:t xml:space="preserve">) </w:t>
            </w:r>
          </w:p>
        </w:tc>
      </w:tr>
      <w:tr w:rsidR="002D5295" w14:paraId="28CFA159" w14:textId="77777777" w:rsidTr="00DC1F76">
        <w:trPr>
          <w:trHeight w:val="930"/>
          <w:jc w:val="center"/>
        </w:trPr>
        <w:tc>
          <w:tcPr>
            <w:tcW w:w="572" w:type="dxa"/>
            <w:vMerge/>
            <w:vAlign w:val="center"/>
            <w:hideMark/>
          </w:tcPr>
          <w:p w14:paraId="2836C545" w14:textId="77777777" w:rsidR="002D5295" w:rsidRPr="00E93259" w:rsidRDefault="002D5295" w:rsidP="00D071CB">
            <w:pPr>
              <w:spacing w:after="0" w:line="240" w:lineRule="auto"/>
              <w:rPr>
                <w:rFonts w:ascii="Times New Roman" w:eastAsia="Times New Roman" w:hAnsi="Times New Roman" w:cs="Times New Roman"/>
                <w:sz w:val="20"/>
                <w:szCs w:val="20"/>
                <w:lang w:eastAsia="lv-LV"/>
              </w:rPr>
            </w:pPr>
          </w:p>
        </w:tc>
        <w:tc>
          <w:tcPr>
            <w:tcW w:w="1283" w:type="dxa"/>
            <w:vMerge/>
            <w:vAlign w:val="center"/>
            <w:hideMark/>
          </w:tcPr>
          <w:p w14:paraId="583AB17F" w14:textId="77777777" w:rsidR="002D5295" w:rsidRPr="00E93259" w:rsidRDefault="002D5295" w:rsidP="00D071CB">
            <w:pPr>
              <w:spacing w:after="0" w:line="240" w:lineRule="auto"/>
              <w:rPr>
                <w:rFonts w:ascii="Times New Roman" w:eastAsia="Times New Roman" w:hAnsi="Times New Roman" w:cs="Times New Roman"/>
                <w:sz w:val="20"/>
                <w:szCs w:val="20"/>
                <w:lang w:eastAsia="lv-LV"/>
              </w:rPr>
            </w:pPr>
          </w:p>
        </w:tc>
        <w:tc>
          <w:tcPr>
            <w:tcW w:w="1048" w:type="dxa"/>
            <w:vMerge/>
            <w:vAlign w:val="center"/>
            <w:hideMark/>
          </w:tcPr>
          <w:p w14:paraId="5EB82F46" w14:textId="77777777" w:rsidR="002D5295" w:rsidRPr="00E93259" w:rsidRDefault="002D5295" w:rsidP="00D071CB">
            <w:pPr>
              <w:spacing w:after="0" w:line="240" w:lineRule="auto"/>
              <w:rPr>
                <w:rFonts w:ascii="Times New Roman" w:eastAsia="Times New Roman" w:hAnsi="Times New Roman" w:cs="Times New Roman"/>
                <w:b/>
                <w:bCs/>
                <w:sz w:val="20"/>
                <w:szCs w:val="20"/>
                <w:lang w:eastAsia="lv-LV"/>
              </w:rPr>
            </w:pPr>
          </w:p>
        </w:tc>
        <w:tc>
          <w:tcPr>
            <w:tcW w:w="93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AFA7DF9" w14:textId="77777777" w:rsidR="002D5295" w:rsidRPr="00E93259" w:rsidRDefault="002D5295" w:rsidP="00D071CB">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Personu skaits</w:t>
            </w:r>
          </w:p>
        </w:tc>
        <w:tc>
          <w:tcPr>
            <w:tcW w:w="11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6BFA8B9" w14:textId="77777777" w:rsidR="002D5295" w:rsidRPr="00E93259" w:rsidRDefault="002D5295" w:rsidP="00D071CB">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 xml:space="preserve">Slodzes apjoms </w:t>
            </w:r>
          </w:p>
        </w:tc>
        <w:tc>
          <w:tcPr>
            <w:tcW w:w="992" w:type="dxa"/>
            <w:vMerge/>
            <w:vAlign w:val="center"/>
            <w:hideMark/>
          </w:tcPr>
          <w:p w14:paraId="11B8B74C" w14:textId="77777777" w:rsidR="002D5295" w:rsidRPr="007A18D8" w:rsidRDefault="002D5295" w:rsidP="00D071CB">
            <w:pPr>
              <w:spacing w:after="0" w:line="240" w:lineRule="auto"/>
              <w:rPr>
                <w:rFonts w:ascii="Times New Roman" w:eastAsia="Times New Roman" w:hAnsi="Times New Roman" w:cs="Times New Roman"/>
                <w:sz w:val="20"/>
                <w:szCs w:val="20"/>
                <w:lang w:eastAsia="lv-LV"/>
              </w:rPr>
            </w:pPr>
          </w:p>
        </w:tc>
        <w:tc>
          <w:tcPr>
            <w:tcW w:w="1427" w:type="dxa"/>
            <w:vMerge/>
            <w:vAlign w:val="center"/>
            <w:hideMark/>
          </w:tcPr>
          <w:p w14:paraId="765C9C46" w14:textId="77777777" w:rsidR="002D5295" w:rsidRPr="007A18D8" w:rsidRDefault="002D5295" w:rsidP="00D071CB">
            <w:pPr>
              <w:spacing w:after="0" w:line="240" w:lineRule="auto"/>
              <w:rPr>
                <w:rFonts w:ascii="Times New Roman" w:eastAsia="Times New Roman" w:hAnsi="Times New Roman" w:cs="Times New Roman"/>
                <w:sz w:val="20"/>
                <w:szCs w:val="20"/>
                <w:lang w:eastAsia="lv-LV"/>
              </w:rPr>
            </w:pPr>
          </w:p>
        </w:tc>
        <w:tc>
          <w:tcPr>
            <w:tcW w:w="1416" w:type="dxa"/>
            <w:vMerge/>
            <w:vAlign w:val="center"/>
            <w:hideMark/>
          </w:tcPr>
          <w:p w14:paraId="59E41613" w14:textId="77777777" w:rsidR="002D5295" w:rsidRPr="007A18D8" w:rsidRDefault="002D5295" w:rsidP="00D071CB">
            <w:pPr>
              <w:spacing w:after="0" w:line="240" w:lineRule="auto"/>
              <w:rPr>
                <w:rFonts w:ascii="Times New Roman" w:eastAsia="Times New Roman" w:hAnsi="Times New Roman" w:cs="Times New Roman"/>
                <w:sz w:val="20"/>
                <w:szCs w:val="20"/>
                <w:lang w:eastAsia="lv-LV"/>
              </w:rPr>
            </w:pPr>
          </w:p>
        </w:tc>
        <w:tc>
          <w:tcPr>
            <w:tcW w:w="1328" w:type="dxa"/>
            <w:vMerge/>
          </w:tcPr>
          <w:p w14:paraId="6C18E312" w14:textId="77777777" w:rsidR="002D5295" w:rsidRPr="00E93259" w:rsidRDefault="002D5295" w:rsidP="00D071CB">
            <w:pPr>
              <w:spacing w:after="0" w:line="240" w:lineRule="auto"/>
              <w:rPr>
                <w:rFonts w:ascii="Times New Roman" w:eastAsia="Times New Roman" w:hAnsi="Times New Roman" w:cs="Times New Roman"/>
                <w:b/>
                <w:bCs/>
                <w:sz w:val="20"/>
                <w:szCs w:val="20"/>
                <w:lang w:eastAsia="lv-LV"/>
              </w:rPr>
            </w:pPr>
          </w:p>
        </w:tc>
        <w:tc>
          <w:tcPr>
            <w:tcW w:w="1328" w:type="dxa"/>
            <w:vMerge/>
            <w:vAlign w:val="center"/>
            <w:hideMark/>
          </w:tcPr>
          <w:p w14:paraId="1E2FBF6E" w14:textId="2B1BFF2B" w:rsidR="002D5295" w:rsidRPr="00E93259" w:rsidRDefault="002D5295" w:rsidP="00D071CB">
            <w:pPr>
              <w:spacing w:after="0" w:line="240" w:lineRule="auto"/>
              <w:rPr>
                <w:rFonts w:ascii="Times New Roman" w:eastAsia="Times New Roman" w:hAnsi="Times New Roman" w:cs="Times New Roman"/>
                <w:b/>
                <w:bCs/>
                <w:sz w:val="20"/>
                <w:szCs w:val="20"/>
                <w:lang w:eastAsia="lv-LV"/>
              </w:rPr>
            </w:pPr>
          </w:p>
        </w:tc>
      </w:tr>
      <w:tr w:rsidR="00DC1F76" w14:paraId="1D30DB00" w14:textId="77777777" w:rsidTr="00DC1F76">
        <w:trPr>
          <w:trHeight w:val="30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6DAAA0" w14:textId="77777777"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tcPr>
          <w:p w14:paraId="4A37870E" w14:textId="45E343AD" w:rsidR="00DC1F76" w:rsidRPr="007A18D8" w:rsidRDefault="00DC1F76" w:rsidP="00DC1F76">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Universitātes slimnīcas</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4F023" w14:textId="655F6408" w:rsidR="00DC1F76" w:rsidRPr="007A18D8" w:rsidRDefault="00DC1F76" w:rsidP="00DC1F76">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4</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D5691" w14:textId="27D91923"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EC913" w14:textId="1E3804DA"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4B3EB" w14:textId="5EF401EC"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32 400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2C4B" w14:textId="7C4D4C4C"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7 805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AFEA2" w14:textId="418222E9"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10 672</w:t>
            </w:r>
          </w:p>
        </w:tc>
        <w:tc>
          <w:tcPr>
            <w:tcW w:w="1328" w:type="dxa"/>
            <w:tcBorders>
              <w:top w:val="single" w:sz="4" w:space="0" w:color="auto"/>
              <w:left w:val="single" w:sz="4" w:space="0" w:color="auto"/>
              <w:bottom w:val="single" w:sz="4" w:space="0" w:color="auto"/>
              <w:right w:val="single" w:sz="4" w:space="0" w:color="auto"/>
            </w:tcBorders>
            <w:vAlign w:val="center"/>
          </w:tcPr>
          <w:p w14:paraId="5BB0064A" w14:textId="1CD4DF43"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50 877</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47F8" w14:textId="6E2CB52A"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50 877</w:t>
            </w:r>
          </w:p>
        </w:tc>
      </w:tr>
      <w:tr w:rsidR="00DC1F76" w14:paraId="062E0722" w14:textId="77777777" w:rsidTr="00DC1F76">
        <w:trPr>
          <w:trHeight w:val="30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78BAFA" w14:textId="2ED4600B"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tcPr>
          <w:p w14:paraId="24A9CB35" w14:textId="5A0281F5" w:rsidR="00DC1F76" w:rsidRPr="007A18D8" w:rsidRDefault="00DC1F76" w:rsidP="00DC1F76">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Reģionālās slimnīcas</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5878C" w14:textId="178D6E9C" w:rsidR="00DC1F76" w:rsidRPr="007A18D8" w:rsidRDefault="00DC1F76" w:rsidP="00DC1F76">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7</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DD0CA" w14:textId="4EA60B9C"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A16F" w14:textId="06F89851"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1072D" w14:textId="5FC75CFC"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56 700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D19E6" w14:textId="5796F17C"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13 659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4A25" w14:textId="3ED19F0D"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18 676</w:t>
            </w:r>
          </w:p>
        </w:tc>
        <w:tc>
          <w:tcPr>
            <w:tcW w:w="1328" w:type="dxa"/>
            <w:tcBorders>
              <w:top w:val="single" w:sz="4" w:space="0" w:color="auto"/>
              <w:left w:val="single" w:sz="4" w:space="0" w:color="auto"/>
              <w:bottom w:val="single" w:sz="4" w:space="0" w:color="auto"/>
              <w:right w:val="single" w:sz="4" w:space="0" w:color="auto"/>
            </w:tcBorders>
            <w:vAlign w:val="center"/>
          </w:tcPr>
          <w:p w14:paraId="44B4531E" w14:textId="2D85D14D"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89 035</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59265" w14:textId="26E337BF" w:rsidR="00DC1F76" w:rsidRPr="007A18D8" w:rsidRDefault="00DC1F76" w:rsidP="00DC1F7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89 035</w:t>
            </w:r>
          </w:p>
        </w:tc>
      </w:tr>
      <w:tr w:rsidR="00CC64B7" w14:paraId="585E0CA7" w14:textId="77777777" w:rsidTr="00DC1F76">
        <w:trPr>
          <w:trHeight w:val="30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2B090" w14:textId="247564C8" w:rsidR="00CC64B7" w:rsidRPr="007A18D8" w:rsidRDefault="00CC64B7" w:rsidP="00CC64B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tcPr>
          <w:p w14:paraId="532C3B4F" w14:textId="69C56C74" w:rsidR="00CC64B7" w:rsidRPr="007A18D8" w:rsidRDefault="00CC64B7" w:rsidP="00CC64B7">
            <w:pPr>
              <w:spacing w:after="0" w:line="240" w:lineRule="auto"/>
              <w:rPr>
                <w:rFonts w:ascii="Times New Roman" w:eastAsia="Times New Roman" w:hAnsi="Times New Roman" w:cs="Times New Roman"/>
                <w:i/>
                <w:iCs/>
                <w:sz w:val="20"/>
                <w:szCs w:val="20"/>
                <w:lang w:eastAsia="lv-LV"/>
              </w:rPr>
            </w:pPr>
            <w:r w:rsidRPr="007A18D8">
              <w:rPr>
                <w:rFonts w:ascii="Times New Roman" w:eastAsia="Times New Roman" w:hAnsi="Times New Roman" w:cs="Times New Roman"/>
                <w:i/>
                <w:iCs/>
                <w:sz w:val="20"/>
                <w:szCs w:val="20"/>
                <w:lang w:eastAsia="lv-LV"/>
              </w:rPr>
              <w:t xml:space="preserve">Reģionālās slimnīcas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C2BF9" w14:textId="55DE9BF2" w:rsidR="00CC64B7" w:rsidRPr="007A18D8" w:rsidRDefault="00CC64B7" w:rsidP="00CC64B7">
            <w:pPr>
              <w:spacing w:after="0" w:line="240" w:lineRule="auto"/>
              <w:jc w:val="center"/>
              <w:rPr>
                <w:rFonts w:ascii="Times New Roman" w:eastAsia="Times New Roman" w:hAnsi="Times New Roman" w:cs="Times New Roman"/>
                <w:b/>
                <w:bCs/>
                <w:sz w:val="20"/>
                <w:szCs w:val="20"/>
                <w:lang w:eastAsia="lv-LV"/>
              </w:rPr>
            </w:pPr>
            <w:r w:rsidRPr="007A18D8">
              <w:rPr>
                <w:rFonts w:ascii="Times New Roman" w:eastAsia="Times New Roman" w:hAnsi="Times New Roman" w:cs="Times New Roman"/>
                <w:b/>
                <w:bCs/>
                <w:sz w:val="20"/>
                <w:szCs w:val="20"/>
                <w:lang w:eastAsia="lv-LV"/>
              </w:rPr>
              <w:t>2,5</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FED57" w14:textId="58116BC7" w:rsidR="00CC64B7" w:rsidRPr="007A18D8" w:rsidRDefault="00CC64B7" w:rsidP="00CC64B7">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0DC14" w14:textId="2F609B78" w:rsidR="00CC64B7" w:rsidRPr="007A18D8" w:rsidRDefault="00CC64B7" w:rsidP="00CC64B7">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7AAF4" w14:textId="28390CD5" w:rsidR="00CC64B7" w:rsidRPr="007A18D8" w:rsidRDefault="00CC64B7" w:rsidP="00CC64B7">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20 250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63B9D" w14:textId="2FAE10BC" w:rsidR="00CC64B7" w:rsidRPr="007A18D8" w:rsidRDefault="00CC64B7" w:rsidP="00CC64B7">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4 878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9E23B" w14:textId="43C4CF78" w:rsidR="00CC64B7" w:rsidRPr="007A18D8" w:rsidRDefault="00CC64B7" w:rsidP="00CC64B7">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6 670</w:t>
            </w:r>
          </w:p>
        </w:tc>
        <w:tc>
          <w:tcPr>
            <w:tcW w:w="1328" w:type="dxa"/>
            <w:tcBorders>
              <w:top w:val="single" w:sz="4" w:space="0" w:color="auto"/>
              <w:left w:val="single" w:sz="4" w:space="0" w:color="auto"/>
              <w:bottom w:val="single" w:sz="4" w:space="0" w:color="auto"/>
              <w:right w:val="single" w:sz="4" w:space="0" w:color="auto"/>
            </w:tcBorders>
            <w:vAlign w:val="center"/>
          </w:tcPr>
          <w:p w14:paraId="58A8D65C" w14:textId="7057F9E5" w:rsidR="00CC64B7" w:rsidRPr="007A18D8" w:rsidRDefault="00CC64B7" w:rsidP="00CC64B7">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23 849</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47AF6" w14:textId="7A1AB515" w:rsidR="00CC64B7" w:rsidRPr="007A18D8" w:rsidRDefault="00CC64B7" w:rsidP="00CC64B7">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31 798</w:t>
            </w:r>
          </w:p>
        </w:tc>
      </w:tr>
      <w:tr w:rsidR="002D5295" w14:paraId="1A4F9AED" w14:textId="77777777" w:rsidTr="00DC1F76">
        <w:trPr>
          <w:trHeight w:val="30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4E43AC" w14:textId="1E65F82A" w:rsidR="002D5295" w:rsidRPr="007A18D8" w:rsidRDefault="00CC64B7"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711ED" w14:textId="4F38BC53" w:rsidR="002D5295" w:rsidRPr="007A18D8" w:rsidRDefault="002D5295" w:rsidP="00D071CB">
            <w:pPr>
              <w:spacing w:after="0" w:line="240" w:lineRule="auto"/>
              <w:rPr>
                <w:rFonts w:ascii="Times New Roman" w:eastAsia="Times New Roman" w:hAnsi="Times New Roman" w:cs="Times New Roman"/>
                <w:i/>
                <w:iCs/>
                <w:sz w:val="20"/>
                <w:szCs w:val="20"/>
                <w:lang w:eastAsia="lv-LV"/>
              </w:rPr>
            </w:pPr>
            <w:r w:rsidRPr="007A18D8">
              <w:rPr>
                <w:rFonts w:ascii="Times New Roman" w:eastAsia="Times New Roman" w:hAnsi="Times New Roman" w:cs="Times New Roman"/>
                <w:i/>
                <w:iCs/>
                <w:sz w:val="20"/>
                <w:szCs w:val="20"/>
                <w:lang w:eastAsia="lv-LV"/>
              </w:rPr>
              <w:t xml:space="preserve">Citas ārstniecības iestādes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76F10" w14:textId="5166948D" w:rsidR="002D5295" w:rsidRPr="007A18D8" w:rsidRDefault="002D5295" w:rsidP="00D071CB">
            <w:pPr>
              <w:spacing w:after="0" w:line="240" w:lineRule="auto"/>
              <w:jc w:val="center"/>
              <w:rPr>
                <w:rFonts w:ascii="Times New Roman" w:eastAsia="Times New Roman" w:hAnsi="Times New Roman" w:cs="Times New Roman"/>
                <w:b/>
                <w:bCs/>
                <w:sz w:val="20"/>
                <w:szCs w:val="20"/>
                <w:lang w:eastAsia="lv-LV"/>
              </w:rPr>
            </w:pPr>
            <w:r w:rsidRPr="007A18D8">
              <w:rPr>
                <w:rFonts w:ascii="Times New Roman" w:eastAsia="Times New Roman" w:hAnsi="Times New Roman" w:cs="Times New Roman"/>
                <w:b/>
                <w:bCs/>
                <w:sz w:val="20"/>
                <w:szCs w:val="20"/>
                <w:lang w:eastAsia="lv-LV"/>
              </w:rPr>
              <w:t>6,5</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C9AF9" w14:textId="0EDE1000"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1F3FB" w14:textId="675DD53D"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9E6DD" w14:textId="031B1C64"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52 650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A62E8" w14:textId="094D78EF"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12 684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14815" w14:textId="3D28C89B" w:rsidR="002D5295" w:rsidRPr="007A18D8" w:rsidRDefault="002D5295" w:rsidP="00D071CB">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17 342</w:t>
            </w:r>
          </w:p>
        </w:tc>
        <w:tc>
          <w:tcPr>
            <w:tcW w:w="1328" w:type="dxa"/>
            <w:tcBorders>
              <w:top w:val="single" w:sz="4" w:space="0" w:color="auto"/>
              <w:left w:val="single" w:sz="4" w:space="0" w:color="auto"/>
              <w:bottom w:val="single" w:sz="4" w:space="0" w:color="auto"/>
              <w:right w:val="single" w:sz="4" w:space="0" w:color="auto"/>
            </w:tcBorders>
            <w:vAlign w:val="center"/>
          </w:tcPr>
          <w:p w14:paraId="6F6D6ABA" w14:textId="521FCF7F" w:rsidR="002D5295" w:rsidRPr="007A18D8" w:rsidRDefault="002D5295" w:rsidP="00310B0E">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62 007</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71364" w14:textId="0AEE34D4" w:rsidR="002D5295" w:rsidRPr="007A18D8" w:rsidRDefault="002D5295" w:rsidP="00310B0E">
            <w:pPr>
              <w:spacing w:after="0" w:line="240" w:lineRule="auto"/>
              <w:jc w:val="center"/>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82 676</w:t>
            </w:r>
          </w:p>
        </w:tc>
      </w:tr>
      <w:tr w:rsidR="002D5295" w14:paraId="66DA8ED2" w14:textId="77777777" w:rsidTr="00DC1F76">
        <w:trPr>
          <w:trHeight w:val="243"/>
          <w:jc w:val="center"/>
        </w:trPr>
        <w:tc>
          <w:tcPr>
            <w:tcW w:w="57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AF74764" w14:textId="77777777" w:rsidR="002D5295" w:rsidRPr="007A18D8" w:rsidRDefault="002D5295" w:rsidP="00D071CB">
            <w:pPr>
              <w:spacing w:after="0" w:line="240" w:lineRule="auto"/>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 </w:t>
            </w:r>
          </w:p>
        </w:tc>
        <w:tc>
          <w:tcPr>
            <w:tcW w:w="128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B7ACA99" w14:textId="77777777" w:rsidR="002D5295" w:rsidRPr="007A18D8" w:rsidRDefault="002D5295" w:rsidP="00D071CB">
            <w:pPr>
              <w:spacing w:after="0" w:line="240" w:lineRule="auto"/>
              <w:jc w:val="right"/>
              <w:rPr>
                <w:rFonts w:ascii="Times New Roman" w:eastAsia="Times New Roman" w:hAnsi="Times New Roman" w:cs="Times New Roman"/>
                <w:sz w:val="20"/>
                <w:szCs w:val="20"/>
                <w:lang w:eastAsia="lv-LV"/>
              </w:rPr>
            </w:pPr>
            <w:r w:rsidRPr="007A18D8">
              <w:rPr>
                <w:rFonts w:ascii="Times New Roman" w:eastAsia="Times New Roman" w:hAnsi="Times New Roman" w:cs="Times New Roman"/>
                <w:sz w:val="20"/>
                <w:szCs w:val="20"/>
                <w:lang w:eastAsia="lv-LV"/>
              </w:rPr>
              <w:t>KOPĀ</w:t>
            </w:r>
          </w:p>
        </w:tc>
        <w:tc>
          <w:tcPr>
            <w:tcW w:w="10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30BB58C7" w14:textId="6169FA9E" w:rsidR="002D5295" w:rsidRPr="007A18D8" w:rsidRDefault="002D5295" w:rsidP="00D071CB">
            <w:pPr>
              <w:spacing w:after="0" w:line="240" w:lineRule="auto"/>
              <w:jc w:val="center"/>
              <w:rPr>
                <w:rFonts w:ascii="Times New Roman" w:eastAsia="Times New Roman" w:hAnsi="Times New Roman" w:cs="Times New Roman"/>
                <w:b/>
                <w:bCs/>
                <w:sz w:val="20"/>
                <w:szCs w:val="20"/>
                <w:lang w:eastAsia="lv-LV"/>
              </w:rPr>
            </w:pPr>
            <w:r w:rsidRPr="007A18D8">
              <w:rPr>
                <w:rFonts w:ascii="Times New Roman" w:eastAsia="Times New Roman" w:hAnsi="Times New Roman" w:cs="Times New Roman"/>
                <w:b/>
                <w:bCs/>
                <w:sz w:val="20"/>
                <w:szCs w:val="20"/>
                <w:lang w:eastAsia="lv-LV"/>
              </w:rPr>
              <w:t>9</w:t>
            </w:r>
          </w:p>
        </w:tc>
        <w:tc>
          <w:tcPr>
            <w:tcW w:w="93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1E499440" w14:textId="0E75B008" w:rsidR="002D5295" w:rsidRPr="007A18D8" w:rsidRDefault="002D5295" w:rsidP="00D071CB">
            <w:pPr>
              <w:spacing w:after="0" w:line="240" w:lineRule="auto"/>
              <w:jc w:val="center"/>
              <w:rPr>
                <w:rFonts w:ascii="Times New Roman" w:eastAsia="Times New Roman" w:hAnsi="Times New Roman" w:cs="Times New Roman"/>
                <w:b/>
                <w:bCs/>
                <w:sz w:val="20"/>
                <w:szCs w:val="20"/>
                <w:lang w:eastAsia="lv-LV"/>
              </w:rPr>
            </w:pPr>
            <w:r w:rsidRPr="007A18D8">
              <w:rPr>
                <w:rFonts w:ascii="Times New Roman" w:eastAsia="Times New Roman" w:hAnsi="Times New Roman" w:cs="Times New Roman"/>
                <w:b/>
                <w:bCs/>
                <w:sz w:val="20"/>
                <w:szCs w:val="20"/>
                <w:lang w:eastAsia="lv-LV"/>
              </w:rPr>
              <w:t>15</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7C91972" w14:textId="52652C72" w:rsidR="002D5295" w:rsidRPr="007A18D8" w:rsidRDefault="002D5295" w:rsidP="00D071CB">
            <w:pPr>
              <w:spacing w:after="0" w:line="240" w:lineRule="auto"/>
              <w:jc w:val="center"/>
              <w:rPr>
                <w:rFonts w:ascii="Times New Roman" w:eastAsia="Times New Roman" w:hAnsi="Times New Roman" w:cs="Times New Roman"/>
                <w:b/>
                <w:bCs/>
                <w:sz w:val="20"/>
                <w:szCs w:val="20"/>
                <w:lang w:eastAsia="lv-LV"/>
              </w:rPr>
            </w:pPr>
            <w:r w:rsidRPr="007A18D8">
              <w:rPr>
                <w:rFonts w:ascii="Times New Roman" w:eastAsia="Times New Roman" w:hAnsi="Times New Roman" w:cs="Times New Roman"/>
                <w:b/>
                <w:bCs/>
                <w:sz w:val="20"/>
                <w:szCs w:val="20"/>
                <w:lang w:eastAsia="lv-LV"/>
              </w:rPr>
              <w:t>9</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48E1D4C0" w14:textId="3B62A840" w:rsidR="002D5295" w:rsidRPr="007A18D8" w:rsidRDefault="002D5295" w:rsidP="00D071CB">
            <w:pPr>
              <w:spacing w:after="0" w:line="240" w:lineRule="auto"/>
              <w:jc w:val="center"/>
              <w:rPr>
                <w:rFonts w:ascii="Times New Roman" w:eastAsia="Times New Roman" w:hAnsi="Times New Roman" w:cs="Times New Roman"/>
                <w:b/>
                <w:bCs/>
                <w:sz w:val="20"/>
                <w:szCs w:val="20"/>
                <w:lang w:eastAsia="lv-LV"/>
              </w:rPr>
            </w:pPr>
            <w:r w:rsidRPr="007A18D8">
              <w:rPr>
                <w:rFonts w:ascii="Times New Roman" w:eastAsia="Times New Roman" w:hAnsi="Times New Roman" w:cs="Times New Roman"/>
                <w:b/>
                <w:bCs/>
                <w:sz w:val="20"/>
                <w:szCs w:val="20"/>
                <w:lang w:eastAsia="lv-LV"/>
              </w:rPr>
              <w:t>72 900</w:t>
            </w:r>
          </w:p>
        </w:tc>
        <w:tc>
          <w:tcPr>
            <w:tcW w:w="142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1AAB9548" w14:textId="798A2140" w:rsidR="002D5295" w:rsidRPr="007A18D8" w:rsidRDefault="002D5295" w:rsidP="00D071CB">
            <w:pPr>
              <w:spacing w:after="0" w:line="240" w:lineRule="auto"/>
              <w:jc w:val="center"/>
              <w:rPr>
                <w:rFonts w:ascii="Times New Roman" w:eastAsia="Times New Roman" w:hAnsi="Times New Roman" w:cs="Times New Roman"/>
                <w:b/>
                <w:bCs/>
                <w:sz w:val="20"/>
                <w:szCs w:val="20"/>
                <w:lang w:eastAsia="lv-LV"/>
              </w:rPr>
            </w:pPr>
            <w:r w:rsidRPr="007A18D8">
              <w:rPr>
                <w:rFonts w:ascii="Times New Roman" w:eastAsia="Times New Roman" w:hAnsi="Times New Roman" w:cs="Times New Roman"/>
                <w:b/>
                <w:bCs/>
                <w:sz w:val="20"/>
                <w:szCs w:val="20"/>
                <w:lang w:eastAsia="lv-LV"/>
              </w:rPr>
              <w:t>17 562</w:t>
            </w:r>
          </w:p>
        </w:tc>
        <w:tc>
          <w:tcPr>
            <w:tcW w:w="141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438AA23B" w14:textId="5419212F" w:rsidR="002D5295" w:rsidRPr="007A18D8" w:rsidRDefault="002D5295" w:rsidP="00D071CB">
            <w:pPr>
              <w:spacing w:after="0" w:line="240" w:lineRule="auto"/>
              <w:jc w:val="center"/>
              <w:rPr>
                <w:rFonts w:ascii="Times New Roman" w:eastAsia="Times New Roman" w:hAnsi="Times New Roman" w:cs="Times New Roman"/>
                <w:b/>
                <w:bCs/>
                <w:sz w:val="20"/>
                <w:szCs w:val="20"/>
                <w:lang w:eastAsia="lv-LV"/>
              </w:rPr>
            </w:pPr>
            <w:r w:rsidRPr="007A18D8">
              <w:rPr>
                <w:rFonts w:ascii="Times New Roman" w:eastAsia="Times New Roman" w:hAnsi="Times New Roman" w:cs="Times New Roman"/>
                <w:b/>
                <w:bCs/>
                <w:sz w:val="20"/>
                <w:szCs w:val="20"/>
                <w:lang w:eastAsia="lv-LV"/>
              </w:rPr>
              <w:t>24 012</w:t>
            </w:r>
          </w:p>
        </w:tc>
        <w:tc>
          <w:tcPr>
            <w:tcW w:w="132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3FC907" w14:textId="522968BF" w:rsidR="002D5295" w:rsidRPr="007A18D8" w:rsidRDefault="00DC1F76"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225 768</w:t>
            </w:r>
          </w:p>
        </w:tc>
        <w:tc>
          <w:tcPr>
            <w:tcW w:w="132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387E7851" w14:textId="4A43586E" w:rsidR="002D5295" w:rsidRPr="007A18D8" w:rsidRDefault="00DC1F76"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254 386</w:t>
            </w:r>
          </w:p>
        </w:tc>
      </w:tr>
    </w:tbl>
    <w:p w14:paraId="7D1A31E2" w14:textId="77777777" w:rsidR="00A1203E" w:rsidRPr="00847710" w:rsidRDefault="00A1203E" w:rsidP="003A218E">
      <w:pPr>
        <w:ind w:firstLine="709"/>
        <w:jc w:val="both"/>
        <w:rPr>
          <w:rFonts w:ascii="Times New Roman" w:hAnsi="Times New Roman" w:cs="Times New Roman"/>
          <w:sz w:val="24"/>
          <w:szCs w:val="24"/>
          <w:lang w:eastAsia="lv-LV"/>
        </w:rPr>
      </w:pPr>
    </w:p>
    <w:p w14:paraId="293980C9" w14:textId="0A07E5E4" w:rsidR="00E37BCC" w:rsidRDefault="0071331A" w:rsidP="00560715">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1</w:t>
      </w:r>
      <w:r w:rsidR="00B55D67" w:rsidRPr="0012317D">
        <w:rPr>
          <w:rFonts w:ascii="Times New Roman" w:hAnsi="Times New Roman" w:cs="Times New Roman"/>
          <w:b/>
          <w:bCs/>
          <w:color w:val="auto"/>
          <w:sz w:val="24"/>
          <w:szCs w:val="24"/>
          <w:u w:val="single"/>
        </w:rPr>
        <w:t>.</w:t>
      </w:r>
      <w:r w:rsidR="00CC64B7">
        <w:rPr>
          <w:rFonts w:ascii="Times New Roman" w:hAnsi="Times New Roman" w:cs="Times New Roman"/>
          <w:b/>
          <w:bCs/>
          <w:color w:val="auto"/>
          <w:sz w:val="24"/>
          <w:szCs w:val="24"/>
          <w:u w:val="single"/>
        </w:rPr>
        <w:t>5</w:t>
      </w:r>
      <w:r w:rsidR="00B55D67" w:rsidRPr="0012317D">
        <w:rPr>
          <w:rFonts w:ascii="Times New Roman" w:hAnsi="Times New Roman" w:cs="Times New Roman"/>
          <w:b/>
          <w:bCs/>
          <w:color w:val="auto"/>
          <w:sz w:val="24"/>
          <w:szCs w:val="24"/>
          <w:u w:val="single"/>
        </w:rPr>
        <w:t xml:space="preserve">. </w:t>
      </w:r>
      <w:r w:rsidR="00784CDF">
        <w:rPr>
          <w:rFonts w:ascii="Times New Roman" w:hAnsi="Times New Roman" w:cs="Times New Roman"/>
          <w:b/>
          <w:bCs/>
          <w:color w:val="auto"/>
          <w:sz w:val="24"/>
          <w:szCs w:val="24"/>
          <w:u w:val="single"/>
        </w:rPr>
        <w:t>E</w:t>
      </w:r>
      <w:r w:rsidRPr="0078437D">
        <w:rPr>
          <w:rFonts w:ascii="Times New Roman" w:hAnsi="Times New Roman" w:cs="Times New Roman"/>
          <w:b/>
          <w:bCs/>
          <w:color w:val="auto"/>
          <w:sz w:val="24"/>
          <w:szCs w:val="24"/>
          <w:u w:val="single"/>
        </w:rPr>
        <w:t xml:space="preserve">ndoprotezēšanas </w:t>
      </w:r>
      <w:r w:rsidR="00D77295" w:rsidRPr="00901A9F">
        <w:rPr>
          <w:rFonts w:ascii="Times New Roman" w:hAnsi="Times New Roman" w:cs="Times New Roman"/>
          <w:b/>
          <w:bCs/>
          <w:color w:val="auto"/>
          <w:sz w:val="24"/>
          <w:szCs w:val="24"/>
          <w:u w:val="single"/>
        </w:rPr>
        <w:t xml:space="preserve">operācijas </w:t>
      </w:r>
      <w:r w:rsidRPr="00901A9F">
        <w:rPr>
          <w:rFonts w:ascii="Times New Roman" w:hAnsi="Times New Roman" w:cs="Times New Roman"/>
          <w:b/>
          <w:bCs/>
          <w:color w:val="auto"/>
          <w:sz w:val="24"/>
          <w:szCs w:val="24"/>
          <w:u w:val="single"/>
        </w:rPr>
        <w:t>stacionārā</w:t>
      </w:r>
    </w:p>
    <w:p w14:paraId="5D70E8F0" w14:textId="054CEF74" w:rsidR="005614EA" w:rsidRPr="00E93259" w:rsidRDefault="00296579" w:rsidP="00E93259">
      <w:pPr>
        <w:ind w:left="720"/>
        <w:rPr>
          <w:rFonts w:ascii="Times New Roman" w:hAnsi="Times New Roman" w:cs="Times New Roman"/>
          <w:sz w:val="24"/>
          <w:szCs w:val="24"/>
        </w:rPr>
      </w:pPr>
      <w:r>
        <w:rPr>
          <w:rFonts w:ascii="Times New Roman" w:hAnsi="Times New Roman" w:cs="Times New Roman"/>
          <w:sz w:val="24"/>
          <w:szCs w:val="24"/>
        </w:rPr>
        <w:t>1.</w:t>
      </w:r>
      <w:r w:rsidR="00CC64B7">
        <w:rPr>
          <w:rFonts w:ascii="Times New Roman" w:hAnsi="Times New Roman" w:cs="Times New Roman"/>
          <w:sz w:val="24"/>
          <w:szCs w:val="24"/>
        </w:rPr>
        <w:t>5</w:t>
      </w:r>
      <w:r>
        <w:rPr>
          <w:rFonts w:ascii="Times New Roman" w:hAnsi="Times New Roman" w:cs="Times New Roman"/>
          <w:sz w:val="24"/>
          <w:szCs w:val="24"/>
        </w:rPr>
        <w:t>.1. Esoš</w:t>
      </w:r>
      <w:r w:rsidR="005614EA">
        <w:rPr>
          <w:rFonts w:ascii="Times New Roman" w:hAnsi="Times New Roman" w:cs="Times New Roman"/>
          <w:sz w:val="24"/>
          <w:szCs w:val="24"/>
        </w:rPr>
        <w:t>ie pasākumi</w:t>
      </w:r>
    </w:p>
    <w:p w14:paraId="7C01300D" w14:textId="7D92B6A4" w:rsidR="007218DC" w:rsidRPr="007F6AC5" w:rsidRDefault="64AB90BD" w:rsidP="64AB90BD">
      <w:pPr>
        <w:shd w:val="clear" w:color="auto" w:fill="FFFFFF" w:themeFill="background1"/>
        <w:spacing w:after="120"/>
        <w:ind w:firstLine="720"/>
        <w:jc w:val="both"/>
        <w:textAlignment w:val="baseline"/>
        <w:rPr>
          <w:rFonts w:ascii="Times New Roman" w:hAnsi="Times New Roman" w:cs="Times New Roman"/>
          <w:color w:val="000000" w:themeColor="text1"/>
          <w:sz w:val="24"/>
          <w:szCs w:val="24"/>
        </w:rPr>
      </w:pPr>
      <w:r w:rsidRPr="64AB90BD">
        <w:rPr>
          <w:rFonts w:ascii="Times New Roman" w:hAnsi="Times New Roman" w:cs="Times New Roman"/>
          <w:sz w:val="24"/>
          <w:szCs w:val="24"/>
        </w:rPr>
        <w:t xml:space="preserve">2019.gadā ir jāturpina uzlabot </w:t>
      </w:r>
      <w:r w:rsidRPr="64AB90BD">
        <w:rPr>
          <w:rFonts w:ascii="Times New Roman" w:hAnsi="Times New Roman"/>
          <w:sz w:val="24"/>
          <w:szCs w:val="24"/>
          <w:lang w:eastAsia="lv-LV"/>
        </w:rPr>
        <w:t xml:space="preserve">pakalpojumu pieejamība un iespēja veikt savlaicīgu operāciju vēl 1 036 pacientiem veicot </w:t>
      </w:r>
      <w:r w:rsidRPr="00E93259">
        <w:rPr>
          <w:rFonts w:ascii="Times New Roman" w:hAnsi="Times New Roman"/>
          <w:sz w:val="24"/>
          <w:szCs w:val="24"/>
          <w:lang w:eastAsia="lv-LV"/>
        </w:rPr>
        <w:t xml:space="preserve">endoprotezēšanas operācijas, tā rezultātā uzlabojas sabiedrības veselības rādītāji, mazinās invaliditātes iespējas, it sevišķi darbaspējīgā vecumā ar </w:t>
      </w:r>
      <w:r w:rsidRPr="00E93259">
        <w:rPr>
          <w:rFonts w:ascii="Times New Roman" w:hAnsi="Times New Roman"/>
          <w:sz w:val="24"/>
          <w:szCs w:val="24"/>
          <w:lang w:eastAsia="lv-LV"/>
        </w:rPr>
        <w:lastRenderedPageBreak/>
        <w:t>attiecīgu sabiedrības izmaksu slogu un pacienti var iesaistīties darba tirgū</w:t>
      </w:r>
      <w:r w:rsidRPr="00E93259">
        <w:rPr>
          <w:rFonts w:ascii="Times New Roman" w:hAnsi="Times New Roman" w:cs="Times New Roman"/>
          <w:sz w:val="24"/>
          <w:szCs w:val="24"/>
        </w:rPr>
        <w:t>. Atbilstoši  2018.gada 1.pusgada faktiskajai izpildei no 2018.gada 1.janvāra līdz 1.jūlijam kopējo rindu garumu ir izdevies samazināt par 12,93%, kopumā veicot 570 endoprotezēšanas</w:t>
      </w:r>
      <w:r w:rsidR="007F6AC5" w:rsidRPr="00E93259">
        <w:rPr>
          <w:rFonts w:ascii="Times New Roman" w:hAnsi="Times New Roman" w:cs="Times New Roman"/>
          <w:sz w:val="24"/>
          <w:szCs w:val="24"/>
        </w:rPr>
        <w:t xml:space="preserve"> operācijas. Veicot analīzi un aptaujājot ārstniecības iestāžu iespējas 2019.gadam nepieciešami </w:t>
      </w:r>
      <w:r w:rsidR="007A18D8" w:rsidRPr="00E93259">
        <w:rPr>
          <w:rFonts w:ascii="Times New Roman" w:hAnsi="Times New Roman" w:cs="Times New Roman"/>
          <w:b/>
          <w:bCs/>
          <w:color w:val="000000" w:themeColor="text1"/>
          <w:sz w:val="24"/>
          <w:szCs w:val="24"/>
        </w:rPr>
        <w:t xml:space="preserve">2 613 397 </w:t>
      </w:r>
      <w:r w:rsidR="007F6AC5" w:rsidRPr="00E93259">
        <w:rPr>
          <w:rFonts w:ascii="Times New Roman" w:hAnsi="Times New Roman" w:cs="Times New Roman"/>
          <w:b/>
          <w:bCs/>
          <w:i/>
          <w:iCs/>
          <w:color w:val="000000" w:themeColor="text1"/>
          <w:sz w:val="24"/>
          <w:szCs w:val="24"/>
        </w:rPr>
        <w:t>euro</w:t>
      </w:r>
      <w:r w:rsidRPr="00E93259">
        <w:rPr>
          <w:rFonts w:ascii="Times New Roman" w:hAnsi="Times New Roman" w:cs="Times New Roman"/>
          <w:i/>
          <w:iCs/>
          <w:color w:val="000000" w:themeColor="text1"/>
          <w:sz w:val="24"/>
          <w:szCs w:val="24"/>
        </w:rPr>
        <w:t xml:space="preserve"> </w:t>
      </w:r>
      <w:r w:rsidR="52B20BA9" w:rsidRPr="00E93259">
        <w:rPr>
          <w:rFonts w:ascii="Times New Roman" w:hAnsi="Times New Roman" w:cs="Times New Roman"/>
          <w:color w:val="000000" w:themeColor="text1"/>
          <w:sz w:val="24"/>
          <w:szCs w:val="24"/>
        </w:rPr>
        <w:t>(1</w:t>
      </w:r>
      <w:r w:rsidR="00BD7B63">
        <w:rPr>
          <w:rFonts w:ascii="Times New Roman" w:hAnsi="Times New Roman" w:cs="Times New Roman"/>
          <w:color w:val="000000" w:themeColor="text1"/>
          <w:sz w:val="24"/>
          <w:szCs w:val="24"/>
        </w:rPr>
        <w:t>4</w:t>
      </w:r>
      <w:r w:rsidR="52B20BA9" w:rsidRPr="00E93259">
        <w:rPr>
          <w:rFonts w:ascii="Times New Roman" w:hAnsi="Times New Roman" w:cs="Times New Roman"/>
          <w:color w:val="000000" w:themeColor="text1"/>
          <w:sz w:val="24"/>
          <w:szCs w:val="24"/>
        </w:rPr>
        <w:t>.tabula).</w:t>
      </w:r>
    </w:p>
    <w:p w14:paraId="1BF1CFDC" w14:textId="7906B327" w:rsidR="001E4659" w:rsidRDefault="001E4659" w:rsidP="00CC64B7">
      <w:pPr>
        <w:spacing w:after="0" w:line="240" w:lineRule="auto"/>
        <w:rPr>
          <w:rFonts w:ascii="Times New Roman" w:hAnsi="Times New Roman" w:cs="Times New Roman"/>
          <w:i/>
          <w:iCs/>
          <w:sz w:val="24"/>
          <w:szCs w:val="24"/>
          <w:shd w:val="clear" w:color="auto" w:fill="FFFFFF"/>
        </w:rPr>
      </w:pPr>
    </w:p>
    <w:p w14:paraId="30D7606B" w14:textId="77777777" w:rsidR="00CC64B7" w:rsidRDefault="00CC64B7" w:rsidP="00E93259">
      <w:pPr>
        <w:spacing w:after="0" w:line="240" w:lineRule="auto"/>
        <w:ind w:firstLine="720"/>
        <w:jc w:val="right"/>
        <w:rPr>
          <w:rFonts w:ascii="Times New Roman" w:hAnsi="Times New Roman" w:cs="Times New Roman"/>
          <w:i/>
          <w:iCs/>
          <w:sz w:val="24"/>
          <w:szCs w:val="24"/>
          <w:shd w:val="clear" w:color="auto" w:fill="FFFFFF"/>
        </w:rPr>
      </w:pPr>
    </w:p>
    <w:p w14:paraId="39718EB0" w14:textId="77777777" w:rsidR="00CC64B7" w:rsidRDefault="00CC64B7" w:rsidP="00E93259">
      <w:pPr>
        <w:spacing w:after="0" w:line="240" w:lineRule="auto"/>
        <w:ind w:firstLine="720"/>
        <w:jc w:val="right"/>
        <w:rPr>
          <w:rFonts w:ascii="Times New Roman" w:hAnsi="Times New Roman" w:cs="Times New Roman"/>
          <w:i/>
          <w:iCs/>
          <w:sz w:val="24"/>
          <w:szCs w:val="24"/>
          <w:shd w:val="clear" w:color="auto" w:fill="FFFFFF"/>
        </w:rPr>
      </w:pPr>
    </w:p>
    <w:p w14:paraId="297ABE06" w14:textId="77777777" w:rsidR="00CC64B7" w:rsidRDefault="00CC64B7" w:rsidP="00E93259">
      <w:pPr>
        <w:spacing w:after="0" w:line="240" w:lineRule="auto"/>
        <w:ind w:firstLine="720"/>
        <w:jc w:val="right"/>
        <w:rPr>
          <w:rFonts w:ascii="Times New Roman" w:hAnsi="Times New Roman" w:cs="Times New Roman"/>
          <w:i/>
          <w:iCs/>
          <w:sz w:val="24"/>
          <w:szCs w:val="24"/>
          <w:shd w:val="clear" w:color="auto" w:fill="FFFFFF"/>
        </w:rPr>
      </w:pPr>
    </w:p>
    <w:p w14:paraId="67EA2540" w14:textId="77777777" w:rsidR="00CC64B7" w:rsidRDefault="00CC64B7" w:rsidP="00E93259">
      <w:pPr>
        <w:spacing w:after="0" w:line="240" w:lineRule="auto"/>
        <w:ind w:firstLine="720"/>
        <w:jc w:val="right"/>
        <w:rPr>
          <w:rFonts w:ascii="Times New Roman" w:hAnsi="Times New Roman" w:cs="Times New Roman"/>
          <w:i/>
          <w:iCs/>
          <w:sz w:val="24"/>
          <w:szCs w:val="24"/>
          <w:shd w:val="clear" w:color="auto" w:fill="FFFFFF"/>
        </w:rPr>
      </w:pPr>
    </w:p>
    <w:p w14:paraId="5830867D" w14:textId="77777777" w:rsidR="00CC64B7" w:rsidRDefault="00CC64B7" w:rsidP="00E93259">
      <w:pPr>
        <w:spacing w:after="0" w:line="240" w:lineRule="auto"/>
        <w:ind w:firstLine="720"/>
        <w:jc w:val="right"/>
        <w:rPr>
          <w:rFonts w:ascii="Times New Roman" w:hAnsi="Times New Roman" w:cs="Times New Roman"/>
          <w:i/>
          <w:iCs/>
          <w:sz w:val="24"/>
          <w:szCs w:val="24"/>
          <w:shd w:val="clear" w:color="auto" w:fill="FFFFFF"/>
        </w:rPr>
      </w:pPr>
    </w:p>
    <w:p w14:paraId="5DCBC24C" w14:textId="172B669A" w:rsidR="00CC64B7" w:rsidRDefault="00CC64B7" w:rsidP="00724CE1">
      <w:pPr>
        <w:spacing w:after="0" w:line="240" w:lineRule="auto"/>
        <w:rPr>
          <w:rFonts w:ascii="Times New Roman" w:hAnsi="Times New Roman" w:cs="Times New Roman"/>
          <w:i/>
          <w:iCs/>
          <w:sz w:val="24"/>
          <w:szCs w:val="24"/>
          <w:shd w:val="clear" w:color="auto" w:fill="FFFFFF"/>
        </w:rPr>
      </w:pPr>
    </w:p>
    <w:p w14:paraId="5DE1C06E" w14:textId="77777777" w:rsidR="00CC64B7" w:rsidRDefault="00CC64B7" w:rsidP="00E93259">
      <w:pPr>
        <w:spacing w:after="0" w:line="240" w:lineRule="auto"/>
        <w:ind w:firstLine="720"/>
        <w:jc w:val="right"/>
        <w:rPr>
          <w:rFonts w:ascii="Times New Roman" w:hAnsi="Times New Roman" w:cs="Times New Roman"/>
          <w:i/>
          <w:iCs/>
          <w:sz w:val="24"/>
          <w:szCs w:val="24"/>
          <w:shd w:val="clear" w:color="auto" w:fill="FFFFFF"/>
        </w:rPr>
      </w:pPr>
    </w:p>
    <w:p w14:paraId="3B024FC1" w14:textId="77777777" w:rsidR="00CC64B7" w:rsidRDefault="00CC64B7" w:rsidP="00E93259">
      <w:pPr>
        <w:spacing w:after="0" w:line="240" w:lineRule="auto"/>
        <w:ind w:firstLine="720"/>
        <w:jc w:val="right"/>
        <w:rPr>
          <w:rFonts w:ascii="Times New Roman" w:hAnsi="Times New Roman" w:cs="Times New Roman"/>
          <w:i/>
          <w:iCs/>
          <w:sz w:val="24"/>
          <w:szCs w:val="24"/>
          <w:shd w:val="clear" w:color="auto" w:fill="FFFFFF"/>
        </w:rPr>
        <w:sectPr w:rsidR="00CC64B7" w:rsidSect="00333B64">
          <w:pgSz w:w="12240" w:h="15840"/>
          <w:pgMar w:top="1440" w:right="1440" w:bottom="1440" w:left="1701" w:header="708" w:footer="708" w:gutter="0"/>
          <w:cols w:space="708"/>
          <w:docGrid w:linePitch="360"/>
        </w:sectPr>
      </w:pPr>
    </w:p>
    <w:p w14:paraId="7EBDB0A3" w14:textId="1E64D140" w:rsidR="00333451" w:rsidRPr="00E93259" w:rsidRDefault="007F6AC5" w:rsidP="00E93259">
      <w:pPr>
        <w:spacing w:after="0" w:line="240" w:lineRule="auto"/>
        <w:ind w:firstLine="720"/>
        <w:jc w:val="right"/>
        <w:rPr>
          <w:rFonts w:ascii="Times New Roman" w:hAnsi="Times New Roman" w:cs="Times New Roman"/>
          <w:i/>
          <w:iCs/>
          <w:sz w:val="24"/>
          <w:szCs w:val="24"/>
          <w:shd w:val="clear" w:color="auto" w:fill="FFFFFF"/>
        </w:rPr>
      </w:pPr>
      <w:r w:rsidRPr="704995BB">
        <w:rPr>
          <w:rFonts w:ascii="Times New Roman" w:hAnsi="Times New Roman" w:cs="Times New Roman"/>
          <w:i/>
          <w:iCs/>
          <w:sz w:val="24"/>
          <w:szCs w:val="24"/>
          <w:shd w:val="clear" w:color="auto" w:fill="FFFFFF"/>
        </w:rPr>
        <w:lastRenderedPageBreak/>
        <w:t>1</w:t>
      </w:r>
      <w:r w:rsidR="00BD7B63">
        <w:rPr>
          <w:rFonts w:ascii="Times New Roman" w:hAnsi="Times New Roman" w:cs="Times New Roman"/>
          <w:i/>
          <w:iCs/>
          <w:sz w:val="24"/>
          <w:szCs w:val="24"/>
          <w:shd w:val="clear" w:color="auto" w:fill="FFFFFF"/>
        </w:rPr>
        <w:t>4</w:t>
      </w:r>
      <w:r w:rsidR="00E20A98" w:rsidRPr="704995BB">
        <w:rPr>
          <w:rFonts w:ascii="Times New Roman" w:hAnsi="Times New Roman" w:cs="Times New Roman"/>
          <w:i/>
          <w:iCs/>
          <w:sz w:val="24"/>
          <w:szCs w:val="24"/>
          <w:shd w:val="clear" w:color="auto" w:fill="FFFFFF"/>
        </w:rPr>
        <w:t>.</w:t>
      </w:r>
      <w:r w:rsidR="00333451" w:rsidRPr="704995BB">
        <w:rPr>
          <w:rFonts w:ascii="Times New Roman" w:hAnsi="Times New Roman" w:cs="Times New Roman"/>
          <w:i/>
          <w:iCs/>
          <w:sz w:val="24"/>
          <w:szCs w:val="24"/>
          <w:shd w:val="clear" w:color="auto" w:fill="FFFFFF"/>
        </w:rPr>
        <w:t>tabula</w:t>
      </w:r>
    </w:p>
    <w:p w14:paraId="4B5C0029" w14:textId="694BF7E9" w:rsidR="00F11D78" w:rsidRPr="00E07AB7" w:rsidRDefault="00F11D78" w:rsidP="00E07AB7">
      <w:pPr>
        <w:jc w:val="center"/>
        <w:rPr>
          <w:rFonts w:ascii="Times New Roman" w:hAnsi="Times New Roman" w:cs="Times New Roman"/>
          <w:color w:val="000000"/>
          <w:sz w:val="24"/>
          <w:szCs w:val="24"/>
        </w:rPr>
      </w:pPr>
      <w:r w:rsidRPr="007F6AC5">
        <w:rPr>
          <w:rFonts w:ascii="Times New Roman" w:hAnsi="Times New Roman" w:cs="Times New Roman"/>
          <w:b/>
          <w:bCs/>
          <w:sz w:val="24"/>
          <w:szCs w:val="24"/>
        </w:rPr>
        <w:t>Endoprotezēšanas pakalpojumu plānotais pieaugums</w:t>
      </w:r>
      <w:r w:rsidR="003B0237">
        <w:rPr>
          <w:rFonts w:ascii="Times New Roman" w:hAnsi="Times New Roman" w:cs="Times New Roman"/>
          <w:b/>
          <w:bCs/>
          <w:sz w:val="24"/>
          <w:szCs w:val="24"/>
        </w:rPr>
        <w:t xml:space="preserve"> </w:t>
      </w:r>
      <w:r w:rsidR="00724CE1">
        <w:rPr>
          <w:rFonts w:ascii="Times New Roman" w:hAnsi="Times New Roman" w:cs="Times New Roman"/>
          <w:b/>
          <w:bCs/>
          <w:sz w:val="24"/>
          <w:szCs w:val="24"/>
        </w:rPr>
        <w:t xml:space="preserve">2017., 2018. un </w:t>
      </w:r>
      <w:r w:rsidR="003B0237">
        <w:rPr>
          <w:rFonts w:ascii="Times New Roman" w:hAnsi="Times New Roman" w:cs="Times New Roman"/>
          <w:b/>
          <w:bCs/>
          <w:sz w:val="24"/>
          <w:szCs w:val="24"/>
        </w:rPr>
        <w:t>2019.gadā</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850"/>
        <w:gridCol w:w="993"/>
        <w:gridCol w:w="992"/>
        <w:gridCol w:w="992"/>
        <w:gridCol w:w="850"/>
        <w:gridCol w:w="993"/>
        <w:gridCol w:w="992"/>
        <w:gridCol w:w="850"/>
        <w:gridCol w:w="992"/>
        <w:gridCol w:w="851"/>
        <w:gridCol w:w="19"/>
        <w:gridCol w:w="831"/>
        <w:gridCol w:w="851"/>
        <w:gridCol w:w="851"/>
      </w:tblGrid>
      <w:tr w:rsidR="00E01643" w:rsidRPr="00C244C1" w14:paraId="1C0DFA40" w14:textId="77777777" w:rsidTr="00C244C1">
        <w:trPr>
          <w:cantSplit/>
          <w:trHeight w:val="1656"/>
          <w:jc w:val="center"/>
        </w:trPr>
        <w:tc>
          <w:tcPr>
            <w:tcW w:w="846" w:type="dxa"/>
            <w:shd w:val="clear" w:color="auto" w:fill="E36C0A" w:themeFill="accent6" w:themeFillShade="BF"/>
            <w:vAlign w:val="center"/>
            <w:hideMark/>
          </w:tcPr>
          <w:p w14:paraId="57E4820B" w14:textId="77777777" w:rsidR="00E01643" w:rsidRPr="00C244C1" w:rsidRDefault="00E01643" w:rsidP="00D071CB">
            <w:pPr>
              <w:spacing w:after="0" w:line="240" w:lineRule="auto"/>
              <w:jc w:val="center"/>
              <w:rPr>
                <w:rFonts w:ascii="Times New Roman" w:eastAsia="Times New Roman" w:hAnsi="Times New Roman" w:cs="Times New Roman"/>
                <w:b/>
                <w:bCs/>
                <w:sz w:val="16"/>
                <w:szCs w:val="16"/>
                <w:lang w:eastAsia="lv-LV"/>
              </w:rPr>
            </w:pPr>
          </w:p>
        </w:tc>
        <w:tc>
          <w:tcPr>
            <w:tcW w:w="1843" w:type="dxa"/>
            <w:shd w:val="clear" w:color="auto" w:fill="E36C0A" w:themeFill="accent6" w:themeFillShade="BF"/>
            <w:vAlign w:val="center"/>
            <w:hideMark/>
          </w:tcPr>
          <w:p w14:paraId="745DBA22" w14:textId="77777777" w:rsidR="00E01643" w:rsidRPr="00C244C1" w:rsidRDefault="00E01643" w:rsidP="00D071CB">
            <w:pPr>
              <w:spacing w:after="0" w:line="240" w:lineRule="auto"/>
              <w:rPr>
                <w:rFonts w:ascii="Times New Roman" w:eastAsia="Times New Roman" w:hAnsi="Times New Roman" w:cs="Times New Roman"/>
                <w:b/>
                <w:bCs/>
                <w:sz w:val="16"/>
                <w:szCs w:val="16"/>
                <w:lang w:eastAsia="lv-LV"/>
              </w:rPr>
            </w:pPr>
          </w:p>
        </w:tc>
        <w:tc>
          <w:tcPr>
            <w:tcW w:w="850" w:type="dxa"/>
            <w:shd w:val="clear" w:color="auto" w:fill="E36C0A" w:themeFill="accent6" w:themeFillShade="BF"/>
            <w:textDirection w:val="btLr"/>
            <w:vAlign w:val="center"/>
            <w:hideMark/>
          </w:tcPr>
          <w:p w14:paraId="4ABA97E5" w14:textId="77777777" w:rsidR="00E01643" w:rsidRPr="00C244C1" w:rsidRDefault="00E01643" w:rsidP="00D071CB">
            <w:pPr>
              <w:spacing w:after="0" w:line="240" w:lineRule="auto"/>
              <w:ind w:left="113" w:right="113"/>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Vienas ārstēšanas vidējās</w:t>
            </w:r>
          </w:p>
          <w:p w14:paraId="73621B9B" w14:textId="47DECD40" w:rsidR="00E01643" w:rsidRPr="00C244C1" w:rsidRDefault="00E01643" w:rsidP="00D071CB">
            <w:pPr>
              <w:spacing w:after="0" w:line="240" w:lineRule="auto"/>
              <w:ind w:left="113" w:right="113"/>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Izmaksas**</w:t>
            </w:r>
          </w:p>
          <w:p w14:paraId="15CA0D56" w14:textId="77777777" w:rsidR="00E01643" w:rsidRPr="00C244C1" w:rsidRDefault="00E01643" w:rsidP="00D071CB">
            <w:pPr>
              <w:spacing w:after="0" w:line="240" w:lineRule="auto"/>
              <w:ind w:left="113" w:right="113"/>
              <w:jc w:val="center"/>
              <w:rPr>
                <w:rFonts w:ascii="Times New Roman" w:eastAsia="Times New Roman" w:hAnsi="Times New Roman" w:cs="Times New Roman"/>
                <w:b/>
                <w:bCs/>
                <w:sz w:val="16"/>
                <w:szCs w:val="16"/>
                <w:lang w:eastAsia="lv-LV"/>
              </w:rPr>
            </w:pPr>
          </w:p>
        </w:tc>
        <w:tc>
          <w:tcPr>
            <w:tcW w:w="2977" w:type="dxa"/>
            <w:gridSpan w:val="3"/>
            <w:shd w:val="clear" w:color="auto" w:fill="E36C0A" w:themeFill="accent6" w:themeFillShade="BF"/>
            <w:textDirection w:val="btLr"/>
            <w:vAlign w:val="center"/>
          </w:tcPr>
          <w:p w14:paraId="036E51D2" w14:textId="5AFD2F0A" w:rsidR="00E01643" w:rsidRPr="00C244C1" w:rsidRDefault="00E01643" w:rsidP="00D071CB">
            <w:pPr>
              <w:spacing w:after="0" w:line="240" w:lineRule="auto"/>
              <w:ind w:left="113" w:right="113"/>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 xml:space="preserve">Plānotais finansējums </w:t>
            </w:r>
          </w:p>
        </w:tc>
        <w:tc>
          <w:tcPr>
            <w:tcW w:w="2835" w:type="dxa"/>
            <w:gridSpan w:val="3"/>
            <w:shd w:val="clear" w:color="auto" w:fill="E36C0A" w:themeFill="accent6" w:themeFillShade="BF"/>
            <w:textDirection w:val="btLr"/>
            <w:vAlign w:val="center"/>
          </w:tcPr>
          <w:p w14:paraId="3A4593E5" w14:textId="782EC947" w:rsidR="00E01643" w:rsidRPr="00C244C1" w:rsidRDefault="00E01643" w:rsidP="00D071CB">
            <w:pPr>
              <w:spacing w:after="0" w:line="240" w:lineRule="auto"/>
              <w:ind w:left="113" w:right="113"/>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 xml:space="preserve">Papildus finansējums </w:t>
            </w:r>
          </w:p>
        </w:tc>
        <w:tc>
          <w:tcPr>
            <w:tcW w:w="2712" w:type="dxa"/>
            <w:gridSpan w:val="4"/>
            <w:shd w:val="clear" w:color="auto" w:fill="E36C0A" w:themeFill="accent6" w:themeFillShade="BF"/>
            <w:textDirection w:val="btLr"/>
            <w:vAlign w:val="center"/>
          </w:tcPr>
          <w:p w14:paraId="1A479149" w14:textId="1F3D8222" w:rsidR="00E01643" w:rsidRPr="00C244C1" w:rsidRDefault="00E01643" w:rsidP="00D071CB">
            <w:pPr>
              <w:spacing w:after="0" w:line="240" w:lineRule="auto"/>
              <w:ind w:left="113" w:right="113"/>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 xml:space="preserve">Plānotais pakalpojumu skaits </w:t>
            </w:r>
          </w:p>
        </w:tc>
        <w:tc>
          <w:tcPr>
            <w:tcW w:w="2533" w:type="dxa"/>
            <w:gridSpan w:val="3"/>
            <w:shd w:val="clear" w:color="auto" w:fill="E36C0A" w:themeFill="accent6" w:themeFillShade="BF"/>
            <w:textDirection w:val="btLr"/>
            <w:vAlign w:val="center"/>
          </w:tcPr>
          <w:p w14:paraId="469D4FDF" w14:textId="5A97A5BD" w:rsidR="00E01643" w:rsidRPr="00C244C1" w:rsidRDefault="00E01643" w:rsidP="00D071CB">
            <w:pPr>
              <w:spacing w:after="0" w:line="240" w:lineRule="auto"/>
              <w:ind w:left="113" w:right="113"/>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Plānotais pakalpojumu skaits pēc finansējuma piešķīruma</w:t>
            </w:r>
          </w:p>
        </w:tc>
      </w:tr>
      <w:tr w:rsidR="00E01643" w:rsidRPr="00C244C1" w14:paraId="160C4538" w14:textId="77777777" w:rsidTr="00C244C1">
        <w:trPr>
          <w:trHeight w:val="640"/>
          <w:jc w:val="center"/>
        </w:trPr>
        <w:tc>
          <w:tcPr>
            <w:tcW w:w="846" w:type="dxa"/>
            <w:shd w:val="clear" w:color="auto" w:fill="FABF8F" w:themeFill="accent6" w:themeFillTint="99"/>
            <w:vAlign w:val="center"/>
          </w:tcPr>
          <w:p w14:paraId="5F4633BA" w14:textId="77777777"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p>
        </w:tc>
        <w:tc>
          <w:tcPr>
            <w:tcW w:w="1843" w:type="dxa"/>
            <w:shd w:val="clear" w:color="auto" w:fill="FABF8F" w:themeFill="accent6" w:themeFillTint="99"/>
            <w:vAlign w:val="center"/>
          </w:tcPr>
          <w:p w14:paraId="233B558B" w14:textId="77777777"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p>
        </w:tc>
        <w:tc>
          <w:tcPr>
            <w:tcW w:w="850" w:type="dxa"/>
            <w:shd w:val="clear" w:color="auto" w:fill="FABF8F" w:themeFill="accent6" w:themeFillTint="99"/>
            <w:vAlign w:val="center"/>
          </w:tcPr>
          <w:p w14:paraId="364D6959" w14:textId="7616A5F4" w:rsidR="00E01643" w:rsidRPr="00C244C1" w:rsidRDefault="00E01643" w:rsidP="00E01643">
            <w:pPr>
              <w:spacing w:after="0" w:line="240" w:lineRule="auto"/>
              <w:jc w:val="center"/>
              <w:rPr>
                <w:rFonts w:ascii="Times New Roman" w:eastAsia="Times New Roman" w:hAnsi="Times New Roman" w:cs="Times New Roman"/>
                <w:i/>
                <w:iCs/>
                <w:sz w:val="16"/>
                <w:szCs w:val="16"/>
                <w:lang w:eastAsia="lv-LV"/>
              </w:rPr>
            </w:pPr>
            <w:r>
              <w:rPr>
                <w:rFonts w:ascii="Times New Roman" w:eastAsia="Times New Roman" w:hAnsi="Times New Roman" w:cs="Times New Roman"/>
                <w:i/>
                <w:iCs/>
                <w:sz w:val="16"/>
                <w:szCs w:val="16"/>
                <w:lang w:eastAsia="lv-LV"/>
              </w:rPr>
              <w:t>2019</w:t>
            </w:r>
          </w:p>
          <w:p w14:paraId="52CF497B" w14:textId="77777777"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i/>
                <w:iCs/>
                <w:sz w:val="16"/>
                <w:szCs w:val="16"/>
                <w:lang w:eastAsia="lv-LV"/>
              </w:rPr>
              <w:t>(euro)</w:t>
            </w:r>
          </w:p>
        </w:tc>
        <w:tc>
          <w:tcPr>
            <w:tcW w:w="993" w:type="dxa"/>
            <w:shd w:val="clear" w:color="auto" w:fill="FABF8F" w:themeFill="accent6" w:themeFillTint="99"/>
            <w:vAlign w:val="center"/>
          </w:tcPr>
          <w:p w14:paraId="76463871" w14:textId="207DE5A9"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2017</w:t>
            </w:r>
          </w:p>
          <w:p w14:paraId="7F9DC83B" w14:textId="7EF034BE"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i/>
                <w:iCs/>
                <w:sz w:val="16"/>
                <w:szCs w:val="16"/>
                <w:lang w:eastAsia="lv-LV"/>
              </w:rPr>
              <w:t>(euro)</w:t>
            </w:r>
          </w:p>
        </w:tc>
        <w:tc>
          <w:tcPr>
            <w:tcW w:w="992" w:type="dxa"/>
            <w:shd w:val="clear" w:color="auto" w:fill="FABF8F" w:themeFill="accent6" w:themeFillTint="99"/>
            <w:vAlign w:val="center"/>
          </w:tcPr>
          <w:p w14:paraId="7542DED4" w14:textId="7D7B55F6"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2018</w:t>
            </w:r>
          </w:p>
          <w:p w14:paraId="216B617B" w14:textId="77777777"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i/>
                <w:iCs/>
                <w:sz w:val="16"/>
                <w:szCs w:val="16"/>
                <w:lang w:eastAsia="lv-LV"/>
              </w:rPr>
              <w:t>(euro)</w:t>
            </w:r>
          </w:p>
        </w:tc>
        <w:tc>
          <w:tcPr>
            <w:tcW w:w="992" w:type="dxa"/>
            <w:shd w:val="clear" w:color="auto" w:fill="FABF8F" w:themeFill="accent6" w:themeFillTint="99"/>
            <w:vAlign w:val="center"/>
          </w:tcPr>
          <w:p w14:paraId="2F8765E7" w14:textId="3520A19C"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2019</w:t>
            </w:r>
          </w:p>
          <w:p w14:paraId="785D2DED" w14:textId="77777777"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i/>
                <w:iCs/>
                <w:sz w:val="16"/>
                <w:szCs w:val="16"/>
                <w:lang w:eastAsia="lv-LV"/>
              </w:rPr>
              <w:t>(euro)</w:t>
            </w:r>
          </w:p>
        </w:tc>
        <w:tc>
          <w:tcPr>
            <w:tcW w:w="850" w:type="dxa"/>
            <w:shd w:val="clear" w:color="auto" w:fill="FABF8F" w:themeFill="accent6" w:themeFillTint="99"/>
            <w:vAlign w:val="center"/>
          </w:tcPr>
          <w:p w14:paraId="3DA493F3" w14:textId="77777777" w:rsidR="00E01643" w:rsidRPr="00030FAC" w:rsidRDefault="00E01643" w:rsidP="00E01643">
            <w:pPr>
              <w:spacing w:after="0" w:line="240" w:lineRule="auto"/>
              <w:jc w:val="center"/>
              <w:rPr>
                <w:rFonts w:ascii="Times New Roman" w:eastAsia="Times New Roman" w:hAnsi="Times New Roman" w:cs="Times New Roman"/>
                <w:b/>
                <w:bCs/>
                <w:sz w:val="16"/>
                <w:szCs w:val="16"/>
                <w:lang w:eastAsia="lv-LV"/>
              </w:rPr>
            </w:pPr>
            <w:r w:rsidRPr="00030FAC">
              <w:rPr>
                <w:rFonts w:ascii="Times New Roman" w:eastAsia="Times New Roman" w:hAnsi="Times New Roman" w:cs="Times New Roman"/>
                <w:b/>
                <w:bCs/>
                <w:sz w:val="16"/>
                <w:szCs w:val="16"/>
                <w:lang w:eastAsia="lv-LV"/>
              </w:rPr>
              <w:t>2017</w:t>
            </w:r>
          </w:p>
          <w:p w14:paraId="192573EE" w14:textId="6DCCA14C" w:rsidR="00E01643" w:rsidRPr="00C244C1" w:rsidRDefault="00E01643" w:rsidP="00E01643">
            <w:pPr>
              <w:spacing w:after="0" w:line="240" w:lineRule="auto"/>
              <w:jc w:val="center"/>
              <w:rPr>
                <w:rFonts w:ascii="Times New Roman" w:eastAsia="Times New Roman" w:hAnsi="Times New Roman" w:cs="Times New Roman"/>
                <w:bCs/>
                <w:i/>
                <w:iCs/>
                <w:sz w:val="16"/>
                <w:szCs w:val="16"/>
                <w:lang w:eastAsia="lv-LV"/>
              </w:rPr>
            </w:pPr>
            <w:r w:rsidRPr="00030FAC">
              <w:rPr>
                <w:rFonts w:ascii="Times New Roman" w:eastAsia="Times New Roman" w:hAnsi="Times New Roman" w:cs="Times New Roman"/>
                <w:i/>
                <w:iCs/>
                <w:sz w:val="16"/>
                <w:szCs w:val="16"/>
                <w:lang w:eastAsia="lv-LV"/>
              </w:rPr>
              <w:t>(euro)</w:t>
            </w:r>
          </w:p>
        </w:tc>
        <w:tc>
          <w:tcPr>
            <w:tcW w:w="993" w:type="dxa"/>
            <w:shd w:val="clear" w:color="auto" w:fill="FABF8F" w:themeFill="accent6" w:themeFillTint="99"/>
            <w:vAlign w:val="center"/>
          </w:tcPr>
          <w:p w14:paraId="228BD87F" w14:textId="77777777" w:rsidR="00E01643" w:rsidRPr="00030FAC" w:rsidRDefault="00E01643" w:rsidP="00E01643">
            <w:pPr>
              <w:spacing w:after="0" w:line="240" w:lineRule="auto"/>
              <w:jc w:val="center"/>
              <w:rPr>
                <w:rFonts w:ascii="Times New Roman" w:eastAsia="Times New Roman" w:hAnsi="Times New Roman" w:cs="Times New Roman"/>
                <w:b/>
                <w:bCs/>
                <w:sz w:val="16"/>
                <w:szCs w:val="16"/>
                <w:lang w:eastAsia="lv-LV"/>
              </w:rPr>
            </w:pPr>
            <w:r w:rsidRPr="00030FAC">
              <w:rPr>
                <w:rFonts w:ascii="Times New Roman" w:eastAsia="Times New Roman" w:hAnsi="Times New Roman" w:cs="Times New Roman"/>
                <w:b/>
                <w:bCs/>
                <w:sz w:val="16"/>
                <w:szCs w:val="16"/>
                <w:lang w:eastAsia="lv-LV"/>
              </w:rPr>
              <w:t>2018</w:t>
            </w:r>
          </w:p>
          <w:p w14:paraId="21FA56A6" w14:textId="69FD48E4" w:rsidR="00E01643" w:rsidRPr="00C244C1" w:rsidRDefault="00E01643" w:rsidP="00E01643">
            <w:pPr>
              <w:spacing w:after="0" w:line="240" w:lineRule="auto"/>
              <w:jc w:val="center"/>
              <w:rPr>
                <w:rFonts w:ascii="Times New Roman" w:eastAsia="Times New Roman" w:hAnsi="Times New Roman" w:cs="Times New Roman"/>
                <w:bCs/>
                <w:i/>
                <w:iCs/>
                <w:sz w:val="16"/>
                <w:szCs w:val="16"/>
                <w:lang w:eastAsia="lv-LV"/>
              </w:rPr>
            </w:pPr>
            <w:r w:rsidRPr="00030FAC">
              <w:rPr>
                <w:rFonts w:ascii="Times New Roman" w:eastAsia="Times New Roman" w:hAnsi="Times New Roman" w:cs="Times New Roman"/>
                <w:i/>
                <w:iCs/>
                <w:sz w:val="16"/>
                <w:szCs w:val="16"/>
                <w:lang w:eastAsia="lv-LV"/>
              </w:rPr>
              <w:t>(euro)</w:t>
            </w:r>
          </w:p>
        </w:tc>
        <w:tc>
          <w:tcPr>
            <w:tcW w:w="992" w:type="dxa"/>
            <w:shd w:val="clear" w:color="auto" w:fill="FABF8F" w:themeFill="accent6" w:themeFillTint="99"/>
            <w:vAlign w:val="center"/>
          </w:tcPr>
          <w:p w14:paraId="29B7C33A" w14:textId="533E8ED5" w:rsidR="00E01643" w:rsidRPr="00C244C1" w:rsidRDefault="00E01643" w:rsidP="00E01643">
            <w:pPr>
              <w:spacing w:after="0" w:line="240" w:lineRule="auto"/>
              <w:jc w:val="center"/>
              <w:rPr>
                <w:rFonts w:ascii="Times New Roman" w:eastAsia="Times New Roman" w:hAnsi="Times New Roman" w:cs="Times New Roman"/>
                <w:bCs/>
                <w:i/>
                <w:iCs/>
                <w:sz w:val="16"/>
                <w:szCs w:val="16"/>
                <w:lang w:eastAsia="lv-LV"/>
              </w:rPr>
            </w:pPr>
            <w:r w:rsidRPr="00C244C1">
              <w:rPr>
                <w:rFonts w:ascii="Times New Roman" w:eastAsia="Times New Roman" w:hAnsi="Times New Roman" w:cs="Times New Roman"/>
                <w:bCs/>
                <w:i/>
                <w:iCs/>
                <w:sz w:val="16"/>
                <w:szCs w:val="16"/>
                <w:lang w:eastAsia="lv-LV"/>
              </w:rPr>
              <w:t>2019</w:t>
            </w:r>
          </w:p>
          <w:p w14:paraId="09C951BA" w14:textId="77777777" w:rsidR="00E01643" w:rsidRPr="00C244C1" w:rsidRDefault="00E01643" w:rsidP="00E01643">
            <w:pPr>
              <w:spacing w:after="0" w:line="240" w:lineRule="auto"/>
              <w:jc w:val="center"/>
              <w:rPr>
                <w:rFonts w:ascii="Times New Roman" w:eastAsia="Times New Roman" w:hAnsi="Times New Roman" w:cs="Times New Roman"/>
                <w:i/>
                <w:iCs/>
                <w:sz w:val="16"/>
                <w:szCs w:val="16"/>
                <w:lang w:eastAsia="lv-LV"/>
              </w:rPr>
            </w:pPr>
            <w:r w:rsidRPr="00C244C1">
              <w:rPr>
                <w:rFonts w:ascii="Times New Roman" w:eastAsia="Times New Roman" w:hAnsi="Times New Roman" w:cs="Times New Roman"/>
                <w:i/>
                <w:iCs/>
                <w:sz w:val="16"/>
                <w:szCs w:val="16"/>
                <w:lang w:eastAsia="lv-LV"/>
              </w:rPr>
              <w:t>(euro)</w:t>
            </w:r>
          </w:p>
        </w:tc>
        <w:tc>
          <w:tcPr>
            <w:tcW w:w="850" w:type="dxa"/>
            <w:shd w:val="clear" w:color="auto" w:fill="FABF8F" w:themeFill="accent6" w:themeFillTint="99"/>
            <w:vAlign w:val="center"/>
          </w:tcPr>
          <w:p w14:paraId="1FCB7948" w14:textId="1F67E287"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2017</w:t>
            </w:r>
          </w:p>
        </w:tc>
        <w:tc>
          <w:tcPr>
            <w:tcW w:w="992" w:type="dxa"/>
            <w:shd w:val="clear" w:color="auto" w:fill="FABF8F" w:themeFill="accent6" w:themeFillTint="99"/>
            <w:vAlign w:val="center"/>
          </w:tcPr>
          <w:p w14:paraId="0B511541" w14:textId="02BCCB2F" w:rsidR="00E01643" w:rsidRPr="00C244C1" w:rsidRDefault="00E01643" w:rsidP="00E01643">
            <w:pPr>
              <w:spacing w:after="0" w:line="240" w:lineRule="auto"/>
              <w:jc w:val="center"/>
              <w:rPr>
                <w:rFonts w:ascii="Times New Roman" w:eastAsia="Times New Roman" w:hAnsi="Times New Roman" w:cs="Times New Roman"/>
                <w:b/>
                <w:bCs/>
                <w:sz w:val="16"/>
                <w:szCs w:val="16"/>
                <w:lang w:eastAsia="lv-LV"/>
              </w:rPr>
            </w:pPr>
            <w:r w:rsidRPr="00C244C1">
              <w:rPr>
                <w:rFonts w:ascii="Times New Roman" w:eastAsia="Times New Roman" w:hAnsi="Times New Roman" w:cs="Times New Roman"/>
                <w:b/>
                <w:bCs/>
                <w:sz w:val="16"/>
                <w:szCs w:val="16"/>
                <w:lang w:eastAsia="lv-LV"/>
              </w:rPr>
              <w:t>2018</w:t>
            </w:r>
          </w:p>
        </w:tc>
        <w:tc>
          <w:tcPr>
            <w:tcW w:w="851" w:type="dxa"/>
            <w:shd w:val="clear" w:color="auto" w:fill="FABF8F" w:themeFill="accent6" w:themeFillTint="99"/>
            <w:vAlign w:val="center"/>
          </w:tcPr>
          <w:p w14:paraId="40A9196F" w14:textId="7A7AF3EC" w:rsidR="00E01643" w:rsidRPr="00C244C1" w:rsidRDefault="00E01643" w:rsidP="00E01643">
            <w:pPr>
              <w:spacing w:after="0" w:line="240" w:lineRule="auto"/>
              <w:jc w:val="center"/>
              <w:rPr>
                <w:rFonts w:ascii="Times New Roman" w:eastAsia="Times New Roman" w:hAnsi="Times New Roman" w:cs="Times New Roman"/>
                <w:b/>
                <w:bCs/>
                <w:color w:val="000000" w:themeColor="text1"/>
                <w:sz w:val="16"/>
                <w:szCs w:val="16"/>
                <w:lang w:eastAsia="lv-LV"/>
              </w:rPr>
            </w:pPr>
            <w:r w:rsidRPr="00C244C1">
              <w:rPr>
                <w:rFonts w:ascii="Times New Roman" w:eastAsia="Times New Roman" w:hAnsi="Times New Roman" w:cs="Times New Roman"/>
                <w:b/>
                <w:bCs/>
                <w:color w:val="000000" w:themeColor="text1"/>
                <w:sz w:val="16"/>
                <w:szCs w:val="16"/>
                <w:lang w:eastAsia="lv-LV"/>
              </w:rPr>
              <w:t>2019</w:t>
            </w:r>
          </w:p>
        </w:tc>
        <w:tc>
          <w:tcPr>
            <w:tcW w:w="850" w:type="dxa"/>
            <w:gridSpan w:val="2"/>
            <w:shd w:val="clear" w:color="auto" w:fill="FABF8F" w:themeFill="accent6" w:themeFillTint="99"/>
            <w:vAlign w:val="center"/>
          </w:tcPr>
          <w:p w14:paraId="2E1F43BB" w14:textId="253881B1" w:rsidR="00E01643" w:rsidRPr="00C244C1" w:rsidRDefault="00E01643" w:rsidP="00E01643">
            <w:pPr>
              <w:spacing w:after="0" w:line="240" w:lineRule="auto"/>
              <w:jc w:val="center"/>
              <w:rPr>
                <w:rFonts w:ascii="Times New Roman" w:eastAsia="Times New Roman" w:hAnsi="Times New Roman" w:cs="Times New Roman"/>
                <w:b/>
                <w:bCs/>
                <w:color w:val="FF0000"/>
                <w:sz w:val="16"/>
                <w:szCs w:val="16"/>
                <w:lang w:eastAsia="lv-LV"/>
              </w:rPr>
            </w:pPr>
            <w:r>
              <w:rPr>
                <w:rFonts w:ascii="Times New Roman" w:eastAsia="Times New Roman" w:hAnsi="Times New Roman" w:cs="Times New Roman"/>
                <w:b/>
                <w:bCs/>
                <w:color w:val="FF0000"/>
                <w:sz w:val="16"/>
                <w:szCs w:val="16"/>
                <w:lang w:eastAsia="lv-LV"/>
              </w:rPr>
              <w:t>2017</w:t>
            </w:r>
          </w:p>
        </w:tc>
        <w:tc>
          <w:tcPr>
            <w:tcW w:w="851" w:type="dxa"/>
            <w:shd w:val="clear" w:color="auto" w:fill="FABF8F" w:themeFill="accent6" w:themeFillTint="99"/>
            <w:vAlign w:val="center"/>
          </w:tcPr>
          <w:p w14:paraId="47D11B8E" w14:textId="17BD1A52" w:rsidR="00E01643" w:rsidRPr="00C244C1" w:rsidRDefault="00E01643" w:rsidP="00E01643">
            <w:pPr>
              <w:spacing w:after="0" w:line="240" w:lineRule="auto"/>
              <w:jc w:val="center"/>
              <w:rPr>
                <w:rFonts w:ascii="Times New Roman" w:eastAsia="Times New Roman" w:hAnsi="Times New Roman" w:cs="Times New Roman"/>
                <w:b/>
                <w:bCs/>
                <w:color w:val="FF0000"/>
                <w:sz w:val="16"/>
                <w:szCs w:val="16"/>
                <w:lang w:eastAsia="lv-LV"/>
              </w:rPr>
            </w:pPr>
            <w:r>
              <w:rPr>
                <w:rFonts w:ascii="Times New Roman" w:eastAsia="Times New Roman" w:hAnsi="Times New Roman" w:cs="Times New Roman"/>
                <w:b/>
                <w:bCs/>
                <w:color w:val="FF0000"/>
                <w:sz w:val="16"/>
                <w:szCs w:val="16"/>
                <w:lang w:eastAsia="lv-LV"/>
              </w:rPr>
              <w:t>2018</w:t>
            </w:r>
          </w:p>
        </w:tc>
        <w:tc>
          <w:tcPr>
            <w:tcW w:w="851" w:type="dxa"/>
            <w:shd w:val="clear" w:color="auto" w:fill="FABF8F" w:themeFill="accent6" w:themeFillTint="99"/>
            <w:vAlign w:val="center"/>
          </w:tcPr>
          <w:p w14:paraId="3241815B" w14:textId="490B0BD1" w:rsidR="00E01643" w:rsidRPr="00C244C1" w:rsidRDefault="00E01643" w:rsidP="00E01643">
            <w:pPr>
              <w:spacing w:after="0" w:line="240" w:lineRule="auto"/>
              <w:jc w:val="center"/>
              <w:rPr>
                <w:rFonts w:ascii="Times New Roman" w:eastAsia="Times New Roman" w:hAnsi="Times New Roman" w:cs="Times New Roman"/>
                <w:b/>
                <w:bCs/>
                <w:color w:val="FF0000"/>
                <w:sz w:val="16"/>
                <w:szCs w:val="16"/>
                <w:lang w:eastAsia="lv-LV"/>
              </w:rPr>
            </w:pPr>
            <w:r w:rsidRPr="00C244C1">
              <w:rPr>
                <w:rFonts w:ascii="Times New Roman" w:eastAsia="Times New Roman" w:hAnsi="Times New Roman" w:cs="Times New Roman"/>
                <w:b/>
                <w:bCs/>
                <w:color w:val="FF0000"/>
                <w:sz w:val="16"/>
                <w:szCs w:val="16"/>
                <w:lang w:eastAsia="lv-LV"/>
              </w:rPr>
              <w:t>2019</w:t>
            </w:r>
          </w:p>
        </w:tc>
      </w:tr>
      <w:tr w:rsidR="00E01643" w:rsidRPr="00C244C1" w14:paraId="6E61F38D" w14:textId="77777777" w:rsidTr="00C244C1">
        <w:trPr>
          <w:trHeight w:val="52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841EB" w14:textId="77777777"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5C6A2" w14:textId="77777777" w:rsidR="00E01643" w:rsidRPr="00C244C1" w:rsidRDefault="00E01643" w:rsidP="00E01643">
            <w:pPr>
              <w:spacing w:after="0" w:line="240" w:lineRule="auto"/>
              <w:rPr>
                <w:rFonts w:ascii="Times New Roman" w:eastAsia="Times New Roman" w:hAnsi="Times New Roman" w:cs="Times New Roman"/>
                <w:sz w:val="16"/>
                <w:szCs w:val="16"/>
                <w:lang w:eastAsia="lv-LV"/>
              </w:rPr>
            </w:pPr>
            <w:r w:rsidRPr="00C244C1">
              <w:rPr>
                <w:rFonts w:ascii="Times New Roman" w:hAnsi="Times New Roman" w:cs="Times New Roman"/>
                <w:color w:val="000000"/>
                <w:sz w:val="16"/>
                <w:szCs w:val="16"/>
              </w:rPr>
              <w:t>Ceļa locītavas endoprotezēšana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23534" w14:textId="0A5DD08B"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2 542,71</w:t>
            </w:r>
          </w:p>
        </w:tc>
        <w:tc>
          <w:tcPr>
            <w:tcW w:w="993" w:type="dxa"/>
            <w:tcBorders>
              <w:top w:val="single" w:sz="4" w:space="0" w:color="auto"/>
              <w:left w:val="single" w:sz="4" w:space="0" w:color="auto"/>
              <w:bottom w:val="single" w:sz="4" w:space="0" w:color="auto"/>
              <w:right w:val="single" w:sz="4" w:space="0" w:color="auto"/>
            </w:tcBorders>
            <w:vAlign w:val="center"/>
          </w:tcPr>
          <w:p w14:paraId="18CA537B" w14:textId="2F29691B"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2 189 283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FEB93" w14:textId="63178807"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2 189 283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D3E85" w14:textId="4C160D55"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2 680 017</w:t>
            </w:r>
          </w:p>
        </w:tc>
        <w:tc>
          <w:tcPr>
            <w:tcW w:w="850" w:type="dxa"/>
            <w:tcBorders>
              <w:top w:val="single" w:sz="4" w:space="0" w:color="auto"/>
              <w:left w:val="single" w:sz="4" w:space="0" w:color="auto"/>
              <w:bottom w:val="single" w:sz="4" w:space="0" w:color="auto"/>
              <w:right w:val="single" w:sz="4" w:space="0" w:color="auto"/>
            </w:tcBorders>
            <w:vAlign w:val="center"/>
          </w:tcPr>
          <w:p w14:paraId="5AC21E27" w14:textId="34E23AFB"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38BF4883" w14:textId="739CB0CF"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1 014 541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43F2C" w14:textId="1BDAECE8"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683 989</w:t>
            </w:r>
          </w:p>
        </w:tc>
        <w:tc>
          <w:tcPr>
            <w:tcW w:w="850" w:type="dxa"/>
            <w:tcBorders>
              <w:top w:val="single" w:sz="4" w:space="0" w:color="auto"/>
              <w:left w:val="single" w:sz="4" w:space="0" w:color="auto"/>
              <w:bottom w:val="single" w:sz="4" w:space="0" w:color="auto"/>
              <w:right w:val="single" w:sz="4" w:space="0" w:color="auto"/>
            </w:tcBorders>
            <w:vAlign w:val="center"/>
          </w:tcPr>
          <w:p w14:paraId="67D0BCD0" w14:textId="62064866"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959</w:t>
            </w:r>
          </w:p>
        </w:tc>
        <w:tc>
          <w:tcPr>
            <w:tcW w:w="992" w:type="dxa"/>
            <w:tcBorders>
              <w:top w:val="single" w:sz="4" w:space="0" w:color="auto"/>
              <w:left w:val="single" w:sz="4" w:space="0" w:color="auto"/>
              <w:bottom w:val="single" w:sz="4" w:space="0" w:color="auto"/>
              <w:right w:val="single" w:sz="4" w:space="0" w:color="auto"/>
            </w:tcBorders>
            <w:vAlign w:val="center"/>
          </w:tcPr>
          <w:p w14:paraId="5EB84011" w14:textId="43578890" w:rsidR="00E01643" w:rsidRPr="00C244C1" w:rsidRDefault="000E2748" w:rsidP="00E01643">
            <w:pPr>
              <w:spacing w:after="0" w:line="240" w:lineRule="auto"/>
              <w:jc w:val="center"/>
              <w:rPr>
                <w:rFonts w:ascii="Times New Roman" w:hAnsi="Times New Roman" w:cs="Times New Roman"/>
                <w:color w:val="000000"/>
                <w:sz w:val="16"/>
                <w:szCs w:val="16"/>
              </w:rPr>
            </w:pPr>
            <w:r>
              <w:rPr>
                <w:rFonts w:ascii="Times New Roman" w:hAnsi="Times New Roman" w:cs="Times New Roman"/>
                <w:sz w:val="16"/>
                <w:szCs w:val="16"/>
              </w:rPr>
              <w:t>959</w:t>
            </w:r>
          </w:p>
        </w:tc>
        <w:tc>
          <w:tcPr>
            <w:tcW w:w="851" w:type="dxa"/>
            <w:tcBorders>
              <w:top w:val="single" w:sz="4" w:space="0" w:color="auto"/>
              <w:left w:val="single" w:sz="4" w:space="0" w:color="auto"/>
              <w:bottom w:val="single" w:sz="4" w:space="0" w:color="auto"/>
              <w:right w:val="single" w:sz="4" w:space="0" w:color="auto"/>
            </w:tcBorders>
            <w:vAlign w:val="center"/>
          </w:tcPr>
          <w:p w14:paraId="5D7EB825" w14:textId="446B3FE2"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1 054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A4ACAC" w14:textId="76E33327"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007DCF5" w14:textId="23A05706"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1 358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B59D4" w14:textId="3C1AED21"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1 323</w:t>
            </w:r>
          </w:p>
        </w:tc>
      </w:tr>
      <w:tr w:rsidR="00E01643" w:rsidRPr="00C244C1" w14:paraId="073A0E26" w14:textId="77777777" w:rsidTr="00C244C1">
        <w:trPr>
          <w:trHeight w:val="52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1A329" w14:textId="7C16E18B"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5D3582" w14:textId="0A0AD031" w:rsidR="00E01643" w:rsidRPr="00C244C1" w:rsidRDefault="00E01643" w:rsidP="00E01643">
            <w:pPr>
              <w:spacing w:after="0" w:line="240" w:lineRule="auto"/>
              <w:rPr>
                <w:rFonts w:ascii="Times New Roman" w:hAnsi="Times New Roman" w:cs="Times New Roman"/>
                <w:color w:val="000000"/>
                <w:sz w:val="16"/>
                <w:szCs w:val="16"/>
              </w:rPr>
            </w:pPr>
            <w:r w:rsidRPr="00C244C1">
              <w:rPr>
                <w:rFonts w:ascii="Times New Roman" w:hAnsi="Times New Roman" w:cs="Times New Roman"/>
                <w:color w:val="000000"/>
                <w:sz w:val="16"/>
                <w:szCs w:val="16"/>
              </w:rPr>
              <w:t>Ceļu locītavas endoprotezēšana ar 50% piemaksu</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A9F5B" w14:textId="37524313"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1 271,36</w:t>
            </w:r>
          </w:p>
        </w:tc>
        <w:tc>
          <w:tcPr>
            <w:tcW w:w="993" w:type="dxa"/>
            <w:tcBorders>
              <w:top w:val="single" w:sz="4" w:space="0" w:color="auto"/>
              <w:left w:val="single" w:sz="4" w:space="0" w:color="auto"/>
              <w:bottom w:val="single" w:sz="4" w:space="0" w:color="auto"/>
              <w:right w:val="single" w:sz="4" w:space="0" w:color="auto"/>
            </w:tcBorders>
            <w:vAlign w:val="center"/>
          </w:tcPr>
          <w:p w14:paraId="02204BD1" w14:textId="1F6D7CC2"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127 841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937D1" w14:textId="1079EDA0" w:rsidR="00E01643" w:rsidRPr="00C244C1" w:rsidRDefault="002F6F63" w:rsidP="00E01643">
            <w:pPr>
              <w:spacing w:after="0" w:line="240" w:lineRule="auto"/>
              <w:jc w:val="center"/>
              <w:rPr>
                <w:rFonts w:ascii="Times New Roman" w:hAnsi="Times New Roman" w:cs="Times New Roman"/>
                <w:sz w:val="16"/>
                <w:szCs w:val="16"/>
              </w:rPr>
            </w:pPr>
            <w:r w:rsidRPr="00030FAC">
              <w:rPr>
                <w:rFonts w:ascii="Times New Roman" w:hAnsi="Times New Roman" w:cs="Times New Roman"/>
                <w:sz w:val="16"/>
                <w:szCs w:val="16"/>
              </w:rPr>
              <w:t>127 841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F0AD1" w14:textId="6A12CF57"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C2F5243" w14:textId="65FD7517"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4718FDE8" w14:textId="017B6876" w:rsidR="00E01643" w:rsidRPr="00C244C1" w:rsidRDefault="002F6F6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233 930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EE61D" w14:textId="1D4DA754"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7E0EDFD7" w14:textId="18D1CF89"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112</w:t>
            </w:r>
          </w:p>
        </w:tc>
        <w:tc>
          <w:tcPr>
            <w:tcW w:w="992" w:type="dxa"/>
            <w:tcBorders>
              <w:top w:val="single" w:sz="4" w:space="0" w:color="auto"/>
              <w:left w:val="single" w:sz="4" w:space="0" w:color="auto"/>
              <w:bottom w:val="single" w:sz="4" w:space="0" w:color="auto"/>
              <w:right w:val="single" w:sz="4" w:space="0" w:color="auto"/>
            </w:tcBorders>
            <w:vAlign w:val="center"/>
          </w:tcPr>
          <w:p w14:paraId="1BAE3E4F" w14:textId="309DCE52" w:rsidR="00E01643" w:rsidRPr="00C244C1" w:rsidRDefault="002F6F6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112</w:t>
            </w:r>
          </w:p>
        </w:tc>
        <w:tc>
          <w:tcPr>
            <w:tcW w:w="851" w:type="dxa"/>
            <w:tcBorders>
              <w:top w:val="single" w:sz="4" w:space="0" w:color="auto"/>
              <w:left w:val="single" w:sz="4" w:space="0" w:color="auto"/>
              <w:bottom w:val="single" w:sz="4" w:space="0" w:color="auto"/>
              <w:right w:val="single" w:sz="4" w:space="0" w:color="auto"/>
            </w:tcBorders>
            <w:vAlign w:val="center"/>
          </w:tcPr>
          <w:p w14:paraId="06991247" w14:textId="303E9201"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1FAE2A" w14:textId="3EA16B4F" w:rsidR="00E01643" w:rsidRPr="00C244C1" w:rsidRDefault="002F6F6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43424CE2" w14:textId="2A17D040" w:rsidR="00E01643" w:rsidRPr="00C244C1" w:rsidRDefault="002F6F6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296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EDC66" w14:textId="78B49843"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w:t>
            </w:r>
          </w:p>
        </w:tc>
      </w:tr>
      <w:tr w:rsidR="00E01643" w:rsidRPr="00C244C1" w14:paraId="1CB4C4F5" w14:textId="77777777" w:rsidTr="00C244C1">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5F6AF" w14:textId="30520F2F"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D57CF5" w14:textId="77777777" w:rsidR="00E01643" w:rsidRPr="00C244C1" w:rsidRDefault="00E01643" w:rsidP="00E01643">
            <w:pPr>
              <w:spacing w:after="0" w:line="240" w:lineRule="auto"/>
              <w:rPr>
                <w:rFonts w:ascii="Times New Roman" w:eastAsia="Times New Roman" w:hAnsi="Times New Roman" w:cs="Times New Roman"/>
                <w:sz w:val="16"/>
                <w:szCs w:val="16"/>
                <w:lang w:eastAsia="lv-LV"/>
              </w:rPr>
            </w:pPr>
            <w:r w:rsidRPr="00C244C1">
              <w:rPr>
                <w:rFonts w:ascii="Times New Roman" w:hAnsi="Times New Roman" w:cs="Times New Roman"/>
                <w:color w:val="000000"/>
                <w:sz w:val="16"/>
                <w:szCs w:val="16"/>
              </w:rPr>
              <w:t xml:space="preserve">Ceļa locītavas endoprotezēšana sarežģītos gadījumos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76D43" w14:textId="04DCED6A"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3 879,64</w:t>
            </w:r>
          </w:p>
        </w:tc>
        <w:tc>
          <w:tcPr>
            <w:tcW w:w="993" w:type="dxa"/>
            <w:tcBorders>
              <w:top w:val="single" w:sz="4" w:space="0" w:color="auto"/>
              <w:left w:val="single" w:sz="4" w:space="0" w:color="auto"/>
              <w:bottom w:val="single" w:sz="4" w:space="0" w:color="auto"/>
              <w:right w:val="single" w:sz="4" w:space="0" w:color="auto"/>
            </w:tcBorders>
            <w:vAlign w:val="center"/>
          </w:tcPr>
          <w:p w14:paraId="585C9262" w14:textId="6E98C076"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892 652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78E44" w14:textId="24F14E7B"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892 652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981E6" w14:textId="2A8CB128"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1 532 458</w:t>
            </w:r>
          </w:p>
        </w:tc>
        <w:tc>
          <w:tcPr>
            <w:tcW w:w="850" w:type="dxa"/>
            <w:tcBorders>
              <w:top w:val="single" w:sz="4" w:space="0" w:color="auto"/>
              <w:left w:val="single" w:sz="4" w:space="0" w:color="auto"/>
              <w:bottom w:val="single" w:sz="4" w:space="0" w:color="auto"/>
              <w:right w:val="single" w:sz="4" w:space="0" w:color="auto"/>
            </w:tcBorders>
            <w:vAlign w:val="center"/>
          </w:tcPr>
          <w:p w14:paraId="2458CA21" w14:textId="4781DF41"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789A74C" w14:textId="356503AF"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326 098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91B11" w14:textId="24D1968F"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325 890</w:t>
            </w:r>
          </w:p>
        </w:tc>
        <w:tc>
          <w:tcPr>
            <w:tcW w:w="850" w:type="dxa"/>
            <w:tcBorders>
              <w:top w:val="single" w:sz="4" w:space="0" w:color="auto"/>
              <w:left w:val="single" w:sz="4" w:space="0" w:color="auto"/>
              <w:bottom w:val="single" w:sz="4" w:space="0" w:color="auto"/>
              <w:right w:val="single" w:sz="4" w:space="0" w:color="auto"/>
            </w:tcBorders>
            <w:vAlign w:val="center"/>
          </w:tcPr>
          <w:p w14:paraId="69BA9236" w14:textId="3A997794"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290</w:t>
            </w:r>
          </w:p>
        </w:tc>
        <w:tc>
          <w:tcPr>
            <w:tcW w:w="992" w:type="dxa"/>
            <w:tcBorders>
              <w:top w:val="single" w:sz="4" w:space="0" w:color="auto"/>
              <w:left w:val="single" w:sz="4" w:space="0" w:color="auto"/>
              <w:bottom w:val="single" w:sz="4" w:space="0" w:color="auto"/>
              <w:right w:val="single" w:sz="4" w:space="0" w:color="auto"/>
            </w:tcBorders>
            <w:vAlign w:val="center"/>
          </w:tcPr>
          <w:p w14:paraId="10D00BBC" w14:textId="3100E64C" w:rsidR="00E01643" w:rsidRPr="00C244C1" w:rsidRDefault="00F858DF" w:rsidP="00E01643">
            <w:pPr>
              <w:spacing w:after="0" w:line="240" w:lineRule="auto"/>
              <w:jc w:val="center"/>
              <w:rPr>
                <w:rFonts w:ascii="Times New Roman" w:hAnsi="Times New Roman" w:cs="Times New Roman"/>
                <w:color w:val="000000"/>
                <w:sz w:val="16"/>
                <w:szCs w:val="16"/>
              </w:rPr>
            </w:pPr>
            <w:r>
              <w:rPr>
                <w:rFonts w:ascii="Times New Roman" w:hAnsi="Times New Roman" w:cs="Times New Roman"/>
                <w:sz w:val="16"/>
                <w:szCs w:val="16"/>
              </w:rPr>
              <w:t>290</w:t>
            </w:r>
          </w:p>
        </w:tc>
        <w:tc>
          <w:tcPr>
            <w:tcW w:w="851" w:type="dxa"/>
            <w:tcBorders>
              <w:top w:val="single" w:sz="4" w:space="0" w:color="auto"/>
              <w:left w:val="single" w:sz="4" w:space="0" w:color="auto"/>
              <w:bottom w:val="single" w:sz="4" w:space="0" w:color="auto"/>
              <w:right w:val="single" w:sz="4" w:space="0" w:color="auto"/>
            </w:tcBorders>
            <w:vAlign w:val="center"/>
          </w:tcPr>
          <w:p w14:paraId="185ED363" w14:textId="1377FB91"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395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F4DBEF" w14:textId="5B58FBEF"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5EA85FCB" w14:textId="1AF7C075"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03743" w14:textId="618C4E65"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479</w:t>
            </w:r>
          </w:p>
        </w:tc>
      </w:tr>
      <w:tr w:rsidR="00E01643" w:rsidRPr="00C244C1" w14:paraId="6AF82E54" w14:textId="77777777" w:rsidTr="00C244C1">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1EB30" w14:textId="1864247B"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D88DA5" w14:textId="32EB834E" w:rsidR="00E01643" w:rsidRPr="00C244C1" w:rsidRDefault="00E01643" w:rsidP="00E01643">
            <w:pPr>
              <w:spacing w:after="0" w:line="240" w:lineRule="auto"/>
              <w:rPr>
                <w:rFonts w:ascii="Times New Roman" w:hAnsi="Times New Roman" w:cs="Times New Roman"/>
                <w:color w:val="000000"/>
                <w:sz w:val="16"/>
                <w:szCs w:val="16"/>
              </w:rPr>
            </w:pPr>
            <w:r w:rsidRPr="00C244C1">
              <w:rPr>
                <w:rFonts w:ascii="Times New Roman" w:hAnsi="Times New Roman" w:cs="Times New Roman"/>
                <w:color w:val="000000"/>
                <w:sz w:val="16"/>
                <w:szCs w:val="16"/>
              </w:rPr>
              <w:t>Ceļa locītavas endoprotezēšana  ar 50% a</w:t>
            </w:r>
            <w:r w:rsidR="007A6B7F">
              <w:rPr>
                <w:rFonts w:ascii="Times New Roman" w:hAnsi="Times New Roman" w:cs="Times New Roman"/>
                <w:color w:val="000000"/>
                <w:sz w:val="16"/>
                <w:szCs w:val="16"/>
              </w:rPr>
              <w:t>p</w:t>
            </w:r>
            <w:r w:rsidRPr="00C244C1">
              <w:rPr>
                <w:rFonts w:ascii="Times New Roman" w:hAnsi="Times New Roman" w:cs="Times New Roman"/>
                <w:color w:val="000000"/>
                <w:sz w:val="16"/>
                <w:szCs w:val="16"/>
              </w:rPr>
              <w:t>maksu sarežģītos gadījumos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EBA80" w14:textId="572D46A6"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1 734,57</w:t>
            </w:r>
          </w:p>
        </w:tc>
        <w:tc>
          <w:tcPr>
            <w:tcW w:w="993" w:type="dxa"/>
            <w:tcBorders>
              <w:top w:val="single" w:sz="4" w:space="0" w:color="auto"/>
              <w:left w:val="single" w:sz="4" w:space="0" w:color="auto"/>
              <w:bottom w:val="single" w:sz="4" w:space="0" w:color="auto"/>
              <w:right w:val="single" w:sz="4" w:space="0" w:color="auto"/>
            </w:tcBorders>
            <w:vAlign w:val="center"/>
          </w:tcPr>
          <w:p w14:paraId="690585E2" w14:textId="60362ED8"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175 453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E1096" w14:textId="101EDF85" w:rsidR="00E01643" w:rsidRPr="00C244C1" w:rsidRDefault="000E2748"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175 453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0A08" w14:textId="6B9B768A"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FDD83DC" w14:textId="5C5E89AB"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39CAA0FA" w14:textId="5F4117DB"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182 130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0AFF3" w14:textId="16E3BCB1"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BDAA4FE" w14:textId="3FB4B465"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114</w:t>
            </w:r>
          </w:p>
        </w:tc>
        <w:tc>
          <w:tcPr>
            <w:tcW w:w="992" w:type="dxa"/>
            <w:tcBorders>
              <w:top w:val="single" w:sz="4" w:space="0" w:color="auto"/>
              <w:left w:val="single" w:sz="4" w:space="0" w:color="auto"/>
              <w:bottom w:val="single" w:sz="4" w:space="0" w:color="auto"/>
              <w:right w:val="single" w:sz="4" w:space="0" w:color="auto"/>
            </w:tcBorders>
            <w:vAlign w:val="center"/>
          </w:tcPr>
          <w:p w14:paraId="7DF86216" w14:textId="0A8FC888" w:rsidR="00E01643" w:rsidRPr="00C244C1" w:rsidRDefault="00F858DF"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c>
          <w:tcPr>
            <w:tcW w:w="851" w:type="dxa"/>
            <w:tcBorders>
              <w:top w:val="single" w:sz="4" w:space="0" w:color="auto"/>
              <w:left w:val="single" w:sz="4" w:space="0" w:color="auto"/>
              <w:bottom w:val="single" w:sz="4" w:space="0" w:color="auto"/>
              <w:right w:val="single" w:sz="4" w:space="0" w:color="auto"/>
            </w:tcBorders>
            <w:vAlign w:val="center"/>
          </w:tcPr>
          <w:p w14:paraId="3CD7E093" w14:textId="70412E6B"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983320" w14:textId="7FC5F169"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6712F84D" w14:textId="72E2992E"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219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F4789" w14:textId="7C6FC62F"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w:t>
            </w:r>
          </w:p>
        </w:tc>
      </w:tr>
      <w:tr w:rsidR="00E01643" w:rsidRPr="00C244C1" w14:paraId="42DC36DE" w14:textId="77777777" w:rsidTr="00C244C1">
        <w:trPr>
          <w:trHeight w:val="699"/>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0D33B" w14:textId="2B582EFB"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04502E" w14:textId="0365486F" w:rsidR="00E01643" w:rsidRPr="00C244C1" w:rsidRDefault="00E01643" w:rsidP="00E01643">
            <w:pPr>
              <w:spacing w:after="0" w:line="240" w:lineRule="auto"/>
              <w:rPr>
                <w:rFonts w:ascii="Times New Roman" w:hAnsi="Times New Roman" w:cs="Times New Roman"/>
                <w:color w:val="000000"/>
                <w:sz w:val="16"/>
                <w:szCs w:val="16"/>
              </w:rPr>
            </w:pPr>
            <w:r w:rsidRPr="00C244C1">
              <w:rPr>
                <w:rFonts w:ascii="Times New Roman" w:hAnsi="Times New Roman" w:cs="Times New Roman"/>
                <w:color w:val="000000"/>
                <w:sz w:val="16"/>
                <w:szCs w:val="16"/>
              </w:rPr>
              <w:t>Elkoņa locītavas totālā endoprotezēšana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4D512" w14:textId="3554B3E0"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4 487,50</w:t>
            </w:r>
          </w:p>
        </w:tc>
        <w:tc>
          <w:tcPr>
            <w:tcW w:w="993" w:type="dxa"/>
            <w:tcBorders>
              <w:top w:val="single" w:sz="4" w:space="0" w:color="auto"/>
              <w:left w:val="single" w:sz="4" w:space="0" w:color="auto"/>
              <w:bottom w:val="single" w:sz="4" w:space="0" w:color="auto"/>
              <w:right w:val="single" w:sz="4" w:space="0" w:color="auto"/>
            </w:tcBorders>
            <w:vAlign w:val="center"/>
          </w:tcPr>
          <w:p w14:paraId="3300EFCC" w14:textId="24E71AD3"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8 975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EDDCB" w14:textId="7268A14D"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8 975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8ECF" w14:textId="2E17763E"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8 975</w:t>
            </w:r>
          </w:p>
        </w:tc>
        <w:tc>
          <w:tcPr>
            <w:tcW w:w="850" w:type="dxa"/>
            <w:tcBorders>
              <w:top w:val="single" w:sz="4" w:space="0" w:color="auto"/>
              <w:left w:val="single" w:sz="4" w:space="0" w:color="auto"/>
              <w:bottom w:val="single" w:sz="4" w:space="0" w:color="auto"/>
              <w:right w:val="single" w:sz="4" w:space="0" w:color="auto"/>
            </w:tcBorders>
            <w:vAlign w:val="center"/>
          </w:tcPr>
          <w:p w14:paraId="57C7A0D9" w14:textId="31D442C8"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4AECA76E" w14:textId="07630DAA"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681C8" w14:textId="2D8E6605"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4 488</w:t>
            </w:r>
          </w:p>
        </w:tc>
        <w:tc>
          <w:tcPr>
            <w:tcW w:w="850" w:type="dxa"/>
            <w:tcBorders>
              <w:top w:val="single" w:sz="4" w:space="0" w:color="auto"/>
              <w:left w:val="single" w:sz="4" w:space="0" w:color="auto"/>
              <w:bottom w:val="single" w:sz="4" w:space="0" w:color="auto"/>
              <w:right w:val="single" w:sz="4" w:space="0" w:color="auto"/>
            </w:tcBorders>
            <w:vAlign w:val="center"/>
          </w:tcPr>
          <w:p w14:paraId="3E39587E" w14:textId="77DFA7C6"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14:paraId="623D7C64" w14:textId="3588051F"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14:paraId="6BDA0502" w14:textId="75561337"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2BC7371" w14:textId="67CB576E"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B2F0FC9" w14:textId="7A1B70EB"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F0129" w14:textId="5DCC8C4B"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3</w:t>
            </w:r>
          </w:p>
        </w:tc>
      </w:tr>
      <w:tr w:rsidR="00E01643" w:rsidRPr="00C244C1" w14:paraId="5C09EA3B" w14:textId="77777777" w:rsidTr="00C244C1">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A8037" w14:textId="6BC0ED8F"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B5A441" w14:textId="33B000A2" w:rsidR="00E01643" w:rsidRPr="00C244C1" w:rsidRDefault="00E01643" w:rsidP="00E01643">
            <w:pPr>
              <w:spacing w:after="0" w:line="240" w:lineRule="auto"/>
              <w:rPr>
                <w:rFonts w:ascii="Times New Roman" w:hAnsi="Times New Roman" w:cs="Times New Roman"/>
                <w:color w:val="000000"/>
                <w:sz w:val="16"/>
                <w:szCs w:val="16"/>
              </w:rPr>
            </w:pPr>
            <w:r w:rsidRPr="00C244C1">
              <w:rPr>
                <w:rFonts w:ascii="Times New Roman" w:hAnsi="Times New Roman" w:cs="Times New Roman"/>
                <w:color w:val="000000"/>
                <w:sz w:val="16"/>
                <w:szCs w:val="16"/>
              </w:rPr>
              <w:t>Gūžas locītavas endoprotezēšana ar bezcementa fiksācijas vai hibrīda tipa endoprotēzi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B4F7F" w14:textId="0B11D408"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2 553,51</w:t>
            </w:r>
          </w:p>
        </w:tc>
        <w:tc>
          <w:tcPr>
            <w:tcW w:w="993" w:type="dxa"/>
            <w:tcBorders>
              <w:top w:val="single" w:sz="4" w:space="0" w:color="auto"/>
              <w:left w:val="single" w:sz="4" w:space="0" w:color="auto"/>
              <w:bottom w:val="single" w:sz="4" w:space="0" w:color="auto"/>
              <w:right w:val="single" w:sz="4" w:space="0" w:color="auto"/>
            </w:tcBorders>
            <w:vAlign w:val="center"/>
          </w:tcPr>
          <w:p w14:paraId="79B43A30" w14:textId="7B90757A"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531 130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5749B" w14:textId="45FC4372"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531 130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7445C" w14:textId="45FFEE94"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559 219</w:t>
            </w:r>
          </w:p>
        </w:tc>
        <w:tc>
          <w:tcPr>
            <w:tcW w:w="850" w:type="dxa"/>
            <w:tcBorders>
              <w:top w:val="single" w:sz="4" w:space="0" w:color="auto"/>
              <w:left w:val="single" w:sz="4" w:space="0" w:color="auto"/>
              <w:bottom w:val="single" w:sz="4" w:space="0" w:color="auto"/>
              <w:right w:val="single" w:sz="4" w:space="0" w:color="auto"/>
            </w:tcBorders>
            <w:vAlign w:val="center"/>
          </w:tcPr>
          <w:p w14:paraId="67B0ED45" w14:textId="3712CE72"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4EFFA1B" w14:textId="7E0FDCA4"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66667" w14:textId="73E00A17"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232 369</w:t>
            </w:r>
          </w:p>
        </w:tc>
        <w:tc>
          <w:tcPr>
            <w:tcW w:w="850" w:type="dxa"/>
            <w:tcBorders>
              <w:top w:val="single" w:sz="4" w:space="0" w:color="auto"/>
              <w:left w:val="single" w:sz="4" w:space="0" w:color="auto"/>
              <w:bottom w:val="single" w:sz="4" w:space="0" w:color="auto"/>
              <w:right w:val="single" w:sz="4" w:space="0" w:color="auto"/>
            </w:tcBorders>
            <w:vAlign w:val="center"/>
          </w:tcPr>
          <w:p w14:paraId="052BF70C" w14:textId="24810ACA"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208</w:t>
            </w:r>
          </w:p>
        </w:tc>
        <w:tc>
          <w:tcPr>
            <w:tcW w:w="992" w:type="dxa"/>
            <w:tcBorders>
              <w:top w:val="single" w:sz="4" w:space="0" w:color="auto"/>
              <w:left w:val="single" w:sz="4" w:space="0" w:color="auto"/>
              <w:bottom w:val="single" w:sz="4" w:space="0" w:color="auto"/>
              <w:right w:val="single" w:sz="4" w:space="0" w:color="auto"/>
            </w:tcBorders>
            <w:vAlign w:val="center"/>
          </w:tcPr>
          <w:p w14:paraId="7C031CE2" w14:textId="3904B8A2"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208</w:t>
            </w:r>
          </w:p>
        </w:tc>
        <w:tc>
          <w:tcPr>
            <w:tcW w:w="851" w:type="dxa"/>
            <w:tcBorders>
              <w:top w:val="single" w:sz="4" w:space="0" w:color="auto"/>
              <w:left w:val="single" w:sz="4" w:space="0" w:color="auto"/>
              <w:bottom w:val="single" w:sz="4" w:space="0" w:color="auto"/>
              <w:right w:val="single" w:sz="4" w:space="0" w:color="auto"/>
            </w:tcBorders>
            <w:vAlign w:val="center"/>
          </w:tcPr>
          <w:p w14:paraId="1E781566" w14:textId="52BFE1BE"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219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FEB880" w14:textId="7EE614C3"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DEB1346" w14:textId="09C7E747"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9A7DE" w14:textId="277D5322"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310</w:t>
            </w:r>
          </w:p>
        </w:tc>
      </w:tr>
      <w:tr w:rsidR="00E01643" w:rsidRPr="00C244C1" w14:paraId="469ACFD4" w14:textId="77777777" w:rsidTr="00C244C1">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A0F7E" w14:textId="6E6A3FC7"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6110DD" w14:textId="56AD800F" w:rsidR="00E01643" w:rsidRPr="00C244C1" w:rsidRDefault="00E01643" w:rsidP="00E01643">
            <w:pPr>
              <w:spacing w:after="0" w:line="240" w:lineRule="auto"/>
              <w:rPr>
                <w:rFonts w:ascii="Times New Roman" w:hAnsi="Times New Roman" w:cs="Times New Roman"/>
                <w:color w:val="000000"/>
                <w:sz w:val="16"/>
                <w:szCs w:val="16"/>
              </w:rPr>
            </w:pPr>
            <w:r w:rsidRPr="00C244C1">
              <w:rPr>
                <w:rFonts w:ascii="Times New Roman" w:hAnsi="Times New Roman" w:cs="Times New Roman"/>
                <w:color w:val="000000"/>
                <w:sz w:val="16"/>
                <w:szCs w:val="16"/>
              </w:rPr>
              <w:t>Gūžas locītavas endoprotezēšana ar bezcementa fiksācijas vai hibrīda tipa endoprotēzi sarežģītos gadījumos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E20D" w14:textId="5DFF335E"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3 057,37</w:t>
            </w:r>
          </w:p>
        </w:tc>
        <w:tc>
          <w:tcPr>
            <w:tcW w:w="993" w:type="dxa"/>
            <w:tcBorders>
              <w:top w:val="single" w:sz="4" w:space="0" w:color="auto"/>
              <w:left w:val="single" w:sz="4" w:space="0" w:color="auto"/>
              <w:bottom w:val="single" w:sz="4" w:space="0" w:color="auto"/>
              <w:right w:val="single" w:sz="4" w:space="0" w:color="auto"/>
            </w:tcBorders>
            <w:vAlign w:val="center"/>
          </w:tcPr>
          <w:p w14:paraId="51741A96" w14:textId="5379BBA7"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164 105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CD88D" w14:textId="1229321C"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164 105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6C2A" w14:textId="22628C7E"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198 729</w:t>
            </w:r>
          </w:p>
        </w:tc>
        <w:tc>
          <w:tcPr>
            <w:tcW w:w="850" w:type="dxa"/>
            <w:tcBorders>
              <w:top w:val="single" w:sz="4" w:space="0" w:color="auto"/>
              <w:left w:val="single" w:sz="4" w:space="0" w:color="auto"/>
              <w:bottom w:val="single" w:sz="4" w:space="0" w:color="auto"/>
              <w:right w:val="single" w:sz="4" w:space="0" w:color="auto"/>
            </w:tcBorders>
            <w:vAlign w:val="center"/>
          </w:tcPr>
          <w:p w14:paraId="41D2819B" w14:textId="5660326B"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821008F" w14:textId="41906E06"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E8A61" w14:textId="355AD16D"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64 205</w:t>
            </w:r>
          </w:p>
        </w:tc>
        <w:tc>
          <w:tcPr>
            <w:tcW w:w="850" w:type="dxa"/>
            <w:tcBorders>
              <w:top w:val="single" w:sz="4" w:space="0" w:color="auto"/>
              <w:left w:val="single" w:sz="4" w:space="0" w:color="auto"/>
              <w:bottom w:val="single" w:sz="4" w:space="0" w:color="auto"/>
              <w:right w:val="single" w:sz="4" w:space="0" w:color="auto"/>
            </w:tcBorders>
            <w:vAlign w:val="center"/>
          </w:tcPr>
          <w:p w14:paraId="62F76340" w14:textId="4374203C"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62</w:t>
            </w:r>
          </w:p>
        </w:tc>
        <w:tc>
          <w:tcPr>
            <w:tcW w:w="992" w:type="dxa"/>
            <w:tcBorders>
              <w:top w:val="single" w:sz="4" w:space="0" w:color="auto"/>
              <w:left w:val="single" w:sz="4" w:space="0" w:color="auto"/>
              <w:bottom w:val="single" w:sz="4" w:space="0" w:color="auto"/>
              <w:right w:val="single" w:sz="4" w:space="0" w:color="auto"/>
            </w:tcBorders>
            <w:vAlign w:val="center"/>
          </w:tcPr>
          <w:p w14:paraId="48AFA6A5" w14:textId="02B132D2"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62</w:t>
            </w:r>
          </w:p>
        </w:tc>
        <w:tc>
          <w:tcPr>
            <w:tcW w:w="851" w:type="dxa"/>
            <w:tcBorders>
              <w:top w:val="single" w:sz="4" w:space="0" w:color="auto"/>
              <w:left w:val="single" w:sz="4" w:space="0" w:color="auto"/>
              <w:bottom w:val="single" w:sz="4" w:space="0" w:color="auto"/>
              <w:right w:val="single" w:sz="4" w:space="0" w:color="auto"/>
            </w:tcBorders>
            <w:vAlign w:val="center"/>
          </w:tcPr>
          <w:p w14:paraId="1598E801" w14:textId="102420BD"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65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3FF1C7" w14:textId="5BB77C11"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DD8D3FD" w14:textId="550044AA"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91C99" w14:textId="0E4F28B1"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86</w:t>
            </w:r>
          </w:p>
        </w:tc>
      </w:tr>
      <w:tr w:rsidR="00E01643" w:rsidRPr="00C244C1" w14:paraId="735DA379" w14:textId="77777777" w:rsidTr="00C244C1">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2FFE8" w14:textId="7325705E"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30459E" w14:textId="0EB1099B" w:rsidR="00E01643" w:rsidRPr="00C244C1" w:rsidRDefault="00E01643" w:rsidP="00E01643">
            <w:pPr>
              <w:spacing w:after="0" w:line="240" w:lineRule="auto"/>
              <w:rPr>
                <w:rFonts w:ascii="Times New Roman" w:hAnsi="Times New Roman" w:cs="Times New Roman"/>
                <w:color w:val="000000"/>
                <w:sz w:val="16"/>
                <w:szCs w:val="16"/>
              </w:rPr>
            </w:pPr>
            <w:r w:rsidRPr="00C244C1">
              <w:rPr>
                <w:rFonts w:ascii="Times New Roman" w:hAnsi="Times New Roman" w:cs="Times New Roman"/>
                <w:color w:val="000000"/>
                <w:sz w:val="16"/>
                <w:szCs w:val="16"/>
              </w:rPr>
              <w:t>Gūžas locītavas endoprotezēšana ar cementējamo endoprotēzi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B8C2E" w14:textId="71D2A347"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1 862,18</w:t>
            </w:r>
          </w:p>
        </w:tc>
        <w:tc>
          <w:tcPr>
            <w:tcW w:w="993" w:type="dxa"/>
            <w:tcBorders>
              <w:top w:val="single" w:sz="4" w:space="0" w:color="auto"/>
              <w:left w:val="single" w:sz="4" w:space="0" w:color="auto"/>
              <w:bottom w:val="single" w:sz="4" w:space="0" w:color="auto"/>
              <w:right w:val="single" w:sz="4" w:space="0" w:color="auto"/>
            </w:tcBorders>
            <w:vAlign w:val="center"/>
          </w:tcPr>
          <w:p w14:paraId="4884C83F" w14:textId="7F3A66AC"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1 337 047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D62A8" w14:textId="6E2CD218"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1 337 047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E855F" w14:textId="38CEE017"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1 471 124</w:t>
            </w:r>
          </w:p>
        </w:tc>
        <w:tc>
          <w:tcPr>
            <w:tcW w:w="850" w:type="dxa"/>
            <w:tcBorders>
              <w:top w:val="single" w:sz="4" w:space="0" w:color="auto"/>
              <w:left w:val="single" w:sz="4" w:space="0" w:color="auto"/>
              <w:bottom w:val="single" w:sz="4" w:space="0" w:color="auto"/>
              <w:right w:val="single" w:sz="4" w:space="0" w:color="auto"/>
            </w:tcBorders>
            <w:vAlign w:val="center"/>
          </w:tcPr>
          <w:p w14:paraId="284854E0" w14:textId="6FBB975A"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4310B1A2" w14:textId="5CD9AC20"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F8326" w14:textId="251F7678"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374 299</w:t>
            </w:r>
          </w:p>
        </w:tc>
        <w:tc>
          <w:tcPr>
            <w:tcW w:w="850" w:type="dxa"/>
            <w:tcBorders>
              <w:top w:val="single" w:sz="4" w:space="0" w:color="auto"/>
              <w:left w:val="single" w:sz="4" w:space="0" w:color="auto"/>
              <w:bottom w:val="single" w:sz="4" w:space="0" w:color="auto"/>
              <w:right w:val="single" w:sz="4" w:space="0" w:color="auto"/>
            </w:tcBorders>
            <w:vAlign w:val="center"/>
          </w:tcPr>
          <w:p w14:paraId="7F172315" w14:textId="6A5217BF"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718</w:t>
            </w:r>
          </w:p>
        </w:tc>
        <w:tc>
          <w:tcPr>
            <w:tcW w:w="992" w:type="dxa"/>
            <w:tcBorders>
              <w:top w:val="single" w:sz="4" w:space="0" w:color="auto"/>
              <w:left w:val="single" w:sz="4" w:space="0" w:color="auto"/>
              <w:bottom w:val="single" w:sz="4" w:space="0" w:color="auto"/>
              <w:right w:val="single" w:sz="4" w:space="0" w:color="auto"/>
            </w:tcBorders>
            <w:vAlign w:val="center"/>
          </w:tcPr>
          <w:p w14:paraId="0357298B" w14:textId="47A77A99"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718</w:t>
            </w:r>
          </w:p>
        </w:tc>
        <w:tc>
          <w:tcPr>
            <w:tcW w:w="851" w:type="dxa"/>
            <w:tcBorders>
              <w:top w:val="single" w:sz="4" w:space="0" w:color="auto"/>
              <w:left w:val="single" w:sz="4" w:space="0" w:color="auto"/>
              <w:bottom w:val="single" w:sz="4" w:space="0" w:color="auto"/>
              <w:right w:val="single" w:sz="4" w:space="0" w:color="auto"/>
            </w:tcBorders>
            <w:vAlign w:val="center"/>
          </w:tcPr>
          <w:p w14:paraId="41E159B7" w14:textId="2FA73A8B"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790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F15BE40" w14:textId="291F8280"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5F64208D" w14:textId="06571E9B"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B9F5D" w14:textId="5249418A"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991</w:t>
            </w:r>
          </w:p>
        </w:tc>
      </w:tr>
      <w:tr w:rsidR="00E01643" w:rsidRPr="00C244C1" w14:paraId="49238D26" w14:textId="77777777" w:rsidTr="00C244C1">
        <w:trPr>
          <w:trHeight w:val="55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1032F" w14:textId="13AC4F11"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C3FEE9" w14:textId="164437DE" w:rsidR="00E01643" w:rsidRPr="00C244C1" w:rsidRDefault="00E01643" w:rsidP="00E01643">
            <w:pPr>
              <w:spacing w:after="0" w:line="240" w:lineRule="auto"/>
              <w:rPr>
                <w:rFonts w:ascii="Times New Roman" w:hAnsi="Times New Roman" w:cs="Times New Roman"/>
                <w:color w:val="000000"/>
                <w:sz w:val="16"/>
                <w:szCs w:val="16"/>
              </w:rPr>
            </w:pPr>
            <w:r w:rsidRPr="00C244C1">
              <w:rPr>
                <w:rFonts w:ascii="Times New Roman" w:hAnsi="Times New Roman" w:cs="Times New Roman"/>
                <w:color w:val="000000"/>
                <w:sz w:val="16"/>
                <w:szCs w:val="16"/>
              </w:rPr>
              <w:t>Gūžas locītavas endoprotezēšana ar cementējamo endoprotēzi sarežģītos gadījumos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70C81" w14:textId="50077269"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2358,17</w:t>
            </w:r>
          </w:p>
        </w:tc>
        <w:tc>
          <w:tcPr>
            <w:tcW w:w="993" w:type="dxa"/>
            <w:tcBorders>
              <w:top w:val="single" w:sz="4" w:space="0" w:color="auto"/>
              <w:left w:val="single" w:sz="4" w:space="0" w:color="auto"/>
              <w:bottom w:val="single" w:sz="4" w:space="0" w:color="auto"/>
              <w:right w:val="single" w:sz="4" w:space="0" w:color="auto"/>
            </w:tcBorders>
            <w:vAlign w:val="center"/>
          </w:tcPr>
          <w:p w14:paraId="71DE92F6" w14:textId="1656EF81"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841 389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7A53A" w14:textId="2902F786"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841 389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A7F5B" w14:textId="48BCF6EB"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1 103 624</w:t>
            </w:r>
          </w:p>
        </w:tc>
        <w:tc>
          <w:tcPr>
            <w:tcW w:w="850" w:type="dxa"/>
            <w:tcBorders>
              <w:top w:val="single" w:sz="4" w:space="0" w:color="auto"/>
              <w:left w:val="single" w:sz="4" w:space="0" w:color="auto"/>
              <w:bottom w:val="single" w:sz="4" w:space="0" w:color="auto"/>
              <w:right w:val="single" w:sz="4" w:space="0" w:color="auto"/>
            </w:tcBorders>
            <w:vAlign w:val="center"/>
          </w:tcPr>
          <w:p w14:paraId="0F90FA74" w14:textId="0AAA3AFB"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6A174A7" w14:textId="25AD4090"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4A55E" w14:textId="727B7E19"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108 476</w:t>
            </w:r>
          </w:p>
        </w:tc>
        <w:tc>
          <w:tcPr>
            <w:tcW w:w="850" w:type="dxa"/>
            <w:tcBorders>
              <w:top w:val="single" w:sz="4" w:space="0" w:color="auto"/>
              <w:left w:val="single" w:sz="4" w:space="0" w:color="auto"/>
              <w:bottom w:val="single" w:sz="4" w:space="0" w:color="auto"/>
              <w:right w:val="single" w:sz="4" w:space="0" w:color="auto"/>
            </w:tcBorders>
            <w:vAlign w:val="center"/>
          </w:tcPr>
          <w:p w14:paraId="51CB9AA4" w14:textId="489CA916"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432</w:t>
            </w:r>
          </w:p>
        </w:tc>
        <w:tc>
          <w:tcPr>
            <w:tcW w:w="992" w:type="dxa"/>
            <w:tcBorders>
              <w:top w:val="single" w:sz="4" w:space="0" w:color="auto"/>
              <w:left w:val="single" w:sz="4" w:space="0" w:color="auto"/>
              <w:bottom w:val="single" w:sz="4" w:space="0" w:color="auto"/>
              <w:right w:val="single" w:sz="4" w:space="0" w:color="auto"/>
            </w:tcBorders>
            <w:vAlign w:val="center"/>
          </w:tcPr>
          <w:p w14:paraId="7B18E2C8" w14:textId="35A9E539"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432</w:t>
            </w:r>
          </w:p>
        </w:tc>
        <w:tc>
          <w:tcPr>
            <w:tcW w:w="851" w:type="dxa"/>
            <w:tcBorders>
              <w:top w:val="single" w:sz="4" w:space="0" w:color="auto"/>
              <w:left w:val="single" w:sz="4" w:space="0" w:color="auto"/>
              <w:bottom w:val="single" w:sz="4" w:space="0" w:color="auto"/>
              <w:right w:val="single" w:sz="4" w:space="0" w:color="auto"/>
            </w:tcBorders>
            <w:vAlign w:val="center"/>
          </w:tcPr>
          <w:p w14:paraId="04C1187B" w14:textId="277D32FD"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468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ABFDAA" w14:textId="38DE38AD"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34E01D4" w14:textId="573DC28D"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4EA0A" w14:textId="1F419DC3"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514</w:t>
            </w:r>
          </w:p>
        </w:tc>
      </w:tr>
      <w:tr w:rsidR="00E01643" w:rsidRPr="00C244C1" w14:paraId="1B9AC991" w14:textId="77777777" w:rsidTr="00C244C1">
        <w:trPr>
          <w:trHeight w:val="55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7FBAF" w14:textId="505597EC"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EF5B70" w14:textId="07AB73BA" w:rsidR="00E01643" w:rsidRPr="00C244C1" w:rsidRDefault="00E01643" w:rsidP="00E01643">
            <w:pPr>
              <w:spacing w:after="0" w:line="240" w:lineRule="auto"/>
              <w:rPr>
                <w:rFonts w:ascii="Times New Roman" w:hAnsi="Times New Roman" w:cs="Times New Roman"/>
                <w:color w:val="000000"/>
                <w:sz w:val="16"/>
                <w:szCs w:val="16"/>
              </w:rPr>
            </w:pPr>
            <w:r w:rsidRPr="00C244C1">
              <w:rPr>
                <w:rFonts w:ascii="Times New Roman" w:hAnsi="Times New Roman" w:cs="Times New Roman"/>
                <w:color w:val="000000"/>
                <w:sz w:val="16"/>
                <w:szCs w:val="16"/>
              </w:rPr>
              <w:t>Plecu locītavas endoprotezēšana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3C2FC" w14:textId="0919E3CA"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3 608,78</w:t>
            </w:r>
          </w:p>
        </w:tc>
        <w:tc>
          <w:tcPr>
            <w:tcW w:w="993" w:type="dxa"/>
            <w:tcBorders>
              <w:top w:val="single" w:sz="4" w:space="0" w:color="auto"/>
              <w:left w:val="single" w:sz="4" w:space="0" w:color="auto"/>
              <w:bottom w:val="single" w:sz="4" w:space="0" w:color="auto"/>
              <w:right w:val="single" w:sz="4" w:space="0" w:color="auto"/>
            </w:tcBorders>
            <w:vAlign w:val="center"/>
          </w:tcPr>
          <w:p w14:paraId="0B3F564A" w14:textId="7860CB99"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209 309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C1B95" w14:textId="02B8EBEB"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209 309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AFB65" w14:textId="4144619F"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230 962</w:t>
            </w:r>
          </w:p>
        </w:tc>
        <w:tc>
          <w:tcPr>
            <w:tcW w:w="850" w:type="dxa"/>
            <w:tcBorders>
              <w:top w:val="single" w:sz="4" w:space="0" w:color="auto"/>
              <w:left w:val="single" w:sz="4" w:space="0" w:color="auto"/>
              <w:bottom w:val="single" w:sz="4" w:space="0" w:color="auto"/>
              <w:right w:val="single" w:sz="4" w:space="0" w:color="auto"/>
            </w:tcBorders>
            <w:vAlign w:val="center"/>
          </w:tcPr>
          <w:p w14:paraId="3231FA1C" w14:textId="3FA55639"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7772456" w14:textId="02928E3C"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B2A7B" w14:textId="7B04EFF9"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93 828</w:t>
            </w:r>
          </w:p>
        </w:tc>
        <w:tc>
          <w:tcPr>
            <w:tcW w:w="850" w:type="dxa"/>
            <w:tcBorders>
              <w:top w:val="single" w:sz="4" w:space="0" w:color="auto"/>
              <w:left w:val="single" w:sz="4" w:space="0" w:color="auto"/>
              <w:bottom w:val="single" w:sz="4" w:space="0" w:color="auto"/>
              <w:right w:val="single" w:sz="4" w:space="0" w:color="auto"/>
            </w:tcBorders>
            <w:vAlign w:val="center"/>
          </w:tcPr>
          <w:p w14:paraId="763D745C" w14:textId="5B3D84ED"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58</w:t>
            </w:r>
          </w:p>
        </w:tc>
        <w:tc>
          <w:tcPr>
            <w:tcW w:w="992" w:type="dxa"/>
            <w:tcBorders>
              <w:top w:val="single" w:sz="4" w:space="0" w:color="auto"/>
              <w:left w:val="single" w:sz="4" w:space="0" w:color="auto"/>
              <w:bottom w:val="single" w:sz="4" w:space="0" w:color="auto"/>
              <w:right w:val="single" w:sz="4" w:space="0" w:color="auto"/>
            </w:tcBorders>
            <w:vAlign w:val="center"/>
          </w:tcPr>
          <w:p w14:paraId="401993E4" w14:textId="0AF864BE"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58</w:t>
            </w:r>
          </w:p>
        </w:tc>
        <w:tc>
          <w:tcPr>
            <w:tcW w:w="851" w:type="dxa"/>
            <w:tcBorders>
              <w:top w:val="single" w:sz="4" w:space="0" w:color="auto"/>
              <w:left w:val="single" w:sz="4" w:space="0" w:color="auto"/>
              <w:bottom w:val="single" w:sz="4" w:space="0" w:color="auto"/>
              <w:right w:val="single" w:sz="4" w:space="0" w:color="auto"/>
            </w:tcBorders>
            <w:vAlign w:val="center"/>
          </w:tcPr>
          <w:p w14:paraId="304B5830" w14:textId="0730E789"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64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BFEC743" w14:textId="403105F6"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8850A37" w14:textId="775D756F"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2F26B" w14:textId="52A90080"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90</w:t>
            </w:r>
          </w:p>
        </w:tc>
      </w:tr>
      <w:tr w:rsidR="00E01643" w:rsidRPr="00C244C1" w14:paraId="0846D11B" w14:textId="77777777" w:rsidTr="00C244C1">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BF1F4" w14:textId="3B608B12"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8E0BB6" w14:textId="77777777" w:rsidR="00E01643" w:rsidRPr="00C244C1" w:rsidRDefault="00E01643" w:rsidP="00E01643">
            <w:pPr>
              <w:spacing w:after="0" w:line="240" w:lineRule="auto"/>
              <w:rPr>
                <w:rFonts w:ascii="Times New Roman" w:eastAsia="Times New Roman" w:hAnsi="Times New Roman" w:cs="Times New Roman"/>
                <w:sz w:val="16"/>
                <w:szCs w:val="16"/>
                <w:lang w:eastAsia="lv-LV"/>
              </w:rPr>
            </w:pPr>
            <w:r w:rsidRPr="00C244C1">
              <w:rPr>
                <w:rFonts w:ascii="Times New Roman" w:hAnsi="Times New Roman" w:cs="Times New Roman"/>
                <w:color w:val="000000"/>
                <w:sz w:val="16"/>
                <w:szCs w:val="16"/>
              </w:rPr>
              <w:t xml:space="preserve">Revīzijas endoprotezēšana (ar endoprotēzes vērtību)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4186F" w14:textId="2397C473"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3 256,94</w:t>
            </w:r>
          </w:p>
        </w:tc>
        <w:tc>
          <w:tcPr>
            <w:tcW w:w="993" w:type="dxa"/>
            <w:tcBorders>
              <w:top w:val="single" w:sz="4" w:space="0" w:color="auto"/>
              <w:left w:val="single" w:sz="4" w:space="0" w:color="auto"/>
              <w:bottom w:val="single" w:sz="4" w:space="0" w:color="auto"/>
              <w:right w:val="single" w:sz="4" w:space="0" w:color="auto"/>
            </w:tcBorders>
            <w:vAlign w:val="center"/>
          </w:tcPr>
          <w:p w14:paraId="3B9A7E19" w14:textId="74CBA252"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208 795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A59ED" w14:textId="17DE060A"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208 795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8BFD3" w14:textId="21C5D558"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211 701</w:t>
            </w:r>
          </w:p>
        </w:tc>
        <w:tc>
          <w:tcPr>
            <w:tcW w:w="850" w:type="dxa"/>
            <w:tcBorders>
              <w:top w:val="single" w:sz="4" w:space="0" w:color="auto"/>
              <w:left w:val="single" w:sz="4" w:space="0" w:color="auto"/>
              <w:bottom w:val="single" w:sz="4" w:space="0" w:color="auto"/>
              <w:right w:val="single" w:sz="4" w:space="0" w:color="auto"/>
            </w:tcBorders>
            <w:vAlign w:val="center"/>
          </w:tcPr>
          <w:p w14:paraId="48DC588B" w14:textId="44E99489"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0440A94" w14:textId="4BE52681"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13 028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DC9E" w14:textId="00B9BAE8"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97 708</w:t>
            </w:r>
          </w:p>
        </w:tc>
        <w:tc>
          <w:tcPr>
            <w:tcW w:w="850" w:type="dxa"/>
            <w:tcBorders>
              <w:top w:val="single" w:sz="4" w:space="0" w:color="auto"/>
              <w:left w:val="single" w:sz="4" w:space="0" w:color="auto"/>
              <w:bottom w:val="single" w:sz="4" w:space="0" w:color="auto"/>
              <w:right w:val="single" w:sz="4" w:space="0" w:color="auto"/>
            </w:tcBorders>
            <w:vAlign w:val="center"/>
          </w:tcPr>
          <w:p w14:paraId="2AEDEF17" w14:textId="1ACECEF4"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71</w:t>
            </w:r>
          </w:p>
        </w:tc>
        <w:tc>
          <w:tcPr>
            <w:tcW w:w="992" w:type="dxa"/>
            <w:tcBorders>
              <w:top w:val="single" w:sz="4" w:space="0" w:color="auto"/>
              <w:left w:val="single" w:sz="4" w:space="0" w:color="auto"/>
              <w:bottom w:val="single" w:sz="4" w:space="0" w:color="auto"/>
              <w:right w:val="single" w:sz="4" w:space="0" w:color="auto"/>
            </w:tcBorders>
            <w:vAlign w:val="center"/>
          </w:tcPr>
          <w:p w14:paraId="60436081" w14:textId="490CB17E" w:rsidR="00E01643" w:rsidRPr="00C244C1" w:rsidRDefault="00F858DF" w:rsidP="00E01643">
            <w:pPr>
              <w:spacing w:after="0" w:line="240" w:lineRule="auto"/>
              <w:jc w:val="center"/>
              <w:rPr>
                <w:rFonts w:ascii="Times New Roman" w:hAnsi="Times New Roman" w:cs="Times New Roman"/>
                <w:color w:val="000000"/>
                <w:sz w:val="16"/>
                <w:szCs w:val="16"/>
              </w:rPr>
            </w:pPr>
            <w:r>
              <w:rPr>
                <w:rFonts w:ascii="Times New Roman" w:hAnsi="Times New Roman" w:cs="Times New Roman"/>
                <w:sz w:val="16"/>
                <w:szCs w:val="16"/>
              </w:rPr>
              <w:t>71</w:t>
            </w:r>
          </w:p>
        </w:tc>
        <w:tc>
          <w:tcPr>
            <w:tcW w:w="851" w:type="dxa"/>
            <w:tcBorders>
              <w:top w:val="single" w:sz="4" w:space="0" w:color="auto"/>
              <w:left w:val="single" w:sz="4" w:space="0" w:color="auto"/>
              <w:bottom w:val="single" w:sz="4" w:space="0" w:color="auto"/>
              <w:right w:val="single" w:sz="4" w:space="0" w:color="auto"/>
            </w:tcBorders>
            <w:vAlign w:val="center"/>
          </w:tcPr>
          <w:p w14:paraId="13DA1D2B" w14:textId="59721872"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65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3A9481" w14:textId="33BE824A"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1E39AB74" w14:textId="5BF257F7"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DA81B" w14:textId="62E5A00B"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95</w:t>
            </w:r>
          </w:p>
        </w:tc>
      </w:tr>
      <w:tr w:rsidR="00E01643" w:rsidRPr="00C244C1" w14:paraId="0273DEA9" w14:textId="77777777" w:rsidTr="00C244C1">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09C41" w14:textId="55E49D37" w:rsidR="00E01643" w:rsidRPr="00C244C1" w:rsidRDefault="00E01643" w:rsidP="00E01643">
            <w:pPr>
              <w:spacing w:after="0" w:line="240" w:lineRule="auto"/>
              <w:jc w:val="center"/>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0719DF" w14:textId="3003F28E" w:rsidR="00E01643" w:rsidRPr="00C244C1" w:rsidRDefault="00E01643" w:rsidP="00E01643">
            <w:pPr>
              <w:spacing w:after="0" w:line="240" w:lineRule="auto"/>
              <w:rPr>
                <w:rFonts w:ascii="Times New Roman" w:eastAsia="Times New Roman" w:hAnsi="Times New Roman" w:cs="Times New Roman"/>
                <w:sz w:val="16"/>
                <w:szCs w:val="16"/>
                <w:lang w:eastAsia="lv-LV"/>
              </w:rPr>
            </w:pPr>
            <w:r w:rsidRPr="00C244C1">
              <w:rPr>
                <w:rFonts w:ascii="Times New Roman" w:hAnsi="Times New Roman" w:cs="Times New Roman"/>
                <w:color w:val="000000"/>
                <w:sz w:val="16"/>
                <w:szCs w:val="16"/>
              </w:rPr>
              <w:t>Revīzijas endoprotēžu implantēšana, endoprotezēšana  osteomielīta un onkoloģijas pacientiem (bez implanta vērtības)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83297" w14:textId="4E10BE6E"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color w:val="000000"/>
                <w:sz w:val="16"/>
                <w:szCs w:val="16"/>
              </w:rPr>
              <w:t>2 361,45</w:t>
            </w:r>
          </w:p>
        </w:tc>
        <w:tc>
          <w:tcPr>
            <w:tcW w:w="993" w:type="dxa"/>
            <w:tcBorders>
              <w:top w:val="single" w:sz="4" w:space="0" w:color="auto"/>
              <w:left w:val="single" w:sz="4" w:space="0" w:color="auto"/>
              <w:bottom w:val="single" w:sz="4" w:space="0" w:color="auto"/>
              <w:right w:val="single" w:sz="4" w:space="0" w:color="auto"/>
            </w:tcBorders>
            <w:vAlign w:val="center"/>
          </w:tcPr>
          <w:p w14:paraId="424A1A41" w14:textId="31185D41"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588 128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995A3" w14:textId="30E452D2"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588 128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E4C56" w14:textId="7366731A"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835 953</w:t>
            </w:r>
          </w:p>
        </w:tc>
        <w:tc>
          <w:tcPr>
            <w:tcW w:w="850" w:type="dxa"/>
            <w:tcBorders>
              <w:top w:val="single" w:sz="4" w:space="0" w:color="auto"/>
              <w:left w:val="single" w:sz="4" w:space="0" w:color="auto"/>
              <w:bottom w:val="single" w:sz="4" w:space="0" w:color="auto"/>
              <w:right w:val="single" w:sz="4" w:space="0" w:color="auto"/>
            </w:tcBorders>
            <w:vAlign w:val="center"/>
          </w:tcPr>
          <w:p w14:paraId="003A01E2" w14:textId="4FF41EB7" w:rsidR="00E01643" w:rsidRPr="00C244C1" w:rsidRDefault="00E01643"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539089C" w14:textId="5F8D116E" w:rsidR="00E01643" w:rsidRPr="00C244C1" w:rsidRDefault="00F25DE1" w:rsidP="00E016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844 958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229C" w14:textId="7D56C7B9" w:rsidR="00E01643" w:rsidRPr="00C244C1" w:rsidRDefault="00E01643" w:rsidP="00E01643">
            <w:pPr>
              <w:spacing w:after="0" w:line="240" w:lineRule="auto"/>
              <w:jc w:val="center"/>
              <w:rPr>
                <w:rFonts w:ascii="Times New Roman" w:hAnsi="Times New Roman" w:cs="Times New Roman"/>
                <w:color w:val="000000"/>
                <w:sz w:val="16"/>
                <w:szCs w:val="16"/>
              </w:rPr>
            </w:pPr>
            <w:r w:rsidRPr="00C244C1">
              <w:rPr>
                <w:rFonts w:ascii="Times New Roman" w:hAnsi="Times New Roman" w:cs="Times New Roman"/>
                <w:sz w:val="16"/>
                <w:szCs w:val="16"/>
              </w:rPr>
              <w:t>628 145</w:t>
            </w:r>
          </w:p>
        </w:tc>
        <w:tc>
          <w:tcPr>
            <w:tcW w:w="850" w:type="dxa"/>
            <w:tcBorders>
              <w:top w:val="single" w:sz="4" w:space="0" w:color="auto"/>
              <w:left w:val="single" w:sz="4" w:space="0" w:color="auto"/>
              <w:bottom w:val="single" w:sz="4" w:space="0" w:color="auto"/>
              <w:right w:val="single" w:sz="4" w:space="0" w:color="auto"/>
            </w:tcBorders>
            <w:vAlign w:val="center"/>
          </w:tcPr>
          <w:p w14:paraId="05756D6D" w14:textId="4E7114A8" w:rsidR="00E01643" w:rsidRPr="00C244C1" w:rsidRDefault="00E01643" w:rsidP="00E01643">
            <w:pPr>
              <w:spacing w:after="0" w:line="240" w:lineRule="auto"/>
              <w:jc w:val="center"/>
              <w:rPr>
                <w:rFonts w:ascii="Times New Roman" w:hAnsi="Times New Roman" w:cs="Times New Roman"/>
                <w:sz w:val="16"/>
                <w:szCs w:val="16"/>
              </w:rPr>
            </w:pPr>
            <w:r w:rsidRPr="00C244C1">
              <w:rPr>
                <w:rFonts w:ascii="Times New Roman" w:hAnsi="Times New Roman" w:cs="Times New Roman"/>
                <w:sz w:val="16"/>
                <w:szCs w:val="16"/>
              </w:rPr>
              <w:t>160</w:t>
            </w:r>
          </w:p>
        </w:tc>
        <w:tc>
          <w:tcPr>
            <w:tcW w:w="992" w:type="dxa"/>
            <w:tcBorders>
              <w:top w:val="single" w:sz="4" w:space="0" w:color="auto"/>
              <w:left w:val="single" w:sz="4" w:space="0" w:color="auto"/>
              <w:bottom w:val="single" w:sz="4" w:space="0" w:color="auto"/>
              <w:right w:val="single" w:sz="4" w:space="0" w:color="auto"/>
            </w:tcBorders>
            <w:vAlign w:val="center"/>
          </w:tcPr>
          <w:p w14:paraId="1DC38A53" w14:textId="07020F6F" w:rsidR="00E01643" w:rsidRPr="00C244C1" w:rsidRDefault="00F858DF" w:rsidP="00E01643">
            <w:pPr>
              <w:spacing w:after="0" w:line="240" w:lineRule="auto"/>
              <w:jc w:val="center"/>
              <w:rPr>
                <w:rFonts w:ascii="Times New Roman" w:hAnsi="Times New Roman" w:cs="Times New Roman"/>
                <w:color w:val="000000"/>
                <w:sz w:val="16"/>
                <w:szCs w:val="16"/>
              </w:rPr>
            </w:pPr>
            <w:r>
              <w:rPr>
                <w:rFonts w:ascii="Times New Roman" w:hAnsi="Times New Roman" w:cs="Times New Roman"/>
                <w:sz w:val="16"/>
                <w:szCs w:val="16"/>
              </w:rPr>
              <w:t>160</w:t>
            </w:r>
          </w:p>
        </w:tc>
        <w:tc>
          <w:tcPr>
            <w:tcW w:w="851" w:type="dxa"/>
            <w:tcBorders>
              <w:top w:val="single" w:sz="4" w:space="0" w:color="auto"/>
              <w:left w:val="single" w:sz="4" w:space="0" w:color="auto"/>
              <w:bottom w:val="single" w:sz="4" w:space="0" w:color="auto"/>
              <w:right w:val="single" w:sz="4" w:space="0" w:color="auto"/>
            </w:tcBorders>
            <w:vAlign w:val="center"/>
          </w:tcPr>
          <w:p w14:paraId="719E48D9" w14:textId="2A049439" w:rsidR="00E01643" w:rsidRPr="00C244C1" w:rsidRDefault="00E01643" w:rsidP="00E01643">
            <w:pPr>
              <w:spacing w:after="0" w:line="240" w:lineRule="auto"/>
              <w:jc w:val="center"/>
              <w:rPr>
                <w:rFonts w:ascii="Times New Roman" w:hAnsi="Times New Roman" w:cs="Times New Roman"/>
                <w:bCs/>
                <w:color w:val="000000" w:themeColor="text1"/>
                <w:sz w:val="16"/>
                <w:szCs w:val="16"/>
              </w:rPr>
            </w:pPr>
            <w:r w:rsidRPr="00C244C1">
              <w:rPr>
                <w:rFonts w:ascii="Times New Roman" w:hAnsi="Times New Roman" w:cs="Times New Roman"/>
                <w:bCs/>
                <w:color w:val="000000" w:themeColor="text1"/>
                <w:sz w:val="16"/>
                <w:szCs w:val="16"/>
              </w:rPr>
              <w:t>354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B3C2610" w14:textId="2E991525" w:rsidR="00E01643" w:rsidRPr="00C244C1" w:rsidRDefault="00E01643"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4F6026F3" w14:textId="0F04B3A1" w:rsidR="00E01643" w:rsidRPr="00C244C1" w:rsidRDefault="00136F26" w:rsidP="00E01643">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D9D99" w14:textId="2573325F" w:rsidR="00E01643" w:rsidRPr="00C244C1" w:rsidRDefault="00E01643" w:rsidP="00E01643">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620</w:t>
            </w:r>
          </w:p>
        </w:tc>
      </w:tr>
      <w:tr w:rsidR="00E01643" w:rsidRPr="00C244C1" w14:paraId="5D02B9B1" w14:textId="77777777" w:rsidTr="00C244C1">
        <w:trPr>
          <w:trHeight w:val="300"/>
          <w:jc w:val="center"/>
        </w:trPr>
        <w:tc>
          <w:tcPr>
            <w:tcW w:w="846" w:type="dxa"/>
            <w:shd w:val="clear" w:color="auto" w:fill="FBD4B4" w:themeFill="accent6" w:themeFillTint="66"/>
            <w:noWrap/>
            <w:vAlign w:val="bottom"/>
            <w:hideMark/>
          </w:tcPr>
          <w:p w14:paraId="3231B856" w14:textId="77777777" w:rsidR="0090538F" w:rsidRPr="00C244C1" w:rsidRDefault="0090538F" w:rsidP="00053887">
            <w:pPr>
              <w:spacing w:after="0" w:line="240" w:lineRule="auto"/>
              <w:jc w:val="right"/>
              <w:rPr>
                <w:rFonts w:ascii="Times New Roman" w:eastAsia="Times New Roman" w:hAnsi="Times New Roman" w:cs="Times New Roman"/>
                <w:sz w:val="16"/>
                <w:szCs w:val="16"/>
                <w:lang w:eastAsia="lv-LV"/>
              </w:rPr>
            </w:pPr>
          </w:p>
        </w:tc>
        <w:tc>
          <w:tcPr>
            <w:tcW w:w="1843" w:type="dxa"/>
            <w:shd w:val="clear" w:color="auto" w:fill="FBD4B4" w:themeFill="accent6" w:themeFillTint="66"/>
            <w:noWrap/>
            <w:vAlign w:val="center"/>
            <w:hideMark/>
          </w:tcPr>
          <w:p w14:paraId="387984E6" w14:textId="77777777" w:rsidR="0090538F" w:rsidRPr="00C244C1" w:rsidRDefault="0090538F" w:rsidP="00053887">
            <w:pPr>
              <w:spacing w:after="0" w:line="240" w:lineRule="auto"/>
              <w:rPr>
                <w:rFonts w:ascii="Times New Roman" w:eastAsia="Times New Roman" w:hAnsi="Times New Roman" w:cs="Times New Roman"/>
                <w:sz w:val="16"/>
                <w:szCs w:val="16"/>
                <w:lang w:eastAsia="lv-LV"/>
              </w:rPr>
            </w:pPr>
            <w:r w:rsidRPr="00C244C1">
              <w:rPr>
                <w:rFonts w:ascii="Times New Roman" w:eastAsia="Times New Roman" w:hAnsi="Times New Roman" w:cs="Times New Roman"/>
                <w:sz w:val="16"/>
                <w:szCs w:val="16"/>
                <w:lang w:eastAsia="lv-LV"/>
              </w:rPr>
              <w:t>Kopā</w:t>
            </w:r>
          </w:p>
        </w:tc>
        <w:tc>
          <w:tcPr>
            <w:tcW w:w="850" w:type="dxa"/>
            <w:shd w:val="clear" w:color="auto" w:fill="FBD4B4" w:themeFill="accent6" w:themeFillTint="66"/>
            <w:noWrap/>
            <w:vAlign w:val="center"/>
            <w:hideMark/>
          </w:tcPr>
          <w:p w14:paraId="28EC4B3D" w14:textId="77777777" w:rsidR="0090538F" w:rsidRPr="00C244C1" w:rsidRDefault="0090538F" w:rsidP="00053887">
            <w:pPr>
              <w:spacing w:after="0" w:line="240" w:lineRule="auto"/>
              <w:jc w:val="center"/>
              <w:rPr>
                <w:rFonts w:ascii="Times New Roman" w:eastAsia="Times New Roman" w:hAnsi="Times New Roman" w:cs="Times New Roman"/>
                <w:sz w:val="16"/>
                <w:szCs w:val="16"/>
                <w:lang w:eastAsia="lv-LV"/>
              </w:rPr>
            </w:pPr>
          </w:p>
        </w:tc>
        <w:tc>
          <w:tcPr>
            <w:tcW w:w="993" w:type="dxa"/>
            <w:shd w:val="clear" w:color="auto" w:fill="FBD4B4" w:themeFill="accent6" w:themeFillTint="66"/>
            <w:vAlign w:val="center"/>
          </w:tcPr>
          <w:p w14:paraId="7587A884" w14:textId="36DE0DB8" w:rsidR="0090538F" w:rsidRPr="00C244C1" w:rsidRDefault="00467EF3" w:rsidP="00053887">
            <w:pPr>
              <w:spacing w:after="0" w:line="240" w:lineRule="auto"/>
              <w:jc w:val="center"/>
              <w:rPr>
                <w:rFonts w:ascii="Times New Roman" w:eastAsia="Times New Roman" w:hAnsi="Times New Roman" w:cs="Times New Roman"/>
                <w:b/>
                <w:color w:val="000000" w:themeColor="text1"/>
                <w:sz w:val="16"/>
                <w:szCs w:val="16"/>
                <w:lang w:eastAsia="lv-LV"/>
              </w:rPr>
            </w:pPr>
            <w:r>
              <w:rPr>
                <w:rFonts w:ascii="Times New Roman" w:eastAsia="Times New Roman" w:hAnsi="Times New Roman" w:cs="Times New Roman"/>
                <w:b/>
                <w:color w:val="000000" w:themeColor="text1"/>
                <w:sz w:val="16"/>
                <w:szCs w:val="16"/>
                <w:lang w:eastAsia="lv-LV"/>
              </w:rPr>
              <w:t>7 274 107</w:t>
            </w:r>
          </w:p>
        </w:tc>
        <w:tc>
          <w:tcPr>
            <w:tcW w:w="992" w:type="dxa"/>
            <w:shd w:val="clear" w:color="auto" w:fill="FBD4B4" w:themeFill="accent6" w:themeFillTint="66"/>
            <w:noWrap/>
            <w:vAlign w:val="center"/>
          </w:tcPr>
          <w:p w14:paraId="0C0F3B48" w14:textId="0B71B7AD" w:rsidR="0090538F" w:rsidRPr="00C244C1" w:rsidRDefault="000E2748" w:rsidP="00053887">
            <w:pPr>
              <w:spacing w:after="0" w:line="240" w:lineRule="auto"/>
              <w:jc w:val="center"/>
              <w:rPr>
                <w:rFonts w:ascii="Times New Roman" w:eastAsia="Times New Roman" w:hAnsi="Times New Roman" w:cs="Times New Roman"/>
                <w:b/>
                <w:color w:val="000000" w:themeColor="text1"/>
                <w:sz w:val="16"/>
                <w:szCs w:val="16"/>
                <w:lang w:eastAsia="lv-LV"/>
              </w:rPr>
            </w:pPr>
            <w:r>
              <w:rPr>
                <w:rFonts w:ascii="Times New Roman" w:eastAsia="Times New Roman" w:hAnsi="Times New Roman" w:cs="Times New Roman"/>
                <w:b/>
                <w:color w:val="000000" w:themeColor="text1"/>
                <w:sz w:val="16"/>
                <w:szCs w:val="16"/>
                <w:lang w:eastAsia="lv-LV"/>
              </w:rPr>
              <w:t>7 274 107</w:t>
            </w:r>
          </w:p>
        </w:tc>
        <w:tc>
          <w:tcPr>
            <w:tcW w:w="992" w:type="dxa"/>
            <w:shd w:val="clear" w:color="auto" w:fill="FBD4B4" w:themeFill="accent6" w:themeFillTint="66"/>
            <w:noWrap/>
            <w:vAlign w:val="center"/>
          </w:tcPr>
          <w:p w14:paraId="3F61DDA6" w14:textId="19A0C9B6" w:rsidR="0090538F" w:rsidRPr="00C244C1" w:rsidRDefault="0090538F" w:rsidP="00053887">
            <w:pPr>
              <w:spacing w:after="0" w:line="240" w:lineRule="auto"/>
              <w:jc w:val="center"/>
              <w:rPr>
                <w:rFonts w:ascii="Times New Roman" w:eastAsia="Times New Roman" w:hAnsi="Times New Roman" w:cs="Times New Roman"/>
                <w:b/>
                <w:color w:val="000000" w:themeColor="text1"/>
                <w:sz w:val="16"/>
                <w:szCs w:val="16"/>
                <w:lang w:eastAsia="lv-LV"/>
              </w:rPr>
            </w:pPr>
            <w:r w:rsidRPr="00C244C1">
              <w:rPr>
                <w:rFonts w:ascii="Times New Roman" w:hAnsi="Times New Roman" w:cs="Times New Roman"/>
                <w:b/>
                <w:color w:val="000000" w:themeColor="text1"/>
                <w:sz w:val="16"/>
                <w:szCs w:val="16"/>
              </w:rPr>
              <w:t>8 832 762</w:t>
            </w:r>
          </w:p>
        </w:tc>
        <w:tc>
          <w:tcPr>
            <w:tcW w:w="850" w:type="dxa"/>
            <w:shd w:val="clear" w:color="auto" w:fill="FBD4B4" w:themeFill="accent6" w:themeFillTint="66"/>
            <w:vAlign w:val="center"/>
          </w:tcPr>
          <w:p w14:paraId="24992CE8" w14:textId="77777777" w:rsidR="0090538F" w:rsidRPr="00C244C1" w:rsidRDefault="0090538F" w:rsidP="00053887">
            <w:pPr>
              <w:spacing w:after="0" w:line="240" w:lineRule="auto"/>
              <w:jc w:val="center"/>
              <w:rPr>
                <w:rFonts w:ascii="Times New Roman" w:hAnsi="Times New Roman" w:cs="Times New Roman"/>
                <w:b/>
                <w:color w:val="000000" w:themeColor="text1"/>
                <w:sz w:val="16"/>
                <w:szCs w:val="16"/>
              </w:rPr>
            </w:pPr>
          </w:p>
        </w:tc>
        <w:tc>
          <w:tcPr>
            <w:tcW w:w="993" w:type="dxa"/>
            <w:shd w:val="clear" w:color="auto" w:fill="FBD4B4" w:themeFill="accent6" w:themeFillTint="66"/>
            <w:vAlign w:val="center"/>
          </w:tcPr>
          <w:p w14:paraId="7E9B920F" w14:textId="4579DB31" w:rsidR="0090538F" w:rsidRPr="00C244C1" w:rsidRDefault="004B2269" w:rsidP="00053887">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2 614 685</w:t>
            </w:r>
          </w:p>
        </w:tc>
        <w:tc>
          <w:tcPr>
            <w:tcW w:w="992" w:type="dxa"/>
            <w:shd w:val="clear" w:color="auto" w:fill="FBD4B4" w:themeFill="accent6" w:themeFillTint="66"/>
            <w:noWrap/>
            <w:vAlign w:val="center"/>
          </w:tcPr>
          <w:p w14:paraId="2880EE64" w14:textId="780BFAA5" w:rsidR="0090538F" w:rsidRPr="00C244C1" w:rsidRDefault="0090538F" w:rsidP="00053887">
            <w:pPr>
              <w:spacing w:after="0" w:line="240" w:lineRule="auto"/>
              <w:jc w:val="center"/>
              <w:rPr>
                <w:rFonts w:ascii="Times New Roman" w:hAnsi="Times New Roman" w:cs="Times New Roman"/>
                <w:b/>
                <w:color w:val="000000" w:themeColor="text1"/>
                <w:sz w:val="16"/>
                <w:szCs w:val="16"/>
              </w:rPr>
            </w:pPr>
            <w:r w:rsidRPr="00C244C1">
              <w:rPr>
                <w:rFonts w:ascii="Times New Roman" w:hAnsi="Times New Roman" w:cs="Times New Roman"/>
                <w:b/>
                <w:color w:val="000000" w:themeColor="text1"/>
                <w:sz w:val="16"/>
                <w:szCs w:val="16"/>
              </w:rPr>
              <w:t>2 613 397</w:t>
            </w:r>
          </w:p>
        </w:tc>
        <w:tc>
          <w:tcPr>
            <w:tcW w:w="850" w:type="dxa"/>
            <w:shd w:val="clear" w:color="auto" w:fill="FBD4B4" w:themeFill="accent6" w:themeFillTint="66"/>
            <w:vAlign w:val="center"/>
          </w:tcPr>
          <w:p w14:paraId="0F9AFBBA" w14:textId="09864D64" w:rsidR="0090538F" w:rsidRPr="00C244C1" w:rsidRDefault="0090538F" w:rsidP="00053887">
            <w:pPr>
              <w:spacing w:after="0" w:line="240" w:lineRule="auto"/>
              <w:jc w:val="center"/>
              <w:rPr>
                <w:rFonts w:ascii="Times New Roman" w:hAnsi="Times New Roman" w:cs="Times New Roman"/>
                <w:b/>
                <w:color w:val="000000" w:themeColor="text1"/>
                <w:sz w:val="16"/>
                <w:szCs w:val="16"/>
              </w:rPr>
            </w:pPr>
            <w:r w:rsidRPr="00C244C1">
              <w:rPr>
                <w:rFonts w:ascii="Times New Roman" w:hAnsi="Times New Roman" w:cs="Times New Roman"/>
                <w:b/>
                <w:color w:val="000000" w:themeColor="text1"/>
                <w:sz w:val="16"/>
                <w:szCs w:val="16"/>
              </w:rPr>
              <w:t>3 186</w:t>
            </w:r>
          </w:p>
        </w:tc>
        <w:tc>
          <w:tcPr>
            <w:tcW w:w="992" w:type="dxa"/>
            <w:shd w:val="clear" w:color="auto" w:fill="FBD4B4" w:themeFill="accent6" w:themeFillTint="66"/>
            <w:vAlign w:val="center"/>
          </w:tcPr>
          <w:p w14:paraId="754637EF" w14:textId="24A030D4" w:rsidR="0090538F" w:rsidRPr="00C244C1" w:rsidRDefault="000E2748" w:rsidP="00053887">
            <w:pPr>
              <w:spacing w:after="0" w:line="240" w:lineRule="auto"/>
              <w:jc w:val="center"/>
              <w:rPr>
                <w:rFonts w:ascii="Times New Roman" w:eastAsia="Times New Roman" w:hAnsi="Times New Roman" w:cs="Times New Roman"/>
                <w:b/>
                <w:bCs/>
                <w:color w:val="000000" w:themeColor="text1"/>
                <w:sz w:val="16"/>
                <w:szCs w:val="16"/>
                <w:lang w:eastAsia="lv-LV"/>
              </w:rPr>
            </w:pPr>
            <w:r>
              <w:rPr>
                <w:rFonts w:ascii="Times New Roman" w:hAnsi="Times New Roman" w:cs="Times New Roman"/>
                <w:b/>
                <w:color w:val="000000" w:themeColor="text1"/>
                <w:sz w:val="16"/>
                <w:szCs w:val="16"/>
              </w:rPr>
              <w:t>3 186</w:t>
            </w:r>
          </w:p>
        </w:tc>
        <w:tc>
          <w:tcPr>
            <w:tcW w:w="851" w:type="dxa"/>
            <w:shd w:val="clear" w:color="auto" w:fill="FBD4B4" w:themeFill="accent6" w:themeFillTint="66"/>
            <w:vAlign w:val="center"/>
          </w:tcPr>
          <w:p w14:paraId="21DCC237" w14:textId="193EF48D" w:rsidR="0090538F" w:rsidRPr="00C244C1" w:rsidRDefault="0090538F" w:rsidP="00053887">
            <w:pPr>
              <w:spacing w:after="0" w:line="240" w:lineRule="auto"/>
              <w:jc w:val="center"/>
              <w:rPr>
                <w:rFonts w:ascii="Times New Roman" w:eastAsia="Times New Roman" w:hAnsi="Times New Roman" w:cs="Times New Roman"/>
                <w:bCs/>
                <w:color w:val="000000" w:themeColor="text1"/>
                <w:sz w:val="16"/>
                <w:szCs w:val="16"/>
                <w:lang w:eastAsia="lv-LV"/>
              </w:rPr>
            </w:pPr>
            <w:r w:rsidRPr="00C244C1">
              <w:rPr>
                <w:rFonts w:ascii="Times New Roman" w:hAnsi="Times New Roman" w:cs="Times New Roman"/>
                <w:bCs/>
                <w:color w:val="000000" w:themeColor="text1"/>
                <w:sz w:val="16"/>
                <w:szCs w:val="16"/>
              </w:rPr>
              <w:t>3 475</w:t>
            </w:r>
          </w:p>
        </w:tc>
        <w:tc>
          <w:tcPr>
            <w:tcW w:w="850" w:type="dxa"/>
            <w:gridSpan w:val="2"/>
            <w:shd w:val="clear" w:color="auto" w:fill="FBD4B4" w:themeFill="accent6" w:themeFillTint="66"/>
            <w:vAlign w:val="center"/>
          </w:tcPr>
          <w:p w14:paraId="5499F0A3" w14:textId="77777777" w:rsidR="0090538F" w:rsidRPr="00C244C1" w:rsidRDefault="0090538F" w:rsidP="00053887">
            <w:pPr>
              <w:spacing w:after="0" w:line="240" w:lineRule="auto"/>
              <w:jc w:val="center"/>
              <w:rPr>
                <w:rFonts w:ascii="Times New Roman" w:hAnsi="Times New Roman" w:cs="Times New Roman"/>
                <w:b/>
                <w:bCs/>
                <w:color w:val="FF0000"/>
                <w:sz w:val="16"/>
                <w:szCs w:val="16"/>
              </w:rPr>
            </w:pPr>
          </w:p>
        </w:tc>
        <w:tc>
          <w:tcPr>
            <w:tcW w:w="851" w:type="dxa"/>
            <w:shd w:val="clear" w:color="auto" w:fill="FBD4B4" w:themeFill="accent6" w:themeFillTint="66"/>
            <w:vAlign w:val="center"/>
          </w:tcPr>
          <w:p w14:paraId="75D14C9A" w14:textId="1C7B3CFB" w:rsidR="0090538F" w:rsidRPr="00C244C1" w:rsidRDefault="004B2269" w:rsidP="00053887">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2 687</w:t>
            </w:r>
          </w:p>
        </w:tc>
        <w:tc>
          <w:tcPr>
            <w:tcW w:w="851" w:type="dxa"/>
            <w:shd w:val="clear" w:color="auto" w:fill="FBD4B4" w:themeFill="accent6" w:themeFillTint="66"/>
            <w:noWrap/>
            <w:vAlign w:val="center"/>
          </w:tcPr>
          <w:p w14:paraId="2D136B28" w14:textId="36C31A36" w:rsidR="0090538F" w:rsidRPr="00C244C1" w:rsidRDefault="0090538F" w:rsidP="00053887">
            <w:pPr>
              <w:spacing w:after="0" w:line="240" w:lineRule="auto"/>
              <w:jc w:val="center"/>
              <w:rPr>
                <w:rFonts w:ascii="Times New Roman" w:hAnsi="Times New Roman" w:cs="Times New Roman"/>
                <w:b/>
                <w:bCs/>
                <w:color w:val="FF0000"/>
                <w:sz w:val="16"/>
                <w:szCs w:val="16"/>
              </w:rPr>
            </w:pPr>
            <w:r w:rsidRPr="00C244C1">
              <w:rPr>
                <w:rFonts w:ascii="Times New Roman" w:hAnsi="Times New Roman" w:cs="Times New Roman"/>
                <w:b/>
                <w:bCs/>
                <w:color w:val="FF0000"/>
                <w:sz w:val="16"/>
                <w:szCs w:val="16"/>
              </w:rPr>
              <w:t>4 511</w:t>
            </w:r>
          </w:p>
        </w:tc>
      </w:tr>
    </w:tbl>
    <w:p w14:paraId="1DD03741" w14:textId="61544D24" w:rsidR="00566724" w:rsidRPr="007F6AC5" w:rsidRDefault="64AB90BD" w:rsidP="64AB90BD">
      <w:pPr>
        <w:shd w:val="clear" w:color="auto" w:fill="FFFFFF" w:themeFill="background1"/>
        <w:spacing w:after="0" w:line="240" w:lineRule="auto"/>
        <w:jc w:val="both"/>
        <w:textAlignment w:val="baseline"/>
        <w:rPr>
          <w:rFonts w:ascii="Times New Roman" w:hAnsi="Times New Roman" w:cs="Times New Roman"/>
          <w:sz w:val="20"/>
          <w:szCs w:val="20"/>
        </w:rPr>
      </w:pPr>
      <w:r w:rsidRPr="00C244C1">
        <w:rPr>
          <w:rFonts w:ascii="Times New Roman" w:hAnsi="Times New Roman" w:cs="Times New Roman"/>
          <w:sz w:val="16"/>
          <w:szCs w:val="16"/>
        </w:rPr>
        <w:t>*Stājotie</w:t>
      </w:r>
      <w:r w:rsidRPr="007F6AC5">
        <w:rPr>
          <w:rFonts w:ascii="Times New Roman" w:hAnsi="Times New Roman" w:cs="Times New Roman"/>
          <w:sz w:val="20"/>
          <w:szCs w:val="20"/>
        </w:rPr>
        <w:t>s spēkā Ministru kabineta 2018.gada 29.augusta noteikumiem Nr.555, operācijas ar 50% līdzmaksājumu vairs netiek sniegtas, lai palielinātu pieejamību pilnībā valsts apmaksātām operācijām</w:t>
      </w:r>
    </w:p>
    <w:p w14:paraId="7B8A9E45" w14:textId="0383A7A0" w:rsidR="007E6D31" w:rsidRPr="007F6AC5" w:rsidRDefault="00C50AAB" w:rsidP="00C50AAB">
      <w:pPr>
        <w:autoSpaceDE w:val="0"/>
        <w:autoSpaceDN w:val="0"/>
        <w:adjustRightInd w:val="0"/>
        <w:spacing w:after="0" w:line="240" w:lineRule="auto"/>
        <w:jc w:val="both"/>
        <w:rPr>
          <w:rFonts w:ascii="Times New Roman" w:eastAsia="Times New Roman" w:hAnsi="Times New Roman" w:cs="Times New Roman"/>
          <w:noProof/>
          <w:sz w:val="20"/>
          <w:szCs w:val="20"/>
          <w:lang w:bidi="gu-IN"/>
        </w:rPr>
      </w:pPr>
      <w:r w:rsidRPr="007F6AC5">
        <w:rPr>
          <w:rFonts w:ascii="Times New Roman" w:hAnsi="Times New Roman" w:cs="Times New Roman"/>
          <w:sz w:val="20"/>
          <w:szCs w:val="20"/>
        </w:rPr>
        <w:t xml:space="preserve">** pakalpojumu tarifs ar 2018.gada darba samaksu. Darba samaksas pieaugums esošajiem pakalpojumiem nodrošināts no </w:t>
      </w:r>
      <w:r w:rsidRPr="007F6AC5">
        <w:rPr>
          <w:rFonts w:ascii="Times New Roman" w:eastAsia="Times New Roman" w:hAnsi="Times New Roman" w:cs="Times New Roman"/>
          <w:noProof/>
          <w:sz w:val="20"/>
          <w:szCs w:val="20"/>
          <w:lang w:bidi="gu-IN"/>
        </w:rPr>
        <w:t>papildus finansējuma piešķīruma nozarei sasitībā ar 1% palielinājumu sociālajām iemaksām</w:t>
      </w:r>
    </w:p>
    <w:p w14:paraId="26EFD81E" w14:textId="77777777" w:rsidR="00CC64B7" w:rsidRDefault="00CC64B7" w:rsidP="00C50AAB">
      <w:pPr>
        <w:autoSpaceDE w:val="0"/>
        <w:autoSpaceDN w:val="0"/>
        <w:adjustRightInd w:val="0"/>
        <w:spacing w:after="0" w:line="240" w:lineRule="auto"/>
        <w:jc w:val="both"/>
        <w:rPr>
          <w:rFonts w:ascii="Times New Roman" w:eastAsia="Times New Roman" w:hAnsi="Times New Roman" w:cs="Times New Roman"/>
          <w:noProof/>
          <w:sz w:val="20"/>
          <w:szCs w:val="20"/>
          <w:lang w:bidi="gu-IN"/>
        </w:rPr>
        <w:sectPr w:rsidR="00CC64B7" w:rsidSect="00C244C1">
          <w:pgSz w:w="15840" w:h="12240" w:orient="landscape"/>
          <w:pgMar w:top="1701" w:right="1440" w:bottom="1440" w:left="1440" w:header="709" w:footer="709" w:gutter="0"/>
          <w:cols w:space="708"/>
          <w:docGrid w:linePitch="360"/>
        </w:sectPr>
      </w:pPr>
    </w:p>
    <w:p w14:paraId="0B3FA00D" w14:textId="62BA7A39" w:rsidR="00A05B47" w:rsidRPr="007F6AC5" w:rsidRDefault="00A05B47" w:rsidP="00E11AFF">
      <w:pPr>
        <w:pStyle w:val="Heading3"/>
        <w:rPr>
          <w:noProof/>
          <w:lang w:bidi="gu-IN"/>
        </w:rPr>
      </w:pPr>
    </w:p>
    <w:p w14:paraId="4AA39E40" w14:textId="0A487848" w:rsidR="00A05B47" w:rsidRPr="00E40C7D" w:rsidRDefault="00A05B47" w:rsidP="00FA6424">
      <w:pPr>
        <w:autoSpaceDE w:val="0"/>
        <w:autoSpaceDN w:val="0"/>
        <w:adjustRightInd w:val="0"/>
        <w:spacing w:after="120"/>
        <w:ind w:firstLine="720"/>
        <w:jc w:val="both"/>
        <w:rPr>
          <w:rFonts w:ascii="Times New Roman" w:eastAsia="Times New Roman" w:hAnsi="Times New Roman" w:cs="Times New Roman"/>
          <w:noProof/>
          <w:sz w:val="24"/>
          <w:szCs w:val="24"/>
          <w:lang w:bidi="gu-IN"/>
        </w:rPr>
      </w:pPr>
      <w:r w:rsidRPr="007F6AC5">
        <w:rPr>
          <w:rStyle w:val="normaltextrun"/>
          <w:rFonts w:ascii="Times New Roman" w:hAnsi="Times New Roman" w:cs="Times New Roman"/>
          <w:color w:val="000000"/>
          <w:sz w:val="24"/>
          <w:szCs w:val="24"/>
        </w:rPr>
        <w:t>Pašlaik kopējā rindā iekļauti gan pacienti, kuriem nepieciešama</w:t>
      </w:r>
      <w:r w:rsidR="007F6AC5">
        <w:rPr>
          <w:rStyle w:val="normaltextrun"/>
          <w:rFonts w:ascii="Times New Roman" w:hAnsi="Times New Roman" w:cs="Times New Roman"/>
          <w:color w:val="000000"/>
          <w:sz w:val="24"/>
          <w:szCs w:val="24"/>
        </w:rPr>
        <w:t xml:space="preserve"> endoprotezēšanas</w:t>
      </w:r>
      <w:r w:rsidRPr="007F6AC5">
        <w:rPr>
          <w:rStyle w:val="normaltextrun"/>
          <w:rFonts w:ascii="Times New Roman" w:hAnsi="Times New Roman" w:cs="Times New Roman"/>
          <w:color w:val="000000"/>
          <w:sz w:val="24"/>
          <w:szCs w:val="24"/>
        </w:rPr>
        <w:t xml:space="preserve"> operācija, gan dinamiskā novērošanā esošie pacienti.   2019.gada  sākumā Nacionālais veselības dienests līgumos </w:t>
      </w:r>
      <w:r w:rsidR="00E40C7D" w:rsidRPr="007F6AC5">
        <w:rPr>
          <w:rStyle w:val="normaltextrun"/>
          <w:rFonts w:ascii="Times New Roman" w:hAnsi="Times New Roman" w:cs="Times New Roman"/>
          <w:color w:val="000000"/>
          <w:sz w:val="24"/>
          <w:szCs w:val="24"/>
        </w:rPr>
        <w:t xml:space="preserve">ar ārstniecības iestādēm, kuras </w:t>
      </w:r>
      <w:r w:rsidRPr="007F6AC5">
        <w:rPr>
          <w:rStyle w:val="normaltextrun"/>
          <w:rFonts w:ascii="Times New Roman" w:hAnsi="Times New Roman" w:cs="Times New Roman"/>
          <w:color w:val="000000"/>
          <w:sz w:val="24"/>
          <w:szCs w:val="24"/>
        </w:rPr>
        <w:t>veic </w:t>
      </w:r>
      <w:r w:rsidR="007F6AC5">
        <w:rPr>
          <w:rStyle w:val="normaltextrun"/>
          <w:rFonts w:ascii="Times New Roman" w:hAnsi="Times New Roman" w:cs="Times New Roman"/>
          <w:color w:val="000000"/>
          <w:sz w:val="24"/>
          <w:szCs w:val="24"/>
        </w:rPr>
        <w:t>endoprotezēšanas</w:t>
      </w:r>
      <w:r w:rsidR="007F6AC5" w:rsidRPr="007F6AC5">
        <w:rPr>
          <w:rStyle w:val="normaltextrun"/>
          <w:rFonts w:ascii="Times New Roman" w:hAnsi="Times New Roman" w:cs="Times New Roman"/>
          <w:color w:val="000000"/>
          <w:sz w:val="24"/>
          <w:szCs w:val="24"/>
        </w:rPr>
        <w:t xml:space="preserve"> </w:t>
      </w:r>
      <w:r w:rsidRPr="007F6AC5">
        <w:rPr>
          <w:rStyle w:val="normaltextrun"/>
          <w:rFonts w:ascii="Times New Roman" w:hAnsi="Times New Roman" w:cs="Times New Roman"/>
          <w:color w:val="000000"/>
          <w:sz w:val="24"/>
          <w:szCs w:val="24"/>
        </w:rPr>
        <w:t>operācij</w:t>
      </w:r>
      <w:r w:rsidR="00E40C7D" w:rsidRPr="007F6AC5">
        <w:rPr>
          <w:rStyle w:val="normaltextrun"/>
          <w:rFonts w:ascii="Times New Roman" w:hAnsi="Times New Roman" w:cs="Times New Roman"/>
          <w:color w:val="000000"/>
          <w:sz w:val="24"/>
          <w:szCs w:val="24"/>
        </w:rPr>
        <w:t xml:space="preserve">as, </w:t>
      </w:r>
      <w:r w:rsidRPr="007F6AC5">
        <w:rPr>
          <w:rStyle w:val="normaltextrun"/>
          <w:rFonts w:ascii="Times New Roman" w:hAnsi="Times New Roman" w:cs="Times New Roman"/>
          <w:color w:val="000000"/>
          <w:sz w:val="24"/>
          <w:szCs w:val="24"/>
        </w:rPr>
        <w:t>precizēs rindu veidošanas kārtību uz </w:t>
      </w:r>
      <w:r w:rsidR="007F6AC5">
        <w:rPr>
          <w:rStyle w:val="normaltextrun"/>
          <w:rFonts w:ascii="Times New Roman" w:hAnsi="Times New Roman" w:cs="Times New Roman"/>
          <w:color w:val="000000"/>
          <w:sz w:val="24"/>
          <w:szCs w:val="24"/>
        </w:rPr>
        <w:t>endoprotezēšanas</w:t>
      </w:r>
      <w:r w:rsidRPr="007F6AC5">
        <w:rPr>
          <w:rStyle w:val="normaltextrun"/>
          <w:rFonts w:ascii="Times New Roman" w:hAnsi="Times New Roman" w:cs="Times New Roman"/>
          <w:color w:val="000000"/>
          <w:sz w:val="24"/>
          <w:szCs w:val="24"/>
        </w:rPr>
        <w:t> operācijām, uzdodot ārstniecības iestādēm apzināt rindā  esošos pacientus. Līgumā plānots definēt kritērijus </w:t>
      </w:r>
      <w:r w:rsidR="007F6AC5">
        <w:rPr>
          <w:rStyle w:val="normaltextrun"/>
          <w:rFonts w:ascii="Times New Roman" w:hAnsi="Times New Roman" w:cs="Times New Roman"/>
          <w:color w:val="000000"/>
          <w:sz w:val="24"/>
          <w:szCs w:val="24"/>
        </w:rPr>
        <w:t>endoprotezēšanas</w:t>
      </w:r>
      <w:r w:rsidR="007F6AC5" w:rsidRPr="007F6AC5">
        <w:rPr>
          <w:rStyle w:val="normaltextrun"/>
          <w:rFonts w:ascii="Times New Roman" w:hAnsi="Times New Roman" w:cs="Times New Roman"/>
          <w:color w:val="000000"/>
          <w:sz w:val="24"/>
          <w:szCs w:val="24"/>
        </w:rPr>
        <w:t xml:space="preserve"> </w:t>
      </w:r>
      <w:r w:rsidRPr="007F6AC5">
        <w:rPr>
          <w:rStyle w:val="normaltextrun"/>
          <w:rFonts w:ascii="Times New Roman" w:hAnsi="Times New Roman" w:cs="Times New Roman"/>
          <w:color w:val="000000"/>
          <w:sz w:val="24"/>
          <w:szCs w:val="24"/>
        </w:rPr>
        <w:t>operācijai.  Prognozēts, ka tādā veidā rinda samazinātos par 30% un rindā esošie pacienti divu</w:t>
      </w:r>
      <w:r w:rsidRPr="00E40C7D">
        <w:rPr>
          <w:rStyle w:val="normaltextrun"/>
          <w:rFonts w:ascii="Times New Roman" w:hAnsi="Times New Roman" w:cs="Times New Roman"/>
          <w:color w:val="000000"/>
          <w:sz w:val="24"/>
          <w:szCs w:val="24"/>
        </w:rPr>
        <w:t> gadu laikā saņemtu </w:t>
      </w:r>
      <w:r w:rsidRPr="00E40C7D">
        <w:rPr>
          <w:rStyle w:val="spellingerror"/>
          <w:rFonts w:ascii="Times New Roman" w:hAnsi="Times New Roman" w:cs="Times New Roman"/>
          <w:color w:val="000000"/>
          <w:sz w:val="24"/>
          <w:szCs w:val="24"/>
        </w:rPr>
        <w:t>endopr</w:t>
      </w:r>
      <w:r w:rsidR="00E40C7D">
        <w:rPr>
          <w:rStyle w:val="spellingerror"/>
          <w:rFonts w:ascii="Times New Roman" w:hAnsi="Times New Roman" w:cs="Times New Roman"/>
          <w:color w:val="000000"/>
          <w:sz w:val="24"/>
          <w:szCs w:val="24"/>
        </w:rPr>
        <w:t>ot</w:t>
      </w:r>
      <w:r w:rsidR="00CF3C22">
        <w:rPr>
          <w:rStyle w:val="spellingerror"/>
          <w:rFonts w:ascii="Times New Roman" w:hAnsi="Times New Roman" w:cs="Times New Roman"/>
          <w:color w:val="000000"/>
          <w:sz w:val="24"/>
          <w:szCs w:val="24"/>
        </w:rPr>
        <w:t>e</w:t>
      </w:r>
      <w:r w:rsidR="00E40C7D">
        <w:rPr>
          <w:rStyle w:val="spellingerror"/>
          <w:rFonts w:ascii="Times New Roman" w:hAnsi="Times New Roman" w:cs="Times New Roman"/>
          <w:color w:val="000000"/>
          <w:sz w:val="24"/>
          <w:szCs w:val="24"/>
        </w:rPr>
        <w:t>zē</w:t>
      </w:r>
      <w:r w:rsidRPr="00E40C7D">
        <w:rPr>
          <w:rStyle w:val="spellingerror"/>
          <w:rFonts w:ascii="Times New Roman" w:hAnsi="Times New Roman" w:cs="Times New Roman"/>
          <w:color w:val="000000"/>
          <w:sz w:val="24"/>
          <w:szCs w:val="24"/>
        </w:rPr>
        <w:t>šanu</w:t>
      </w:r>
      <w:r w:rsidR="00E40C7D">
        <w:rPr>
          <w:rStyle w:val="spellingerror"/>
          <w:rFonts w:ascii="Times New Roman" w:hAnsi="Times New Roman" w:cs="Times New Roman"/>
          <w:color w:val="000000"/>
          <w:sz w:val="24"/>
          <w:szCs w:val="24"/>
        </w:rPr>
        <w:t>.</w:t>
      </w:r>
    </w:p>
    <w:p w14:paraId="539640FD" w14:textId="77777777" w:rsidR="00C50AAB" w:rsidRPr="000A6049" w:rsidRDefault="00C50AAB" w:rsidP="00C50AAB">
      <w:pPr>
        <w:autoSpaceDE w:val="0"/>
        <w:autoSpaceDN w:val="0"/>
        <w:adjustRightInd w:val="0"/>
        <w:spacing w:after="0" w:line="240" w:lineRule="auto"/>
        <w:jc w:val="both"/>
        <w:rPr>
          <w:rFonts w:ascii="Times New Roman" w:hAnsi="Times New Roman" w:cs="Times New Roman"/>
          <w:sz w:val="20"/>
          <w:szCs w:val="20"/>
        </w:rPr>
      </w:pPr>
    </w:p>
    <w:p w14:paraId="6CC7853B" w14:textId="68D8EE2B" w:rsidR="002D1C41" w:rsidRPr="002D1C41" w:rsidRDefault="008029B9" w:rsidP="002D1C41">
      <w:pPr>
        <w:spacing w:after="0" w:line="264" w:lineRule="auto"/>
        <w:ind w:firstLine="720"/>
        <w:jc w:val="center"/>
        <w:rPr>
          <w:rFonts w:ascii="Times New Roman" w:hAnsi="Times New Roman" w:cs="Times New Roman"/>
          <w:b/>
          <w:sz w:val="24"/>
          <w:szCs w:val="24"/>
        </w:rPr>
      </w:pPr>
      <w:r w:rsidRPr="00FA6424">
        <w:rPr>
          <w:rFonts w:ascii="Times New Roman" w:hAnsi="Times New Roman" w:cs="Times New Roman"/>
          <w:b/>
          <w:sz w:val="24"/>
          <w:szCs w:val="24"/>
        </w:rPr>
        <w:t>1.</w:t>
      </w:r>
      <w:r w:rsidR="0027152D">
        <w:rPr>
          <w:rFonts w:ascii="Times New Roman" w:hAnsi="Times New Roman" w:cs="Times New Roman"/>
          <w:b/>
          <w:sz w:val="24"/>
          <w:szCs w:val="24"/>
        </w:rPr>
        <w:t>5</w:t>
      </w:r>
      <w:r w:rsidRPr="00FA6424">
        <w:rPr>
          <w:rFonts w:ascii="Times New Roman" w:hAnsi="Times New Roman" w:cs="Times New Roman"/>
          <w:b/>
          <w:sz w:val="24"/>
          <w:szCs w:val="24"/>
        </w:rPr>
        <w:t>.</w:t>
      </w:r>
      <w:r w:rsidR="00051A03">
        <w:rPr>
          <w:rFonts w:ascii="Times New Roman" w:hAnsi="Times New Roman" w:cs="Times New Roman"/>
          <w:b/>
          <w:sz w:val="24"/>
          <w:szCs w:val="24"/>
        </w:rPr>
        <w:t>2</w:t>
      </w:r>
      <w:r w:rsidRPr="00FA6424">
        <w:rPr>
          <w:rFonts w:ascii="Times New Roman" w:hAnsi="Times New Roman" w:cs="Times New Roman"/>
          <w:b/>
          <w:sz w:val="24"/>
          <w:szCs w:val="24"/>
        </w:rPr>
        <w:t xml:space="preserve">. </w:t>
      </w:r>
      <w:r w:rsidRPr="003B5284">
        <w:rPr>
          <w:rFonts w:ascii="Times New Roman" w:hAnsi="Times New Roman" w:cs="Times New Roman"/>
          <w:b/>
          <w:sz w:val="24"/>
          <w:szCs w:val="24"/>
          <w:u w:val="single"/>
        </w:rPr>
        <w:t>Jaunā</w:t>
      </w:r>
      <w:r w:rsidR="00EA6306" w:rsidRPr="003B5284">
        <w:rPr>
          <w:rFonts w:ascii="Times New Roman" w:hAnsi="Times New Roman" w:cs="Times New Roman"/>
          <w:b/>
          <w:sz w:val="24"/>
          <w:szCs w:val="24"/>
          <w:u w:val="single"/>
        </w:rPr>
        <w:t xml:space="preserve"> reformas</w:t>
      </w:r>
      <w:r w:rsidRPr="003B5284">
        <w:rPr>
          <w:rFonts w:ascii="Times New Roman" w:hAnsi="Times New Roman" w:cs="Times New Roman"/>
          <w:b/>
          <w:sz w:val="24"/>
          <w:szCs w:val="24"/>
          <w:u w:val="single"/>
        </w:rPr>
        <w:t xml:space="preserve"> iniciatīva 2019.gadā – endoprotez</w:t>
      </w:r>
      <w:r w:rsidR="002D1C41" w:rsidRPr="003B5284">
        <w:rPr>
          <w:rFonts w:ascii="Times New Roman" w:hAnsi="Times New Roman" w:cs="Times New Roman"/>
          <w:b/>
          <w:sz w:val="24"/>
          <w:szCs w:val="24"/>
          <w:u w:val="single"/>
        </w:rPr>
        <w:t>ēšanas operācijas bloka</w:t>
      </w:r>
      <w:r w:rsidR="002D1C41" w:rsidRPr="006170FC">
        <w:rPr>
          <w:rFonts w:ascii="Times New Roman" w:hAnsi="Times New Roman" w:cs="Times New Roman"/>
          <w:b/>
          <w:sz w:val="24"/>
          <w:szCs w:val="24"/>
          <w:u w:val="single"/>
        </w:rPr>
        <w:t xml:space="preserve"> izveide</w:t>
      </w:r>
    </w:p>
    <w:p w14:paraId="7B0E873A" w14:textId="67D85C82" w:rsidR="008029B9" w:rsidRPr="00007A5A"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Lai uzlabotu savas darbības efektivitāti un tuvākā nākotnē spētu nodrošināt valsts piešķirtā papildus finansējuma apguvi endoprotezēšanas operāciju rindu mazināšanai un pakalpojumu sniegšanu ilgstoši slimojošām personām darbspējīgā vecumā (98.grupas pacientiem), VSIA “Traumatoloģijas un ortopēdijas slimnīcai” (turpmāk tekstā - Slimnīca)  nepieciešams veikt ieguldījumus savas infrastruktūras attīstībai. </w:t>
      </w:r>
    </w:p>
    <w:p w14:paraId="7766A86A" w14:textId="77777777" w:rsidR="008029B9" w:rsidRPr="00007A5A"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Pieaugot pacientu skaitam, Slimnīcā ir  jūtams operāciju telpu trūkums, kā rezultātā nereti veidojas situācijas, kad pacienti stacionārā pavada vairākas dienas pirms operācijas, jo nav pieejama zāle kur to veikt. Slimnīcā ir nodrošināts nepieciešamais medicīniskais personāls, lai darbu varētu intensificēt, tādējādi veicot operācijas lielākam pacientu skaitam, nekā šobrīd var to izdarīt ar esošiem operāciju zāļu resursiem. Intensificējot ķirurģisko darbu būtu iespējams samazināt pacientu atrašanās laiku Slimnīcā, tādejādi atbrīvojot vairākas vietas citiem pacientiem. </w:t>
      </w:r>
    </w:p>
    <w:p w14:paraId="3857DD86" w14:textId="6FCD15FE" w:rsidR="008029B9"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Lai risinātu šo samilzušo jautājumu, Slimnīca plāno veik</w:t>
      </w:r>
      <w:r w:rsidR="00FD6166">
        <w:rPr>
          <w:rFonts w:ascii="Times New Roman" w:hAnsi="Times New Roman" w:cs="Times New Roman"/>
          <w:sz w:val="24"/>
          <w:szCs w:val="24"/>
        </w:rPr>
        <w:t>t 1.</w:t>
      </w:r>
      <w:r w:rsidRPr="00007A5A">
        <w:rPr>
          <w:rFonts w:ascii="Times New Roman" w:hAnsi="Times New Roman" w:cs="Times New Roman"/>
          <w:sz w:val="24"/>
          <w:szCs w:val="24"/>
        </w:rPr>
        <w:t xml:space="preserve">korpusa telpu rekonstrukciju ar mērķi izveidot operāciju zāli, multifunkcionālu telpu (iemidzinātava, atmodinātava, manipulāciju telpa), kā arī dekontaminācijas telpu atbilstoši mūsdienu prasībām esošo, savu laiku nokalpojušo telpu vietā. Slimnīcas 1.korpusā, operāciju blokā atrodas neapgūta telpa, kurā iepriekš bija izvietota sterilizācijas nodaļa. Telpa ir piemērota operāciju zāles izveidei. </w:t>
      </w:r>
      <w:r w:rsidR="00075A70">
        <w:rPr>
          <w:rFonts w:ascii="Times New Roman" w:hAnsi="Times New Roman" w:cs="Times New Roman"/>
          <w:sz w:val="24"/>
          <w:szCs w:val="24"/>
        </w:rPr>
        <w:t>L</w:t>
      </w:r>
      <w:r w:rsidRPr="00007A5A">
        <w:rPr>
          <w:rFonts w:ascii="Times New Roman" w:hAnsi="Times New Roman" w:cs="Times New Roman"/>
          <w:sz w:val="24"/>
          <w:szCs w:val="24"/>
        </w:rPr>
        <w:t>ai arī tā atrodas ļoti izdevīgā vietā blakus jau esošām bloka operāciju zālēm, tomēr tās atbilstošai pielāgošanai un tehniskai nodrošināšanai ir nepieciešami papildus līdzekļi, kurus nepieciešams piesaistīt papildus. Rekonstrukcijas darbu veikšanai ir sagatavots skiču projekts un nepieciešamo līdzekļu aprēķini</w:t>
      </w:r>
      <w:r w:rsidR="00704874">
        <w:rPr>
          <w:rFonts w:ascii="Times New Roman" w:hAnsi="Times New Roman" w:cs="Times New Roman"/>
          <w:sz w:val="24"/>
          <w:szCs w:val="24"/>
        </w:rPr>
        <w:t xml:space="preserve"> </w:t>
      </w:r>
      <w:r w:rsidR="00704874" w:rsidRPr="00A31E26">
        <w:rPr>
          <w:rFonts w:ascii="Times New Roman" w:hAnsi="Times New Roman" w:cs="Times New Roman"/>
          <w:sz w:val="24"/>
          <w:szCs w:val="24"/>
        </w:rPr>
        <w:t>(1</w:t>
      </w:r>
      <w:r w:rsidR="0027152D">
        <w:rPr>
          <w:rFonts w:ascii="Times New Roman" w:hAnsi="Times New Roman" w:cs="Times New Roman"/>
          <w:sz w:val="24"/>
          <w:szCs w:val="24"/>
        </w:rPr>
        <w:t>5</w:t>
      </w:r>
      <w:r w:rsidR="00704874" w:rsidRPr="00A31E26">
        <w:rPr>
          <w:rFonts w:ascii="Times New Roman" w:hAnsi="Times New Roman" w:cs="Times New Roman"/>
          <w:sz w:val="24"/>
          <w:szCs w:val="24"/>
        </w:rPr>
        <w:t>.tabul</w:t>
      </w:r>
      <w:r w:rsidR="00562AF0" w:rsidRPr="00A31E26">
        <w:rPr>
          <w:rFonts w:ascii="Times New Roman" w:hAnsi="Times New Roman" w:cs="Times New Roman"/>
          <w:sz w:val="24"/>
          <w:szCs w:val="24"/>
        </w:rPr>
        <w:t>a</w:t>
      </w:r>
      <w:r w:rsidR="00704874" w:rsidRPr="00A31E26">
        <w:rPr>
          <w:rFonts w:ascii="Times New Roman" w:hAnsi="Times New Roman" w:cs="Times New Roman"/>
          <w:sz w:val="24"/>
          <w:szCs w:val="24"/>
        </w:rPr>
        <w:t>)</w:t>
      </w:r>
      <w:r w:rsidRPr="00A31E26">
        <w:rPr>
          <w:rFonts w:ascii="Times New Roman" w:hAnsi="Times New Roman" w:cs="Times New Roman"/>
          <w:sz w:val="24"/>
          <w:szCs w:val="24"/>
        </w:rPr>
        <w:t>.</w:t>
      </w:r>
      <w:r w:rsidRPr="00007A5A">
        <w:rPr>
          <w:rFonts w:ascii="Times New Roman" w:hAnsi="Times New Roman" w:cs="Times New Roman"/>
          <w:sz w:val="24"/>
          <w:szCs w:val="24"/>
        </w:rPr>
        <w:t xml:space="preserve">  </w:t>
      </w:r>
    </w:p>
    <w:p w14:paraId="4E8554EB" w14:textId="60395941" w:rsidR="00A91C23" w:rsidRPr="00E93259" w:rsidRDefault="00E20A98" w:rsidP="7672C071">
      <w:pPr>
        <w:spacing w:after="0"/>
        <w:ind w:firstLine="720"/>
        <w:jc w:val="right"/>
        <w:rPr>
          <w:rFonts w:ascii="Times New Roman" w:hAnsi="Times New Roman" w:cs="Times New Roman"/>
          <w:i/>
          <w:iCs/>
          <w:sz w:val="24"/>
          <w:szCs w:val="24"/>
        </w:rPr>
      </w:pPr>
      <w:r w:rsidRPr="7672C071">
        <w:rPr>
          <w:rFonts w:ascii="Times New Roman" w:hAnsi="Times New Roman" w:cs="Times New Roman"/>
          <w:i/>
          <w:iCs/>
          <w:sz w:val="24"/>
          <w:szCs w:val="24"/>
        </w:rPr>
        <w:t>1</w:t>
      </w:r>
      <w:r w:rsidR="0027152D">
        <w:rPr>
          <w:rFonts w:ascii="Times New Roman" w:hAnsi="Times New Roman" w:cs="Times New Roman"/>
          <w:i/>
          <w:iCs/>
          <w:sz w:val="24"/>
          <w:szCs w:val="24"/>
        </w:rPr>
        <w:t>5</w:t>
      </w:r>
      <w:r w:rsidR="00A91C23" w:rsidRPr="7672C071">
        <w:rPr>
          <w:rFonts w:ascii="Times New Roman" w:hAnsi="Times New Roman" w:cs="Times New Roman"/>
          <w:i/>
          <w:iCs/>
          <w:sz w:val="24"/>
          <w:szCs w:val="24"/>
        </w:rPr>
        <w:t xml:space="preserve">.tabula </w:t>
      </w:r>
    </w:p>
    <w:p w14:paraId="6C17961B" w14:textId="5E59CE7C" w:rsidR="00A91C23" w:rsidRPr="00E93259" w:rsidRDefault="00A91C23">
      <w:pPr>
        <w:jc w:val="center"/>
        <w:rPr>
          <w:rFonts w:ascii="Times New Roman" w:hAnsi="Times New Roman" w:cs="Times New Roman"/>
          <w:b/>
          <w:bCs/>
          <w:sz w:val="24"/>
          <w:szCs w:val="24"/>
        </w:rPr>
      </w:pPr>
      <w:r w:rsidRPr="00E12849">
        <w:rPr>
          <w:rFonts w:ascii="Times New Roman" w:hAnsi="Times New Roman" w:cs="Times New Roman"/>
          <w:b/>
          <w:bCs/>
          <w:sz w:val="24"/>
          <w:szCs w:val="24"/>
        </w:rPr>
        <w:t>Operāciju zāles izveidošanas izdevumi</w:t>
      </w:r>
      <w:r w:rsidR="003B0237" w:rsidRPr="00E12849">
        <w:rPr>
          <w:rFonts w:ascii="Times New Roman" w:hAnsi="Times New Roman" w:cs="Times New Roman"/>
          <w:b/>
          <w:bCs/>
          <w:sz w:val="24"/>
          <w:szCs w:val="24"/>
        </w:rPr>
        <w:t xml:space="preserve"> 2019.gadā</w:t>
      </w:r>
    </w:p>
    <w:tbl>
      <w:tblPr>
        <w:tblStyle w:val="TableGrid"/>
        <w:tblW w:w="0" w:type="auto"/>
        <w:jc w:val="center"/>
        <w:tblLook w:val="04A0" w:firstRow="1" w:lastRow="0" w:firstColumn="1" w:lastColumn="0" w:noHBand="0" w:noVBand="1"/>
      </w:tblPr>
      <w:tblGrid>
        <w:gridCol w:w="562"/>
        <w:gridCol w:w="5245"/>
        <w:gridCol w:w="1701"/>
      </w:tblGrid>
      <w:tr w:rsidR="00A91C23" w14:paraId="5A74C5FE" w14:textId="77777777" w:rsidTr="7672C071">
        <w:trPr>
          <w:jc w:val="center"/>
        </w:trPr>
        <w:tc>
          <w:tcPr>
            <w:tcW w:w="562" w:type="dxa"/>
            <w:shd w:val="clear" w:color="auto" w:fill="E36C0A" w:themeFill="accent6" w:themeFillShade="BF"/>
          </w:tcPr>
          <w:p w14:paraId="5FE688BC"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Nr.</w:t>
            </w:r>
          </w:p>
        </w:tc>
        <w:tc>
          <w:tcPr>
            <w:tcW w:w="5245" w:type="dxa"/>
            <w:shd w:val="clear" w:color="auto" w:fill="E36C0A" w:themeFill="accent6" w:themeFillShade="BF"/>
          </w:tcPr>
          <w:p w14:paraId="2A18891D"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Darba veids vai konstruktīvā elementa nosaukums</w:t>
            </w:r>
          </w:p>
        </w:tc>
        <w:tc>
          <w:tcPr>
            <w:tcW w:w="1701" w:type="dxa"/>
            <w:shd w:val="clear" w:color="auto" w:fill="E36C0A" w:themeFill="accent6" w:themeFillShade="BF"/>
          </w:tcPr>
          <w:p w14:paraId="0A50D7D5"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 xml:space="preserve">Tāmes izmaksas </w:t>
            </w:r>
            <w:r w:rsidRPr="00482BAB">
              <w:rPr>
                <w:rFonts w:ascii="Times New Roman" w:hAnsi="Times New Roman"/>
                <w:b/>
                <w:i/>
                <w:sz w:val="24"/>
                <w:szCs w:val="24"/>
              </w:rPr>
              <w:t>euro</w:t>
            </w:r>
          </w:p>
        </w:tc>
      </w:tr>
      <w:tr w:rsidR="00A91C23" w14:paraId="530F7144" w14:textId="77777777" w:rsidTr="7672C071">
        <w:trPr>
          <w:jc w:val="center"/>
        </w:trPr>
        <w:tc>
          <w:tcPr>
            <w:tcW w:w="562" w:type="dxa"/>
          </w:tcPr>
          <w:p w14:paraId="4CDC8347"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1</w:t>
            </w:r>
          </w:p>
        </w:tc>
        <w:tc>
          <w:tcPr>
            <w:tcW w:w="5245" w:type="dxa"/>
          </w:tcPr>
          <w:p w14:paraId="42A52B1C"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Vispārējie celtniecības darbi</w:t>
            </w:r>
          </w:p>
        </w:tc>
        <w:tc>
          <w:tcPr>
            <w:tcW w:w="1701" w:type="dxa"/>
          </w:tcPr>
          <w:p w14:paraId="5573B5BA" w14:textId="79653F2E"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95 787</w:t>
            </w:r>
          </w:p>
        </w:tc>
      </w:tr>
      <w:tr w:rsidR="00A91C23" w14:paraId="5B30DA67" w14:textId="77777777" w:rsidTr="7672C071">
        <w:trPr>
          <w:jc w:val="center"/>
        </w:trPr>
        <w:tc>
          <w:tcPr>
            <w:tcW w:w="562" w:type="dxa"/>
          </w:tcPr>
          <w:p w14:paraId="12792F99"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2</w:t>
            </w:r>
          </w:p>
        </w:tc>
        <w:tc>
          <w:tcPr>
            <w:tcW w:w="5245" w:type="dxa"/>
          </w:tcPr>
          <w:p w14:paraId="4E23B7A7"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Iekšējais ūdensvads un kanalizācija</w:t>
            </w:r>
          </w:p>
        </w:tc>
        <w:tc>
          <w:tcPr>
            <w:tcW w:w="1701" w:type="dxa"/>
          </w:tcPr>
          <w:p w14:paraId="4B496EEA" w14:textId="3C35AE9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18 63</w:t>
            </w:r>
            <w:r w:rsidR="00145B15">
              <w:rPr>
                <w:rFonts w:ascii="Times New Roman" w:hAnsi="Times New Roman"/>
                <w:sz w:val="24"/>
                <w:szCs w:val="24"/>
              </w:rPr>
              <w:t>6</w:t>
            </w:r>
          </w:p>
        </w:tc>
      </w:tr>
      <w:tr w:rsidR="00A91C23" w14:paraId="634DB511" w14:textId="77777777" w:rsidTr="7672C071">
        <w:trPr>
          <w:jc w:val="center"/>
        </w:trPr>
        <w:tc>
          <w:tcPr>
            <w:tcW w:w="562" w:type="dxa"/>
          </w:tcPr>
          <w:p w14:paraId="7C37819F"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3</w:t>
            </w:r>
          </w:p>
        </w:tc>
        <w:tc>
          <w:tcPr>
            <w:tcW w:w="5245" w:type="dxa"/>
          </w:tcPr>
          <w:p w14:paraId="7874B9A7"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Apkure</w:t>
            </w:r>
          </w:p>
        </w:tc>
        <w:tc>
          <w:tcPr>
            <w:tcW w:w="1701" w:type="dxa"/>
          </w:tcPr>
          <w:p w14:paraId="3103367A" w14:textId="727799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23 061</w:t>
            </w:r>
          </w:p>
        </w:tc>
      </w:tr>
      <w:tr w:rsidR="00A91C23" w14:paraId="17C22C90" w14:textId="77777777" w:rsidTr="7672C071">
        <w:trPr>
          <w:jc w:val="center"/>
        </w:trPr>
        <w:tc>
          <w:tcPr>
            <w:tcW w:w="562" w:type="dxa"/>
          </w:tcPr>
          <w:p w14:paraId="372849B5"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lastRenderedPageBreak/>
              <w:t>4</w:t>
            </w:r>
          </w:p>
        </w:tc>
        <w:tc>
          <w:tcPr>
            <w:tcW w:w="5245" w:type="dxa"/>
          </w:tcPr>
          <w:p w14:paraId="1FA07A40"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Ventilācija</w:t>
            </w:r>
          </w:p>
        </w:tc>
        <w:tc>
          <w:tcPr>
            <w:tcW w:w="1701" w:type="dxa"/>
          </w:tcPr>
          <w:p w14:paraId="6A7EA664" w14:textId="7147566D"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46 24</w:t>
            </w:r>
            <w:r w:rsidR="00145B15">
              <w:rPr>
                <w:rFonts w:ascii="Times New Roman" w:hAnsi="Times New Roman"/>
                <w:sz w:val="24"/>
                <w:szCs w:val="24"/>
              </w:rPr>
              <w:t>4</w:t>
            </w:r>
          </w:p>
        </w:tc>
      </w:tr>
      <w:tr w:rsidR="00A91C23" w14:paraId="2B9F5C22" w14:textId="77777777" w:rsidTr="7672C071">
        <w:trPr>
          <w:jc w:val="center"/>
        </w:trPr>
        <w:tc>
          <w:tcPr>
            <w:tcW w:w="562" w:type="dxa"/>
          </w:tcPr>
          <w:p w14:paraId="0F3448D0"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5</w:t>
            </w:r>
          </w:p>
        </w:tc>
        <w:tc>
          <w:tcPr>
            <w:tcW w:w="5245" w:type="dxa"/>
          </w:tcPr>
          <w:p w14:paraId="63DA0563"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Iekšējā elektroapgāde</w:t>
            </w:r>
          </w:p>
        </w:tc>
        <w:tc>
          <w:tcPr>
            <w:tcW w:w="1701" w:type="dxa"/>
          </w:tcPr>
          <w:p w14:paraId="3E0D9F26" w14:textId="58CB7886"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40 975</w:t>
            </w:r>
          </w:p>
        </w:tc>
      </w:tr>
      <w:tr w:rsidR="00A91C23" w14:paraId="1E3F54D4" w14:textId="77777777" w:rsidTr="7672C071">
        <w:trPr>
          <w:jc w:val="center"/>
        </w:trPr>
        <w:tc>
          <w:tcPr>
            <w:tcW w:w="562" w:type="dxa"/>
          </w:tcPr>
          <w:p w14:paraId="1B9E4A56"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6</w:t>
            </w:r>
          </w:p>
        </w:tc>
        <w:tc>
          <w:tcPr>
            <w:tcW w:w="5245" w:type="dxa"/>
          </w:tcPr>
          <w:p w14:paraId="229691BF"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Vājstrāvu sistēmas</w:t>
            </w:r>
          </w:p>
        </w:tc>
        <w:tc>
          <w:tcPr>
            <w:tcW w:w="1701" w:type="dxa"/>
          </w:tcPr>
          <w:p w14:paraId="05621153" w14:textId="10DBA04C"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12 </w:t>
            </w:r>
            <w:r w:rsidR="00145B15">
              <w:rPr>
                <w:rFonts w:ascii="Times New Roman" w:hAnsi="Times New Roman"/>
                <w:sz w:val="24"/>
                <w:szCs w:val="24"/>
              </w:rPr>
              <w:t>200</w:t>
            </w:r>
          </w:p>
        </w:tc>
      </w:tr>
      <w:tr w:rsidR="00A91C23" w14:paraId="3B47E5AD" w14:textId="77777777" w:rsidTr="7672C071">
        <w:trPr>
          <w:jc w:val="center"/>
        </w:trPr>
        <w:tc>
          <w:tcPr>
            <w:tcW w:w="562" w:type="dxa"/>
          </w:tcPr>
          <w:p w14:paraId="7EA5FAEA"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7</w:t>
            </w:r>
          </w:p>
        </w:tc>
        <w:tc>
          <w:tcPr>
            <w:tcW w:w="5245" w:type="dxa"/>
          </w:tcPr>
          <w:p w14:paraId="4097E229"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Medicīnas gāzes</w:t>
            </w:r>
          </w:p>
        </w:tc>
        <w:tc>
          <w:tcPr>
            <w:tcW w:w="1701" w:type="dxa"/>
          </w:tcPr>
          <w:p w14:paraId="1DCC222D" w14:textId="54A14180"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8000</w:t>
            </w:r>
          </w:p>
        </w:tc>
      </w:tr>
      <w:tr w:rsidR="00A91C23" w14:paraId="0395D944" w14:textId="77777777" w:rsidTr="7672C071">
        <w:trPr>
          <w:jc w:val="center"/>
        </w:trPr>
        <w:tc>
          <w:tcPr>
            <w:tcW w:w="562" w:type="dxa"/>
          </w:tcPr>
          <w:p w14:paraId="5042E2B5"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8</w:t>
            </w:r>
          </w:p>
        </w:tc>
        <w:tc>
          <w:tcPr>
            <w:tcW w:w="5245" w:type="dxa"/>
          </w:tcPr>
          <w:p w14:paraId="310010D2" w14:textId="35B989F3"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Iebūvējamās iekārtas (detalizēti</w:t>
            </w:r>
            <w:r>
              <w:rPr>
                <w:rFonts w:ascii="Times New Roman" w:hAnsi="Times New Roman"/>
                <w:sz w:val="24"/>
                <w:szCs w:val="24"/>
              </w:rPr>
              <w:t xml:space="preserve"> skat. </w:t>
            </w:r>
            <w:r w:rsidR="008E1411">
              <w:rPr>
                <w:rFonts w:ascii="Times New Roman" w:hAnsi="Times New Roman"/>
                <w:sz w:val="24"/>
                <w:szCs w:val="24"/>
              </w:rPr>
              <w:t>1</w:t>
            </w:r>
            <w:r w:rsidR="00301914">
              <w:rPr>
                <w:rFonts w:ascii="Times New Roman" w:hAnsi="Times New Roman"/>
                <w:sz w:val="24"/>
                <w:szCs w:val="24"/>
              </w:rPr>
              <w:t>2</w:t>
            </w:r>
            <w:r w:rsidR="008E1411">
              <w:rPr>
                <w:rFonts w:ascii="Times New Roman" w:hAnsi="Times New Roman"/>
                <w:sz w:val="24"/>
                <w:szCs w:val="24"/>
              </w:rPr>
              <w:t>.</w:t>
            </w:r>
            <w:r>
              <w:rPr>
                <w:rFonts w:ascii="Times New Roman" w:hAnsi="Times New Roman"/>
                <w:sz w:val="24"/>
                <w:szCs w:val="24"/>
              </w:rPr>
              <w:t>tabulu)</w:t>
            </w:r>
          </w:p>
        </w:tc>
        <w:tc>
          <w:tcPr>
            <w:tcW w:w="1701" w:type="dxa"/>
          </w:tcPr>
          <w:p w14:paraId="6A9224AC" w14:textId="29EE0B3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120 000</w:t>
            </w:r>
          </w:p>
        </w:tc>
      </w:tr>
      <w:tr w:rsidR="00A91C23" w14:paraId="08B8AC61" w14:textId="77777777" w:rsidTr="7672C071">
        <w:trPr>
          <w:jc w:val="center"/>
        </w:trPr>
        <w:tc>
          <w:tcPr>
            <w:tcW w:w="562" w:type="dxa"/>
          </w:tcPr>
          <w:p w14:paraId="26BCC612"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9</w:t>
            </w:r>
          </w:p>
        </w:tc>
        <w:tc>
          <w:tcPr>
            <w:tcW w:w="5245" w:type="dxa"/>
          </w:tcPr>
          <w:p w14:paraId="33075524" w14:textId="2C3111F3"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 xml:space="preserve">Pārvietojamās iekārtas (detalizēti </w:t>
            </w:r>
            <w:r>
              <w:rPr>
                <w:rFonts w:ascii="Times New Roman" w:hAnsi="Times New Roman"/>
                <w:sz w:val="24"/>
                <w:szCs w:val="24"/>
              </w:rPr>
              <w:t xml:space="preserve">skat. </w:t>
            </w:r>
            <w:r w:rsidR="008E1411">
              <w:rPr>
                <w:rFonts w:ascii="Times New Roman" w:hAnsi="Times New Roman"/>
                <w:sz w:val="24"/>
                <w:szCs w:val="24"/>
              </w:rPr>
              <w:t>1</w:t>
            </w:r>
            <w:r w:rsidR="00301914">
              <w:rPr>
                <w:rFonts w:ascii="Times New Roman" w:hAnsi="Times New Roman"/>
                <w:sz w:val="24"/>
                <w:szCs w:val="24"/>
              </w:rPr>
              <w:t>3</w:t>
            </w:r>
            <w:r w:rsidR="008E1411">
              <w:rPr>
                <w:rFonts w:ascii="Times New Roman" w:hAnsi="Times New Roman"/>
                <w:sz w:val="24"/>
                <w:szCs w:val="24"/>
              </w:rPr>
              <w:t>.</w:t>
            </w:r>
            <w:r>
              <w:rPr>
                <w:rFonts w:ascii="Times New Roman" w:hAnsi="Times New Roman"/>
                <w:sz w:val="24"/>
                <w:szCs w:val="24"/>
              </w:rPr>
              <w:t>tabulu</w:t>
            </w:r>
            <w:r w:rsidRPr="00482BAB">
              <w:rPr>
                <w:rFonts w:ascii="Times New Roman" w:hAnsi="Times New Roman"/>
                <w:sz w:val="24"/>
                <w:szCs w:val="24"/>
              </w:rPr>
              <w:t>)</w:t>
            </w:r>
          </w:p>
        </w:tc>
        <w:tc>
          <w:tcPr>
            <w:tcW w:w="1701" w:type="dxa"/>
          </w:tcPr>
          <w:p w14:paraId="3B5A0D30" w14:textId="718A705D"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352 000</w:t>
            </w:r>
          </w:p>
        </w:tc>
      </w:tr>
      <w:tr w:rsidR="00A91C23" w14:paraId="2818BEF5" w14:textId="77777777" w:rsidTr="7672C071">
        <w:trPr>
          <w:jc w:val="center"/>
        </w:trPr>
        <w:tc>
          <w:tcPr>
            <w:tcW w:w="562" w:type="dxa"/>
          </w:tcPr>
          <w:p w14:paraId="2FB9B2B9" w14:textId="77777777" w:rsidR="00A91C23" w:rsidRPr="00482BAB" w:rsidRDefault="00A91C23" w:rsidP="005C76F2">
            <w:pPr>
              <w:jc w:val="both"/>
              <w:rPr>
                <w:rFonts w:ascii="Times New Roman" w:hAnsi="Times New Roman"/>
                <w:sz w:val="24"/>
                <w:szCs w:val="24"/>
              </w:rPr>
            </w:pPr>
            <w:r>
              <w:rPr>
                <w:rFonts w:ascii="Times New Roman" w:hAnsi="Times New Roman"/>
                <w:sz w:val="24"/>
                <w:szCs w:val="24"/>
              </w:rPr>
              <w:t>10</w:t>
            </w:r>
          </w:p>
        </w:tc>
        <w:tc>
          <w:tcPr>
            <w:tcW w:w="5245" w:type="dxa"/>
          </w:tcPr>
          <w:p w14:paraId="020A2081" w14:textId="77777777" w:rsidR="00A91C23" w:rsidRPr="00482BAB" w:rsidRDefault="00A91C23" w:rsidP="005C76F2">
            <w:pPr>
              <w:jc w:val="both"/>
              <w:rPr>
                <w:rFonts w:ascii="Times New Roman" w:hAnsi="Times New Roman"/>
                <w:sz w:val="24"/>
                <w:szCs w:val="24"/>
              </w:rPr>
            </w:pPr>
            <w:r>
              <w:rPr>
                <w:rFonts w:ascii="Times New Roman" w:hAnsi="Times New Roman"/>
                <w:sz w:val="24"/>
                <w:szCs w:val="24"/>
              </w:rPr>
              <w:t>Citi neparedzēti izdevumi</w:t>
            </w:r>
          </w:p>
        </w:tc>
        <w:tc>
          <w:tcPr>
            <w:tcW w:w="1701" w:type="dxa"/>
          </w:tcPr>
          <w:p w14:paraId="598D984E" w14:textId="67059EDD" w:rsidR="00A91C23" w:rsidRPr="00482BAB" w:rsidRDefault="00A91C23" w:rsidP="005C76F2">
            <w:pPr>
              <w:jc w:val="center"/>
              <w:rPr>
                <w:rFonts w:ascii="Times New Roman" w:hAnsi="Times New Roman"/>
                <w:sz w:val="24"/>
                <w:szCs w:val="24"/>
              </w:rPr>
            </w:pPr>
            <w:r>
              <w:rPr>
                <w:rFonts w:ascii="Times New Roman" w:hAnsi="Times New Roman"/>
                <w:sz w:val="24"/>
                <w:szCs w:val="24"/>
              </w:rPr>
              <w:t>64 521</w:t>
            </w:r>
          </w:p>
        </w:tc>
      </w:tr>
      <w:tr w:rsidR="00A91C23" w14:paraId="3E4AF1D2" w14:textId="77777777" w:rsidTr="7672C071">
        <w:trPr>
          <w:jc w:val="center"/>
        </w:trPr>
        <w:tc>
          <w:tcPr>
            <w:tcW w:w="562" w:type="dxa"/>
          </w:tcPr>
          <w:p w14:paraId="58628695" w14:textId="77777777" w:rsidR="00A91C23" w:rsidRPr="00482BAB" w:rsidRDefault="00A91C23" w:rsidP="005C76F2">
            <w:pPr>
              <w:jc w:val="both"/>
              <w:rPr>
                <w:rFonts w:ascii="Times New Roman" w:hAnsi="Times New Roman"/>
                <w:sz w:val="24"/>
                <w:szCs w:val="24"/>
              </w:rPr>
            </w:pPr>
          </w:p>
        </w:tc>
        <w:tc>
          <w:tcPr>
            <w:tcW w:w="5245" w:type="dxa"/>
          </w:tcPr>
          <w:p w14:paraId="56D1EA34" w14:textId="77777777" w:rsidR="00A91C23" w:rsidRPr="00482BAB" w:rsidRDefault="00A91C23" w:rsidP="005C76F2">
            <w:pPr>
              <w:jc w:val="both"/>
              <w:rPr>
                <w:rFonts w:ascii="Times New Roman" w:hAnsi="Times New Roman"/>
                <w:b/>
                <w:sz w:val="24"/>
                <w:szCs w:val="24"/>
              </w:rPr>
            </w:pPr>
            <w:r w:rsidRPr="00482BAB">
              <w:rPr>
                <w:rFonts w:ascii="Times New Roman" w:hAnsi="Times New Roman"/>
                <w:b/>
                <w:sz w:val="24"/>
                <w:szCs w:val="24"/>
              </w:rPr>
              <w:t>Kopā</w:t>
            </w:r>
          </w:p>
        </w:tc>
        <w:tc>
          <w:tcPr>
            <w:tcW w:w="1701" w:type="dxa"/>
          </w:tcPr>
          <w:p w14:paraId="4E12B231" w14:textId="5DAC6085"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7</w:t>
            </w:r>
            <w:r>
              <w:rPr>
                <w:rFonts w:ascii="Times New Roman" w:hAnsi="Times New Roman"/>
                <w:b/>
                <w:sz w:val="24"/>
                <w:szCs w:val="24"/>
              </w:rPr>
              <w:t>81 42</w:t>
            </w:r>
            <w:r w:rsidR="00145B15">
              <w:rPr>
                <w:rFonts w:ascii="Times New Roman" w:hAnsi="Times New Roman"/>
                <w:b/>
                <w:sz w:val="24"/>
                <w:szCs w:val="24"/>
              </w:rPr>
              <w:t>4</w:t>
            </w:r>
          </w:p>
        </w:tc>
      </w:tr>
      <w:tr w:rsidR="00A91C23" w14:paraId="6A49A0CF" w14:textId="77777777" w:rsidTr="7672C071">
        <w:trPr>
          <w:jc w:val="center"/>
        </w:trPr>
        <w:tc>
          <w:tcPr>
            <w:tcW w:w="562" w:type="dxa"/>
          </w:tcPr>
          <w:p w14:paraId="5C2BCDF8" w14:textId="77777777" w:rsidR="00A91C23" w:rsidRPr="00482BAB" w:rsidRDefault="00A91C23" w:rsidP="005C76F2">
            <w:pPr>
              <w:jc w:val="both"/>
              <w:rPr>
                <w:rFonts w:ascii="Times New Roman" w:hAnsi="Times New Roman"/>
                <w:sz w:val="24"/>
                <w:szCs w:val="24"/>
              </w:rPr>
            </w:pPr>
          </w:p>
        </w:tc>
        <w:tc>
          <w:tcPr>
            <w:tcW w:w="5245" w:type="dxa"/>
          </w:tcPr>
          <w:p w14:paraId="17898447"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 xml:space="preserve">Darba devēja soc. nod. </w:t>
            </w:r>
          </w:p>
        </w:tc>
        <w:tc>
          <w:tcPr>
            <w:tcW w:w="1701" w:type="dxa"/>
          </w:tcPr>
          <w:p w14:paraId="11A461D3" w14:textId="38FFBF29"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13 666</w:t>
            </w:r>
          </w:p>
        </w:tc>
      </w:tr>
      <w:tr w:rsidR="00A91C23" w:rsidRPr="00F30D69" w14:paraId="27DEFAB9" w14:textId="77777777" w:rsidTr="7672C071">
        <w:trPr>
          <w:jc w:val="center"/>
        </w:trPr>
        <w:tc>
          <w:tcPr>
            <w:tcW w:w="562" w:type="dxa"/>
          </w:tcPr>
          <w:p w14:paraId="25AB1824" w14:textId="77777777" w:rsidR="00A91C23" w:rsidRPr="00482BAB" w:rsidRDefault="00A91C23" w:rsidP="005C76F2">
            <w:pPr>
              <w:jc w:val="both"/>
              <w:rPr>
                <w:rFonts w:ascii="Times New Roman" w:hAnsi="Times New Roman"/>
                <w:sz w:val="24"/>
                <w:szCs w:val="24"/>
              </w:rPr>
            </w:pPr>
          </w:p>
        </w:tc>
        <w:tc>
          <w:tcPr>
            <w:tcW w:w="5245" w:type="dxa"/>
          </w:tcPr>
          <w:p w14:paraId="2FC9E8FB" w14:textId="77777777" w:rsidR="00A91C23" w:rsidRPr="00482BAB" w:rsidRDefault="00A91C23" w:rsidP="005C76F2">
            <w:pPr>
              <w:jc w:val="both"/>
              <w:rPr>
                <w:rFonts w:ascii="Times New Roman" w:hAnsi="Times New Roman"/>
                <w:b/>
                <w:sz w:val="24"/>
                <w:szCs w:val="24"/>
              </w:rPr>
            </w:pPr>
            <w:r w:rsidRPr="00482BAB">
              <w:rPr>
                <w:rFonts w:ascii="Times New Roman" w:hAnsi="Times New Roman"/>
                <w:b/>
                <w:sz w:val="24"/>
                <w:szCs w:val="24"/>
              </w:rPr>
              <w:t>Kopējās izmaksas</w:t>
            </w:r>
          </w:p>
        </w:tc>
        <w:tc>
          <w:tcPr>
            <w:tcW w:w="1701" w:type="dxa"/>
          </w:tcPr>
          <w:p w14:paraId="6FFBBF18" w14:textId="46555080"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795 0</w:t>
            </w:r>
            <w:r w:rsidR="00145B15">
              <w:rPr>
                <w:rFonts w:ascii="Times New Roman" w:hAnsi="Times New Roman"/>
                <w:b/>
                <w:sz w:val="24"/>
                <w:szCs w:val="24"/>
              </w:rPr>
              <w:t>90</w:t>
            </w:r>
          </w:p>
        </w:tc>
      </w:tr>
      <w:tr w:rsidR="00A91C23" w:rsidRPr="00F30D69" w14:paraId="117AC8BF" w14:textId="77777777" w:rsidTr="7672C071">
        <w:trPr>
          <w:jc w:val="center"/>
        </w:trPr>
        <w:tc>
          <w:tcPr>
            <w:tcW w:w="562" w:type="dxa"/>
          </w:tcPr>
          <w:p w14:paraId="3045608D" w14:textId="77777777" w:rsidR="00A91C23" w:rsidRPr="00482BAB" w:rsidRDefault="00A91C23" w:rsidP="005C76F2">
            <w:pPr>
              <w:jc w:val="both"/>
              <w:rPr>
                <w:rFonts w:ascii="Times New Roman" w:hAnsi="Times New Roman"/>
                <w:sz w:val="24"/>
                <w:szCs w:val="24"/>
              </w:rPr>
            </w:pPr>
          </w:p>
        </w:tc>
        <w:tc>
          <w:tcPr>
            <w:tcW w:w="5245" w:type="dxa"/>
          </w:tcPr>
          <w:p w14:paraId="7095D6CA" w14:textId="77777777" w:rsidR="00A91C23" w:rsidRPr="00482BAB" w:rsidRDefault="00A91C23" w:rsidP="005C76F2">
            <w:pPr>
              <w:jc w:val="both"/>
              <w:rPr>
                <w:rFonts w:ascii="Times New Roman" w:hAnsi="Times New Roman"/>
                <w:b/>
                <w:sz w:val="24"/>
                <w:szCs w:val="24"/>
              </w:rPr>
            </w:pPr>
            <w:r w:rsidRPr="00482BAB">
              <w:rPr>
                <w:rFonts w:ascii="Times New Roman" w:hAnsi="Times New Roman"/>
                <w:b/>
                <w:sz w:val="24"/>
                <w:szCs w:val="24"/>
              </w:rPr>
              <w:t>PVN 21%</w:t>
            </w:r>
          </w:p>
        </w:tc>
        <w:tc>
          <w:tcPr>
            <w:tcW w:w="1701" w:type="dxa"/>
          </w:tcPr>
          <w:p w14:paraId="3F5DEDDB" w14:textId="51FE18B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166 96</w:t>
            </w:r>
            <w:r w:rsidR="00145B15">
              <w:rPr>
                <w:rFonts w:ascii="Times New Roman" w:hAnsi="Times New Roman"/>
                <w:b/>
                <w:sz w:val="24"/>
                <w:szCs w:val="24"/>
              </w:rPr>
              <w:t>9</w:t>
            </w:r>
          </w:p>
        </w:tc>
      </w:tr>
      <w:tr w:rsidR="00A91C23" w:rsidRPr="00F30D69" w14:paraId="1AC47B60" w14:textId="77777777" w:rsidTr="7672C071">
        <w:trPr>
          <w:jc w:val="center"/>
        </w:trPr>
        <w:tc>
          <w:tcPr>
            <w:tcW w:w="562" w:type="dxa"/>
            <w:shd w:val="clear" w:color="auto" w:fill="FBD4B4" w:themeFill="accent6" w:themeFillTint="66"/>
          </w:tcPr>
          <w:p w14:paraId="2E74073A" w14:textId="77777777" w:rsidR="00A91C23" w:rsidRPr="00482BAB" w:rsidRDefault="00A91C23" w:rsidP="005C76F2">
            <w:pPr>
              <w:jc w:val="both"/>
              <w:rPr>
                <w:rFonts w:ascii="Times New Roman" w:hAnsi="Times New Roman"/>
                <w:sz w:val="24"/>
                <w:szCs w:val="24"/>
              </w:rPr>
            </w:pPr>
          </w:p>
        </w:tc>
        <w:tc>
          <w:tcPr>
            <w:tcW w:w="5245" w:type="dxa"/>
            <w:shd w:val="clear" w:color="auto" w:fill="FBD4B4" w:themeFill="accent6" w:themeFillTint="66"/>
          </w:tcPr>
          <w:p w14:paraId="34460C9F" w14:textId="77777777" w:rsidR="00A91C23" w:rsidRPr="00482BAB" w:rsidRDefault="00A91C23" w:rsidP="005C76F2">
            <w:pPr>
              <w:jc w:val="both"/>
              <w:rPr>
                <w:rFonts w:ascii="Times New Roman" w:hAnsi="Times New Roman"/>
                <w:b/>
                <w:sz w:val="24"/>
                <w:szCs w:val="24"/>
              </w:rPr>
            </w:pPr>
            <w:r w:rsidRPr="00482BAB">
              <w:rPr>
                <w:rFonts w:ascii="Times New Roman" w:hAnsi="Times New Roman"/>
                <w:b/>
                <w:sz w:val="24"/>
                <w:szCs w:val="24"/>
              </w:rPr>
              <w:t>Kopējās izmaksas ar PVN</w:t>
            </w:r>
          </w:p>
        </w:tc>
        <w:tc>
          <w:tcPr>
            <w:tcW w:w="1701" w:type="dxa"/>
            <w:shd w:val="clear" w:color="auto" w:fill="FBD4B4" w:themeFill="accent6" w:themeFillTint="66"/>
          </w:tcPr>
          <w:p w14:paraId="7E5EED59" w14:textId="1C06F2A2"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962 05</w:t>
            </w:r>
            <w:r w:rsidR="00145B15">
              <w:rPr>
                <w:rFonts w:ascii="Times New Roman" w:hAnsi="Times New Roman"/>
                <w:b/>
                <w:sz w:val="24"/>
                <w:szCs w:val="24"/>
              </w:rPr>
              <w:t>9</w:t>
            </w:r>
          </w:p>
        </w:tc>
      </w:tr>
    </w:tbl>
    <w:p w14:paraId="2C803BDD" w14:textId="77777777" w:rsidR="00A91C23" w:rsidRPr="00007A5A" w:rsidRDefault="00A91C23" w:rsidP="00FF02DA">
      <w:pPr>
        <w:spacing w:after="120"/>
        <w:ind w:firstLine="720"/>
        <w:jc w:val="both"/>
        <w:rPr>
          <w:rFonts w:ascii="Times New Roman" w:hAnsi="Times New Roman" w:cs="Times New Roman"/>
          <w:sz w:val="24"/>
          <w:szCs w:val="24"/>
        </w:rPr>
      </w:pPr>
    </w:p>
    <w:p w14:paraId="1DDA30A1" w14:textId="37A419A8" w:rsidR="008029B9" w:rsidRPr="00007A5A"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Vēl viena operāciju zāle ļautu veikt vismaz 4 </w:t>
      </w:r>
      <w:r w:rsidR="00D372BF">
        <w:rPr>
          <w:rFonts w:ascii="Times New Roman" w:hAnsi="Times New Roman" w:cs="Times New Roman"/>
          <w:sz w:val="24"/>
          <w:szCs w:val="24"/>
        </w:rPr>
        <w:t>- 6 papildus operācijas dienā (</w:t>
      </w:r>
      <w:r w:rsidRPr="00007A5A">
        <w:rPr>
          <w:rFonts w:ascii="Times New Roman" w:hAnsi="Times New Roman" w:cs="Times New Roman"/>
          <w:sz w:val="24"/>
          <w:szCs w:val="24"/>
        </w:rPr>
        <w:t>t.i. 1040-1560 operācijas gadā), tādējādi samazināt endoprotezējamo pacientu rindu vismaz par 3 papildus cilvēkiem</w:t>
      </w:r>
      <w:r w:rsidR="00D372BF">
        <w:rPr>
          <w:rFonts w:ascii="Times New Roman" w:hAnsi="Times New Roman" w:cs="Times New Roman"/>
          <w:sz w:val="24"/>
          <w:szCs w:val="24"/>
        </w:rPr>
        <w:t xml:space="preserve"> dienā un būtiski paātrināt 98.</w:t>
      </w:r>
      <w:r w:rsidRPr="00007A5A">
        <w:rPr>
          <w:rFonts w:ascii="Times New Roman" w:hAnsi="Times New Roman" w:cs="Times New Roman"/>
          <w:sz w:val="24"/>
          <w:szCs w:val="24"/>
        </w:rPr>
        <w:t>grupai atbilstošo pacientu rindu, kuri šobrīd gaida operāciju mēnesi un ilgāk, attiecīgi ļaujot pacientiem ātrāk atgriezties darbā.</w:t>
      </w:r>
    </w:p>
    <w:p w14:paraId="568846E3" w14:textId="77777777" w:rsidR="008029B9" w:rsidRPr="00007A5A"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Lai sasniegtu izvirzīto mērķi ir nepieciešams demontēt vairākas starpsienas, likvidēt esošos sanitāros mezglus, palīgtelpas, un iegūto telpu vietā izbūvēt operāciju zāli, tās priekštelpu, kā arī augstākminētās telpas izvietot esošo, neizmantoto telpu vietā, veicot apdares darbus un inženiertehniskā aprīkojuma renovāciju.</w:t>
      </w:r>
    </w:p>
    <w:p w14:paraId="4514475C" w14:textId="188333E5" w:rsidR="008029B9" w:rsidRPr="00FA6424" w:rsidRDefault="008029B9" w:rsidP="00FF02DA">
      <w:pPr>
        <w:spacing w:after="120"/>
        <w:ind w:firstLine="720"/>
        <w:jc w:val="both"/>
        <w:rPr>
          <w:rFonts w:ascii="Times New Roman" w:hAnsi="Times New Roman" w:cs="Times New Roman"/>
          <w:i/>
          <w:sz w:val="24"/>
          <w:szCs w:val="24"/>
        </w:rPr>
      </w:pPr>
      <w:r w:rsidRPr="00007A5A">
        <w:rPr>
          <w:rFonts w:ascii="Times New Roman" w:hAnsi="Times New Roman" w:cs="Times New Roman"/>
          <w:sz w:val="24"/>
          <w:szCs w:val="24"/>
        </w:rPr>
        <w:t>Operāciju zāles izbūvei tiks izmantots princips telpa telpā, t.i., esošajā telpā tiks izveidota hermētiska čaula, ko veido ar speciālu higiēnisku pārklājumu pārklāti šķiedrcementa paneļi ar noblīvētām sadurvietām un plaknē iestrādātām elektrības, medicīnas gāzu kontaktligzdām, vadības paneļiem u.c. nepieciešamo aprīkojumu. Aiz šī paneļu apšuvuma izbūvēs inženierkomunikāciju pieslēgumus, ventilācijas caurules ar HEPA filtriem, kas ļauj nodrošināt vienmērīgu telpas vēdināšanu un ekonomēt telpas augstumu. Operāciju zālē paredzēts pret esošajām logu ailēm izbūvēt augstāk minētajā sienu sistēmā integrētus neveramus logus ar iekšējām, automātiski vadāmām žalūzijām, kā arī zem tiem izbūvēt sienu paneļus ar slēpto apsildes sistēmu. Durvis paredzētas automātiski veramas nerūsējošā tērauda. Zālē tiks paredzēta ķirurģiskā lampa, ķirurģiskā konsole un anestēzijas konsole, visu prasīto medicīnas gāzu pieslēgumu vietas tiks dublētas arī uz sienas. Operāciju zāles priekštelpā tiks paredzētas ķirurģiskās izlietnes ar integrētiem mazgāšanas, dezinfekcijas u.c. līdzekļu turētājiem ar sensoriem, vieta sienas konsolei, kā arī šeit ir iespējams izvietot iebūvētās speciāli aprīkotās mēbeles  medicīnisko materiālu izvietošanai. Grīdu iesegumam izmantojams homogēns, ķīmiski izturīgs polivinilhlorīda segums, kas atbilst 43 klasei un tas ir izbūvējams atbilstoši higiēnas prasībām, pielietojot uzlocītās grīdlīstes (rādiuss ne mazāks par 2.5mm), kuras integrē aiz sienu paneļiem un</w:t>
      </w:r>
      <w:r w:rsidRPr="00CA51EC">
        <w:rPr>
          <w:rFonts w:ascii="Times New Roman" w:hAnsi="Times New Roman" w:cs="Times New Roman"/>
          <w:sz w:val="24"/>
          <w:szCs w:val="24"/>
        </w:rPr>
        <w:t xml:space="preserve"> noblīvē ar speciālu elementu</w:t>
      </w:r>
      <w:r w:rsidR="00704874">
        <w:rPr>
          <w:rFonts w:ascii="Times New Roman" w:hAnsi="Times New Roman" w:cs="Times New Roman"/>
          <w:sz w:val="24"/>
          <w:szCs w:val="24"/>
        </w:rPr>
        <w:t xml:space="preserve"> </w:t>
      </w:r>
      <w:r w:rsidR="00704874" w:rsidRPr="00A31E26">
        <w:rPr>
          <w:rFonts w:ascii="Times New Roman" w:hAnsi="Times New Roman" w:cs="Times New Roman"/>
          <w:sz w:val="24"/>
          <w:szCs w:val="24"/>
        </w:rPr>
        <w:t>(1</w:t>
      </w:r>
      <w:r w:rsidR="00163D38">
        <w:rPr>
          <w:rFonts w:ascii="Times New Roman" w:hAnsi="Times New Roman" w:cs="Times New Roman"/>
          <w:sz w:val="24"/>
          <w:szCs w:val="24"/>
        </w:rPr>
        <w:t>6</w:t>
      </w:r>
      <w:r w:rsidR="00704874" w:rsidRPr="00A31E26">
        <w:rPr>
          <w:rFonts w:ascii="Times New Roman" w:hAnsi="Times New Roman" w:cs="Times New Roman"/>
          <w:sz w:val="24"/>
          <w:szCs w:val="24"/>
        </w:rPr>
        <w:t>.tabul</w:t>
      </w:r>
      <w:r w:rsidR="00562AF0" w:rsidRPr="00A31E26">
        <w:rPr>
          <w:rFonts w:ascii="Times New Roman" w:hAnsi="Times New Roman" w:cs="Times New Roman"/>
          <w:sz w:val="24"/>
          <w:szCs w:val="24"/>
        </w:rPr>
        <w:t>a</w:t>
      </w:r>
      <w:r w:rsidR="00704874" w:rsidRPr="00A31E26">
        <w:rPr>
          <w:rFonts w:ascii="Times New Roman" w:hAnsi="Times New Roman" w:cs="Times New Roman"/>
          <w:sz w:val="24"/>
          <w:szCs w:val="24"/>
        </w:rPr>
        <w:t>)</w:t>
      </w:r>
      <w:r w:rsidRPr="00A31E26">
        <w:rPr>
          <w:rFonts w:ascii="Times New Roman" w:hAnsi="Times New Roman" w:cs="Times New Roman"/>
          <w:sz w:val="24"/>
          <w:szCs w:val="24"/>
        </w:rPr>
        <w:t>.</w:t>
      </w:r>
      <w:r w:rsidRPr="00CA51EC">
        <w:rPr>
          <w:rFonts w:ascii="Times New Roman" w:hAnsi="Times New Roman" w:cs="Times New Roman"/>
          <w:sz w:val="24"/>
          <w:szCs w:val="24"/>
        </w:rPr>
        <w:t xml:space="preserve"> </w:t>
      </w:r>
    </w:p>
    <w:p w14:paraId="6951A764" w14:textId="77777777" w:rsidR="00D173DC" w:rsidRDefault="00D173DC" w:rsidP="00E93259">
      <w:pPr>
        <w:spacing w:after="0"/>
        <w:ind w:firstLine="720"/>
        <w:jc w:val="right"/>
        <w:rPr>
          <w:rFonts w:ascii="Times New Roman" w:hAnsi="Times New Roman" w:cs="Times New Roman"/>
          <w:i/>
          <w:iCs/>
          <w:sz w:val="24"/>
          <w:szCs w:val="24"/>
        </w:rPr>
      </w:pPr>
    </w:p>
    <w:p w14:paraId="2B941B2E" w14:textId="77777777" w:rsidR="00D173DC" w:rsidRDefault="00D173DC" w:rsidP="00E93259">
      <w:pPr>
        <w:spacing w:after="0"/>
        <w:ind w:firstLine="720"/>
        <w:jc w:val="right"/>
        <w:rPr>
          <w:rFonts w:ascii="Times New Roman" w:hAnsi="Times New Roman" w:cs="Times New Roman"/>
          <w:i/>
          <w:iCs/>
          <w:sz w:val="24"/>
          <w:szCs w:val="24"/>
        </w:rPr>
      </w:pPr>
    </w:p>
    <w:p w14:paraId="39BC4B5A" w14:textId="7C8F96AB" w:rsidR="00704874" w:rsidRPr="00E93259" w:rsidRDefault="00704874" w:rsidP="00E93259">
      <w:pPr>
        <w:spacing w:after="0"/>
        <w:ind w:firstLine="720"/>
        <w:jc w:val="right"/>
        <w:rPr>
          <w:rFonts w:ascii="Times New Roman" w:hAnsi="Times New Roman" w:cs="Times New Roman"/>
          <w:i/>
          <w:iCs/>
          <w:sz w:val="24"/>
          <w:szCs w:val="24"/>
        </w:rPr>
      </w:pPr>
      <w:r w:rsidRPr="001E4659">
        <w:rPr>
          <w:rFonts w:ascii="Times New Roman" w:hAnsi="Times New Roman" w:cs="Times New Roman"/>
          <w:i/>
          <w:iCs/>
          <w:sz w:val="24"/>
          <w:szCs w:val="24"/>
        </w:rPr>
        <w:lastRenderedPageBreak/>
        <w:t>1</w:t>
      </w:r>
      <w:r w:rsidR="00163D38">
        <w:rPr>
          <w:rFonts w:ascii="Times New Roman" w:hAnsi="Times New Roman" w:cs="Times New Roman"/>
          <w:i/>
          <w:iCs/>
          <w:sz w:val="24"/>
          <w:szCs w:val="24"/>
        </w:rPr>
        <w:t>6</w:t>
      </w:r>
      <w:r w:rsidRPr="001E4659">
        <w:rPr>
          <w:rFonts w:ascii="Times New Roman" w:hAnsi="Times New Roman" w:cs="Times New Roman"/>
          <w:i/>
          <w:iCs/>
          <w:sz w:val="24"/>
          <w:szCs w:val="24"/>
        </w:rPr>
        <w:t>.tabula</w:t>
      </w:r>
    </w:p>
    <w:p w14:paraId="151D7080" w14:textId="0EC267FD" w:rsidR="00704874" w:rsidRDefault="00704874" w:rsidP="00FA6424">
      <w:pPr>
        <w:spacing w:after="0" w:line="240" w:lineRule="auto"/>
        <w:jc w:val="center"/>
        <w:rPr>
          <w:rFonts w:ascii="Times New Roman" w:hAnsi="Times New Roman" w:cs="Times New Roman"/>
          <w:b/>
          <w:sz w:val="24"/>
          <w:szCs w:val="24"/>
        </w:rPr>
      </w:pPr>
      <w:r w:rsidRPr="00AE1010">
        <w:rPr>
          <w:rFonts w:ascii="Times New Roman" w:hAnsi="Times New Roman" w:cs="Times New Roman"/>
          <w:b/>
          <w:sz w:val="24"/>
          <w:szCs w:val="24"/>
        </w:rPr>
        <w:t>Iebūvēja</w:t>
      </w:r>
      <w:r>
        <w:rPr>
          <w:rFonts w:ascii="Times New Roman" w:hAnsi="Times New Roman" w:cs="Times New Roman"/>
          <w:b/>
          <w:sz w:val="24"/>
          <w:szCs w:val="24"/>
        </w:rPr>
        <w:t>mais aprīkojums operāciju zālei</w:t>
      </w:r>
    </w:p>
    <w:p w14:paraId="531C0B9B" w14:textId="77777777" w:rsidR="00421675" w:rsidRPr="00FA6424" w:rsidRDefault="00421675" w:rsidP="00FA6424">
      <w:pPr>
        <w:spacing w:after="0" w:line="240" w:lineRule="auto"/>
        <w:jc w:val="center"/>
        <w:rPr>
          <w:rFonts w:ascii="Times New Roman" w:hAnsi="Times New Roman" w:cs="Times New Roman"/>
          <w:b/>
          <w:sz w:val="24"/>
          <w:szCs w:val="24"/>
        </w:rPr>
      </w:pPr>
    </w:p>
    <w:tbl>
      <w:tblPr>
        <w:tblW w:w="8854" w:type="dxa"/>
        <w:jc w:val="center"/>
        <w:tblLayout w:type="fixed"/>
        <w:tblLook w:val="04A0" w:firstRow="1" w:lastRow="0" w:firstColumn="1" w:lastColumn="0" w:noHBand="0" w:noVBand="1"/>
      </w:tblPr>
      <w:tblGrid>
        <w:gridCol w:w="528"/>
        <w:gridCol w:w="3158"/>
        <w:gridCol w:w="1701"/>
        <w:gridCol w:w="1987"/>
        <w:gridCol w:w="1480"/>
      </w:tblGrid>
      <w:tr w:rsidR="00704874" w:rsidRPr="00BB473A" w14:paraId="4B3F1A27" w14:textId="77777777" w:rsidTr="00FA6424">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8C0D634" w14:textId="77777777" w:rsidR="00704874" w:rsidRPr="00BB473A" w:rsidRDefault="00704874" w:rsidP="00183803">
            <w:pPr>
              <w:spacing w:after="0" w:line="240" w:lineRule="auto"/>
              <w:jc w:val="center"/>
              <w:rPr>
                <w:rFonts w:ascii="Times New Roman" w:hAnsi="Times New Roman" w:cs="Times New Roman"/>
                <w:b/>
              </w:rPr>
            </w:pPr>
            <w:r w:rsidRPr="00BB473A">
              <w:rPr>
                <w:rFonts w:ascii="Times New Roman" w:hAnsi="Times New Roman" w:cs="Times New Roman"/>
                <w:b/>
              </w:rPr>
              <w:t>Nr.</w:t>
            </w:r>
          </w:p>
        </w:tc>
        <w:tc>
          <w:tcPr>
            <w:tcW w:w="3158"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8E66248" w14:textId="77777777" w:rsidR="00704874" w:rsidRPr="00BB473A" w:rsidRDefault="00704874" w:rsidP="00F73847">
            <w:pPr>
              <w:spacing w:after="0" w:line="240" w:lineRule="auto"/>
              <w:jc w:val="center"/>
              <w:rPr>
                <w:rFonts w:ascii="Times New Roman" w:hAnsi="Times New Roman" w:cs="Times New Roman"/>
                <w:b/>
              </w:rPr>
            </w:pPr>
            <w:r w:rsidRPr="00BB473A">
              <w:rPr>
                <w:rFonts w:ascii="Times New Roman" w:hAnsi="Times New Roman" w:cs="Times New Roman"/>
                <w:b/>
              </w:rPr>
              <w:t>Aparatūras/aprīkojuma nosaukums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9553262" w14:textId="77777777" w:rsidR="00704874" w:rsidRPr="00BB473A" w:rsidRDefault="00704874">
            <w:pPr>
              <w:spacing w:after="0" w:line="240" w:lineRule="auto"/>
              <w:jc w:val="center"/>
              <w:rPr>
                <w:rFonts w:ascii="Times New Roman" w:hAnsi="Times New Roman" w:cs="Times New Roman"/>
                <w:b/>
              </w:rPr>
            </w:pPr>
            <w:r w:rsidRPr="00BB473A">
              <w:rPr>
                <w:rFonts w:ascii="Times New Roman" w:hAnsi="Times New Roman" w:cs="Times New Roman"/>
                <w:b/>
              </w:rPr>
              <w:t>Nepieciešamais skaits</w:t>
            </w:r>
          </w:p>
        </w:tc>
        <w:tc>
          <w:tcPr>
            <w:tcW w:w="1987"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447AA55B" w14:textId="77777777" w:rsidR="00704874" w:rsidRPr="00BB473A" w:rsidRDefault="00704874">
            <w:pPr>
              <w:spacing w:after="0" w:line="240" w:lineRule="auto"/>
              <w:jc w:val="center"/>
              <w:rPr>
                <w:rFonts w:ascii="Times New Roman" w:hAnsi="Times New Roman" w:cs="Times New Roman"/>
                <w:b/>
              </w:rPr>
            </w:pPr>
            <w:r w:rsidRPr="00BB473A">
              <w:rPr>
                <w:rFonts w:ascii="Times New Roman" w:hAnsi="Times New Roman" w:cs="Times New Roman"/>
                <w:b/>
              </w:rPr>
              <w:t>Iespējamā cena par 1gb. bez PVN</w:t>
            </w:r>
            <w:r>
              <w:rPr>
                <w:rFonts w:ascii="Times New Roman" w:hAnsi="Times New Roman" w:cs="Times New Roman"/>
                <w:b/>
              </w:rPr>
              <w:t xml:space="preserve"> (EUR)</w:t>
            </w:r>
          </w:p>
        </w:tc>
        <w:tc>
          <w:tcPr>
            <w:tcW w:w="1480"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026600A" w14:textId="77777777" w:rsidR="00704874" w:rsidRPr="00BB473A" w:rsidRDefault="00704874">
            <w:pPr>
              <w:spacing w:after="0" w:line="240" w:lineRule="auto"/>
              <w:jc w:val="center"/>
              <w:rPr>
                <w:rFonts w:ascii="Times New Roman" w:hAnsi="Times New Roman" w:cs="Times New Roman"/>
                <w:b/>
              </w:rPr>
            </w:pPr>
            <w:r w:rsidRPr="00BB473A">
              <w:rPr>
                <w:rFonts w:ascii="Times New Roman" w:hAnsi="Times New Roman" w:cs="Times New Roman"/>
                <w:b/>
              </w:rPr>
              <w:t>Summa bez PVN</w:t>
            </w:r>
            <w:r>
              <w:rPr>
                <w:rFonts w:ascii="Times New Roman" w:hAnsi="Times New Roman" w:cs="Times New Roman"/>
                <w:b/>
              </w:rPr>
              <w:t xml:space="preserve"> (EUR)</w:t>
            </w:r>
          </w:p>
        </w:tc>
      </w:tr>
      <w:tr w:rsidR="00704874" w:rsidRPr="00BB473A" w14:paraId="33AD3480" w14:textId="77777777" w:rsidTr="00FA6424">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B1EB0"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14:paraId="47351B95" w14:textId="77777777"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Operāciju lampa ar kronšteinu, konsoli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6FEE35"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14:paraId="7012413D" w14:textId="4C156392"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35 000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75DC723" w14:textId="6B99B014"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35 000</w:t>
            </w:r>
          </w:p>
        </w:tc>
      </w:tr>
      <w:tr w:rsidR="00704874" w:rsidRPr="00BB473A" w14:paraId="0A869FFD" w14:textId="77777777" w:rsidTr="00FA6424">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6C3E17A"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3158" w:type="dxa"/>
            <w:tcBorders>
              <w:top w:val="nil"/>
              <w:left w:val="nil"/>
              <w:bottom w:val="single" w:sz="4" w:space="0" w:color="auto"/>
              <w:right w:val="single" w:sz="4" w:space="0" w:color="auto"/>
            </w:tcBorders>
            <w:shd w:val="clear" w:color="auto" w:fill="auto"/>
            <w:vAlign w:val="center"/>
            <w:hideMark/>
          </w:tcPr>
          <w:p w14:paraId="73ADCA07" w14:textId="77777777"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konsole monitoram, aparatūrai</w:t>
            </w:r>
          </w:p>
        </w:tc>
        <w:tc>
          <w:tcPr>
            <w:tcW w:w="1701" w:type="dxa"/>
            <w:tcBorders>
              <w:top w:val="nil"/>
              <w:left w:val="nil"/>
              <w:bottom w:val="single" w:sz="4" w:space="0" w:color="auto"/>
              <w:right w:val="single" w:sz="4" w:space="0" w:color="auto"/>
            </w:tcBorders>
            <w:shd w:val="clear" w:color="auto" w:fill="auto"/>
            <w:vAlign w:val="center"/>
            <w:hideMark/>
          </w:tcPr>
          <w:p w14:paraId="6D2C5E09"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center"/>
            <w:hideMark/>
          </w:tcPr>
          <w:p w14:paraId="5A2063E6" w14:textId="0204D985"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10 000</w:t>
            </w:r>
          </w:p>
        </w:tc>
        <w:tc>
          <w:tcPr>
            <w:tcW w:w="1480" w:type="dxa"/>
            <w:tcBorders>
              <w:top w:val="nil"/>
              <w:left w:val="nil"/>
              <w:bottom w:val="single" w:sz="4" w:space="0" w:color="auto"/>
              <w:right w:val="single" w:sz="4" w:space="0" w:color="auto"/>
            </w:tcBorders>
            <w:shd w:val="clear" w:color="auto" w:fill="auto"/>
            <w:vAlign w:val="center"/>
            <w:hideMark/>
          </w:tcPr>
          <w:p w14:paraId="27A5464C" w14:textId="0F196650"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10 000</w:t>
            </w:r>
          </w:p>
        </w:tc>
      </w:tr>
      <w:tr w:rsidR="00704874" w:rsidRPr="00BB473A" w14:paraId="45A51E96" w14:textId="77777777" w:rsidTr="00FA6424">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9B4603C"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3</w:t>
            </w:r>
          </w:p>
        </w:tc>
        <w:tc>
          <w:tcPr>
            <w:tcW w:w="3158" w:type="dxa"/>
            <w:tcBorders>
              <w:top w:val="nil"/>
              <w:left w:val="nil"/>
              <w:bottom w:val="single" w:sz="4" w:space="0" w:color="auto"/>
              <w:right w:val="single" w:sz="4" w:space="0" w:color="auto"/>
            </w:tcBorders>
            <w:shd w:val="clear" w:color="auto" w:fill="auto"/>
            <w:vAlign w:val="center"/>
            <w:hideMark/>
          </w:tcPr>
          <w:p w14:paraId="47DCC7E5" w14:textId="10F646DD"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saspiestā gaisa, skābekļa un elektrības konsoles</w:t>
            </w:r>
          </w:p>
        </w:tc>
        <w:tc>
          <w:tcPr>
            <w:tcW w:w="1701" w:type="dxa"/>
            <w:tcBorders>
              <w:top w:val="nil"/>
              <w:left w:val="nil"/>
              <w:bottom w:val="single" w:sz="4" w:space="0" w:color="auto"/>
              <w:right w:val="single" w:sz="4" w:space="0" w:color="auto"/>
            </w:tcBorders>
            <w:shd w:val="clear" w:color="auto" w:fill="auto"/>
            <w:vAlign w:val="center"/>
            <w:hideMark/>
          </w:tcPr>
          <w:p w14:paraId="7BED7DD2"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center"/>
            <w:hideMark/>
          </w:tcPr>
          <w:p w14:paraId="6100D520" w14:textId="5C76B7DF"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15 000</w:t>
            </w:r>
          </w:p>
        </w:tc>
        <w:tc>
          <w:tcPr>
            <w:tcW w:w="1480" w:type="dxa"/>
            <w:tcBorders>
              <w:top w:val="nil"/>
              <w:left w:val="nil"/>
              <w:bottom w:val="single" w:sz="4" w:space="0" w:color="auto"/>
              <w:right w:val="single" w:sz="4" w:space="0" w:color="auto"/>
            </w:tcBorders>
            <w:shd w:val="clear" w:color="auto" w:fill="auto"/>
            <w:vAlign w:val="center"/>
            <w:hideMark/>
          </w:tcPr>
          <w:p w14:paraId="77FD25EE" w14:textId="5178C851"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30 000</w:t>
            </w:r>
          </w:p>
        </w:tc>
      </w:tr>
      <w:tr w:rsidR="00704874" w:rsidRPr="00BB473A" w14:paraId="47B4A7AF" w14:textId="77777777" w:rsidTr="00FA6424">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A933589"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4</w:t>
            </w:r>
          </w:p>
        </w:tc>
        <w:tc>
          <w:tcPr>
            <w:tcW w:w="3158" w:type="dxa"/>
            <w:tcBorders>
              <w:top w:val="nil"/>
              <w:left w:val="nil"/>
              <w:bottom w:val="single" w:sz="4" w:space="0" w:color="auto"/>
              <w:right w:val="single" w:sz="4" w:space="0" w:color="auto"/>
            </w:tcBorders>
            <w:shd w:val="clear" w:color="auto" w:fill="auto"/>
            <w:vAlign w:val="center"/>
            <w:hideMark/>
          </w:tcPr>
          <w:p w14:paraId="2C79A8D4" w14:textId="77777777"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Nerūsējošā tērauda plauktu kompl</w:t>
            </w:r>
            <w:r>
              <w:rPr>
                <w:rFonts w:ascii="Times New Roman" w:hAnsi="Times New Roman" w:cs="Times New Roman"/>
              </w:rPr>
              <w:t>ekts</w:t>
            </w:r>
          </w:p>
        </w:tc>
        <w:tc>
          <w:tcPr>
            <w:tcW w:w="1701" w:type="dxa"/>
            <w:tcBorders>
              <w:top w:val="nil"/>
              <w:left w:val="nil"/>
              <w:bottom w:val="single" w:sz="4" w:space="0" w:color="auto"/>
              <w:right w:val="single" w:sz="4" w:space="0" w:color="auto"/>
            </w:tcBorders>
            <w:shd w:val="clear" w:color="auto" w:fill="auto"/>
            <w:vAlign w:val="center"/>
            <w:hideMark/>
          </w:tcPr>
          <w:p w14:paraId="524EA19C"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center"/>
            <w:hideMark/>
          </w:tcPr>
          <w:p w14:paraId="2D9ABA49" w14:textId="21A9B141"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25 000</w:t>
            </w:r>
          </w:p>
        </w:tc>
        <w:tc>
          <w:tcPr>
            <w:tcW w:w="1480" w:type="dxa"/>
            <w:tcBorders>
              <w:top w:val="nil"/>
              <w:left w:val="nil"/>
              <w:bottom w:val="single" w:sz="4" w:space="0" w:color="auto"/>
              <w:right w:val="single" w:sz="4" w:space="0" w:color="auto"/>
            </w:tcBorders>
            <w:shd w:val="clear" w:color="auto" w:fill="auto"/>
            <w:vAlign w:val="center"/>
            <w:hideMark/>
          </w:tcPr>
          <w:p w14:paraId="23E9497B" w14:textId="0601DEB0"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25 000</w:t>
            </w:r>
          </w:p>
        </w:tc>
      </w:tr>
      <w:tr w:rsidR="00704874" w:rsidRPr="00BB473A" w14:paraId="5626EC54" w14:textId="77777777" w:rsidTr="00FA6424">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7891C0A8"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5</w:t>
            </w:r>
          </w:p>
        </w:tc>
        <w:tc>
          <w:tcPr>
            <w:tcW w:w="3158" w:type="dxa"/>
            <w:tcBorders>
              <w:top w:val="nil"/>
              <w:left w:val="nil"/>
              <w:bottom w:val="single" w:sz="4" w:space="0" w:color="auto"/>
              <w:right w:val="single" w:sz="4" w:space="0" w:color="auto"/>
            </w:tcBorders>
            <w:shd w:val="clear" w:color="auto" w:fill="auto"/>
            <w:vAlign w:val="center"/>
            <w:hideMark/>
          </w:tcPr>
          <w:p w14:paraId="0A98F64E" w14:textId="77777777"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Operāciju zāles mēbeles</w:t>
            </w:r>
          </w:p>
        </w:tc>
        <w:tc>
          <w:tcPr>
            <w:tcW w:w="1701" w:type="dxa"/>
            <w:tcBorders>
              <w:top w:val="nil"/>
              <w:left w:val="nil"/>
              <w:bottom w:val="single" w:sz="4" w:space="0" w:color="auto"/>
              <w:right w:val="single" w:sz="4" w:space="0" w:color="auto"/>
            </w:tcBorders>
            <w:shd w:val="clear" w:color="auto" w:fill="auto"/>
            <w:vAlign w:val="center"/>
            <w:hideMark/>
          </w:tcPr>
          <w:p w14:paraId="292DB8D2"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center"/>
            <w:hideMark/>
          </w:tcPr>
          <w:p w14:paraId="5A1829C1" w14:textId="10C8B1C6"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20 000</w:t>
            </w:r>
          </w:p>
        </w:tc>
        <w:tc>
          <w:tcPr>
            <w:tcW w:w="1480" w:type="dxa"/>
            <w:tcBorders>
              <w:top w:val="nil"/>
              <w:left w:val="nil"/>
              <w:bottom w:val="single" w:sz="4" w:space="0" w:color="auto"/>
              <w:right w:val="single" w:sz="4" w:space="0" w:color="auto"/>
            </w:tcBorders>
            <w:shd w:val="clear" w:color="auto" w:fill="auto"/>
            <w:vAlign w:val="center"/>
            <w:hideMark/>
          </w:tcPr>
          <w:p w14:paraId="6C06A64E" w14:textId="7E58B65E"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20 000</w:t>
            </w:r>
          </w:p>
        </w:tc>
      </w:tr>
      <w:tr w:rsidR="00704874" w:rsidRPr="009B31B7" w14:paraId="1E19E307" w14:textId="77777777" w:rsidTr="00FA6424">
        <w:trPr>
          <w:trHeight w:val="315"/>
          <w:jc w:val="center"/>
        </w:trPr>
        <w:tc>
          <w:tcPr>
            <w:tcW w:w="7374" w:type="dxa"/>
            <w:gridSpan w:val="4"/>
            <w:tcBorders>
              <w:top w:val="nil"/>
              <w:left w:val="single" w:sz="4" w:space="0" w:color="auto"/>
              <w:bottom w:val="single" w:sz="4" w:space="0" w:color="auto"/>
              <w:right w:val="single" w:sz="4" w:space="0" w:color="auto"/>
            </w:tcBorders>
            <w:shd w:val="clear" w:color="auto" w:fill="FBD4B4" w:themeFill="accent6" w:themeFillTint="66"/>
            <w:vAlign w:val="center"/>
          </w:tcPr>
          <w:p w14:paraId="2E45453B" w14:textId="77777777" w:rsidR="00704874" w:rsidRPr="009B31B7" w:rsidRDefault="00704874" w:rsidP="00E93259">
            <w:pPr>
              <w:spacing w:after="0" w:line="240" w:lineRule="auto"/>
              <w:jc w:val="right"/>
              <w:rPr>
                <w:rFonts w:ascii="Times New Roman" w:hAnsi="Times New Roman" w:cs="Times New Roman"/>
                <w:b/>
              </w:rPr>
            </w:pPr>
            <w:r w:rsidRPr="009B31B7">
              <w:rPr>
                <w:rFonts w:ascii="Times New Roman" w:hAnsi="Times New Roman" w:cs="Times New Roman"/>
                <w:b/>
              </w:rPr>
              <w:t>Iebūvējamais aprīkojums kopā</w:t>
            </w:r>
          </w:p>
        </w:tc>
        <w:tc>
          <w:tcPr>
            <w:tcW w:w="1480" w:type="dxa"/>
            <w:tcBorders>
              <w:top w:val="nil"/>
              <w:left w:val="nil"/>
              <w:bottom w:val="single" w:sz="4" w:space="0" w:color="auto"/>
              <w:right w:val="single" w:sz="4" w:space="0" w:color="auto"/>
            </w:tcBorders>
            <w:shd w:val="clear" w:color="auto" w:fill="FBD4B4" w:themeFill="accent6" w:themeFillTint="66"/>
            <w:vAlign w:val="center"/>
          </w:tcPr>
          <w:p w14:paraId="327DC5CC" w14:textId="2C593241" w:rsidR="00704874" w:rsidRPr="009B31B7" w:rsidRDefault="00704874" w:rsidP="00183803">
            <w:pPr>
              <w:spacing w:after="0" w:line="240" w:lineRule="auto"/>
              <w:jc w:val="center"/>
              <w:rPr>
                <w:rFonts w:ascii="Times New Roman" w:hAnsi="Times New Roman" w:cs="Times New Roman"/>
                <w:b/>
              </w:rPr>
            </w:pPr>
            <w:r w:rsidRPr="009B31B7">
              <w:rPr>
                <w:rFonts w:ascii="Times New Roman" w:hAnsi="Times New Roman" w:cs="Times New Roman"/>
                <w:b/>
              </w:rPr>
              <w:t>120 000</w:t>
            </w:r>
          </w:p>
        </w:tc>
      </w:tr>
    </w:tbl>
    <w:p w14:paraId="38B9BE28" w14:textId="77777777" w:rsidR="00704874" w:rsidRDefault="00704874" w:rsidP="00FF02DA">
      <w:pPr>
        <w:spacing w:after="120"/>
        <w:ind w:firstLine="720"/>
        <w:jc w:val="both"/>
        <w:rPr>
          <w:rFonts w:ascii="Times New Roman" w:hAnsi="Times New Roman" w:cs="Times New Roman"/>
          <w:sz w:val="24"/>
          <w:szCs w:val="24"/>
        </w:rPr>
      </w:pPr>
    </w:p>
    <w:p w14:paraId="18ECD3F4" w14:textId="088AB38E" w:rsidR="001E4659" w:rsidRPr="00CC64B7" w:rsidRDefault="008029B9" w:rsidP="00CC64B7">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Multifunkcionālajā telpā tiks paredzētas 2 mobilās konsoles, māsas postenis, iebūvētās mēbeles medikamentu, materiālu uzglabāšanai</w:t>
      </w:r>
      <w:r w:rsidR="00C71951">
        <w:rPr>
          <w:rFonts w:ascii="Times New Roman" w:hAnsi="Times New Roman" w:cs="Times New Roman"/>
          <w:sz w:val="24"/>
          <w:szCs w:val="24"/>
        </w:rPr>
        <w:t xml:space="preserve"> </w:t>
      </w:r>
      <w:r w:rsidR="00C71951" w:rsidRPr="00A31E26">
        <w:rPr>
          <w:rFonts w:ascii="Times New Roman" w:hAnsi="Times New Roman" w:cs="Times New Roman"/>
          <w:sz w:val="24"/>
          <w:szCs w:val="24"/>
        </w:rPr>
        <w:t>(1</w:t>
      </w:r>
      <w:r w:rsidR="00E11AFF">
        <w:rPr>
          <w:rFonts w:ascii="Times New Roman" w:hAnsi="Times New Roman" w:cs="Times New Roman"/>
          <w:sz w:val="24"/>
          <w:szCs w:val="24"/>
        </w:rPr>
        <w:t>7</w:t>
      </w:r>
      <w:r w:rsidR="00C71951" w:rsidRPr="00A31E26">
        <w:rPr>
          <w:rFonts w:ascii="Times New Roman" w:hAnsi="Times New Roman" w:cs="Times New Roman"/>
          <w:sz w:val="24"/>
          <w:szCs w:val="24"/>
        </w:rPr>
        <w:t>.tabul</w:t>
      </w:r>
      <w:r w:rsidR="00957FD3" w:rsidRPr="00A31E26">
        <w:rPr>
          <w:rFonts w:ascii="Times New Roman" w:hAnsi="Times New Roman" w:cs="Times New Roman"/>
          <w:sz w:val="24"/>
          <w:szCs w:val="24"/>
        </w:rPr>
        <w:t>a</w:t>
      </w:r>
      <w:r w:rsidR="00C71951" w:rsidRPr="00A31E26">
        <w:rPr>
          <w:rFonts w:ascii="Times New Roman" w:hAnsi="Times New Roman" w:cs="Times New Roman"/>
          <w:sz w:val="24"/>
          <w:szCs w:val="24"/>
        </w:rPr>
        <w:t>)</w:t>
      </w:r>
      <w:r w:rsidRPr="00A31E26">
        <w:rPr>
          <w:rFonts w:ascii="Times New Roman" w:hAnsi="Times New Roman" w:cs="Times New Roman"/>
          <w:sz w:val="24"/>
          <w:szCs w:val="24"/>
        </w:rPr>
        <w:t>.</w:t>
      </w:r>
      <w:r w:rsidRPr="00007A5A">
        <w:rPr>
          <w:rFonts w:ascii="Times New Roman" w:hAnsi="Times New Roman" w:cs="Times New Roman"/>
          <w:sz w:val="24"/>
          <w:szCs w:val="24"/>
        </w:rPr>
        <w:t xml:space="preserve"> Sienu apdarei paredzams reģipša apšuvums ar antibakteriālo krāsojumu vai sienu linoleja pārklājumu, lai panāktu bezšuvju ieklājumu, grīdu segumam izmantojams homogēns, ķīmiski izturīgs polivinilhlorīda segums, kas atbilst 43 klasei, tas izbūvējams atbilstoši higiēnas prasībām, pielietojot uzlocītās grīdlīstes, griestiem tiks  paredzēts reģipša iekārto griestu risinājums ar iebūvētiem apgaismes ķermeņiem higiēniskā izpildījumā (mazgājami gaismekļi) un antibakteriālo krāsojumu, apkures ķermeņus ir nepieciešams nomainīt pret higiēniskā tipa radiatoriem ar regulēšanas vārstiem. Durvis paredzētas automātiski veramas nerūsējošā tērauda. Inženierkomunikāciju pieslēgumi atbilstoši L</w:t>
      </w:r>
      <w:r w:rsidR="00434374">
        <w:rPr>
          <w:rFonts w:ascii="Times New Roman" w:hAnsi="Times New Roman" w:cs="Times New Roman"/>
          <w:sz w:val="24"/>
          <w:szCs w:val="24"/>
        </w:rPr>
        <w:t xml:space="preserve">atvijas </w:t>
      </w:r>
      <w:r w:rsidRPr="00007A5A">
        <w:rPr>
          <w:rFonts w:ascii="Times New Roman" w:hAnsi="Times New Roman" w:cs="Times New Roman"/>
          <w:sz w:val="24"/>
          <w:szCs w:val="24"/>
        </w:rPr>
        <w:t>R</w:t>
      </w:r>
      <w:r w:rsidR="00434374">
        <w:rPr>
          <w:rFonts w:ascii="Times New Roman" w:hAnsi="Times New Roman" w:cs="Times New Roman"/>
          <w:sz w:val="24"/>
          <w:szCs w:val="24"/>
        </w:rPr>
        <w:t>epublikā</w:t>
      </w:r>
      <w:r w:rsidRPr="00007A5A">
        <w:rPr>
          <w:rFonts w:ascii="Times New Roman" w:hAnsi="Times New Roman" w:cs="Times New Roman"/>
          <w:sz w:val="24"/>
          <w:szCs w:val="24"/>
        </w:rPr>
        <w:t xml:space="preserve"> spēkā esošajiem normatīviem, paredzēti ūdensvada, kanalizācijas, ventilācijas, kondicionēšanas, elektroapgādes, vājstrāvu tīklu pieslēgumi. Ņemot vērā, ka paredzēta rekonstrukcija jau ilgstoši ekspluatētā ēkā, izmaksās tiks ierēķināta rezerve neparedzētiem darbiem.  Projekta kopēj</w:t>
      </w:r>
      <w:r w:rsidR="00E824AB">
        <w:rPr>
          <w:rFonts w:ascii="Times New Roman" w:hAnsi="Times New Roman" w:cs="Times New Roman"/>
          <w:sz w:val="24"/>
          <w:szCs w:val="24"/>
        </w:rPr>
        <w:t xml:space="preserve">ās izmaksas plānotas </w:t>
      </w:r>
      <w:r w:rsidR="00E824AB" w:rsidRPr="00FA6424">
        <w:rPr>
          <w:rFonts w:ascii="Times New Roman" w:hAnsi="Times New Roman" w:cs="Times New Roman"/>
          <w:b/>
          <w:sz w:val="24"/>
          <w:szCs w:val="24"/>
        </w:rPr>
        <w:t>962 05</w:t>
      </w:r>
      <w:r w:rsidR="00145B15">
        <w:rPr>
          <w:rFonts w:ascii="Times New Roman" w:hAnsi="Times New Roman" w:cs="Times New Roman"/>
          <w:b/>
          <w:sz w:val="24"/>
          <w:szCs w:val="24"/>
        </w:rPr>
        <w:t>9</w:t>
      </w:r>
      <w:r w:rsidR="00E824AB" w:rsidRPr="00FA6424">
        <w:rPr>
          <w:rFonts w:ascii="Times New Roman" w:hAnsi="Times New Roman" w:cs="Times New Roman"/>
          <w:b/>
          <w:sz w:val="24"/>
          <w:szCs w:val="24"/>
        </w:rPr>
        <w:t xml:space="preserve"> </w:t>
      </w:r>
      <w:r w:rsidR="00E824AB" w:rsidRPr="00FA6424">
        <w:rPr>
          <w:rFonts w:ascii="Times New Roman" w:hAnsi="Times New Roman" w:cs="Times New Roman"/>
          <w:b/>
          <w:i/>
          <w:sz w:val="24"/>
          <w:szCs w:val="24"/>
        </w:rPr>
        <w:t>euro</w:t>
      </w:r>
      <w:r w:rsidRPr="00007A5A">
        <w:rPr>
          <w:rFonts w:ascii="Times New Roman" w:hAnsi="Times New Roman" w:cs="Times New Roman"/>
          <w:sz w:val="24"/>
          <w:szCs w:val="24"/>
        </w:rPr>
        <w:t>.</w:t>
      </w:r>
    </w:p>
    <w:p w14:paraId="2EE998D7" w14:textId="2CACFD87" w:rsidR="00E00BB0" w:rsidRPr="00E93259" w:rsidRDefault="00E20A98" w:rsidP="00E93259">
      <w:pPr>
        <w:spacing w:after="0"/>
        <w:jc w:val="right"/>
        <w:rPr>
          <w:rFonts w:ascii="Times New Roman" w:hAnsi="Times New Roman" w:cs="Times New Roman"/>
          <w:i/>
          <w:iCs/>
          <w:sz w:val="24"/>
          <w:szCs w:val="24"/>
        </w:rPr>
      </w:pPr>
      <w:r w:rsidRPr="001E4659">
        <w:rPr>
          <w:rFonts w:ascii="Times New Roman" w:hAnsi="Times New Roman" w:cs="Times New Roman"/>
          <w:i/>
          <w:iCs/>
          <w:sz w:val="24"/>
          <w:szCs w:val="24"/>
        </w:rPr>
        <w:t>1</w:t>
      </w:r>
      <w:r w:rsidR="00BE132B">
        <w:rPr>
          <w:rFonts w:ascii="Times New Roman" w:hAnsi="Times New Roman" w:cs="Times New Roman"/>
          <w:i/>
          <w:iCs/>
          <w:sz w:val="24"/>
          <w:szCs w:val="24"/>
        </w:rPr>
        <w:t>7</w:t>
      </w:r>
      <w:r w:rsidRPr="001E4659">
        <w:rPr>
          <w:rFonts w:ascii="Times New Roman" w:hAnsi="Times New Roman" w:cs="Times New Roman"/>
          <w:i/>
          <w:iCs/>
          <w:sz w:val="24"/>
          <w:szCs w:val="24"/>
        </w:rPr>
        <w:t>.</w:t>
      </w:r>
      <w:r w:rsidR="00ED4619" w:rsidRPr="001E4659">
        <w:rPr>
          <w:rFonts w:ascii="Times New Roman" w:hAnsi="Times New Roman" w:cs="Times New Roman"/>
          <w:i/>
          <w:iCs/>
          <w:sz w:val="24"/>
          <w:szCs w:val="24"/>
        </w:rPr>
        <w:t>tabula</w:t>
      </w:r>
    </w:p>
    <w:p w14:paraId="7C5FCFFF" w14:textId="5D7A3D4D" w:rsidR="002C511A" w:rsidRPr="00E00BB0" w:rsidRDefault="00E00BB0" w:rsidP="00E00BB0">
      <w:pPr>
        <w:jc w:val="center"/>
        <w:rPr>
          <w:sz w:val="24"/>
          <w:szCs w:val="24"/>
        </w:rPr>
      </w:pPr>
      <w:r w:rsidRPr="00AE1010">
        <w:rPr>
          <w:rFonts w:ascii="Times New Roman" w:hAnsi="Times New Roman" w:cs="Times New Roman"/>
          <w:b/>
          <w:sz w:val="24"/>
          <w:szCs w:val="24"/>
        </w:rPr>
        <w:t>Pārvietojamās iekārtas operāciju zālei</w:t>
      </w:r>
    </w:p>
    <w:tbl>
      <w:tblPr>
        <w:tblW w:w="8854" w:type="dxa"/>
        <w:jc w:val="center"/>
        <w:tblLayout w:type="fixed"/>
        <w:tblLook w:val="04A0" w:firstRow="1" w:lastRow="0" w:firstColumn="1" w:lastColumn="0" w:noHBand="0" w:noVBand="1"/>
      </w:tblPr>
      <w:tblGrid>
        <w:gridCol w:w="528"/>
        <w:gridCol w:w="3158"/>
        <w:gridCol w:w="1701"/>
        <w:gridCol w:w="1987"/>
        <w:gridCol w:w="1480"/>
      </w:tblGrid>
      <w:tr w:rsidR="002C511A" w:rsidRPr="00BB473A" w14:paraId="5901B0A5" w14:textId="77777777" w:rsidTr="00FA6424">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14:paraId="577A26BE" w14:textId="77777777"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Nr.</w:t>
            </w:r>
          </w:p>
        </w:tc>
        <w:tc>
          <w:tcPr>
            <w:tcW w:w="315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2D2091" w14:textId="77777777"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Aparatūras/aprīkojuma nosaukums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2471079" w14:textId="77777777"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Nepieciešamais skaits</w:t>
            </w:r>
          </w:p>
        </w:tc>
        <w:tc>
          <w:tcPr>
            <w:tcW w:w="198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B4FDBD6" w14:textId="20A048AD"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Iespējamā cena par 1gb. bez PVN</w:t>
            </w:r>
            <w:r>
              <w:rPr>
                <w:rFonts w:ascii="Times New Roman" w:hAnsi="Times New Roman" w:cs="Times New Roman"/>
                <w:b/>
              </w:rPr>
              <w:t xml:space="preserve"> (</w:t>
            </w:r>
            <w:r w:rsidR="003C1DB0" w:rsidRPr="003C1DB0">
              <w:rPr>
                <w:rFonts w:ascii="Times New Roman" w:hAnsi="Times New Roman" w:cs="Times New Roman"/>
                <w:b/>
                <w:i/>
              </w:rPr>
              <w:t>euro</w:t>
            </w:r>
            <w:r>
              <w:rPr>
                <w:rFonts w:ascii="Times New Roman" w:hAnsi="Times New Roman" w:cs="Times New Roman"/>
                <w:b/>
              </w:rPr>
              <w:t>)</w:t>
            </w:r>
          </w:p>
        </w:tc>
        <w:tc>
          <w:tcPr>
            <w:tcW w:w="14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1B1471C" w14:textId="29BCE522"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Summa bez PVN</w:t>
            </w:r>
            <w:r>
              <w:rPr>
                <w:rFonts w:ascii="Times New Roman" w:hAnsi="Times New Roman" w:cs="Times New Roman"/>
                <w:b/>
              </w:rPr>
              <w:t xml:space="preserve"> (</w:t>
            </w:r>
            <w:r w:rsidR="003C1DB0" w:rsidRPr="003C1DB0">
              <w:rPr>
                <w:rFonts w:ascii="Times New Roman" w:hAnsi="Times New Roman" w:cs="Times New Roman"/>
                <w:b/>
                <w:i/>
              </w:rPr>
              <w:t>euro</w:t>
            </w:r>
            <w:r>
              <w:rPr>
                <w:rFonts w:ascii="Times New Roman" w:hAnsi="Times New Roman" w:cs="Times New Roman"/>
                <w:b/>
              </w:rPr>
              <w:t>)</w:t>
            </w:r>
          </w:p>
        </w:tc>
      </w:tr>
      <w:tr w:rsidR="002C511A" w:rsidRPr="00BB473A" w14:paraId="016CCD37" w14:textId="77777777" w:rsidTr="00861057">
        <w:trPr>
          <w:trHeight w:val="300"/>
          <w:jc w:val="center"/>
        </w:trPr>
        <w:tc>
          <w:tcPr>
            <w:tcW w:w="8854" w:type="dxa"/>
            <w:gridSpan w:val="5"/>
            <w:tcBorders>
              <w:top w:val="single" w:sz="4" w:space="0" w:color="auto"/>
              <w:left w:val="single" w:sz="4" w:space="0" w:color="auto"/>
              <w:bottom w:val="single" w:sz="4" w:space="0" w:color="auto"/>
              <w:right w:val="nil"/>
            </w:tcBorders>
            <w:shd w:val="clear" w:color="auto" w:fill="auto"/>
            <w:vAlign w:val="bottom"/>
            <w:hideMark/>
          </w:tcPr>
          <w:p w14:paraId="30E2A1FA" w14:textId="77777777" w:rsidR="002C511A" w:rsidRPr="00BB473A" w:rsidRDefault="002C511A" w:rsidP="00B73022">
            <w:pPr>
              <w:spacing w:after="0" w:line="240" w:lineRule="auto"/>
              <w:rPr>
                <w:rFonts w:ascii="Calibri" w:eastAsia="Times New Roman" w:hAnsi="Calibri" w:cs="Calibri"/>
                <w:b/>
                <w:bCs/>
                <w:color w:val="000000"/>
                <w:lang w:eastAsia="lv-LV"/>
              </w:rPr>
            </w:pPr>
            <w:r w:rsidRPr="00BB473A">
              <w:rPr>
                <w:rFonts w:ascii="Times New Roman" w:hAnsi="Times New Roman" w:cs="Times New Roman"/>
                <w:b/>
              </w:rPr>
              <w:t>Operāciju zālei</w:t>
            </w:r>
          </w:p>
        </w:tc>
      </w:tr>
      <w:tr w:rsidR="002C511A" w:rsidRPr="00BB473A" w14:paraId="3FBF45BD"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6095ED8"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w:t>
            </w:r>
          </w:p>
        </w:tc>
        <w:tc>
          <w:tcPr>
            <w:tcW w:w="3158" w:type="dxa"/>
            <w:tcBorders>
              <w:top w:val="nil"/>
              <w:left w:val="nil"/>
              <w:bottom w:val="single" w:sz="4" w:space="0" w:color="auto"/>
              <w:right w:val="single" w:sz="4" w:space="0" w:color="auto"/>
            </w:tcBorders>
            <w:shd w:val="clear" w:color="auto" w:fill="auto"/>
            <w:vAlign w:val="bottom"/>
            <w:hideMark/>
          </w:tcPr>
          <w:p w14:paraId="70885038"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Jauns operāciju galds</w:t>
            </w:r>
          </w:p>
        </w:tc>
        <w:tc>
          <w:tcPr>
            <w:tcW w:w="1701" w:type="dxa"/>
            <w:tcBorders>
              <w:top w:val="nil"/>
              <w:left w:val="nil"/>
              <w:bottom w:val="single" w:sz="4" w:space="0" w:color="auto"/>
              <w:right w:val="single" w:sz="4" w:space="0" w:color="auto"/>
            </w:tcBorders>
            <w:shd w:val="clear" w:color="auto" w:fill="auto"/>
            <w:vAlign w:val="center"/>
            <w:hideMark/>
          </w:tcPr>
          <w:p w14:paraId="387A7226"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4C79F4BE" w14:textId="2B32C3CA"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80 000</w:t>
            </w:r>
          </w:p>
        </w:tc>
        <w:tc>
          <w:tcPr>
            <w:tcW w:w="1480" w:type="dxa"/>
            <w:tcBorders>
              <w:top w:val="nil"/>
              <w:left w:val="nil"/>
              <w:bottom w:val="single" w:sz="4" w:space="0" w:color="auto"/>
              <w:right w:val="single" w:sz="4" w:space="0" w:color="auto"/>
            </w:tcBorders>
            <w:shd w:val="clear" w:color="auto" w:fill="auto"/>
            <w:vAlign w:val="bottom"/>
            <w:hideMark/>
          </w:tcPr>
          <w:p w14:paraId="7DAF0E29" w14:textId="558DDE18"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80 000</w:t>
            </w:r>
          </w:p>
        </w:tc>
      </w:tr>
      <w:tr w:rsidR="002C511A" w:rsidRPr="00BB473A" w14:paraId="7369F686"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27E32D77"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2</w:t>
            </w:r>
          </w:p>
        </w:tc>
        <w:tc>
          <w:tcPr>
            <w:tcW w:w="3158" w:type="dxa"/>
            <w:tcBorders>
              <w:top w:val="nil"/>
              <w:left w:val="nil"/>
              <w:bottom w:val="single" w:sz="4" w:space="0" w:color="auto"/>
              <w:right w:val="single" w:sz="4" w:space="0" w:color="auto"/>
            </w:tcBorders>
            <w:shd w:val="clear" w:color="auto" w:fill="auto"/>
            <w:vAlign w:val="bottom"/>
            <w:hideMark/>
          </w:tcPr>
          <w:p w14:paraId="515404D9"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R</w:t>
            </w:r>
            <w:r w:rsidRPr="00BB473A">
              <w:rPr>
                <w:rFonts w:ascii="Times New Roman" w:hAnsi="Times New Roman" w:cs="Times New Roman"/>
              </w:rPr>
              <w:t>okas galdiņš</w:t>
            </w:r>
          </w:p>
        </w:tc>
        <w:tc>
          <w:tcPr>
            <w:tcW w:w="1701" w:type="dxa"/>
            <w:tcBorders>
              <w:top w:val="nil"/>
              <w:left w:val="nil"/>
              <w:bottom w:val="single" w:sz="4" w:space="0" w:color="auto"/>
              <w:right w:val="single" w:sz="4" w:space="0" w:color="auto"/>
            </w:tcBorders>
            <w:shd w:val="clear" w:color="auto" w:fill="auto"/>
            <w:vAlign w:val="center"/>
            <w:hideMark/>
          </w:tcPr>
          <w:p w14:paraId="1F4AD1C6"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145E63B6" w14:textId="3E8E2406"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2 000</w:t>
            </w:r>
          </w:p>
        </w:tc>
        <w:tc>
          <w:tcPr>
            <w:tcW w:w="1480" w:type="dxa"/>
            <w:tcBorders>
              <w:top w:val="nil"/>
              <w:left w:val="nil"/>
              <w:bottom w:val="single" w:sz="4" w:space="0" w:color="auto"/>
              <w:right w:val="single" w:sz="4" w:space="0" w:color="auto"/>
            </w:tcBorders>
            <w:shd w:val="clear" w:color="auto" w:fill="auto"/>
            <w:vAlign w:val="bottom"/>
            <w:hideMark/>
          </w:tcPr>
          <w:p w14:paraId="0423FB3D" w14:textId="6E08C3D5"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2 000</w:t>
            </w:r>
          </w:p>
        </w:tc>
      </w:tr>
      <w:tr w:rsidR="002C511A" w:rsidRPr="00BB473A" w14:paraId="15749454" w14:textId="77777777" w:rsidTr="0086105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32368B1"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3</w:t>
            </w:r>
          </w:p>
        </w:tc>
        <w:tc>
          <w:tcPr>
            <w:tcW w:w="3158" w:type="dxa"/>
            <w:tcBorders>
              <w:top w:val="nil"/>
              <w:left w:val="nil"/>
              <w:bottom w:val="single" w:sz="4" w:space="0" w:color="auto"/>
              <w:right w:val="single" w:sz="4" w:space="0" w:color="auto"/>
            </w:tcBorders>
            <w:shd w:val="clear" w:color="auto" w:fill="auto"/>
            <w:vAlign w:val="bottom"/>
            <w:hideMark/>
          </w:tcPr>
          <w:p w14:paraId="40742B70"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K</w:t>
            </w:r>
            <w:r w:rsidRPr="00BB473A">
              <w:rPr>
                <w:rFonts w:ascii="Times New Roman" w:hAnsi="Times New Roman" w:cs="Times New Roman"/>
              </w:rPr>
              <w:t>oagul</w:t>
            </w:r>
            <w:r>
              <w:rPr>
                <w:rFonts w:ascii="Times New Roman" w:hAnsi="Times New Roman" w:cs="Times New Roman"/>
              </w:rPr>
              <w:t>ācija (ar 2 ligzdām</w:t>
            </w:r>
            <w:r w:rsidRPr="00BB473A">
              <w:rPr>
                <w:rFonts w:ascii="Times New Roman" w:hAnsi="Times New Roman" w:cs="Times New Roman"/>
              </w:rPr>
              <w:t>)</w:t>
            </w:r>
          </w:p>
        </w:tc>
        <w:tc>
          <w:tcPr>
            <w:tcW w:w="1701" w:type="dxa"/>
            <w:tcBorders>
              <w:top w:val="nil"/>
              <w:left w:val="nil"/>
              <w:bottom w:val="single" w:sz="4" w:space="0" w:color="auto"/>
              <w:right w:val="single" w:sz="4" w:space="0" w:color="auto"/>
            </w:tcBorders>
            <w:shd w:val="clear" w:color="auto" w:fill="auto"/>
            <w:vAlign w:val="center"/>
            <w:hideMark/>
          </w:tcPr>
          <w:p w14:paraId="43B3390F"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4DA0D854" w14:textId="614DB16C"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9 400</w:t>
            </w:r>
          </w:p>
        </w:tc>
        <w:tc>
          <w:tcPr>
            <w:tcW w:w="1480" w:type="dxa"/>
            <w:tcBorders>
              <w:top w:val="nil"/>
              <w:left w:val="nil"/>
              <w:bottom w:val="single" w:sz="4" w:space="0" w:color="auto"/>
              <w:right w:val="single" w:sz="4" w:space="0" w:color="auto"/>
            </w:tcBorders>
            <w:shd w:val="clear" w:color="auto" w:fill="auto"/>
            <w:vAlign w:val="bottom"/>
            <w:hideMark/>
          </w:tcPr>
          <w:p w14:paraId="2E97ED3A" w14:textId="7C9C5D90"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9 400</w:t>
            </w:r>
          </w:p>
        </w:tc>
      </w:tr>
      <w:tr w:rsidR="002C511A" w:rsidRPr="00BB473A" w14:paraId="5C953A05"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46B0E38"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4</w:t>
            </w:r>
          </w:p>
        </w:tc>
        <w:tc>
          <w:tcPr>
            <w:tcW w:w="3158" w:type="dxa"/>
            <w:tcBorders>
              <w:top w:val="nil"/>
              <w:left w:val="nil"/>
              <w:bottom w:val="single" w:sz="4" w:space="0" w:color="auto"/>
              <w:right w:val="single" w:sz="4" w:space="0" w:color="auto"/>
            </w:tcBorders>
            <w:shd w:val="clear" w:color="auto" w:fill="auto"/>
            <w:vAlign w:val="bottom"/>
            <w:hideMark/>
          </w:tcPr>
          <w:p w14:paraId="0A0D3A90"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V</w:t>
            </w:r>
            <w:r w:rsidRPr="00BB473A">
              <w:rPr>
                <w:rFonts w:ascii="Times New Roman" w:hAnsi="Times New Roman" w:cs="Times New Roman"/>
              </w:rPr>
              <w:t>akuuma sūknis</w:t>
            </w:r>
          </w:p>
        </w:tc>
        <w:tc>
          <w:tcPr>
            <w:tcW w:w="1701" w:type="dxa"/>
            <w:tcBorders>
              <w:top w:val="nil"/>
              <w:left w:val="nil"/>
              <w:bottom w:val="single" w:sz="4" w:space="0" w:color="auto"/>
              <w:right w:val="single" w:sz="4" w:space="0" w:color="auto"/>
            </w:tcBorders>
            <w:shd w:val="clear" w:color="auto" w:fill="auto"/>
            <w:vAlign w:val="center"/>
            <w:hideMark/>
          </w:tcPr>
          <w:p w14:paraId="388C4CFA"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7971E22B" w14:textId="15BE5BA5"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1 500</w:t>
            </w:r>
          </w:p>
        </w:tc>
        <w:tc>
          <w:tcPr>
            <w:tcW w:w="1480" w:type="dxa"/>
            <w:tcBorders>
              <w:top w:val="nil"/>
              <w:left w:val="nil"/>
              <w:bottom w:val="single" w:sz="4" w:space="0" w:color="auto"/>
              <w:right w:val="single" w:sz="4" w:space="0" w:color="auto"/>
            </w:tcBorders>
            <w:shd w:val="clear" w:color="auto" w:fill="auto"/>
            <w:vAlign w:val="bottom"/>
            <w:hideMark/>
          </w:tcPr>
          <w:p w14:paraId="20FE732D" w14:textId="42CE8602"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3 000</w:t>
            </w:r>
          </w:p>
        </w:tc>
      </w:tr>
      <w:tr w:rsidR="002C511A" w:rsidRPr="00BB473A" w14:paraId="4F7C0779"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3DFC641"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5</w:t>
            </w:r>
          </w:p>
        </w:tc>
        <w:tc>
          <w:tcPr>
            <w:tcW w:w="3158" w:type="dxa"/>
            <w:tcBorders>
              <w:top w:val="nil"/>
              <w:left w:val="nil"/>
              <w:bottom w:val="single" w:sz="4" w:space="0" w:color="auto"/>
              <w:right w:val="single" w:sz="4" w:space="0" w:color="auto"/>
            </w:tcBorders>
            <w:shd w:val="clear" w:color="auto" w:fill="auto"/>
            <w:vAlign w:val="bottom"/>
            <w:hideMark/>
          </w:tcPr>
          <w:p w14:paraId="1AC58FCC"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K</w:t>
            </w:r>
            <w:r w:rsidRPr="00BB473A">
              <w:rPr>
                <w:rFonts w:ascii="Times New Roman" w:hAnsi="Times New Roman" w:cs="Times New Roman"/>
              </w:rPr>
              <w:t>onteineru galdi</w:t>
            </w:r>
          </w:p>
        </w:tc>
        <w:tc>
          <w:tcPr>
            <w:tcW w:w="1701" w:type="dxa"/>
            <w:tcBorders>
              <w:top w:val="nil"/>
              <w:left w:val="nil"/>
              <w:bottom w:val="single" w:sz="4" w:space="0" w:color="auto"/>
              <w:right w:val="single" w:sz="4" w:space="0" w:color="auto"/>
            </w:tcBorders>
            <w:shd w:val="clear" w:color="auto" w:fill="auto"/>
            <w:vAlign w:val="center"/>
            <w:hideMark/>
          </w:tcPr>
          <w:p w14:paraId="282A32F8"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10</w:t>
            </w:r>
          </w:p>
        </w:tc>
        <w:tc>
          <w:tcPr>
            <w:tcW w:w="1987" w:type="dxa"/>
            <w:tcBorders>
              <w:top w:val="nil"/>
              <w:left w:val="nil"/>
              <w:bottom w:val="single" w:sz="4" w:space="0" w:color="auto"/>
              <w:right w:val="single" w:sz="4" w:space="0" w:color="auto"/>
            </w:tcBorders>
            <w:shd w:val="clear" w:color="auto" w:fill="auto"/>
            <w:vAlign w:val="bottom"/>
            <w:hideMark/>
          </w:tcPr>
          <w:p w14:paraId="75F20DDC" w14:textId="07F7D5FE"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300</w:t>
            </w:r>
          </w:p>
        </w:tc>
        <w:tc>
          <w:tcPr>
            <w:tcW w:w="1480" w:type="dxa"/>
            <w:tcBorders>
              <w:top w:val="nil"/>
              <w:left w:val="nil"/>
              <w:bottom w:val="single" w:sz="4" w:space="0" w:color="auto"/>
              <w:right w:val="single" w:sz="4" w:space="0" w:color="auto"/>
            </w:tcBorders>
            <w:shd w:val="clear" w:color="auto" w:fill="auto"/>
            <w:vAlign w:val="bottom"/>
            <w:hideMark/>
          </w:tcPr>
          <w:p w14:paraId="620AB2D9" w14:textId="49D92DE4"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3 000</w:t>
            </w:r>
          </w:p>
        </w:tc>
      </w:tr>
      <w:tr w:rsidR="002C511A" w:rsidRPr="00BB473A" w14:paraId="160B9E93" w14:textId="77777777" w:rsidTr="0086105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4378239"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lastRenderedPageBreak/>
              <w:t>6</w:t>
            </w:r>
          </w:p>
        </w:tc>
        <w:tc>
          <w:tcPr>
            <w:tcW w:w="3158" w:type="dxa"/>
            <w:tcBorders>
              <w:top w:val="nil"/>
              <w:left w:val="nil"/>
              <w:bottom w:val="single" w:sz="4" w:space="0" w:color="auto"/>
              <w:right w:val="single" w:sz="4" w:space="0" w:color="auto"/>
            </w:tcBorders>
            <w:shd w:val="clear" w:color="auto" w:fill="auto"/>
            <w:vAlign w:val="bottom"/>
            <w:hideMark/>
          </w:tcPr>
          <w:p w14:paraId="408BB9AC"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P</w:t>
            </w:r>
            <w:r w:rsidRPr="00BB473A">
              <w:rPr>
                <w:rFonts w:ascii="Times New Roman" w:hAnsi="Times New Roman" w:cs="Times New Roman"/>
              </w:rPr>
              <w:t>neimatiskais žņaugs ar 2 manšetēm (reģionālai anestēzijai)</w:t>
            </w:r>
          </w:p>
        </w:tc>
        <w:tc>
          <w:tcPr>
            <w:tcW w:w="1701" w:type="dxa"/>
            <w:tcBorders>
              <w:top w:val="nil"/>
              <w:left w:val="nil"/>
              <w:bottom w:val="single" w:sz="4" w:space="0" w:color="auto"/>
              <w:right w:val="single" w:sz="4" w:space="0" w:color="auto"/>
            </w:tcBorders>
            <w:shd w:val="clear" w:color="auto" w:fill="auto"/>
            <w:vAlign w:val="center"/>
            <w:hideMark/>
          </w:tcPr>
          <w:p w14:paraId="4B5EC3B7"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0D872138" w14:textId="2BC25BA5"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4 000</w:t>
            </w:r>
          </w:p>
        </w:tc>
        <w:tc>
          <w:tcPr>
            <w:tcW w:w="1480" w:type="dxa"/>
            <w:tcBorders>
              <w:top w:val="nil"/>
              <w:left w:val="nil"/>
              <w:bottom w:val="single" w:sz="4" w:space="0" w:color="auto"/>
              <w:right w:val="single" w:sz="4" w:space="0" w:color="auto"/>
            </w:tcBorders>
            <w:shd w:val="clear" w:color="auto" w:fill="auto"/>
            <w:vAlign w:val="bottom"/>
            <w:hideMark/>
          </w:tcPr>
          <w:p w14:paraId="14121DBD" w14:textId="5A429E49"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8 000</w:t>
            </w:r>
          </w:p>
        </w:tc>
      </w:tr>
      <w:tr w:rsidR="002C511A" w:rsidRPr="00BB473A" w14:paraId="0322127C"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56CF28BF"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7</w:t>
            </w:r>
          </w:p>
        </w:tc>
        <w:tc>
          <w:tcPr>
            <w:tcW w:w="3158" w:type="dxa"/>
            <w:tcBorders>
              <w:top w:val="nil"/>
              <w:left w:val="nil"/>
              <w:bottom w:val="single" w:sz="4" w:space="0" w:color="auto"/>
              <w:right w:val="single" w:sz="4" w:space="0" w:color="auto"/>
            </w:tcBorders>
            <w:shd w:val="clear" w:color="auto" w:fill="auto"/>
            <w:vAlign w:val="bottom"/>
            <w:hideMark/>
          </w:tcPr>
          <w:p w14:paraId="645AFBD4"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RTG iekārta-arka</w:t>
            </w:r>
          </w:p>
        </w:tc>
        <w:tc>
          <w:tcPr>
            <w:tcW w:w="1701" w:type="dxa"/>
            <w:tcBorders>
              <w:top w:val="nil"/>
              <w:left w:val="nil"/>
              <w:bottom w:val="single" w:sz="4" w:space="0" w:color="auto"/>
              <w:right w:val="single" w:sz="4" w:space="0" w:color="auto"/>
            </w:tcBorders>
            <w:shd w:val="clear" w:color="auto" w:fill="auto"/>
            <w:vAlign w:val="center"/>
            <w:hideMark/>
          </w:tcPr>
          <w:p w14:paraId="117BE90F"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59A88D49" w14:textId="48BF2C16"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70 000</w:t>
            </w:r>
          </w:p>
        </w:tc>
        <w:tc>
          <w:tcPr>
            <w:tcW w:w="1480" w:type="dxa"/>
            <w:tcBorders>
              <w:top w:val="nil"/>
              <w:left w:val="nil"/>
              <w:bottom w:val="single" w:sz="4" w:space="0" w:color="auto"/>
              <w:right w:val="single" w:sz="4" w:space="0" w:color="auto"/>
            </w:tcBorders>
            <w:shd w:val="clear" w:color="auto" w:fill="auto"/>
            <w:vAlign w:val="bottom"/>
            <w:hideMark/>
          </w:tcPr>
          <w:p w14:paraId="32410323" w14:textId="690B32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70 000</w:t>
            </w:r>
          </w:p>
        </w:tc>
      </w:tr>
      <w:tr w:rsidR="002C511A" w:rsidRPr="00BB473A" w14:paraId="06A9BF41"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D2BDE7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8</w:t>
            </w:r>
          </w:p>
        </w:tc>
        <w:tc>
          <w:tcPr>
            <w:tcW w:w="3158" w:type="dxa"/>
            <w:tcBorders>
              <w:top w:val="nil"/>
              <w:left w:val="nil"/>
              <w:bottom w:val="single" w:sz="4" w:space="0" w:color="auto"/>
              <w:right w:val="single" w:sz="4" w:space="0" w:color="auto"/>
            </w:tcBorders>
            <w:shd w:val="clear" w:color="auto" w:fill="auto"/>
            <w:vAlign w:val="bottom"/>
            <w:hideMark/>
          </w:tcPr>
          <w:p w14:paraId="27013BCB"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M</w:t>
            </w:r>
            <w:r w:rsidRPr="00BB473A">
              <w:rPr>
                <w:rFonts w:ascii="Times New Roman" w:hAnsi="Times New Roman" w:cs="Times New Roman"/>
              </w:rPr>
              <w:t>āsu instrumentu galdiņi</w:t>
            </w:r>
          </w:p>
        </w:tc>
        <w:tc>
          <w:tcPr>
            <w:tcW w:w="1701" w:type="dxa"/>
            <w:tcBorders>
              <w:top w:val="nil"/>
              <w:left w:val="nil"/>
              <w:bottom w:val="single" w:sz="4" w:space="0" w:color="auto"/>
              <w:right w:val="single" w:sz="4" w:space="0" w:color="auto"/>
            </w:tcBorders>
            <w:shd w:val="clear" w:color="auto" w:fill="auto"/>
            <w:vAlign w:val="center"/>
            <w:hideMark/>
          </w:tcPr>
          <w:p w14:paraId="755FA1B3"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6</w:t>
            </w:r>
          </w:p>
        </w:tc>
        <w:tc>
          <w:tcPr>
            <w:tcW w:w="1987" w:type="dxa"/>
            <w:tcBorders>
              <w:top w:val="nil"/>
              <w:left w:val="nil"/>
              <w:bottom w:val="single" w:sz="4" w:space="0" w:color="auto"/>
              <w:right w:val="single" w:sz="4" w:space="0" w:color="auto"/>
            </w:tcBorders>
            <w:shd w:val="clear" w:color="auto" w:fill="auto"/>
            <w:vAlign w:val="bottom"/>
            <w:hideMark/>
          </w:tcPr>
          <w:p w14:paraId="70CB50C0" w14:textId="6D9BDD5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1 000</w:t>
            </w:r>
          </w:p>
        </w:tc>
        <w:tc>
          <w:tcPr>
            <w:tcW w:w="1480" w:type="dxa"/>
            <w:tcBorders>
              <w:top w:val="nil"/>
              <w:left w:val="nil"/>
              <w:bottom w:val="single" w:sz="4" w:space="0" w:color="auto"/>
              <w:right w:val="single" w:sz="4" w:space="0" w:color="auto"/>
            </w:tcBorders>
            <w:shd w:val="clear" w:color="auto" w:fill="auto"/>
            <w:vAlign w:val="bottom"/>
            <w:hideMark/>
          </w:tcPr>
          <w:p w14:paraId="42E5D85A" w14:textId="0F8731D8"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6 000</w:t>
            </w:r>
          </w:p>
        </w:tc>
      </w:tr>
      <w:tr w:rsidR="002C511A" w:rsidRPr="00BB473A" w14:paraId="2EDB641E"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91AC9D3"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9</w:t>
            </w:r>
          </w:p>
        </w:tc>
        <w:tc>
          <w:tcPr>
            <w:tcW w:w="3158" w:type="dxa"/>
            <w:tcBorders>
              <w:top w:val="nil"/>
              <w:left w:val="nil"/>
              <w:bottom w:val="single" w:sz="4" w:space="0" w:color="auto"/>
              <w:right w:val="single" w:sz="4" w:space="0" w:color="auto"/>
            </w:tcBorders>
            <w:shd w:val="clear" w:color="auto" w:fill="auto"/>
            <w:vAlign w:val="bottom"/>
            <w:hideMark/>
          </w:tcPr>
          <w:p w14:paraId="53BD79BE"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M</w:t>
            </w:r>
            <w:r w:rsidRPr="00BB473A">
              <w:rPr>
                <w:rFonts w:ascii="Times New Roman" w:hAnsi="Times New Roman" w:cs="Times New Roman"/>
              </w:rPr>
              <w:t>āsu galds</w:t>
            </w:r>
          </w:p>
        </w:tc>
        <w:tc>
          <w:tcPr>
            <w:tcW w:w="1701" w:type="dxa"/>
            <w:tcBorders>
              <w:top w:val="nil"/>
              <w:left w:val="nil"/>
              <w:bottom w:val="single" w:sz="4" w:space="0" w:color="auto"/>
              <w:right w:val="single" w:sz="4" w:space="0" w:color="auto"/>
            </w:tcBorders>
            <w:shd w:val="clear" w:color="auto" w:fill="auto"/>
            <w:vAlign w:val="center"/>
            <w:hideMark/>
          </w:tcPr>
          <w:p w14:paraId="26F462EA"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08836C46" w14:textId="508FD9D9"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1 500</w:t>
            </w:r>
          </w:p>
        </w:tc>
        <w:tc>
          <w:tcPr>
            <w:tcW w:w="1480" w:type="dxa"/>
            <w:tcBorders>
              <w:top w:val="nil"/>
              <w:left w:val="nil"/>
              <w:bottom w:val="single" w:sz="4" w:space="0" w:color="auto"/>
              <w:right w:val="single" w:sz="4" w:space="0" w:color="auto"/>
            </w:tcBorders>
            <w:shd w:val="clear" w:color="auto" w:fill="auto"/>
            <w:vAlign w:val="bottom"/>
            <w:hideMark/>
          </w:tcPr>
          <w:p w14:paraId="34DD74EC" w14:textId="39A54461"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3 000</w:t>
            </w:r>
          </w:p>
        </w:tc>
      </w:tr>
      <w:tr w:rsidR="002C511A" w:rsidRPr="00BB473A" w14:paraId="0045DB16"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19C9955"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10</w:t>
            </w:r>
          </w:p>
        </w:tc>
        <w:tc>
          <w:tcPr>
            <w:tcW w:w="3158" w:type="dxa"/>
            <w:tcBorders>
              <w:top w:val="nil"/>
              <w:left w:val="nil"/>
              <w:bottom w:val="single" w:sz="4" w:space="0" w:color="auto"/>
              <w:right w:val="single" w:sz="4" w:space="0" w:color="auto"/>
            </w:tcBorders>
            <w:shd w:val="clear" w:color="auto" w:fill="auto"/>
            <w:vAlign w:val="bottom"/>
            <w:hideMark/>
          </w:tcPr>
          <w:p w14:paraId="5FB321D3"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N</w:t>
            </w:r>
            <w:r w:rsidRPr="00BB473A">
              <w:rPr>
                <w:rFonts w:ascii="Times New Roman" w:hAnsi="Times New Roman" w:cs="Times New Roman"/>
              </w:rPr>
              <w:t>erūsējošā metāla bļodas uz statīva</w:t>
            </w:r>
          </w:p>
        </w:tc>
        <w:tc>
          <w:tcPr>
            <w:tcW w:w="1701" w:type="dxa"/>
            <w:tcBorders>
              <w:top w:val="nil"/>
              <w:left w:val="nil"/>
              <w:bottom w:val="single" w:sz="4" w:space="0" w:color="auto"/>
              <w:right w:val="single" w:sz="4" w:space="0" w:color="auto"/>
            </w:tcBorders>
            <w:shd w:val="clear" w:color="auto" w:fill="auto"/>
            <w:vAlign w:val="center"/>
            <w:hideMark/>
          </w:tcPr>
          <w:p w14:paraId="76259495"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3</w:t>
            </w:r>
          </w:p>
        </w:tc>
        <w:tc>
          <w:tcPr>
            <w:tcW w:w="1987" w:type="dxa"/>
            <w:tcBorders>
              <w:top w:val="nil"/>
              <w:left w:val="nil"/>
              <w:bottom w:val="single" w:sz="4" w:space="0" w:color="auto"/>
              <w:right w:val="single" w:sz="4" w:space="0" w:color="auto"/>
            </w:tcBorders>
            <w:shd w:val="clear" w:color="auto" w:fill="auto"/>
            <w:vAlign w:val="bottom"/>
            <w:hideMark/>
          </w:tcPr>
          <w:p w14:paraId="1AC21EC7" w14:textId="143D2252"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400</w:t>
            </w:r>
          </w:p>
        </w:tc>
        <w:tc>
          <w:tcPr>
            <w:tcW w:w="1480" w:type="dxa"/>
            <w:tcBorders>
              <w:top w:val="nil"/>
              <w:left w:val="nil"/>
              <w:bottom w:val="single" w:sz="4" w:space="0" w:color="auto"/>
              <w:right w:val="single" w:sz="4" w:space="0" w:color="auto"/>
            </w:tcBorders>
            <w:shd w:val="clear" w:color="auto" w:fill="auto"/>
            <w:vAlign w:val="bottom"/>
            <w:hideMark/>
          </w:tcPr>
          <w:p w14:paraId="24237B81" w14:textId="085A588B"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1 200</w:t>
            </w:r>
          </w:p>
        </w:tc>
      </w:tr>
      <w:tr w:rsidR="002C511A" w:rsidRPr="00BB473A" w14:paraId="357056C6" w14:textId="77777777" w:rsidTr="0086105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12F27898"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11</w:t>
            </w:r>
          </w:p>
        </w:tc>
        <w:tc>
          <w:tcPr>
            <w:tcW w:w="3158" w:type="dxa"/>
            <w:tcBorders>
              <w:top w:val="nil"/>
              <w:left w:val="nil"/>
              <w:bottom w:val="single" w:sz="4" w:space="0" w:color="auto"/>
              <w:right w:val="single" w:sz="4" w:space="0" w:color="auto"/>
            </w:tcBorders>
            <w:shd w:val="clear" w:color="auto" w:fill="auto"/>
            <w:vAlign w:val="bottom"/>
            <w:hideMark/>
          </w:tcPr>
          <w:p w14:paraId="7B090907"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N</w:t>
            </w:r>
            <w:r w:rsidRPr="00BB473A">
              <w:rPr>
                <w:rFonts w:ascii="Times New Roman" w:hAnsi="Times New Roman" w:cs="Times New Roman"/>
              </w:rPr>
              <w:t>erūsējošā metāla sterilo materiālu skapji</w:t>
            </w:r>
          </w:p>
        </w:tc>
        <w:tc>
          <w:tcPr>
            <w:tcW w:w="1701" w:type="dxa"/>
            <w:tcBorders>
              <w:top w:val="nil"/>
              <w:left w:val="nil"/>
              <w:bottom w:val="single" w:sz="4" w:space="0" w:color="auto"/>
              <w:right w:val="single" w:sz="4" w:space="0" w:color="auto"/>
            </w:tcBorders>
            <w:shd w:val="clear" w:color="auto" w:fill="auto"/>
            <w:vAlign w:val="center"/>
            <w:hideMark/>
          </w:tcPr>
          <w:p w14:paraId="24AC4763"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3</w:t>
            </w:r>
          </w:p>
        </w:tc>
        <w:tc>
          <w:tcPr>
            <w:tcW w:w="1987" w:type="dxa"/>
            <w:tcBorders>
              <w:top w:val="nil"/>
              <w:left w:val="nil"/>
              <w:bottom w:val="single" w:sz="4" w:space="0" w:color="auto"/>
              <w:right w:val="single" w:sz="4" w:space="0" w:color="auto"/>
            </w:tcBorders>
            <w:shd w:val="clear" w:color="auto" w:fill="auto"/>
            <w:vAlign w:val="bottom"/>
            <w:hideMark/>
          </w:tcPr>
          <w:p w14:paraId="003B77F6" w14:textId="0D037B2E"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1 500</w:t>
            </w:r>
          </w:p>
        </w:tc>
        <w:tc>
          <w:tcPr>
            <w:tcW w:w="1480" w:type="dxa"/>
            <w:tcBorders>
              <w:top w:val="nil"/>
              <w:left w:val="nil"/>
              <w:bottom w:val="single" w:sz="4" w:space="0" w:color="auto"/>
              <w:right w:val="single" w:sz="4" w:space="0" w:color="auto"/>
            </w:tcBorders>
            <w:shd w:val="clear" w:color="auto" w:fill="auto"/>
            <w:vAlign w:val="bottom"/>
            <w:hideMark/>
          </w:tcPr>
          <w:p w14:paraId="0475C76D" w14:textId="59994D68"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4 500</w:t>
            </w:r>
          </w:p>
        </w:tc>
      </w:tr>
      <w:tr w:rsidR="002C511A" w:rsidRPr="00BB473A" w14:paraId="6AEA1360" w14:textId="77777777" w:rsidTr="00861057">
        <w:trPr>
          <w:trHeight w:val="9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1BDB84B"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12</w:t>
            </w:r>
          </w:p>
        </w:tc>
        <w:tc>
          <w:tcPr>
            <w:tcW w:w="3158" w:type="dxa"/>
            <w:tcBorders>
              <w:top w:val="nil"/>
              <w:left w:val="nil"/>
              <w:bottom w:val="single" w:sz="4" w:space="0" w:color="auto"/>
              <w:right w:val="single" w:sz="4" w:space="0" w:color="auto"/>
            </w:tcBorders>
            <w:shd w:val="clear" w:color="auto" w:fill="auto"/>
            <w:vAlign w:val="bottom"/>
            <w:hideMark/>
          </w:tcPr>
          <w:p w14:paraId="5653D815"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K</w:t>
            </w:r>
            <w:r w:rsidRPr="00BB473A">
              <w:rPr>
                <w:rFonts w:ascii="Times New Roman" w:hAnsi="Times New Roman" w:cs="Times New Roman"/>
              </w:rPr>
              <w:t>omplekts -dators,  2 gb. monitori, 2gb. medicīniskās peles, 2gb. klaviatūras</w:t>
            </w:r>
          </w:p>
        </w:tc>
        <w:tc>
          <w:tcPr>
            <w:tcW w:w="1701" w:type="dxa"/>
            <w:tcBorders>
              <w:top w:val="nil"/>
              <w:left w:val="nil"/>
              <w:bottom w:val="single" w:sz="4" w:space="0" w:color="auto"/>
              <w:right w:val="single" w:sz="4" w:space="0" w:color="auto"/>
            </w:tcBorders>
            <w:shd w:val="clear" w:color="auto" w:fill="auto"/>
            <w:vAlign w:val="center"/>
            <w:hideMark/>
          </w:tcPr>
          <w:p w14:paraId="6995785D"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263786B7" w14:textId="693B6360"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1 600</w:t>
            </w:r>
          </w:p>
        </w:tc>
        <w:tc>
          <w:tcPr>
            <w:tcW w:w="1480" w:type="dxa"/>
            <w:tcBorders>
              <w:top w:val="nil"/>
              <w:left w:val="nil"/>
              <w:bottom w:val="single" w:sz="4" w:space="0" w:color="auto"/>
              <w:right w:val="single" w:sz="4" w:space="0" w:color="auto"/>
            </w:tcBorders>
            <w:shd w:val="clear" w:color="auto" w:fill="auto"/>
            <w:vAlign w:val="bottom"/>
            <w:hideMark/>
          </w:tcPr>
          <w:p w14:paraId="3B37E8C8" w14:textId="2660367D"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3 200</w:t>
            </w:r>
          </w:p>
        </w:tc>
      </w:tr>
      <w:tr w:rsidR="002C511A" w:rsidRPr="00BB473A" w14:paraId="00AC2B21"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0F63819"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13</w:t>
            </w:r>
          </w:p>
        </w:tc>
        <w:tc>
          <w:tcPr>
            <w:tcW w:w="3158" w:type="dxa"/>
            <w:tcBorders>
              <w:top w:val="nil"/>
              <w:left w:val="nil"/>
              <w:bottom w:val="single" w:sz="4" w:space="0" w:color="auto"/>
              <w:right w:val="single" w:sz="4" w:space="0" w:color="auto"/>
            </w:tcBorders>
            <w:shd w:val="clear" w:color="auto" w:fill="auto"/>
            <w:vAlign w:val="bottom"/>
            <w:hideMark/>
          </w:tcPr>
          <w:p w14:paraId="70D2D20C" w14:textId="56F3C6E6" w:rsidR="002C511A" w:rsidRPr="00BB473A" w:rsidRDefault="000100C5" w:rsidP="00B73022">
            <w:pPr>
              <w:spacing w:after="0" w:line="240" w:lineRule="auto"/>
              <w:jc w:val="both"/>
              <w:rPr>
                <w:rFonts w:ascii="Times New Roman" w:hAnsi="Times New Roman" w:cs="Times New Roman"/>
              </w:rPr>
            </w:pPr>
            <w:r>
              <w:rPr>
                <w:rFonts w:ascii="Times New Roman" w:hAnsi="Times New Roman" w:cs="Times New Roman"/>
              </w:rPr>
              <w:t>RTG priekšauti komplekts</w:t>
            </w:r>
          </w:p>
        </w:tc>
        <w:tc>
          <w:tcPr>
            <w:tcW w:w="1701" w:type="dxa"/>
            <w:tcBorders>
              <w:top w:val="nil"/>
              <w:left w:val="nil"/>
              <w:bottom w:val="single" w:sz="4" w:space="0" w:color="auto"/>
              <w:right w:val="single" w:sz="4" w:space="0" w:color="auto"/>
            </w:tcBorders>
            <w:shd w:val="clear" w:color="auto" w:fill="auto"/>
            <w:vAlign w:val="center"/>
            <w:hideMark/>
          </w:tcPr>
          <w:p w14:paraId="62D114B0"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6</w:t>
            </w:r>
          </w:p>
        </w:tc>
        <w:tc>
          <w:tcPr>
            <w:tcW w:w="1987" w:type="dxa"/>
            <w:tcBorders>
              <w:top w:val="nil"/>
              <w:left w:val="nil"/>
              <w:bottom w:val="single" w:sz="4" w:space="0" w:color="auto"/>
              <w:right w:val="single" w:sz="4" w:space="0" w:color="auto"/>
            </w:tcBorders>
            <w:shd w:val="clear" w:color="auto" w:fill="auto"/>
            <w:vAlign w:val="bottom"/>
            <w:hideMark/>
          </w:tcPr>
          <w:p w14:paraId="0A13875F"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433,33</w:t>
            </w:r>
          </w:p>
        </w:tc>
        <w:tc>
          <w:tcPr>
            <w:tcW w:w="1480" w:type="dxa"/>
            <w:tcBorders>
              <w:top w:val="nil"/>
              <w:left w:val="nil"/>
              <w:bottom w:val="single" w:sz="4" w:space="0" w:color="auto"/>
              <w:right w:val="single" w:sz="4" w:space="0" w:color="auto"/>
            </w:tcBorders>
            <w:shd w:val="clear" w:color="auto" w:fill="auto"/>
            <w:vAlign w:val="bottom"/>
            <w:hideMark/>
          </w:tcPr>
          <w:p w14:paraId="2A3CFC6A" w14:textId="5417205E"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2 600</w:t>
            </w:r>
          </w:p>
        </w:tc>
      </w:tr>
      <w:tr w:rsidR="002C511A" w:rsidRPr="00BB473A" w14:paraId="30AA9BCC"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7FF427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14</w:t>
            </w:r>
          </w:p>
        </w:tc>
        <w:tc>
          <w:tcPr>
            <w:tcW w:w="3158" w:type="dxa"/>
            <w:tcBorders>
              <w:top w:val="nil"/>
              <w:left w:val="nil"/>
              <w:bottom w:val="single" w:sz="4" w:space="0" w:color="auto"/>
              <w:right w:val="single" w:sz="4" w:space="0" w:color="auto"/>
            </w:tcBorders>
            <w:shd w:val="clear" w:color="auto" w:fill="auto"/>
            <w:vAlign w:val="bottom"/>
            <w:hideMark/>
          </w:tcPr>
          <w:p w14:paraId="46A4BE65"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Ķirurgu krēsli ar riteņiem</w:t>
            </w:r>
          </w:p>
        </w:tc>
        <w:tc>
          <w:tcPr>
            <w:tcW w:w="1701" w:type="dxa"/>
            <w:tcBorders>
              <w:top w:val="nil"/>
              <w:left w:val="nil"/>
              <w:bottom w:val="single" w:sz="4" w:space="0" w:color="auto"/>
              <w:right w:val="single" w:sz="4" w:space="0" w:color="auto"/>
            </w:tcBorders>
            <w:shd w:val="clear" w:color="auto" w:fill="auto"/>
            <w:vAlign w:val="center"/>
            <w:hideMark/>
          </w:tcPr>
          <w:p w14:paraId="392909B9"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7666E0A9" w14:textId="16419084"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1 600</w:t>
            </w:r>
          </w:p>
        </w:tc>
        <w:tc>
          <w:tcPr>
            <w:tcW w:w="1480" w:type="dxa"/>
            <w:tcBorders>
              <w:top w:val="nil"/>
              <w:left w:val="nil"/>
              <w:bottom w:val="single" w:sz="4" w:space="0" w:color="auto"/>
              <w:right w:val="single" w:sz="4" w:space="0" w:color="auto"/>
            </w:tcBorders>
            <w:shd w:val="clear" w:color="auto" w:fill="auto"/>
            <w:vAlign w:val="bottom"/>
            <w:hideMark/>
          </w:tcPr>
          <w:p w14:paraId="63C5A728" w14:textId="6C51CDAD"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3 200</w:t>
            </w:r>
          </w:p>
        </w:tc>
      </w:tr>
      <w:tr w:rsidR="002C511A" w:rsidRPr="00BB473A" w14:paraId="28019EC0" w14:textId="77777777" w:rsidTr="00861057">
        <w:trPr>
          <w:trHeight w:val="31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7BB07"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15</w:t>
            </w:r>
          </w:p>
        </w:tc>
        <w:tc>
          <w:tcPr>
            <w:tcW w:w="3158" w:type="dxa"/>
            <w:tcBorders>
              <w:top w:val="single" w:sz="4" w:space="0" w:color="auto"/>
              <w:left w:val="nil"/>
              <w:bottom w:val="single" w:sz="4" w:space="0" w:color="auto"/>
              <w:right w:val="single" w:sz="4" w:space="0" w:color="auto"/>
            </w:tcBorders>
            <w:shd w:val="clear" w:color="auto" w:fill="auto"/>
            <w:vAlign w:val="bottom"/>
            <w:hideMark/>
          </w:tcPr>
          <w:p w14:paraId="3B3EADD2"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Ķirurgu krēsli bez riteņiem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9F268E"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single" w:sz="4" w:space="0" w:color="auto"/>
              <w:left w:val="nil"/>
              <w:bottom w:val="single" w:sz="4" w:space="0" w:color="auto"/>
              <w:right w:val="single" w:sz="4" w:space="0" w:color="auto"/>
            </w:tcBorders>
            <w:shd w:val="clear" w:color="auto" w:fill="auto"/>
            <w:vAlign w:val="bottom"/>
            <w:hideMark/>
          </w:tcPr>
          <w:p w14:paraId="6A970A8C" w14:textId="194C48C1"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600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3F7C8B87" w14:textId="1E8FE4F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1 200</w:t>
            </w:r>
          </w:p>
        </w:tc>
      </w:tr>
      <w:tr w:rsidR="002C511A" w:rsidRPr="00BB473A" w14:paraId="333D1C6B" w14:textId="77777777" w:rsidTr="00861057">
        <w:trPr>
          <w:trHeight w:val="315"/>
          <w:jc w:val="center"/>
        </w:trPr>
        <w:tc>
          <w:tcPr>
            <w:tcW w:w="7374" w:type="dxa"/>
            <w:gridSpan w:val="4"/>
            <w:tcBorders>
              <w:top w:val="single" w:sz="4" w:space="0" w:color="auto"/>
              <w:left w:val="single" w:sz="4" w:space="0" w:color="auto"/>
              <w:bottom w:val="single" w:sz="4" w:space="0" w:color="auto"/>
              <w:right w:val="nil"/>
            </w:tcBorders>
            <w:shd w:val="clear" w:color="auto" w:fill="auto"/>
            <w:vAlign w:val="bottom"/>
            <w:hideMark/>
          </w:tcPr>
          <w:p w14:paraId="6133E405" w14:textId="77777777" w:rsidR="002C511A" w:rsidRPr="00BB473A" w:rsidRDefault="002C511A" w:rsidP="00B73022">
            <w:pPr>
              <w:spacing w:after="0" w:line="240" w:lineRule="auto"/>
              <w:rPr>
                <w:rFonts w:ascii="Calibri" w:eastAsia="Times New Roman" w:hAnsi="Calibri" w:cs="Calibri"/>
                <w:b/>
                <w:bCs/>
                <w:color w:val="000000"/>
                <w:lang w:eastAsia="lv-LV"/>
              </w:rPr>
            </w:pPr>
            <w:r w:rsidRPr="00BB473A">
              <w:rPr>
                <w:rFonts w:ascii="Times New Roman" w:hAnsi="Times New Roman" w:cs="Times New Roman"/>
                <w:b/>
              </w:rPr>
              <w:t>Operāciju zāles priekštelpai</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1EBF7D78" w14:textId="77777777" w:rsidR="002C511A" w:rsidRPr="00BB473A" w:rsidRDefault="002C511A" w:rsidP="00B73022">
            <w:pPr>
              <w:spacing w:after="0" w:line="240" w:lineRule="auto"/>
              <w:rPr>
                <w:rFonts w:ascii="Calibri" w:eastAsia="Times New Roman" w:hAnsi="Calibri" w:cs="Calibri"/>
                <w:b/>
                <w:bCs/>
                <w:color w:val="000000"/>
                <w:lang w:eastAsia="lv-LV"/>
              </w:rPr>
            </w:pPr>
            <w:r w:rsidRPr="00BB473A">
              <w:rPr>
                <w:rFonts w:ascii="Calibri" w:eastAsia="Times New Roman" w:hAnsi="Calibri" w:cs="Calibri"/>
                <w:b/>
                <w:bCs/>
                <w:color w:val="000000"/>
                <w:lang w:eastAsia="lv-LV"/>
              </w:rPr>
              <w:t> </w:t>
            </w:r>
          </w:p>
        </w:tc>
      </w:tr>
      <w:tr w:rsidR="002C511A" w:rsidRPr="00BB473A" w14:paraId="68F63E9D" w14:textId="77777777" w:rsidTr="00861057">
        <w:trPr>
          <w:trHeight w:val="31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7F4B6"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w:t>
            </w:r>
          </w:p>
        </w:tc>
        <w:tc>
          <w:tcPr>
            <w:tcW w:w="3158" w:type="dxa"/>
            <w:tcBorders>
              <w:top w:val="single" w:sz="4" w:space="0" w:color="auto"/>
              <w:left w:val="nil"/>
              <w:bottom w:val="single" w:sz="4" w:space="0" w:color="auto"/>
              <w:right w:val="single" w:sz="4" w:space="0" w:color="auto"/>
            </w:tcBorders>
            <w:shd w:val="clear" w:color="auto" w:fill="auto"/>
            <w:vAlign w:val="bottom"/>
            <w:hideMark/>
          </w:tcPr>
          <w:p w14:paraId="76F3BAA9"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xml:space="preserve">Pacientu transportēšanas rati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F4CEFB5"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10</w:t>
            </w:r>
          </w:p>
        </w:tc>
        <w:tc>
          <w:tcPr>
            <w:tcW w:w="1987" w:type="dxa"/>
            <w:tcBorders>
              <w:top w:val="single" w:sz="4" w:space="0" w:color="auto"/>
              <w:left w:val="nil"/>
              <w:bottom w:val="single" w:sz="4" w:space="0" w:color="auto"/>
              <w:right w:val="single" w:sz="4" w:space="0" w:color="auto"/>
            </w:tcBorders>
            <w:shd w:val="clear" w:color="auto" w:fill="auto"/>
            <w:vAlign w:val="bottom"/>
            <w:hideMark/>
          </w:tcPr>
          <w:p w14:paraId="4594FEF2" w14:textId="114F8AD6"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2 200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00055E10" w14:textId="338DE293"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22 000</w:t>
            </w:r>
          </w:p>
        </w:tc>
      </w:tr>
      <w:tr w:rsidR="002C511A" w:rsidRPr="00BB473A" w14:paraId="55A234D2" w14:textId="77777777" w:rsidTr="00861057">
        <w:trPr>
          <w:trHeight w:val="315"/>
          <w:jc w:val="center"/>
        </w:trPr>
        <w:tc>
          <w:tcPr>
            <w:tcW w:w="8854" w:type="dxa"/>
            <w:gridSpan w:val="5"/>
            <w:tcBorders>
              <w:top w:val="single" w:sz="4" w:space="0" w:color="auto"/>
              <w:left w:val="single" w:sz="4" w:space="0" w:color="auto"/>
              <w:bottom w:val="single" w:sz="4" w:space="0" w:color="auto"/>
              <w:right w:val="nil"/>
            </w:tcBorders>
            <w:shd w:val="clear" w:color="auto" w:fill="auto"/>
            <w:vAlign w:val="bottom"/>
            <w:hideMark/>
          </w:tcPr>
          <w:p w14:paraId="49CCECB8" w14:textId="77777777" w:rsidR="002C511A" w:rsidRPr="00BB473A" w:rsidRDefault="002C511A" w:rsidP="00B73022">
            <w:pPr>
              <w:spacing w:after="0" w:line="240" w:lineRule="auto"/>
              <w:rPr>
                <w:rFonts w:ascii="Times New Roman" w:hAnsi="Times New Roman" w:cs="Times New Roman"/>
                <w:b/>
              </w:rPr>
            </w:pPr>
            <w:r w:rsidRPr="00BB473A">
              <w:rPr>
                <w:rFonts w:ascii="Times New Roman" w:hAnsi="Times New Roman" w:cs="Times New Roman"/>
                <w:b/>
              </w:rPr>
              <w:t>Reanimācijas aprīkojums</w:t>
            </w:r>
          </w:p>
        </w:tc>
      </w:tr>
      <w:tr w:rsidR="002C511A" w:rsidRPr="00BB473A" w14:paraId="43C3CA5C"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AD13E4C"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w:t>
            </w:r>
          </w:p>
        </w:tc>
        <w:tc>
          <w:tcPr>
            <w:tcW w:w="3158" w:type="dxa"/>
            <w:tcBorders>
              <w:top w:val="nil"/>
              <w:left w:val="nil"/>
              <w:bottom w:val="single" w:sz="4" w:space="0" w:color="auto"/>
              <w:right w:val="single" w:sz="4" w:space="0" w:color="auto"/>
            </w:tcBorders>
            <w:shd w:val="clear" w:color="auto" w:fill="auto"/>
            <w:vAlign w:val="bottom"/>
            <w:hideMark/>
          </w:tcPr>
          <w:p w14:paraId="584FB39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Perfuzori</w:t>
            </w:r>
          </w:p>
        </w:tc>
        <w:tc>
          <w:tcPr>
            <w:tcW w:w="1701" w:type="dxa"/>
            <w:tcBorders>
              <w:top w:val="nil"/>
              <w:left w:val="nil"/>
              <w:bottom w:val="single" w:sz="4" w:space="0" w:color="auto"/>
              <w:right w:val="single" w:sz="4" w:space="0" w:color="auto"/>
            </w:tcBorders>
            <w:shd w:val="clear" w:color="auto" w:fill="auto"/>
            <w:vAlign w:val="bottom"/>
            <w:hideMark/>
          </w:tcPr>
          <w:p w14:paraId="04A87FDF"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4</w:t>
            </w:r>
          </w:p>
        </w:tc>
        <w:tc>
          <w:tcPr>
            <w:tcW w:w="1987" w:type="dxa"/>
            <w:tcBorders>
              <w:top w:val="nil"/>
              <w:left w:val="nil"/>
              <w:bottom w:val="single" w:sz="4" w:space="0" w:color="auto"/>
              <w:right w:val="single" w:sz="4" w:space="0" w:color="auto"/>
            </w:tcBorders>
            <w:shd w:val="clear" w:color="auto" w:fill="auto"/>
            <w:vAlign w:val="bottom"/>
            <w:hideMark/>
          </w:tcPr>
          <w:p w14:paraId="4F3E3858" w14:textId="6539E908"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1 000</w:t>
            </w:r>
          </w:p>
        </w:tc>
        <w:tc>
          <w:tcPr>
            <w:tcW w:w="1480" w:type="dxa"/>
            <w:tcBorders>
              <w:top w:val="nil"/>
              <w:left w:val="nil"/>
              <w:bottom w:val="single" w:sz="4" w:space="0" w:color="auto"/>
              <w:right w:val="single" w:sz="4" w:space="0" w:color="auto"/>
            </w:tcBorders>
            <w:shd w:val="clear" w:color="auto" w:fill="auto"/>
            <w:vAlign w:val="bottom"/>
            <w:hideMark/>
          </w:tcPr>
          <w:p w14:paraId="210479DD" w14:textId="79ADCA9E"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4 000</w:t>
            </w:r>
          </w:p>
        </w:tc>
      </w:tr>
      <w:tr w:rsidR="002C511A" w:rsidRPr="00BB473A" w14:paraId="16A2E8DB"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936F24E"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2</w:t>
            </w:r>
          </w:p>
        </w:tc>
        <w:tc>
          <w:tcPr>
            <w:tcW w:w="3158" w:type="dxa"/>
            <w:tcBorders>
              <w:top w:val="nil"/>
              <w:left w:val="nil"/>
              <w:bottom w:val="single" w:sz="4" w:space="0" w:color="auto"/>
              <w:right w:val="single" w:sz="4" w:space="0" w:color="auto"/>
            </w:tcBorders>
            <w:shd w:val="clear" w:color="auto" w:fill="auto"/>
            <w:vAlign w:val="bottom"/>
            <w:hideMark/>
          </w:tcPr>
          <w:p w14:paraId="5BFA6DBB"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Anestēzijas darba stacija</w:t>
            </w:r>
          </w:p>
        </w:tc>
        <w:tc>
          <w:tcPr>
            <w:tcW w:w="1701" w:type="dxa"/>
            <w:tcBorders>
              <w:top w:val="nil"/>
              <w:left w:val="nil"/>
              <w:bottom w:val="single" w:sz="4" w:space="0" w:color="auto"/>
              <w:right w:val="single" w:sz="4" w:space="0" w:color="auto"/>
            </w:tcBorders>
            <w:shd w:val="clear" w:color="auto" w:fill="auto"/>
            <w:vAlign w:val="bottom"/>
            <w:hideMark/>
          </w:tcPr>
          <w:p w14:paraId="31507F25"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782A6A9B" w14:textId="1B431320"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30 000</w:t>
            </w:r>
          </w:p>
        </w:tc>
        <w:tc>
          <w:tcPr>
            <w:tcW w:w="1480" w:type="dxa"/>
            <w:tcBorders>
              <w:top w:val="nil"/>
              <w:left w:val="nil"/>
              <w:bottom w:val="single" w:sz="4" w:space="0" w:color="auto"/>
              <w:right w:val="single" w:sz="4" w:space="0" w:color="auto"/>
            </w:tcBorders>
            <w:shd w:val="clear" w:color="auto" w:fill="auto"/>
            <w:vAlign w:val="bottom"/>
            <w:hideMark/>
          </w:tcPr>
          <w:p w14:paraId="0E48B70B" w14:textId="774172B0"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60 000</w:t>
            </w:r>
          </w:p>
        </w:tc>
      </w:tr>
      <w:tr w:rsidR="002C511A" w:rsidRPr="00BB473A" w14:paraId="01B63E83"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02CBD475"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3</w:t>
            </w:r>
          </w:p>
        </w:tc>
        <w:tc>
          <w:tcPr>
            <w:tcW w:w="3158" w:type="dxa"/>
            <w:tcBorders>
              <w:top w:val="nil"/>
              <w:left w:val="nil"/>
              <w:bottom w:val="single" w:sz="4" w:space="0" w:color="auto"/>
              <w:right w:val="single" w:sz="4" w:space="0" w:color="auto"/>
            </w:tcBorders>
            <w:shd w:val="clear" w:color="auto" w:fill="auto"/>
            <w:vAlign w:val="bottom"/>
            <w:hideMark/>
          </w:tcPr>
          <w:p w14:paraId="60A23723"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Sūknis</w:t>
            </w:r>
          </w:p>
        </w:tc>
        <w:tc>
          <w:tcPr>
            <w:tcW w:w="1701" w:type="dxa"/>
            <w:tcBorders>
              <w:top w:val="nil"/>
              <w:left w:val="nil"/>
              <w:bottom w:val="single" w:sz="4" w:space="0" w:color="auto"/>
              <w:right w:val="single" w:sz="4" w:space="0" w:color="auto"/>
            </w:tcBorders>
            <w:shd w:val="clear" w:color="auto" w:fill="auto"/>
            <w:vAlign w:val="bottom"/>
            <w:hideMark/>
          </w:tcPr>
          <w:p w14:paraId="4A2A211E"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3</w:t>
            </w:r>
          </w:p>
        </w:tc>
        <w:tc>
          <w:tcPr>
            <w:tcW w:w="1987" w:type="dxa"/>
            <w:tcBorders>
              <w:top w:val="nil"/>
              <w:left w:val="nil"/>
              <w:bottom w:val="single" w:sz="4" w:space="0" w:color="auto"/>
              <w:right w:val="single" w:sz="4" w:space="0" w:color="auto"/>
            </w:tcBorders>
            <w:shd w:val="clear" w:color="auto" w:fill="auto"/>
            <w:vAlign w:val="bottom"/>
            <w:hideMark/>
          </w:tcPr>
          <w:p w14:paraId="4D455FDA" w14:textId="24D9AF64"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1 500</w:t>
            </w:r>
          </w:p>
        </w:tc>
        <w:tc>
          <w:tcPr>
            <w:tcW w:w="1480" w:type="dxa"/>
            <w:tcBorders>
              <w:top w:val="nil"/>
              <w:left w:val="nil"/>
              <w:bottom w:val="single" w:sz="4" w:space="0" w:color="auto"/>
              <w:right w:val="single" w:sz="4" w:space="0" w:color="auto"/>
            </w:tcBorders>
            <w:shd w:val="clear" w:color="auto" w:fill="auto"/>
            <w:vAlign w:val="bottom"/>
            <w:hideMark/>
          </w:tcPr>
          <w:p w14:paraId="797B13DF" w14:textId="4E2A6712"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4 500</w:t>
            </w:r>
          </w:p>
        </w:tc>
      </w:tr>
      <w:tr w:rsidR="002C511A" w:rsidRPr="00BB473A" w14:paraId="0633853F"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788DBAA"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4</w:t>
            </w:r>
          </w:p>
        </w:tc>
        <w:tc>
          <w:tcPr>
            <w:tcW w:w="3158" w:type="dxa"/>
            <w:tcBorders>
              <w:top w:val="nil"/>
              <w:left w:val="nil"/>
              <w:bottom w:val="single" w:sz="4" w:space="0" w:color="auto"/>
              <w:right w:val="single" w:sz="4" w:space="0" w:color="auto"/>
            </w:tcBorders>
            <w:shd w:val="clear" w:color="auto" w:fill="auto"/>
            <w:vAlign w:val="bottom"/>
            <w:hideMark/>
          </w:tcPr>
          <w:p w14:paraId="685FEBD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Monitori pacientu novērošanai</w:t>
            </w:r>
          </w:p>
        </w:tc>
        <w:tc>
          <w:tcPr>
            <w:tcW w:w="1701" w:type="dxa"/>
            <w:tcBorders>
              <w:top w:val="nil"/>
              <w:left w:val="nil"/>
              <w:bottom w:val="single" w:sz="4" w:space="0" w:color="auto"/>
              <w:right w:val="single" w:sz="4" w:space="0" w:color="auto"/>
            </w:tcBorders>
            <w:shd w:val="clear" w:color="auto" w:fill="auto"/>
            <w:vAlign w:val="bottom"/>
            <w:hideMark/>
          </w:tcPr>
          <w:p w14:paraId="42E6805A"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4</w:t>
            </w:r>
          </w:p>
        </w:tc>
        <w:tc>
          <w:tcPr>
            <w:tcW w:w="1987" w:type="dxa"/>
            <w:tcBorders>
              <w:top w:val="nil"/>
              <w:left w:val="nil"/>
              <w:bottom w:val="single" w:sz="4" w:space="0" w:color="auto"/>
              <w:right w:val="single" w:sz="4" w:space="0" w:color="auto"/>
            </w:tcBorders>
            <w:shd w:val="clear" w:color="auto" w:fill="auto"/>
            <w:vAlign w:val="bottom"/>
            <w:hideMark/>
          </w:tcPr>
          <w:p w14:paraId="1FD6C4DB" w14:textId="4BC0EBEA"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1 000</w:t>
            </w:r>
          </w:p>
        </w:tc>
        <w:tc>
          <w:tcPr>
            <w:tcW w:w="1480" w:type="dxa"/>
            <w:tcBorders>
              <w:top w:val="nil"/>
              <w:left w:val="nil"/>
              <w:bottom w:val="single" w:sz="4" w:space="0" w:color="auto"/>
              <w:right w:val="single" w:sz="4" w:space="0" w:color="auto"/>
            </w:tcBorders>
            <w:shd w:val="clear" w:color="auto" w:fill="auto"/>
            <w:vAlign w:val="bottom"/>
            <w:hideMark/>
          </w:tcPr>
          <w:p w14:paraId="0D4AB5F7" w14:textId="432749B2"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4 000</w:t>
            </w:r>
          </w:p>
        </w:tc>
      </w:tr>
      <w:tr w:rsidR="002C511A" w:rsidRPr="00BB473A" w14:paraId="5843794F"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018B846D"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5</w:t>
            </w:r>
          </w:p>
        </w:tc>
        <w:tc>
          <w:tcPr>
            <w:tcW w:w="3158" w:type="dxa"/>
            <w:tcBorders>
              <w:top w:val="nil"/>
              <w:left w:val="nil"/>
              <w:bottom w:val="single" w:sz="4" w:space="0" w:color="auto"/>
              <w:right w:val="single" w:sz="4" w:space="0" w:color="auto"/>
            </w:tcBorders>
            <w:shd w:val="clear" w:color="auto" w:fill="auto"/>
            <w:vAlign w:val="bottom"/>
            <w:hideMark/>
          </w:tcPr>
          <w:p w14:paraId="60640876"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Monitors operblokā</w:t>
            </w:r>
          </w:p>
        </w:tc>
        <w:tc>
          <w:tcPr>
            <w:tcW w:w="1701" w:type="dxa"/>
            <w:tcBorders>
              <w:top w:val="nil"/>
              <w:left w:val="nil"/>
              <w:bottom w:val="single" w:sz="4" w:space="0" w:color="auto"/>
              <w:right w:val="single" w:sz="4" w:space="0" w:color="auto"/>
            </w:tcBorders>
            <w:shd w:val="clear" w:color="auto" w:fill="auto"/>
            <w:vAlign w:val="bottom"/>
            <w:hideMark/>
          </w:tcPr>
          <w:p w14:paraId="78A57FEA"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002932A4" w14:textId="55431BC3"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15 000</w:t>
            </w:r>
          </w:p>
        </w:tc>
        <w:tc>
          <w:tcPr>
            <w:tcW w:w="1480" w:type="dxa"/>
            <w:tcBorders>
              <w:top w:val="nil"/>
              <w:left w:val="nil"/>
              <w:bottom w:val="single" w:sz="4" w:space="0" w:color="auto"/>
              <w:right w:val="single" w:sz="4" w:space="0" w:color="auto"/>
            </w:tcBorders>
            <w:shd w:val="clear" w:color="auto" w:fill="auto"/>
            <w:vAlign w:val="bottom"/>
            <w:hideMark/>
          </w:tcPr>
          <w:p w14:paraId="47887028" w14:textId="0A8CE97A"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15 000</w:t>
            </w:r>
          </w:p>
        </w:tc>
      </w:tr>
      <w:tr w:rsidR="002C511A" w:rsidRPr="00BB473A" w14:paraId="5FFAD883"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2F91BE91"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6</w:t>
            </w:r>
          </w:p>
        </w:tc>
        <w:tc>
          <w:tcPr>
            <w:tcW w:w="3158" w:type="dxa"/>
            <w:tcBorders>
              <w:top w:val="nil"/>
              <w:left w:val="nil"/>
              <w:bottom w:val="single" w:sz="4" w:space="0" w:color="auto"/>
              <w:right w:val="single" w:sz="4" w:space="0" w:color="auto"/>
            </w:tcBorders>
            <w:shd w:val="clear" w:color="auto" w:fill="auto"/>
            <w:vAlign w:val="bottom"/>
            <w:hideMark/>
          </w:tcPr>
          <w:p w14:paraId="0548859D"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Defibrilātors</w:t>
            </w:r>
          </w:p>
        </w:tc>
        <w:tc>
          <w:tcPr>
            <w:tcW w:w="1701" w:type="dxa"/>
            <w:tcBorders>
              <w:top w:val="nil"/>
              <w:left w:val="nil"/>
              <w:bottom w:val="single" w:sz="4" w:space="0" w:color="auto"/>
              <w:right w:val="single" w:sz="4" w:space="0" w:color="auto"/>
            </w:tcBorders>
            <w:shd w:val="clear" w:color="auto" w:fill="auto"/>
            <w:vAlign w:val="bottom"/>
            <w:hideMark/>
          </w:tcPr>
          <w:p w14:paraId="4A3A8FB5"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43A7EB05" w14:textId="347C391F"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10 000</w:t>
            </w:r>
          </w:p>
        </w:tc>
        <w:tc>
          <w:tcPr>
            <w:tcW w:w="1480" w:type="dxa"/>
            <w:tcBorders>
              <w:top w:val="nil"/>
              <w:left w:val="nil"/>
              <w:bottom w:val="single" w:sz="4" w:space="0" w:color="auto"/>
              <w:right w:val="single" w:sz="4" w:space="0" w:color="auto"/>
            </w:tcBorders>
            <w:shd w:val="clear" w:color="auto" w:fill="auto"/>
            <w:vAlign w:val="bottom"/>
            <w:hideMark/>
          </w:tcPr>
          <w:p w14:paraId="1BEFF79C" w14:textId="1CA82917"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10 000</w:t>
            </w:r>
          </w:p>
        </w:tc>
      </w:tr>
      <w:tr w:rsidR="002C511A" w:rsidRPr="00BB473A" w14:paraId="5537C27A"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551065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7</w:t>
            </w:r>
          </w:p>
        </w:tc>
        <w:tc>
          <w:tcPr>
            <w:tcW w:w="3158" w:type="dxa"/>
            <w:tcBorders>
              <w:top w:val="nil"/>
              <w:left w:val="nil"/>
              <w:bottom w:val="single" w:sz="4" w:space="0" w:color="auto"/>
              <w:right w:val="single" w:sz="4" w:space="0" w:color="auto"/>
            </w:tcBorders>
            <w:shd w:val="clear" w:color="auto" w:fill="auto"/>
            <w:vAlign w:val="bottom"/>
            <w:hideMark/>
          </w:tcPr>
          <w:p w14:paraId="006BF40C"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Galdiņi pamošanas telpai</w:t>
            </w:r>
          </w:p>
        </w:tc>
        <w:tc>
          <w:tcPr>
            <w:tcW w:w="1701" w:type="dxa"/>
            <w:tcBorders>
              <w:top w:val="nil"/>
              <w:left w:val="nil"/>
              <w:bottom w:val="single" w:sz="4" w:space="0" w:color="auto"/>
              <w:right w:val="single" w:sz="4" w:space="0" w:color="auto"/>
            </w:tcBorders>
            <w:shd w:val="clear" w:color="auto" w:fill="auto"/>
            <w:vAlign w:val="bottom"/>
            <w:hideMark/>
          </w:tcPr>
          <w:p w14:paraId="487E20B0"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6</w:t>
            </w:r>
          </w:p>
        </w:tc>
        <w:tc>
          <w:tcPr>
            <w:tcW w:w="1987" w:type="dxa"/>
            <w:tcBorders>
              <w:top w:val="nil"/>
              <w:left w:val="nil"/>
              <w:bottom w:val="single" w:sz="4" w:space="0" w:color="auto"/>
              <w:right w:val="single" w:sz="4" w:space="0" w:color="auto"/>
            </w:tcBorders>
            <w:shd w:val="clear" w:color="auto" w:fill="auto"/>
            <w:vAlign w:val="bottom"/>
            <w:hideMark/>
          </w:tcPr>
          <w:p w14:paraId="29B8DFD9" w14:textId="7A3D0E20"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1 200</w:t>
            </w:r>
          </w:p>
        </w:tc>
        <w:tc>
          <w:tcPr>
            <w:tcW w:w="1480" w:type="dxa"/>
            <w:tcBorders>
              <w:top w:val="nil"/>
              <w:left w:val="nil"/>
              <w:bottom w:val="single" w:sz="4" w:space="0" w:color="auto"/>
              <w:right w:val="single" w:sz="4" w:space="0" w:color="auto"/>
            </w:tcBorders>
            <w:shd w:val="clear" w:color="auto" w:fill="auto"/>
            <w:vAlign w:val="bottom"/>
            <w:hideMark/>
          </w:tcPr>
          <w:p w14:paraId="347059F4" w14:textId="1353D95D"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7 200</w:t>
            </w:r>
          </w:p>
        </w:tc>
      </w:tr>
      <w:tr w:rsidR="002C511A" w:rsidRPr="00BB473A" w14:paraId="03FDB171"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572C9E2E"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8</w:t>
            </w:r>
          </w:p>
        </w:tc>
        <w:tc>
          <w:tcPr>
            <w:tcW w:w="3158" w:type="dxa"/>
            <w:tcBorders>
              <w:top w:val="nil"/>
              <w:left w:val="nil"/>
              <w:bottom w:val="single" w:sz="4" w:space="0" w:color="auto"/>
              <w:right w:val="single" w:sz="4" w:space="0" w:color="auto"/>
            </w:tcBorders>
            <w:shd w:val="clear" w:color="auto" w:fill="auto"/>
            <w:vAlign w:val="bottom"/>
            <w:hideMark/>
          </w:tcPr>
          <w:p w14:paraId="65BD3F13"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Galdiņš anestēzijas piederumiem</w:t>
            </w:r>
          </w:p>
        </w:tc>
        <w:tc>
          <w:tcPr>
            <w:tcW w:w="1701" w:type="dxa"/>
            <w:tcBorders>
              <w:top w:val="nil"/>
              <w:left w:val="nil"/>
              <w:bottom w:val="single" w:sz="4" w:space="0" w:color="auto"/>
              <w:right w:val="single" w:sz="4" w:space="0" w:color="auto"/>
            </w:tcBorders>
            <w:shd w:val="clear" w:color="auto" w:fill="auto"/>
            <w:vAlign w:val="bottom"/>
            <w:hideMark/>
          </w:tcPr>
          <w:p w14:paraId="2829991D"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5EE3C5E0" w14:textId="12C68274"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15 000</w:t>
            </w:r>
          </w:p>
        </w:tc>
        <w:tc>
          <w:tcPr>
            <w:tcW w:w="1480" w:type="dxa"/>
            <w:tcBorders>
              <w:top w:val="nil"/>
              <w:left w:val="nil"/>
              <w:bottom w:val="single" w:sz="4" w:space="0" w:color="auto"/>
              <w:right w:val="single" w:sz="4" w:space="0" w:color="auto"/>
            </w:tcBorders>
            <w:shd w:val="clear" w:color="auto" w:fill="auto"/>
            <w:vAlign w:val="bottom"/>
            <w:hideMark/>
          </w:tcPr>
          <w:p w14:paraId="632B0222" w14:textId="6487626C"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15 000</w:t>
            </w:r>
          </w:p>
        </w:tc>
      </w:tr>
      <w:tr w:rsidR="002C511A" w:rsidRPr="00BB473A" w14:paraId="54A233D7" w14:textId="77777777" w:rsidTr="00861057">
        <w:trPr>
          <w:trHeight w:val="9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68CDC6C"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9</w:t>
            </w:r>
          </w:p>
        </w:tc>
        <w:tc>
          <w:tcPr>
            <w:tcW w:w="3158" w:type="dxa"/>
            <w:tcBorders>
              <w:top w:val="nil"/>
              <w:left w:val="nil"/>
              <w:bottom w:val="single" w:sz="4" w:space="0" w:color="auto"/>
              <w:right w:val="single" w:sz="4" w:space="0" w:color="auto"/>
            </w:tcBorders>
            <w:shd w:val="clear" w:color="auto" w:fill="auto"/>
            <w:vAlign w:val="bottom"/>
            <w:hideMark/>
          </w:tcPr>
          <w:p w14:paraId="54F0E0B1"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Automatizētu infūzu terapijas staciju, perfuzoru un infūzijas sūkņu piegāde</w:t>
            </w:r>
          </w:p>
        </w:tc>
        <w:tc>
          <w:tcPr>
            <w:tcW w:w="1701" w:type="dxa"/>
            <w:tcBorders>
              <w:top w:val="nil"/>
              <w:left w:val="nil"/>
              <w:bottom w:val="single" w:sz="4" w:space="0" w:color="auto"/>
              <w:right w:val="single" w:sz="4" w:space="0" w:color="auto"/>
            </w:tcBorders>
            <w:shd w:val="clear" w:color="auto" w:fill="auto"/>
            <w:vAlign w:val="bottom"/>
            <w:hideMark/>
          </w:tcPr>
          <w:p w14:paraId="37E8CEC0"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79507D87" w14:textId="38D7B19C"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5 000</w:t>
            </w:r>
          </w:p>
        </w:tc>
        <w:tc>
          <w:tcPr>
            <w:tcW w:w="1480" w:type="dxa"/>
            <w:tcBorders>
              <w:top w:val="nil"/>
              <w:left w:val="nil"/>
              <w:bottom w:val="single" w:sz="4" w:space="0" w:color="auto"/>
              <w:right w:val="single" w:sz="4" w:space="0" w:color="auto"/>
            </w:tcBorders>
            <w:shd w:val="clear" w:color="auto" w:fill="auto"/>
            <w:vAlign w:val="bottom"/>
            <w:hideMark/>
          </w:tcPr>
          <w:p w14:paraId="1FECA5D2" w14:textId="45C5887C"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5 000</w:t>
            </w:r>
          </w:p>
        </w:tc>
      </w:tr>
      <w:tr w:rsidR="002C511A" w:rsidRPr="00BB473A" w14:paraId="4F650C84"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DABB50A"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10</w:t>
            </w:r>
          </w:p>
        </w:tc>
        <w:tc>
          <w:tcPr>
            <w:tcW w:w="3158" w:type="dxa"/>
            <w:tcBorders>
              <w:top w:val="nil"/>
              <w:left w:val="nil"/>
              <w:bottom w:val="single" w:sz="4" w:space="0" w:color="auto"/>
              <w:right w:val="single" w:sz="4" w:space="0" w:color="auto"/>
            </w:tcBorders>
            <w:shd w:val="clear" w:color="auto" w:fill="auto"/>
            <w:vAlign w:val="bottom"/>
            <w:hideMark/>
          </w:tcPr>
          <w:p w14:paraId="6F4D3D16"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Pacientu sildītājs</w:t>
            </w:r>
          </w:p>
        </w:tc>
        <w:tc>
          <w:tcPr>
            <w:tcW w:w="1701" w:type="dxa"/>
            <w:tcBorders>
              <w:top w:val="nil"/>
              <w:left w:val="nil"/>
              <w:bottom w:val="single" w:sz="4" w:space="0" w:color="auto"/>
              <w:right w:val="single" w:sz="4" w:space="0" w:color="auto"/>
            </w:tcBorders>
            <w:shd w:val="clear" w:color="auto" w:fill="auto"/>
            <w:vAlign w:val="bottom"/>
            <w:hideMark/>
          </w:tcPr>
          <w:p w14:paraId="012D69F6"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5</w:t>
            </w:r>
          </w:p>
        </w:tc>
        <w:tc>
          <w:tcPr>
            <w:tcW w:w="1987" w:type="dxa"/>
            <w:tcBorders>
              <w:top w:val="nil"/>
              <w:left w:val="nil"/>
              <w:bottom w:val="single" w:sz="4" w:space="0" w:color="auto"/>
              <w:right w:val="single" w:sz="4" w:space="0" w:color="auto"/>
            </w:tcBorders>
            <w:shd w:val="clear" w:color="auto" w:fill="auto"/>
            <w:vAlign w:val="bottom"/>
            <w:hideMark/>
          </w:tcPr>
          <w:p w14:paraId="4646A44F" w14:textId="4611DC95"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1 000</w:t>
            </w:r>
          </w:p>
        </w:tc>
        <w:tc>
          <w:tcPr>
            <w:tcW w:w="1480" w:type="dxa"/>
            <w:tcBorders>
              <w:top w:val="nil"/>
              <w:left w:val="nil"/>
              <w:bottom w:val="single" w:sz="4" w:space="0" w:color="auto"/>
              <w:right w:val="single" w:sz="4" w:space="0" w:color="auto"/>
            </w:tcBorders>
            <w:shd w:val="clear" w:color="auto" w:fill="auto"/>
            <w:vAlign w:val="bottom"/>
            <w:hideMark/>
          </w:tcPr>
          <w:p w14:paraId="1F1A4F68" w14:textId="36480A4F"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5 000</w:t>
            </w:r>
          </w:p>
        </w:tc>
      </w:tr>
      <w:tr w:rsidR="002C511A" w:rsidRPr="00BB473A" w14:paraId="79318095" w14:textId="77777777" w:rsidTr="00861057">
        <w:trPr>
          <w:trHeight w:val="300"/>
          <w:jc w:val="center"/>
        </w:trPr>
        <w:tc>
          <w:tcPr>
            <w:tcW w:w="3686" w:type="dxa"/>
            <w:gridSpan w:val="2"/>
            <w:tcBorders>
              <w:top w:val="single" w:sz="4" w:space="0" w:color="auto"/>
              <w:left w:val="single" w:sz="4" w:space="0" w:color="auto"/>
              <w:bottom w:val="single" w:sz="4" w:space="0" w:color="auto"/>
              <w:right w:val="nil"/>
            </w:tcBorders>
            <w:shd w:val="clear" w:color="auto" w:fill="auto"/>
            <w:vAlign w:val="bottom"/>
            <w:hideMark/>
          </w:tcPr>
          <w:p w14:paraId="729E0595" w14:textId="77777777" w:rsidR="002C511A" w:rsidRPr="00BB473A" w:rsidRDefault="002C511A" w:rsidP="00B73022">
            <w:pPr>
              <w:spacing w:after="0" w:line="240" w:lineRule="auto"/>
              <w:rPr>
                <w:rFonts w:ascii="Times New Roman" w:eastAsia="Times New Roman" w:hAnsi="Times New Roman" w:cs="Times New Roman"/>
                <w:b/>
                <w:bCs/>
                <w:lang w:eastAsia="lv-LV"/>
              </w:rPr>
            </w:pPr>
            <w:r w:rsidRPr="00AE1010">
              <w:rPr>
                <w:rFonts w:ascii="Times New Roman" w:hAnsi="Times New Roman" w:cs="Times New Roman"/>
                <w:b/>
              </w:rPr>
              <w:t>Pārvietojamās iekārtas k</w:t>
            </w:r>
            <w:r w:rsidRPr="00BB473A">
              <w:rPr>
                <w:rFonts w:ascii="Times New Roman" w:eastAsia="Times New Roman" w:hAnsi="Times New Roman" w:cs="Times New Roman"/>
                <w:b/>
                <w:bCs/>
                <w:lang w:eastAsia="lv-LV"/>
              </w:rPr>
              <w:t>opā</w:t>
            </w:r>
          </w:p>
        </w:tc>
        <w:tc>
          <w:tcPr>
            <w:tcW w:w="1701" w:type="dxa"/>
            <w:tcBorders>
              <w:top w:val="single" w:sz="4" w:space="0" w:color="auto"/>
              <w:left w:val="nil"/>
              <w:bottom w:val="single" w:sz="4" w:space="0" w:color="auto"/>
              <w:right w:val="nil"/>
            </w:tcBorders>
            <w:shd w:val="clear" w:color="auto" w:fill="auto"/>
            <w:vAlign w:val="bottom"/>
            <w:hideMark/>
          </w:tcPr>
          <w:p w14:paraId="334918F8" w14:textId="77777777" w:rsidR="002C511A" w:rsidRPr="00BB473A" w:rsidRDefault="002C511A" w:rsidP="00B73022">
            <w:pPr>
              <w:spacing w:after="0" w:line="240" w:lineRule="auto"/>
              <w:rPr>
                <w:rFonts w:ascii="Times New Roman" w:eastAsia="Times New Roman" w:hAnsi="Times New Roman" w:cs="Times New Roman"/>
                <w:b/>
                <w:bCs/>
                <w:lang w:eastAsia="lv-LV"/>
              </w:rPr>
            </w:pPr>
          </w:p>
        </w:tc>
        <w:tc>
          <w:tcPr>
            <w:tcW w:w="1987" w:type="dxa"/>
            <w:tcBorders>
              <w:top w:val="single" w:sz="4" w:space="0" w:color="auto"/>
              <w:left w:val="nil"/>
              <w:bottom w:val="single" w:sz="4" w:space="0" w:color="auto"/>
              <w:right w:val="single" w:sz="4" w:space="0" w:color="auto"/>
            </w:tcBorders>
            <w:shd w:val="clear" w:color="auto" w:fill="auto"/>
            <w:vAlign w:val="bottom"/>
            <w:hideMark/>
          </w:tcPr>
          <w:p w14:paraId="164FB50B" w14:textId="77777777" w:rsidR="002C511A" w:rsidRPr="00BB473A" w:rsidRDefault="002C511A" w:rsidP="00002C86">
            <w:pPr>
              <w:spacing w:after="0" w:line="240" w:lineRule="auto"/>
              <w:jc w:val="center"/>
              <w:rPr>
                <w:rFonts w:ascii="Times New Roman" w:eastAsia="Times New Roman" w:hAnsi="Times New Roman" w:cs="Times New Roman"/>
                <w:sz w:val="20"/>
                <w:szCs w:val="20"/>
                <w:lang w:eastAsia="lv-LV"/>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11D66" w14:textId="04C04BCC" w:rsidR="002C511A" w:rsidRPr="00BB473A" w:rsidRDefault="002C511A" w:rsidP="00002C86">
            <w:pPr>
              <w:spacing w:after="0" w:line="240" w:lineRule="auto"/>
              <w:jc w:val="center"/>
              <w:rPr>
                <w:rFonts w:ascii="Times New Roman" w:eastAsia="Times New Roman" w:hAnsi="Times New Roman" w:cs="Times New Roman"/>
                <w:b/>
                <w:bCs/>
                <w:lang w:eastAsia="lv-LV"/>
              </w:rPr>
            </w:pPr>
            <w:r w:rsidRPr="00BB473A">
              <w:rPr>
                <w:rFonts w:ascii="Times New Roman" w:eastAsia="Times New Roman" w:hAnsi="Times New Roman" w:cs="Times New Roman"/>
                <w:b/>
                <w:bCs/>
                <w:lang w:eastAsia="lv-LV"/>
              </w:rPr>
              <w:t>352 000</w:t>
            </w:r>
          </w:p>
        </w:tc>
      </w:tr>
      <w:tr w:rsidR="002C511A" w:rsidRPr="00BB473A" w14:paraId="7E07643E" w14:textId="77777777" w:rsidTr="00FA6424">
        <w:trPr>
          <w:trHeight w:val="300"/>
          <w:jc w:val="center"/>
        </w:trPr>
        <w:tc>
          <w:tcPr>
            <w:tcW w:w="8854" w:type="dxa"/>
            <w:gridSpan w:val="5"/>
            <w:tcBorders>
              <w:top w:val="single" w:sz="4" w:space="0" w:color="auto"/>
              <w:left w:val="nil"/>
              <w:bottom w:val="nil"/>
              <w:right w:val="nil"/>
            </w:tcBorders>
            <w:shd w:val="clear" w:color="auto" w:fill="auto"/>
            <w:noWrap/>
            <w:vAlign w:val="bottom"/>
          </w:tcPr>
          <w:p w14:paraId="79E269F2" w14:textId="77777777" w:rsidR="002C511A" w:rsidRPr="00BB473A" w:rsidRDefault="002C511A" w:rsidP="00B73022">
            <w:pPr>
              <w:spacing w:after="0" w:line="240" w:lineRule="auto"/>
              <w:rPr>
                <w:rFonts w:ascii="Times New Roman" w:eastAsia="Times New Roman" w:hAnsi="Times New Roman" w:cs="Times New Roman"/>
                <w:sz w:val="20"/>
                <w:szCs w:val="20"/>
                <w:lang w:eastAsia="lv-LV"/>
              </w:rPr>
            </w:pPr>
          </w:p>
        </w:tc>
      </w:tr>
    </w:tbl>
    <w:p w14:paraId="6F45F47F" w14:textId="77777777" w:rsidR="002C511A" w:rsidRPr="00847710" w:rsidRDefault="002C511A" w:rsidP="64AB90BD">
      <w:pPr>
        <w:shd w:val="clear" w:color="auto" w:fill="FFFFFF" w:themeFill="background1"/>
        <w:spacing w:after="120"/>
        <w:ind w:firstLine="720"/>
        <w:jc w:val="both"/>
        <w:textAlignment w:val="baseline"/>
        <w:rPr>
          <w:rFonts w:ascii="Times New Roman" w:hAnsi="Times New Roman" w:cs="Times New Roman"/>
          <w:sz w:val="24"/>
          <w:szCs w:val="24"/>
        </w:rPr>
      </w:pPr>
    </w:p>
    <w:p w14:paraId="549D60D3" w14:textId="6B2E8223" w:rsidR="00E37BCC" w:rsidRDefault="0071331A" w:rsidP="003C6F39">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1</w:t>
      </w:r>
      <w:r w:rsidR="002B4027" w:rsidRPr="0012317D">
        <w:rPr>
          <w:rFonts w:ascii="Times New Roman" w:hAnsi="Times New Roman" w:cs="Times New Roman"/>
          <w:b/>
          <w:bCs/>
          <w:color w:val="auto"/>
          <w:sz w:val="24"/>
          <w:szCs w:val="24"/>
          <w:u w:val="single"/>
        </w:rPr>
        <w:t>.</w:t>
      </w:r>
      <w:r w:rsidR="00BE132B">
        <w:rPr>
          <w:rFonts w:ascii="Times New Roman" w:hAnsi="Times New Roman" w:cs="Times New Roman"/>
          <w:b/>
          <w:bCs/>
          <w:color w:val="auto"/>
          <w:sz w:val="24"/>
          <w:szCs w:val="24"/>
          <w:u w:val="single"/>
        </w:rPr>
        <w:t>6</w:t>
      </w:r>
      <w:r w:rsidR="002B4027" w:rsidRPr="0012317D">
        <w:rPr>
          <w:rFonts w:ascii="Times New Roman" w:hAnsi="Times New Roman" w:cs="Times New Roman"/>
          <w:b/>
          <w:bCs/>
          <w:color w:val="auto"/>
          <w:sz w:val="24"/>
          <w:szCs w:val="24"/>
          <w:u w:val="single"/>
        </w:rPr>
        <w:t xml:space="preserve">. </w:t>
      </w:r>
      <w:r w:rsidR="00784CDF">
        <w:rPr>
          <w:rFonts w:ascii="Times New Roman" w:hAnsi="Times New Roman" w:cs="Times New Roman"/>
          <w:b/>
          <w:bCs/>
          <w:color w:val="auto"/>
          <w:sz w:val="24"/>
          <w:szCs w:val="24"/>
          <w:u w:val="single"/>
        </w:rPr>
        <w:t>D</w:t>
      </w:r>
      <w:r w:rsidRPr="0078437D">
        <w:rPr>
          <w:rFonts w:ascii="Times New Roman" w:hAnsi="Times New Roman" w:cs="Times New Roman"/>
          <w:b/>
          <w:bCs/>
          <w:color w:val="auto"/>
          <w:sz w:val="24"/>
          <w:szCs w:val="24"/>
          <w:u w:val="single"/>
        </w:rPr>
        <w:t>arbnespējas saīsināšana un pasākumi prognozējamās invaliditātes novēršanai ar mērķi novērst ilgstošu slimošanu personām darbspējīgā vecumā</w:t>
      </w:r>
    </w:p>
    <w:p w14:paraId="6A13DF9D" w14:textId="218B40CF" w:rsidR="00A4798C" w:rsidRPr="00E93259" w:rsidRDefault="00A4798C" w:rsidP="00E93259">
      <w:pPr>
        <w:rPr>
          <w:rFonts w:ascii="Times New Roman" w:hAnsi="Times New Roman" w:cs="Times New Roman"/>
          <w:sz w:val="24"/>
          <w:szCs w:val="24"/>
        </w:rPr>
      </w:pPr>
      <w:r w:rsidRPr="00E93259">
        <w:rPr>
          <w:rFonts w:ascii="Times New Roman" w:hAnsi="Times New Roman" w:cs="Times New Roman"/>
          <w:sz w:val="24"/>
          <w:szCs w:val="24"/>
        </w:rPr>
        <w:t>1.</w:t>
      </w:r>
      <w:r w:rsidR="00BE132B">
        <w:rPr>
          <w:rFonts w:ascii="Times New Roman" w:hAnsi="Times New Roman" w:cs="Times New Roman"/>
          <w:sz w:val="24"/>
          <w:szCs w:val="24"/>
        </w:rPr>
        <w:t>6</w:t>
      </w:r>
      <w:r w:rsidRPr="00E93259">
        <w:rPr>
          <w:rFonts w:ascii="Times New Roman" w:hAnsi="Times New Roman" w:cs="Times New Roman"/>
          <w:sz w:val="24"/>
          <w:szCs w:val="24"/>
        </w:rPr>
        <w:t>.1. Esošie pasākumi</w:t>
      </w:r>
    </w:p>
    <w:p w14:paraId="34987377" w14:textId="730CAA27" w:rsidR="00A27643" w:rsidRPr="00007A5A" w:rsidRDefault="00A27643" w:rsidP="00FF02DA">
      <w:pPr>
        <w:autoSpaceDE w:val="0"/>
        <w:autoSpaceDN w:val="0"/>
        <w:adjustRightInd w:val="0"/>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Saskaņā ar Ministru kabineta 201</w:t>
      </w:r>
      <w:r w:rsidR="00B813A5">
        <w:rPr>
          <w:rFonts w:ascii="Times New Roman" w:hAnsi="Times New Roman" w:cs="Times New Roman"/>
          <w:sz w:val="24"/>
          <w:szCs w:val="24"/>
        </w:rPr>
        <w:t>8</w:t>
      </w:r>
      <w:r w:rsidRPr="00007A5A">
        <w:rPr>
          <w:rFonts w:ascii="Times New Roman" w:hAnsi="Times New Roman" w:cs="Times New Roman"/>
          <w:sz w:val="24"/>
          <w:szCs w:val="24"/>
        </w:rPr>
        <w:t xml:space="preserve">.gada </w:t>
      </w:r>
      <w:r w:rsidR="00B813A5">
        <w:rPr>
          <w:rFonts w:ascii="Times New Roman" w:hAnsi="Times New Roman" w:cs="Times New Roman"/>
          <w:sz w:val="24"/>
          <w:szCs w:val="24"/>
        </w:rPr>
        <w:t>28.augusta</w:t>
      </w:r>
      <w:r w:rsidRPr="00007A5A">
        <w:rPr>
          <w:rFonts w:ascii="Times New Roman" w:hAnsi="Times New Roman" w:cs="Times New Roman"/>
          <w:sz w:val="24"/>
          <w:szCs w:val="24"/>
        </w:rPr>
        <w:t xml:space="preserve"> noteikumiem Nr.</w:t>
      </w:r>
      <w:r w:rsidR="00B813A5">
        <w:rPr>
          <w:rFonts w:ascii="Times New Roman" w:hAnsi="Times New Roman" w:cs="Times New Roman"/>
          <w:sz w:val="24"/>
          <w:szCs w:val="24"/>
        </w:rPr>
        <w:t>555</w:t>
      </w:r>
      <w:r w:rsidRPr="00007A5A">
        <w:rPr>
          <w:rFonts w:ascii="Times New Roman" w:hAnsi="Times New Roman" w:cs="Times New Roman"/>
          <w:sz w:val="24"/>
          <w:szCs w:val="24"/>
        </w:rPr>
        <w:t xml:space="preserve"> “Veselības aprūpes</w:t>
      </w:r>
      <w:r w:rsidR="00B813A5">
        <w:rPr>
          <w:rFonts w:ascii="Times New Roman" w:hAnsi="Times New Roman" w:cs="Times New Roman"/>
          <w:sz w:val="24"/>
          <w:szCs w:val="24"/>
        </w:rPr>
        <w:t xml:space="preserve"> pakalpojumu</w:t>
      </w:r>
      <w:r w:rsidRPr="00007A5A">
        <w:rPr>
          <w:rFonts w:ascii="Times New Roman" w:hAnsi="Times New Roman" w:cs="Times New Roman"/>
          <w:sz w:val="24"/>
          <w:szCs w:val="24"/>
        </w:rPr>
        <w:t xml:space="preserve"> organizēšanas un </w:t>
      </w:r>
      <w:r w:rsidR="00B813A5">
        <w:rPr>
          <w:rFonts w:ascii="Times New Roman" w:hAnsi="Times New Roman" w:cs="Times New Roman"/>
          <w:sz w:val="24"/>
          <w:szCs w:val="24"/>
        </w:rPr>
        <w:t>samaksas</w:t>
      </w:r>
      <w:r w:rsidRPr="00007A5A">
        <w:rPr>
          <w:rFonts w:ascii="Times New Roman" w:hAnsi="Times New Roman" w:cs="Times New Roman"/>
          <w:sz w:val="24"/>
          <w:szCs w:val="24"/>
        </w:rPr>
        <w:t xml:space="preserve"> kārtība” (turpmāk – Noteikumi Nr.</w:t>
      </w:r>
      <w:r w:rsidR="00B813A5">
        <w:rPr>
          <w:rFonts w:ascii="Times New Roman" w:hAnsi="Times New Roman" w:cs="Times New Roman"/>
          <w:sz w:val="24"/>
          <w:szCs w:val="24"/>
        </w:rPr>
        <w:t>555</w:t>
      </w:r>
      <w:r w:rsidRPr="00007A5A">
        <w:rPr>
          <w:rFonts w:ascii="Times New Roman" w:hAnsi="Times New Roman" w:cs="Times New Roman"/>
          <w:sz w:val="24"/>
          <w:szCs w:val="24"/>
        </w:rPr>
        <w:t xml:space="preserve">), NVD, plānojot finanšu līdzekļus veselības aprūpes pakalpojumu apmaksai, atsevišķi plāno </w:t>
      </w:r>
      <w:r w:rsidRPr="00007A5A">
        <w:rPr>
          <w:rFonts w:ascii="Times New Roman" w:hAnsi="Times New Roman" w:cs="Times New Roman"/>
          <w:sz w:val="24"/>
          <w:szCs w:val="24"/>
        </w:rPr>
        <w:lastRenderedPageBreak/>
        <w:t>naudas līdzekļu apmēru veselības aprūpes pakalpojumu apmaksai, kas nepieciešami personām ar prognozējamu (draudošu) invaliditāti un ilgstoši slimojošām personām darbspējīgā vecumā.</w:t>
      </w:r>
    </w:p>
    <w:p w14:paraId="780DE558" w14:textId="6074CF08" w:rsidR="0086477B" w:rsidRPr="00D46212" w:rsidRDefault="00A27643"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Atbilstoši 2018.gada 1.pusgada faktiskajai izpildei tika sniegta palīdzība 666 personām par kopējo summu 1 120 304 </w:t>
      </w:r>
      <w:r w:rsidRPr="001B3584">
        <w:rPr>
          <w:rFonts w:ascii="Times New Roman" w:hAnsi="Times New Roman" w:cs="Times New Roman"/>
          <w:i/>
          <w:sz w:val="24"/>
          <w:szCs w:val="24"/>
        </w:rPr>
        <w:t>euro</w:t>
      </w:r>
      <w:r w:rsidRPr="00007A5A">
        <w:rPr>
          <w:rFonts w:ascii="Times New Roman" w:hAnsi="Times New Roman" w:cs="Times New Roman"/>
          <w:sz w:val="24"/>
          <w:szCs w:val="24"/>
        </w:rPr>
        <w:t>. Papildus tika iekļautas trīs diagnožu grupas -  Ausu un aizauss paugura slimības, Psihiski un uzvedības traucējumi un Iedzimtas kroplības, deformācijas un hromosomu anomālijas, līdz ar to var prognozēt, ka līdz gada beigām var paplašināties to diagnožu loks, atbilstoši Noteikumiem Nr.</w:t>
      </w:r>
      <w:r w:rsidR="004E7D59">
        <w:rPr>
          <w:rFonts w:ascii="Times New Roman" w:hAnsi="Times New Roman" w:cs="Times New Roman"/>
          <w:sz w:val="24"/>
          <w:szCs w:val="24"/>
        </w:rPr>
        <w:t>555,</w:t>
      </w:r>
      <w:r w:rsidRPr="00007A5A">
        <w:rPr>
          <w:rFonts w:ascii="Times New Roman" w:hAnsi="Times New Roman" w:cs="Times New Roman"/>
          <w:sz w:val="24"/>
          <w:szCs w:val="24"/>
        </w:rPr>
        <w:t xml:space="preserve"> kuri var pretendēt uz plānveida stacionāriem pakalpojumiem personām darbspējīgā vecumā</w:t>
      </w:r>
      <w:r w:rsidR="00D46212">
        <w:rPr>
          <w:rFonts w:ascii="Times New Roman" w:hAnsi="Times New Roman" w:cs="Times New Roman"/>
          <w:sz w:val="24"/>
          <w:szCs w:val="24"/>
        </w:rPr>
        <w:t>.</w:t>
      </w:r>
    </w:p>
    <w:p w14:paraId="48245ABA" w14:textId="5C1BD473" w:rsidR="00323FE7" w:rsidRPr="00E93259" w:rsidRDefault="00E20A98" w:rsidP="704995BB">
      <w:pPr>
        <w:spacing w:after="0"/>
        <w:ind w:firstLine="720"/>
        <w:jc w:val="right"/>
        <w:rPr>
          <w:rFonts w:ascii="Times New Roman" w:hAnsi="Times New Roman" w:cs="Times New Roman"/>
          <w:i/>
          <w:iCs/>
          <w:sz w:val="24"/>
          <w:szCs w:val="24"/>
        </w:rPr>
      </w:pPr>
      <w:r w:rsidRPr="704995BB">
        <w:rPr>
          <w:rFonts w:ascii="Times New Roman" w:hAnsi="Times New Roman" w:cs="Times New Roman"/>
          <w:i/>
          <w:iCs/>
          <w:sz w:val="24"/>
          <w:szCs w:val="24"/>
        </w:rPr>
        <w:t>1</w:t>
      </w:r>
      <w:r w:rsidR="00BE132B">
        <w:rPr>
          <w:rFonts w:ascii="Times New Roman" w:hAnsi="Times New Roman" w:cs="Times New Roman"/>
          <w:i/>
          <w:iCs/>
          <w:sz w:val="24"/>
          <w:szCs w:val="24"/>
        </w:rPr>
        <w:t>8</w:t>
      </w:r>
      <w:r w:rsidR="0071331A" w:rsidRPr="704995BB">
        <w:rPr>
          <w:rFonts w:ascii="Times New Roman" w:hAnsi="Times New Roman" w:cs="Times New Roman"/>
          <w:i/>
          <w:iCs/>
          <w:sz w:val="24"/>
          <w:szCs w:val="24"/>
        </w:rPr>
        <w:t xml:space="preserve">.tabula </w:t>
      </w:r>
    </w:p>
    <w:p w14:paraId="4BCF3502" w14:textId="77777777" w:rsidR="00416CE9" w:rsidRDefault="0071331A" w:rsidP="00FA6424">
      <w:pPr>
        <w:spacing w:after="0"/>
        <w:jc w:val="center"/>
        <w:rPr>
          <w:rFonts w:ascii="Times New Roman" w:hAnsi="Times New Roman" w:cs="Times New Roman"/>
          <w:b/>
          <w:bCs/>
          <w:sz w:val="24"/>
          <w:szCs w:val="24"/>
        </w:rPr>
      </w:pPr>
      <w:r w:rsidRPr="0012317D">
        <w:rPr>
          <w:rFonts w:ascii="Times New Roman" w:hAnsi="Times New Roman" w:cs="Times New Roman"/>
          <w:b/>
          <w:bCs/>
          <w:sz w:val="24"/>
          <w:szCs w:val="24"/>
        </w:rPr>
        <w:t>Darbnespējas saīsināšanai un pasākumiem prognozējamās invaliditātes novēršanai darbspējīgā vecumā ārstēto pacientu skaits sadalījumā pa diagnožu grupā</w:t>
      </w:r>
      <w:r w:rsidR="00D77295" w:rsidRPr="0078437D">
        <w:rPr>
          <w:rFonts w:ascii="Times New Roman" w:hAnsi="Times New Roman" w:cs="Times New Roman"/>
          <w:b/>
          <w:bCs/>
          <w:sz w:val="24"/>
          <w:szCs w:val="24"/>
        </w:rPr>
        <w:t>m</w:t>
      </w:r>
    </w:p>
    <w:p w14:paraId="35B971DB" w14:textId="698FC6EC" w:rsidR="00261109" w:rsidRPr="00847710" w:rsidRDefault="0071331A" w:rsidP="00FA6424">
      <w:pPr>
        <w:spacing w:after="0"/>
        <w:jc w:val="center"/>
        <w:rPr>
          <w:rFonts w:ascii="Times New Roman" w:eastAsia="Times New Roman" w:hAnsi="Times New Roman" w:cs="Times New Roman"/>
          <w:sz w:val="24"/>
          <w:szCs w:val="24"/>
          <w:lang w:eastAsia="lv-LV"/>
        </w:rPr>
      </w:pPr>
      <w:r w:rsidRPr="00901A9F">
        <w:rPr>
          <w:rFonts w:ascii="Times New Roman" w:hAnsi="Times New Roman" w:cs="Times New Roman"/>
          <w:b/>
          <w:bCs/>
          <w:sz w:val="24"/>
          <w:szCs w:val="24"/>
        </w:rPr>
        <w:t xml:space="preserve"> </w:t>
      </w: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65"/>
      </w:tblGrid>
      <w:tr w:rsidR="00591368" w14:paraId="4A949827" w14:textId="77777777" w:rsidTr="00422119">
        <w:trPr>
          <w:trHeight w:val="630"/>
          <w:jc w:val="center"/>
        </w:trPr>
        <w:tc>
          <w:tcPr>
            <w:tcW w:w="5807" w:type="dxa"/>
            <w:shd w:val="clear" w:color="auto" w:fill="E36C0A" w:themeFill="accent6" w:themeFillShade="BF"/>
            <w:vAlign w:val="center"/>
            <w:hideMark/>
          </w:tcPr>
          <w:p w14:paraId="2651A1B2" w14:textId="77777777" w:rsidR="00D77295" w:rsidRPr="00422119" w:rsidRDefault="0071331A" w:rsidP="00422119">
            <w:pPr>
              <w:spacing w:after="0" w:line="240" w:lineRule="auto"/>
              <w:jc w:val="center"/>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Diagnožu grupas nosaukums</w:t>
            </w:r>
          </w:p>
        </w:tc>
        <w:tc>
          <w:tcPr>
            <w:tcW w:w="1565" w:type="dxa"/>
            <w:shd w:val="clear" w:color="auto" w:fill="E36C0A" w:themeFill="accent6" w:themeFillShade="BF"/>
            <w:vAlign w:val="center"/>
            <w:hideMark/>
          </w:tcPr>
          <w:p w14:paraId="24B4F9EA" w14:textId="2B997863" w:rsidR="00D77295" w:rsidRPr="00422119" w:rsidRDefault="0071331A" w:rsidP="00422119">
            <w:pPr>
              <w:spacing w:after="0" w:line="240" w:lineRule="auto"/>
              <w:jc w:val="center"/>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Pacientu skaits 201</w:t>
            </w:r>
            <w:r w:rsidR="00A27643">
              <w:rPr>
                <w:rFonts w:ascii="Times New Roman" w:eastAsia="Times New Roman" w:hAnsi="Times New Roman" w:cs="Times New Roman"/>
                <w:b/>
                <w:bCs/>
                <w:color w:val="000000"/>
                <w:lang w:eastAsia="lv-LV"/>
              </w:rPr>
              <w:t>8</w:t>
            </w:r>
            <w:r w:rsidRPr="0012317D">
              <w:rPr>
                <w:rFonts w:ascii="Times New Roman" w:eastAsia="Times New Roman" w:hAnsi="Times New Roman" w:cs="Times New Roman"/>
                <w:b/>
                <w:bCs/>
                <w:color w:val="000000"/>
                <w:lang w:eastAsia="lv-LV"/>
              </w:rPr>
              <w:t xml:space="preserve">.gada </w:t>
            </w:r>
          </w:p>
          <w:p w14:paraId="4DE44E17" w14:textId="39AC3E5D" w:rsidR="00D77295" w:rsidRPr="00422119" w:rsidRDefault="00A27643" w:rsidP="00546B70">
            <w:pPr>
              <w:spacing w:after="0" w:line="240" w:lineRule="auto"/>
              <w:jc w:val="center"/>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lang w:eastAsia="lv-LV"/>
              </w:rPr>
              <w:t>6</w:t>
            </w:r>
            <w:r w:rsidR="0071331A" w:rsidRPr="0012317D">
              <w:rPr>
                <w:rFonts w:ascii="Times New Roman" w:eastAsia="Times New Roman" w:hAnsi="Times New Roman" w:cs="Times New Roman"/>
                <w:b/>
                <w:bCs/>
                <w:color w:val="000000"/>
                <w:lang w:eastAsia="lv-LV"/>
              </w:rPr>
              <w:t xml:space="preserve"> mēnešos</w:t>
            </w:r>
          </w:p>
        </w:tc>
      </w:tr>
      <w:tr w:rsidR="00591368" w14:paraId="370F7B68" w14:textId="77777777" w:rsidTr="00422119">
        <w:trPr>
          <w:trHeight w:val="315"/>
          <w:jc w:val="center"/>
        </w:trPr>
        <w:tc>
          <w:tcPr>
            <w:tcW w:w="5807" w:type="dxa"/>
            <w:shd w:val="clear" w:color="auto" w:fill="auto"/>
            <w:vAlign w:val="bottom"/>
            <w:hideMark/>
          </w:tcPr>
          <w:p w14:paraId="419DFB2A"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Audzēji</w:t>
            </w:r>
          </w:p>
        </w:tc>
        <w:tc>
          <w:tcPr>
            <w:tcW w:w="1565" w:type="dxa"/>
            <w:shd w:val="clear" w:color="auto" w:fill="auto"/>
            <w:noWrap/>
            <w:vAlign w:val="bottom"/>
            <w:hideMark/>
          </w:tcPr>
          <w:p w14:paraId="64B962C8" w14:textId="1FE14BCE"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7</w:t>
            </w:r>
          </w:p>
        </w:tc>
      </w:tr>
      <w:tr w:rsidR="00591368" w14:paraId="673CEA6E" w14:textId="77777777" w:rsidTr="00422119">
        <w:trPr>
          <w:trHeight w:val="315"/>
          <w:jc w:val="center"/>
        </w:trPr>
        <w:tc>
          <w:tcPr>
            <w:tcW w:w="5807" w:type="dxa"/>
            <w:shd w:val="clear" w:color="auto" w:fill="auto"/>
            <w:vAlign w:val="bottom"/>
            <w:hideMark/>
          </w:tcPr>
          <w:p w14:paraId="67FE1C12"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Nervu sistēmas slimības</w:t>
            </w:r>
          </w:p>
        </w:tc>
        <w:tc>
          <w:tcPr>
            <w:tcW w:w="1565" w:type="dxa"/>
            <w:shd w:val="clear" w:color="auto" w:fill="auto"/>
            <w:noWrap/>
            <w:vAlign w:val="bottom"/>
            <w:hideMark/>
          </w:tcPr>
          <w:p w14:paraId="1A87CFD5" w14:textId="2125E565"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6</w:t>
            </w:r>
          </w:p>
        </w:tc>
      </w:tr>
      <w:tr w:rsidR="00591368" w14:paraId="53982F62" w14:textId="77777777" w:rsidTr="00422119">
        <w:trPr>
          <w:trHeight w:val="288"/>
          <w:jc w:val="center"/>
        </w:trPr>
        <w:tc>
          <w:tcPr>
            <w:tcW w:w="5807" w:type="dxa"/>
            <w:shd w:val="clear" w:color="auto" w:fill="auto"/>
            <w:vAlign w:val="bottom"/>
            <w:hideMark/>
          </w:tcPr>
          <w:p w14:paraId="26FA65D0" w14:textId="77777777" w:rsidR="00D77295" w:rsidRPr="00422119" w:rsidRDefault="0071331A" w:rsidP="00422119">
            <w:pPr>
              <w:spacing w:after="100" w:afterAutospacing="1" w:line="240" w:lineRule="auto"/>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Acu un to palīgorgānu slimības</w:t>
            </w:r>
          </w:p>
        </w:tc>
        <w:tc>
          <w:tcPr>
            <w:tcW w:w="1565" w:type="dxa"/>
            <w:shd w:val="clear" w:color="auto" w:fill="auto"/>
            <w:noWrap/>
            <w:vAlign w:val="bottom"/>
            <w:hideMark/>
          </w:tcPr>
          <w:p w14:paraId="6F20ACF5" w14:textId="45DE1913"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56</w:t>
            </w:r>
          </w:p>
        </w:tc>
      </w:tr>
      <w:tr w:rsidR="00591368" w14:paraId="68A2A94B" w14:textId="77777777" w:rsidTr="00422119">
        <w:trPr>
          <w:trHeight w:val="315"/>
          <w:jc w:val="center"/>
        </w:trPr>
        <w:tc>
          <w:tcPr>
            <w:tcW w:w="5807" w:type="dxa"/>
            <w:shd w:val="clear" w:color="auto" w:fill="auto"/>
            <w:vAlign w:val="bottom"/>
            <w:hideMark/>
          </w:tcPr>
          <w:p w14:paraId="105EB086"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Asinsrites sistēmas slimības</w:t>
            </w:r>
          </w:p>
        </w:tc>
        <w:tc>
          <w:tcPr>
            <w:tcW w:w="1565" w:type="dxa"/>
            <w:shd w:val="clear" w:color="auto" w:fill="auto"/>
            <w:noWrap/>
            <w:vAlign w:val="bottom"/>
            <w:hideMark/>
          </w:tcPr>
          <w:p w14:paraId="1BA6CA11" w14:textId="7474CF62"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26</w:t>
            </w:r>
          </w:p>
        </w:tc>
      </w:tr>
      <w:tr w:rsidR="00591368" w14:paraId="50B1D08B" w14:textId="77777777" w:rsidTr="00422119">
        <w:trPr>
          <w:trHeight w:val="315"/>
          <w:jc w:val="center"/>
        </w:trPr>
        <w:tc>
          <w:tcPr>
            <w:tcW w:w="5807" w:type="dxa"/>
            <w:shd w:val="clear" w:color="auto" w:fill="auto"/>
            <w:vAlign w:val="bottom"/>
            <w:hideMark/>
          </w:tcPr>
          <w:p w14:paraId="43458826"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Gremošanas sistēmas slimības</w:t>
            </w:r>
          </w:p>
        </w:tc>
        <w:tc>
          <w:tcPr>
            <w:tcW w:w="1565" w:type="dxa"/>
            <w:shd w:val="clear" w:color="auto" w:fill="auto"/>
            <w:noWrap/>
            <w:vAlign w:val="bottom"/>
            <w:hideMark/>
          </w:tcPr>
          <w:p w14:paraId="5D84F4D7" w14:textId="4044C881"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w:t>
            </w:r>
          </w:p>
        </w:tc>
      </w:tr>
      <w:tr w:rsidR="00591368" w14:paraId="21141150" w14:textId="77777777" w:rsidTr="00422119">
        <w:trPr>
          <w:trHeight w:val="279"/>
          <w:jc w:val="center"/>
        </w:trPr>
        <w:tc>
          <w:tcPr>
            <w:tcW w:w="5807" w:type="dxa"/>
            <w:shd w:val="clear" w:color="auto" w:fill="auto"/>
            <w:vAlign w:val="bottom"/>
            <w:hideMark/>
          </w:tcPr>
          <w:p w14:paraId="509A48AD"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Skeleta, muskuļu un saistaudu slimības</w:t>
            </w:r>
          </w:p>
        </w:tc>
        <w:tc>
          <w:tcPr>
            <w:tcW w:w="1565" w:type="dxa"/>
            <w:shd w:val="clear" w:color="auto" w:fill="auto"/>
            <w:noWrap/>
            <w:vAlign w:val="bottom"/>
            <w:hideMark/>
          </w:tcPr>
          <w:p w14:paraId="49E2E911" w14:textId="29CCD7E7"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381</w:t>
            </w:r>
          </w:p>
        </w:tc>
      </w:tr>
      <w:tr w:rsidR="00591368" w14:paraId="7D82E3B5" w14:textId="77777777" w:rsidTr="00422119">
        <w:trPr>
          <w:trHeight w:val="315"/>
          <w:jc w:val="center"/>
        </w:trPr>
        <w:tc>
          <w:tcPr>
            <w:tcW w:w="5807" w:type="dxa"/>
            <w:shd w:val="clear" w:color="auto" w:fill="auto"/>
            <w:vAlign w:val="bottom"/>
            <w:hideMark/>
          </w:tcPr>
          <w:p w14:paraId="19E8DF44" w14:textId="77777777" w:rsidR="00D77295" w:rsidRPr="00422119" w:rsidRDefault="0071331A" w:rsidP="00422119">
            <w:pPr>
              <w:spacing w:after="100" w:afterAutospacing="1" w:line="240" w:lineRule="auto"/>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Uroģenitālās sistēmas slimības</w:t>
            </w:r>
          </w:p>
        </w:tc>
        <w:tc>
          <w:tcPr>
            <w:tcW w:w="1565" w:type="dxa"/>
            <w:shd w:val="clear" w:color="auto" w:fill="auto"/>
            <w:noWrap/>
            <w:vAlign w:val="bottom"/>
            <w:hideMark/>
          </w:tcPr>
          <w:p w14:paraId="15C9E5D5" w14:textId="328386FF"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w:t>
            </w:r>
          </w:p>
        </w:tc>
      </w:tr>
      <w:tr w:rsidR="00591368" w14:paraId="7BA1487A" w14:textId="77777777" w:rsidTr="00007A5A">
        <w:trPr>
          <w:trHeight w:val="267"/>
          <w:jc w:val="center"/>
        </w:trPr>
        <w:tc>
          <w:tcPr>
            <w:tcW w:w="5807" w:type="dxa"/>
            <w:shd w:val="clear" w:color="auto" w:fill="auto"/>
            <w:vAlign w:val="bottom"/>
            <w:hideMark/>
          </w:tcPr>
          <w:p w14:paraId="216693F6"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Iedzimtas kroplības, deformācijas un hromosomu anomālijas</w:t>
            </w:r>
          </w:p>
        </w:tc>
        <w:tc>
          <w:tcPr>
            <w:tcW w:w="1565" w:type="dxa"/>
            <w:shd w:val="clear" w:color="auto" w:fill="auto"/>
            <w:noWrap/>
            <w:vAlign w:val="bottom"/>
            <w:hideMark/>
          </w:tcPr>
          <w:p w14:paraId="77470BEC" w14:textId="7ADEA273"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1</w:t>
            </w:r>
          </w:p>
        </w:tc>
      </w:tr>
      <w:tr w:rsidR="00591368" w14:paraId="02EDB8AA" w14:textId="77777777" w:rsidTr="00007A5A">
        <w:trPr>
          <w:trHeight w:val="271"/>
          <w:jc w:val="center"/>
        </w:trPr>
        <w:tc>
          <w:tcPr>
            <w:tcW w:w="5807" w:type="dxa"/>
            <w:shd w:val="clear" w:color="auto" w:fill="auto"/>
            <w:vAlign w:val="bottom"/>
            <w:hideMark/>
          </w:tcPr>
          <w:p w14:paraId="75667850"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Ievainojumi, saindēšanās un citas ārējās iedarbes sekas</w:t>
            </w:r>
          </w:p>
        </w:tc>
        <w:tc>
          <w:tcPr>
            <w:tcW w:w="1565" w:type="dxa"/>
            <w:shd w:val="clear" w:color="auto" w:fill="auto"/>
            <w:noWrap/>
            <w:vAlign w:val="bottom"/>
            <w:hideMark/>
          </w:tcPr>
          <w:p w14:paraId="772288F9" w14:textId="4A0B105C"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95</w:t>
            </w:r>
          </w:p>
        </w:tc>
      </w:tr>
      <w:tr w:rsidR="00A27643" w14:paraId="2AA75FDF" w14:textId="77777777" w:rsidTr="00422119">
        <w:trPr>
          <w:trHeight w:val="356"/>
          <w:jc w:val="center"/>
        </w:trPr>
        <w:tc>
          <w:tcPr>
            <w:tcW w:w="5807" w:type="dxa"/>
            <w:shd w:val="clear" w:color="auto" w:fill="auto"/>
            <w:vAlign w:val="bottom"/>
          </w:tcPr>
          <w:p w14:paraId="74D1FD23" w14:textId="77777777" w:rsidR="00A27643" w:rsidRPr="00A27643" w:rsidRDefault="00A27643" w:rsidP="00422119">
            <w:pPr>
              <w:spacing w:after="100" w:afterAutospacing="1" w:line="240" w:lineRule="auto"/>
              <w:rPr>
                <w:rFonts w:ascii="Times New Roman" w:eastAsia="Times New Roman" w:hAnsi="Times New Roman" w:cs="Times New Roman"/>
                <w:color w:val="000000"/>
                <w:lang w:eastAsia="lv-LV"/>
              </w:rPr>
            </w:pPr>
            <w:r w:rsidRPr="00007A5A">
              <w:rPr>
                <w:rFonts w:ascii="Times New Roman" w:hAnsi="Times New Roman" w:cs="Times New Roman"/>
              </w:rPr>
              <w:t>Mikrodiskektomija, mikrofenestrācija jostas daļā</w:t>
            </w:r>
          </w:p>
        </w:tc>
        <w:tc>
          <w:tcPr>
            <w:tcW w:w="1565" w:type="dxa"/>
            <w:shd w:val="clear" w:color="auto" w:fill="auto"/>
            <w:noWrap/>
            <w:vAlign w:val="bottom"/>
          </w:tcPr>
          <w:p w14:paraId="36E92E70" w14:textId="77777777" w:rsidR="00A27643" w:rsidRPr="00847710" w:rsidRDefault="00A27643" w:rsidP="00422119">
            <w:pPr>
              <w:spacing w:after="100" w:afterAutospacing="1"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87</w:t>
            </w:r>
          </w:p>
        </w:tc>
      </w:tr>
      <w:tr w:rsidR="00A27643" w14:paraId="7717222E" w14:textId="77777777" w:rsidTr="00422119">
        <w:trPr>
          <w:trHeight w:val="356"/>
          <w:jc w:val="center"/>
        </w:trPr>
        <w:tc>
          <w:tcPr>
            <w:tcW w:w="5807" w:type="dxa"/>
            <w:shd w:val="clear" w:color="auto" w:fill="auto"/>
            <w:vAlign w:val="bottom"/>
          </w:tcPr>
          <w:p w14:paraId="7215B80A" w14:textId="77777777" w:rsidR="00A27643" w:rsidRPr="00A27643" w:rsidRDefault="00A27643" w:rsidP="00422119">
            <w:pPr>
              <w:spacing w:after="100" w:afterAutospacing="1" w:line="240" w:lineRule="auto"/>
              <w:rPr>
                <w:rFonts w:ascii="Times New Roman" w:eastAsia="Times New Roman" w:hAnsi="Times New Roman" w:cs="Times New Roman"/>
                <w:color w:val="000000"/>
                <w:lang w:eastAsia="lv-LV"/>
              </w:rPr>
            </w:pPr>
            <w:r w:rsidRPr="00007A5A">
              <w:rPr>
                <w:rFonts w:ascii="Times New Roman" w:hAnsi="Times New Roman" w:cs="Times New Roman"/>
              </w:rPr>
              <w:t>Ausu un aizauss paugura slimības</w:t>
            </w:r>
          </w:p>
        </w:tc>
        <w:tc>
          <w:tcPr>
            <w:tcW w:w="1565" w:type="dxa"/>
            <w:shd w:val="clear" w:color="auto" w:fill="auto"/>
            <w:noWrap/>
            <w:vAlign w:val="bottom"/>
          </w:tcPr>
          <w:p w14:paraId="46424328" w14:textId="77777777" w:rsidR="00A27643" w:rsidRPr="00847710" w:rsidRDefault="00A27643" w:rsidP="00422119">
            <w:pPr>
              <w:spacing w:after="100" w:afterAutospacing="1"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r>
      <w:tr w:rsidR="00A27643" w14:paraId="017EFC84" w14:textId="77777777" w:rsidTr="00422119">
        <w:trPr>
          <w:trHeight w:val="356"/>
          <w:jc w:val="center"/>
        </w:trPr>
        <w:tc>
          <w:tcPr>
            <w:tcW w:w="5807" w:type="dxa"/>
            <w:shd w:val="clear" w:color="auto" w:fill="auto"/>
            <w:vAlign w:val="bottom"/>
          </w:tcPr>
          <w:p w14:paraId="4D8737F2" w14:textId="77777777" w:rsidR="00A27643" w:rsidRPr="00A27643" w:rsidRDefault="00A27643" w:rsidP="00422119">
            <w:pPr>
              <w:spacing w:after="100" w:afterAutospacing="1" w:line="240" w:lineRule="auto"/>
              <w:rPr>
                <w:rFonts w:ascii="Times New Roman" w:eastAsia="Times New Roman" w:hAnsi="Times New Roman" w:cs="Times New Roman"/>
                <w:color w:val="000000"/>
                <w:lang w:eastAsia="lv-LV"/>
              </w:rPr>
            </w:pPr>
            <w:r w:rsidRPr="00007A5A">
              <w:rPr>
                <w:rFonts w:ascii="Times New Roman" w:hAnsi="Times New Roman" w:cs="Times New Roman"/>
              </w:rPr>
              <w:t>Psihiski un uzvedības traucējumi</w:t>
            </w:r>
          </w:p>
        </w:tc>
        <w:tc>
          <w:tcPr>
            <w:tcW w:w="1565" w:type="dxa"/>
            <w:shd w:val="clear" w:color="auto" w:fill="auto"/>
            <w:noWrap/>
            <w:vAlign w:val="bottom"/>
          </w:tcPr>
          <w:p w14:paraId="577A14DB" w14:textId="77777777" w:rsidR="00A27643" w:rsidRPr="00847710" w:rsidRDefault="00A27643" w:rsidP="00422119">
            <w:pPr>
              <w:spacing w:after="100" w:afterAutospacing="1"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r>
      <w:tr w:rsidR="00591368" w14:paraId="62EC779D" w14:textId="77777777" w:rsidTr="00422119">
        <w:trPr>
          <w:trHeight w:val="330"/>
          <w:jc w:val="center"/>
        </w:trPr>
        <w:tc>
          <w:tcPr>
            <w:tcW w:w="5807" w:type="dxa"/>
            <w:shd w:val="clear" w:color="auto" w:fill="FBD4B4" w:themeFill="accent6" w:themeFillTint="66"/>
            <w:noWrap/>
            <w:vAlign w:val="bottom"/>
            <w:hideMark/>
          </w:tcPr>
          <w:p w14:paraId="7FA9F717" w14:textId="77777777" w:rsidR="00261109" w:rsidRPr="00422119" w:rsidRDefault="0071331A" w:rsidP="00422119">
            <w:pPr>
              <w:spacing w:after="100" w:afterAutospacing="1" w:line="240" w:lineRule="auto"/>
              <w:jc w:val="right"/>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KOPĀ</w:t>
            </w:r>
          </w:p>
        </w:tc>
        <w:tc>
          <w:tcPr>
            <w:tcW w:w="1565" w:type="dxa"/>
            <w:shd w:val="clear" w:color="auto" w:fill="FBD4B4" w:themeFill="accent6" w:themeFillTint="66"/>
            <w:noWrap/>
            <w:vAlign w:val="bottom"/>
            <w:hideMark/>
          </w:tcPr>
          <w:p w14:paraId="367934D4" w14:textId="257F798F" w:rsidR="00261109" w:rsidRPr="00422119" w:rsidRDefault="00A27643" w:rsidP="00422119">
            <w:pPr>
              <w:spacing w:after="100" w:afterAutospacing="1" w:line="240" w:lineRule="auto"/>
              <w:jc w:val="center"/>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lang w:eastAsia="lv-LV"/>
              </w:rPr>
              <w:t>666</w:t>
            </w:r>
          </w:p>
        </w:tc>
      </w:tr>
    </w:tbl>
    <w:p w14:paraId="24B5B0A2" w14:textId="77777777" w:rsidR="00261109" w:rsidRPr="00847710" w:rsidRDefault="0071331A" w:rsidP="002D1C41">
      <w:pPr>
        <w:spacing w:after="0" w:line="264" w:lineRule="auto"/>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b/>
        <w:t xml:space="preserve"> </w:t>
      </w:r>
    </w:p>
    <w:p w14:paraId="3E39FC60" w14:textId="6A5B2418" w:rsidR="002D1C41" w:rsidRDefault="009C242E" w:rsidP="009C242E">
      <w:pPr>
        <w:ind w:firstLine="720"/>
        <w:jc w:val="both"/>
        <w:rPr>
          <w:rFonts w:ascii="Times New Roman" w:hAnsi="Times New Roman" w:cs="Times New Roman"/>
          <w:iCs/>
          <w:sz w:val="24"/>
          <w:szCs w:val="24"/>
        </w:rPr>
      </w:pPr>
      <w:r w:rsidRPr="009C242E">
        <w:rPr>
          <w:rFonts w:ascii="Times New Roman" w:hAnsi="Times New Roman" w:cs="Times New Roman"/>
          <w:iCs/>
          <w:sz w:val="24"/>
          <w:szCs w:val="24"/>
        </w:rPr>
        <w:t>2018.gada 10 mēnešos elektroniski izsniegtas 636 365 slimības lapas, no kurām 359 660 pirmreizējās slimības lapas. Slimības lapas saņēmušas 237 923 personas, ar vidējo darba nespējas dienu skaitu uz personu 35. 28% slimības lapa izsniegta uz 10-19 dienām, 25% gadījumu uz 1-9</w:t>
      </w:r>
      <w:r w:rsidR="008C481D">
        <w:rPr>
          <w:rFonts w:ascii="Times New Roman" w:hAnsi="Times New Roman" w:cs="Times New Roman"/>
          <w:iCs/>
          <w:sz w:val="24"/>
          <w:szCs w:val="24"/>
        </w:rPr>
        <w:t xml:space="preserve"> </w:t>
      </w:r>
      <w:r w:rsidRPr="009C242E">
        <w:rPr>
          <w:rFonts w:ascii="Times New Roman" w:hAnsi="Times New Roman" w:cs="Times New Roman"/>
          <w:iCs/>
          <w:sz w:val="24"/>
          <w:szCs w:val="24"/>
        </w:rPr>
        <w:t>dienām, 13% - 20-29 dienas, 12% 50-99 dienas.</w:t>
      </w:r>
      <w:r w:rsidR="000D3010">
        <w:rPr>
          <w:rFonts w:ascii="Times New Roman" w:hAnsi="Times New Roman" w:cs="Times New Roman"/>
          <w:iCs/>
          <w:sz w:val="24"/>
          <w:szCs w:val="24"/>
        </w:rPr>
        <w:t xml:space="preserve"> </w:t>
      </w:r>
      <w:r w:rsidR="00E75875">
        <w:rPr>
          <w:rFonts w:ascii="Times New Roman" w:hAnsi="Times New Roman" w:cs="Times New Roman"/>
          <w:iCs/>
          <w:sz w:val="24"/>
          <w:szCs w:val="24"/>
        </w:rPr>
        <w:t xml:space="preserve">Lai dati būtu salīdzināmi un pierādāmi </w:t>
      </w:r>
      <w:r w:rsidR="000D3010">
        <w:rPr>
          <w:rFonts w:ascii="Times New Roman" w:hAnsi="Times New Roman" w:cs="Times New Roman"/>
          <w:iCs/>
          <w:sz w:val="24"/>
          <w:szCs w:val="24"/>
        </w:rPr>
        <w:t xml:space="preserve">2019.gada ziņojumā </w:t>
      </w:r>
      <w:r w:rsidR="00156AAE">
        <w:rPr>
          <w:rFonts w:ascii="Times New Roman" w:hAnsi="Times New Roman" w:cs="Times New Roman"/>
          <w:iCs/>
          <w:sz w:val="24"/>
          <w:szCs w:val="24"/>
        </w:rPr>
        <w:t xml:space="preserve">plānots </w:t>
      </w:r>
      <w:r w:rsidR="000D3010">
        <w:rPr>
          <w:rFonts w:ascii="Times New Roman" w:hAnsi="Times New Roman" w:cs="Times New Roman"/>
          <w:iCs/>
          <w:sz w:val="24"/>
          <w:szCs w:val="24"/>
        </w:rPr>
        <w:t>iekļau</w:t>
      </w:r>
      <w:r w:rsidR="00156AAE">
        <w:rPr>
          <w:rFonts w:ascii="Times New Roman" w:hAnsi="Times New Roman" w:cs="Times New Roman"/>
          <w:iCs/>
          <w:sz w:val="24"/>
          <w:szCs w:val="24"/>
        </w:rPr>
        <w:t>t</w:t>
      </w:r>
      <w:r w:rsidR="000D3010">
        <w:rPr>
          <w:rFonts w:ascii="Times New Roman" w:hAnsi="Times New Roman" w:cs="Times New Roman"/>
          <w:iCs/>
          <w:sz w:val="24"/>
          <w:szCs w:val="24"/>
        </w:rPr>
        <w:t xml:space="preserve"> informāciju par ieguvumiem, kas radušies </w:t>
      </w:r>
      <w:r w:rsidR="0095069A">
        <w:rPr>
          <w:rFonts w:ascii="Times New Roman" w:hAnsi="Times New Roman" w:cs="Times New Roman"/>
          <w:iCs/>
          <w:sz w:val="24"/>
          <w:szCs w:val="24"/>
        </w:rPr>
        <w:t xml:space="preserve">2018.gadā </w:t>
      </w:r>
      <w:r w:rsidR="000D3010">
        <w:rPr>
          <w:rFonts w:ascii="Times New Roman" w:hAnsi="Times New Roman" w:cs="Times New Roman"/>
          <w:iCs/>
          <w:sz w:val="24"/>
          <w:szCs w:val="24"/>
        </w:rPr>
        <w:t>darbnespējas saīsināšanas pasākumu īstenošanas rezultātā.</w:t>
      </w:r>
    </w:p>
    <w:p w14:paraId="513934FF" w14:textId="77777777" w:rsidR="003B5242" w:rsidRDefault="003B5242" w:rsidP="000747A9">
      <w:pPr>
        <w:ind w:firstLine="720"/>
        <w:jc w:val="right"/>
        <w:rPr>
          <w:rFonts w:ascii="Times New Roman" w:hAnsi="Times New Roman" w:cs="Times New Roman"/>
          <w:i/>
          <w:iCs/>
          <w:sz w:val="24"/>
          <w:szCs w:val="24"/>
        </w:rPr>
        <w:sectPr w:rsidR="003B5242" w:rsidSect="00E11AFF">
          <w:pgSz w:w="12240" w:h="15840"/>
          <w:pgMar w:top="1440" w:right="1440" w:bottom="1440" w:left="1701" w:header="708" w:footer="708" w:gutter="0"/>
          <w:cols w:space="708"/>
          <w:docGrid w:linePitch="360"/>
        </w:sectPr>
      </w:pPr>
    </w:p>
    <w:p w14:paraId="4584AEA5" w14:textId="7C8D3BB9" w:rsidR="000747A9" w:rsidRDefault="000747A9" w:rsidP="000747A9">
      <w:pPr>
        <w:ind w:firstLine="720"/>
        <w:jc w:val="right"/>
        <w:rPr>
          <w:rFonts w:ascii="Times New Roman" w:hAnsi="Times New Roman" w:cs="Times New Roman"/>
          <w:i/>
          <w:iCs/>
          <w:sz w:val="24"/>
          <w:szCs w:val="24"/>
        </w:rPr>
      </w:pPr>
      <w:r w:rsidRPr="000747A9">
        <w:rPr>
          <w:rFonts w:ascii="Times New Roman" w:hAnsi="Times New Roman" w:cs="Times New Roman"/>
          <w:i/>
          <w:iCs/>
          <w:sz w:val="24"/>
          <w:szCs w:val="24"/>
        </w:rPr>
        <w:lastRenderedPageBreak/>
        <w:t>19.tabula</w:t>
      </w:r>
    </w:p>
    <w:p w14:paraId="2DCE40CE" w14:textId="307E0BB5" w:rsidR="00CB4538" w:rsidRDefault="000747A9" w:rsidP="00A11CC5">
      <w:pPr>
        <w:jc w:val="center"/>
        <w:rPr>
          <w:rFonts w:ascii="Times New Roman" w:hAnsi="Times New Roman" w:cs="Times New Roman"/>
          <w:b/>
          <w:bCs/>
          <w:sz w:val="24"/>
          <w:szCs w:val="24"/>
        </w:rPr>
      </w:pPr>
      <w:r w:rsidRPr="0012317D">
        <w:rPr>
          <w:rFonts w:ascii="Times New Roman" w:hAnsi="Times New Roman" w:cs="Times New Roman"/>
          <w:b/>
          <w:bCs/>
          <w:sz w:val="24"/>
          <w:szCs w:val="24"/>
        </w:rPr>
        <w:t>Darbnespējas saīsināšanai un pasākumiem prognozējamās invaliditātes novēršanai ar mērķi novērst ilgstošu slimošanu personām darbspējīgā vecumā nepieciešamais finansējums</w:t>
      </w:r>
      <w:r>
        <w:rPr>
          <w:rFonts w:ascii="Times New Roman" w:hAnsi="Times New Roman" w:cs="Times New Roman"/>
          <w:b/>
          <w:bCs/>
          <w:sz w:val="24"/>
          <w:szCs w:val="24"/>
        </w:rPr>
        <w:t xml:space="preserve"> 2017., 2018. un 2019.gada</w:t>
      </w:r>
      <w:r w:rsidR="007C5FAD">
        <w:rPr>
          <w:rFonts w:ascii="Times New Roman" w:hAnsi="Times New Roman" w:cs="Times New Roman"/>
          <w:b/>
          <w:bCs/>
          <w:sz w:val="24"/>
          <w:szCs w:val="24"/>
        </w:rPr>
        <w:t>m</w:t>
      </w:r>
    </w:p>
    <w:tbl>
      <w:tblPr>
        <w:tblW w:w="13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9"/>
        <w:gridCol w:w="992"/>
        <w:gridCol w:w="993"/>
        <w:gridCol w:w="1134"/>
        <w:gridCol w:w="992"/>
        <w:gridCol w:w="850"/>
        <w:gridCol w:w="1134"/>
        <w:gridCol w:w="1134"/>
        <w:gridCol w:w="704"/>
        <w:gridCol w:w="709"/>
        <w:gridCol w:w="709"/>
        <w:gridCol w:w="850"/>
        <w:gridCol w:w="709"/>
        <w:gridCol w:w="709"/>
      </w:tblGrid>
      <w:tr w:rsidR="00E11AFF" w14:paraId="0FF25E35" w14:textId="77777777" w:rsidTr="00C4284B">
        <w:trPr>
          <w:cantSplit/>
          <w:trHeight w:val="1505"/>
          <w:jc w:val="center"/>
        </w:trPr>
        <w:tc>
          <w:tcPr>
            <w:tcW w:w="425" w:type="dxa"/>
            <w:shd w:val="clear" w:color="auto" w:fill="E36C0A" w:themeFill="accent6" w:themeFillShade="BF"/>
          </w:tcPr>
          <w:p w14:paraId="6E15E2E1" w14:textId="77777777" w:rsidR="00CB4538" w:rsidRPr="00847710" w:rsidRDefault="00CB4538" w:rsidP="005C58C0">
            <w:pPr>
              <w:spacing w:after="0" w:line="240" w:lineRule="auto"/>
              <w:rPr>
                <w:rFonts w:ascii="Times New Roman" w:eastAsia="Times New Roman" w:hAnsi="Times New Roman" w:cs="Times New Roman"/>
                <w:b/>
                <w:bCs/>
                <w:sz w:val="20"/>
                <w:szCs w:val="20"/>
                <w:lang w:eastAsia="lv-LV"/>
              </w:rPr>
            </w:pPr>
          </w:p>
        </w:tc>
        <w:tc>
          <w:tcPr>
            <w:tcW w:w="1139" w:type="dxa"/>
            <w:shd w:val="clear" w:color="auto" w:fill="E36C0A" w:themeFill="accent6" w:themeFillShade="BF"/>
            <w:vAlign w:val="center"/>
            <w:hideMark/>
          </w:tcPr>
          <w:p w14:paraId="58ADBA1D" w14:textId="77777777" w:rsidR="00CB4538" w:rsidRPr="00847710" w:rsidRDefault="00CB4538" w:rsidP="005C58C0">
            <w:pPr>
              <w:spacing w:after="0" w:line="240" w:lineRule="auto"/>
              <w:rPr>
                <w:rFonts w:ascii="Times New Roman" w:eastAsia="Times New Roman" w:hAnsi="Times New Roman" w:cs="Times New Roman"/>
                <w:b/>
                <w:bCs/>
                <w:sz w:val="20"/>
                <w:szCs w:val="20"/>
                <w:lang w:eastAsia="lv-LV"/>
              </w:rPr>
            </w:pPr>
          </w:p>
        </w:tc>
        <w:tc>
          <w:tcPr>
            <w:tcW w:w="992" w:type="dxa"/>
            <w:shd w:val="clear" w:color="auto" w:fill="E36C0A" w:themeFill="accent6" w:themeFillShade="BF"/>
            <w:textDirection w:val="btLr"/>
            <w:vAlign w:val="center"/>
            <w:hideMark/>
          </w:tcPr>
          <w:p w14:paraId="1BC9C56D" w14:textId="2C7EF0B6" w:rsidR="00CB4538" w:rsidRPr="00847710" w:rsidRDefault="00CB4538"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 xml:space="preserve">vidējās </w:t>
            </w:r>
            <w:r w:rsidR="007C5FAD">
              <w:rPr>
                <w:rFonts w:ascii="Times New Roman" w:eastAsia="Times New Roman" w:hAnsi="Times New Roman" w:cs="Times New Roman"/>
                <w:b/>
                <w:bCs/>
                <w:sz w:val="20"/>
                <w:szCs w:val="20"/>
                <w:lang w:eastAsia="lv-LV"/>
              </w:rPr>
              <w:t>ārstēšanas</w:t>
            </w:r>
          </w:p>
          <w:p w14:paraId="26A7A6BD" w14:textId="301298ED" w:rsidR="00CB4538" w:rsidRPr="00847710" w:rsidRDefault="007C5FAD"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w:t>
            </w:r>
            <w:r w:rsidR="00CB4538" w:rsidRPr="00847710">
              <w:rPr>
                <w:rFonts w:ascii="Times New Roman" w:eastAsia="Times New Roman" w:hAnsi="Times New Roman" w:cs="Times New Roman"/>
                <w:b/>
                <w:bCs/>
                <w:sz w:val="20"/>
                <w:szCs w:val="20"/>
                <w:lang w:eastAsia="lv-LV"/>
              </w:rPr>
              <w:t>zmaksas</w:t>
            </w:r>
            <w:r>
              <w:rPr>
                <w:rFonts w:ascii="Times New Roman" w:eastAsia="Times New Roman" w:hAnsi="Times New Roman" w:cs="Times New Roman"/>
                <w:b/>
                <w:bCs/>
                <w:sz w:val="20"/>
                <w:szCs w:val="20"/>
                <w:lang w:eastAsia="lv-LV"/>
              </w:rPr>
              <w:t>*</w:t>
            </w:r>
          </w:p>
          <w:p w14:paraId="08B466B9" w14:textId="77777777" w:rsidR="00CB4538" w:rsidRPr="00847710" w:rsidRDefault="00CB4538" w:rsidP="005C58C0">
            <w:pPr>
              <w:spacing w:after="0" w:line="240" w:lineRule="auto"/>
              <w:ind w:left="113" w:right="113"/>
              <w:jc w:val="center"/>
              <w:rPr>
                <w:rFonts w:ascii="Times New Roman" w:eastAsia="Times New Roman" w:hAnsi="Times New Roman" w:cs="Times New Roman"/>
                <w:b/>
                <w:bCs/>
                <w:sz w:val="20"/>
                <w:szCs w:val="20"/>
                <w:lang w:eastAsia="lv-LV"/>
              </w:rPr>
            </w:pPr>
          </w:p>
        </w:tc>
        <w:tc>
          <w:tcPr>
            <w:tcW w:w="3119" w:type="dxa"/>
            <w:gridSpan w:val="3"/>
            <w:shd w:val="clear" w:color="auto" w:fill="E36C0A" w:themeFill="accent6" w:themeFillShade="BF"/>
            <w:textDirection w:val="btLr"/>
            <w:vAlign w:val="center"/>
          </w:tcPr>
          <w:p w14:paraId="0BD57451" w14:textId="77777777" w:rsidR="00CB4538" w:rsidRPr="00847710" w:rsidRDefault="00CB4538" w:rsidP="005C58C0">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3118" w:type="dxa"/>
            <w:gridSpan w:val="3"/>
            <w:shd w:val="clear" w:color="auto" w:fill="E36C0A" w:themeFill="accent6" w:themeFillShade="BF"/>
            <w:textDirection w:val="btLr"/>
            <w:vAlign w:val="center"/>
          </w:tcPr>
          <w:p w14:paraId="16DC083E" w14:textId="77777777" w:rsidR="00CB4538" w:rsidRPr="00847710" w:rsidRDefault="00CB4538"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2" w:type="dxa"/>
            <w:gridSpan w:val="3"/>
            <w:shd w:val="clear" w:color="auto" w:fill="E36C0A" w:themeFill="accent6" w:themeFillShade="BF"/>
            <w:textDirection w:val="btLr"/>
            <w:vAlign w:val="center"/>
          </w:tcPr>
          <w:p w14:paraId="1234EA93" w14:textId="77777777" w:rsidR="00CB4538" w:rsidRPr="00847710" w:rsidRDefault="00CB4538"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268" w:type="dxa"/>
            <w:gridSpan w:val="3"/>
            <w:shd w:val="clear" w:color="auto" w:fill="E36C0A" w:themeFill="accent6" w:themeFillShade="BF"/>
            <w:textDirection w:val="btLr"/>
            <w:vAlign w:val="center"/>
          </w:tcPr>
          <w:p w14:paraId="1317B7C9" w14:textId="77777777" w:rsidR="00CB4538" w:rsidRPr="00847710" w:rsidRDefault="00CB4538"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CB4538" w14:paraId="7F3E8370" w14:textId="77777777" w:rsidTr="00C4284B">
        <w:trPr>
          <w:trHeight w:val="640"/>
          <w:jc w:val="center"/>
        </w:trPr>
        <w:tc>
          <w:tcPr>
            <w:tcW w:w="425" w:type="dxa"/>
            <w:shd w:val="clear" w:color="auto" w:fill="FABF8F" w:themeFill="accent6" w:themeFillTint="99"/>
          </w:tcPr>
          <w:p w14:paraId="6014D5F8"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p>
        </w:tc>
        <w:tc>
          <w:tcPr>
            <w:tcW w:w="1139" w:type="dxa"/>
            <w:shd w:val="clear" w:color="auto" w:fill="FABF8F" w:themeFill="accent6" w:themeFillTint="99"/>
            <w:vAlign w:val="center"/>
          </w:tcPr>
          <w:p w14:paraId="1A616636"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p>
        </w:tc>
        <w:tc>
          <w:tcPr>
            <w:tcW w:w="992" w:type="dxa"/>
            <w:shd w:val="clear" w:color="auto" w:fill="FABF8F" w:themeFill="accent6" w:themeFillTint="99"/>
            <w:vAlign w:val="center"/>
          </w:tcPr>
          <w:p w14:paraId="259AD44D" w14:textId="77777777" w:rsidR="00CB4538" w:rsidRPr="00847710" w:rsidRDefault="00CB4538" w:rsidP="005C58C0">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3FCF47AB"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3" w:type="dxa"/>
            <w:shd w:val="clear" w:color="auto" w:fill="FABF8F" w:themeFill="accent6" w:themeFillTint="99"/>
            <w:vAlign w:val="center"/>
          </w:tcPr>
          <w:p w14:paraId="0DFD3FB8" w14:textId="77777777" w:rsidR="00CB4538"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47822C17" w14:textId="77777777" w:rsidR="00CB4538" w:rsidRPr="0012317D" w:rsidRDefault="00CB4538"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67E25BAC" w14:textId="77777777" w:rsidR="00CB4538"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71E3D635" w14:textId="77777777" w:rsidR="00CB4538" w:rsidRPr="0012317D" w:rsidRDefault="00CB4538"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4C9DB1B4" w14:textId="77777777" w:rsidR="00CB4538"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58B7295F" w14:textId="77777777" w:rsidR="00CB4538" w:rsidRPr="0012317D" w:rsidRDefault="00CB4538"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05BAF955" w14:textId="77777777" w:rsidR="00CB4538"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70FBE0DB" w14:textId="77777777" w:rsidR="00CB4538" w:rsidRPr="0012317D" w:rsidRDefault="00CB4538"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09EE2D7E" w14:textId="77777777" w:rsidR="00CB4538"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1153FF09" w14:textId="77777777" w:rsidR="00CB4538" w:rsidRPr="0012317D" w:rsidRDefault="00CB4538"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5E6BC1F4" w14:textId="77777777" w:rsidR="00CB4538" w:rsidRPr="00C86312" w:rsidRDefault="00CB4538" w:rsidP="005C58C0">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66FC84A1" w14:textId="77777777" w:rsidR="00CB4538" w:rsidRPr="00C86312" w:rsidRDefault="00CB4538" w:rsidP="005C58C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4" w:type="dxa"/>
            <w:shd w:val="clear" w:color="auto" w:fill="FABF8F" w:themeFill="accent6" w:themeFillTint="99"/>
            <w:vAlign w:val="center"/>
          </w:tcPr>
          <w:p w14:paraId="00791046"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3F72039A"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1401114D"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0" w:type="dxa"/>
            <w:shd w:val="clear" w:color="auto" w:fill="FABF8F" w:themeFill="accent6" w:themeFillTint="99"/>
            <w:vAlign w:val="center"/>
          </w:tcPr>
          <w:p w14:paraId="08017A90"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3BC793A5"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7277F6A8" w14:textId="77777777" w:rsidR="00CB4538" w:rsidRPr="00847710" w:rsidRDefault="00CB4538" w:rsidP="005C58C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CB4538" w14:paraId="7B883006" w14:textId="77777777" w:rsidTr="00C4284B">
        <w:trPr>
          <w:trHeight w:val="598"/>
          <w:jc w:val="center"/>
        </w:trPr>
        <w:tc>
          <w:tcPr>
            <w:tcW w:w="425" w:type="dxa"/>
            <w:shd w:val="clear" w:color="auto" w:fill="FFFFFF" w:themeFill="background1"/>
          </w:tcPr>
          <w:p w14:paraId="1C455BFF" w14:textId="77777777" w:rsidR="00CB4538" w:rsidRPr="00E1067B" w:rsidRDefault="00CB4538" w:rsidP="00CB4538">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139" w:type="dxa"/>
            <w:shd w:val="clear" w:color="auto" w:fill="FFFFFF" w:themeFill="background1"/>
            <w:vAlign w:val="center"/>
          </w:tcPr>
          <w:p w14:paraId="2BE7064D" w14:textId="0781D327" w:rsidR="00CB4538" w:rsidRPr="00030FAC" w:rsidRDefault="00CB4538" w:rsidP="00CB453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sz w:val="16"/>
                <w:szCs w:val="16"/>
                <w:lang w:eastAsia="lv-LV"/>
              </w:rPr>
              <w:t>Darbnespējas saīsināšanas pasākumi</w:t>
            </w:r>
          </w:p>
        </w:tc>
        <w:tc>
          <w:tcPr>
            <w:tcW w:w="992" w:type="dxa"/>
            <w:shd w:val="clear" w:color="auto" w:fill="FFFFFF" w:themeFill="background1"/>
            <w:vAlign w:val="center"/>
          </w:tcPr>
          <w:p w14:paraId="58E98872" w14:textId="34E46456" w:rsidR="00CB4538" w:rsidRPr="00030FAC" w:rsidRDefault="00CB4538" w:rsidP="00CB4538">
            <w:pPr>
              <w:spacing w:after="0" w:line="240" w:lineRule="auto"/>
              <w:jc w:val="center"/>
              <w:rPr>
                <w:rFonts w:ascii="Times New Roman" w:eastAsia="Times New Roman" w:hAnsi="Times New Roman" w:cs="Times New Roman"/>
                <w:iCs/>
                <w:sz w:val="16"/>
                <w:szCs w:val="16"/>
                <w:lang w:eastAsia="lv-LV"/>
              </w:rPr>
            </w:pPr>
          </w:p>
        </w:tc>
        <w:tc>
          <w:tcPr>
            <w:tcW w:w="993" w:type="dxa"/>
            <w:shd w:val="clear" w:color="auto" w:fill="FFFFFF" w:themeFill="background1"/>
            <w:vAlign w:val="center"/>
          </w:tcPr>
          <w:p w14:paraId="12245A67" w14:textId="260830BD" w:rsidR="00CB4538" w:rsidRPr="006F5436" w:rsidRDefault="00C235D2"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883 494</w:t>
            </w:r>
          </w:p>
        </w:tc>
        <w:tc>
          <w:tcPr>
            <w:tcW w:w="1134" w:type="dxa"/>
            <w:shd w:val="clear" w:color="auto" w:fill="FFFFFF" w:themeFill="background1"/>
            <w:vAlign w:val="center"/>
          </w:tcPr>
          <w:p w14:paraId="17ACE4DB" w14:textId="7DCE60A9" w:rsidR="00CB4538" w:rsidRPr="006F5436" w:rsidRDefault="00C235D2"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885 079</w:t>
            </w:r>
          </w:p>
        </w:tc>
        <w:tc>
          <w:tcPr>
            <w:tcW w:w="992" w:type="dxa"/>
            <w:shd w:val="clear" w:color="auto" w:fill="FFFFFF" w:themeFill="background1"/>
            <w:vAlign w:val="center"/>
          </w:tcPr>
          <w:p w14:paraId="5ED46B51" w14:textId="47C976C0" w:rsidR="00CB4538" w:rsidRPr="006F5436" w:rsidRDefault="00C235D2" w:rsidP="00CB4538">
            <w:pPr>
              <w:spacing w:after="0" w:line="240" w:lineRule="auto"/>
              <w:jc w:val="center"/>
              <w:rPr>
                <w:rFonts w:ascii="Times New Roman" w:eastAsia="Times New Roman" w:hAnsi="Times New Roman" w:cs="Times New Roman"/>
                <w:b/>
                <w:bCs/>
                <w:sz w:val="20"/>
                <w:szCs w:val="20"/>
                <w:lang w:eastAsia="lv-LV"/>
              </w:rPr>
            </w:pPr>
            <w:r w:rsidRPr="006F5436">
              <w:rPr>
                <w:rFonts w:ascii="Times New Roman" w:eastAsia="Times New Roman" w:hAnsi="Times New Roman" w:cs="Times New Roman"/>
                <w:bCs/>
                <w:sz w:val="20"/>
                <w:szCs w:val="20"/>
                <w:lang w:eastAsia="lv-LV"/>
              </w:rPr>
              <w:t>885 079</w:t>
            </w:r>
          </w:p>
        </w:tc>
        <w:tc>
          <w:tcPr>
            <w:tcW w:w="850" w:type="dxa"/>
            <w:shd w:val="clear" w:color="auto" w:fill="FFFFFF" w:themeFill="background1"/>
            <w:vAlign w:val="center"/>
          </w:tcPr>
          <w:p w14:paraId="1625E064" w14:textId="77777777" w:rsidR="00CB4538" w:rsidRPr="006F5436" w:rsidRDefault="00CB4538"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461E0743" w14:textId="29CE45D6" w:rsidR="00CB4538" w:rsidRPr="006F5436" w:rsidRDefault="00022B9F"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2 563 917</w:t>
            </w:r>
          </w:p>
        </w:tc>
        <w:tc>
          <w:tcPr>
            <w:tcW w:w="1134" w:type="dxa"/>
            <w:shd w:val="clear" w:color="auto" w:fill="FFFFFF" w:themeFill="background1"/>
            <w:vAlign w:val="center"/>
          </w:tcPr>
          <w:p w14:paraId="09097241" w14:textId="18F91BA3" w:rsidR="00CB4538" w:rsidRPr="00E11AFF" w:rsidRDefault="00CB4538" w:rsidP="00CB4538">
            <w:pPr>
              <w:spacing w:after="0" w:line="240" w:lineRule="auto"/>
              <w:jc w:val="center"/>
              <w:rPr>
                <w:rFonts w:ascii="Times New Roman" w:eastAsia="Times New Roman" w:hAnsi="Times New Roman" w:cs="Times New Roman"/>
                <w:bCs/>
                <w:sz w:val="20"/>
                <w:szCs w:val="20"/>
                <w:lang w:eastAsia="lv-LV"/>
              </w:rPr>
            </w:pPr>
            <w:r w:rsidRPr="00E11AFF">
              <w:rPr>
                <w:rFonts w:ascii="Times New Roman" w:hAnsi="Times New Roman" w:cs="Times New Roman"/>
                <w:bCs/>
                <w:color w:val="000000"/>
                <w:sz w:val="20"/>
                <w:szCs w:val="20"/>
              </w:rPr>
              <w:t>2 564 029</w:t>
            </w:r>
          </w:p>
        </w:tc>
        <w:tc>
          <w:tcPr>
            <w:tcW w:w="704" w:type="dxa"/>
            <w:shd w:val="clear" w:color="auto" w:fill="FFFFFF" w:themeFill="background1"/>
            <w:vAlign w:val="center"/>
          </w:tcPr>
          <w:p w14:paraId="4A70E415" w14:textId="299774F5" w:rsidR="00CB4538" w:rsidRPr="006F5436" w:rsidRDefault="00C235D2"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709</w:t>
            </w:r>
          </w:p>
        </w:tc>
        <w:tc>
          <w:tcPr>
            <w:tcW w:w="709" w:type="dxa"/>
            <w:shd w:val="clear" w:color="auto" w:fill="FFFFFF" w:themeFill="background1"/>
            <w:vAlign w:val="center"/>
          </w:tcPr>
          <w:p w14:paraId="67EAC382" w14:textId="3F6B8E27" w:rsidR="00CB4538" w:rsidRPr="006F5436" w:rsidRDefault="006F5436"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689</w:t>
            </w:r>
          </w:p>
        </w:tc>
        <w:tc>
          <w:tcPr>
            <w:tcW w:w="709" w:type="dxa"/>
            <w:shd w:val="clear" w:color="auto" w:fill="FFFFFF" w:themeFill="background1"/>
            <w:vAlign w:val="center"/>
          </w:tcPr>
          <w:p w14:paraId="345B2FD0" w14:textId="7D85CEA4" w:rsidR="00CB4538" w:rsidRPr="006F5436" w:rsidRDefault="006F5436"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689</w:t>
            </w:r>
          </w:p>
        </w:tc>
        <w:tc>
          <w:tcPr>
            <w:tcW w:w="850" w:type="dxa"/>
            <w:shd w:val="clear" w:color="auto" w:fill="FFFFFF" w:themeFill="background1"/>
            <w:vAlign w:val="center"/>
          </w:tcPr>
          <w:p w14:paraId="29461362" w14:textId="77777777" w:rsidR="00CB4538" w:rsidRPr="006F5436" w:rsidRDefault="00CB4538"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006261C2" w14:textId="52B25E01" w:rsidR="00CB4538" w:rsidRPr="006F5436" w:rsidRDefault="006F5436" w:rsidP="00CB4538">
            <w:pPr>
              <w:spacing w:after="0" w:line="240" w:lineRule="auto"/>
              <w:jc w:val="center"/>
              <w:rPr>
                <w:rFonts w:ascii="Times New Roman" w:eastAsia="Times New Roman" w:hAnsi="Times New Roman" w:cs="Times New Roman"/>
                <w:bCs/>
                <w:sz w:val="20"/>
                <w:szCs w:val="20"/>
                <w:lang w:eastAsia="lv-LV"/>
              </w:rPr>
            </w:pPr>
            <w:r w:rsidRPr="006F5436">
              <w:rPr>
                <w:rFonts w:ascii="Times New Roman" w:eastAsia="Times New Roman" w:hAnsi="Times New Roman" w:cs="Times New Roman"/>
                <w:bCs/>
                <w:sz w:val="20"/>
                <w:szCs w:val="20"/>
                <w:lang w:eastAsia="lv-LV"/>
              </w:rPr>
              <w:t>2356</w:t>
            </w:r>
          </w:p>
        </w:tc>
        <w:tc>
          <w:tcPr>
            <w:tcW w:w="709" w:type="dxa"/>
            <w:shd w:val="clear" w:color="auto" w:fill="FFFFFF" w:themeFill="background1"/>
            <w:vAlign w:val="center"/>
          </w:tcPr>
          <w:p w14:paraId="594D0A12" w14:textId="0CB2E88B" w:rsidR="00CB4538" w:rsidRPr="00AD3BCB" w:rsidRDefault="006F5436" w:rsidP="00CB4538">
            <w:pPr>
              <w:spacing w:after="0" w:line="240" w:lineRule="auto"/>
              <w:jc w:val="center"/>
              <w:rPr>
                <w:rFonts w:ascii="Times New Roman" w:eastAsia="Times New Roman" w:hAnsi="Times New Roman" w:cs="Times New Roman"/>
                <w:bCs/>
                <w:sz w:val="20"/>
                <w:szCs w:val="20"/>
                <w:lang w:eastAsia="lv-LV"/>
              </w:rPr>
            </w:pPr>
            <w:r w:rsidRPr="00AD3BCB">
              <w:rPr>
                <w:rFonts w:ascii="Times New Roman" w:hAnsi="Times New Roman" w:cs="Times New Roman"/>
                <w:bCs/>
                <w:sz w:val="20"/>
                <w:szCs w:val="20"/>
              </w:rPr>
              <w:t>2309</w:t>
            </w:r>
          </w:p>
        </w:tc>
      </w:tr>
      <w:tr w:rsidR="006F5436" w14:paraId="67EDBF75" w14:textId="77777777" w:rsidTr="00C4284B">
        <w:trPr>
          <w:trHeight w:val="296"/>
          <w:jc w:val="center"/>
        </w:trPr>
        <w:tc>
          <w:tcPr>
            <w:tcW w:w="425" w:type="dxa"/>
            <w:shd w:val="clear" w:color="auto" w:fill="FBD4B4" w:themeFill="accent6" w:themeFillTint="66"/>
          </w:tcPr>
          <w:p w14:paraId="3E4C050D" w14:textId="77777777" w:rsidR="006F5436" w:rsidRPr="00847710" w:rsidRDefault="006F5436" w:rsidP="006F5436">
            <w:pPr>
              <w:spacing w:after="0" w:line="240" w:lineRule="auto"/>
              <w:rPr>
                <w:rFonts w:ascii="Times New Roman" w:eastAsia="Times New Roman" w:hAnsi="Times New Roman" w:cs="Times New Roman"/>
                <w:sz w:val="20"/>
                <w:szCs w:val="20"/>
                <w:lang w:eastAsia="lv-LV"/>
              </w:rPr>
            </w:pPr>
          </w:p>
        </w:tc>
        <w:tc>
          <w:tcPr>
            <w:tcW w:w="1139" w:type="dxa"/>
            <w:shd w:val="clear" w:color="auto" w:fill="FBD4B4" w:themeFill="accent6" w:themeFillTint="66"/>
            <w:vAlign w:val="bottom"/>
          </w:tcPr>
          <w:p w14:paraId="056A8A89" w14:textId="77777777" w:rsidR="006F5436" w:rsidRPr="00847710" w:rsidRDefault="006F5436" w:rsidP="006F543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2" w:type="dxa"/>
            <w:shd w:val="clear" w:color="auto" w:fill="FBD4B4" w:themeFill="accent6" w:themeFillTint="66"/>
            <w:noWrap/>
            <w:vAlign w:val="bottom"/>
          </w:tcPr>
          <w:p w14:paraId="63514FD5" w14:textId="77777777" w:rsidR="006F5436" w:rsidRPr="00847710" w:rsidRDefault="006F5436" w:rsidP="006F5436">
            <w:pPr>
              <w:spacing w:after="0" w:line="240" w:lineRule="auto"/>
              <w:jc w:val="center"/>
              <w:rPr>
                <w:rFonts w:ascii="Times New Roman" w:eastAsia="Times New Roman" w:hAnsi="Times New Roman" w:cs="Times New Roman"/>
                <w:sz w:val="20"/>
                <w:szCs w:val="20"/>
                <w:lang w:eastAsia="lv-LV"/>
              </w:rPr>
            </w:pPr>
          </w:p>
        </w:tc>
        <w:tc>
          <w:tcPr>
            <w:tcW w:w="993" w:type="dxa"/>
            <w:shd w:val="clear" w:color="auto" w:fill="FBD4B4" w:themeFill="accent6" w:themeFillTint="66"/>
            <w:vAlign w:val="center"/>
          </w:tcPr>
          <w:p w14:paraId="417082B5" w14:textId="2DDA9DDE" w:rsidR="006F5436" w:rsidRPr="00AD3BCB" w:rsidRDefault="006F5436" w:rsidP="006F5436">
            <w:pPr>
              <w:spacing w:after="0" w:line="240" w:lineRule="auto"/>
              <w:jc w:val="center"/>
              <w:rPr>
                <w:rFonts w:ascii="Times New Roman" w:hAnsi="Times New Roman" w:cs="Times New Roman"/>
                <w:b/>
                <w:sz w:val="20"/>
                <w:szCs w:val="20"/>
              </w:rPr>
            </w:pPr>
            <w:r w:rsidRPr="00AD3BCB">
              <w:rPr>
                <w:rFonts w:ascii="Times New Roman" w:eastAsia="Times New Roman" w:hAnsi="Times New Roman" w:cs="Times New Roman"/>
                <w:b/>
                <w:bCs/>
                <w:sz w:val="20"/>
                <w:szCs w:val="20"/>
                <w:lang w:eastAsia="lv-LV"/>
              </w:rPr>
              <w:t>883 494</w:t>
            </w:r>
          </w:p>
        </w:tc>
        <w:tc>
          <w:tcPr>
            <w:tcW w:w="1134" w:type="dxa"/>
            <w:shd w:val="clear" w:color="auto" w:fill="FBD4B4" w:themeFill="accent6" w:themeFillTint="66"/>
            <w:vAlign w:val="center"/>
          </w:tcPr>
          <w:p w14:paraId="14533BEA" w14:textId="36E70A57" w:rsidR="006F5436" w:rsidRPr="00AD3BCB" w:rsidRDefault="006F5436" w:rsidP="006F5436">
            <w:pPr>
              <w:spacing w:after="0" w:line="240" w:lineRule="auto"/>
              <w:jc w:val="center"/>
              <w:rPr>
                <w:rFonts w:ascii="Times New Roman" w:hAnsi="Times New Roman" w:cs="Times New Roman"/>
                <w:b/>
                <w:sz w:val="20"/>
                <w:szCs w:val="20"/>
              </w:rPr>
            </w:pPr>
            <w:r w:rsidRPr="00AD3BCB">
              <w:rPr>
                <w:rFonts w:ascii="Times New Roman" w:eastAsia="Times New Roman" w:hAnsi="Times New Roman" w:cs="Times New Roman"/>
                <w:b/>
                <w:bCs/>
                <w:sz w:val="20"/>
                <w:szCs w:val="20"/>
                <w:lang w:eastAsia="lv-LV"/>
              </w:rPr>
              <w:t>885 079</w:t>
            </w:r>
          </w:p>
        </w:tc>
        <w:tc>
          <w:tcPr>
            <w:tcW w:w="992" w:type="dxa"/>
            <w:shd w:val="clear" w:color="auto" w:fill="FBD4B4" w:themeFill="accent6" w:themeFillTint="66"/>
            <w:vAlign w:val="center"/>
          </w:tcPr>
          <w:p w14:paraId="582E3189" w14:textId="58848A63" w:rsidR="006F5436" w:rsidRPr="00AD3BCB" w:rsidRDefault="006F5436" w:rsidP="006F5436">
            <w:pPr>
              <w:spacing w:after="0" w:line="240" w:lineRule="auto"/>
              <w:jc w:val="center"/>
              <w:rPr>
                <w:rFonts w:ascii="Times New Roman" w:hAnsi="Times New Roman" w:cs="Times New Roman"/>
                <w:b/>
                <w:sz w:val="20"/>
                <w:szCs w:val="20"/>
              </w:rPr>
            </w:pPr>
            <w:r w:rsidRPr="00AD3BCB">
              <w:rPr>
                <w:rFonts w:ascii="Times New Roman" w:eastAsia="Times New Roman" w:hAnsi="Times New Roman" w:cs="Times New Roman"/>
                <w:b/>
                <w:bCs/>
                <w:sz w:val="20"/>
                <w:szCs w:val="20"/>
                <w:lang w:eastAsia="lv-LV"/>
              </w:rPr>
              <w:t>885 079</w:t>
            </w:r>
          </w:p>
        </w:tc>
        <w:tc>
          <w:tcPr>
            <w:tcW w:w="850" w:type="dxa"/>
            <w:shd w:val="clear" w:color="auto" w:fill="FBD4B4" w:themeFill="accent6" w:themeFillTint="66"/>
            <w:vAlign w:val="center"/>
          </w:tcPr>
          <w:p w14:paraId="7F2F3114" w14:textId="77777777" w:rsidR="006F5436" w:rsidRPr="00AD3BCB" w:rsidRDefault="006F5436" w:rsidP="006F5436">
            <w:pPr>
              <w:spacing w:after="0" w:line="240" w:lineRule="auto"/>
              <w:jc w:val="center"/>
              <w:rPr>
                <w:rFonts w:ascii="Times New Roman" w:hAnsi="Times New Roman" w:cs="Times New Roman"/>
                <w:b/>
                <w:sz w:val="20"/>
                <w:szCs w:val="20"/>
              </w:rPr>
            </w:pPr>
          </w:p>
        </w:tc>
        <w:tc>
          <w:tcPr>
            <w:tcW w:w="1134" w:type="dxa"/>
            <w:shd w:val="clear" w:color="auto" w:fill="FBD4B4" w:themeFill="accent6" w:themeFillTint="66"/>
            <w:vAlign w:val="center"/>
          </w:tcPr>
          <w:p w14:paraId="507AC413" w14:textId="37E35ADB" w:rsidR="006F5436" w:rsidRPr="00AD3BCB" w:rsidRDefault="006F5436" w:rsidP="006F5436">
            <w:pPr>
              <w:spacing w:after="0" w:line="240" w:lineRule="auto"/>
              <w:jc w:val="center"/>
              <w:rPr>
                <w:rFonts w:ascii="Times New Roman" w:hAnsi="Times New Roman" w:cs="Times New Roman"/>
                <w:b/>
                <w:sz w:val="20"/>
                <w:szCs w:val="20"/>
              </w:rPr>
            </w:pPr>
            <w:r w:rsidRPr="00AD3BCB">
              <w:rPr>
                <w:rFonts w:ascii="Times New Roman" w:eastAsia="Times New Roman" w:hAnsi="Times New Roman" w:cs="Times New Roman"/>
                <w:b/>
                <w:bCs/>
                <w:sz w:val="20"/>
                <w:szCs w:val="20"/>
                <w:lang w:eastAsia="lv-LV"/>
              </w:rPr>
              <w:t>2 563 917</w:t>
            </w:r>
          </w:p>
        </w:tc>
        <w:tc>
          <w:tcPr>
            <w:tcW w:w="1134" w:type="dxa"/>
            <w:shd w:val="clear" w:color="auto" w:fill="FBD4B4" w:themeFill="accent6" w:themeFillTint="66"/>
            <w:noWrap/>
            <w:vAlign w:val="center"/>
          </w:tcPr>
          <w:p w14:paraId="10C0F7D4" w14:textId="277B41D9" w:rsidR="006F5436" w:rsidRPr="00AD3BCB" w:rsidRDefault="006F5436" w:rsidP="006F5436">
            <w:pPr>
              <w:spacing w:after="0" w:line="240" w:lineRule="auto"/>
              <w:jc w:val="center"/>
              <w:rPr>
                <w:rFonts w:ascii="Times New Roman" w:eastAsia="Times New Roman" w:hAnsi="Times New Roman" w:cs="Times New Roman"/>
                <w:b/>
                <w:sz w:val="20"/>
                <w:szCs w:val="20"/>
                <w:lang w:eastAsia="lv-LV"/>
              </w:rPr>
            </w:pPr>
            <w:r w:rsidRPr="00AD3BCB">
              <w:rPr>
                <w:rFonts w:ascii="Times New Roman" w:hAnsi="Times New Roman" w:cs="Times New Roman"/>
                <w:b/>
                <w:bCs/>
                <w:color w:val="000000"/>
                <w:sz w:val="20"/>
                <w:szCs w:val="20"/>
              </w:rPr>
              <w:t>2 564 029</w:t>
            </w:r>
          </w:p>
        </w:tc>
        <w:tc>
          <w:tcPr>
            <w:tcW w:w="704" w:type="dxa"/>
            <w:shd w:val="clear" w:color="auto" w:fill="FBD4B4" w:themeFill="accent6" w:themeFillTint="66"/>
            <w:vAlign w:val="center"/>
          </w:tcPr>
          <w:p w14:paraId="55F03B35" w14:textId="0A2A0A2D" w:rsidR="006F5436" w:rsidRPr="00AD3BCB" w:rsidRDefault="006F5436" w:rsidP="006F5436">
            <w:pPr>
              <w:spacing w:after="0" w:line="240" w:lineRule="auto"/>
              <w:jc w:val="center"/>
              <w:rPr>
                <w:rFonts w:ascii="Times New Roman" w:hAnsi="Times New Roman" w:cs="Times New Roman"/>
                <w:b/>
                <w:bCs/>
                <w:sz w:val="20"/>
                <w:szCs w:val="20"/>
              </w:rPr>
            </w:pPr>
            <w:r w:rsidRPr="00AD3BCB">
              <w:rPr>
                <w:rFonts w:ascii="Times New Roman" w:eastAsia="Times New Roman" w:hAnsi="Times New Roman" w:cs="Times New Roman"/>
                <w:b/>
                <w:bCs/>
                <w:sz w:val="20"/>
                <w:szCs w:val="20"/>
                <w:lang w:eastAsia="lv-LV"/>
              </w:rPr>
              <w:t>709</w:t>
            </w:r>
          </w:p>
        </w:tc>
        <w:tc>
          <w:tcPr>
            <w:tcW w:w="709" w:type="dxa"/>
            <w:shd w:val="clear" w:color="auto" w:fill="FBD4B4" w:themeFill="accent6" w:themeFillTint="66"/>
            <w:vAlign w:val="center"/>
          </w:tcPr>
          <w:p w14:paraId="7C1C4D1F" w14:textId="09D515DA" w:rsidR="006F5436" w:rsidRPr="00AD3BCB" w:rsidRDefault="006F5436" w:rsidP="006F5436">
            <w:pPr>
              <w:spacing w:after="0" w:line="240" w:lineRule="auto"/>
              <w:jc w:val="center"/>
              <w:rPr>
                <w:rFonts w:ascii="Times New Roman" w:hAnsi="Times New Roman" w:cs="Times New Roman"/>
                <w:b/>
                <w:bCs/>
                <w:sz w:val="20"/>
                <w:szCs w:val="20"/>
              </w:rPr>
            </w:pPr>
            <w:r w:rsidRPr="00AD3BCB">
              <w:rPr>
                <w:rFonts w:ascii="Times New Roman" w:eastAsia="Times New Roman" w:hAnsi="Times New Roman" w:cs="Times New Roman"/>
                <w:b/>
                <w:bCs/>
                <w:sz w:val="20"/>
                <w:szCs w:val="20"/>
                <w:lang w:eastAsia="lv-LV"/>
              </w:rPr>
              <w:t>689</w:t>
            </w:r>
          </w:p>
        </w:tc>
        <w:tc>
          <w:tcPr>
            <w:tcW w:w="709" w:type="dxa"/>
            <w:shd w:val="clear" w:color="auto" w:fill="FBD4B4" w:themeFill="accent6" w:themeFillTint="66"/>
            <w:vAlign w:val="center"/>
          </w:tcPr>
          <w:p w14:paraId="64C79B8A" w14:textId="4EB3F3D5" w:rsidR="006F5436" w:rsidRPr="00AD3BCB" w:rsidRDefault="006F5436" w:rsidP="006F5436">
            <w:pPr>
              <w:spacing w:after="0" w:line="240" w:lineRule="auto"/>
              <w:jc w:val="center"/>
              <w:rPr>
                <w:rFonts w:ascii="Times New Roman" w:hAnsi="Times New Roman" w:cs="Times New Roman"/>
                <w:b/>
                <w:bCs/>
                <w:sz w:val="20"/>
                <w:szCs w:val="20"/>
              </w:rPr>
            </w:pPr>
            <w:r w:rsidRPr="00AD3BCB">
              <w:rPr>
                <w:rFonts w:ascii="Times New Roman" w:eastAsia="Times New Roman" w:hAnsi="Times New Roman" w:cs="Times New Roman"/>
                <w:b/>
                <w:bCs/>
                <w:sz w:val="20"/>
                <w:szCs w:val="20"/>
                <w:lang w:eastAsia="lv-LV"/>
              </w:rPr>
              <w:t>689</w:t>
            </w:r>
          </w:p>
        </w:tc>
        <w:tc>
          <w:tcPr>
            <w:tcW w:w="850" w:type="dxa"/>
            <w:shd w:val="clear" w:color="auto" w:fill="FBD4B4" w:themeFill="accent6" w:themeFillTint="66"/>
            <w:vAlign w:val="center"/>
          </w:tcPr>
          <w:p w14:paraId="58A6F1F2" w14:textId="77777777" w:rsidR="006F5436" w:rsidRPr="00AD3BCB" w:rsidRDefault="006F5436" w:rsidP="006F5436">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179CB193" w14:textId="0D513E75" w:rsidR="006F5436" w:rsidRPr="00AD3BCB" w:rsidRDefault="006F5436" w:rsidP="006F5436">
            <w:pPr>
              <w:spacing w:after="0" w:line="240" w:lineRule="auto"/>
              <w:jc w:val="center"/>
              <w:rPr>
                <w:rFonts w:ascii="Times New Roman" w:hAnsi="Times New Roman" w:cs="Times New Roman"/>
                <w:b/>
                <w:bCs/>
                <w:sz w:val="20"/>
                <w:szCs w:val="20"/>
              </w:rPr>
            </w:pPr>
            <w:r w:rsidRPr="00AD3BCB">
              <w:rPr>
                <w:rFonts w:ascii="Times New Roman" w:eastAsia="Times New Roman" w:hAnsi="Times New Roman" w:cs="Times New Roman"/>
                <w:b/>
                <w:bCs/>
                <w:sz w:val="20"/>
                <w:szCs w:val="20"/>
                <w:lang w:eastAsia="lv-LV"/>
              </w:rPr>
              <w:t>2356</w:t>
            </w:r>
          </w:p>
        </w:tc>
        <w:tc>
          <w:tcPr>
            <w:tcW w:w="709" w:type="dxa"/>
            <w:shd w:val="clear" w:color="auto" w:fill="FBD4B4" w:themeFill="accent6" w:themeFillTint="66"/>
            <w:noWrap/>
            <w:vAlign w:val="center"/>
          </w:tcPr>
          <w:p w14:paraId="71551404" w14:textId="219F8174" w:rsidR="006F5436" w:rsidRPr="00AD3BCB" w:rsidRDefault="006F5436" w:rsidP="006F5436">
            <w:pPr>
              <w:spacing w:after="0" w:line="240" w:lineRule="auto"/>
              <w:jc w:val="center"/>
              <w:rPr>
                <w:rFonts w:ascii="Times New Roman" w:eastAsia="Times New Roman" w:hAnsi="Times New Roman" w:cs="Times New Roman"/>
                <w:b/>
                <w:bCs/>
                <w:sz w:val="20"/>
                <w:szCs w:val="20"/>
                <w:lang w:eastAsia="lv-LV"/>
              </w:rPr>
            </w:pPr>
            <w:r w:rsidRPr="00AD3BCB">
              <w:rPr>
                <w:rFonts w:ascii="Times New Roman" w:hAnsi="Times New Roman" w:cs="Times New Roman"/>
                <w:b/>
                <w:bCs/>
                <w:sz w:val="20"/>
                <w:szCs w:val="20"/>
              </w:rPr>
              <w:t>2309</w:t>
            </w:r>
          </w:p>
        </w:tc>
      </w:tr>
    </w:tbl>
    <w:p w14:paraId="6FB7827D" w14:textId="516202A0" w:rsidR="00CB4538" w:rsidRPr="00E11AFF" w:rsidRDefault="007C5FAD" w:rsidP="00E11AFF">
      <w:pPr>
        <w:rPr>
          <w:rFonts w:ascii="Times New Roman" w:hAnsi="Times New Roman" w:cs="Times New Roman"/>
          <w:bCs/>
          <w:sz w:val="20"/>
          <w:szCs w:val="20"/>
        </w:rPr>
      </w:pPr>
      <w:r w:rsidRPr="00E11AFF">
        <w:rPr>
          <w:rFonts w:ascii="Times New Roman" w:hAnsi="Times New Roman" w:cs="Times New Roman"/>
          <w:bCs/>
          <w:sz w:val="20"/>
          <w:szCs w:val="20"/>
        </w:rPr>
        <w:t>*vienas vidējās ārstēšanas izmaksas pa diagnožu grupām skatīt 20.tabulā</w:t>
      </w:r>
    </w:p>
    <w:p w14:paraId="601A29D1" w14:textId="77777777" w:rsidR="003B5242" w:rsidRPr="005A68F4" w:rsidRDefault="003B5242" w:rsidP="00A17755">
      <w:pPr>
        <w:rPr>
          <w:rFonts w:ascii="Times New Roman" w:hAnsi="Times New Roman" w:cs="Times New Roman"/>
          <w:i/>
          <w:iCs/>
          <w:sz w:val="24"/>
          <w:szCs w:val="24"/>
        </w:rPr>
        <w:sectPr w:rsidR="003B5242" w:rsidRPr="005A68F4" w:rsidSect="00333B64">
          <w:pgSz w:w="15840" w:h="12240" w:orient="landscape"/>
          <w:pgMar w:top="1701" w:right="1440" w:bottom="1440" w:left="1440" w:header="709" w:footer="709" w:gutter="0"/>
          <w:cols w:space="708"/>
          <w:docGrid w:linePitch="360"/>
        </w:sectPr>
      </w:pPr>
    </w:p>
    <w:p w14:paraId="7CAC27D7" w14:textId="1AB3002B" w:rsidR="000747A9" w:rsidRPr="000747A9" w:rsidRDefault="000747A9" w:rsidP="00A17755">
      <w:pPr>
        <w:rPr>
          <w:rFonts w:ascii="Times New Roman" w:hAnsi="Times New Roman" w:cs="Times New Roman"/>
          <w:i/>
          <w:iCs/>
          <w:sz w:val="24"/>
          <w:szCs w:val="24"/>
        </w:rPr>
      </w:pPr>
    </w:p>
    <w:p w14:paraId="5B520917" w14:textId="5486EBBC" w:rsidR="00245EC9" w:rsidRPr="00245EC9" w:rsidRDefault="00245EC9" w:rsidP="00245EC9">
      <w:pPr>
        <w:spacing w:after="120"/>
        <w:ind w:firstLine="720"/>
        <w:jc w:val="both"/>
        <w:rPr>
          <w:rFonts w:ascii="Times New Roman" w:hAnsi="Times New Roman" w:cs="Times New Roman"/>
          <w:i/>
          <w:iCs/>
          <w:sz w:val="24"/>
          <w:szCs w:val="24"/>
        </w:rPr>
      </w:pPr>
      <w:r w:rsidRPr="00847710">
        <w:rPr>
          <w:rFonts w:ascii="Times New Roman" w:hAnsi="Times New Roman" w:cs="Times New Roman"/>
          <w:sz w:val="24"/>
          <w:szCs w:val="24"/>
          <w:lang w:eastAsia="lv-LV"/>
        </w:rPr>
        <w:t xml:space="preserve">Lai </w:t>
      </w:r>
      <w:r w:rsidR="00FC1982">
        <w:rPr>
          <w:rFonts w:ascii="Times New Roman" w:hAnsi="Times New Roman" w:cs="Times New Roman"/>
          <w:sz w:val="24"/>
          <w:szCs w:val="24"/>
          <w:lang w:eastAsia="lv-LV"/>
        </w:rPr>
        <w:t xml:space="preserve">turpinātu </w:t>
      </w:r>
      <w:r w:rsidRPr="00847710">
        <w:rPr>
          <w:rFonts w:ascii="Times New Roman" w:hAnsi="Times New Roman" w:cs="Times New Roman"/>
          <w:sz w:val="24"/>
          <w:szCs w:val="24"/>
          <w:lang w:eastAsia="lv-LV"/>
        </w:rPr>
        <w:t>mazināt rindas uz plānveida stacionāriem pakalpojumiem personām darbspējīgā vecumā, tādējādi mazinot darba nespējas zudumu, 201</w:t>
      </w:r>
      <w:r>
        <w:rPr>
          <w:rFonts w:ascii="Times New Roman" w:hAnsi="Times New Roman" w:cs="Times New Roman"/>
          <w:sz w:val="24"/>
          <w:szCs w:val="24"/>
          <w:lang w:eastAsia="lv-LV"/>
        </w:rPr>
        <w:t>9</w:t>
      </w:r>
      <w:r w:rsidRPr="00847710">
        <w:rPr>
          <w:rFonts w:ascii="Times New Roman" w:hAnsi="Times New Roman" w:cs="Times New Roman"/>
          <w:sz w:val="24"/>
          <w:szCs w:val="24"/>
          <w:lang w:eastAsia="lv-LV"/>
        </w:rPr>
        <w:t xml:space="preserve">.gadā plānots papildus apmaksāt </w:t>
      </w:r>
      <w:r w:rsidR="00C24C96">
        <w:rPr>
          <w:rFonts w:ascii="Times New Roman" w:hAnsi="Times New Roman" w:cs="Times New Roman"/>
          <w:sz w:val="24"/>
          <w:szCs w:val="24"/>
          <w:lang w:eastAsia="lv-LV"/>
        </w:rPr>
        <w:t>1 620</w:t>
      </w:r>
      <w:r w:rsidRPr="00847710">
        <w:rPr>
          <w:rFonts w:ascii="Times New Roman" w:hAnsi="Times New Roman" w:cs="Times New Roman"/>
          <w:sz w:val="24"/>
          <w:szCs w:val="24"/>
          <w:lang w:eastAsia="lv-LV"/>
        </w:rPr>
        <w:t xml:space="preserve"> plānveida stacionāros pakalpojumus pacientiem darbspējīgā vecumā</w:t>
      </w:r>
      <w:r>
        <w:rPr>
          <w:rFonts w:ascii="Times New Roman" w:hAnsi="Times New Roman" w:cs="Times New Roman"/>
          <w:sz w:val="24"/>
          <w:szCs w:val="24"/>
          <w:vertAlign w:val="superscript"/>
        </w:rPr>
        <w:footnoteReference w:id="12"/>
      </w:r>
      <w:r w:rsidRPr="00847710">
        <w:rPr>
          <w:rFonts w:ascii="Times New Roman" w:hAnsi="Times New Roman" w:cs="Times New Roman"/>
          <w:sz w:val="24"/>
          <w:szCs w:val="24"/>
          <w:lang w:eastAsia="lv-LV"/>
        </w:rPr>
        <w:t>.</w:t>
      </w:r>
    </w:p>
    <w:p w14:paraId="4258B9C9" w14:textId="0CEF709F" w:rsidR="007021E7" w:rsidRPr="00E93259" w:rsidRDefault="00A17755" w:rsidP="704995BB">
      <w:pPr>
        <w:spacing w:after="0"/>
        <w:ind w:firstLine="720"/>
        <w:jc w:val="right"/>
        <w:rPr>
          <w:rFonts w:ascii="Times New Roman" w:hAnsi="Times New Roman" w:cs="Times New Roman"/>
          <w:i/>
          <w:iCs/>
          <w:sz w:val="24"/>
          <w:szCs w:val="24"/>
        </w:rPr>
      </w:pPr>
      <w:r>
        <w:rPr>
          <w:rFonts w:ascii="Times New Roman" w:hAnsi="Times New Roman" w:cs="Times New Roman"/>
          <w:i/>
          <w:iCs/>
          <w:sz w:val="24"/>
          <w:szCs w:val="24"/>
        </w:rPr>
        <w:t>20</w:t>
      </w:r>
      <w:r w:rsidR="0071331A" w:rsidRPr="704995BB">
        <w:rPr>
          <w:rFonts w:ascii="Times New Roman" w:hAnsi="Times New Roman" w:cs="Times New Roman"/>
          <w:i/>
          <w:iCs/>
          <w:sz w:val="24"/>
          <w:szCs w:val="24"/>
        </w:rPr>
        <w:t xml:space="preserve">.tabula </w:t>
      </w:r>
    </w:p>
    <w:p w14:paraId="60DC2876" w14:textId="77777777" w:rsidR="007021E7" w:rsidRPr="00422119" w:rsidRDefault="0071331A">
      <w:pPr>
        <w:jc w:val="center"/>
        <w:rPr>
          <w:rFonts w:ascii="Times New Roman" w:hAnsi="Times New Roman" w:cs="Times New Roman"/>
          <w:b/>
          <w:bCs/>
          <w:sz w:val="24"/>
          <w:szCs w:val="24"/>
        </w:rPr>
      </w:pPr>
      <w:r w:rsidRPr="0012317D">
        <w:rPr>
          <w:rFonts w:ascii="Times New Roman" w:hAnsi="Times New Roman" w:cs="Times New Roman"/>
          <w:b/>
          <w:bCs/>
          <w:sz w:val="24"/>
          <w:szCs w:val="24"/>
        </w:rPr>
        <w:t>Darbnespējas saīsināšanai un pasākumiem prognozējamās invaliditātes novēršanai ar mērķi novērst ilgstošu slimošanu personām darbspējīgā vecumā nepieciešamais finansējums</w:t>
      </w:r>
    </w:p>
    <w:tbl>
      <w:tblPr>
        <w:tblW w:w="9312" w:type="dxa"/>
        <w:jc w:val="center"/>
        <w:tblLook w:val="04A0" w:firstRow="1" w:lastRow="0" w:firstColumn="1" w:lastColumn="0" w:noHBand="0" w:noVBand="1"/>
      </w:tblPr>
      <w:tblGrid>
        <w:gridCol w:w="1418"/>
        <w:gridCol w:w="3211"/>
        <w:gridCol w:w="1417"/>
        <w:gridCol w:w="1701"/>
        <w:gridCol w:w="1565"/>
      </w:tblGrid>
      <w:tr w:rsidR="00591368" w14:paraId="7DA1D192" w14:textId="77777777" w:rsidTr="00AB3E95">
        <w:trPr>
          <w:trHeight w:val="1260"/>
          <w:jc w:val="center"/>
        </w:trPr>
        <w:tc>
          <w:tcPr>
            <w:tcW w:w="141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9092BE7" w14:textId="77777777" w:rsidR="007F52FD" w:rsidRPr="00BE132B" w:rsidRDefault="0071331A" w:rsidP="008D4345">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Diagnožu grupas kods</w:t>
            </w:r>
          </w:p>
        </w:tc>
        <w:tc>
          <w:tcPr>
            <w:tcW w:w="321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6FE6327A" w14:textId="77777777" w:rsidR="007F52FD" w:rsidRPr="00BE132B" w:rsidRDefault="0071331A" w:rsidP="008D4345">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Diagnožu grupas nosaukums</w:t>
            </w:r>
          </w:p>
        </w:tc>
        <w:tc>
          <w:tcPr>
            <w:tcW w:w="14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D2B725F" w14:textId="77777777" w:rsidR="007F52FD" w:rsidRPr="00BE132B" w:rsidRDefault="0071331A" w:rsidP="008D4345">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Pacientu skaits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0FA9753" w14:textId="7A11A9D1" w:rsidR="007F52FD" w:rsidRPr="00BE132B" w:rsidRDefault="0071331A" w:rsidP="008D4345">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 xml:space="preserve">Vidējā viena pacienta izmaksa </w:t>
            </w:r>
            <w:r w:rsidR="00BC020F" w:rsidRPr="00BE132B">
              <w:rPr>
                <w:rFonts w:ascii="Times New Roman" w:eastAsia="Times New Roman" w:hAnsi="Times New Roman" w:cs="Times New Roman"/>
                <w:color w:val="000000"/>
                <w:sz w:val="20"/>
                <w:szCs w:val="20"/>
                <w:lang w:eastAsia="lv-LV"/>
              </w:rPr>
              <w:t>2019</w:t>
            </w:r>
            <w:r w:rsidRPr="00BE132B">
              <w:rPr>
                <w:rFonts w:ascii="Times New Roman" w:eastAsia="Times New Roman" w:hAnsi="Times New Roman" w:cs="Times New Roman"/>
                <w:color w:val="000000"/>
                <w:sz w:val="20"/>
                <w:szCs w:val="20"/>
                <w:lang w:eastAsia="lv-LV"/>
              </w:rPr>
              <w:t>.gads</w:t>
            </w:r>
          </w:p>
          <w:p w14:paraId="36CF90B0" w14:textId="0314C83C" w:rsidR="0034296E" w:rsidRPr="00BE132B" w:rsidRDefault="0034296E" w:rsidP="008D4345">
            <w:pPr>
              <w:spacing w:after="0" w:line="240" w:lineRule="auto"/>
              <w:jc w:val="center"/>
              <w:rPr>
                <w:rFonts w:ascii="Times New Roman" w:eastAsia="Times New Roman" w:hAnsi="Times New Roman" w:cs="Times New Roman"/>
                <w:i/>
                <w:color w:val="000000"/>
                <w:sz w:val="20"/>
                <w:szCs w:val="20"/>
                <w:lang w:eastAsia="lv-LV"/>
              </w:rPr>
            </w:pPr>
            <w:r w:rsidRPr="00BE132B">
              <w:rPr>
                <w:rFonts w:ascii="Times New Roman" w:eastAsia="Times New Roman" w:hAnsi="Times New Roman" w:cs="Times New Roman"/>
                <w:i/>
                <w:color w:val="000000"/>
                <w:sz w:val="20"/>
                <w:szCs w:val="20"/>
                <w:lang w:eastAsia="lv-LV"/>
              </w:rPr>
              <w:t>euro</w:t>
            </w:r>
          </w:p>
        </w:tc>
        <w:tc>
          <w:tcPr>
            <w:tcW w:w="156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787E741" w14:textId="77777777" w:rsidR="007F52FD" w:rsidRPr="00BE132B" w:rsidRDefault="0071331A" w:rsidP="008D4345">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Izmaksas 201</w:t>
            </w:r>
            <w:r w:rsidR="00DF2282" w:rsidRPr="00BE132B">
              <w:rPr>
                <w:rFonts w:ascii="Times New Roman" w:eastAsia="Times New Roman" w:hAnsi="Times New Roman" w:cs="Times New Roman"/>
                <w:color w:val="000000"/>
                <w:sz w:val="20"/>
                <w:szCs w:val="20"/>
                <w:lang w:eastAsia="lv-LV"/>
              </w:rPr>
              <w:t>9</w:t>
            </w:r>
            <w:r w:rsidRPr="00BE132B">
              <w:rPr>
                <w:rFonts w:ascii="Times New Roman" w:eastAsia="Times New Roman" w:hAnsi="Times New Roman" w:cs="Times New Roman"/>
                <w:color w:val="000000"/>
                <w:sz w:val="20"/>
                <w:szCs w:val="20"/>
                <w:lang w:eastAsia="lv-LV"/>
              </w:rPr>
              <w:t>.gads</w:t>
            </w:r>
          </w:p>
          <w:p w14:paraId="53EE7240" w14:textId="2D4A34BF" w:rsidR="0034296E" w:rsidRPr="00BE132B" w:rsidRDefault="0034296E" w:rsidP="008D4345">
            <w:pPr>
              <w:spacing w:after="0" w:line="240" w:lineRule="auto"/>
              <w:jc w:val="center"/>
              <w:rPr>
                <w:rFonts w:ascii="Times New Roman" w:eastAsia="Times New Roman" w:hAnsi="Times New Roman" w:cs="Times New Roman"/>
                <w:i/>
                <w:color w:val="000000"/>
                <w:sz w:val="20"/>
                <w:szCs w:val="20"/>
                <w:lang w:eastAsia="lv-LV"/>
              </w:rPr>
            </w:pPr>
            <w:r w:rsidRPr="00BE132B">
              <w:rPr>
                <w:rFonts w:ascii="Times New Roman" w:eastAsia="Times New Roman" w:hAnsi="Times New Roman" w:cs="Times New Roman"/>
                <w:i/>
                <w:color w:val="000000"/>
                <w:sz w:val="20"/>
                <w:szCs w:val="20"/>
                <w:lang w:eastAsia="lv-LV"/>
              </w:rPr>
              <w:t>euro</w:t>
            </w:r>
          </w:p>
        </w:tc>
      </w:tr>
      <w:tr w:rsidR="00A67089" w14:paraId="10ECA13F"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C374"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H00...H59</w:t>
            </w:r>
          </w:p>
        </w:tc>
        <w:tc>
          <w:tcPr>
            <w:tcW w:w="3211" w:type="dxa"/>
            <w:tcBorders>
              <w:top w:val="single" w:sz="4" w:space="0" w:color="auto"/>
              <w:left w:val="nil"/>
              <w:bottom w:val="single" w:sz="4" w:space="0" w:color="auto"/>
              <w:right w:val="single" w:sz="4" w:space="0" w:color="auto"/>
            </w:tcBorders>
            <w:vAlign w:val="bottom"/>
          </w:tcPr>
          <w:p w14:paraId="2CE404E5"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Acu un to palīgorgānu slimības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912B" w14:textId="624CF337"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174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79FF82" w14:textId="3D1B7752"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395</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00</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624BCC61" w14:textId="61BD65AB"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68 730</w:t>
            </w:r>
          </w:p>
        </w:tc>
      </w:tr>
      <w:tr w:rsidR="00A67089" w14:paraId="2C88D781"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F2B8F7"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I00...I99</w:t>
            </w:r>
          </w:p>
        </w:tc>
        <w:tc>
          <w:tcPr>
            <w:tcW w:w="3211" w:type="dxa"/>
            <w:tcBorders>
              <w:top w:val="single" w:sz="4" w:space="0" w:color="auto"/>
              <w:left w:val="nil"/>
              <w:bottom w:val="single" w:sz="4" w:space="0" w:color="auto"/>
              <w:right w:val="single" w:sz="4" w:space="0" w:color="auto"/>
            </w:tcBorders>
            <w:vAlign w:val="bottom"/>
          </w:tcPr>
          <w:p w14:paraId="5AAEB5B8"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Asinsrites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7E3373" w14:textId="39F24C01"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216</w:t>
            </w:r>
          </w:p>
        </w:tc>
        <w:tc>
          <w:tcPr>
            <w:tcW w:w="1701" w:type="dxa"/>
            <w:tcBorders>
              <w:top w:val="nil"/>
              <w:left w:val="nil"/>
              <w:bottom w:val="single" w:sz="4" w:space="0" w:color="auto"/>
              <w:right w:val="single" w:sz="4" w:space="0" w:color="auto"/>
            </w:tcBorders>
            <w:shd w:val="clear" w:color="auto" w:fill="auto"/>
            <w:noWrap/>
            <w:vAlign w:val="center"/>
            <w:hideMark/>
          </w:tcPr>
          <w:p w14:paraId="3388BA4A" w14:textId="1F5A9802"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3 480</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80</w:t>
            </w:r>
          </w:p>
        </w:tc>
        <w:tc>
          <w:tcPr>
            <w:tcW w:w="1565" w:type="dxa"/>
            <w:tcBorders>
              <w:top w:val="nil"/>
              <w:left w:val="nil"/>
              <w:bottom w:val="single" w:sz="4" w:space="0" w:color="auto"/>
              <w:right w:val="single" w:sz="4" w:space="0" w:color="auto"/>
            </w:tcBorders>
            <w:shd w:val="clear" w:color="auto" w:fill="auto"/>
            <w:noWrap/>
            <w:vAlign w:val="center"/>
            <w:hideMark/>
          </w:tcPr>
          <w:p w14:paraId="1F5F77EF" w14:textId="71864FCD"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751 853</w:t>
            </w:r>
          </w:p>
        </w:tc>
      </w:tr>
      <w:tr w:rsidR="00A67089" w14:paraId="2AD17866"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C034E0"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C00...D48</w:t>
            </w:r>
          </w:p>
        </w:tc>
        <w:tc>
          <w:tcPr>
            <w:tcW w:w="3211" w:type="dxa"/>
            <w:tcBorders>
              <w:top w:val="single" w:sz="4" w:space="0" w:color="auto"/>
              <w:left w:val="nil"/>
              <w:bottom w:val="single" w:sz="4" w:space="0" w:color="auto"/>
              <w:right w:val="single" w:sz="4" w:space="0" w:color="auto"/>
            </w:tcBorders>
            <w:vAlign w:val="bottom"/>
          </w:tcPr>
          <w:p w14:paraId="20B93404"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Audzēji</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0D5198" w14:textId="48B06BD3"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14:paraId="260033C0" w14:textId="33255D56"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782</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29</w:t>
            </w:r>
          </w:p>
        </w:tc>
        <w:tc>
          <w:tcPr>
            <w:tcW w:w="1565" w:type="dxa"/>
            <w:tcBorders>
              <w:top w:val="nil"/>
              <w:left w:val="nil"/>
              <w:bottom w:val="single" w:sz="4" w:space="0" w:color="auto"/>
              <w:right w:val="single" w:sz="4" w:space="0" w:color="auto"/>
            </w:tcBorders>
            <w:shd w:val="clear" w:color="auto" w:fill="auto"/>
            <w:noWrap/>
            <w:vAlign w:val="center"/>
            <w:hideMark/>
          </w:tcPr>
          <w:p w14:paraId="70CE0638" w14:textId="3B7A845C"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8 605</w:t>
            </w:r>
          </w:p>
        </w:tc>
      </w:tr>
      <w:tr w:rsidR="00A67089" w14:paraId="006CB9E5"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C03B46D" w14:textId="58F6CEA3"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D50…D89</w:t>
            </w:r>
          </w:p>
        </w:tc>
        <w:tc>
          <w:tcPr>
            <w:tcW w:w="3211" w:type="dxa"/>
            <w:tcBorders>
              <w:top w:val="single" w:sz="4" w:space="0" w:color="auto"/>
              <w:left w:val="nil"/>
              <w:bottom w:val="single" w:sz="4" w:space="0" w:color="auto"/>
              <w:right w:val="single" w:sz="4" w:space="0" w:color="auto"/>
            </w:tcBorders>
            <w:vAlign w:val="bottom"/>
          </w:tcPr>
          <w:p w14:paraId="352DB60E" w14:textId="518075A9"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Asins un asinsrades orgānu slimības un noteikti imūnsistēmas traucējumi</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5AE05B0" w14:textId="66348846"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tcPr>
          <w:p w14:paraId="701CF92A" w14:textId="085CD0E1"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1 241</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53</w:t>
            </w:r>
          </w:p>
        </w:tc>
        <w:tc>
          <w:tcPr>
            <w:tcW w:w="1565" w:type="dxa"/>
            <w:tcBorders>
              <w:top w:val="nil"/>
              <w:left w:val="nil"/>
              <w:bottom w:val="single" w:sz="4" w:space="0" w:color="auto"/>
              <w:right w:val="single" w:sz="4" w:space="0" w:color="auto"/>
            </w:tcBorders>
            <w:shd w:val="clear" w:color="auto" w:fill="auto"/>
            <w:noWrap/>
            <w:vAlign w:val="center"/>
          </w:tcPr>
          <w:p w14:paraId="228FC45C" w14:textId="27FADF5B" w:rsidR="00A67089" w:rsidRPr="00BE132B" w:rsidRDefault="00A67089" w:rsidP="00A67089">
            <w:pPr>
              <w:spacing w:after="0" w:line="240" w:lineRule="auto"/>
              <w:jc w:val="center"/>
              <w:rPr>
                <w:rFonts w:ascii="Times New Roman" w:hAnsi="Times New Roman" w:cs="Times New Roman"/>
                <w:color w:val="000000"/>
                <w:sz w:val="20"/>
                <w:szCs w:val="20"/>
              </w:rPr>
            </w:pPr>
            <w:r w:rsidRPr="00BE132B">
              <w:rPr>
                <w:rFonts w:ascii="Times New Roman" w:hAnsi="Times New Roman" w:cs="Times New Roman"/>
                <w:color w:val="000000"/>
                <w:sz w:val="20"/>
                <w:szCs w:val="20"/>
              </w:rPr>
              <w:t>1 242</w:t>
            </w:r>
          </w:p>
        </w:tc>
      </w:tr>
      <w:tr w:rsidR="00A67089" w14:paraId="199AA7D4"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04A3D1"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K00...K93</w:t>
            </w:r>
          </w:p>
        </w:tc>
        <w:tc>
          <w:tcPr>
            <w:tcW w:w="3211" w:type="dxa"/>
            <w:tcBorders>
              <w:top w:val="single" w:sz="4" w:space="0" w:color="auto"/>
              <w:left w:val="nil"/>
              <w:bottom w:val="single" w:sz="4" w:space="0" w:color="auto"/>
              <w:right w:val="single" w:sz="4" w:space="0" w:color="auto"/>
            </w:tcBorders>
            <w:vAlign w:val="bottom"/>
          </w:tcPr>
          <w:p w14:paraId="6A0D5CB2"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Gremošanas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A9F55A" w14:textId="5E577F99"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C364BA0" w14:textId="5DC6ECBE"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248</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57</w:t>
            </w:r>
          </w:p>
        </w:tc>
        <w:tc>
          <w:tcPr>
            <w:tcW w:w="1565" w:type="dxa"/>
            <w:tcBorders>
              <w:top w:val="nil"/>
              <w:left w:val="nil"/>
              <w:bottom w:val="single" w:sz="4" w:space="0" w:color="auto"/>
              <w:right w:val="single" w:sz="4" w:space="0" w:color="auto"/>
            </w:tcBorders>
            <w:shd w:val="clear" w:color="auto" w:fill="auto"/>
            <w:noWrap/>
            <w:vAlign w:val="center"/>
            <w:hideMark/>
          </w:tcPr>
          <w:p w14:paraId="69FFE900" w14:textId="33751EE6"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249</w:t>
            </w:r>
          </w:p>
        </w:tc>
      </w:tr>
      <w:tr w:rsidR="00A67089" w14:paraId="5848199F" w14:textId="77777777" w:rsidTr="00AB3E95">
        <w:trPr>
          <w:trHeight w:val="55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252909"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S00...T98</w:t>
            </w:r>
          </w:p>
        </w:tc>
        <w:tc>
          <w:tcPr>
            <w:tcW w:w="3211" w:type="dxa"/>
            <w:tcBorders>
              <w:top w:val="single" w:sz="4" w:space="0" w:color="auto"/>
              <w:left w:val="nil"/>
              <w:bottom w:val="single" w:sz="4" w:space="0" w:color="auto"/>
              <w:right w:val="single" w:sz="4" w:space="0" w:color="auto"/>
            </w:tcBorders>
            <w:vAlign w:val="bottom"/>
          </w:tcPr>
          <w:p w14:paraId="75A420DF"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Ievainojumi, saindēšanās un citas ārējās iedarbes sekas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48E0CB7" w14:textId="2F2F2A48"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131</w:t>
            </w:r>
          </w:p>
        </w:tc>
        <w:tc>
          <w:tcPr>
            <w:tcW w:w="1701" w:type="dxa"/>
            <w:tcBorders>
              <w:top w:val="nil"/>
              <w:left w:val="nil"/>
              <w:bottom w:val="single" w:sz="4" w:space="0" w:color="auto"/>
              <w:right w:val="single" w:sz="4" w:space="0" w:color="auto"/>
            </w:tcBorders>
            <w:shd w:val="clear" w:color="auto" w:fill="auto"/>
            <w:noWrap/>
            <w:vAlign w:val="center"/>
            <w:hideMark/>
          </w:tcPr>
          <w:p w14:paraId="488A8C24" w14:textId="3F75E5FF"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676</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81</w:t>
            </w:r>
          </w:p>
        </w:tc>
        <w:tc>
          <w:tcPr>
            <w:tcW w:w="1565" w:type="dxa"/>
            <w:tcBorders>
              <w:top w:val="nil"/>
              <w:left w:val="nil"/>
              <w:bottom w:val="single" w:sz="4" w:space="0" w:color="auto"/>
              <w:right w:val="single" w:sz="4" w:space="0" w:color="auto"/>
            </w:tcBorders>
            <w:shd w:val="clear" w:color="auto" w:fill="auto"/>
            <w:noWrap/>
            <w:vAlign w:val="center"/>
            <w:hideMark/>
          </w:tcPr>
          <w:p w14:paraId="062F1BBF" w14:textId="2905394F"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88 662</w:t>
            </w:r>
          </w:p>
        </w:tc>
      </w:tr>
      <w:tr w:rsidR="00A67089" w14:paraId="374855D7"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BBB2E" w14:textId="77777777" w:rsidR="00A67089" w:rsidRPr="00BE132B" w:rsidRDefault="00A67089" w:rsidP="00A67089">
            <w:pPr>
              <w:spacing w:after="0" w:line="240" w:lineRule="auto"/>
              <w:jc w:val="center"/>
              <w:rPr>
                <w:rFonts w:ascii="Times New Roman" w:eastAsia="Times New Roman" w:hAnsi="Times New Roman" w:cs="Times New Roman"/>
                <w:b/>
                <w:bCs/>
                <w:color w:val="000000"/>
                <w:sz w:val="20"/>
                <w:szCs w:val="20"/>
                <w:lang w:eastAsia="lv-LV"/>
              </w:rPr>
            </w:pPr>
            <w:r w:rsidRPr="00BE132B">
              <w:rPr>
                <w:rFonts w:ascii="Times New Roman" w:eastAsia="Times New Roman" w:hAnsi="Times New Roman" w:cs="Times New Roman"/>
                <w:b/>
                <w:bCs/>
                <w:color w:val="000000"/>
                <w:sz w:val="20"/>
                <w:szCs w:val="20"/>
                <w:lang w:eastAsia="lv-LV"/>
              </w:rPr>
              <w:t> </w:t>
            </w:r>
          </w:p>
        </w:tc>
        <w:tc>
          <w:tcPr>
            <w:tcW w:w="3211" w:type="dxa"/>
            <w:tcBorders>
              <w:top w:val="single" w:sz="4" w:space="0" w:color="auto"/>
              <w:left w:val="nil"/>
              <w:bottom w:val="single" w:sz="4" w:space="0" w:color="auto"/>
              <w:right w:val="single" w:sz="4" w:space="0" w:color="auto"/>
            </w:tcBorders>
            <w:vAlign w:val="bottom"/>
          </w:tcPr>
          <w:p w14:paraId="1A18CC6C"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Mikrodiskektomija, mikrofenestrācija jostas daļā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7169D" w14:textId="48746517"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582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DB5489" w14:textId="3456F195"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1 014</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62</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1646DAE6" w14:textId="067EACE3"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590 509</w:t>
            </w:r>
          </w:p>
        </w:tc>
      </w:tr>
      <w:tr w:rsidR="00A67089" w14:paraId="6E26DF66"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D11D9FE"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G00...G99</w:t>
            </w:r>
          </w:p>
        </w:tc>
        <w:tc>
          <w:tcPr>
            <w:tcW w:w="3211" w:type="dxa"/>
            <w:tcBorders>
              <w:top w:val="single" w:sz="4" w:space="0" w:color="auto"/>
              <w:left w:val="nil"/>
              <w:bottom w:val="single" w:sz="4" w:space="0" w:color="auto"/>
              <w:right w:val="single" w:sz="4" w:space="0" w:color="auto"/>
            </w:tcBorders>
            <w:vAlign w:val="bottom"/>
          </w:tcPr>
          <w:p w14:paraId="60E4CAA6"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Nervu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43F395E" w14:textId="44BB2614"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488896AD" w14:textId="5AB0AE26"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1 116</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40</w:t>
            </w:r>
          </w:p>
        </w:tc>
        <w:tc>
          <w:tcPr>
            <w:tcW w:w="1565" w:type="dxa"/>
            <w:tcBorders>
              <w:top w:val="nil"/>
              <w:left w:val="nil"/>
              <w:bottom w:val="single" w:sz="4" w:space="0" w:color="auto"/>
              <w:right w:val="single" w:sz="4" w:space="0" w:color="auto"/>
            </w:tcBorders>
            <w:shd w:val="clear" w:color="auto" w:fill="auto"/>
            <w:noWrap/>
            <w:vAlign w:val="center"/>
            <w:hideMark/>
          </w:tcPr>
          <w:p w14:paraId="3B094849" w14:textId="4715BC53"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8 931</w:t>
            </w:r>
          </w:p>
        </w:tc>
      </w:tr>
      <w:tr w:rsidR="00A67089" w14:paraId="2F766386"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5545D0"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M00...M99</w:t>
            </w:r>
          </w:p>
        </w:tc>
        <w:tc>
          <w:tcPr>
            <w:tcW w:w="3211" w:type="dxa"/>
            <w:tcBorders>
              <w:top w:val="single" w:sz="4" w:space="0" w:color="auto"/>
              <w:left w:val="nil"/>
              <w:bottom w:val="single" w:sz="4" w:space="0" w:color="auto"/>
              <w:right w:val="single" w:sz="4" w:space="0" w:color="auto"/>
            </w:tcBorders>
            <w:vAlign w:val="bottom"/>
          </w:tcPr>
          <w:p w14:paraId="36641CD9" w14:textId="7777777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Skeleta, muskuļu un saistaudu slimības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9B373F8" w14:textId="27E691CC"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483</w:t>
            </w:r>
          </w:p>
        </w:tc>
        <w:tc>
          <w:tcPr>
            <w:tcW w:w="1701" w:type="dxa"/>
            <w:tcBorders>
              <w:top w:val="nil"/>
              <w:left w:val="nil"/>
              <w:bottom w:val="single" w:sz="4" w:space="0" w:color="auto"/>
              <w:right w:val="single" w:sz="4" w:space="0" w:color="auto"/>
            </w:tcBorders>
            <w:shd w:val="clear" w:color="auto" w:fill="auto"/>
            <w:noWrap/>
            <w:vAlign w:val="center"/>
            <w:hideMark/>
          </w:tcPr>
          <w:p w14:paraId="3474C158" w14:textId="53740A30"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1 806</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49</w:t>
            </w:r>
          </w:p>
        </w:tc>
        <w:tc>
          <w:tcPr>
            <w:tcW w:w="1565" w:type="dxa"/>
            <w:tcBorders>
              <w:top w:val="nil"/>
              <w:left w:val="nil"/>
              <w:bottom w:val="single" w:sz="4" w:space="0" w:color="auto"/>
              <w:right w:val="single" w:sz="4" w:space="0" w:color="auto"/>
            </w:tcBorders>
            <w:shd w:val="clear" w:color="auto" w:fill="auto"/>
            <w:noWrap/>
            <w:vAlign w:val="center"/>
            <w:hideMark/>
          </w:tcPr>
          <w:p w14:paraId="7E2A150C" w14:textId="25B7AD6E"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872 535</w:t>
            </w:r>
          </w:p>
        </w:tc>
      </w:tr>
      <w:tr w:rsidR="00A67089" w14:paraId="0EC26985"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4D063" w14:textId="2E9DE4F4"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H60-H95</w:t>
            </w:r>
          </w:p>
        </w:tc>
        <w:tc>
          <w:tcPr>
            <w:tcW w:w="3211" w:type="dxa"/>
            <w:tcBorders>
              <w:top w:val="single" w:sz="4" w:space="0" w:color="auto"/>
              <w:left w:val="nil"/>
              <w:bottom w:val="single" w:sz="4" w:space="0" w:color="auto"/>
              <w:right w:val="single" w:sz="4" w:space="0" w:color="auto"/>
            </w:tcBorders>
            <w:vAlign w:val="bottom"/>
          </w:tcPr>
          <w:p w14:paraId="5E4B5575" w14:textId="0FF075DA"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Ausu un aizauss paugura slimības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4E23" w14:textId="12850E36"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344605" w14:textId="157ED867"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23 559</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07</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6F6EF538" w14:textId="3E40B665"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164 913</w:t>
            </w:r>
          </w:p>
        </w:tc>
      </w:tr>
      <w:tr w:rsidR="00A67089" w14:paraId="57F0D3D6"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13122" w14:textId="4E9EF6C8"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F00-F99</w:t>
            </w:r>
          </w:p>
        </w:tc>
        <w:tc>
          <w:tcPr>
            <w:tcW w:w="3211" w:type="dxa"/>
            <w:tcBorders>
              <w:top w:val="single" w:sz="4" w:space="0" w:color="auto"/>
              <w:left w:val="nil"/>
              <w:bottom w:val="single" w:sz="4" w:space="0" w:color="auto"/>
              <w:right w:val="single" w:sz="4" w:space="0" w:color="auto"/>
            </w:tcBorders>
            <w:vAlign w:val="bottom"/>
          </w:tcPr>
          <w:p w14:paraId="4F26D8F7" w14:textId="1C502E3C"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Psihiski un uzvedības traucējumi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E6010" w14:textId="53A20566"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98019B" w14:textId="09B6098D"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63</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38</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65826F33" w14:textId="2799247D" w:rsidR="00A67089" w:rsidRPr="00BE132B" w:rsidRDefault="00A67089" w:rsidP="00A67089">
            <w:pPr>
              <w:spacing w:after="0" w:line="240" w:lineRule="auto"/>
              <w:jc w:val="center"/>
              <w:rPr>
                <w:rFonts w:ascii="Times New Roman" w:hAnsi="Times New Roman" w:cs="Times New Roman"/>
                <w:color w:val="000000"/>
                <w:sz w:val="20"/>
                <w:szCs w:val="20"/>
              </w:rPr>
            </w:pPr>
            <w:r w:rsidRPr="00BE132B">
              <w:rPr>
                <w:rFonts w:ascii="Times New Roman" w:hAnsi="Times New Roman" w:cs="Times New Roman"/>
                <w:color w:val="000000"/>
                <w:sz w:val="20"/>
                <w:szCs w:val="20"/>
              </w:rPr>
              <w:t>127</w:t>
            </w:r>
          </w:p>
        </w:tc>
      </w:tr>
      <w:tr w:rsidR="00A67089" w14:paraId="63F0E23C"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C6144" w14:textId="502DD930"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Q00-Q99</w:t>
            </w:r>
          </w:p>
        </w:tc>
        <w:tc>
          <w:tcPr>
            <w:tcW w:w="3211" w:type="dxa"/>
            <w:tcBorders>
              <w:top w:val="single" w:sz="4" w:space="0" w:color="auto"/>
              <w:left w:val="nil"/>
              <w:bottom w:val="single" w:sz="4" w:space="0" w:color="auto"/>
              <w:right w:val="single" w:sz="4" w:space="0" w:color="auto"/>
            </w:tcBorders>
            <w:vAlign w:val="bottom"/>
          </w:tcPr>
          <w:p w14:paraId="60CC5CAC" w14:textId="477C5FD7" w:rsidR="00A67089" w:rsidRPr="00BE132B" w:rsidRDefault="00A67089" w:rsidP="00A67089">
            <w:pPr>
              <w:spacing w:after="0" w:line="240" w:lineRule="auto"/>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Iedzimtas kroplības, deformācijas un hromosomu anomālijas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C0CB3" w14:textId="3919A714"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hAnsi="Times New Roman" w:cs="Times New Roman"/>
                <w:color w:val="000000"/>
                <w:sz w:val="20"/>
                <w:szCs w:val="20"/>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4FFD2E" w14:textId="25B4B14C" w:rsidR="00A67089" w:rsidRPr="00BE132B" w:rsidRDefault="00A67089" w:rsidP="00A67089">
            <w:pPr>
              <w:spacing w:after="0" w:line="240" w:lineRule="auto"/>
              <w:jc w:val="center"/>
              <w:rPr>
                <w:rFonts w:ascii="Times New Roman" w:eastAsia="Times New Roman" w:hAnsi="Times New Roman" w:cs="Times New Roman"/>
                <w:color w:val="000000"/>
                <w:sz w:val="20"/>
                <w:szCs w:val="20"/>
                <w:lang w:eastAsia="lv-LV"/>
              </w:rPr>
            </w:pPr>
            <w:r w:rsidRPr="00BE132B">
              <w:rPr>
                <w:rFonts w:ascii="Times New Roman" w:eastAsia="Times New Roman" w:hAnsi="Times New Roman" w:cs="Times New Roman"/>
                <w:color w:val="000000"/>
                <w:sz w:val="20"/>
                <w:szCs w:val="20"/>
                <w:lang w:eastAsia="lv-LV"/>
              </w:rPr>
              <w:t>1</w:t>
            </w:r>
            <w:r w:rsidR="002575DC" w:rsidRPr="00BE132B">
              <w:rPr>
                <w:rFonts w:ascii="Times New Roman" w:eastAsia="Times New Roman" w:hAnsi="Times New Roman" w:cs="Times New Roman"/>
                <w:color w:val="000000"/>
                <w:sz w:val="20"/>
                <w:szCs w:val="20"/>
                <w:lang w:eastAsia="lv-LV"/>
              </w:rPr>
              <w:t> </w:t>
            </w:r>
            <w:r w:rsidRPr="00BE132B">
              <w:rPr>
                <w:rFonts w:ascii="Times New Roman" w:eastAsia="Times New Roman" w:hAnsi="Times New Roman" w:cs="Times New Roman"/>
                <w:color w:val="000000"/>
                <w:sz w:val="20"/>
                <w:szCs w:val="20"/>
                <w:lang w:eastAsia="lv-LV"/>
              </w:rPr>
              <w:t>096</w:t>
            </w:r>
            <w:r w:rsidR="002575DC" w:rsidRPr="00BE132B">
              <w:rPr>
                <w:rFonts w:ascii="Times New Roman" w:eastAsia="Times New Roman" w:hAnsi="Times New Roman" w:cs="Times New Roman"/>
                <w:color w:val="000000"/>
                <w:sz w:val="20"/>
                <w:szCs w:val="20"/>
                <w:lang w:eastAsia="lv-LV"/>
              </w:rPr>
              <w:t>,</w:t>
            </w:r>
            <w:r w:rsidRPr="00BE132B">
              <w:rPr>
                <w:rFonts w:ascii="Times New Roman" w:eastAsia="Times New Roman" w:hAnsi="Times New Roman" w:cs="Times New Roman"/>
                <w:color w:val="000000"/>
                <w:sz w:val="20"/>
                <w:szCs w:val="20"/>
                <w:lang w:eastAsia="lv-LV"/>
              </w:rPr>
              <w:t>13</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6FB0927E" w14:textId="200273F9" w:rsidR="00A67089" w:rsidRPr="00BE132B" w:rsidRDefault="00A67089" w:rsidP="00A67089">
            <w:pPr>
              <w:spacing w:after="0" w:line="240" w:lineRule="auto"/>
              <w:jc w:val="center"/>
              <w:rPr>
                <w:rFonts w:ascii="Times New Roman" w:hAnsi="Times New Roman" w:cs="Times New Roman"/>
                <w:color w:val="000000"/>
                <w:sz w:val="20"/>
                <w:szCs w:val="20"/>
              </w:rPr>
            </w:pPr>
            <w:r w:rsidRPr="00BE132B">
              <w:rPr>
                <w:rFonts w:ascii="Times New Roman" w:hAnsi="Times New Roman" w:cs="Times New Roman"/>
                <w:color w:val="000000"/>
                <w:sz w:val="20"/>
                <w:szCs w:val="20"/>
              </w:rPr>
              <w:t>7 673</w:t>
            </w:r>
          </w:p>
        </w:tc>
      </w:tr>
      <w:tr w:rsidR="00591368" w14:paraId="5C587B1A"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5356D6AD" w14:textId="77777777" w:rsidR="007F52FD" w:rsidRPr="00BE132B" w:rsidRDefault="0071331A" w:rsidP="00422119">
            <w:pPr>
              <w:spacing w:after="0" w:line="240" w:lineRule="auto"/>
              <w:jc w:val="right"/>
              <w:rPr>
                <w:rFonts w:ascii="Times New Roman" w:eastAsia="Times New Roman" w:hAnsi="Times New Roman" w:cs="Times New Roman"/>
                <w:b/>
                <w:bCs/>
                <w:color w:val="000000"/>
                <w:sz w:val="20"/>
                <w:szCs w:val="20"/>
                <w:lang w:eastAsia="lv-LV"/>
              </w:rPr>
            </w:pPr>
            <w:r w:rsidRPr="00BE132B">
              <w:rPr>
                <w:rFonts w:ascii="Times New Roman" w:eastAsia="Times New Roman" w:hAnsi="Times New Roman" w:cs="Times New Roman"/>
                <w:b/>
                <w:bCs/>
                <w:color w:val="000000"/>
                <w:sz w:val="20"/>
                <w:szCs w:val="20"/>
                <w:lang w:eastAsia="lv-LV"/>
              </w:rPr>
              <w:t>Kopā</w:t>
            </w:r>
          </w:p>
        </w:tc>
        <w:tc>
          <w:tcPr>
            <w:tcW w:w="321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769000" w14:textId="77777777" w:rsidR="007F52FD" w:rsidRPr="00BE132B" w:rsidRDefault="007F52FD" w:rsidP="008D4345">
            <w:pPr>
              <w:spacing w:after="0" w:line="240" w:lineRule="auto"/>
              <w:jc w:val="right"/>
              <w:rPr>
                <w:rFonts w:ascii="Times New Roman" w:eastAsia="Times New Roman" w:hAnsi="Times New Roman" w:cs="Times New Roman"/>
                <w:b/>
                <w:color w:val="000000"/>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07F3214" w14:textId="1927D640" w:rsidR="007F52FD" w:rsidRPr="00BE132B" w:rsidRDefault="00A67089" w:rsidP="00422119">
            <w:pPr>
              <w:spacing w:after="0" w:line="240" w:lineRule="auto"/>
              <w:jc w:val="center"/>
              <w:rPr>
                <w:rFonts w:ascii="Times New Roman" w:eastAsia="Times New Roman" w:hAnsi="Times New Roman" w:cs="Times New Roman"/>
                <w:b/>
                <w:bCs/>
                <w:color w:val="000000" w:themeColor="text1"/>
                <w:sz w:val="20"/>
                <w:szCs w:val="20"/>
                <w:lang w:eastAsia="lv-LV"/>
              </w:rPr>
            </w:pPr>
            <w:r w:rsidRPr="00BE132B">
              <w:rPr>
                <w:rFonts w:ascii="Times New Roman" w:eastAsia="Times New Roman" w:hAnsi="Times New Roman" w:cs="Times New Roman"/>
                <w:b/>
                <w:bCs/>
                <w:color w:val="000000"/>
                <w:sz w:val="20"/>
                <w:szCs w:val="20"/>
                <w:lang w:eastAsia="lv-LV"/>
              </w:rPr>
              <w:t>1 620</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5AB1208D" w14:textId="77777777" w:rsidR="007F52FD" w:rsidRPr="00BE132B" w:rsidRDefault="007F52FD" w:rsidP="00AB7C24">
            <w:pPr>
              <w:spacing w:after="0" w:line="240" w:lineRule="auto"/>
              <w:jc w:val="center"/>
              <w:rPr>
                <w:rFonts w:ascii="Times New Roman" w:eastAsia="Times New Roman" w:hAnsi="Times New Roman" w:cs="Times New Roman"/>
                <w:b/>
                <w:sz w:val="20"/>
                <w:szCs w:val="20"/>
                <w:lang w:eastAsia="lv-LV"/>
              </w:rPr>
            </w:pPr>
          </w:p>
        </w:tc>
        <w:tc>
          <w:tcPr>
            <w:tcW w:w="15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583AA1A7" w14:textId="285310F8" w:rsidR="007F52FD" w:rsidRPr="00BE132B" w:rsidRDefault="00922EBE" w:rsidP="00422119">
            <w:pPr>
              <w:spacing w:after="0" w:line="240" w:lineRule="auto"/>
              <w:jc w:val="center"/>
              <w:rPr>
                <w:rFonts w:ascii="Times New Roman" w:eastAsia="Times New Roman" w:hAnsi="Times New Roman" w:cs="Times New Roman"/>
                <w:b/>
                <w:bCs/>
                <w:color w:val="000000" w:themeColor="text1"/>
                <w:sz w:val="20"/>
                <w:szCs w:val="20"/>
                <w:lang w:eastAsia="lv-LV"/>
              </w:rPr>
            </w:pPr>
            <w:r w:rsidRPr="00BE132B">
              <w:rPr>
                <w:rFonts w:ascii="Times New Roman" w:hAnsi="Times New Roman" w:cs="Times New Roman"/>
                <w:b/>
                <w:bCs/>
                <w:color w:val="000000"/>
                <w:sz w:val="20"/>
                <w:szCs w:val="20"/>
              </w:rPr>
              <w:t>2 564</w:t>
            </w:r>
            <w:r w:rsidR="0071331A" w:rsidRPr="00BE132B">
              <w:rPr>
                <w:rFonts w:ascii="Times New Roman" w:hAnsi="Times New Roman" w:cs="Times New Roman"/>
                <w:b/>
                <w:bCs/>
                <w:color w:val="000000"/>
                <w:sz w:val="20"/>
                <w:szCs w:val="20"/>
              </w:rPr>
              <w:t xml:space="preserve"> </w:t>
            </w:r>
            <w:r w:rsidRPr="00BE132B">
              <w:rPr>
                <w:rFonts w:ascii="Times New Roman" w:hAnsi="Times New Roman" w:cs="Times New Roman"/>
                <w:b/>
                <w:bCs/>
                <w:color w:val="000000"/>
                <w:sz w:val="20"/>
                <w:szCs w:val="20"/>
              </w:rPr>
              <w:t>0</w:t>
            </w:r>
            <w:r w:rsidR="00A67089" w:rsidRPr="00BE132B">
              <w:rPr>
                <w:rFonts w:ascii="Times New Roman" w:hAnsi="Times New Roman" w:cs="Times New Roman"/>
                <w:b/>
                <w:bCs/>
                <w:color w:val="000000"/>
                <w:sz w:val="20"/>
                <w:szCs w:val="20"/>
              </w:rPr>
              <w:t>2</w:t>
            </w:r>
            <w:r w:rsidRPr="00BE132B">
              <w:rPr>
                <w:rFonts w:ascii="Times New Roman" w:hAnsi="Times New Roman" w:cs="Times New Roman"/>
                <w:b/>
                <w:bCs/>
                <w:color w:val="000000"/>
                <w:sz w:val="20"/>
                <w:szCs w:val="20"/>
              </w:rPr>
              <w:t>9</w:t>
            </w:r>
          </w:p>
        </w:tc>
      </w:tr>
    </w:tbl>
    <w:p w14:paraId="314F8330" w14:textId="522AD214" w:rsidR="00EC7908" w:rsidRDefault="00EC7908" w:rsidP="00AE2F57">
      <w:pPr>
        <w:spacing w:after="120"/>
        <w:jc w:val="both"/>
        <w:rPr>
          <w:rFonts w:ascii="Times New Roman" w:hAnsi="Times New Roman" w:cs="Times New Roman"/>
          <w:color w:val="000000"/>
          <w:sz w:val="24"/>
          <w:szCs w:val="24"/>
        </w:rPr>
      </w:pPr>
    </w:p>
    <w:p w14:paraId="32329270" w14:textId="68F7DC11" w:rsidR="001A516A" w:rsidRPr="00E93259" w:rsidRDefault="00AB7018" w:rsidP="00E93259">
      <w:pPr>
        <w:spacing w:after="120"/>
        <w:ind w:firstLine="720"/>
        <w:jc w:val="both"/>
        <w:rPr>
          <w:rFonts w:ascii="Times New Roman" w:hAnsi="Times New Roman" w:cs="Times New Roman"/>
          <w:color w:val="000000" w:themeColor="text1"/>
          <w:sz w:val="24"/>
          <w:szCs w:val="24"/>
        </w:rPr>
      </w:pPr>
      <w:r w:rsidRPr="00E12849">
        <w:rPr>
          <w:rFonts w:ascii="Times New Roman" w:hAnsi="Times New Roman" w:cs="Times New Roman"/>
          <w:color w:val="000000"/>
          <w:sz w:val="24"/>
          <w:szCs w:val="24"/>
        </w:rPr>
        <w:t xml:space="preserve">Papildus darbnespēju saīsināšanas pasākumiem nepieciešams papildus nodrošināt sāpju mazināšanas pasākumu kompleksu, kas papildus sekmēs darbspējīgo iedzīvotāju atgriešanos darba tirgū un kopumā mazinās slimības labu skaitu un to garumu. Līdz ar to nepieciešams uzsākt </w:t>
      </w:r>
      <w:r w:rsidR="00690636" w:rsidRPr="00B82336">
        <w:rPr>
          <w:rFonts w:ascii="Times New Roman" w:hAnsi="Times New Roman" w:cs="Times New Roman"/>
          <w:color w:val="000000"/>
          <w:sz w:val="24"/>
          <w:szCs w:val="24"/>
        </w:rPr>
        <w:t>sāpju nov</w:t>
      </w:r>
      <w:r w:rsidR="00690636" w:rsidRPr="00FE3110">
        <w:rPr>
          <w:rFonts w:ascii="Times New Roman" w:hAnsi="Times New Roman" w:cs="Times New Roman"/>
          <w:color w:val="000000"/>
          <w:sz w:val="24"/>
          <w:szCs w:val="24"/>
        </w:rPr>
        <w:t xml:space="preserve">ēršanas terapiju, īstenojot </w:t>
      </w:r>
      <w:r w:rsidR="00BC020F">
        <w:rPr>
          <w:rFonts w:ascii="Times New Roman" w:hAnsi="Times New Roman" w:cs="Times New Roman"/>
          <w:color w:val="000000"/>
          <w:sz w:val="24"/>
          <w:szCs w:val="24"/>
        </w:rPr>
        <w:t xml:space="preserve">terapiju </w:t>
      </w:r>
      <w:r w:rsidR="00690636" w:rsidRPr="00FE3110">
        <w:rPr>
          <w:rFonts w:ascii="Times New Roman" w:hAnsi="Times New Roman" w:cs="Times New Roman"/>
          <w:color w:val="000000"/>
          <w:sz w:val="24"/>
          <w:szCs w:val="24"/>
        </w:rPr>
        <w:t>caur sāpju kabinetu.</w:t>
      </w:r>
    </w:p>
    <w:p w14:paraId="3F8098D9" w14:textId="60113C78" w:rsidR="002B24F2" w:rsidRPr="00E93259" w:rsidRDefault="003B6376" w:rsidP="00E93259">
      <w:pPr>
        <w:spacing w:after="0" w:line="240" w:lineRule="auto"/>
        <w:jc w:val="center"/>
        <w:rPr>
          <w:rFonts w:ascii="Times New Roman" w:hAnsi="Times New Roman" w:cs="Times New Roman"/>
          <w:b/>
          <w:bCs/>
          <w:sz w:val="24"/>
          <w:szCs w:val="24"/>
          <w:u w:val="single"/>
          <w:lang w:eastAsia="lv-LV"/>
        </w:rPr>
      </w:pPr>
      <w:r w:rsidRPr="00E12849">
        <w:rPr>
          <w:rFonts w:ascii="Times New Roman" w:hAnsi="Times New Roman" w:cs="Times New Roman"/>
          <w:b/>
          <w:bCs/>
          <w:sz w:val="24"/>
          <w:szCs w:val="24"/>
          <w:u w:val="single"/>
          <w:lang w:eastAsia="lv-LV"/>
        </w:rPr>
        <w:t>1</w:t>
      </w:r>
      <w:r w:rsidR="00FA6424" w:rsidRPr="00E12849">
        <w:rPr>
          <w:rFonts w:ascii="Times New Roman" w:hAnsi="Times New Roman" w:cs="Times New Roman"/>
          <w:b/>
          <w:bCs/>
          <w:sz w:val="24"/>
          <w:szCs w:val="24"/>
          <w:u w:val="single"/>
          <w:lang w:eastAsia="lv-LV"/>
        </w:rPr>
        <w:t>.</w:t>
      </w:r>
      <w:r w:rsidR="00A17755">
        <w:rPr>
          <w:rFonts w:ascii="Times New Roman" w:hAnsi="Times New Roman" w:cs="Times New Roman"/>
          <w:b/>
          <w:bCs/>
          <w:sz w:val="24"/>
          <w:szCs w:val="24"/>
          <w:u w:val="single"/>
          <w:lang w:eastAsia="lv-LV"/>
        </w:rPr>
        <w:t>6</w:t>
      </w:r>
      <w:r w:rsidR="00F573C8" w:rsidRPr="00E12849">
        <w:rPr>
          <w:rFonts w:ascii="Times New Roman" w:hAnsi="Times New Roman" w:cs="Times New Roman"/>
          <w:b/>
          <w:bCs/>
          <w:sz w:val="24"/>
          <w:szCs w:val="24"/>
          <w:u w:val="single"/>
          <w:lang w:eastAsia="lv-LV"/>
        </w:rPr>
        <w:t>.</w:t>
      </w:r>
      <w:r w:rsidR="00A65D31" w:rsidRPr="00B82336">
        <w:rPr>
          <w:rFonts w:ascii="Times New Roman" w:hAnsi="Times New Roman" w:cs="Times New Roman"/>
          <w:b/>
          <w:bCs/>
          <w:sz w:val="24"/>
          <w:szCs w:val="24"/>
          <w:u w:val="single"/>
          <w:lang w:eastAsia="lv-LV"/>
        </w:rPr>
        <w:t>2.</w:t>
      </w:r>
      <w:r w:rsidR="00A65D31" w:rsidRPr="00E12849">
        <w:rPr>
          <w:rFonts w:ascii="Times New Roman" w:hAnsi="Times New Roman" w:cs="Times New Roman"/>
          <w:b/>
          <w:bCs/>
          <w:sz w:val="24"/>
          <w:szCs w:val="24"/>
          <w:u w:val="single"/>
          <w:lang w:eastAsia="lv-LV"/>
        </w:rPr>
        <w:t>Jaunai</w:t>
      </w:r>
      <w:r w:rsidR="009E0D80" w:rsidRPr="00E12849">
        <w:rPr>
          <w:rFonts w:ascii="Times New Roman" w:hAnsi="Times New Roman" w:cs="Times New Roman"/>
          <w:b/>
          <w:bCs/>
          <w:sz w:val="24"/>
          <w:szCs w:val="24"/>
          <w:u w:val="single"/>
          <w:lang w:eastAsia="lv-LV"/>
        </w:rPr>
        <w:t>s reformas 2019.gada pasākums -</w:t>
      </w:r>
      <w:r w:rsidR="002B24F2" w:rsidRPr="00E12849">
        <w:rPr>
          <w:rFonts w:ascii="Times New Roman" w:hAnsi="Times New Roman" w:cs="Times New Roman"/>
          <w:b/>
          <w:bCs/>
          <w:sz w:val="24"/>
          <w:szCs w:val="24"/>
          <w:u w:val="single"/>
          <w:lang w:eastAsia="lv-LV"/>
        </w:rPr>
        <w:t>Sāpju kabinets</w:t>
      </w:r>
    </w:p>
    <w:p w14:paraId="6ED9BECB" w14:textId="5B6E4686" w:rsidR="002B24F2" w:rsidRDefault="002B24F2" w:rsidP="003B6376">
      <w:pPr>
        <w:spacing w:after="0" w:line="240" w:lineRule="auto"/>
        <w:jc w:val="both"/>
        <w:rPr>
          <w:rFonts w:ascii="Times New Roman" w:hAnsi="Times New Roman" w:cs="Times New Roman"/>
          <w:b/>
          <w:sz w:val="24"/>
          <w:szCs w:val="24"/>
          <w:u w:val="single"/>
          <w:lang w:eastAsia="lv-LV"/>
        </w:rPr>
      </w:pPr>
    </w:p>
    <w:p w14:paraId="738A2970" w14:textId="198619CF" w:rsidR="00306F6E" w:rsidRPr="00E93259" w:rsidRDefault="00306F6E" w:rsidP="00E93259">
      <w:pPr>
        <w:spacing w:after="120"/>
        <w:ind w:firstLine="720"/>
        <w:jc w:val="both"/>
        <w:rPr>
          <w:rFonts w:ascii="Times New Roman" w:eastAsia="Times New Roman" w:hAnsi="Times New Roman" w:cs="Times New Roman"/>
          <w:sz w:val="24"/>
          <w:szCs w:val="24"/>
          <w:lang w:eastAsia="lv-LV"/>
        </w:rPr>
      </w:pPr>
      <w:r w:rsidRPr="00E93259">
        <w:rPr>
          <w:rFonts w:ascii="Times New Roman" w:eastAsia="Times New Roman" w:hAnsi="Times New Roman" w:cs="Times New Roman"/>
          <w:sz w:val="24"/>
          <w:szCs w:val="24"/>
          <w:lang w:eastAsia="lv-LV"/>
        </w:rPr>
        <w:t xml:space="preserve">Sāpes ir atzītas kā viena no svarīgākajām veselības aprūpes problēmām Eiropā. Akūtas sāpes pamatoti tiek uzskatītas par traumas vai slimības simptomu, savukārt hroniskas un </w:t>
      </w:r>
      <w:r w:rsidRPr="00E93259">
        <w:rPr>
          <w:rFonts w:ascii="Times New Roman" w:eastAsia="Times New Roman" w:hAnsi="Times New Roman" w:cs="Times New Roman"/>
          <w:sz w:val="24"/>
          <w:szCs w:val="24"/>
          <w:lang w:eastAsia="lv-LV"/>
        </w:rPr>
        <w:lastRenderedPageBreak/>
        <w:t>recidivējošas sāpes ir specifiska veselības aprūpes problēma un var tikt definēta kā atsevišķa slimība. Pacientu, kuriem nepieciešama specializēta algologa palīdzība, ir ļoti daudz. Sāpju aprūpe nepieciešama, piemēram, muguras vai locītavu sāpju gadījumā, kas ir saistītas ar izteiktām deģeneratīvām izmaiņām, bet nav indikāciju ķirurģiskai ārstēšanai vai to nevar veikt kādu ierobežojumu dēļ. Šādos gadījumos ārsta galvenais uzdevums ir mazināt pašas sāpes. Līdzīga situācija bieži izveidojas arī onkoloģisko saslimšanu gadījumā, kā arī ārstējoties pēc smagām operācijām, kas izraisījušas ilgstošu sāpju sindromu. Svarīgi ir saprast, ka arī gadījumos, kad pati slimība nav pilnībā izārstējama, ir iespējams efektīvi ārstēt sāpes.</w:t>
      </w:r>
    </w:p>
    <w:p w14:paraId="2E4AA2C4" w14:textId="5C026DF0" w:rsidR="00306F6E" w:rsidRPr="00E93259" w:rsidRDefault="00306F6E" w:rsidP="00E93259">
      <w:pPr>
        <w:spacing w:after="120"/>
        <w:ind w:firstLine="720"/>
        <w:jc w:val="both"/>
        <w:rPr>
          <w:rFonts w:ascii="Times New Roman" w:eastAsia="Times New Roman" w:hAnsi="Times New Roman" w:cs="Times New Roman"/>
          <w:color w:val="000000" w:themeColor="text1"/>
          <w:sz w:val="24"/>
          <w:szCs w:val="24"/>
          <w:lang w:eastAsia="lv-LV"/>
        </w:rPr>
      </w:pPr>
      <w:r w:rsidRPr="00E93259">
        <w:rPr>
          <w:rFonts w:ascii="Times New Roman" w:eastAsia="Times New Roman" w:hAnsi="Times New Roman" w:cs="Times New Roman"/>
          <w:color w:val="000000"/>
          <w:sz w:val="24"/>
          <w:szCs w:val="24"/>
          <w:shd w:val="clear" w:color="auto" w:fill="FFFFFF"/>
          <w:lang w:eastAsia="lv-LV"/>
        </w:rPr>
        <w:t>Sāpes ierobežo darba spējas, vēlmi priecāties un pat rūpēties par sevi. Daudzi cilvēki, ciešot hroniskas sāpes, izvēlas aiziet no darba, tādējādi radot sev papildus arī finansiālas problēmas. Ja ilgstoši sāpes netiek remdētas, cilvēki noslēdzas un kļūst depresīvi. Ģimenei, kolēģiem un apkārtējiem viņi šķiet iegrimuši sevī, bet tas tikai palielina vientulību un sociālu izolāciju. Kad sāpes un darba nespēja citiem šķiet neatbilstoša bojājuma smagumam un slimībai (parasti hronisku sāpju gadījumā), apkārtējie jūtas izmantoti un piekrāpti, un ar laiku attālinās no cietēja. Sāpes sākotnēji ir medicīniska problēma, bet bieži attīstās par problēmu, kas sagrauj gan sāpju pacientu, gan viņam apkārt esošos.</w:t>
      </w:r>
    </w:p>
    <w:p w14:paraId="3D450840" w14:textId="128FE553" w:rsidR="00467161" w:rsidRPr="00E93259" w:rsidRDefault="00306F6E" w:rsidP="00E93259">
      <w:pPr>
        <w:spacing w:after="120"/>
        <w:ind w:firstLine="720"/>
        <w:jc w:val="both"/>
        <w:rPr>
          <w:rFonts w:ascii="Times New Roman" w:eastAsia="Times New Roman" w:hAnsi="Times New Roman" w:cs="Times New Roman"/>
          <w:color w:val="000000" w:themeColor="text1"/>
          <w:sz w:val="24"/>
          <w:szCs w:val="24"/>
          <w:lang w:eastAsia="lv-LV"/>
        </w:rPr>
      </w:pPr>
      <w:r w:rsidRPr="00E93259">
        <w:rPr>
          <w:rFonts w:ascii="Times New Roman" w:eastAsia="Times New Roman" w:hAnsi="Times New Roman" w:cs="Times New Roman"/>
          <w:color w:val="000000"/>
          <w:sz w:val="24"/>
          <w:szCs w:val="24"/>
          <w:lang w:eastAsia="lv-LV"/>
        </w:rPr>
        <w:t>Attīstītajā, dinamiskajā un ļoti saspringtajā mūsdienu sabiedrībā hroniskas sāpes kļūst par aizvien nozīmīgāku problēmu. Eiropas Sāpju asociāciju federācija (EFIC) savā 2001.gadā pieņemtajā Deklarācijā par sāpēm pat prasa atzīt hronisku sāpju epidēmijas esamību un izvirza tās par lielāko veselības aprūpes problēmu Eiropā. Uzsvērts, ka akūtas sāpes var uzskatīt par slimības vai bojājuma simptomu, bet hroniskas atkārtotas sāpes ir specifiska problēma jeb sāpju slimība kā tāda. Daudziem sāpes turpinās jau pēc akūta bojājuma sadzīšanas, kaitīgā kairinājuma darbības izbeigšanās, ko nosaka izmaiņas sāpju uztveres un vadīšanas sistēmās.</w:t>
      </w:r>
    </w:p>
    <w:p w14:paraId="0EC93644" w14:textId="68E1671B" w:rsidR="00306F6E" w:rsidRPr="009F1205" w:rsidRDefault="00467161" w:rsidP="00E93259">
      <w:pPr>
        <w:spacing w:after="120"/>
        <w:ind w:firstLine="720"/>
        <w:jc w:val="both"/>
        <w:rPr>
          <w:rFonts w:ascii="Times New Roman" w:eastAsia="Times New Roman" w:hAnsi="Times New Roman" w:cs="Times New Roman"/>
          <w:color w:val="000000"/>
          <w:sz w:val="24"/>
          <w:szCs w:val="24"/>
          <w:lang w:eastAsia="lv-LV"/>
        </w:rPr>
      </w:pPr>
      <w:r w:rsidRPr="00EE2110">
        <w:rPr>
          <w:rFonts w:ascii="Times New Roman" w:eastAsia="Times New Roman" w:hAnsi="Times New Roman" w:cs="Times New Roman"/>
          <w:sz w:val="24"/>
          <w:szCs w:val="24"/>
          <w:lang w:eastAsia="lv-LV"/>
        </w:rPr>
        <w:t xml:space="preserve">Sāpes ir daudzu slimību vadošā klīniskā izpausme. </w:t>
      </w:r>
      <w:r w:rsidRPr="001D4FBA">
        <w:rPr>
          <w:rFonts w:ascii="Times New Roman" w:eastAsia="Times New Roman" w:hAnsi="Times New Roman" w:cs="Times New Roman"/>
          <w:sz w:val="24"/>
          <w:szCs w:val="24"/>
          <w:lang w:eastAsia="lv-LV"/>
        </w:rPr>
        <w:t>No tām no 10 līdz pat 50% ir hroniskās sāpes</w:t>
      </w:r>
      <w:r w:rsidRPr="00EE2110">
        <w:rPr>
          <w:rStyle w:val="FootnoteReference"/>
          <w:rFonts w:ascii="Times New Roman" w:eastAsia="Times New Roman" w:hAnsi="Times New Roman" w:cs="Times New Roman"/>
          <w:sz w:val="24"/>
          <w:szCs w:val="24"/>
          <w:lang w:eastAsia="lv-LV"/>
        </w:rPr>
        <w:footnoteReference w:id="13"/>
      </w:r>
      <w:r w:rsidRPr="00EE2110">
        <w:rPr>
          <w:rFonts w:ascii="Times New Roman" w:eastAsia="Times New Roman" w:hAnsi="Times New Roman" w:cs="Times New Roman"/>
          <w:sz w:val="24"/>
          <w:szCs w:val="24"/>
          <w:lang w:eastAsia="lv-LV"/>
        </w:rPr>
        <w:t>. Izplatītas onkoloģiskās slimības gadījumā sāpes izjūt līdz pat 80% pacientu, bet pēdējā dzīves gadā sāpes ir 85% onkoloģisko slimnieku. Latvijas Onkoloģijas centrā sāpju saasinājuma gadījumos pacientus stacionē, un to vidējais ārstēšanas ilgums sastāda vidēji 5–7 dienas</w:t>
      </w:r>
      <w:r w:rsidRPr="00EE2110">
        <w:rPr>
          <w:rStyle w:val="FootnoteReference"/>
          <w:rFonts w:ascii="Times New Roman" w:eastAsia="Times New Roman" w:hAnsi="Times New Roman" w:cs="Times New Roman"/>
          <w:sz w:val="24"/>
          <w:szCs w:val="24"/>
          <w:lang w:eastAsia="lv-LV"/>
        </w:rPr>
        <w:footnoteReference w:id="14"/>
      </w:r>
      <w:r w:rsidRPr="00EE2110">
        <w:rPr>
          <w:rFonts w:ascii="Times New Roman" w:eastAsia="Times New Roman" w:hAnsi="Times New Roman" w:cs="Times New Roman"/>
          <w:sz w:val="24"/>
          <w:szCs w:val="24"/>
          <w:lang w:eastAsia="lv-LV"/>
        </w:rPr>
        <w:t xml:space="preserve">. </w:t>
      </w:r>
      <w:r w:rsidRPr="001D4FBA">
        <w:rPr>
          <w:rFonts w:ascii="Times New Roman" w:eastAsia="Times New Roman" w:hAnsi="Times New Roman" w:cs="Times New Roman"/>
          <w:sz w:val="24"/>
          <w:szCs w:val="24"/>
          <w:lang w:eastAsia="lv-LV"/>
        </w:rPr>
        <w:t>Sāpju stiprums un atkārtošanās biež</w:t>
      </w:r>
      <w:r w:rsidRPr="00597EF4">
        <w:rPr>
          <w:rFonts w:ascii="Times New Roman" w:eastAsia="Times New Roman" w:hAnsi="Times New Roman" w:cs="Times New Roman"/>
          <w:sz w:val="24"/>
          <w:szCs w:val="24"/>
          <w:lang w:eastAsia="lv-LV"/>
        </w:rPr>
        <w:t>ums ir katram pacientam atšķirīgs un atkarīgs no dažādiem faktoriem. Taču sāpes ir uzveicamas, un ikvienam no šiem slimniekiem iespējams palīdzēt, nosakot atbilstošu pretsāpju terapiju</w:t>
      </w:r>
      <w:r>
        <w:rPr>
          <w:rFonts w:ascii="Times New Roman" w:eastAsia="Times New Roman" w:hAnsi="Times New Roman" w:cs="Times New Roman"/>
          <w:sz w:val="24"/>
          <w:szCs w:val="24"/>
          <w:lang w:eastAsia="lv-LV"/>
        </w:rPr>
        <w:t>.</w:t>
      </w:r>
    </w:p>
    <w:p w14:paraId="4B1E9E5D" w14:textId="2E779472" w:rsidR="00306F6E" w:rsidRPr="009F1205" w:rsidRDefault="00306F6E" w:rsidP="00E93259">
      <w:pPr>
        <w:pStyle w:val="BodyText3"/>
        <w:spacing w:line="276" w:lineRule="auto"/>
        <w:ind w:firstLine="720"/>
        <w:jc w:val="both"/>
        <w:rPr>
          <w:color w:val="000000"/>
          <w:sz w:val="24"/>
          <w:szCs w:val="24"/>
          <w:lang w:eastAsia="lv-LV"/>
        </w:rPr>
      </w:pPr>
      <w:r w:rsidRPr="009F1205">
        <w:rPr>
          <w:color w:val="000000"/>
          <w:sz w:val="24"/>
          <w:szCs w:val="24"/>
          <w:lang w:eastAsia="lv-LV"/>
        </w:rPr>
        <w:t>Hroniskas sāpes ir plaši izplatītas, kas pierādīts pētījumos citās valstīs: Dānijā no hroniskām sāpēm cieš aptuveni 38% iedzīvotāju, bet Apvienotajā Karalistē 50% no aptaujātajiem uzrādīja hroniskas sāpes, pie kam 16% no viņiem bija muguras sāpes, 16% - artrīts,</w:t>
      </w:r>
      <w:r w:rsidR="00A86595" w:rsidRPr="00A86595">
        <w:rPr>
          <w:color w:val="000000"/>
          <w:sz w:val="24"/>
          <w:szCs w:val="24"/>
          <w:lang w:eastAsia="lv-LV"/>
        </w:rPr>
        <w:t xml:space="preserve"> un 16% sāpes bija ļoti stipras</w:t>
      </w:r>
      <w:r w:rsidRPr="009F1205">
        <w:rPr>
          <w:color w:val="000000"/>
          <w:sz w:val="24"/>
          <w:szCs w:val="24"/>
          <w:lang w:eastAsia="lv-LV"/>
        </w:rPr>
        <w:t xml:space="preserve">. Savukārt Somijā 40% primārās aprūpes ārstu apmeklējumu iemesls bija sāpes, 1/5 daļai tās ilga vairāk kā 6 mēneši, ¼ darbaspējīgā vecuma pacientu saņēma slimības pabalstu. Kā tipiskie hronisko sāpju veidi vairumā literatūras avotu tiek minēti: osteoartrīts, reimatoīdais artrīts, muguras lejas daļas, plecu un sprandas jeb muguras </w:t>
      </w:r>
      <w:r w:rsidRPr="009F1205">
        <w:rPr>
          <w:color w:val="000000"/>
          <w:sz w:val="24"/>
          <w:szCs w:val="24"/>
          <w:lang w:eastAsia="lv-LV"/>
        </w:rPr>
        <w:lastRenderedPageBreak/>
        <w:t>sāpes, galvas sāpes, t.sk., migrēna, vēža sāpes, miofasciālie sāpju sindromi, sāpes pēc torakotomijas, hroniskie reģionālie sāpju sindromi, amputācijas stumbra un fantoma sāpes, neiropātiskās sāpes, herpes zoster un pēcherpētiskā neiralģija, trigeminālā neiralģija, diabētiskā neiropātija, temporomandibulārā disfunkcija, pēcmastektomijas sāpes, sāpes krūtīs un hroniskie viscerālie sāpju sindromi</w:t>
      </w:r>
    </w:p>
    <w:p w14:paraId="63F02F9B" w14:textId="53E85A16" w:rsidR="00306F6E" w:rsidRPr="009F1205" w:rsidRDefault="00306F6E" w:rsidP="009F1205">
      <w:pPr>
        <w:pStyle w:val="BodyText3"/>
        <w:spacing w:line="276" w:lineRule="auto"/>
        <w:ind w:firstLine="720"/>
        <w:jc w:val="both"/>
        <w:rPr>
          <w:sz w:val="24"/>
          <w:szCs w:val="24"/>
        </w:rPr>
      </w:pPr>
      <w:r w:rsidRPr="009F1205">
        <w:rPr>
          <w:color w:val="000000"/>
          <w:sz w:val="24"/>
          <w:szCs w:val="24"/>
          <w:lang w:eastAsia="lv-LV"/>
        </w:rPr>
        <w:t xml:space="preserve">Lai panāktu apmierinošus sāpju ārstēšanas rezultātus, ir jābūt pietiekošām zināšanām un pieredzei jomā. Tas prasa uzlabot arī sāpju medicīnas apmācību studentiem un topošajiem ārstiem, papildināt zināšanas algoloģijā visiem mediķiem un izglītot arī sabiedrību, panākot patiesu pacienta līdzestību ārstēšanās procesā. Sāpju ārstēšanai jābūt kaut kam vairāk kā tikai medikamentu nozīmēšanai, procedūru veikšanai vai atgriezeniskās saites nodrošināšanai. Tikai mūsu kopēja rīcība, sadarbība un izpratne ir panākumu garants. </w:t>
      </w:r>
    </w:p>
    <w:p w14:paraId="00AB8A79" w14:textId="44578582" w:rsidR="00894E2F" w:rsidRPr="00EE2110" w:rsidRDefault="00306F6E" w:rsidP="00DE14BB">
      <w:pPr>
        <w:spacing w:after="120"/>
        <w:ind w:firstLine="720"/>
        <w:jc w:val="both"/>
        <w:rPr>
          <w:rFonts w:ascii="Times New Roman" w:eastAsia="Times New Roman" w:hAnsi="Times New Roman" w:cs="Times New Roman"/>
          <w:sz w:val="24"/>
          <w:szCs w:val="24"/>
        </w:rPr>
      </w:pPr>
      <w:r w:rsidRPr="009F1205">
        <w:rPr>
          <w:rFonts w:ascii="Times New Roman" w:eastAsia="Times New Roman" w:hAnsi="Times New Roman" w:cs="Times New Roman"/>
          <w:sz w:val="24"/>
          <w:szCs w:val="24"/>
        </w:rPr>
        <w:t>Hronisku remdējamu sāpju gadījumā ārsts palīdz atrast pacientam drošāko un efektīvāko sāpju remdēšanas veidu, kas uzlabo pacienta dzīves kvalitāti un mazina komplikāciju risku. Hroniskas sāpes ir stāvoklis, kas prasa ilgstošu pacienta novērošanu u</w:t>
      </w:r>
      <w:r w:rsidR="005E6A33" w:rsidRPr="005E6A33">
        <w:rPr>
          <w:rFonts w:ascii="Times New Roman" w:eastAsia="Times New Roman" w:hAnsi="Times New Roman" w:cs="Times New Roman"/>
          <w:sz w:val="24"/>
          <w:szCs w:val="24"/>
        </w:rPr>
        <w:t>n dinamisku terapijas korekciju</w:t>
      </w:r>
      <w:r w:rsidRPr="009F1205">
        <w:rPr>
          <w:rFonts w:ascii="Times New Roman" w:eastAsia="Times New Roman" w:hAnsi="Times New Roman" w:cs="Times New Roman"/>
          <w:sz w:val="24"/>
          <w:szCs w:val="24"/>
        </w:rPr>
        <w:t>: nepieciešama vairākus mēnešus vai pat ilgāka terapijas kontrole; īpaši regulāra terapijas kontrole nepieciešama, ja tiek lietoti stipras iedarbības līdzekļi (opioīdi)</w:t>
      </w:r>
      <w:r w:rsidR="00DE14BB">
        <w:rPr>
          <w:rFonts w:ascii="Times New Roman" w:eastAsia="Times New Roman" w:hAnsi="Times New Roman" w:cs="Times New Roman"/>
          <w:sz w:val="24"/>
          <w:szCs w:val="24"/>
        </w:rPr>
        <w:t>.</w:t>
      </w:r>
    </w:p>
    <w:p w14:paraId="4FEBF975" w14:textId="4A497EBF" w:rsidR="00894E2F" w:rsidRPr="00EE2110" w:rsidRDefault="00894E2F" w:rsidP="00CA4C05">
      <w:pPr>
        <w:spacing w:after="120"/>
        <w:ind w:firstLine="720"/>
        <w:jc w:val="both"/>
        <w:rPr>
          <w:rFonts w:ascii="Times New Roman" w:hAnsi="Times New Roman" w:cs="Times New Roman"/>
          <w:sz w:val="24"/>
          <w:szCs w:val="24"/>
        </w:rPr>
      </w:pPr>
      <w:r w:rsidRPr="00EE2110">
        <w:rPr>
          <w:rFonts w:ascii="Times New Roman" w:hAnsi="Times New Roman" w:cs="Times New Roman"/>
          <w:sz w:val="24"/>
          <w:szCs w:val="24"/>
        </w:rPr>
        <w:t>Hroniskās sāpes bieži izjūt iedzīvotāji ne tikai ar onkoloģiskām, bet arī vairākām citām hroniskām, deģeneratīvām slimībām, kā arī pēc traumām vai ķirurģiskām operācijām. Sāpes var izpausties gan kā kādu slimību pavadošs simptoms, gan kā atsevišķa, primārā saslimšana, piemēram migrēnas, fibromialģijas un citos gadījumos. Atsevišķi var izdalīt muguras lejas daļas sāpes, kas ir viens no izplatītākajiem darbnespējas cēloņiem Eiropā un Latvijā. Muguras lejas daļas sāpju prevalence Latvijā ir 31% no populācijas, līdz 40% darbspējīgajā vecuma kategorijā 55-64</w:t>
      </w:r>
      <w:r w:rsidRPr="00EE2110">
        <w:rPr>
          <w:rStyle w:val="FootnoteReference"/>
          <w:rFonts w:ascii="Times New Roman" w:hAnsi="Times New Roman" w:cs="Times New Roman"/>
          <w:sz w:val="24"/>
          <w:szCs w:val="24"/>
        </w:rPr>
        <w:footnoteReference w:id="15"/>
      </w:r>
      <w:r w:rsidRPr="00EE2110">
        <w:rPr>
          <w:rFonts w:ascii="Times New Roman" w:hAnsi="Times New Roman" w:cs="Times New Roman"/>
          <w:sz w:val="24"/>
          <w:szCs w:val="24"/>
        </w:rPr>
        <w:t xml:space="preserve">. </w:t>
      </w:r>
      <w:r w:rsidRPr="001D4FBA">
        <w:rPr>
          <w:rFonts w:ascii="Times New Roman" w:hAnsi="Times New Roman" w:cs="Times New Roman"/>
          <w:sz w:val="24"/>
          <w:szCs w:val="24"/>
        </w:rPr>
        <w:t>7%</w:t>
      </w:r>
      <w:r w:rsidR="009F73A7">
        <w:rPr>
          <w:rFonts w:ascii="Times New Roman" w:hAnsi="Times New Roman" w:cs="Times New Roman"/>
          <w:sz w:val="24"/>
          <w:szCs w:val="24"/>
        </w:rPr>
        <w:t xml:space="preserve"> (</w:t>
      </w:r>
      <w:r w:rsidR="00CA4C05">
        <w:rPr>
          <w:rFonts w:ascii="Times New Roman" w:hAnsi="Times New Roman" w:cs="Times New Roman"/>
          <w:sz w:val="24"/>
          <w:szCs w:val="24"/>
        </w:rPr>
        <w:t>20 848 unikālo pacientu skaits</w:t>
      </w:r>
      <w:r w:rsidR="009F73A7">
        <w:rPr>
          <w:rFonts w:ascii="Times New Roman" w:hAnsi="Times New Roman" w:cs="Times New Roman"/>
          <w:sz w:val="24"/>
          <w:szCs w:val="24"/>
        </w:rPr>
        <w:t>)</w:t>
      </w:r>
      <w:r w:rsidRPr="001D4FBA">
        <w:rPr>
          <w:rFonts w:ascii="Times New Roman" w:hAnsi="Times New Roman" w:cs="Times New Roman"/>
          <w:sz w:val="24"/>
          <w:szCs w:val="24"/>
        </w:rPr>
        <w:t xml:space="preserve"> no 2018.gadā noformētajām darbnespējas lapām, kurām ir norādīts cēlonis, pamats ir “Skeleta, muskuļu un saistaudu slimības” (spondiloze, dorsalģija)</w:t>
      </w:r>
      <w:r w:rsidR="00CA4C05">
        <w:rPr>
          <w:rFonts w:ascii="Times New Roman" w:hAnsi="Times New Roman" w:cs="Times New Roman"/>
          <w:sz w:val="24"/>
          <w:szCs w:val="24"/>
        </w:rPr>
        <w:t xml:space="preserve"> ar vidējo ārstēšanas ilgumu </w:t>
      </w:r>
      <w:r w:rsidR="00812BBC">
        <w:rPr>
          <w:rFonts w:ascii="Times New Roman" w:hAnsi="Times New Roman" w:cs="Times New Roman"/>
          <w:sz w:val="24"/>
          <w:szCs w:val="24"/>
        </w:rPr>
        <w:t>27,1 diena</w:t>
      </w:r>
      <w:r w:rsidRPr="001D4FBA">
        <w:rPr>
          <w:rFonts w:ascii="Times New Roman" w:hAnsi="Times New Roman" w:cs="Times New Roman"/>
          <w:sz w:val="24"/>
          <w:szCs w:val="24"/>
        </w:rPr>
        <w:t>, kas ir tik pat daudz cik “Elpošanas sistēmas slimības” (akūta augšējo elpceļu infekcija, gripa, akūts</w:t>
      </w:r>
      <w:r w:rsidRPr="00EE2110">
        <w:rPr>
          <w:rFonts w:ascii="Times New Roman" w:hAnsi="Times New Roman" w:cs="Times New Roman"/>
          <w:sz w:val="24"/>
          <w:szCs w:val="24"/>
        </w:rPr>
        <w:t xml:space="preserve"> bronhīts). Šīs divas diagnožu grupas ir izplatītākie darbnespējas lapās norādītie cēloņi (NVD 2018.gada dati).</w:t>
      </w:r>
    </w:p>
    <w:p w14:paraId="7896DB92" w14:textId="009042AE" w:rsidR="00894E2F" w:rsidRDefault="004A367C" w:rsidP="00894E2F">
      <w:pPr>
        <w:spacing w:after="120"/>
        <w:ind w:firstLine="720"/>
        <w:jc w:val="both"/>
        <w:rPr>
          <w:rFonts w:ascii="Times New Roman" w:hAnsi="Times New Roman" w:cs="Times New Roman"/>
          <w:sz w:val="24"/>
          <w:szCs w:val="24"/>
        </w:rPr>
      </w:pPr>
      <w:r>
        <w:rPr>
          <w:rFonts w:ascii="Times New Roman" w:hAnsi="Times New Roman" w:cs="Times New Roman"/>
          <w:sz w:val="24"/>
          <w:szCs w:val="24"/>
        </w:rPr>
        <w:t>P</w:t>
      </w:r>
      <w:r w:rsidR="00894E2F" w:rsidRPr="00EE2110">
        <w:rPr>
          <w:rFonts w:ascii="Times New Roman" w:hAnsi="Times New Roman" w:cs="Times New Roman"/>
          <w:sz w:val="24"/>
          <w:szCs w:val="24"/>
        </w:rPr>
        <w:t>alielinot algologu pieejamību, plānots sasniegt hospitalizāciju un izrakstīto darbnespējas lapu mazināšanos</w:t>
      </w:r>
      <w:r w:rsidR="009F73A7">
        <w:rPr>
          <w:rFonts w:ascii="Times New Roman" w:hAnsi="Times New Roman" w:cs="Times New Roman"/>
          <w:sz w:val="24"/>
          <w:szCs w:val="24"/>
        </w:rPr>
        <w:t>, jo savlaicīga algologa pieejamība nodrošinās darbnespējas lapu saīsināšanu, kā arī savlaicīgāku atgriešanos darbā</w:t>
      </w:r>
      <w:r w:rsidR="00894E2F">
        <w:rPr>
          <w:rFonts w:ascii="Times New Roman" w:hAnsi="Times New Roman" w:cs="Times New Roman"/>
          <w:sz w:val="24"/>
          <w:szCs w:val="24"/>
        </w:rPr>
        <w:t>.</w:t>
      </w:r>
      <w:r w:rsidR="009F73A7">
        <w:rPr>
          <w:rFonts w:ascii="Times New Roman" w:hAnsi="Times New Roman" w:cs="Times New Roman"/>
          <w:sz w:val="24"/>
          <w:szCs w:val="24"/>
        </w:rPr>
        <w:t xml:space="preserve"> </w:t>
      </w:r>
    </w:p>
    <w:p w14:paraId="0BDF3A3C" w14:textId="56B23216" w:rsidR="00207D0A" w:rsidRDefault="00E53867" w:rsidP="00894E2F">
      <w:pPr>
        <w:spacing w:after="120"/>
        <w:ind w:firstLine="720"/>
        <w:jc w:val="both"/>
        <w:rPr>
          <w:rFonts w:ascii="Times New Roman" w:hAnsi="Times New Roman" w:cs="Times New Roman"/>
          <w:sz w:val="24"/>
          <w:szCs w:val="24"/>
        </w:rPr>
      </w:pPr>
      <w:r w:rsidRPr="00F036D4">
        <w:rPr>
          <w:rFonts w:ascii="Times New Roman" w:hAnsi="Times New Roman" w:cs="Times New Roman"/>
          <w:sz w:val="24"/>
          <w:szCs w:val="24"/>
        </w:rPr>
        <w:t xml:space="preserve">Ja pacientam ir medicīniskas indikācijas vērsties pie algologa, ārstējošais ārsts var nosūtīt uz konsultāciju pie algologa ar iepriekšēji veikto izmeklējumu rezultātiem. Tālāk algologs izvērtē izmeklējumu rezultātus un nosaka tālākos nepieciešamos izmeklējumu vai ārstēšanas taktiku, pielietojot manipulāciju “Sāpju klīniskā izmeklēšana un novērtēšana” vai “Pirmreizēja vai atkārtota hronisko sāpju dinamiskā novērtēšana”. Sāpju kabineta speciālisti izpēta sāpju rašanās iemeslus, pastāvēšanas mehānismus un sāpju ārstēšanas metodes. Pēc indikācijām tiek vērtēta specializēta konsīlija nepieciešamība. </w:t>
      </w:r>
      <w:r w:rsidR="00D52C36">
        <w:rPr>
          <w:rFonts w:ascii="Times New Roman" w:hAnsi="Times New Roman" w:cs="Times New Roman"/>
          <w:sz w:val="24"/>
          <w:szCs w:val="24"/>
        </w:rPr>
        <w:t xml:space="preserve">Atbilstoši 2018.gada 10 mēnešu </w:t>
      </w:r>
      <w:r w:rsidR="00D52C36">
        <w:rPr>
          <w:rFonts w:ascii="Times New Roman" w:hAnsi="Times New Roman" w:cs="Times New Roman"/>
          <w:sz w:val="24"/>
          <w:szCs w:val="24"/>
        </w:rPr>
        <w:lastRenderedPageBreak/>
        <w:t xml:space="preserve">NVD sistēmas datu apkopojuma “Skeleta, muskuļu un saistaudu slimības” darbnespējas cēloņu izrakstīšanas grupā 20 848 </w:t>
      </w:r>
      <w:r w:rsidR="00FC0B2A">
        <w:rPr>
          <w:rFonts w:ascii="Times New Roman" w:hAnsi="Times New Roman" w:cs="Times New Roman"/>
          <w:sz w:val="24"/>
          <w:szCs w:val="24"/>
        </w:rPr>
        <w:t>unikālo pacientu skaits</w:t>
      </w:r>
      <w:r w:rsidR="00D52C36">
        <w:rPr>
          <w:rFonts w:ascii="Times New Roman" w:hAnsi="Times New Roman" w:cs="Times New Roman"/>
          <w:sz w:val="24"/>
          <w:szCs w:val="24"/>
        </w:rPr>
        <w:t xml:space="preserve"> primāri būtu tās personas, kurām būtu nepieciešams sniegt sāpju kabineta pakalpojumus, lai pēc iespējas ātrāk persona varētu uzlabot savas dzīves kvalitāti un atgriezties darbā. Līdz ar to no 2019.gada 1.aprīļa tiek plānots nodrošināt </w:t>
      </w:r>
      <w:r w:rsidR="00FC0B2A">
        <w:rPr>
          <w:rFonts w:ascii="Times New Roman" w:hAnsi="Times New Roman" w:cs="Times New Roman"/>
          <w:sz w:val="24"/>
          <w:szCs w:val="24"/>
        </w:rPr>
        <w:t xml:space="preserve">vajadzību </w:t>
      </w:r>
      <w:r w:rsidR="00D52C36">
        <w:rPr>
          <w:rFonts w:ascii="Times New Roman" w:hAnsi="Times New Roman" w:cs="Times New Roman"/>
          <w:sz w:val="24"/>
          <w:szCs w:val="24"/>
        </w:rPr>
        <w:t>54,32% no potenciāli primārās vajadzības.</w:t>
      </w:r>
    </w:p>
    <w:p w14:paraId="2315CC85" w14:textId="77777777" w:rsidR="00660E10" w:rsidRDefault="00660E10" w:rsidP="00660E10">
      <w:pPr>
        <w:spacing w:after="120"/>
        <w:ind w:firstLine="720"/>
        <w:jc w:val="right"/>
        <w:rPr>
          <w:rFonts w:ascii="Times New Roman" w:hAnsi="Times New Roman" w:cs="Times New Roman"/>
          <w:i/>
          <w:sz w:val="24"/>
          <w:szCs w:val="24"/>
        </w:rPr>
        <w:sectPr w:rsidR="00660E10" w:rsidSect="00333B64">
          <w:pgSz w:w="12240" w:h="15840"/>
          <w:pgMar w:top="1440" w:right="1440" w:bottom="1440" w:left="1701" w:header="708" w:footer="708" w:gutter="0"/>
          <w:cols w:space="708"/>
          <w:docGrid w:linePitch="360"/>
        </w:sectPr>
      </w:pPr>
    </w:p>
    <w:p w14:paraId="0D38602B" w14:textId="05A57847" w:rsidR="00660E10" w:rsidRDefault="00660E10" w:rsidP="00E11AFF">
      <w:pPr>
        <w:spacing w:after="120"/>
        <w:ind w:firstLine="720"/>
        <w:jc w:val="right"/>
        <w:rPr>
          <w:rFonts w:ascii="Times New Roman" w:hAnsi="Times New Roman" w:cs="Times New Roman"/>
          <w:i/>
          <w:sz w:val="24"/>
          <w:szCs w:val="24"/>
        </w:rPr>
      </w:pPr>
      <w:r w:rsidRPr="00E11AFF">
        <w:rPr>
          <w:rFonts w:ascii="Times New Roman" w:hAnsi="Times New Roman" w:cs="Times New Roman"/>
          <w:i/>
          <w:sz w:val="24"/>
          <w:szCs w:val="24"/>
        </w:rPr>
        <w:lastRenderedPageBreak/>
        <w:t>21.tabula</w:t>
      </w:r>
    </w:p>
    <w:p w14:paraId="3803F497" w14:textId="66281B6D" w:rsidR="00FF3AE1" w:rsidRPr="00E11AFF" w:rsidRDefault="00FF3AE1" w:rsidP="00E11AFF">
      <w:pPr>
        <w:spacing w:after="120"/>
        <w:ind w:firstLine="720"/>
        <w:jc w:val="center"/>
        <w:rPr>
          <w:rFonts w:ascii="Times New Roman" w:hAnsi="Times New Roman" w:cs="Times New Roman"/>
          <w:b/>
          <w:sz w:val="24"/>
          <w:szCs w:val="24"/>
        </w:rPr>
      </w:pPr>
      <w:r w:rsidRPr="00E11AFF">
        <w:rPr>
          <w:rFonts w:ascii="Times New Roman" w:hAnsi="Times New Roman" w:cs="Times New Roman"/>
          <w:b/>
          <w:sz w:val="24"/>
          <w:szCs w:val="24"/>
        </w:rPr>
        <w:t>Sāpju kabineta izveidei nepieciešamais finansējums 2017., 2018. un 2019.gadam</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30"/>
        <w:gridCol w:w="1134"/>
        <w:gridCol w:w="850"/>
        <w:gridCol w:w="851"/>
        <w:gridCol w:w="850"/>
        <w:gridCol w:w="851"/>
        <w:gridCol w:w="850"/>
        <w:gridCol w:w="851"/>
        <w:gridCol w:w="850"/>
        <w:gridCol w:w="851"/>
        <w:gridCol w:w="850"/>
        <w:gridCol w:w="851"/>
        <w:gridCol w:w="850"/>
        <w:gridCol w:w="851"/>
      </w:tblGrid>
      <w:tr w:rsidR="00660E10" w14:paraId="23380063" w14:textId="77777777" w:rsidTr="00C4284B">
        <w:trPr>
          <w:cantSplit/>
          <w:trHeight w:val="1505"/>
          <w:jc w:val="center"/>
        </w:trPr>
        <w:tc>
          <w:tcPr>
            <w:tcW w:w="450" w:type="dxa"/>
            <w:shd w:val="clear" w:color="auto" w:fill="E36C0A" w:themeFill="accent6" w:themeFillShade="BF"/>
          </w:tcPr>
          <w:p w14:paraId="1A2CF73E" w14:textId="77777777" w:rsidR="00660E10" w:rsidRPr="00847710" w:rsidRDefault="00660E10" w:rsidP="0090538F">
            <w:pPr>
              <w:spacing w:after="0" w:line="240" w:lineRule="auto"/>
              <w:rPr>
                <w:rFonts w:ascii="Times New Roman" w:eastAsia="Times New Roman" w:hAnsi="Times New Roman" w:cs="Times New Roman"/>
                <w:b/>
                <w:bCs/>
                <w:sz w:val="20"/>
                <w:szCs w:val="20"/>
                <w:lang w:eastAsia="lv-LV"/>
              </w:rPr>
            </w:pPr>
          </w:p>
        </w:tc>
        <w:tc>
          <w:tcPr>
            <w:tcW w:w="1530" w:type="dxa"/>
            <w:shd w:val="clear" w:color="auto" w:fill="E36C0A" w:themeFill="accent6" w:themeFillShade="BF"/>
            <w:vAlign w:val="center"/>
            <w:hideMark/>
          </w:tcPr>
          <w:p w14:paraId="4A15D878" w14:textId="77777777" w:rsidR="00660E10" w:rsidRPr="00847710" w:rsidRDefault="00660E10" w:rsidP="0090538F">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431E505B" w14:textId="0B951D0B" w:rsidR="00660E10" w:rsidRPr="00847710" w:rsidRDefault="00660E10"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pakalpojuma</w:t>
            </w:r>
          </w:p>
          <w:p w14:paraId="7CFD87F3" w14:textId="77777777" w:rsidR="00660E10" w:rsidRPr="00847710" w:rsidRDefault="00660E10"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25556DC4" w14:textId="77777777" w:rsidR="00660E10" w:rsidRPr="00847710" w:rsidRDefault="00660E10" w:rsidP="0090538F">
            <w:pPr>
              <w:spacing w:after="0" w:line="240" w:lineRule="auto"/>
              <w:ind w:left="113" w:right="113"/>
              <w:jc w:val="center"/>
              <w:rPr>
                <w:rFonts w:ascii="Times New Roman" w:eastAsia="Times New Roman" w:hAnsi="Times New Roman" w:cs="Times New Roman"/>
                <w:b/>
                <w:bCs/>
                <w:sz w:val="20"/>
                <w:szCs w:val="20"/>
                <w:lang w:eastAsia="lv-LV"/>
              </w:rPr>
            </w:pPr>
          </w:p>
        </w:tc>
        <w:tc>
          <w:tcPr>
            <w:tcW w:w="2551" w:type="dxa"/>
            <w:gridSpan w:val="3"/>
            <w:shd w:val="clear" w:color="auto" w:fill="E36C0A" w:themeFill="accent6" w:themeFillShade="BF"/>
            <w:textDirection w:val="btLr"/>
            <w:vAlign w:val="center"/>
          </w:tcPr>
          <w:p w14:paraId="5960AEAD" w14:textId="77777777" w:rsidR="00660E10" w:rsidRPr="00847710" w:rsidRDefault="00660E10" w:rsidP="0090538F">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552" w:type="dxa"/>
            <w:gridSpan w:val="3"/>
            <w:shd w:val="clear" w:color="auto" w:fill="E36C0A" w:themeFill="accent6" w:themeFillShade="BF"/>
            <w:textDirection w:val="btLr"/>
            <w:vAlign w:val="center"/>
          </w:tcPr>
          <w:p w14:paraId="6D19FEB5" w14:textId="77777777" w:rsidR="00660E10" w:rsidRPr="00847710" w:rsidRDefault="00660E10"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51" w:type="dxa"/>
            <w:gridSpan w:val="3"/>
            <w:shd w:val="clear" w:color="auto" w:fill="E36C0A" w:themeFill="accent6" w:themeFillShade="BF"/>
            <w:textDirection w:val="btLr"/>
            <w:vAlign w:val="center"/>
          </w:tcPr>
          <w:p w14:paraId="194D5A1F" w14:textId="77777777" w:rsidR="00660E10" w:rsidRPr="00847710" w:rsidRDefault="00660E10"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552" w:type="dxa"/>
            <w:gridSpan w:val="3"/>
            <w:shd w:val="clear" w:color="auto" w:fill="E36C0A" w:themeFill="accent6" w:themeFillShade="BF"/>
            <w:textDirection w:val="btLr"/>
            <w:vAlign w:val="center"/>
          </w:tcPr>
          <w:p w14:paraId="47870E2F" w14:textId="77777777" w:rsidR="00660E10" w:rsidRPr="00847710" w:rsidRDefault="00660E10"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C4284B" w14:paraId="117069F7" w14:textId="77777777" w:rsidTr="00C4284B">
        <w:trPr>
          <w:trHeight w:val="640"/>
          <w:jc w:val="center"/>
        </w:trPr>
        <w:tc>
          <w:tcPr>
            <w:tcW w:w="450" w:type="dxa"/>
            <w:shd w:val="clear" w:color="auto" w:fill="FABF8F" w:themeFill="accent6" w:themeFillTint="99"/>
          </w:tcPr>
          <w:p w14:paraId="36738B3D"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p>
        </w:tc>
        <w:tc>
          <w:tcPr>
            <w:tcW w:w="1530" w:type="dxa"/>
            <w:shd w:val="clear" w:color="auto" w:fill="FABF8F" w:themeFill="accent6" w:themeFillTint="99"/>
            <w:vAlign w:val="center"/>
          </w:tcPr>
          <w:p w14:paraId="09B1829F"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79ECD0F8" w14:textId="77777777" w:rsidR="00660E10" w:rsidRPr="00847710" w:rsidRDefault="00660E10" w:rsidP="0090538F">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0D19B7AD"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2EA82BCF" w14:textId="77777777" w:rsidR="00660E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4A57460" w14:textId="77777777" w:rsidR="00660E10" w:rsidRPr="0012317D" w:rsidRDefault="00660E10" w:rsidP="0090538F">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5A6E47FD" w14:textId="77777777" w:rsidR="00660E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53CC88D4" w14:textId="77777777" w:rsidR="00660E10" w:rsidRPr="0012317D" w:rsidRDefault="00660E10" w:rsidP="0090538F">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68AA17A3" w14:textId="77777777" w:rsidR="00660E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6059B443" w14:textId="77777777" w:rsidR="00660E10" w:rsidRPr="0012317D" w:rsidRDefault="00660E10" w:rsidP="0090538F">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6C654554" w14:textId="77777777" w:rsidR="00660E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421A34D" w14:textId="77777777" w:rsidR="00660E10" w:rsidRPr="0012317D" w:rsidRDefault="00660E10" w:rsidP="0090538F">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19827726" w14:textId="77777777" w:rsidR="00660E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3D21ACCB" w14:textId="77777777" w:rsidR="00660E10" w:rsidRPr="0012317D" w:rsidRDefault="00660E10" w:rsidP="0090538F">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4FEEC63B" w14:textId="77777777" w:rsidR="00660E10" w:rsidRPr="00C86312" w:rsidRDefault="00660E10" w:rsidP="0090538F">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637A126" w14:textId="77777777" w:rsidR="00660E10" w:rsidRPr="00C86312" w:rsidRDefault="00660E10" w:rsidP="0090538F">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6F2DEEDE"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5031A01A"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1AD7DD30"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1" w:type="dxa"/>
            <w:shd w:val="clear" w:color="auto" w:fill="FABF8F" w:themeFill="accent6" w:themeFillTint="99"/>
            <w:vAlign w:val="center"/>
          </w:tcPr>
          <w:p w14:paraId="664D48CF"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0" w:type="dxa"/>
            <w:shd w:val="clear" w:color="auto" w:fill="FABF8F" w:themeFill="accent6" w:themeFillTint="99"/>
            <w:vAlign w:val="center"/>
          </w:tcPr>
          <w:p w14:paraId="3DEF2D41"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1BA7DA5A" w14:textId="77777777" w:rsidR="00660E10" w:rsidRPr="00847710" w:rsidRDefault="00660E10" w:rsidP="0090538F">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C4284B" w14:paraId="25A4C422" w14:textId="77777777" w:rsidTr="00C4284B">
        <w:trPr>
          <w:trHeight w:val="598"/>
          <w:jc w:val="center"/>
        </w:trPr>
        <w:tc>
          <w:tcPr>
            <w:tcW w:w="450" w:type="dxa"/>
            <w:shd w:val="clear" w:color="auto" w:fill="FFFFFF" w:themeFill="background1"/>
          </w:tcPr>
          <w:p w14:paraId="209DF635"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530" w:type="dxa"/>
            <w:shd w:val="clear" w:color="auto" w:fill="FFFFFF" w:themeFill="background1"/>
            <w:vAlign w:val="center"/>
          </w:tcPr>
          <w:p w14:paraId="66FB220C" w14:textId="76D8DDF7" w:rsidR="00660E10" w:rsidRPr="00E11AFF" w:rsidRDefault="00660E10" w:rsidP="0090538F">
            <w:pPr>
              <w:spacing w:after="0" w:line="240" w:lineRule="auto"/>
              <w:rPr>
                <w:rFonts w:ascii="Times New Roman" w:eastAsia="Times New Roman" w:hAnsi="Times New Roman" w:cs="Times New Roman"/>
                <w:bCs/>
                <w:sz w:val="16"/>
                <w:szCs w:val="16"/>
                <w:lang w:eastAsia="lv-LV"/>
              </w:rPr>
            </w:pPr>
            <w:r w:rsidRPr="00E11AFF">
              <w:rPr>
                <w:rFonts w:ascii="Times New Roman" w:hAnsi="Times New Roman"/>
                <w:sz w:val="16"/>
                <w:szCs w:val="16"/>
              </w:rPr>
              <w:t>Sāpju klīniskā izmeklēšana un novērtēšana (neuzrāda kopā ar manipulāciju 11031)</w:t>
            </w:r>
          </w:p>
        </w:tc>
        <w:tc>
          <w:tcPr>
            <w:tcW w:w="1134" w:type="dxa"/>
            <w:shd w:val="clear" w:color="auto" w:fill="FFFFFF" w:themeFill="background1"/>
            <w:vAlign w:val="center"/>
          </w:tcPr>
          <w:p w14:paraId="4B561B8C" w14:textId="64C28E33" w:rsidR="00660E10" w:rsidRPr="00E11AFF" w:rsidRDefault="00660E10" w:rsidP="0090538F">
            <w:pPr>
              <w:spacing w:after="0" w:line="240" w:lineRule="auto"/>
              <w:jc w:val="center"/>
              <w:rPr>
                <w:rFonts w:ascii="Times New Roman" w:eastAsia="Times New Roman" w:hAnsi="Times New Roman" w:cs="Times New Roman"/>
                <w:iCs/>
                <w:sz w:val="16"/>
                <w:szCs w:val="16"/>
                <w:lang w:eastAsia="lv-LV"/>
              </w:rPr>
            </w:pPr>
            <w:r w:rsidRPr="00E11AFF">
              <w:rPr>
                <w:rFonts w:ascii="Times New Roman" w:hAnsi="Times New Roman"/>
                <w:b/>
                <w:bCs/>
                <w:sz w:val="16"/>
                <w:szCs w:val="16"/>
              </w:rPr>
              <w:t>19.65</w:t>
            </w:r>
          </w:p>
        </w:tc>
        <w:tc>
          <w:tcPr>
            <w:tcW w:w="850" w:type="dxa"/>
            <w:shd w:val="clear" w:color="auto" w:fill="FFFFFF" w:themeFill="background1"/>
            <w:vAlign w:val="center"/>
          </w:tcPr>
          <w:p w14:paraId="416BA6FF" w14:textId="77777777" w:rsidR="00660E10"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9F25602" w14:textId="77777777" w:rsidR="00660E10"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0DA6E9B"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16D20F05" w14:textId="77777777" w:rsidR="00660E10"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396FD13" w14:textId="77777777" w:rsidR="00660E10"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2277759B" w14:textId="76014D2C" w:rsidR="00660E10" w:rsidRPr="00477291" w:rsidRDefault="00477291" w:rsidP="0090538F">
            <w:pPr>
              <w:spacing w:after="0" w:line="240" w:lineRule="auto"/>
              <w:jc w:val="center"/>
              <w:rPr>
                <w:rFonts w:ascii="Times New Roman" w:eastAsia="Times New Roman" w:hAnsi="Times New Roman" w:cs="Times New Roman"/>
                <w:bCs/>
                <w:sz w:val="16"/>
                <w:szCs w:val="16"/>
                <w:lang w:eastAsia="lv-LV"/>
              </w:rPr>
            </w:pPr>
            <w:r w:rsidRPr="00477291">
              <w:rPr>
                <w:rFonts w:ascii="Times New Roman" w:eastAsia="Times New Roman" w:hAnsi="Times New Roman"/>
                <w:sz w:val="16"/>
                <w:szCs w:val="16"/>
                <w:lang w:eastAsia="lv-LV"/>
              </w:rPr>
              <w:t>88 425</w:t>
            </w:r>
          </w:p>
        </w:tc>
        <w:tc>
          <w:tcPr>
            <w:tcW w:w="850" w:type="dxa"/>
            <w:shd w:val="clear" w:color="auto" w:fill="FFFFFF" w:themeFill="background1"/>
            <w:vAlign w:val="center"/>
          </w:tcPr>
          <w:p w14:paraId="5BE77B85"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A7A90B4"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B0E3F1B"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C97AFFF" w14:textId="77777777" w:rsidR="00660E10"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247A486" w14:textId="77777777" w:rsidR="00660E10"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17F8F2E" w14:textId="45E84759" w:rsidR="00660E10" w:rsidRPr="00477291" w:rsidRDefault="00660E10" w:rsidP="0090538F">
            <w:pPr>
              <w:spacing w:after="0" w:line="240" w:lineRule="auto"/>
              <w:jc w:val="center"/>
              <w:rPr>
                <w:rFonts w:ascii="Times New Roman" w:eastAsia="Times New Roman" w:hAnsi="Times New Roman" w:cs="Times New Roman"/>
                <w:bCs/>
                <w:sz w:val="16"/>
                <w:szCs w:val="16"/>
                <w:lang w:eastAsia="lv-LV"/>
              </w:rPr>
            </w:pPr>
            <w:r w:rsidRPr="00477291">
              <w:rPr>
                <w:rFonts w:ascii="Times New Roman" w:eastAsia="Times New Roman" w:hAnsi="Times New Roman" w:cs="Times New Roman"/>
                <w:bCs/>
                <w:sz w:val="16"/>
                <w:szCs w:val="16"/>
                <w:lang w:eastAsia="lv-LV"/>
              </w:rPr>
              <w:t>4</w:t>
            </w:r>
            <w:r w:rsidR="007A2A94" w:rsidRPr="00477291">
              <w:rPr>
                <w:rFonts w:ascii="Times New Roman" w:eastAsia="Times New Roman" w:hAnsi="Times New Roman" w:cs="Times New Roman"/>
                <w:bCs/>
                <w:sz w:val="16"/>
                <w:szCs w:val="16"/>
                <w:lang w:eastAsia="lv-LV"/>
              </w:rPr>
              <w:t xml:space="preserve"> 500</w:t>
            </w:r>
          </w:p>
        </w:tc>
      </w:tr>
      <w:tr w:rsidR="00C4284B" w14:paraId="4579BDC6" w14:textId="77777777" w:rsidTr="00C4284B">
        <w:trPr>
          <w:trHeight w:val="598"/>
          <w:jc w:val="center"/>
        </w:trPr>
        <w:tc>
          <w:tcPr>
            <w:tcW w:w="450" w:type="dxa"/>
            <w:shd w:val="clear" w:color="auto" w:fill="FFFFFF" w:themeFill="background1"/>
          </w:tcPr>
          <w:p w14:paraId="3D051FD2"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r w:rsidRPr="00E1067B">
              <w:rPr>
                <w:rFonts w:ascii="Times New Roman" w:eastAsia="Times New Roman" w:hAnsi="Times New Roman" w:cs="Times New Roman"/>
                <w:bCs/>
                <w:sz w:val="20"/>
                <w:szCs w:val="20"/>
                <w:lang w:eastAsia="lv-LV"/>
              </w:rPr>
              <w:t>.</w:t>
            </w:r>
          </w:p>
        </w:tc>
        <w:tc>
          <w:tcPr>
            <w:tcW w:w="1530" w:type="dxa"/>
            <w:shd w:val="clear" w:color="auto" w:fill="FFFFFF" w:themeFill="background1"/>
            <w:vAlign w:val="center"/>
          </w:tcPr>
          <w:p w14:paraId="08A2A278" w14:textId="0DF7922D" w:rsidR="00660E10" w:rsidRPr="00E11AFF" w:rsidRDefault="00660E10" w:rsidP="0090538F">
            <w:pPr>
              <w:spacing w:after="0" w:line="240" w:lineRule="auto"/>
              <w:rPr>
                <w:rFonts w:ascii="Times New Roman" w:eastAsia="Times New Roman" w:hAnsi="Times New Roman" w:cs="Times New Roman"/>
                <w:bCs/>
                <w:sz w:val="16"/>
                <w:szCs w:val="16"/>
                <w:lang w:eastAsia="lv-LV"/>
              </w:rPr>
            </w:pPr>
            <w:r w:rsidRPr="00E11AFF">
              <w:rPr>
                <w:rFonts w:ascii="Times New Roman" w:hAnsi="Times New Roman"/>
                <w:sz w:val="16"/>
                <w:szCs w:val="16"/>
              </w:rPr>
              <w:t>Pirmreizēja vai atkārtota hronisko sāpju dinamiskā aprūpe (neuzrāda kopā ar manipulāciju 11030)</w:t>
            </w:r>
          </w:p>
        </w:tc>
        <w:tc>
          <w:tcPr>
            <w:tcW w:w="1134" w:type="dxa"/>
            <w:shd w:val="clear" w:color="auto" w:fill="FFFFFF" w:themeFill="background1"/>
            <w:vAlign w:val="center"/>
          </w:tcPr>
          <w:p w14:paraId="623F8DA3" w14:textId="13154D7F" w:rsidR="00660E10" w:rsidRPr="00E11AFF" w:rsidRDefault="00660E10" w:rsidP="0090538F">
            <w:pPr>
              <w:spacing w:after="0" w:line="240" w:lineRule="auto"/>
              <w:jc w:val="center"/>
              <w:rPr>
                <w:rFonts w:ascii="Times New Roman" w:eastAsia="Times New Roman" w:hAnsi="Times New Roman" w:cs="Times New Roman"/>
                <w:iCs/>
                <w:sz w:val="16"/>
                <w:szCs w:val="16"/>
                <w:lang w:eastAsia="lv-LV"/>
              </w:rPr>
            </w:pPr>
            <w:r w:rsidRPr="00E11AFF">
              <w:rPr>
                <w:rFonts w:ascii="Times New Roman" w:hAnsi="Times New Roman"/>
                <w:b/>
                <w:bCs/>
                <w:sz w:val="16"/>
                <w:szCs w:val="16"/>
              </w:rPr>
              <w:t>15.08</w:t>
            </w:r>
          </w:p>
        </w:tc>
        <w:tc>
          <w:tcPr>
            <w:tcW w:w="850" w:type="dxa"/>
            <w:shd w:val="clear" w:color="auto" w:fill="FFFFFF" w:themeFill="background1"/>
            <w:vAlign w:val="center"/>
          </w:tcPr>
          <w:p w14:paraId="3B29A153"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471EB156"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F861551"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5ECC5E7"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77103F5"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45B1D46D" w14:textId="6C3DA590" w:rsidR="00660E10" w:rsidRPr="00477291" w:rsidRDefault="00477291" w:rsidP="0090538F">
            <w:pPr>
              <w:spacing w:after="0" w:line="240" w:lineRule="auto"/>
              <w:jc w:val="center"/>
              <w:rPr>
                <w:rFonts w:ascii="Times New Roman" w:eastAsia="Times New Roman" w:hAnsi="Times New Roman" w:cs="Times New Roman"/>
                <w:bCs/>
                <w:sz w:val="16"/>
                <w:szCs w:val="16"/>
                <w:lang w:eastAsia="lv-LV"/>
              </w:rPr>
            </w:pPr>
            <w:r w:rsidRPr="00477291">
              <w:rPr>
                <w:rFonts w:ascii="Times New Roman" w:eastAsia="Times New Roman" w:hAnsi="Times New Roman"/>
                <w:sz w:val="16"/>
                <w:szCs w:val="16"/>
                <w:lang w:eastAsia="lv-LV"/>
              </w:rPr>
              <w:t>101 790</w:t>
            </w:r>
          </w:p>
        </w:tc>
        <w:tc>
          <w:tcPr>
            <w:tcW w:w="850" w:type="dxa"/>
            <w:shd w:val="clear" w:color="auto" w:fill="FFFFFF" w:themeFill="background1"/>
            <w:vAlign w:val="center"/>
          </w:tcPr>
          <w:p w14:paraId="522F2E57"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711AA27"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BB97F3E"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16536F14"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9D907FE" w14:textId="77777777" w:rsidR="00660E10" w:rsidRPr="00E1067B" w:rsidRDefault="00660E10" w:rsidP="0090538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61457D1" w14:textId="26A791B8" w:rsidR="00660E10" w:rsidRPr="00477291" w:rsidRDefault="007A2A94" w:rsidP="0090538F">
            <w:pPr>
              <w:spacing w:after="0" w:line="240" w:lineRule="auto"/>
              <w:jc w:val="center"/>
              <w:rPr>
                <w:rFonts w:ascii="Times New Roman" w:eastAsia="Times New Roman" w:hAnsi="Times New Roman" w:cs="Times New Roman"/>
                <w:bCs/>
                <w:sz w:val="16"/>
                <w:szCs w:val="16"/>
                <w:lang w:eastAsia="lv-LV"/>
              </w:rPr>
            </w:pPr>
            <w:r w:rsidRPr="00477291">
              <w:rPr>
                <w:rFonts w:ascii="Times New Roman" w:eastAsia="Times New Roman" w:hAnsi="Times New Roman" w:cs="Times New Roman"/>
                <w:bCs/>
                <w:sz w:val="16"/>
                <w:szCs w:val="16"/>
                <w:lang w:eastAsia="lv-LV"/>
              </w:rPr>
              <w:t>6 750</w:t>
            </w:r>
          </w:p>
        </w:tc>
      </w:tr>
      <w:tr w:rsidR="00D11480" w14:paraId="5D72811D" w14:textId="77777777" w:rsidTr="00C4284B">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6A722E64" w14:textId="77777777" w:rsidR="00660E10" w:rsidRPr="00847710" w:rsidRDefault="00660E10" w:rsidP="00660E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47710">
              <w:rPr>
                <w:rFonts w:ascii="Times New Roman" w:eastAsia="Times New Roman" w:hAnsi="Times New Roman" w:cs="Times New Roman"/>
                <w:sz w:val="20"/>
                <w:szCs w:val="20"/>
                <w:lang w:eastAsia="lv-LV"/>
              </w:rPr>
              <w:t>.</w:t>
            </w:r>
          </w:p>
        </w:tc>
        <w:tc>
          <w:tcPr>
            <w:tcW w:w="1530" w:type="dxa"/>
            <w:tcBorders>
              <w:top w:val="single" w:sz="4" w:space="0" w:color="auto"/>
              <w:left w:val="single" w:sz="4" w:space="0" w:color="auto"/>
              <w:bottom w:val="single" w:sz="4" w:space="0" w:color="auto"/>
              <w:right w:val="single" w:sz="4" w:space="0" w:color="auto"/>
            </w:tcBorders>
            <w:vAlign w:val="center"/>
          </w:tcPr>
          <w:p w14:paraId="396AADE3" w14:textId="506C22DC" w:rsidR="00660E10" w:rsidRPr="00E11AFF" w:rsidRDefault="00660E10" w:rsidP="00660E10">
            <w:pPr>
              <w:spacing w:after="0" w:line="240" w:lineRule="auto"/>
              <w:rPr>
                <w:rFonts w:ascii="Times New Roman" w:eastAsia="Times New Roman" w:hAnsi="Times New Roman" w:cs="Times New Roman"/>
                <w:sz w:val="16"/>
                <w:szCs w:val="16"/>
                <w:lang w:eastAsia="lv-LV"/>
              </w:rPr>
            </w:pPr>
            <w:r w:rsidRPr="00E11AFF">
              <w:rPr>
                <w:rFonts w:ascii="Times New Roman" w:hAnsi="Times New Roman"/>
                <w:sz w:val="16"/>
                <w:szCs w:val="16"/>
              </w:rPr>
              <w:t>Specializēts konsīlijs sāpju pacienta aprūpei (uzrāda katrs konsīlijā iesaistītais speciālists)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DA519" w14:textId="24958635" w:rsidR="00660E10" w:rsidRPr="00E11AFF" w:rsidRDefault="00660E10" w:rsidP="00660E10">
            <w:pPr>
              <w:spacing w:after="0" w:line="240" w:lineRule="auto"/>
              <w:jc w:val="center"/>
              <w:rPr>
                <w:rFonts w:ascii="Times New Roman" w:eastAsia="Times New Roman" w:hAnsi="Times New Roman" w:cs="Times New Roman"/>
                <w:sz w:val="16"/>
                <w:szCs w:val="16"/>
                <w:lang w:eastAsia="lv-LV"/>
              </w:rPr>
            </w:pPr>
            <w:r w:rsidRPr="00E11AFF">
              <w:rPr>
                <w:rFonts w:ascii="Times New Roman" w:hAnsi="Times New Roman"/>
                <w:b/>
                <w:bCs/>
                <w:sz w:val="16"/>
                <w:szCs w:val="16"/>
              </w:rPr>
              <w:t>18.51</w:t>
            </w:r>
          </w:p>
        </w:tc>
        <w:tc>
          <w:tcPr>
            <w:tcW w:w="850" w:type="dxa"/>
            <w:tcBorders>
              <w:top w:val="single" w:sz="4" w:space="0" w:color="auto"/>
              <w:left w:val="single" w:sz="4" w:space="0" w:color="auto"/>
              <w:bottom w:val="single" w:sz="4" w:space="0" w:color="auto"/>
              <w:right w:val="single" w:sz="4" w:space="0" w:color="auto"/>
            </w:tcBorders>
            <w:vAlign w:val="center"/>
          </w:tcPr>
          <w:p w14:paraId="56D37C6F" w14:textId="77777777" w:rsidR="00660E10" w:rsidRDefault="00660E10" w:rsidP="00660E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A598BB0" w14:textId="77777777" w:rsidR="00660E10" w:rsidRDefault="00660E10" w:rsidP="00660E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8509EDA" w14:textId="77777777" w:rsidR="00660E10" w:rsidRDefault="00660E10" w:rsidP="00660E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7EAE8B6" w14:textId="77777777" w:rsidR="00660E10" w:rsidRDefault="00660E10" w:rsidP="00660E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9EE6DF3" w14:textId="77777777" w:rsidR="00660E10" w:rsidRDefault="00660E10" w:rsidP="00660E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CE954" w14:textId="7BFD406E" w:rsidR="00660E10" w:rsidRPr="00477291" w:rsidRDefault="00477291" w:rsidP="00660E10">
            <w:pPr>
              <w:spacing w:after="0" w:line="240" w:lineRule="auto"/>
              <w:jc w:val="center"/>
              <w:rPr>
                <w:rFonts w:ascii="Times New Roman" w:eastAsia="Times New Roman" w:hAnsi="Times New Roman" w:cs="Times New Roman"/>
                <w:sz w:val="16"/>
                <w:szCs w:val="16"/>
                <w:lang w:eastAsia="lv-LV"/>
              </w:rPr>
            </w:pPr>
            <w:r w:rsidRPr="00477291">
              <w:rPr>
                <w:rFonts w:ascii="Times New Roman" w:eastAsia="Times New Roman" w:hAnsi="Times New Roman"/>
                <w:sz w:val="16"/>
                <w:szCs w:val="16"/>
                <w:lang w:eastAsia="lv-LV"/>
              </w:rPr>
              <w:t>1 388</w:t>
            </w:r>
          </w:p>
        </w:tc>
        <w:tc>
          <w:tcPr>
            <w:tcW w:w="850" w:type="dxa"/>
            <w:tcBorders>
              <w:top w:val="single" w:sz="4" w:space="0" w:color="auto"/>
              <w:left w:val="single" w:sz="4" w:space="0" w:color="auto"/>
              <w:bottom w:val="single" w:sz="4" w:space="0" w:color="auto"/>
              <w:right w:val="single" w:sz="4" w:space="0" w:color="auto"/>
            </w:tcBorders>
            <w:vAlign w:val="center"/>
          </w:tcPr>
          <w:p w14:paraId="3390247E" w14:textId="77777777" w:rsidR="00660E10" w:rsidRPr="000C29E1" w:rsidRDefault="00660E10" w:rsidP="00660E1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BD4BB9B" w14:textId="77777777" w:rsidR="00660E10" w:rsidRPr="000C29E1" w:rsidRDefault="00660E10" w:rsidP="00660E1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B2E0E3C" w14:textId="77777777" w:rsidR="00660E10" w:rsidRPr="000C29E1" w:rsidRDefault="00660E10" w:rsidP="00660E1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0E50756" w14:textId="77777777" w:rsidR="00660E10" w:rsidRPr="000C29E1" w:rsidRDefault="00660E10" w:rsidP="00660E1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D574BAD" w14:textId="77777777" w:rsidR="00660E10" w:rsidRPr="000C29E1" w:rsidRDefault="00660E10" w:rsidP="00660E1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center"/>
          </w:tcPr>
          <w:p w14:paraId="28FF1918" w14:textId="16EDF17F" w:rsidR="00660E10" w:rsidRPr="00477291" w:rsidRDefault="007A2A94" w:rsidP="00660E10">
            <w:pPr>
              <w:spacing w:after="0" w:line="240" w:lineRule="auto"/>
              <w:jc w:val="center"/>
              <w:rPr>
                <w:rFonts w:ascii="Times New Roman" w:eastAsia="Times New Roman" w:hAnsi="Times New Roman" w:cs="Times New Roman"/>
                <w:b/>
                <w:sz w:val="16"/>
                <w:szCs w:val="16"/>
                <w:lang w:eastAsia="lv-LV"/>
              </w:rPr>
            </w:pPr>
            <w:r w:rsidRPr="00477291">
              <w:rPr>
                <w:rFonts w:ascii="Times New Roman" w:eastAsia="Times New Roman" w:hAnsi="Times New Roman" w:cs="Times New Roman"/>
                <w:b/>
                <w:bCs/>
                <w:sz w:val="16"/>
                <w:szCs w:val="16"/>
                <w:lang w:eastAsia="lv-LV"/>
              </w:rPr>
              <w:t>75</w:t>
            </w:r>
          </w:p>
        </w:tc>
      </w:tr>
      <w:tr w:rsidR="00C4284B" w14:paraId="395D988D" w14:textId="77777777" w:rsidTr="00C4284B">
        <w:trPr>
          <w:trHeight w:val="296"/>
          <w:jc w:val="center"/>
        </w:trPr>
        <w:tc>
          <w:tcPr>
            <w:tcW w:w="450" w:type="dxa"/>
            <w:shd w:val="clear" w:color="auto" w:fill="FBD4B4" w:themeFill="accent6" w:themeFillTint="66"/>
          </w:tcPr>
          <w:p w14:paraId="0CD015BF" w14:textId="77777777" w:rsidR="00660E10" w:rsidRPr="00847710" w:rsidRDefault="00660E10" w:rsidP="00660E10">
            <w:pPr>
              <w:spacing w:after="0" w:line="240" w:lineRule="auto"/>
              <w:rPr>
                <w:rFonts w:ascii="Times New Roman" w:eastAsia="Times New Roman" w:hAnsi="Times New Roman" w:cs="Times New Roman"/>
                <w:sz w:val="20"/>
                <w:szCs w:val="20"/>
                <w:lang w:eastAsia="lv-LV"/>
              </w:rPr>
            </w:pPr>
          </w:p>
        </w:tc>
        <w:tc>
          <w:tcPr>
            <w:tcW w:w="1530" w:type="dxa"/>
            <w:shd w:val="clear" w:color="auto" w:fill="FBD4B4" w:themeFill="accent6" w:themeFillTint="66"/>
            <w:vAlign w:val="bottom"/>
          </w:tcPr>
          <w:p w14:paraId="25DEFC8E" w14:textId="77777777" w:rsidR="00660E10" w:rsidRPr="00847710" w:rsidRDefault="00660E10" w:rsidP="00660E1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tcPr>
          <w:p w14:paraId="768BA7F4" w14:textId="77777777" w:rsidR="00660E10" w:rsidRPr="00847710" w:rsidRDefault="00660E10" w:rsidP="00660E10">
            <w:pPr>
              <w:spacing w:after="0" w:line="240" w:lineRule="auto"/>
              <w:jc w:val="center"/>
              <w:rPr>
                <w:rFonts w:ascii="Times New Roman" w:eastAsia="Times New Roman" w:hAnsi="Times New Roman" w:cs="Times New Roman"/>
                <w:sz w:val="20"/>
                <w:szCs w:val="20"/>
                <w:lang w:eastAsia="lv-LV"/>
              </w:rPr>
            </w:pPr>
          </w:p>
        </w:tc>
        <w:tc>
          <w:tcPr>
            <w:tcW w:w="850" w:type="dxa"/>
            <w:shd w:val="clear" w:color="auto" w:fill="FBD4B4" w:themeFill="accent6" w:themeFillTint="66"/>
            <w:vAlign w:val="center"/>
          </w:tcPr>
          <w:p w14:paraId="66B729B5" w14:textId="77777777" w:rsidR="00660E10" w:rsidRPr="00847710" w:rsidRDefault="00660E10" w:rsidP="00660E10">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1BC7FE84" w14:textId="77777777" w:rsidR="00660E10" w:rsidRPr="00847710" w:rsidRDefault="00660E10" w:rsidP="00660E10">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627BC7CC" w14:textId="77777777" w:rsidR="00660E10" w:rsidRPr="00847710" w:rsidRDefault="00660E10" w:rsidP="00660E10">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41ACBFA4" w14:textId="77777777" w:rsidR="00660E10" w:rsidRPr="00847710" w:rsidRDefault="00660E10" w:rsidP="00660E10">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1B40CAF3" w14:textId="77777777" w:rsidR="00660E10" w:rsidRPr="00847710" w:rsidRDefault="00660E10" w:rsidP="00660E10">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noWrap/>
            <w:vAlign w:val="center"/>
          </w:tcPr>
          <w:p w14:paraId="1FB693FC" w14:textId="02A1529D" w:rsidR="00660E10" w:rsidRPr="00030FAC" w:rsidRDefault="00477291" w:rsidP="00660E10">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191 603</w:t>
            </w:r>
          </w:p>
        </w:tc>
        <w:tc>
          <w:tcPr>
            <w:tcW w:w="850" w:type="dxa"/>
            <w:shd w:val="clear" w:color="auto" w:fill="FBD4B4" w:themeFill="accent6" w:themeFillTint="66"/>
            <w:vAlign w:val="center"/>
          </w:tcPr>
          <w:p w14:paraId="3A57FDDE" w14:textId="77777777" w:rsidR="00660E10" w:rsidRPr="00AE3965" w:rsidRDefault="00660E10" w:rsidP="00660E10">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5CB306E3" w14:textId="77777777" w:rsidR="00660E10" w:rsidRPr="00AE3965" w:rsidRDefault="00660E10" w:rsidP="00660E10">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5B1C191E" w14:textId="77777777" w:rsidR="00660E10" w:rsidRPr="00AE3965" w:rsidRDefault="00660E10" w:rsidP="00660E10">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5FFC67E4" w14:textId="77777777" w:rsidR="00660E10" w:rsidRPr="00AE3965" w:rsidRDefault="00660E10" w:rsidP="00660E10">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712A876B" w14:textId="77777777" w:rsidR="00660E10" w:rsidRPr="00AE3965" w:rsidRDefault="00660E10" w:rsidP="00660E10">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noWrap/>
            <w:vAlign w:val="center"/>
          </w:tcPr>
          <w:p w14:paraId="0799FBCD" w14:textId="0C926F1E" w:rsidR="00660E10" w:rsidRPr="00477291" w:rsidRDefault="007A2A94" w:rsidP="00660E10">
            <w:pPr>
              <w:spacing w:after="0" w:line="240" w:lineRule="auto"/>
              <w:jc w:val="center"/>
              <w:rPr>
                <w:rFonts w:ascii="Times New Roman" w:eastAsia="Times New Roman" w:hAnsi="Times New Roman" w:cs="Times New Roman"/>
                <w:b/>
                <w:bCs/>
                <w:color w:val="FF0000"/>
                <w:sz w:val="16"/>
                <w:szCs w:val="16"/>
                <w:lang w:eastAsia="lv-LV"/>
              </w:rPr>
            </w:pPr>
            <w:r w:rsidRPr="00FC7D94">
              <w:rPr>
                <w:rFonts w:ascii="Times New Roman" w:eastAsia="Times New Roman" w:hAnsi="Times New Roman" w:cs="Times New Roman"/>
                <w:b/>
                <w:bCs/>
                <w:sz w:val="16"/>
                <w:szCs w:val="16"/>
                <w:lang w:eastAsia="lv-LV"/>
              </w:rPr>
              <w:t>11 325</w:t>
            </w:r>
          </w:p>
        </w:tc>
      </w:tr>
    </w:tbl>
    <w:p w14:paraId="258547D8" w14:textId="77777777" w:rsidR="00660E10" w:rsidRDefault="00660E10" w:rsidP="00894E2F">
      <w:pPr>
        <w:spacing w:after="120"/>
        <w:ind w:firstLine="720"/>
        <w:jc w:val="both"/>
        <w:rPr>
          <w:rFonts w:ascii="Times New Roman" w:hAnsi="Times New Roman" w:cs="Times New Roman"/>
          <w:sz w:val="24"/>
          <w:szCs w:val="24"/>
        </w:rPr>
        <w:sectPr w:rsidR="00660E10" w:rsidSect="00333B64">
          <w:pgSz w:w="15840" w:h="12240" w:orient="landscape"/>
          <w:pgMar w:top="1701" w:right="1440" w:bottom="1440" w:left="1440" w:header="709" w:footer="709" w:gutter="0"/>
          <w:cols w:space="708"/>
          <w:docGrid w:linePitch="360"/>
        </w:sectPr>
      </w:pPr>
    </w:p>
    <w:p w14:paraId="756E0E71" w14:textId="1653BCF9" w:rsidR="00660E10" w:rsidRPr="00F036D4" w:rsidRDefault="00660E10" w:rsidP="00894E2F">
      <w:pPr>
        <w:spacing w:after="120"/>
        <w:ind w:firstLine="720"/>
        <w:jc w:val="both"/>
        <w:rPr>
          <w:rFonts w:ascii="Times New Roman" w:hAnsi="Times New Roman" w:cs="Times New Roman"/>
          <w:sz w:val="24"/>
          <w:szCs w:val="24"/>
        </w:rPr>
      </w:pPr>
    </w:p>
    <w:p w14:paraId="2F8D7E75" w14:textId="5A8B14D1" w:rsidR="00E53867" w:rsidRPr="00E53867" w:rsidRDefault="001E22C3" w:rsidP="00FF02D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No </w:t>
      </w:r>
      <w:r w:rsidR="00E53867" w:rsidRPr="00E53867">
        <w:rPr>
          <w:rFonts w:ascii="Times New Roman" w:hAnsi="Times New Roman" w:cs="Times New Roman"/>
          <w:sz w:val="24"/>
          <w:szCs w:val="24"/>
        </w:rPr>
        <w:t>2019. gad</w:t>
      </w:r>
      <w:r>
        <w:rPr>
          <w:rFonts w:ascii="Times New Roman" w:hAnsi="Times New Roman" w:cs="Times New Roman"/>
          <w:sz w:val="24"/>
          <w:szCs w:val="24"/>
        </w:rPr>
        <w:t>a 1.aprīļa</w:t>
      </w:r>
      <w:r w:rsidR="00E53867" w:rsidRPr="00E53867">
        <w:rPr>
          <w:rFonts w:ascii="Times New Roman" w:hAnsi="Times New Roman" w:cs="Times New Roman"/>
          <w:sz w:val="24"/>
          <w:szCs w:val="24"/>
        </w:rPr>
        <w:t xml:space="preserve"> tiek paredzēts</w:t>
      </w:r>
      <w:r w:rsidR="008C481D">
        <w:rPr>
          <w:rFonts w:ascii="Times New Roman" w:hAnsi="Times New Roman" w:cs="Times New Roman"/>
          <w:sz w:val="24"/>
          <w:szCs w:val="24"/>
        </w:rPr>
        <w:t xml:space="preserve">, ka sāpju kabineta pakalpojumus izmantos </w:t>
      </w:r>
      <w:r>
        <w:rPr>
          <w:rFonts w:ascii="Times New Roman" w:hAnsi="Times New Roman" w:cs="Times New Roman"/>
          <w:sz w:val="24"/>
          <w:szCs w:val="24"/>
        </w:rPr>
        <w:t>11 325</w:t>
      </w:r>
      <w:r w:rsidR="00E53867" w:rsidRPr="00E53867">
        <w:rPr>
          <w:rFonts w:ascii="Times New Roman" w:hAnsi="Times New Roman" w:cs="Times New Roman"/>
          <w:sz w:val="24"/>
          <w:szCs w:val="24"/>
        </w:rPr>
        <w:t xml:space="preserve"> </w:t>
      </w:r>
      <w:r w:rsidR="008C481D">
        <w:rPr>
          <w:rFonts w:ascii="Times New Roman" w:hAnsi="Times New Roman" w:cs="Times New Roman"/>
          <w:sz w:val="24"/>
          <w:szCs w:val="24"/>
        </w:rPr>
        <w:t>pacie</w:t>
      </w:r>
      <w:r w:rsidR="00E53867" w:rsidRPr="00E53867">
        <w:rPr>
          <w:rFonts w:ascii="Times New Roman" w:hAnsi="Times New Roman" w:cs="Times New Roman"/>
          <w:sz w:val="24"/>
          <w:szCs w:val="24"/>
        </w:rPr>
        <w:t>ntu</w:t>
      </w:r>
      <w:r w:rsidR="008C481D">
        <w:rPr>
          <w:rFonts w:ascii="Times New Roman" w:hAnsi="Times New Roman" w:cs="Times New Roman"/>
          <w:sz w:val="24"/>
          <w:szCs w:val="24"/>
        </w:rPr>
        <w:t>, tai skaitā</w:t>
      </w:r>
      <w:r w:rsidR="00E53867" w:rsidRPr="00E53867">
        <w:rPr>
          <w:rFonts w:ascii="Times New Roman" w:hAnsi="Times New Roman" w:cs="Times New Roman"/>
          <w:sz w:val="24"/>
          <w:szCs w:val="24"/>
        </w:rPr>
        <w:t>:</w:t>
      </w:r>
    </w:p>
    <w:p w14:paraId="6239298A" w14:textId="7E032CEF" w:rsidR="00E53867" w:rsidRPr="00E53867" w:rsidRDefault="00E53867" w:rsidP="00FF02DA">
      <w:pPr>
        <w:pStyle w:val="ListParagraph"/>
        <w:numPr>
          <w:ilvl w:val="0"/>
          <w:numId w:val="19"/>
        </w:numPr>
        <w:spacing w:after="120"/>
        <w:ind w:left="0" w:firstLine="720"/>
        <w:jc w:val="both"/>
        <w:rPr>
          <w:rFonts w:ascii="Times New Roman" w:hAnsi="Times New Roman"/>
          <w:color w:val="000000"/>
          <w:sz w:val="24"/>
          <w:szCs w:val="24"/>
          <w:lang w:val="lv-LV"/>
        </w:rPr>
      </w:pPr>
      <w:r w:rsidRPr="00E53867">
        <w:rPr>
          <w:rFonts w:ascii="Times New Roman" w:hAnsi="Times New Roman"/>
          <w:sz w:val="24"/>
          <w:szCs w:val="24"/>
          <w:lang w:val="lv-LV"/>
        </w:rPr>
        <w:t xml:space="preserve">Sāpju klīniskā izmeklēšana un novērtēšana – </w:t>
      </w:r>
      <w:r w:rsidR="001E22C3">
        <w:rPr>
          <w:rFonts w:ascii="Times New Roman" w:hAnsi="Times New Roman"/>
          <w:sz w:val="24"/>
          <w:szCs w:val="24"/>
          <w:lang w:val="lv-LV"/>
        </w:rPr>
        <w:t>4500</w:t>
      </w:r>
      <w:r w:rsidR="001E22C3" w:rsidRPr="00E53867">
        <w:rPr>
          <w:rFonts w:ascii="Times New Roman" w:hAnsi="Times New Roman"/>
          <w:sz w:val="24"/>
          <w:szCs w:val="24"/>
          <w:lang w:val="lv-LV"/>
        </w:rPr>
        <w:t xml:space="preserve"> </w:t>
      </w:r>
      <w:r w:rsidRPr="00E53867">
        <w:rPr>
          <w:rFonts w:ascii="Times New Roman" w:hAnsi="Times New Roman"/>
          <w:sz w:val="24"/>
          <w:szCs w:val="24"/>
          <w:lang w:val="lv-LV"/>
        </w:rPr>
        <w:t>pacienti</w:t>
      </w:r>
      <w:r w:rsidR="0007392B">
        <w:rPr>
          <w:rFonts w:ascii="Times New Roman" w:hAnsi="Times New Roman"/>
          <w:sz w:val="24"/>
          <w:szCs w:val="24"/>
          <w:lang w:val="lv-LV"/>
        </w:rPr>
        <w:t xml:space="preserve"> (pilnam gadam </w:t>
      </w:r>
      <w:r w:rsidR="0030570A">
        <w:rPr>
          <w:rFonts w:ascii="Times New Roman" w:hAnsi="Times New Roman"/>
          <w:sz w:val="24"/>
          <w:szCs w:val="24"/>
          <w:lang w:val="lv-LV"/>
        </w:rPr>
        <w:t>6000</w:t>
      </w:r>
      <w:r w:rsidR="0007392B">
        <w:rPr>
          <w:rFonts w:ascii="Times New Roman" w:hAnsi="Times New Roman"/>
          <w:sz w:val="24"/>
          <w:szCs w:val="24"/>
          <w:lang w:val="lv-LV"/>
        </w:rPr>
        <w:t xml:space="preserve"> pacienti)</w:t>
      </w:r>
      <w:r w:rsidRPr="00E53867">
        <w:rPr>
          <w:rFonts w:ascii="Times New Roman" w:hAnsi="Times New Roman"/>
          <w:sz w:val="24"/>
          <w:szCs w:val="24"/>
          <w:lang w:val="lv-LV"/>
        </w:rPr>
        <w:t>;</w:t>
      </w:r>
    </w:p>
    <w:p w14:paraId="45FB8792" w14:textId="411709A7" w:rsidR="00E53867" w:rsidRPr="00E53867" w:rsidRDefault="00E53867" w:rsidP="00FF02DA">
      <w:pPr>
        <w:pStyle w:val="ListParagraph"/>
        <w:numPr>
          <w:ilvl w:val="0"/>
          <w:numId w:val="19"/>
        </w:numPr>
        <w:spacing w:after="120"/>
        <w:ind w:left="0" w:firstLine="720"/>
        <w:jc w:val="both"/>
        <w:rPr>
          <w:rFonts w:ascii="Times New Roman" w:hAnsi="Times New Roman"/>
          <w:color w:val="000000"/>
          <w:sz w:val="24"/>
          <w:szCs w:val="24"/>
          <w:lang w:val="lv-LV"/>
        </w:rPr>
      </w:pPr>
      <w:r w:rsidRPr="00E53867">
        <w:rPr>
          <w:rFonts w:ascii="Times New Roman" w:hAnsi="Times New Roman"/>
          <w:sz w:val="24"/>
          <w:szCs w:val="24"/>
          <w:lang w:val="lv-LV"/>
        </w:rPr>
        <w:t xml:space="preserve">Pirmreizēja vai atkārtota hronisko sāpju dinamiskā novērtēšana – </w:t>
      </w:r>
      <w:r w:rsidR="001E22C3">
        <w:rPr>
          <w:rFonts w:ascii="Times New Roman" w:hAnsi="Times New Roman"/>
          <w:sz w:val="24"/>
          <w:szCs w:val="24"/>
          <w:lang w:val="lv-LV"/>
        </w:rPr>
        <w:t>6750</w:t>
      </w:r>
      <w:r w:rsidR="001E22C3" w:rsidRPr="00E53867">
        <w:rPr>
          <w:rFonts w:ascii="Times New Roman" w:hAnsi="Times New Roman"/>
          <w:sz w:val="24"/>
          <w:szCs w:val="24"/>
          <w:lang w:val="lv-LV"/>
        </w:rPr>
        <w:t xml:space="preserve"> </w:t>
      </w:r>
      <w:r w:rsidRPr="00E53867">
        <w:rPr>
          <w:rFonts w:ascii="Times New Roman" w:hAnsi="Times New Roman"/>
          <w:sz w:val="24"/>
          <w:szCs w:val="24"/>
          <w:lang w:val="lv-LV"/>
        </w:rPr>
        <w:t>pacienti</w:t>
      </w:r>
      <w:r w:rsidR="0007392B">
        <w:rPr>
          <w:rFonts w:ascii="Times New Roman" w:hAnsi="Times New Roman"/>
          <w:sz w:val="24"/>
          <w:szCs w:val="24"/>
          <w:lang w:val="lv-LV"/>
        </w:rPr>
        <w:t xml:space="preserve"> (pilnam gadam </w:t>
      </w:r>
      <w:r w:rsidR="0030570A">
        <w:rPr>
          <w:rFonts w:ascii="Times New Roman" w:hAnsi="Times New Roman"/>
          <w:sz w:val="24"/>
          <w:szCs w:val="24"/>
          <w:lang w:val="lv-LV"/>
        </w:rPr>
        <w:t>9000</w:t>
      </w:r>
      <w:r w:rsidR="0007392B">
        <w:rPr>
          <w:rFonts w:ascii="Times New Roman" w:hAnsi="Times New Roman"/>
          <w:sz w:val="24"/>
          <w:szCs w:val="24"/>
          <w:lang w:val="lv-LV"/>
        </w:rPr>
        <w:t xml:space="preserve"> pacienti)</w:t>
      </w:r>
      <w:r w:rsidRPr="00E53867">
        <w:rPr>
          <w:rFonts w:ascii="Times New Roman" w:hAnsi="Times New Roman"/>
          <w:sz w:val="24"/>
          <w:szCs w:val="24"/>
          <w:lang w:val="lv-LV"/>
        </w:rPr>
        <w:t>;</w:t>
      </w:r>
    </w:p>
    <w:p w14:paraId="06C56138" w14:textId="726FB900" w:rsidR="00E53867" w:rsidRPr="00C05166" w:rsidRDefault="00E53867" w:rsidP="00C05166">
      <w:pPr>
        <w:pStyle w:val="ListParagraph"/>
        <w:numPr>
          <w:ilvl w:val="0"/>
          <w:numId w:val="19"/>
        </w:numPr>
        <w:spacing w:after="120"/>
        <w:ind w:left="0" w:firstLine="720"/>
        <w:jc w:val="both"/>
        <w:rPr>
          <w:rFonts w:ascii="Times New Roman" w:hAnsi="Times New Roman"/>
          <w:sz w:val="24"/>
          <w:szCs w:val="24"/>
          <w:lang w:val="lv-LV"/>
        </w:rPr>
      </w:pPr>
      <w:r w:rsidRPr="00E53867">
        <w:rPr>
          <w:rFonts w:ascii="Times New Roman" w:hAnsi="Times New Roman"/>
          <w:sz w:val="24"/>
          <w:szCs w:val="24"/>
          <w:lang w:val="lv-LV"/>
        </w:rPr>
        <w:t xml:space="preserve">Specializēts konsīlijs sāpju pacienta aprūpei - </w:t>
      </w:r>
      <w:r w:rsidR="001E22C3">
        <w:rPr>
          <w:rFonts w:ascii="Times New Roman" w:hAnsi="Times New Roman"/>
          <w:sz w:val="24"/>
          <w:szCs w:val="24"/>
          <w:lang w:val="lv-LV"/>
        </w:rPr>
        <w:t>75</w:t>
      </w:r>
      <w:r w:rsidR="001E22C3" w:rsidRPr="00E53867">
        <w:rPr>
          <w:rFonts w:ascii="Times New Roman" w:hAnsi="Times New Roman"/>
          <w:sz w:val="24"/>
          <w:szCs w:val="24"/>
          <w:lang w:val="lv-LV"/>
        </w:rPr>
        <w:t xml:space="preserve"> </w:t>
      </w:r>
      <w:r w:rsidRPr="00E53867">
        <w:rPr>
          <w:rFonts w:ascii="Times New Roman" w:hAnsi="Times New Roman"/>
          <w:sz w:val="24"/>
          <w:szCs w:val="24"/>
          <w:lang w:val="lv-LV"/>
        </w:rPr>
        <w:t>pacienti</w:t>
      </w:r>
      <w:r w:rsidR="0007392B">
        <w:rPr>
          <w:rFonts w:ascii="Times New Roman" w:hAnsi="Times New Roman"/>
          <w:sz w:val="24"/>
          <w:szCs w:val="24"/>
          <w:lang w:val="lv-LV"/>
        </w:rPr>
        <w:t xml:space="preserve"> (pilnam gadam </w:t>
      </w:r>
      <w:r w:rsidR="0030570A">
        <w:rPr>
          <w:rFonts w:ascii="Times New Roman" w:hAnsi="Times New Roman"/>
          <w:sz w:val="24"/>
          <w:szCs w:val="24"/>
          <w:lang w:val="lv-LV"/>
        </w:rPr>
        <w:t>100</w:t>
      </w:r>
      <w:r w:rsidR="0007392B">
        <w:rPr>
          <w:rFonts w:ascii="Times New Roman" w:hAnsi="Times New Roman"/>
          <w:sz w:val="24"/>
          <w:szCs w:val="24"/>
          <w:lang w:val="lv-LV"/>
        </w:rPr>
        <w:t xml:space="preserve"> pacienti)</w:t>
      </w:r>
      <w:r w:rsidR="0007392B" w:rsidRPr="00E53867">
        <w:rPr>
          <w:rFonts w:ascii="Times New Roman" w:hAnsi="Times New Roman"/>
          <w:sz w:val="24"/>
          <w:szCs w:val="24"/>
          <w:lang w:val="lv-LV"/>
        </w:rPr>
        <w:t>;</w:t>
      </w:r>
      <w:r w:rsidRPr="00E53867">
        <w:rPr>
          <w:rFonts w:ascii="Times New Roman" w:hAnsi="Times New Roman"/>
          <w:sz w:val="24"/>
          <w:szCs w:val="24"/>
          <w:lang w:val="lv-LV"/>
        </w:rPr>
        <w:t>.</w:t>
      </w:r>
    </w:p>
    <w:p w14:paraId="492243DB" w14:textId="77777777" w:rsidR="001E7BED" w:rsidRPr="006C5178" w:rsidRDefault="001E7BED" w:rsidP="001E7BED">
      <w:pPr>
        <w:spacing w:after="0" w:line="240" w:lineRule="auto"/>
        <w:jc w:val="both"/>
        <w:rPr>
          <w:rFonts w:ascii="Times New Roman" w:eastAsia="Times New Roman" w:hAnsi="Times New Roman" w:cs="Times New Roman"/>
          <w:b/>
          <w:bCs/>
          <w:sz w:val="24"/>
          <w:szCs w:val="24"/>
          <w:lang w:eastAsia="lv-LV"/>
        </w:rPr>
      </w:pPr>
      <w:r w:rsidRPr="001E7BED">
        <w:rPr>
          <w:rFonts w:ascii="Times New Roman" w:eastAsia="Times New Roman" w:hAnsi="Times New Roman" w:cs="Times New Roman"/>
          <w:b/>
          <w:bCs/>
          <w:sz w:val="24"/>
          <w:szCs w:val="24"/>
          <w:lang w:eastAsia="lv-LV"/>
        </w:rPr>
        <w:t>Sāpju klīniskā izmeklēšana un novērtēšana</w:t>
      </w:r>
    </w:p>
    <w:p w14:paraId="0916B7F2" w14:textId="77777777" w:rsidR="00957AF7" w:rsidRDefault="00957AF7" w:rsidP="002B24F2">
      <w:pPr>
        <w:spacing w:after="0" w:line="240" w:lineRule="auto"/>
        <w:ind w:firstLine="720"/>
        <w:jc w:val="both"/>
        <w:rPr>
          <w:rFonts w:ascii="Times New Roman" w:eastAsia="Times New Roman" w:hAnsi="Times New Roman" w:cs="Times New Roman"/>
          <w:sz w:val="24"/>
          <w:szCs w:val="24"/>
          <w:lang w:eastAsia="lv-LV"/>
        </w:rPr>
      </w:pPr>
    </w:p>
    <w:p w14:paraId="0ADE34EF" w14:textId="355EB52C" w:rsidR="00D56CE8" w:rsidRDefault="002B24F2" w:rsidP="00FF02DA">
      <w:pPr>
        <w:spacing w:after="120"/>
        <w:ind w:firstLine="720"/>
        <w:jc w:val="both"/>
        <w:rPr>
          <w:rFonts w:ascii="Times New Roman" w:eastAsia="Times New Roman" w:hAnsi="Times New Roman" w:cs="Times New Roman"/>
          <w:sz w:val="24"/>
          <w:szCs w:val="24"/>
          <w:lang w:eastAsia="lv-LV"/>
        </w:rPr>
      </w:pPr>
      <w:r w:rsidRPr="002B24F2">
        <w:rPr>
          <w:rFonts w:ascii="Times New Roman" w:eastAsia="Times New Roman" w:hAnsi="Times New Roman" w:cs="Times New Roman"/>
          <w:sz w:val="24"/>
          <w:szCs w:val="24"/>
          <w:lang w:eastAsia="lv-LV"/>
        </w:rPr>
        <w:t xml:space="preserve">Sāpes ir daudzu slimību vadošā klīniskā izpausme, bet to izmeklēšanu un klīniskās nozīmes novērtēšanu ievērojami ietekmē sāpju subjektīvā daba. Tomēr eksistē standartizētas sāpju novērtēšanas metodes, kas balstās uz pacienta subjektīvo sajūtu pašnovērtējumu, sensoro testu un funkciju un pārbaudi, sāpju intensitātes un kvalitātes novērtēšanas skalām un metodēm. Lai pareizi un atbilstoši veiktu šādu izvērstu sāpju klīnisko izmeklēšanu, ir nepieciešamas ārsta speciālas zināšanas par tās metodiku un sāpju dabu; turklāt tas ir darbietilpīgs process, prasa papildus laiku un to nevar kvalitatīvi veikt algologa pieņemšanai atvēlētajā laika sprīdī. </w:t>
      </w:r>
    </w:p>
    <w:p w14:paraId="0D591A1A" w14:textId="3E70DE28" w:rsidR="00AD051D" w:rsidRDefault="001F0784" w:rsidP="00FF02DA">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pakalpojumu saņemtu p</w:t>
      </w:r>
      <w:r w:rsidR="00AD051D" w:rsidRPr="002B24F2">
        <w:rPr>
          <w:rFonts w:ascii="Times New Roman" w:eastAsia="Times New Roman" w:hAnsi="Times New Roman" w:cs="Times New Roman"/>
          <w:sz w:val="24"/>
          <w:szCs w:val="24"/>
          <w:lang w:eastAsia="lv-LV"/>
        </w:rPr>
        <w:t>acienti ar jebkuras ģenēzes akūtām vai hroniskām sāpēm, kuriem piemēro specializētu sāpju aprūpi - veic izmeklēšanu un diagnostiku, nozīmē specifisku konservatīvu vai invazīvu ārstēšanu, nodrošina dinamisku novērošanu un terapijas efektivitātes izvērtēšanu</w:t>
      </w:r>
      <w:r w:rsidR="004D0D7B">
        <w:rPr>
          <w:rFonts w:ascii="Times New Roman" w:eastAsia="Times New Roman" w:hAnsi="Times New Roman" w:cs="Times New Roman"/>
          <w:sz w:val="24"/>
          <w:szCs w:val="24"/>
          <w:lang w:eastAsia="lv-LV"/>
        </w:rPr>
        <w:t xml:space="preserve"> (</w:t>
      </w:r>
      <w:r w:rsidR="00DE14BB">
        <w:rPr>
          <w:rFonts w:ascii="Times New Roman" w:eastAsia="Times New Roman" w:hAnsi="Times New Roman" w:cs="Times New Roman"/>
          <w:sz w:val="24"/>
          <w:szCs w:val="24"/>
          <w:lang w:eastAsia="lv-LV"/>
        </w:rPr>
        <w:t>2</w:t>
      </w:r>
      <w:r w:rsidR="004D0D7B">
        <w:rPr>
          <w:rFonts w:ascii="Times New Roman" w:eastAsia="Times New Roman" w:hAnsi="Times New Roman" w:cs="Times New Roman"/>
          <w:sz w:val="24"/>
          <w:szCs w:val="24"/>
          <w:lang w:eastAsia="lv-LV"/>
        </w:rPr>
        <w:t>1.tabula)</w:t>
      </w:r>
      <w:r>
        <w:rPr>
          <w:rFonts w:ascii="Times New Roman" w:eastAsia="Times New Roman" w:hAnsi="Times New Roman" w:cs="Times New Roman"/>
          <w:sz w:val="24"/>
          <w:szCs w:val="24"/>
          <w:lang w:eastAsia="lv-LV"/>
        </w:rPr>
        <w:t xml:space="preserve"> (</w:t>
      </w:r>
      <w:r w:rsidRPr="002B24F2">
        <w:rPr>
          <w:rFonts w:ascii="Times New Roman" w:eastAsia="Times New Roman" w:hAnsi="Times New Roman" w:cs="Times New Roman"/>
          <w:sz w:val="24"/>
          <w:szCs w:val="24"/>
          <w:lang w:eastAsia="lv-LV"/>
        </w:rPr>
        <w:t>Manipulācija- 11030</w:t>
      </w:r>
      <w:r>
        <w:rPr>
          <w:rFonts w:ascii="Times New Roman" w:eastAsia="Times New Roman" w:hAnsi="Times New Roman" w:cs="Times New Roman"/>
          <w:sz w:val="24"/>
          <w:szCs w:val="24"/>
          <w:lang w:eastAsia="lv-LV"/>
        </w:rPr>
        <w:t>)</w:t>
      </w:r>
      <w:r w:rsidR="00AD051D" w:rsidRPr="002B24F2">
        <w:rPr>
          <w:rFonts w:ascii="Times New Roman" w:eastAsia="Times New Roman" w:hAnsi="Times New Roman" w:cs="Times New Roman"/>
          <w:sz w:val="24"/>
          <w:szCs w:val="24"/>
          <w:lang w:eastAsia="lv-LV"/>
        </w:rPr>
        <w:t>.</w:t>
      </w:r>
      <w:r w:rsidR="006E0452">
        <w:rPr>
          <w:rFonts w:ascii="Times New Roman" w:eastAsia="Times New Roman" w:hAnsi="Times New Roman" w:cs="Times New Roman"/>
          <w:sz w:val="24"/>
          <w:szCs w:val="24"/>
          <w:lang w:eastAsia="lv-LV"/>
        </w:rPr>
        <w:t xml:space="preserve"> </w:t>
      </w:r>
    </w:p>
    <w:p w14:paraId="48754355" w14:textId="40D0D448" w:rsidR="00340FC4" w:rsidRPr="00E93259" w:rsidRDefault="00DE14BB" w:rsidP="00E93259">
      <w:pPr>
        <w:spacing w:after="120"/>
        <w:ind w:firstLine="720"/>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2</w:t>
      </w:r>
      <w:r w:rsidR="00A31E26" w:rsidRPr="001E4659">
        <w:rPr>
          <w:rFonts w:ascii="Times New Roman" w:eastAsia="Times New Roman" w:hAnsi="Times New Roman" w:cs="Times New Roman"/>
          <w:i/>
          <w:iCs/>
          <w:sz w:val="24"/>
          <w:szCs w:val="24"/>
          <w:lang w:eastAsia="lv-LV"/>
        </w:rPr>
        <w:t>1</w:t>
      </w:r>
      <w:r w:rsidR="00340FC4" w:rsidRPr="001E4659">
        <w:rPr>
          <w:rFonts w:ascii="Times New Roman" w:eastAsia="Times New Roman" w:hAnsi="Times New Roman" w:cs="Times New Roman"/>
          <w:i/>
          <w:iCs/>
          <w:sz w:val="24"/>
          <w:szCs w:val="24"/>
          <w:lang w:eastAsia="lv-LV"/>
        </w:rPr>
        <w:t>.tabula</w:t>
      </w:r>
    </w:p>
    <w:p w14:paraId="5D7D06EA" w14:textId="2E8F5805" w:rsidR="00F573C8" w:rsidRPr="009F1205" w:rsidRDefault="00F573C8" w:rsidP="009F1205">
      <w:pPr>
        <w:spacing w:after="120"/>
        <w:ind w:firstLine="720"/>
        <w:jc w:val="center"/>
        <w:rPr>
          <w:rFonts w:ascii="Times New Roman" w:eastAsia="Times New Roman" w:hAnsi="Times New Roman" w:cs="Times New Roman"/>
          <w:sz w:val="24"/>
          <w:szCs w:val="24"/>
          <w:lang w:eastAsia="lv-LV"/>
        </w:rPr>
      </w:pPr>
      <w:r w:rsidRPr="001E7BED">
        <w:rPr>
          <w:rFonts w:ascii="Times New Roman" w:eastAsia="Times New Roman" w:hAnsi="Times New Roman" w:cs="Times New Roman"/>
          <w:b/>
          <w:bCs/>
          <w:sz w:val="24"/>
          <w:szCs w:val="24"/>
          <w:lang w:eastAsia="lv-LV"/>
        </w:rPr>
        <w:t>Sāpju klīniskā izmeklēšana un novērtēšana</w:t>
      </w:r>
      <w:r>
        <w:rPr>
          <w:rFonts w:ascii="Times New Roman" w:eastAsia="Times New Roman" w:hAnsi="Times New Roman" w:cs="Times New Roman"/>
          <w:b/>
          <w:bCs/>
          <w:sz w:val="24"/>
          <w:szCs w:val="24"/>
          <w:lang w:eastAsia="lv-LV"/>
        </w:rPr>
        <w:t>i nepieciešamais finansējums 2019.gadam</w:t>
      </w:r>
    </w:p>
    <w:tbl>
      <w:tblPr>
        <w:tblStyle w:val="TableGrid"/>
        <w:tblW w:w="0" w:type="auto"/>
        <w:jc w:val="center"/>
        <w:tblLook w:val="04A0" w:firstRow="1" w:lastRow="0" w:firstColumn="1" w:lastColumn="0" w:noHBand="0" w:noVBand="1"/>
      </w:tblPr>
      <w:tblGrid>
        <w:gridCol w:w="992"/>
        <w:gridCol w:w="1468"/>
        <w:gridCol w:w="1401"/>
        <w:gridCol w:w="1261"/>
        <w:gridCol w:w="1014"/>
        <w:gridCol w:w="1427"/>
        <w:gridCol w:w="1526"/>
      </w:tblGrid>
      <w:tr w:rsidR="0007392B" w14:paraId="3A0B8154" w14:textId="77777777" w:rsidTr="00E93259">
        <w:trPr>
          <w:jc w:val="center"/>
        </w:trPr>
        <w:tc>
          <w:tcPr>
            <w:tcW w:w="1181" w:type="dxa"/>
            <w:shd w:val="clear" w:color="auto" w:fill="E36C0A" w:themeFill="accent6" w:themeFillShade="BF"/>
            <w:vAlign w:val="center"/>
          </w:tcPr>
          <w:p w14:paraId="5B5E4148" w14:textId="77777777" w:rsidR="0007392B" w:rsidRDefault="0007392B"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Kods</w:t>
            </w:r>
          </w:p>
        </w:tc>
        <w:tc>
          <w:tcPr>
            <w:tcW w:w="1548" w:type="dxa"/>
            <w:shd w:val="clear" w:color="auto" w:fill="E36C0A" w:themeFill="accent6" w:themeFillShade="BF"/>
            <w:vAlign w:val="center"/>
          </w:tcPr>
          <w:p w14:paraId="49FB58D2" w14:textId="77777777" w:rsidR="0007392B" w:rsidRDefault="0007392B"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Manipulācijas nosaukums</w:t>
            </w:r>
          </w:p>
        </w:tc>
        <w:tc>
          <w:tcPr>
            <w:tcW w:w="1497" w:type="dxa"/>
            <w:shd w:val="clear" w:color="auto" w:fill="E36C0A" w:themeFill="accent6" w:themeFillShade="BF"/>
            <w:vAlign w:val="center"/>
          </w:tcPr>
          <w:p w14:paraId="4A8B5F2F" w14:textId="77777777" w:rsidR="0007392B" w:rsidRDefault="0007392B"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Plānotais manipulāciju skaits 2019.gadam</w:t>
            </w:r>
          </w:p>
        </w:tc>
        <w:tc>
          <w:tcPr>
            <w:tcW w:w="898" w:type="dxa"/>
            <w:shd w:val="clear" w:color="auto" w:fill="E36C0A" w:themeFill="accent6" w:themeFillShade="BF"/>
          </w:tcPr>
          <w:p w14:paraId="5EB83518" w14:textId="02A45A25" w:rsidR="0007392B" w:rsidRPr="006B327A" w:rsidRDefault="0007392B" w:rsidP="009D2311">
            <w:pPr>
              <w:jc w:val="center"/>
              <w:rPr>
                <w:rFonts w:ascii="Times New Roman" w:eastAsia="Times New Roman" w:hAnsi="Times New Roman"/>
                <w:lang w:eastAsia="lv-LV"/>
              </w:rPr>
            </w:pPr>
            <w:r w:rsidRPr="006B327A">
              <w:rPr>
                <w:rFonts w:ascii="Times New Roman" w:eastAsia="Times New Roman" w:hAnsi="Times New Roman"/>
                <w:lang w:eastAsia="lv-LV"/>
              </w:rPr>
              <w:t xml:space="preserve">Plānotais manipulāciju skaits </w:t>
            </w:r>
            <w:r>
              <w:rPr>
                <w:rFonts w:ascii="Times New Roman" w:eastAsia="Times New Roman" w:hAnsi="Times New Roman"/>
                <w:lang w:eastAsia="lv-LV"/>
              </w:rPr>
              <w:t>no 2019.gada 1.aprīļa</w:t>
            </w:r>
          </w:p>
        </w:tc>
        <w:tc>
          <w:tcPr>
            <w:tcW w:w="1199" w:type="dxa"/>
            <w:shd w:val="clear" w:color="auto" w:fill="E36C0A" w:themeFill="accent6" w:themeFillShade="BF"/>
            <w:vAlign w:val="center"/>
          </w:tcPr>
          <w:p w14:paraId="5FCF6151" w14:textId="59E26E8E" w:rsidR="0007392B" w:rsidRPr="006B327A" w:rsidRDefault="0007392B" w:rsidP="009D2311">
            <w:pPr>
              <w:jc w:val="center"/>
              <w:rPr>
                <w:rFonts w:ascii="Times New Roman" w:eastAsia="Times New Roman" w:hAnsi="Times New Roman"/>
                <w:lang w:eastAsia="lv-LV"/>
              </w:rPr>
            </w:pPr>
            <w:r w:rsidRPr="006B327A">
              <w:rPr>
                <w:rFonts w:ascii="Times New Roman" w:eastAsia="Times New Roman" w:hAnsi="Times New Roman"/>
                <w:lang w:eastAsia="lv-LV"/>
              </w:rPr>
              <w:t>Tarifs,</w:t>
            </w:r>
          </w:p>
          <w:p w14:paraId="31D55910" w14:textId="77777777" w:rsidR="0007392B" w:rsidRDefault="0007392B"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i/>
                <w:lang w:eastAsia="lv-LV"/>
              </w:rPr>
              <w:t>euro</w:t>
            </w:r>
          </w:p>
        </w:tc>
        <w:tc>
          <w:tcPr>
            <w:tcW w:w="1173" w:type="dxa"/>
            <w:shd w:val="clear" w:color="auto" w:fill="E36C0A" w:themeFill="accent6" w:themeFillShade="BF"/>
          </w:tcPr>
          <w:p w14:paraId="6B870BF9" w14:textId="6F73DA8A" w:rsidR="0007392B" w:rsidRPr="007F05FB" w:rsidRDefault="0007392B" w:rsidP="009D2311">
            <w:pPr>
              <w:spacing w:after="120"/>
              <w:jc w:val="center"/>
              <w:rPr>
                <w:rFonts w:ascii="Times New Roman" w:eastAsia="Times New Roman" w:hAnsi="Times New Roman"/>
                <w:lang w:eastAsia="lv-LV"/>
              </w:rPr>
            </w:pPr>
            <w:r w:rsidRPr="007F05FB">
              <w:rPr>
                <w:rFonts w:ascii="Times New Roman" w:eastAsia="Times New Roman" w:hAnsi="Times New Roman"/>
                <w:lang w:eastAsia="lv-LV"/>
              </w:rPr>
              <w:t xml:space="preserve">Kopā nepieciešamais finansējums </w:t>
            </w:r>
            <w:r>
              <w:rPr>
                <w:rFonts w:ascii="Times New Roman" w:eastAsia="Times New Roman" w:hAnsi="Times New Roman"/>
                <w:lang w:eastAsia="lv-LV"/>
              </w:rPr>
              <w:t xml:space="preserve">no </w:t>
            </w:r>
            <w:r w:rsidRPr="007F05FB">
              <w:rPr>
                <w:rFonts w:ascii="Times New Roman" w:eastAsia="Times New Roman" w:hAnsi="Times New Roman"/>
                <w:lang w:eastAsia="lv-LV"/>
              </w:rPr>
              <w:t>2019.gada</w:t>
            </w:r>
            <w:r w:rsidR="009F1205">
              <w:rPr>
                <w:rFonts w:ascii="Times New Roman" w:eastAsia="Times New Roman" w:hAnsi="Times New Roman"/>
                <w:lang w:eastAsia="lv-LV"/>
              </w:rPr>
              <w:t xml:space="preserve"> 1.aprīļa</w:t>
            </w:r>
            <w:r w:rsidRPr="007F05FB">
              <w:rPr>
                <w:rFonts w:ascii="Times New Roman" w:eastAsia="Times New Roman" w:hAnsi="Times New Roman"/>
                <w:lang w:eastAsia="lv-LV"/>
              </w:rPr>
              <w:t xml:space="preserve"> </w:t>
            </w:r>
            <w:r w:rsidRPr="007F05FB">
              <w:rPr>
                <w:rFonts w:ascii="Times New Roman" w:eastAsia="Times New Roman" w:hAnsi="Times New Roman"/>
                <w:i/>
                <w:lang w:eastAsia="lv-LV"/>
              </w:rPr>
              <w:t>euro</w:t>
            </w:r>
          </w:p>
        </w:tc>
        <w:tc>
          <w:tcPr>
            <w:tcW w:w="1593" w:type="dxa"/>
            <w:shd w:val="clear" w:color="auto" w:fill="E36C0A" w:themeFill="accent6" w:themeFillShade="BF"/>
          </w:tcPr>
          <w:p w14:paraId="60C67F38" w14:textId="0C59C92A" w:rsidR="0007392B" w:rsidRPr="007F05FB" w:rsidRDefault="0007392B" w:rsidP="009D2311">
            <w:pPr>
              <w:spacing w:after="120"/>
              <w:jc w:val="center"/>
              <w:rPr>
                <w:rFonts w:ascii="Times New Roman" w:eastAsia="Times New Roman" w:hAnsi="Times New Roman"/>
                <w:lang w:eastAsia="lv-LV"/>
              </w:rPr>
            </w:pPr>
            <w:r w:rsidRPr="007F05FB">
              <w:rPr>
                <w:rFonts w:ascii="Times New Roman" w:eastAsia="Times New Roman" w:hAnsi="Times New Roman"/>
                <w:lang w:eastAsia="lv-LV"/>
              </w:rPr>
              <w:t xml:space="preserve">Kopā nepieciešamais finansējums 2019.gadam </w:t>
            </w:r>
            <w:r w:rsidRPr="007F05FB">
              <w:rPr>
                <w:rFonts w:ascii="Times New Roman" w:eastAsia="Times New Roman" w:hAnsi="Times New Roman"/>
                <w:i/>
                <w:lang w:eastAsia="lv-LV"/>
              </w:rPr>
              <w:t>euro</w:t>
            </w:r>
          </w:p>
        </w:tc>
      </w:tr>
      <w:tr w:rsidR="0007392B" w14:paraId="4916B819" w14:textId="77777777" w:rsidTr="00E93259">
        <w:trPr>
          <w:trHeight w:val="183"/>
          <w:jc w:val="center"/>
        </w:trPr>
        <w:tc>
          <w:tcPr>
            <w:tcW w:w="1181" w:type="dxa"/>
            <w:shd w:val="clear" w:color="auto" w:fill="FABF8F" w:themeFill="accent6" w:themeFillTint="99"/>
            <w:vAlign w:val="center"/>
          </w:tcPr>
          <w:p w14:paraId="666D4243" w14:textId="77777777" w:rsidR="0007392B" w:rsidRDefault="0007392B"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1</w:t>
            </w:r>
          </w:p>
        </w:tc>
        <w:tc>
          <w:tcPr>
            <w:tcW w:w="1548" w:type="dxa"/>
            <w:shd w:val="clear" w:color="auto" w:fill="FABF8F" w:themeFill="accent6" w:themeFillTint="99"/>
            <w:vAlign w:val="center"/>
          </w:tcPr>
          <w:p w14:paraId="089400E0" w14:textId="77777777" w:rsidR="0007392B" w:rsidRDefault="0007392B"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2</w:t>
            </w:r>
          </w:p>
        </w:tc>
        <w:tc>
          <w:tcPr>
            <w:tcW w:w="1497" w:type="dxa"/>
            <w:shd w:val="clear" w:color="auto" w:fill="FABF8F" w:themeFill="accent6" w:themeFillTint="99"/>
            <w:vAlign w:val="center"/>
          </w:tcPr>
          <w:p w14:paraId="30F24082" w14:textId="77777777" w:rsidR="0007392B" w:rsidRDefault="0007392B"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3</w:t>
            </w:r>
          </w:p>
        </w:tc>
        <w:tc>
          <w:tcPr>
            <w:tcW w:w="898" w:type="dxa"/>
            <w:shd w:val="clear" w:color="auto" w:fill="FABF8F" w:themeFill="accent6" w:themeFillTint="99"/>
          </w:tcPr>
          <w:p w14:paraId="4DE93728" w14:textId="7622DE1B" w:rsidR="0007392B" w:rsidRPr="006B327A" w:rsidRDefault="0007392B" w:rsidP="009D2311">
            <w:pPr>
              <w:spacing w:after="120"/>
              <w:jc w:val="center"/>
              <w:rPr>
                <w:rFonts w:ascii="Times New Roman" w:eastAsia="Times New Roman" w:hAnsi="Times New Roman"/>
                <w:lang w:eastAsia="lv-LV"/>
              </w:rPr>
            </w:pPr>
            <w:r>
              <w:rPr>
                <w:rFonts w:ascii="Times New Roman" w:eastAsia="Times New Roman" w:hAnsi="Times New Roman"/>
                <w:lang w:eastAsia="lv-LV"/>
              </w:rPr>
              <w:t>4</w:t>
            </w:r>
          </w:p>
        </w:tc>
        <w:tc>
          <w:tcPr>
            <w:tcW w:w="1199" w:type="dxa"/>
            <w:shd w:val="clear" w:color="auto" w:fill="FABF8F" w:themeFill="accent6" w:themeFillTint="99"/>
            <w:vAlign w:val="center"/>
          </w:tcPr>
          <w:p w14:paraId="58A1785E" w14:textId="355938F5" w:rsidR="0007392B" w:rsidRDefault="0007392B" w:rsidP="009D2311">
            <w:pPr>
              <w:spacing w:after="120"/>
              <w:jc w:val="center"/>
              <w:rPr>
                <w:rFonts w:ascii="Times New Roman" w:eastAsia="Times New Roman" w:hAnsi="Times New Roman"/>
                <w:sz w:val="24"/>
                <w:szCs w:val="24"/>
                <w:lang w:eastAsia="lv-LV"/>
              </w:rPr>
            </w:pPr>
            <w:r>
              <w:rPr>
                <w:rFonts w:ascii="Times New Roman" w:eastAsia="Times New Roman" w:hAnsi="Times New Roman"/>
                <w:lang w:eastAsia="lv-LV"/>
              </w:rPr>
              <w:t>5</w:t>
            </w:r>
          </w:p>
        </w:tc>
        <w:tc>
          <w:tcPr>
            <w:tcW w:w="1173" w:type="dxa"/>
            <w:shd w:val="clear" w:color="auto" w:fill="FABF8F" w:themeFill="accent6" w:themeFillTint="99"/>
          </w:tcPr>
          <w:p w14:paraId="481DC775" w14:textId="2C8E6511" w:rsidR="0007392B" w:rsidRPr="007F05FB" w:rsidRDefault="0007392B" w:rsidP="009D2311">
            <w:pPr>
              <w:spacing w:after="120"/>
              <w:jc w:val="center"/>
              <w:rPr>
                <w:rFonts w:ascii="Times New Roman" w:eastAsia="Times New Roman" w:hAnsi="Times New Roman"/>
                <w:lang w:eastAsia="lv-LV"/>
              </w:rPr>
            </w:pPr>
            <w:r>
              <w:rPr>
                <w:rFonts w:ascii="Times New Roman" w:eastAsia="Times New Roman" w:hAnsi="Times New Roman"/>
                <w:lang w:eastAsia="lv-LV"/>
              </w:rPr>
              <w:t>6=</w:t>
            </w:r>
            <w:r w:rsidR="007E6F91">
              <w:rPr>
                <w:rFonts w:ascii="Times New Roman" w:eastAsia="Times New Roman" w:hAnsi="Times New Roman"/>
                <w:lang w:eastAsia="lv-LV"/>
              </w:rPr>
              <w:t>4</w:t>
            </w:r>
            <w:r>
              <w:rPr>
                <w:rFonts w:ascii="Times New Roman" w:eastAsia="Times New Roman" w:hAnsi="Times New Roman"/>
                <w:lang w:eastAsia="lv-LV"/>
              </w:rPr>
              <w:t>*5</w:t>
            </w:r>
          </w:p>
        </w:tc>
        <w:tc>
          <w:tcPr>
            <w:tcW w:w="1593" w:type="dxa"/>
            <w:shd w:val="clear" w:color="auto" w:fill="FABF8F" w:themeFill="accent6" w:themeFillTint="99"/>
          </w:tcPr>
          <w:p w14:paraId="45939061" w14:textId="67630750" w:rsidR="0007392B" w:rsidRPr="007F05FB" w:rsidRDefault="0007392B" w:rsidP="009D2311">
            <w:pPr>
              <w:spacing w:after="120"/>
              <w:jc w:val="center"/>
              <w:rPr>
                <w:rFonts w:ascii="Times New Roman" w:eastAsia="Times New Roman" w:hAnsi="Times New Roman"/>
                <w:lang w:eastAsia="lv-LV"/>
              </w:rPr>
            </w:pPr>
            <w:r>
              <w:rPr>
                <w:rFonts w:ascii="Times New Roman" w:eastAsia="Times New Roman" w:hAnsi="Times New Roman"/>
                <w:lang w:eastAsia="lv-LV"/>
              </w:rPr>
              <w:t>7</w:t>
            </w:r>
            <w:r w:rsidRPr="007F05FB">
              <w:rPr>
                <w:rFonts w:ascii="Times New Roman" w:eastAsia="Times New Roman" w:hAnsi="Times New Roman"/>
                <w:lang w:eastAsia="lv-LV"/>
              </w:rPr>
              <w:t>=</w:t>
            </w:r>
            <w:r w:rsidR="007E6F91">
              <w:rPr>
                <w:rFonts w:ascii="Times New Roman" w:eastAsia="Times New Roman" w:hAnsi="Times New Roman"/>
                <w:lang w:eastAsia="lv-LV"/>
              </w:rPr>
              <w:t>3</w:t>
            </w:r>
            <w:r w:rsidRPr="007F05FB">
              <w:rPr>
                <w:rFonts w:ascii="Times New Roman" w:eastAsia="Times New Roman" w:hAnsi="Times New Roman"/>
                <w:lang w:eastAsia="lv-LV"/>
              </w:rPr>
              <w:t>*</w:t>
            </w:r>
            <w:r>
              <w:rPr>
                <w:rFonts w:ascii="Times New Roman" w:eastAsia="Times New Roman" w:hAnsi="Times New Roman"/>
                <w:lang w:eastAsia="lv-LV"/>
              </w:rPr>
              <w:t>5</w:t>
            </w:r>
          </w:p>
        </w:tc>
      </w:tr>
      <w:tr w:rsidR="0007392B" w14:paraId="705D0F9F" w14:textId="77777777" w:rsidTr="00E93259">
        <w:trPr>
          <w:jc w:val="center"/>
        </w:trPr>
        <w:tc>
          <w:tcPr>
            <w:tcW w:w="1181" w:type="dxa"/>
            <w:vAlign w:val="center"/>
          </w:tcPr>
          <w:p w14:paraId="07A16F47" w14:textId="77777777" w:rsidR="0007392B" w:rsidRDefault="0007392B" w:rsidP="009D2311">
            <w:pPr>
              <w:spacing w:after="120"/>
              <w:jc w:val="center"/>
              <w:rPr>
                <w:rFonts w:ascii="Times New Roman" w:eastAsia="Times New Roman" w:hAnsi="Times New Roman"/>
                <w:sz w:val="24"/>
                <w:szCs w:val="24"/>
                <w:lang w:eastAsia="lv-LV"/>
              </w:rPr>
            </w:pPr>
            <w:r>
              <w:rPr>
                <w:rFonts w:ascii="Times New Roman" w:eastAsia="Times New Roman" w:hAnsi="Times New Roman"/>
                <w:lang w:eastAsia="lv-LV"/>
              </w:rPr>
              <w:t>11030</w:t>
            </w:r>
          </w:p>
        </w:tc>
        <w:tc>
          <w:tcPr>
            <w:tcW w:w="1548" w:type="dxa"/>
            <w:vAlign w:val="center"/>
          </w:tcPr>
          <w:p w14:paraId="5736A240" w14:textId="77777777" w:rsidR="0007392B" w:rsidRPr="007F05FB" w:rsidRDefault="0007392B" w:rsidP="009D2311">
            <w:pPr>
              <w:jc w:val="both"/>
              <w:rPr>
                <w:rFonts w:ascii="Times New Roman" w:hAnsi="Times New Roman"/>
              </w:rPr>
            </w:pPr>
            <w:r w:rsidRPr="007F05FB">
              <w:rPr>
                <w:rFonts w:ascii="Times New Roman" w:hAnsi="Times New Roman"/>
              </w:rPr>
              <w:t>Sāpju klīniskā izmeklēšana un novērtēšana (neuzrāda kopā ar manipulāciju 11031)</w:t>
            </w:r>
          </w:p>
        </w:tc>
        <w:tc>
          <w:tcPr>
            <w:tcW w:w="1497" w:type="dxa"/>
            <w:vAlign w:val="center"/>
          </w:tcPr>
          <w:p w14:paraId="65FB5893" w14:textId="5D1C7C80" w:rsidR="0007392B" w:rsidRDefault="0030570A" w:rsidP="009D2311">
            <w:pPr>
              <w:spacing w:after="120"/>
              <w:jc w:val="center"/>
              <w:rPr>
                <w:rFonts w:ascii="Times New Roman" w:eastAsia="Times New Roman" w:hAnsi="Times New Roman"/>
                <w:sz w:val="24"/>
                <w:szCs w:val="24"/>
                <w:lang w:eastAsia="lv-LV"/>
              </w:rPr>
            </w:pPr>
            <w:r>
              <w:rPr>
                <w:rFonts w:ascii="Times New Roman" w:eastAsia="Times New Roman" w:hAnsi="Times New Roman"/>
                <w:b/>
                <w:bCs/>
                <w:lang w:eastAsia="lv-LV"/>
              </w:rPr>
              <w:t>6 000</w:t>
            </w:r>
          </w:p>
        </w:tc>
        <w:tc>
          <w:tcPr>
            <w:tcW w:w="898" w:type="dxa"/>
            <w:vAlign w:val="center"/>
          </w:tcPr>
          <w:p w14:paraId="22F96FCF" w14:textId="560C18A9" w:rsidR="0007392B" w:rsidRPr="007F05FB" w:rsidRDefault="0030570A" w:rsidP="009D2311">
            <w:pPr>
              <w:jc w:val="center"/>
              <w:rPr>
                <w:rFonts w:ascii="Times New Roman" w:hAnsi="Times New Roman"/>
                <w:b/>
                <w:bCs/>
              </w:rPr>
            </w:pPr>
            <w:r>
              <w:rPr>
                <w:rFonts w:ascii="Times New Roman" w:hAnsi="Times New Roman"/>
                <w:b/>
                <w:bCs/>
              </w:rPr>
              <w:t>4 500</w:t>
            </w:r>
          </w:p>
        </w:tc>
        <w:tc>
          <w:tcPr>
            <w:tcW w:w="1199" w:type="dxa"/>
            <w:vAlign w:val="center"/>
          </w:tcPr>
          <w:p w14:paraId="7681EBBF" w14:textId="06F5E907" w:rsidR="0007392B" w:rsidRPr="007F05FB" w:rsidRDefault="0007392B" w:rsidP="009D2311">
            <w:pPr>
              <w:jc w:val="center"/>
              <w:rPr>
                <w:rFonts w:ascii="Times New Roman" w:hAnsi="Times New Roman"/>
                <w:b/>
                <w:bCs/>
              </w:rPr>
            </w:pPr>
            <w:r w:rsidRPr="007F05FB">
              <w:rPr>
                <w:rFonts w:ascii="Times New Roman" w:hAnsi="Times New Roman"/>
                <w:b/>
                <w:bCs/>
              </w:rPr>
              <w:t>19.65</w:t>
            </w:r>
          </w:p>
        </w:tc>
        <w:tc>
          <w:tcPr>
            <w:tcW w:w="1173" w:type="dxa"/>
            <w:vAlign w:val="center"/>
          </w:tcPr>
          <w:p w14:paraId="0AAB89C6" w14:textId="7BB7D24F" w:rsidR="0007392B" w:rsidRDefault="0030570A" w:rsidP="009D2311">
            <w:pPr>
              <w:spacing w:after="120"/>
              <w:jc w:val="center"/>
              <w:rPr>
                <w:rFonts w:ascii="Times New Roman" w:eastAsia="Times New Roman" w:hAnsi="Times New Roman"/>
                <w:lang w:eastAsia="lv-LV"/>
              </w:rPr>
            </w:pPr>
            <w:r>
              <w:rPr>
                <w:rFonts w:ascii="Times New Roman" w:eastAsia="Times New Roman" w:hAnsi="Times New Roman"/>
                <w:lang w:eastAsia="lv-LV"/>
              </w:rPr>
              <w:t>88 425</w:t>
            </w:r>
          </w:p>
        </w:tc>
        <w:tc>
          <w:tcPr>
            <w:tcW w:w="1593" w:type="dxa"/>
            <w:vAlign w:val="center"/>
          </w:tcPr>
          <w:p w14:paraId="713DF140" w14:textId="28E11EAE" w:rsidR="0007392B" w:rsidRPr="007F05FB" w:rsidRDefault="0030570A" w:rsidP="009D2311">
            <w:pPr>
              <w:spacing w:after="120"/>
              <w:jc w:val="center"/>
              <w:rPr>
                <w:rFonts w:ascii="Times New Roman" w:eastAsia="Times New Roman" w:hAnsi="Times New Roman"/>
                <w:lang w:eastAsia="lv-LV"/>
              </w:rPr>
            </w:pPr>
            <w:r>
              <w:rPr>
                <w:rFonts w:ascii="Times New Roman" w:eastAsia="Times New Roman" w:hAnsi="Times New Roman"/>
                <w:lang w:eastAsia="lv-LV"/>
              </w:rPr>
              <w:t>117 900</w:t>
            </w:r>
          </w:p>
        </w:tc>
      </w:tr>
    </w:tbl>
    <w:p w14:paraId="71CFB1A8" w14:textId="77777777" w:rsidR="006E0452" w:rsidRDefault="006E0452" w:rsidP="008E1411">
      <w:pPr>
        <w:spacing w:after="120"/>
        <w:jc w:val="both"/>
        <w:rPr>
          <w:rFonts w:ascii="Times New Roman" w:eastAsia="Times New Roman" w:hAnsi="Times New Roman" w:cs="Times New Roman"/>
          <w:sz w:val="24"/>
          <w:szCs w:val="24"/>
          <w:lang w:eastAsia="lv-LV"/>
        </w:rPr>
      </w:pPr>
    </w:p>
    <w:p w14:paraId="15976D2E" w14:textId="6037CF08" w:rsidR="000E70CB" w:rsidRDefault="002B24F2" w:rsidP="00FF02DA">
      <w:pPr>
        <w:spacing w:after="120"/>
        <w:ind w:firstLine="720"/>
        <w:jc w:val="both"/>
        <w:rPr>
          <w:rFonts w:ascii="Times New Roman" w:eastAsia="Times New Roman" w:hAnsi="Times New Roman" w:cs="Times New Roman"/>
          <w:sz w:val="24"/>
          <w:szCs w:val="24"/>
          <w:lang w:eastAsia="lv-LV"/>
        </w:rPr>
      </w:pPr>
      <w:r w:rsidRPr="002B24F2">
        <w:rPr>
          <w:rFonts w:ascii="Times New Roman" w:eastAsia="Times New Roman" w:hAnsi="Times New Roman" w:cs="Times New Roman"/>
          <w:sz w:val="24"/>
          <w:szCs w:val="24"/>
          <w:lang w:eastAsia="lv-LV"/>
        </w:rPr>
        <w:t xml:space="preserve">Sāpju klīniskās izmeklēšanas un novērtēšanas manipulāciju iekļaušana veselības aprūpes pakalpojumu sarakstā ļautu uzlabot un pilnveidot sāpju diagnostiku, to attīstības un </w:t>
      </w:r>
      <w:r w:rsidRPr="002B24F2">
        <w:rPr>
          <w:rFonts w:ascii="Times New Roman" w:eastAsia="Times New Roman" w:hAnsi="Times New Roman" w:cs="Times New Roman"/>
          <w:sz w:val="24"/>
          <w:szCs w:val="24"/>
          <w:lang w:eastAsia="lv-LV"/>
        </w:rPr>
        <w:lastRenderedPageBreak/>
        <w:t>daudzveidīgo dažādo patoģenēzes faktoru izvērtēšanu un līdz ar to nodrošinātu adekvātāku un katram pacientam individuālas ārstēšanas un aprūpes taktikas izvēli, izvairoties no nevajadzīgām un liekām citām resursu ietilpīgām izmeklēšanas metodēm, arī no neadekvātām terapeitiskām manipulācijām un neatbilstošu medikamentu lietošanas. Tādējādi galīgais rezultāts būtu medicīniskās aprūpes kvalitātes uzlabošana sāpju pacientiem un mūsdienīgas modernas sāpju aprūpes pieejamības paplašināšana plašākam iedzīvotāju lokam. Sāpju pacientu aprūpes kvalitāte Latvijā joprojām ir nepietiekoša – 47% hronisko sāpju pacientu (cieš no sāpēm vairāk kā 6 mēnešus, viņu ir 19% populācijā) uzskata, ka netiek pienācīgi ārstēti; tikai 1% šo pacientu bija izmeklēti ar mūsdienīgām vienkāršākajām sāpju novērtēšanas metodēm – lietota sāpju novērtēšanas.</w:t>
      </w:r>
      <w:r>
        <w:rPr>
          <w:rFonts w:ascii="Times New Roman" w:eastAsia="Times New Roman" w:hAnsi="Times New Roman" w:cs="Times New Roman"/>
          <w:sz w:val="24"/>
          <w:szCs w:val="24"/>
          <w:lang w:eastAsia="lv-LV"/>
        </w:rPr>
        <w:t xml:space="preserve"> </w:t>
      </w:r>
    </w:p>
    <w:p w14:paraId="24852286" w14:textId="77777777" w:rsidR="001E7BED" w:rsidRDefault="001E7BED" w:rsidP="002B24F2">
      <w:pPr>
        <w:spacing w:after="0" w:line="240" w:lineRule="auto"/>
        <w:ind w:firstLine="720"/>
        <w:jc w:val="both"/>
        <w:rPr>
          <w:rFonts w:ascii="Times New Roman" w:eastAsia="Times New Roman" w:hAnsi="Times New Roman" w:cs="Times New Roman"/>
          <w:sz w:val="24"/>
          <w:szCs w:val="24"/>
          <w:lang w:eastAsia="lv-LV"/>
        </w:rPr>
      </w:pPr>
    </w:p>
    <w:p w14:paraId="6B1384DF" w14:textId="77777777" w:rsidR="001E7BED" w:rsidRPr="001E7BED" w:rsidRDefault="001E7BED" w:rsidP="00E11AFF">
      <w:pPr>
        <w:spacing w:after="0" w:line="240" w:lineRule="auto"/>
        <w:jc w:val="center"/>
        <w:rPr>
          <w:rFonts w:ascii="Times New Roman" w:eastAsia="Times New Roman" w:hAnsi="Times New Roman" w:cs="Times New Roman"/>
          <w:b/>
          <w:bCs/>
          <w:sz w:val="24"/>
          <w:szCs w:val="24"/>
          <w:lang w:eastAsia="lv-LV"/>
        </w:rPr>
      </w:pPr>
      <w:r w:rsidRPr="001E7BED">
        <w:rPr>
          <w:rFonts w:ascii="Times New Roman" w:eastAsia="Times New Roman" w:hAnsi="Times New Roman" w:cs="Times New Roman"/>
          <w:b/>
          <w:bCs/>
          <w:sz w:val="24"/>
          <w:szCs w:val="24"/>
          <w:lang w:eastAsia="lv-LV"/>
        </w:rPr>
        <w:t>Pirmreizēja vai atkārtota hronisko sāpju dinamiskā aprūpe</w:t>
      </w:r>
    </w:p>
    <w:p w14:paraId="50B40709" w14:textId="77777777" w:rsidR="00957AF7" w:rsidRDefault="00957AF7" w:rsidP="000853A1">
      <w:pPr>
        <w:spacing w:after="0" w:line="240" w:lineRule="auto"/>
        <w:ind w:firstLine="720"/>
        <w:jc w:val="both"/>
        <w:rPr>
          <w:rFonts w:ascii="Times New Roman" w:eastAsia="Times New Roman" w:hAnsi="Times New Roman" w:cs="Times New Roman"/>
          <w:sz w:val="24"/>
          <w:szCs w:val="24"/>
          <w:lang w:eastAsia="lv-LV"/>
        </w:rPr>
      </w:pPr>
    </w:p>
    <w:p w14:paraId="02F9BDFD" w14:textId="37C6FC01" w:rsidR="001E7BED" w:rsidRDefault="001E7BED" w:rsidP="00FF02DA">
      <w:pPr>
        <w:spacing w:after="120"/>
        <w:ind w:firstLine="720"/>
        <w:jc w:val="both"/>
        <w:rPr>
          <w:rFonts w:ascii="Times New Roman" w:eastAsia="Times New Roman" w:hAnsi="Times New Roman" w:cs="Times New Roman"/>
          <w:sz w:val="24"/>
          <w:szCs w:val="24"/>
          <w:lang w:eastAsia="lv-LV"/>
        </w:rPr>
      </w:pPr>
      <w:r w:rsidRPr="001E7BED">
        <w:rPr>
          <w:rFonts w:ascii="Times New Roman" w:eastAsia="Times New Roman" w:hAnsi="Times New Roman" w:cs="Times New Roman"/>
          <w:sz w:val="24"/>
          <w:szCs w:val="24"/>
          <w:lang w:eastAsia="lv-LV"/>
        </w:rPr>
        <w:t>Akūtas sāpes tiek uzskatītas par svarīgu bioloģisku brīdinošu signālu, kam ir adaptīva un mobilizējoša loma, turpretī hroniskas un recidivējošas sāpes, kas turpinās pēc akūta bojājuma sadzīšanas vai atveseļošanās pēc akūtas saslimšanas, ir saistītas ar izmaiņām sāpju uztveres un vadīšanas sistēmās, un tās var kļūt par specifisku veselības problēmu un patstāvīgu slimību (EFIC Deklarācija, 2001). Rezultātā šāda pieeja palīdz atrast pacientam drošāko un efektīvāko sāpju remdēšanas veidu, uzlabo pacienta dzīves kvalitāti, mazina komplikāciju risku un palielina to pacientu skaitu, kuri spēj atgriezties aktīvā dzīvē un darbā. Hroniskas sāpes rada virkni biopsihosociālu izmaiņu, izraisa ievērojamus fiziskus un psihoemocionālus traucējumus. Latvijas populācijā gandrīz katrs piektais jeb 19% cieš no sāpēm vairāk kā 6 mēnešus (Logina, Visocka Hroniskas sāpes Latvijā: 2008). Tā kā hroniskas sāpes ir sarežģīts unikāls biopsihosociāls fenomens, pacientiem parasti ir nepieciešama interdisciplināra multimodāla sāpju terapija un ilgstoša novērošana, iesaistoties vairākiem speciālistiem un pielietojot vairākas ārstēšanas metodes. Multimodāla hronisko sāpju aprūpe prasa pieeju un paņēmienus, kas vairumā gadījumu atšķirīgi no citām medicīnas nozarēm."</w:t>
      </w:r>
    </w:p>
    <w:p w14:paraId="6467ED75" w14:textId="6A4B9C79" w:rsidR="00F573C8" w:rsidRDefault="00776A5A" w:rsidP="009F1205">
      <w:pPr>
        <w:spacing w:after="1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Šī me</w:t>
      </w:r>
      <w:r w:rsidR="001F0784">
        <w:rPr>
          <w:rFonts w:ascii="Times New Roman" w:eastAsia="Times New Roman" w:hAnsi="Times New Roman" w:cs="Times New Roman"/>
          <w:sz w:val="24"/>
          <w:szCs w:val="24"/>
          <w:lang w:eastAsia="lv-LV"/>
        </w:rPr>
        <w:t>tode nepieciešama p</w:t>
      </w:r>
      <w:r w:rsidR="000853A1" w:rsidRPr="001E7BED">
        <w:rPr>
          <w:rFonts w:ascii="Times New Roman" w:eastAsia="Times New Roman" w:hAnsi="Times New Roman" w:cs="Times New Roman"/>
          <w:sz w:val="24"/>
          <w:szCs w:val="24"/>
          <w:lang w:eastAsia="lv-LV"/>
        </w:rPr>
        <w:t>acienti</w:t>
      </w:r>
      <w:r w:rsidR="001F0784">
        <w:rPr>
          <w:rFonts w:ascii="Times New Roman" w:eastAsia="Times New Roman" w:hAnsi="Times New Roman" w:cs="Times New Roman"/>
          <w:sz w:val="24"/>
          <w:szCs w:val="24"/>
          <w:lang w:eastAsia="lv-LV"/>
        </w:rPr>
        <w:t>em</w:t>
      </w:r>
      <w:r w:rsidR="000853A1" w:rsidRPr="001E7BED">
        <w:rPr>
          <w:rFonts w:ascii="Times New Roman" w:eastAsia="Times New Roman" w:hAnsi="Times New Roman" w:cs="Times New Roman"/>
          <w:sz w:val="24"/>
          <w:szCs w:val="24"/>
          <w:lang w:eastAsia="lv-LV"/>
        </w:rPr>
        <w:t xml:space="preserve"> ar hroniskām sāpēm (ilgākas par 3-6 mēnešiem), kuriem nepieciešama interdisciplināra multimodāla sāpju terapija un novērošana, t.i., pacienti, kuriem iepriekšējā monoterapija ir bijusi nesekmīga, kuriem ir medikamentu pārlieku lietošana vai atkarība, atkārtotas operācijas sāpju dēļ, izteikta psihosociālā slodze, ilgstoša pirmreizēja darba nespēja vai invaliditāte, samazināta dzīves kvalitāte, augsta riska pacienti</w:t>
      </w:r>
      <w:r w:rsidR="004D0D7B">
        <w:rPr>
          <w:rFonts w:ascii="Times New Roman" w:eastAsia="Times New Roman" w:hAnsi="Times New Roman" w:cs="Times New Roman"/>
          <w:sz w:val="24"/>
          <w:szCs w:val="24"/>
          <w:lang w:eastAsia="lv-LV"/>
        </w:rPr>
        <w:t xml:space="preserve"> (</w:t>
      </w:r>
      <w:r w:rsidR="00DE14BB">
        <w:rPr>
          <w:rFonts w:ascii="Times New Roman" w:eastAsia="Times New Roman" w:hAnsi="Times New Roman" w:cs="Times New Roman"/>
          <w:sz w:val="24"/>
          <w:szCs w:val="24"/>
          <w:lang w:eastAsia="lv-LV"/>
        </w:rPr>
        <w:t>22</w:t>
      </w:r>
      <w:r w:rsidR="004D0D7B">
        <w:rPr>
          <w:rFonts w:ascii="Times New Roman" w:eastAsia="Times New Roman" w:hAnsi="Times New Roman" w:cs="Times New Roman"/>
          <w:sz w:val="24"/>
          <w:szCs w:val="24"/>
          <w:lang w:eastAsia="lv-LV"/>
        </w:rPr>
        <w:t>.tabula)</w:t>
      </w:r>
      <w:r w:rsidR="000853A1" w:rsidRPr="001E7BED">
        <w:rPr>
          <w:rFonts w:ascii="Times New Roman" w:eastAsia="Times New Roman" w:hAnsi="Times New Roman" w:cs="Times New Roman"/>
          <w:sz w:val="24"/>
          <w:szCs w:val="24"/>
          <w:lang w:eastAsia="lv-LV"/>
        </w:rPr>
        <w:t xml:space="preserve"> (ilgstošas un biežas sāpes, psihiska saslimšana, somatizācija, pasivitāte un citi psihosociālie riska faktori)</w:t>
      </w:r>
      <w:r w:rsidR="001F0784">
        <w:rPr>
          <w:rFonts w:ascii="Times New Roman" w:eastAsia="Times New Roman" w:hAnsi="Times New Roman" w:cs="Times New Roman"/>
          <w:sz w:val="24"/>
          <w:szCs w:val="24"/>
          <w:lang w:eastAsia="lv-LV"/>
        </w:rPr>
        <w:t xml:space="preserve"> (</w:t>
      </w:r>
      <w:r w:rsidR="001F0784" w:rsidRPr="001E7BED">
        <w:rPr>
          <w:rFonts w:ascii="Times New Roman" w:eastAsia="Times New Roman" w:hAnsi="Times New Roman" w:cs="Times New Roman"/>
          <w:sz w:val="24"/>
          <w:szCs w:val="24"/>
          <w:lang w:eastAsia="lv-LV"/>
        </w:rPr>
        <w:t>Manipulācija- 11031</w:t>
      </w:r>
      <w:r w:rsidR="001F0784">
        <w:rPr>
          <w:rFonts w:ascii="Times New Roman" w:eastAsia="Times New Roman" w:hAnsi="Times New Roman" w:cs="Times New Roman"/>
          <w:sz w:val="24"/>
          <w:szCs w:val="24"/>
          <w:lang w:eastAsia="lv-LV"/>
        </w:rPr>
        <w:t>)</w:t>
      </w:r>
      <w:r w:rsidR="000853A1" w:rsidRPr="001E7BED">
        <w:rPr>
          <w:rFonts w:ascii="Times New Roman" w:eastAsia="Times New Roman" w:hAnsi="Times New Roman" w:cs="Times New Roman"/>
          <w:sz w:val="24"/>
          <w:szCs w:val="24"/>
          <w:lang w:eastAsia="lv-LV"/>
        </w:rPr>
        <w:t>.</w:t>
      </w:r>
    </w:p>
    <w:p w14:paraId="78A7AB28" w14:textId="77777777" w:rsidR="00D11480" w:rsidRDefault="00D11480" w:rsidP="008E1411">
      <w:pPr>
        <w:spacing w:after="120"/>
        <w:ind w:firstLine="720"/>
        <w:jc w:val="right"/>
        <w:rPr>
          <w:rFonts w:ascii="Times New Roman" w:eastAsia="Times New Roman" w:hAnsi="Times New Roman" w:cs="Times New Roman"/>
          <w:i/>
          <w:sz w:val="24"/>
          <w:szCs w:val="24"/>
          <w:lang w:eastAsia="lv-LV"/>
        </w:rPr>
      </w:pPr>
    </w:p>
    <w:p w14:paraId="5C4E820E" w14:textId="77777777" w:rsidR="00D11480" w:rsidRDefault="00D11480" w:rsidP="008E1411">
      <w:pPr>
        <w:spacing w:after="120"/>
        <w:ind w:firstLine="720"/>
        <w:jc w:val="right"/>
        <w:rPr>
          <w:rFonts w:ascii="Times New Roman" w:eastAsia="Times New Roman" w:hAnsi="Times New Roman" w:cs="Times New Roman"/>
          <w:i/>
          <w:sz w:val="24"/>
          <w:szCs w:val="24"/>
          <w:lang w:eastAsia="lv-LV"/>
        </w:rPr>
      </w:pPr>
    </w:p>
    <w:p w14:paraId="16AC6050" w14:textId="77777777" w:rsidR="00D11480" w:rsidRDefault="00D11480" w:rsidP="008E1411">
      <w:pPr>
        <w:spacing w:after="120"/>
        <w:ind w:firstLine="720"/>
        <w:jc w:val="right"/>
        <w:rPr>
          <w:rFonts w:ascii="Times New Roman" w:eastAsia="Times New Roman" w:hAnsi="Times New Roman" w:cs="Times New Roman"/>
          <w:i/>
          <w:sz w:val="24"/>
          <w:szCs w:val="24"/>
          <w:lang w:eastAsia="lv-LV"/>
        </w:rPr>
      </w:pPr>
    </w:p>
    <w:p w14:paraId="503C8F9A" w14:textId="77777777" w:rsidR="00D11480" w:rsidRDefault="00D11480" w:rsidP="008E1411">
      <w:pPr>
        <w:spacing w:after="120"/>
        <w:ind w:firstLine="720"/>
        <w:jc w:val="right"/>
        <w:rPr>
          <w:rFonts w:ascii="Times New Roman" w:eastAsia="Times New Roman" w:hAnsi="Times New Roman" w:cs="Times New Roman"/>
          <w:i/>
          <w:sz w:val="24"/>
          <w:szCs w:val="24"/>
          <w:lang w:eastAsia="lv-LV"/>
        </w:rPr>
      </w:pPr>
    </w:p>
    <w:p w14:paraId="2F13C676" w14:textId="6DF7A331" w:rsidR="00340FC4" w:rsidRDefault="00DE14BB" w:rsidP="008E1411">
      <w:pPr>
        <w:spacing w:after="120"/>
        <w:ind w:firstLine="72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22</w:t>
      </w:r>
      <w:r w:rsidR="00340FC4" w:rsidRPr="008E1411">
        <w:rPr>
          <w:rFonts w:ascii="Times New Roman" w:eastAsia="Times New Roman" w:hAnsi="Times New Roman" w:cs="Times New Roman"/>
          <w:i/>
          <w:sz w:val="24"/>
          <w:szCs w:val="24"/>
          <w:lang w:eastAsia="lv-LV"/>
        </w:rPr>
        <w:t>.tabula</w:t>
      </w:r>
    </w:p>
    <w:p w14:paraId="146ABB8E" w14:textId="3F725C3F" w:rsidR="00F573C8" w:rsidRPr="009F1205" w:rsidRDefault="00F573C8" w:rsidP="009F1205">
      <w:pPr>
        <w:spacing w:after="0" w:line="240" w:lineRule="auto"/>
        <w:jc w:val="center"/>
        <w:rPr>
          <w:rFonts w:ascii="Times New Roman" w:eastAsia="Times New Roman" w:hAnsi="Times New Roman" w:cs="Times New Roman"/>
          <w:b/>
          <w:bCs/>
          <w:sz w:val="24"/>
          <w:szCs w:val="24"/>
          <w:lang w:eastAsia="lv-LV"/>
        </w:rPr>
      </w:pPr>
      <w:r w:rsidRPr="001E7BED">
        <w:rPr>
          <w:rFonts w:ascii="Times New Roman" w:eastAsia="Times New Roman" w:hAnsi="Times New Roman" w:cs="Times New Roman"/>
          <w:b/>
          <w:bCs/>
          <w:sz w:val="24"/>
          <w:szCs w:val="24"/>
          <w:lang w:eastAsia="lv-LV"/>
        </w:rPr>
        <w:t>Pirmreizēja</w:t>
      </w:r>
      <w:r>
        <w:rPr>
          <w:rFonts w:ascii="Times New Roman" w:eastAsia="Times New Roman" w:hAnsi="Times New Roman" w:cs="Times New Roman"/>
          <w:b/>
          <w:bCs/>
          <w:sz w:val="24"/>
          <w:szCs w:val="24"/>
          <w:lang w:eastAsia="lv-LV"/>
        </w:rPr>
        <w:t>i</w:t>
      </w:r>
      <w:r w:rsidRPr="001E7BED">
        <w:rPr>
          <w:rFonts w:ascii="Times New Roman" w:eastAsia="Times New Roman" w:hAnsi="Times New Roman" w:cs="Times New Roman"/>
          <w:b/>
          <w:bCs/>
          <w:sz w:val="24"/>
          <w:szCs w:val="24"/>
          <w:lang w:eastAsia="lv-LV"/>
        </w:rPr>
        <w:t xml:space="preserve"> vai atkārtota</w:t>
      </w:r>
      <w:r>
        <w:rPr>
          <w:rFonts w:ascii="Times New Roman" w:eastAsia="Times New Roman" w:hAnsi="Times New Roman" w:cs="Times New Roman"/>
          <w:b/>
          <w:bCs/>
          <w:sz w:val="24"/>
          <w:szCs w:val="24"/>
          <w:lang w:eastAsia="lv-LV"/>
        </w:rPr>
        <w:t>i hronisko sāpju dinamiskai</w:t>
      </w:r>
      <w:r w:rsidRPr="001E7BED">
        <w:rPr>
          <w:rFonts w:ascii="Times New Roman" w:eastAsia="Times New Roman" w:hAnsi="Times New Roman" w:cs="Times New Roman"/>
          <w:b/>
          <w:bCs/>
          <w:sz w:val="24"/>
          <w:szCs w:val="24"/>
          <w:lang w:eastAsia="lv-LV"/>
        </w:rPr>
        <w:t xml:space="preserve"> aprūpe</w:t>
      </w:r>
      <w:r>
        <w:rPr>
          <w:rFonts w:ascii="Times New Roman" w:eastAsia="Times New Roman" w:hAnsi="Times New Roman" w:cs="Times New Roman"/>
          <w:b/>
          <w:bCs/>
          <w:sz w:val="24"/>
          <w:szCs w:val="24"/>
          <w:lang w:eastAsia="lv-LV"/>
        </w:rPr>
        <w:t>i nepieciešamais finansējums 2019.gadam</w:t>
      </w:r>
    </w:p>
    <w:p w14:paraId="19130224" w14:textId="77777777" w:rsidR="00F573C8" w:rsidRPr="009F1205" w:rsidRDefault="00F573C8" w:rsidP="009F1205">
      <w:pPr>
        <w:spacing w:after="0" w:line="240" w:lineRule="auto"/>
        <w:jc w:val="both"/>
        <w:rPr>
          <w:rFonts w:ascii="Times New Roman" w:eastAsia="Times New Roman" w:hAnsi="Times New Roman" w:cs="Times New Roman"/>
          <w:b/>
          <w:bCs/>
          <w:sz w:val="24"/>
          <w:szCs w:val="24"/>
          <w:lang w:eastAsia="lv-LV"/>
        </w:rPr>
      </w:pPr>
    </w:p>
    <w:tbl>
      <w:tblPr>
        <w:tblStyle w:val="TableGrid"/>
        <w:tblW w:w="0" w:type="auto"/>
        <w:jc w:val="center"/>
        <w:tblLook w:val="04A0" w:firstRow="1" w:lastRow="0" w:firstColumn="1" w:lastColumn="0" w:noHBand="0" w:noVBand="1"/>
      </w:tblPr>
      <w:tblGrid>
        <w:gridCol w:w="748"/>
        <w:gridCol w:w="1712"/>
        <w:gridCol w:w="1401"/>
        <w:gridCol w:w="1261"/>
        <w:gridCol w:w="1014"/>
        <w:gridCol w:w="1427"/>
        <w:gridCol w:w="1526"/>
      </w:tblGrid>
      <w:tr w:rsidR="0030570A" w14:paraId="0ACEE8B3" w14:textId="77777777" w:rsidTr="00E93259">
        <w:trPr>
          <w:jc w:val="center"/>
        </w:trPr>
        <w:tc>
          <w:tcPr>
            <w:tcW w:w="770" w:type="dxa"/>
            <w:shd w:val="clear" w:color="auto" w:fill="E36C0A" w:themeFill="accent6" w:themeFillShade="BF"/>
            <w:vAlign w:val="center"/>
          </w:tcPr>
          <w:p w14:paraId="778F68F1" w14:textId="77777777" w:rsidR="0030570A" w:rsidRPr="007F05FB"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Kods</w:t>
            </w:r>
          </w:p>
        </w:tc>
        <w:tc>
          <w:tcPr>
            <w:tcW w:w="1959" w:type="dxa"/>
            <w:shd w:val="clear" w:color="auto" w:fill="E36C0A" w:themeFill="accent6" w:themeFillShade="BF"/>
            <w:vAlign w:val="center"/>
          </w:tcPr>
          <w:p w14:paraId="53B9CBE7" w14:textId="77777777" w:rsidR="0030570A" w:rsidRPr="007F05FB"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Manipulācijas nosaukums</w:t>
            </w:r>
          </w:p>
        </w:tc>
        <w:tc>
          <w:tcPr>
            <w:tcW w:w="1497" w:type="dxa"/>
            <w:shd w:val="clear" w:color="auto" w:fill="E36C0A" w:themeFill="accent6" w:themeFillShade="BF"/>
            <w:vAlign w:val="center"/>
          </w:tcPr>
          <w:p w14:paraId="19D03B8E" w14:textId="77777777" w:rsidR="0030570A" w:rsidRPr="007F05FB"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Plānotais manipulāciju skaits 2019.gadam</w:t>
            </w:r>
          </w:p>
        </w:tc>
        <w:tc>
          <w:tcPr>
            <w:tcW w:w="898" w:type="dxa"/>
            <w:shd w:val="clear" w:color="auto" w:fill="E36C0A" w:themeFill="accent6" w:themeFillShade="BF"/>
          </w:tcPr>
          <w:p w14:paraId="6EC991BA" w14:textId="65A4DD82" w:rsidR="0030570A" w:rsidRPr="00B30CF8" w:rsidRDefault="0030570A" w:rsidP="009D2311">
            <w:pPr>
              <w:jc w:val="center"/>
              <w:rPr>
                <w:rFonts w:ascii="Times New Roman" w:eastAsia="Times New Roman" w:hAnsi="Times New Roman"/>
                <w:lang w:eastAsia="lv-LV"/>
              </w:rPr>
            </w:pPr>
            <w:r w:rsidRPr="006B327A">
              <w:rPr>
                <w:rFonts w:ascii="Times New Roman" w:eastAsia="Times New Roman" w:hAnsi="Times New Roman"/>
                <w:lang w:eastAsia="lv-LV"/>
              </w:rPr>
              <w:t xml:space="preserve">Plānotais manipulāciju skaits </w:t>
            </w:r>
            <w:r>
              <w:rPr>
                <w:rFonts w:ascii="Times New Roman" w:eastAsia="Times New Roman" w:hAnsi="Times New Roman"/>
                <w:lang w:eastAsia="lv-LV"/>
              </w:rPr>
              <w:t>no 2019.gada 1.aprīļa</w:t>
            </w:r>
            <w:r w:rsidR="005804B6">
              <w:rPr>
                <w:rFonts w:ascii="Times New Roman" w:eastAsia="Times New Roman" w:hAnsi="Times New Roman"/>
                <w:lang w:eastAsia="lv-LV"/>
              </w:rPr>
              <w:t xml:space="preserve"> </w:t>
            </w:r>
            <w:r w:rsidR="005804B6" w:rsidRPr="009F1205">
              <w:rPr>
                <w:rFonts w:ascii="Times New Roman" w:eastAsia="Times New Roman" w:hAnsi="Times New Roman"/>
                <w:i/>
                <w:lang w:eastAsia="lv-LV"/>
              </w:rPr>
              <w:t>euro</w:t>
            </w:r>
          </w:p>
        </w:tc>
        <w:tc>
          <w:tcPr>
            <w:tcW w:w="1199" w:type="dxa"/>
            <w:shd w:val="clear" w:color="auto" w:fill="E36C0A" w:themeFill="accent6" w:themeFillShade="BF"/>
            <w:vAlign w:val="center"/>
          </w:tcPr>
          <w:p w14:paraId="648979DF" w14:textId="2382DF9F" w:rsidR="0030570A" w:rsidRPr="00B30CF8" w:rsidRDefault="0030570A" w:rsidP="009D2311">
            <w:pPr>
              <w:jc w:val="center"/>
              <w:rPr>
                <w:rFonts w:ascii="Times New Roman" w:eastAsia="Times New Roman" w:hAnsi="Times New Roman"/>
                <w:lang w:eastAsia="lv-LV"/>
              </w:rPr>
            </w:pPr>
            <w:r w:rsidRPr="00B30CF8">
              <w:rPr>
                <w:rFonts w:ascii="Times New Roman" w:eastAsia="Times New Roman" w:hAnsi="Times New Roman"/>
                <w:lang w:eastAsia="lv-LV"/>
              </w:rPr>
              <w:t>Tarifs,</w:t>
            </w:r>
          </w:p>
          <w:p w14:paraId="09153E33" w14:textId="77777777" w:rsidR="0030570A" w:rsidRPr="007F05FB"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i/>
                <w:lang w:eastAsia="lv-LV"/>
              </w:rPr>
              <w:t>euro</w:t>
            </w:r>
          </w:p>
        </w:tc>
        <w:tc>
          <w:tcPr>
            <w:tcW w:w="1173" w:type="dxa"/>
            <w:shd w:val="clear" w:color="auto" w:fill="E36C0A" w:themeFill="accent6" w:themeFillShade="BF"/>
          </w:tcPr>
          <w:p w14:paraId="4B857511" w14:textId="60D664A3" w:rsidR="0030570A" w:rsidRPr="00B30CF8" w:rsidRDefault="0030570A" w:rsidP="009D2311">
            <w:pPr>
              <w:spacing w:after="120"/>
              <w:jc w:val="center"/>
              <w:rPr>
                <w:rFonts w:ascii="Times New Roman" w:eastAsia="Times New Roman" w:hAnsi="Times New Roman"/>
                <w:lang w:eastAsia="lv-LV"/>
              </w:rPr>
            </w:pPr>
            <w:r w:rsidRPr="007F05FB">
              <w:rPr>
                <w:rFonts w:ascii="Times New Roman" w:eastAsia="Times New Roman" w:hAnsi="Times New Roman"/>
                <w:lang w:eastAsia="lv-LV"/>
              </w:rPr>
              <w:t xml:space="preserve">Kopā nepieciešamais finansējums </w:t>
            </w:r>
            <w:r>
              <w:rPr>
                <w:rFonts w:ascii="Times New Roman" w:eastAsia="Times New Roman" w:hAnsi="Times New Roman"/>
                <w:lang w:eastAsia="lv-LV"/>
              </w:rPr>
              <w:t xml:space="preserve">no </w:t>
            </w:r>
            <w:r w:rsidRPr="007F05FB">
              <w:rPr>
                <w:rFonts w:ascii="Times New Roman" w:eastAsia="Times New Roman" w:hAnsi="Times New Roman"/>
                <w:lang w:eastAsia="lv-LV"/>
              </w:rPr>
              <w:t>2019.gada</w:t>
            </w:r>
            <w:r w:rsidR="009F1205">
              <w:rPr>
                <w:rFonts w:ascii="Times New Roman" w:eastAsia="Times New Roman" w:hAnsi="Times New Roman"/>
                <w:lang w:eastAsia="lv-LV"/>
              </w:rPr>
              <w:t xml:space="preserve"> 1.aprīļa</w:t>
            </w:r>
            <w:r w:rsidRPr="007F05FB">
              <w:rPr>
                <w:rFonts w:ascii="Times New Roman" w:eastAsia="Times New Roman" w:hAnsi="Times New Roman"/>
                <w:lang w:eastAsia="lv-LV"/>
              </w:rPr>
              <w:t xml:space="preserve"> </w:t>
            </w:r>
            <w:r w:rsidRPr="007F05FB">
              <w:rPr>
                <w:rFonts w:ascii="Times New Roman" w:eastAsia="Times New Roman" w:hAnsi="Times New Roman"/>
                <w:i/>
                <w:lang w:eastAsia="lv-LV"/>
              </w:rPr>
              <w:t>euro</w:t>
            </w:r>
          </w:p>
        </w:tc>
        <w:tc>
          <w:tcPr>
            <w:tcW w:w="1593" w:type="dxa"/>
            <w:shd w:val="clear" w:color="auto" w:fill="E36C0A" w:themeFill="accent6" w:themeFillShade="BF"/>
          </w:tcPr>
          <w:p w14:paraId="0EFFEA5F" w14:textId="3BF545D9" w:rsidR="0030570A" w:rsidRPr="00226ACA"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 xml:space="preserve">Kopā nepieciešamais finansējums 2019.gadam </w:t>
            </w:r>
            <w:r w:rsidRPr="00226ACA">
              <w:rPr>
                <w:rFonts w:ascii="Times New Roman" w:eastAsia="Times New Roman" w:hAnsi="Times New Roman"/>
                <w:i/>
                <w:lang w:eastAsia="lv-LV"/>
              </w:rPr>
              <w:t>euro</w:t>
            </w:r>
          </w:p>
        </w:tc>
      </w:tr>
      <w:tr w:rsidR="0030570A" w14:paraId="150D06C0" w14:textId="77777777" w:rsidTr="00E93259">
        <w:trPr>
          <w:jc w:val="center"/>
        </w:trPr>
        <w:tc>
          <w:tcPr>
            <w:tcW w:w="770" w:type="dxa"/>
            <w:shd w:val="clear" w:color="auto" w:fill="FABF8F" w:themeFill="accent6" w:themeFillTint="99"/>
            <w:vAlign w:val="center"/>
          </w:tcPr>
          <w:p w14:paraId="3EC1D89E" w14:textId="77777777" w:rsidR="0030570A" w:rsidRPr="007F05FB"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1</w:t>
            </w:r>
          </w:p>
        </w:tc>
        <w:tc>
          <w:tcPr>
            <w:tcW w:w="1959" w:type="dxa"/>
            <w:shd w:val="clear" w:color="auto" w:fill="FABF8F" w:themeFill="accent6" w:themeFillTint="99"/>
            <w:vAlign w:val="center"/>
          </w:tcPr>
          <w:p w14:paraId="2DA00B14" w14:textId="77777777" w:rsidR="0030570A" w:rsidRPr="007F05FB"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2</w:t>
            </w:r>
          </w:p>
        </w:tc>
        <w:tc>
          <w:tcPr>
            <w:tcW w:w="1497" w:type="dxa"/>
            <w:shd w:val="clear" w:color="auto" w:fill="FABF8F" w:themeFill="accent6" w:themeFillTint="99"/>
            <w:vAlign w:val="center"/>
          </w:tcPr>
          <w:p w14:paraId="6FD5C465" w14:textId="77777777" w:rsidR="0030570A" w:rsidRPr="007F05FB"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3</w:t>
            </w:r>
          </w:p>
        </w:tc>
        <w:tc>
          <w:tcPr>
            <w:tcW w:w="898" w:type="dxa"/>
            <w:shd w:val="clear" w:color="auto" w:fill="FABF8F" w:themeFill="accent6" w:themeFillTint="99"/>
          </w:tcPr>
          <w:p w14:paraId="05257CFD" w14:textId="16149092" w:rsidR="0030570A" w:rsidRPr="00B30CF8" w:rsidRDefault="004A491F" w:rsidP="009D2311">
            <w:pPr>
              <w:spacing w:after="120"/>
              <w:jc w:val="center"/>
              <w:rPr>
                <w:rFonts w:ascii="Times New Roman" w:eastAsia="Times New Roman" w:hAnsi="Times New Roman"/>
                <w:lang w:eastAsia="lv-LV"/>
              </w:rPr>
            </w:pPr>
            <w:r>
              <w:rPr>
                <w:rFonts w:ascii="Times New Roman" w:eastAsia="Times New Roman" w:hAnsi="Times New Roman"/>
                <w:lang w:eastAsia="lv-LV"/>
              </w:rPr>
              <w:t>4</w:t>
            </w:r>
          </w:p>
        </w:tc>
        <w:tc>
          <w:tcPr>
            <w:tcW w:w="1199" w:type="dxa"/>
            <w:shd w:val="clear" w:color="auto" w:fill="FABF8F" w:themeFill="accent6" w:themeFillTint="99"/>
            <w:vAlign w:val="center"/>
          </w:tcPr>
          <w:p w14:paraId="76DC577D" w14:textId="194ED549" w:rsidR="0030570A" w:rsidRPr="007F05FB" w:rsidRDefault="004A491F" w:rsidP="009D2311">
            <w:pPr>
              <w:spacing w:after="120"/>
              <w:jc w:val="center"/>
              <w:rPr>
                <w:rFonts w:ascii="Times New Roman" w:eastAsia="Times New Roman" w:hAnsi="Times New Roman"/>
                <w:lang w:eastAsia="lv-LV"/>
              </w:rPr>
            </w:pPr>
            <w:r>
              <w:rPr>
                <w:rFonts w:ascii="Times New Roman" w:eastAsia="Times New Roman" w:hAnsi="Times New Roman"/>
                <w:lang w:eastAsia="lv-LV"/>
              </w:rPr>
              <w:t>5</w:t>
            </w:r>
          </w:p>
        </w:tc>
        <w:tc>
          <w:tcPr>
            <w:tcW w:w="1173" w:type="dxa"/>
            <w:shd w:val="clear" w:color="auto" w:fill="FABF8F" w:themeFill="accent6" w:themeFillTint="99"/>
          </w:tcPr>
          <w:p w14:paraId="562CFF0C" w14:textId="4877816C" w:rsidR="0030570A" w:rsidRPr="00B30CF8" w:rsidRDefault="004A491F" w:rsidP="009D2311">
            <w:pPr>
              <w:spacing w:after="120"/>
              <w:jc w:val="center"/>
              <w:rPr>
                <w:rFonts w:ascii="Times New Roman" w:eastAsia="Times New Roman" w:hAnsi="Times New Roman"/>
                <w:lang w:eastAsia="lv-LV"/>
              </w:rPr>
            </w:pPr>
            <w:r>
              <w:rPr>
                <w:rFonts w:ascii="Times New Roman" w:eastAsia="Times New Roman" w:hAnsi="Times New Roman"/>
                <w:lang w:eastAsia="lv-LV"/>
              </w:rPr>
              <w:t>6</w:t>
            </w:r>
            <w:r w:rsidR="007E6F91">
              <w:rPr>
                <w:rFonts w:ascii="Times New Roman" w:eastAsia="Times New Roman" w:hAnsi="Times New Roman"/>
                <w:lang w:eastAsia="lv-LV"/>
              </w:rPr>
              <w:t>=4*5</w:t>
            </w:r>
          </w:p>
        </w:tc>
        <w:tc>
          <w:tcPr>
            <w:tcW w:w="1593" w:type="dxa"/>
            <w:shd w:val="clear" w:color="auto" w:fill="FABF8F" w:themeFill="accent6" w:themeFillTint="99"/>
          </w:tcPr>
          <w:p w14:paraId="7E155FE6" w14:textId="25441DD7" w:rsidR="0030570A" w:rsidRPr="00B30CF8" w:rsidRDefault="004A491F" w:rsidP="009D2311">
            <w:pPr>
              <w:spacing w:after="120"/>
              <w:jc w:val="center"/>
              <w:rPr>
                <w:rFonts w:ascii="Times New Roman" w:eastAsia="Times New Roman" w:hAnsi="Times New Roman"/>
                <w:lang w:eastAsia="lv-LV"/>
              </w:rPr>
            </w:pPr>
            <w:r>
              <w:rPr>
                <w:rFonts w:ascii="Times New Roman" w:eastAsia="Times New Roman" w:hAnsi="Times New Roman"/>
                <w:lang w:eastAsia="lv-LV"/>
              </w:rPr>
              <w:t>7</w:t>
            </w:r>
            <w:r w:rsidR="0030570A" w:rsidRPr="00B30CF8">
              <w:rPr>
                <w:rFonts w:ascii="Times New Roman" w:eastAsia="Times New Roman" w:hAnsi="Times New Roman"/>
                <w:lang w:eastAsia="lv-LV"/>
              </w:rPr>
              <w:t>=</w:t>
            </w:r>
            <w:r w:rsidR="007E6F91">
              <w:rPr>
                <w:rFonts w:ascii="Times New Roman" w:eastAsia="Times New Roman" w:hAnsi="Times New Roman"/>
                <w:lang w:eastAsia="lv-LV"/>
              </w:rPr>
              <w:t>3</w:t>
            </w:r>
            <w:r w:rsidR="0030570A" w:rsidRPr="00B30CF8">
              <w:rPr>
                <w:rFonts w:ascii="Times New Roman" w:eastAsia="Times New Roman" w:hAnsi="Times New Roman"/>
                <w:lang w:eastAsia="lv-LV"/>
              </w:rPr>
              <w:t>*</w:t>
            </w:r>
            <w:r>
              <w:rPr>
                <w:rFonts w:ascii="Times New Roman" w:eastAsia="Times New Roman" w:hAnsi="Times New Roman"/>
                <w:lang w:eastAsia="lv-LV"/>
              </w:rPr>
              <w:t>5</w:t>
            </w:r>
          </w:p>
        </w:tc>
      </w:tr>
      <w:tr w:rsidR="0030570A" w14:paraId="59FD80CF" w14:textId="77777777" w:rsidTr="00E93259">
        <w:trPr>
          <w:jc w:val="center"/>
        </w:trPr>
        <w:tc>
          <w:tcPr>
            <w:tcW w:w="770" w:type="dxa"/>
            <w:vAlign w:val="center"/>
          </w:tcPr>
          <w:p w14:paraId="2FC8A188" w14:textId="77777777" w:rsidR="0030570A" w:rsidRPr="007F05FB" w:rsidRDefault="0030570A"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1103</w:t>
            </w:r>
            <w:r>
              <w:rPr>
                <w:rFonts w:ascii="Times New Roman" w:eastAsia="Times New Roman" w:hAnsi="Times New Roman"/>
                <w:lang w:eastAsia="lv-LV"/>
              </w:rPr>
              <w:t>1</w:t>
            </w:r>
          </w:p>
        </w:tc>
        <w:tc>
          <w:tcPr>
            <w:tcW w:w="1959" w:type="dxa"/>
            <w:vAlign w:val="center"/>
          </w:tcPr>
          <w:p w14:paraId="3EE9B792" w14:textId="77777777" w:rsidR="0030570A" w:rsidRPr="00B30CF8" w:rsidRDefault="0030570A" w:rsidP="009D2311">
            <w:pPr>
              <w:jc w:val="both"/>
              <w:rPr>
                <w:rFonts w:ascii="Times New Roman" w:hAnsi="Times New Roman"/>
              </w:rPr>
            </w:pPr>
            <w:r w:rsidRPr="007F05FB">
              <w:rPr>
                <w:rFonts w:ascii="Times New Roman" w:hAnsi="Times New Roman"/>
              </w:rPr>
              <w:t>Pirmreizēja vai atkārtota hronisko sāpju dinamiskā aprūpe (neuzrāda kopā ar manipulāciju 11030)</w:t>
            </w:r>
          </w:p>
        </w:tc>
        <w:tc>
          <w:tcPr>
            <w:tcW w:w="1497" w:type="dxa"/>
            <w:vAlign w:val="center"/>
          </w:tcPr>
          <w:p w14:paraId="27343BB9" w14:textId="413997CC" w:rsidR="0030570A" w:rsidRPr="007F05FB" w:rsidRDefault="005804B6" w:rsidP="009D2311">
            <w:pPr>
              <w:spacing w:after="120"/>
              <w:jc w:val="center"/>
              <w:rPr>
                <w:rFonts w:ascii="Times New Roman" w:eastAsia="Times New Roman" w:hAnsi="Times New Roman"/>
                <w:lang w:eastAsia="lv-LV"/>
              </w:rPr>
            </w:pPr>
            <w:r>
              <w:rPr>
                <w:rFonts w:ascii="Times New Roman" w:eastAsia="Times New Roman" w:hAnsi="Times New Roman"/>
                <w:b/>
                <w:bCs/>
                <w:lang w:eastAsia="lv-LV"/>
              </w:rPr>
              <w:t>9 000</w:t>
            </w:r>
          </w:p>
        </w:tc>
        <w:tc>
          <w:tcPr>
            <w:tcW w:w="898" w:type="dxa"/>
            <w:vAlign w:val="center"/>
          </w:tcPr>
          <w:p w14:paraId="3AFDAA2E" w14:textId="5DC97EDB" w:rsidR="0030570A" w:rsidRPr="00B30CF8" w:rsidRDefault="004A491F" w:rsidP="009D2311">
            <w:pPr>
              <w:jc w:val="center"/>
              <w:rPr>
                <w:rFonts w:ascii="Times New Roman" w:hAnsi="Times New Roman"/>
                <w:b/>
                <w:bCs/>
              </w:rPr>
            </w:pPr>
            <w:r>
              <w:rPr>
                <w:rFonts w:ascii="Times New Roman" w:hAnsi="Times New Roman"/>
                <w:b/>
                <w:bCs/>
              </w:rPr>
              <w:t>6 750</w:t>
            </w:r>
          </w:p>
        </w:tc>
        <w:tc>
          <w:tcPr>
            <w:tcW w:w="1199" w:type="dxa"/>
            <w:vAlign w:val="center"/>
          </w:tcPr>
          <w:p w14:paraId="19E40053" w14:textId="0A38AAD0" w:rsidR="0030570A" w:rsidRPr="00B30CF8" w:rsidRDefault="0030570A" w:rsidP="009D2311">
            <w:pPr>
              <w:jc w:val="center"/>
              <w:rPr>
                <w:rFonts w:ascii="Times New Roman" w:hAnsi="Times New Roman"/>
                <w:b/>
                <w:bCs/>
              </w:rPr>
            </w:pPr>
            <w:r w:rsidRPr="00B30CF8">
              <w:rPr>
                <w:rFonts w:ascii="Times New Roman" w:hAnsi="Times New Roman"/>
                <w:b/>
                <w:bCs/>
              </w:rPr>
              <w:t>15.08</w:t>
            </w:r>
          </w:p>
        </w:tc>
        <w:tc>
          <w:tcPr>
            <w:tcW w:w="1173" w:type="dxa"/>
            <w:vAlign w:val="center"/>
          </w:tcPr>
          <w:p w14:paraId="40EF40B0" w14:textId="2A857AEC" w:rsidR="0030570A" w:rsidRDefault="004A491F" w:rsidP="009D2311">
            <w:pPr>
              <w:spacing w:after="120"/>
              <w:jc w:val="center"/>
              <w:rPr>
                <w:rFonts w:ascii="Times New Roman" w:eastAsia="Times New Roman" w:hAnsi="Times New Roman"/>
                <w:lang w:eastAsia="lv-LV"/>
              </w:rPr>
            </w:pPr>
            <w:r>
              <w:rPr>
                <w:rFonts w:ascii="Times New Roman" w:eastAsia="Times New Roman" w:hAnsi="Times New Roman"/>
                <w:lang w:eastAsia="lv-LV"/>
              </w:rPr>
              <w:t>101 790</w:t>
            </w:r>
          </w:p>
        </w:tc>
        <w:tc>
          <w:tcPr>
            <w:tcW w:w="1593" w:type="dxa"/>
            <w:vAlign w:val="center"/>
          </w:tcPr>
          <w:p w14:paraId="5AED3B01" w14:textId="59814D04" w:rsidR="0030570A" w:rsidRPr="00226ACA" w:rsidRDefault="005804B6" w:rsidP="009D2311">
            <w:pPr>
              <w:spacing w:after="120"/>
              <w:jc w:val="center"/>
              <w:rPr>
                <w:rFonts w:ascii="Times New Roman" w:eastAsia="Times New Roman" w:hAnsi="Times New Roman"/>
                <w:lang w:eastAsia="lv-LV"/>
              </w:rPr>
            </w:pPr>
            <w:r>
              <w:rPr>
                <w:rFonts w:ascii="Times New Roman" w:eastAsia="Times New Roman" w:hAnsi="Times New Roman"/>
                <w:lang w:eastAsia="lv-LV"/>
              </w:rPr>
              <w:t>135 720</w:t>
            </w:r>
          </w:p>
        </w:tc>
      </w:tr>
    </w:tbl>
    <w:p w14:paraId="2DA28CC6" w14:textId="3E5DEA13" w:rsidR="001E7BED" w:rsidRDefault="001E7BED" w:rsidP="00D11480">
      <w:pPr>
        <w:spacing w:after="0" w:line="240" w:lineRule="auto"/>
        <w:jc w:val="both"/>
        <w:rPr>
          <w:rFonts w:ascii="Times New Roman" w:eastAsia="Times New Roman" w:hAnsi="Times New Roman" w:cs="Times New Roman"/>
          <w:sz w:val="24"/>
          <w:szCs w:val="24"/>
          <w:lang w:eastAsia="lv-LV"/>
        </w:rPr>
      </w:pPr>
    </w:p>
    <w:p w14:paraId="05AD1410" w14:textId="67A85157" w:rsidR="001E7BED" w:rsidRDefault="001E7BED" w:rsidP="001E7BED">
      <w:pPr>
        <w:spacing w:after="0" w:line="240" w:lineRule="auto"/>
        <w:jc w:val="both"/>
        <w:rPr>
          <w:rFonts w:ascii="Times New Roman" w:eastAsia="Times New Roman" w:hAnsi="Times New Roman" w:cs="Times New Roman"/>
          <w:b/>
          <w:bCs/>
          <w:sz w:val="24"/>
          <w:szCs w:val="24"/>
          <w:lang w:eastAsia="lv-LV"/>
        </w:rPr>
      </w:pPr>
      <w:r w:rsidRPr="001E7BED">
        <w:rPr>
          <w:rFonts w:ascii="Times New Roman" w:eastAsia="Times New Roman" w:hAnsi="Times New Roman" w:cs="Times New Roman"/>
          <w:b/>
          <w:bCs/>
          <w:sz w:val="24"/>
          <w:szCs w:val="24"/>
          <w:lang w:eastAsia="lv-LV"/>
        </w:rPr>
        <w:t>Specializēts konsīlijs sāpju pacienta aprūpei</w:t>
      </w:r>
    </w:p>
    <w:p w14:paraId="3F457336" w14:textId="77777777" w:rsidR="00D0633A" w:rsidRPr="001E7BED" w:rsidRDefault="00D0633A" w:rsidP="001E7BED">
      <w:pPr>
        <w:spacing w:after="0" w:line="240" w:lineRule="auto"/>
        <w:jc w:val="both"/>
        <w:rPr>
          <w:rFonts w:ascii="Times New Roman" w:eastAsia="Times New Roman" w:hAnsi="Times New Roman" w:cs="Times New Roman"/>
          <w:b/>
          <w:bCs/>
          <w:sz w:val="24"/>
          <w:szCs w:val="24"/>
          <w:lang w:eastAsia="lv-LV"/>
        </w:rPr>
      </w:pPr>
    </w:p>
    <w:p w14:paraId="43453237" w14:textId="05F928F5" w:rsidR="001E7BED" w:rsidRDefault="001E7BED" w:rsidP="00FF02DA">
      <w:pPr>
        <w:spacing w:after="120"/>
        <w:ind w:firstLine="720"/>
        <w:jc w:val="both"/>
        <w:rPr>
          <w:rFonts w:ascii="Times New Roman" w:eastAsia="Times New Roman" w:hAnsi="Times New Roman" w:cs="Times New Roman"/>
          <w:sz w:val="24"/>
          <w:szCs w:val="24"/>
          <w:lang w:eastAsia="lv-LV"/>
        </w:rPr>
      </w:pPr>
      <w:r w:rsidRPr="001E7BED">
        <w:rPr>
          <w:rFonts w:ascii="Times New Roman" w:eastAsia="Times New Roman" w:hAnsi="Times New Roman" w:cs="Times New Roman"/>
          <w:sz w:val="24"/>
          <w:szCs w:val="24"/>
          <w:lang w:eastAsia="lv-LV"/>
        </w:rPr>
        <w:t>Sāpes ir sarežģīts bipsihosocāls fenomens. Tās ir signāls par bojājumu, traucējumiem organismā - patoloģijas (slimības, traumas) simptoms, vienlaikus jebkurā situācijā (akūtas vai hroniskas) sāpes ir negatīvas emocijas un ciešanas, kas izraisa atbilstošu cietēja reakciju jeb sāpju uzvedību. Ja akūto sāpju gadījumā parasti dominē to bioloģiskās brīdinošās signālsistēmas loma, tad hroniskas sāpes bieži ir saistītas ar izmaiņām sāpju uztveres un vadīšanas sistēmās, un tās var kļūt par specifisku veselības problēmu un patstāvīgu slimību (EFIC Deklarācija, 2001) ar sekojošām biopsihosociālām izmaiņām, fiziskiem un psihoemocionāliem traucējumiem. Līdz ar to nereti ir grūti atšķirt fiziskos, emocionālos un psihosociālos sāpju fenomenus, turklāt iespējamas arī vairāku faktoru kombinācijas. Daudzkārt nepieciešama multimodāla terapija, ietverot racionālu farmakoterapiju, psihoterapiju, fizikālo un fizioterapiju, kā arī invazīvās metodes un sāpju ķirurģiju. Lai izšķirtu sarežģītus un neskaidrus sāpju stāvokļus, atrastu pacientam drošāko un efektīvāko sāpju remdēšanas veidu, atsevišķos sarežģītos gadījumos ir nepieciešama vairāku speciālistu vienlaicīga piedalīšanās jeb konsīlijs, kas veic kompleksu pacienta stāvokļa, iepriekšējās ārstēšanas un psihoemocionālo riska faktoru analīzi ar mērķi samazināt sāpju izraisītos traucējumus un uzlabot pacienta dzīves kvalitāti. Rezultātā palielinātos to pacientu skaitu, kuri spēj atgriezties aktīvā dzīvē un darbā."</w:t>
      </w:r>
    </w:p>
    <w:p w14:paraId="55EC1098" w14:textId="5BF2038D" w:rsidR="00B27B30" w:rsidRPr="00D11480" w:rsidRDefault="00E413EF" w:rsidP="00D11480">
      <w:pPr>
        <w:spacing w:before="240" w:after="1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Specializēts konsīlijs nepieciešams p</w:t>
      </w:r>
      <w:r w:rsidR="004E26CB" w:rsidRPr="001E7BED">
        <w:rPr>
          <w:rFonts w:ascii="Times New Roman" w:eastAsia="Times New Roman" w:hAnsi="Times New Roman" w:cs="Times New Roman"/>
          <w:sz w:val="24"/>
          <w:szCs w:val="24"/>
          <w:lang w:eastAsia="lv-LV"/>
        </w:rPr>
        <w:t>acienti</w:t>
      </w:r>
      <w:r>
        <w:rPr>
          <w:rFonts w:ascii="Times New Roman" w:eastAsia="Times New Roman" w:hAnsi="Times New Roman" w:cs="Times New Roman"/>
          <w:sz w:val="24"/>
          <w:szCs w:val="24"/>
          <w:lang w:eastAsia="lv-LV"/>
        </w:rPr>
        <w:t>em</w:t>
      </w:r>
      <w:r w:rsidR="004E26CB" w:rsidRPr="001E7BED">
        <w:rPr>
          <w:rFonts w:ascii="Times New Roman" w:eastAsia="Times New Roman" w:hAnsi="Times New Roman" w:cs="Times New Roman"/>
          <w:sz w:val="24"/>
          <w:szCs w:val="24"/>
          <w:lang w:eastAsia="lv-LV"/>
        </w:rPr>
        <w:t xml:space="preserve"> ar jebkuras ģenēzes akūtām vai hroniskām sāpēm, kuru aprūpē pastāv neskaidras diagnozes, novērtējuma vai sāpju terapijas problēmas, kuriem nepieciešama specifiska multimodāla terapija vai tās korekcija, kā arī pacienti, kuriem jāizvērtē indikācijas specifiskai invazīvai ārstēšanai</w:t>
      </w:r>
      <w:r w:rsidR="004D0D7B">
        <w:rPr>
          <w:rFonts w:ascii="Times New Roman" w:eastAsia="Times New Roman" w:hAnsi="Times New Roman" w:cs="Times New Roman"/>
          <w:sz w:val="24"/>
          <w:szCs w:val="24"/>
          <w:lang w:eastAsia="lv-LV"/>
        </w:rPr>
        <w:t xml:space="preserve"> </w:t>
      </w:r>
      <w:r w:rsidR="004D0D7B" w:rsidRPr="00A31E26">
        <w:rPr>
          <w:rFonts w:ascii="Times New Roman" w:eastAsia="Times New Roman" w:hAnsi="Times New Roman" w:cs="Times New Roman"/>
          <w:sz w:val="24"/>
          <w:szCs w:val="24"/>
          <w:lang w:eastAsia="lv-LV"/>
        </w:rPr>
        <w:t>(</w:t>
      </w:r>
      <w:r w:rsidR="00073137">
        <w:rPr>
          <w:rFonts w:ascii="Times New Roman" w:eastAsia="Times New Roman" w:hAnsi="Times New Roman" w:cs="Times New Roman"/>
          <w:sz w:val="24"/>
          <w:szCs w:val="24"/>
          <w:lang w:eastAsia="lv-LV"/>
        </w:rPr>
        <w:t>2</w:t>
      </w:r>
      <w:r w:rsidR="00DE14BB">
        <w:rPr>
          <w:rFonts w:ascii="Times New Roman" w:eastAsia="Times New Roman" w:hAnsi="Times New Roman" w:cs="Times New Roman"/>
          <w:sz w:val="24"/>
          <w:szCs w:val="24"/>
          <w:lang w:eastAsia="lv-LV"/>
        </w:rPr>
        <w:t>3</w:t>
      </w:r>
      <w:r w:rsidR="004D0D7B" w:rsidRPr="00A31E26">
        <w:rPr>
          <w:rFonts w:ascii="Times New Roman" w:eastAsia="Times New Roman" w:hAnsi="Times New Roman" w:cs="Times New Roman"/>
          <w:sz w:val="24"/>
          <w:szCs w:val="24"/>
          <w:lang w:eastAsia="lv-LV"/>
        </w:rPr>
        <w:t>.tabula)</w:t>
      </w:r>
      <w:r w:rsidR="004E26CB" w:rsidRPr="00A31E26">
        <w:rPr>
          <w:rFonts w:ascii="Times New Roman" w:eastAsia="Times New Roman" w:hAnsi="Times New Roman" w:cs="Times New Roman"/>
          <w:sz w:val="24"/>
          <w:szCs w:val="24"/>
          <w:lang w:eastAsia="lv-LV"/>
        </w:rPr>
        <w:t xml:space="preserve"> (</w:t>
      </w:r>
      <w:r w:rsidR="004E26CB" w:rsidRPr="001E7BED">
        <w:rPr>
          <w:rFonts w:ascii="Times New Roman" w:eastAsia="Times New Roman" w:hAnsi="Times New Roman" w:cs="Times New Roman"/>
          <w:sz w:val="24"/>
          <w:szCs w:val="24"/>
          <w:lang w:eastAsia="lv-LV"/>
        </w:rPr>
        <w:t>piemēram, galvas vai muguras smadzeņu stimulācija, intratekālo medikame</w:t>
      </w:r>
      <w:r w:rsidR="00FF02DA">
        <w:rPr>
          <w:rFonts w:ascii="Times New Roman" w:eastAsia="Times New Roman" w:hAnsi="Times New Roman" w:cs="Times New Roman"/>
          <w:sz w:val="24"/>
          <w:szCs w:val="24"/>
          <w:lang w:eastAsia="lv-LV"/>
        </w:rPr>
        <w:t>ntu sistēmu pielietošana u.c.)</w:t>
      </w:r>
      <w:r>
        <w:rPr>
          <w:rFonts w:ascii="Times New Roman" w:eastAsia="Times New Roman" w:hAnsi="Times New Roman" w:cs="Times New Roman"/>
          <w:sz w:val="24"/>
          <w:szCs w:val="24"/>
          <w:lang w:eastAsia="lv-LV"/>
        </w:rPr>
        <w:t xml:space="preserve"> (</w:t>
      </w:r>
      <w:r w:rsidRPr="001E7BED">
        <w:rPr>
          <w:rFonts w:ascii="Times New Roman" w:eastAsia="Times New Roman" w:hAnsi="Times New Roman" w:cs="Times New Roman"/>
          <w:sz w:val="24"/>
          <w:szCs w:val="24"/>
          <w:lang w:eastAsia="lv-LV"/>
        </w:rPr>
        <w:t>Manipulācija- 11032</w:t>
      </w:r>
      <w:r>
        <w:rPr>
          <w:rFonts w:ascii="Times New Roman" w:eastAsia="Times New Roman" w:hAnsi="Times New Roman" w:cs="Times New Roman"/>
          <w:sz w:val="24"/>
          <w:szCs w:val="24"/>
          <w:lang w:eastAsia="lv-LV"/>
        </w:rPr>
        <w:t>)</w:t>
      </w:r>
      <w:r w:rsidR="00FF02DA">
        <w:rPr>
          <w:rFonts w:ascii="Times New Roman" w:eastAsia="Times New Roman" w:hAnsi="Times New Roman" w:cs="Times New Roman"/>
          <w:sz w:val="24"/>
          <w:szCs w:val="24"/>
          <w:lang w:eastAsia="lv-LV"/>
        </w:rPr>
        <w:t>.</w:t>
      </w:r>
    </w:p>
    <w:p w14:paraId="233905F3" w14:textId="6DB1B7FB" w:rsidR="00340FC4" w:rsidRPr="00E93259" w:rsidRDefault="00073137" w:rsidP="00E93259">
      <w:pPr>
        <w:spacing w:before="240" w:after="120"/>
        <w:ind w:firstLine="720"/>
        <w:jc w:val="right"/>
        <w:rPr>
          <w:rFonts w:ascii="Times New Roman" w:eastAsia="Times New Roman" w:hAnsi="Times New Roman" w:cs="Times New Roman"/>
          <w:i/>
          <w:iCs/>
          <w:sz w:val="24"/>
          <w:szCs w:val="24"/>
          <w:lang w:eastAsia="lv-LV"/>
        </w:rPr>
      </w:pPr>
      <w:r w:rsidRPr="001E4659">
        <w:rPr>
          <w:rFonts w:ascii="Times New Roman" w:eastAsia="Times New Roman" w:hAnsi="Times New Roman" w:cs="Times New Roman"/>
          <w:i/>
          <w:iCs/>
          <w:sz w:val="24"/>
          <w:szCs w:val="24"/>
          <w:lang w:eastAsia="lv-LV"/>
        </w:rPr>
        <w:lastRenderedPageBreak/>
        <w:t>2</w:t>
      </w:r>
      <w:r w:rsidR="00DE14BB">
        <w:rPr>
          <w:rFonts w:ascii="Times New Roman" w:eastAsia="Times New Roman" w:hAnsi="Times New Roman" w:cs="Times New Roman"/>
          <w:i/>
          <w:iCs/>
          <w:sz w:val="24"/>
          <w:szCs w:val="24"/>
          <w:lang w:eastAsia="lv-LV"/>
        </w:rPr>
        <w:t>3</w:t>
      </w:r>
      <w:r w:rsidR="00340FC4" w:rsidRPr="001E4659">
        <w:rPr>
          <w:rFonts w:ascii="Times New Roman" w:eastAsia="Times New Roman" w:hAnsi="Times New Roman" w:cs="Times New Roman"/>
          <w:i/>
          <w:iCs/>
          <w:sz w:val="24"/>
          <w:szCs w:val="24"/>
          <w:lang w:eastAsia="lv-LV"/>
        </w:rPr>
        <w:t>.tabula</w:t>
      </w:r>
    </w:p>
    <w:p w14:paraId="06A92E4E" w14:textId="36BD9B98" w:rsidR="00F573C8" w:rsidRPr="00A86595" w:rsidRDefault="00F573C8" w:rsidP="00A8659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Specializēta konsīlija</w:t>
      </w:r>
      <w:r w:rsidRPr="001E7BED">
        <w:rPr>
          <w:rFonts w:ascii="Times New Roman" w:eastAsia="Times New Roman" w:hAnsi="Times New Roman" w:cs="Times New Roman"/>
          <w:b/>
          <w:bCs/>
          <w:sz w:val="24"/>
          <w:szCs w:val="24"/>
          <w:lang w:eastAsia="lv-LV"/>
        </w:rPr>
        <w:t xml:space="preserve"> sāpju pacienta aprūpei</w:t>
      </w:r>
      <w:r>
        <w:rPr>
          <w:rFonts w:ascii="Times New Roman" w:eastAsia="Times New Roman" w:hAnsi="Times New Roman" w:cs="Times New Roman"/>
          <w:b/>
          <w:bCs/>
          <w:sz w:val="24"/>
          <w:szCs w:val="24"/>
          <w:lang w:eastAsia="lv-LV"/>
        </w:rPr>
        <w:t xml:space="preserve"> nepieciešamais finansējums 2019.gadam</w:t>
      </w:r>
    </w:p>
    <w:p w14:paraId="2306DFCD" w14:textId="77777777" w:rsidR="00F573C8" w:rsidRPr="00A86595" w:rsidRDefault="00F573C8" w:rsidP="00A86595">
      <w:pPr>
        <w:spacing w:after="0" w:line="240" w:lineRule="auto"/>
        <w:jc w:val="both"/>
        <w:rPr>
          <w:rFonts w:ascii="Times New Roman" w:eastAsia="Times New Roman" w:hAnsi="Times New Roman" w:cs="Times New Roman"/>
          <w:b/>
          <w:bCs/>
          <w:sz w:val="24"/>
          <w:szCs w:val="24"/>
          <w:lang w:eastAsia="lv-LV"/>
        </w:rPr>
      </w:pPr>
    </w:p>
    <w:tbl>
      <w:tblPr>
        <w:tblStyle w:val="TableGrid"/>
        <w:tblW w:w="0" w:type="auto"/>
        <w:jc w:val="center"/>
        <w:tblLook w:val="04A0" w:firstRow="1" w:lastRow="0" w:firstColumn="1" w:lastColumn="0" w:noHBand="0" w:noVBand="1"/>
      </w:tblPr>
      <w:tblGrid>
        <w:gridCol w:w="784"/>
        <w:gridCol w:w="1676"/>
        <w:gridCol w:w="1401"/>
        <w:gridCol w:w="1261"/>
        <w:gridCol w:w="1014"/>
        <w:gridCol w:w="1427"/>
        <w:gridCol w:w="1526"/>
      </w:tblGrid>
      <w:tr w:rsidR="005804B6" w14:paraId="16BBA3B9" w14:textId="77777777" w:rsidTr="00E93259">
        <w:trPr>
          <w:jc w:val="center"/>
        </w:trPr>
        <w:tc>
          <w:tcPr>
            <w:tcW w:w="830" w:type="dxa"/>
            <w:shd w:val="clear" w:color="auto" w:fill="E36C0A" w:themeFill="accent6" w:themeFillShade="BF"/>
            <w:vAlign w:val="center"/>
          </w:tcPr>
          <w:p w14:paraId="5BA4066F" w14:textId="77777777" w:rsidR="005804B6" w:rsidRPr="007F05FB"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Kods</w:t>
            </w:r>
          </w:p>
        </w:tc>
        <w:tc>
          <w:tcPr>
            <w:tcW w:w="1899" w:type="dxa"/>
            <w:shd w:val="clear" w:color="auto" w:fill="E36C0A" w:themeFill="accent6" w:themeFillShade="BF"/>
            <w:vAlign w:val="center"/>
          </w:tcPr>
          <w:p w14:paraId="3E97BE52" w14:textId="77777777" w:rsidR="005804B6" w:rsidRPr="007F05FB"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Manipulācijas nosaukums</w:t>
            </w:r>
          </w:p>
        </w:tc>
        <w:tc>
          <w:tcPr>
            <w:tcW w:w="1497" w:type="dxa"/>
            <w:shd w:val="clear" w:color="auto" w:fill="E36C0A" w:themeFill="accent6" w:themeFillShade="BF"/>
            <w:vAlign w:val="center"/>
          </w:tcPr>
          <w:p w14:paraId="5E6D1C24" w14:textId="77777777" w:rsidR="005804B6" w:rsidRPr="007F05FB"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Plānotais manipulāciju skaits 2019.gadam</w:t>
            </w:r>
          </w:p>
        </w:tc>
        <w:tc>
          <w:tcPr>
            <w:tcW w:w="898" w:type="dxa"/>
            <w:shd w:val="clear" w:color="auto" w:fill="E36C0A" w:themeFill="accent6" w:themeFillShade="BF"/>
          </w:tcPr>
          <w:p w14:paraId="74DBE0D2" w14:textId="2D4E13DD" w:rsidR="005804B6" w:rsidRPr="00B30CF8" w:rsidRDefault="005804B6" w:rsidP="009D2311">
            <w:pPr>
              <w:jc w:val="center"/>
              <w:rPr>
                <w:rFonts w:ascii="Times New Roman" w:eastAsia="Times New Roman" w:hAnsi="Times New Roman"/>
                <w:lang w:eastAsia="lv-LV"/>
              </w:rPr>
            </w:pPr>
            <w:r w:rsidRPr="006B327A">
              <w:rPr>
                <w:rFonts w:ascii="Times New Roman" w:eastAsia="Times New Roman" w:hAnsi="Times New Roman"/>
                <w:lang w:eastAsia="lv-LV"/>
              </w:rPr>
              <w:t xml:space="preserve">Plānotais manipulāciju skaits </w:t>
            </w:r>
            <w:r>
              <w:rPr>
                <w:rFonts w:ascii="Times New Roman" w:eastAsia="Times New Roman" w:hAnsi="Times New Roman"/>
                <w:lang w:eastAsia="lv-LV"/>
              </w:rPr>
              <w:t xml:space="preserve">no 2019.gada 1.aprīļa </w:t>
            </w:r>
            <w:r w:rsidRPr="00A86595">
              <w:rPr>
                <w:rFonts w:ascii="Times New Roman" w:eastAsia="Times New Roman" w:hAnsi="Times New Roman"/>
                <w:i/>
                <w:lang w:eastAsia="lv-LV"/>
              </w:rPr>
              <w:t>euro</w:t>
            </w:r>
          </w:p>
        </w:tc>
        <w:tc>
          <w:tcPr>
            <w:tcW w:w="1199" w:type="dxa"/>
            <w:shd w:val="clear" w:color="auto" w:fill="E36C0A" w:themeFill="accent6" w:themeFillShade="BF"/>
            <w:vAlign w:val="center"/>
          </w:tcPr>
          <w:p w14:paraId="1ADD6E71" w14:textId="30EFA6B9" w:rsidR="005804B6" w:rsidRPr="00B30CF8" w:rsidRDefault="005804B6" w:rsidP="009D2311">
            <w:pPr>
              <w:jc w:val="center"/>
              <w:rPr>
                <w:rFonts w:ascii="Times New Roman" w:eastAsia="Times New Roman" w:hAnsi="Times New Roman"/>
                <w:lang w:eastAsia="lv-LV"/>
              </w:rPr>
            </w:pPr>
            <w:r w:rsidRPr="00B30CF8">
              <w:rPr>
                <w:rFonts w:ascii="Times New Roman" w:eastAsia="Times New Roman" w:hAnsi="Times New Roman"/>
                <w:lang w:eastAsia="lv-LV"/>
              </w:rPr>
              <w:t>Tarifs,</w:t>
            </w:r>
          </w:p>
          <w:p w14:paraId="3BE2A4F7" w14:textId="77777777" w:rsidR="005804B6" w:rsidRPr="007F05FB"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i/>
                <w:lang w:eastAsia="lv-LV"/>
              </w:rPr>
              <w:t>euro</w:t>
            </w:r>
          </w:p>
        </w:tc>
        <w:tc>
          <w:tcPr>
            <w:tcW w:w="1173" w:type="dxa"/>
            <w:shd w:val="clear" w:color="auto" w:fill="E36C0A" w:themeFill="accent6" w:themeFillShade="BF"/>
          </w:tcPr>
          <w:p w14:paraId="5753D789" w14:textId="258393EB" w:rsidR="005804B6" w:rsidRPr="00B30CF8" w:rsidRDefault="005804B6" w:rsidP="009D2311">
            <w:pPr>
              <w:spacing w:after="120"/>
              <w:jc w:val="center"/>
              <w:rPr>
                <w:rFonts w:ascii="Times New Roman" w:eastAsia="Times New Roman" w:hAnsi="Times New Roman"/>
                <w:lang w:eastAsia="lv-LV"/>
              </w:rPr>
            </w:pPr>
            <w:r w:rsidRPr="007F05FB">
              <w:rPr>
                <w:rFonts w:ascii="Times New Roman" w:eastAsia="Times New Roman" w:hAnsi="Times New Roman"/>
                <w:lang w:eastAsia="lv-LV"/>
              </w:rPr>
              <w:t xml:space="preserve">Kopā nepieciešamais finansējums </w:t>
            </w:r>
            <w:r>
              <w:rPr>
                <w:rFonts w:ascii="Times New Roman" w:eastAsia="Times New Roman" w:hAnsi="Times New Roman"/>
                <w:lang w:eastAsia="lv-LV"/>
              </w:rPr>
              <w:t xml:space="preserve">no </w:t>
            </w:r>
            <w:r w:rsidRPr="007F05FB">
              <w:rPr>
                <w:rFonts w:ascii="Times New Roman" w:eastAsia="Times New Roman" w:hAnsi="Times New Roman"/>
                <w:lang w:eastAsia="lv-LV"/>
              </w:rPr>
              <w:t>2019.gada</w:t>
            </w:r>
            <w:r>
              <w:rPr>
                <w:rFonts w:ascii="Times New Roman" w:eastAsia="Times New Roman" w:hAnsi="Times New Roman"/>
                <w:lang w:eastAsia="lv-LV"/>
              </w:rPr>
              <w:t xml:space="preserve"> 1.aprīlim</w:t>
            </w:r>
            <w:r w:rsidRPr="007F05FB">
              <w:rPr>
                <w:rFonts w:ascii="Times New Roman" w:eastAsia="Times New Roman" w:hAnsi="Times New Roman"/>
                <w:lang w:eastAsia="lv-LV"/>
              </w:rPr>
              <w:t xml:space="preserve"> </w:t>
            </w:r>
            <w:r w:rsidRPr="007F05FB">
              <w:rPr>
                <w:rFonts w:ascii="Times New Roman" w:eastAsia="Times New Roman" w:hAnsi="Times New Roman"/>
                <w:i/>
                <w:lang w:eastAsia="lv-LV"/>
              </w:rPr>
              <w:t>euro</w:t>
            </w:r>
          </w:p>
        </w:tc>
        <w:tc>
          <w:tcPr>
            <w:tcW w:w="1593" w:type="dxa"/>
            <w:shd w:val="clear" w:color="auto" w:fill="E36C0A" w:themeFill="accent6" w:themeFillShade="BF"/>
          </w:tcPr>
          <w:p w14:paraId="00DF6F40" w14:textId="525ACA0C" w:rsidR="005804B6" w:rsidRPr="00226ACA"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 xml:space="preserve">Kopā nepieciešamais finansējums </w:t>
            </w:r>
            <w:r w:rsidR="00716642">
              <w:rPr>
                <w:rFonts w:ascii="Times New Roman" w:eastAsia="Times New Roman" w:hAnsi="Times New Roman"/>
                <w:lang w:eastAsia="lv-LV"/>
              </w:rPr>
              <w:t>2019.</w:t>
            </w:r>
            <w:r w:rsidRPr="00B30CF8">
              <w:rPr>
                <w:rFonts w:ascii="Times New Roman" w:eastAsia="Times New Roman" w:hAnsi="Times New Roman"/>
                <w:lang w:eastAsia="lv-LV"/>
              </w:rPr>
              <w:t xml:space="preserve">gadam </w:t>
            </w:r>
            <w:r w:rsidRPr="00226ACA">
              <w:rPr>
                <w:rFonts w:ascii="Times New Roman" w:eastAsia="Times New Roman" w:hAnsi="Times New Roman"/>
                <w:i/>
                <w:lang w:eastAsia="lv-LV"/>
              </w:rPr>
              <w:t>euro</w:t>
            </w:r>
          </w:p>
        </w:tc>
      </w:tr>
      <w:tr w:rsidR="005804B6" w14:paraId="2F81E702" w14:textId="77777777" w:rsidTr="00E93259">
        <w:trPr>
          <w:jc w:val="center"/>
        </w:trPr>
        <w:tc>
          <w:tcPr>
            <w:tcW w:w="830" w:type="dxa"/>
            <w:shd w:val="clear" w:color="auto" w:fill="FABF8F" w:themeFill="accent6" w:themeFillTint="99"/>
            <w:vAlign w:val="center"/>
          </w:tcPr>
          <w:p w14:paraId="3784AFE6" w14:textId="77777777" w:rsidR="005804B6" w:rsidRPr="007F05FB"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1</w:t>
            </w:r>
          </w:p>
        </w:tc>
        <w:tc>
          <w:tcPr>
            <w:tcW w:w="1899" w:type="dxa"/>
            <w:shd w:val="clear" w:color="auto" w:fill="FABF8F" w:themeFill="accent6" w:themeFillTint="99"/>
            <w:vAlign w:val="center"/>
          </w:tcPr>
          <w:p w14:paraId="785CD8AA" w14:textId="77777777" w:rsidR="005804B6" w:rsidRPr="007F05FB"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2</w:t>
            </w:r>
          </w:p>
        </w:tc>
        <w:tc>
          <w:tcPr>
            <w:tcW w:w="1497" w:type="dxa"/>
            <w:shd w:val="clear" w:color="auto" w:fill="FABF8F" w:themeFill="accent6" w:themeFillTint="99"/>
            <w:vAlign w:val="center"/>
          </w:tcPr>
          <w:p w14:paraId="1CF0ECA5" w14:textId="77777777" w:rsidR="005804B6" w:rsidRPr="007F05FB"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3</w:t>
            </w:r>
          </w:p>
        </w:tc>
        <w:tc>
          <w:tcPr>
            <w:tcW w:w="898" w:type="dxa"/>
            <w:shd w:val="clear" w:color="auto" w:fill="FABF8F" w:themeFill="accent6" w:themeFillTint="99"/>
          </w:tcPr>
          <w:p w14:paraId="44BEDDB3" w14:textId="2403D3A3" w:rsidR="005804B6" w:rsidRPr="00B30CF8" w:rsidRDefault="005804B6" w:rsidP="009D2311">
            <w:pPr>
              <w:spacing w:after="120"/>
              <w:jc w:val="center"/>
              <w:rPr>
                <w:rFonts w:ascii="Times New Roman" w:eastAsia="Times New Roman" w:hAnsi="Times New Roman"/>
                <w:lang w:eastAsia="lv-LV"/>
              </w:rPr>
            </w:pPr>
            <w:r>
              <w:rPr>
                <w:rFonts w:ascii="Times New Roman" w:eastAsia="Times New Roman" w:hAnsi="Times New Roman"/>
                <w:lang w:eastAsia="lv-LV"/>
              </w:rPr>
              <w:t>4</w:t>
            </w:r>
          </w:p>
        </w:tc>
        <w:tc>
          <w:tcPr>
            <w:tcW w:w="1199" w:type="dxa"/>
            <w:shd w:val="clear" w:color="auto" w:fill="FABF8F" w:themeFill="accent6" w:themeFillTint="99"/>
            <w:vAlign w:val="center"/>
          </w:tcPr>
          <w:p w14:paraId="61B32538" w14:textId="64E8328F" w:rsidR="005804B6" w:rsidRPr="007F05FB" w:rsidRDefault="005804B6" w:rsidP="009D2311">
            <w:pPr>
              <w:spacing w:after="120"/>
              <w:jc w:val="center"/>
              <w:rPr>
                <w:rFonts w:ascii="Times New Roman" w:eastAsia="Times New Roman" w:hAnsi="Times New Roman"/>
                <w:lang w:eastAsia="lv-LV"/>
              </w:rPr>
            </w:pPr>
            <w:r>
              <w:rPr>
                <w:rFonts w:ascii="Times New Roman" w:eastAsia="Times New Roman" w:hAnsi="Times New Roman"/>
                <w:lang w:eastAsia="lv-LV"/>
              </w:rPr>
              <w:t>5</w:t>
            </w:r>
          </w:p>
        </w:tc>
        <w:tc>
          <w:tcPr>
            <w:tcW w:w="1173" w:type="dxa"/>
            <w:shd w:val="clear" w:color="auto" w:fill="FABF8F" w:themeFill="accent6" w:themeFillTint="99"/>
          </w:tcPr>
          <w:p w14:paraId="4E1EB178" w14:textId="07DD41C8" w:rsidR="005804B6" w:rsidRPr="00B30CF8" w:rsidRDefault="005804B6" w:rsidP="009D2311">
            <w:pPr>
              <w:spacing w:after="120"/>
              <w:jc w:val="center"/>
              <w:rPr>
                <w:rFonts w:ascii="Times New Roman" w:eastAsia="Times New Roman" w:hAnsi="Times New Roman"/>
                <w:lang w:eastAsia="lv-LV"/>
              </w:rPr>
            </w:pPr>
            <w:r>
              <w:rPr>
                <w:rFonts w:ascii="Times New Roman" w:eastAsia="Times New Roman" w:hAnsi="Times New Roman"/>
                <w:lang w:eastAsia="lv-LV"/>
              </w:rPr>
              <w:t>6=</w:t>
            </w:r>
            <w:r w:rsidR="007E6F91">
              <w:rPr>
                <w:rFonts w:ascii="Times New Roman" w:eastAsia="Times New Roman" w:hAnsi="Times New Roman"/>
                <w:lang w:eastAsia="lv-LV"/>
              </w:rPr>
              <w:t>4</w:t>
            </w:r>
            <w:r>
              <w:rPr>
                <w:rFonts w:ascii="Times New Roman" w:eastAsia="Times New Roman" w:hAnsi="Times New Roman"/>
                <w:lang w:eastAsia="lv-LV"/>
              </w:rPr>
              <w:t>*5</w:t>
            </w:r>
          </w:p>
        </w:tc>
        <w:tc>
          <w:tcPr>
            <w:tcW w:w="1593" w:type="dxa"/>
            <w:shd w:val="clear" w:color="auto" w:fill="FABF8F" w:themeFill="accent6" w:themeFillTint="99"/>
          </w:tcPr>
          <w:p w14:paraId="30A7C6C9" w14:textId="4C2DADEE" w:rsidR="005804B6" w:rsidRPr="00B30CF8" w:rsidRDefault="005804B6" w:rsidP="009D2311">
            <w:pPr>
              <w:spacing w:after="120"/>
              <w:jc w:val="center"/>
              <w:rPr>
                <w:rFonts w:ascii="Times New Roman" w:eastAsia="Times New Roman" w:hAnsi="Times New Roman"/>
                <w:lang w:eastAsia="lv-LV"/>
              </w:rPr>
            </w:pPr>
            <w:r>
              <w:rPr>
                <w:rFonts w:ascii="Times New Roman" w:eastAsia="Times New Roman" w:hAnsi="Times New Roman"/>
                <w:lang w:eastAsia="lv-LV"/>
              </w:rPr>
              <w:t>7</w:t>
            </w:r>
            <w:r w:rsidRPr="00B30CF8">
              <w:rPr>
                <w:rFonts w:ascii="Times New Roman" w:eastAsia="Times New Roman" w:hAnsi="Times New Roman"/>
                <w:lang w:eastAsia="lv-LV"/>
              </w:rPr>
              <w:t>=</w:t>
            </w:r>
            <w:r w:rsidR="007E6F91">
              <w:rPr>
                <w:rFonts w:ascii="Times New Roman" w:eastAsia="Times New Roman" w:hAnsi="Times New Roman"/>
                <w:lang w:eastAsia="lv-LV"/>
              </w:rPr>
              <w:t>3</w:t>
            </w:r>
            <w:r w:rsidRPr="00B30CF8">
              <w:rPr>
                <w:rFonts w:ascii="Times New Roman" w:eastAsia="Times New Roman" w:hAnsi="Times New Roman"/>
                <w:lang w:eastAsia="lv-LV"/>
              </w:rPr>
              <w:t>*</w:t>
            </w:r>
            <w:r>
              <w:rPr>
                <w:rFonts w:ascii="Times New Roman" w:eastAsia="Times New Roman" w:hAnsi="Times New Roman"/>
                <w:lang w:eastAsia="lv-LV"/>
              </w:rPr>
              <w:t>5</w:t>
            </w:r>
          </w:p>
        </w:tc>
      </w:tr>
      <w:tr w:rsidR="005804B6" w14:paraId="6E17A7D1" w14:textId="77777777" w:rsidTr="00E93259">
        <w:trPr>
          <w:jc w:val="center"/>
        </w:trPr>
        <w:tc>
          <w:tcPr>
            <w:tcW w:w="830" w:type="dxa"/>
            <w:vAlign w:val="center"/>
          </w:tcPr>
          <w:p w14:paraId="25881756" w14:textId="77777777" w:rsidR="005804B6" w:rsidRPr="007F05FB" w:rsidRDefault="005804B6"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11</w:t>
            </w:r>
            <w:r>
              <w:rPr>
                <w:rFonts w:ascii="Times New Roman" w:eastAsia="Times New Roman" w:hAnsi="Times New Roman"/>
                <w:lang w:eastAsia="lv-LV"/>
              </w:rPr>
              <w:t>032</w:t>
            </w:r>
          </w:p>
        </w:tc>
        <w:tc>
          <w:tcPr>
            <w:tcW w:w="1899" w:type="dxa"/>
            <w:vAlign w:val="center"/>
          </w:tcPr>
          <w:p w14:paraId="70F40F63" w14:textId="77777777" w:rsidR="005804B6" w:rsidRPr="00E90367" w:rsidRDefault="005804B6" w:rsidP="009D2311">
            <w:pPr>
              <w:jc w:val="both"/>
              <w:rPr>
                <w:rFonts w:ascii="Times New Roman" w:hAnsi="Times New Roman"/>
              </w:rPr>
            </w:pPr>
            <w:r w:rsidRPr="007F05FB">
              <w:rPr>
                <w:rFonts w:ascii="Times New Roman" w:hAnsi="Times New Roman"/>
              </w:rPr>
              <w:t>Specializēts konsīlijs sāpju pacienta aprūpei (uzrāda katrs konsīlijā iesaistītais speciālists)</w:t>
            </w:r>
          </w:p>
        </w:tc>
        <w:tc>
          <w:tcPr>
            <w:tcW w:w="1497" w:type="dxa"/>
            <w:vAlign w:val="center"/>
          </w:tcPr>
          <w:p w14:paraId="5DFF3E4D" w14:textId="0F765E94" w:rsidR="005804B6" w:rsidRPr="007F05FB" w:rsidRDefault="005804B6" w:rsidP="009D2311">
            <w:pPr>
              <w:spacing w:after="120"/>
              <w:jc w:val="center"/>
              <w:rPr>
                <w:rFonts w:ascii="Times New Roman" w:eastAsia="Times New Roman" w:hAnsi="Times New Roman"/>
                <w:lang w:eastAsia="lv-LV"/>
              </w:rPr>
            </w:pPr>
            <w:r>
              <w:rPr>
                <w:rFonts w:ascii="Times New Roman" w:eastAsia="Times New Roman" w:hAnsi="Times New Roman"/>
                <w:b/>
                <w:bCs/>
                <w:lang w:eastAsia="lv-LV"/>
              </w:rPr>
              <w:t>100</w:t>
            </w:r>
          </w:p>
        </w:tc>
        <w:tc>
          <w:tcPr>
            <w:tcW w:w="898" w:type="dxa"/>
            <w:vAlign w:val="center"/>
          </w:tcPr>
          <w:p w14:paraId="2146C148" w14:textId="6E7691F5" w:rsidR="005804B6" w:rsidRPr="00B30CF8" w:rsidRDefault="005804B6" w:rsidP="009D2311">
            <w:pPr>
              <w:jc w:val="center"/>
              <w:rPr>
                <w:rFonts w:ascii="Times New Roman" w:hAnsi="Times New Roman"/>
                <w:b/>
                <w:bCs/>
              </w:rPr>
            </w:pPr>
            <w:r>
              <w:rPr>
                <w:rFonts w:ascii="Times New Roman" w:hAnsi="Times New Roman"/>
                <w:b/>
                <w:bCs/>
              </w:rPr>
              <w:t>75</w:t>
            </w:r>
          </w:p>
        </w:tc>
        <w:tc>
          <w:tcPr>
            <w:tcW w:w="1199" w:type="dxa"/>
            <w:vAlign w:val="center"/>
          </w:tcPr>
          <w:p w14:paraId="2405FB32" w14:textId="694BF018" w:rsidR="005804B6" w:rsidRPr="00B30CF8" w:rsidRDefault="005804B6" w:rsidP="009D2311">
            <w:pPr>
              <w:jc w:val="center"/>
              <w:rPr>
                <w:rFonts w:ascii="Times New Roman" w:hAnsi="Times New Roman"/>
                <w:b/>
                <w:bCs/>
              </w:rPr>
            </w:pPr>
            <w:r w:rsidRPr="00B30CF8">
              <w:rPr>
                <w:rFonts w:ascii="Times New Roman" w:hAnsi="Times New Roman"/>
                <w:b/>
                <w:bCs/>
              </w:rPr>
              <w:t>1</w:t>
            </w:r>
            <w:r>
              <w:rPr>
                <w:rFonts w:ascii="Times New Roman" w:hAnsi="Times New Roman"/>
                <w:b/>
                <w:bCs/>
              </w:rPr>
              <w:t>8</w:t>
            </w:r>
            <w:r w:rsidRPr="00B30CF8">
              <w:rPr>
                <w:rFonts w:ascii="Times New Roman" w:hAnsi="Times New Roman"/>
                <w:b/>
                <w:bCs/>
              </w:rPr>
              <w:t>.</w:t>
            </w:r>
            <w:r>
              <w:rPr>
                <w:rFonts w:ascii="Times New Roman" w:hAnsi="Times New Roman"/>
                <w:b/>
                <w:bCs/>
              </w:rPr>
              <w:t>51</w:t>
            </w:r>
          </w:p>
        </w:tc>
        <w:tc>
          <w:tcPr>
            <w:tcW w:w="1173" w:type="dxa"/>
            <w:vAlign w:val="center"/>
          </w:tcPr>
          <w:p w14:paraId="150E4103" w14:textId="47017C9C" w:rsidR="005804B6" w:rsidRPr="00226ACA" w:rsidRDefault="00A4462D" w:rsidP="009D2311">
            <w:pPr>
              <w:spacing w:after="120"/>
              <w:jc w:val="center"/>
              <w:rPr>
                <w:rFonts w:ascii="Times New Roman" w:eastAsia="Times New Roman" w:hAnsi="Times New Roman"/>
                <w:lang w:eastAsia="lv-LV"/>
              </w:rPr>
            </w:pPr>
            <w:r>
              <w:rPr>
                <w:rFonts w:ascii="Times New Roman" w:eastAsia="Times New Roman" w:hAnsi="Times New Roman"/>
                <w:lang w:eastAsia="lv-LV"/>
              </w:rPr>
              <w:t>1 388</w:t>
            </w:r>
          </w:p>
        </w:tc>
        <w:tc>
          <w:tcPr>
            <w:tcW w:w="1593" w:type="dxa"/>
            <w:vAlign w:val="center"/>
          </w:tcPr>
          <w:p w14:paraId="1482843C" w14:textId="4CC5AF79" w:rsidR="005804B6" w:rsidRPr="00226ACA" w:rsidRDefault="00A4462D" w:rsidP="009D2311">
            <w:pPr>
              <w:spacing w:after="120"/>
              <w:jc w:val="center"/>
              <w:rPr>
                <w:rFonts w:ascii="Times New Roman" w:eastAsia="Times New Roman" w:hAnsi="Times New Roman"/>
                <w:lang w:eastAsia="lv-LV"/>
              </w:rPr>
            </w:pPr>
            <w:r>
              <w:rPr>
                <w:rFonts w:ascii="Times New Roman" w:eastAsia="Times New Roman" w:hAnsi="Times New Roman"/>
                <w:lang w:eastAsia="lv-LV"/>
              </w:rPr>
              <w:t>1851</w:t>
            </w:r>
          </w:p>
        </w:tc>
      </w:tr>
    </w:tbl>
    <w:p w14:paraId="37B2A656" w14:textId="77777777" w:rsidR="006E0452" w:rsidRDefault="006E0452" w:rsidP="00A31E26">
      <w:pPr>
        <w:spacing w:after="120"/>
        <w:jc w:val="both"/>
        <w:rPr>
          <w:rFonts w:ascii="Times New Roman" w:eastAsia="Times New Roman" w:hAnsi="Times New Roman" w:cs="Times New Roman"/>
          <w:sz w:val="24"/>
          <w:szCs w:val="24"/>
          <w:lang w:eastAsia="lv-LV"/>
        </w:rPr>
      </w:pPr>
    </w:p>
    <w:p w14:paraId="4F201F19" w14:textId="310CA6DB" w:rsidR="00486E85" w:rsidRPr="008E1411" w:rsidRDefault="00800D07" w:rsidP="00A31E26">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 </w:t>
      </w:r>
      <w:r w:rsidR="002B24F2">
        <w:rPr>
          <w:rFonts w:ascii="Times New Roman" w:eastAsia="Times New Roman" w:hAnsi="Times New Roman" w:cs="Times New Roman"/>
          <w:sz w:val="24"/>
          <w:szCs w:val="24"/>
          <w:lang w:eastAsia="lv-LV"/>
        </w:rPr>
        <w:t>2019.gad</w:t>
      </w:r>
      <w:r>
        <w:rPr>
          <w:rFonts w:ascii="Times New Roman" w:eastAsia="Times New Roman" w:hAnsi="Times New Roman" w:cs="Times New Roman"/>
          <w:sz w:val="24"/>
          <w:szCs w:val="24"/>
          <w:lang w:eastAsia="lv-LV"/>
        </w:rPr>
        <w:t>a 1.aprīļa</w:t>
      </w:r>
      <w:r w:rsidR="008C03A0">
        <w:rPr>
          <w:rFonts w:ascii="Times New Roman" w:eastAsia="Times New Roman" w:hAnsi="Times New Roman" w:cs="Times New Roman"/>
          <w:sz w:val="24"/>
          <w:szCs w:val="24"/>
          <w:lang w:eastAsia="lv-LV"/>
        </w:rPr>
        <w:t xml:space="preserve"> nepieciešami</w:t>
      </w:r>
      <w:r w:rsidR="002B24F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191 603</w:t>
      </w:r>
      <w:r w:rsidR="002B24F2" w:rsidRPr="002B24F2">
        <w:rPr>
          <w:rFonts w:ascii="Times New Roman" w:eastAsia="Times New Roman" w:hAnsi="Times New Roman" w:cs="Times New Roman"/>
          <w:b/>
          <w:sz w:val="24"/>
          <w:szCs w:val="24"/>
          <w:lang w:eastAsia="lv-LV"/>
        </w:rPr>
        <w:t xml:space="preserve"> </w:t>
      </w:r>
      <w:r w:rsidR="002B24F2" w:rsidRPr="00B36B3A">
        <w:rPr>
          <w:rFonts w:ascii="Times New Roman" w:eastAsia="Times New Roman" w:hAnsi="Times New Roman" w:cs="Times New Roman"/>
          <w:b/>
          <w:i/>
          <w:sz w:val="24"/>
          <w:szCs w:val="24"/>
          <w:lang w:eastAsia="lv-LV"/>
        </w:rPr>
        <w:t>euro</w:t>
      </w:r>
      <w:r w:rsidR="008C03A0">
        <w:rPr>
          <w:rFonts w:ascii="Times New Roman" w:eastAsia="Times New Roman" w:hAnsi="Times New Roman" w:cs="Times New Roman"/>
          <w:b/>
          <w:sz w:val="24"/>
          <w:szCs w:val="24"/>
          <w:lang w:eastAsia="lv-LV"/>
        </w:rPr>
        <w:t xml:space="preserve">, </w:t>
      </w:r>
      <w:r w:rsidR="008C03A0" w:rsidRPr="00FA6424">
        <w:rPr>
          <w:rFonts w:ascii="Times New Roman" w:eastAsia="Times New Roman" w:hAnsi="Times New Roman" w:cs="Times New Roman"/>
          <w:sz w:val="24"/>
          <w:szCs w:val="24"/>
          <w:lang w:eastAsia="lv-LV"/>
        </w:rPr>
        <w:t xml:space="preserve">lai nodrošinātu sāpju </w:t>
      </w:r>
      <w:r w:rsidR="00831E28" w:rsidRPr="00FA6424">
        <w:rPr>
          <w:rFonts w:ascii="Times New Roman" w:eastAsia="Times New Roman" w:hAnsi="Times New Roman" w:cs="Times New Roman"/>
          <w:sz w:val="24"/>
          <w:szCs w:val="24"/>
          <w:lang w:eastAsia="lv-LV"/>
        </w:rPr>
        <w:t xml:space="preserve">kabineta pakalpojumus </w:t>
      </w:r>
      <w:r>
        <w:rPr>
          <w:rFonts w:ascii="Times New Roman" w:eastAsia="Times New Roman" w:hAnsi="Times New Roman" w:cs="Times New Roman"/>
          <w:sz w:val="24"/>
          <w:szCs w:val="24"/>
          <w:lang w:eastAsia="lv-LV"/>
        </w:rPr>
        <w:t>11 325</w:t>
      </w:r>
      <w:r w:rsidR="00831E28" w:rsidRPr="00FA6424">
        <w:rPr>
          <w:rFonts w:ascii="Times New Roman" w:eastAsia="Times New Roman" w:hAnsi="Times New Roman" w:cs="Times New Roman"/>
          <w:sz w:val="24"/>
          <w:szCs w:val="24"/>
          <w:lang w:eastAsia="lv-LV"/>
        </w:rPr>
        <w:t xml:space="preserve"> pacientiem</w:t>
      </w:r>
      <w:r w:rsidR="003A0394">
        <w:rPr>
          <w:rFonts w:ascii="Times New Roman" w:eastAsia="Times New Roman" w:hAnsi="Times New Roman" w:cs="Times New Roman"/>
          <w:sz w:val="24"/>
          <w:szCs w:val="24"/>
          <w:lang w:eastAsia="lv-LV"/>
        </w:rPr>
        <w:t xml:space="preserve"> (pilnam gadam nepieiešami </w:t>
      </w:r>
      <w:r w:rsidR="0086632D">
        <w:rPr>
          <w:rFonts w:ascii="Times New Roman" w:eastAsia="Times New Roman" w:hAnsi="Times New Roman" w:cs="Times New Roman"/>
          <w:sz w:val="24"/>
          <w:szCs w:val="24"/>
          <w:lang w:eastAsia="lv-LV"/>
        </w:rPr>
        <w:t xml:space="preserve">255 471 </w:t>
      </w:r>
      <w:r w:rsidR="0086632D">
        <w:rPr>
          <w:rFonts w:ascii="Times New Roman" w:eastAsia="Times New Roman" w:hAnsi="Times New Roman" w:cs="Times New Roman"/>
          <w:i/>
          <w:sz w:val="24"/>
          <w:szCs w:val="24"/>
          <w:lang w:eastAsia="lv-LV"/>
        </w:rPr>
        <w:t>euro</w:t>
      </w:r>
      <w:r w:rsidR="003A0394">
        <w:rPr>
          <w:rFonts w:ascii="Times New Roman" w:eastAsia="Times New Roman" w:hAnsi="Times New Roman" w:cs="Times New Roman"/>
          <w:sz w:val="24"/>
          <w:szCs w:val="24"/>
          <w:lang w:eastAsia="lv-LV"/>
        </w:rPr>
        <w:t>)</w:t>
      </w:r>
      <w:r w:rsidR="00831E28" w:rsidRPr="00FA6424">
        <w:rPr>
          <w:rFonts w:ascii="Times New Roman" w:eastAsia="Times New Roman" w:hAnsi="Times New Roman" w:cs="Times New Roman"/>
          <w:sz w:val="24"/>
          <w:szCs w:val="24"/>
          <w:lang w:eastAsia="lv-LV"/>
        </w:rPr>
        <w:t>.</w:t>
      </w:r>
    </w:p>
    <w:tbl>
      <w:tblPr>
        <w:tblStyle w:val="TableGrid"/>
        <w:tblW w:w="0" w:type="auto"/>
        <w:tblLook w:val="04A0" w:firstRow="1" w:lastRow="0" w:firstColumn="1" w:lastColumn="0" w:noHBand="0" w:noVBand="1"/>
      </w:tblPr>
      <w:tblGrid>
        <w:gridCol w:w="9089"/>
      </w:tblGrid>
      <w:tr w:rsidR="00591368" w14:paraId="6DDA5F3B" w14:textId="77777777" w:rsidTr="57326167">
        <w:tc>
          <w:tcPr>
            <w:tcW w:w="9089" w:type="dxa"/>
          </w:tcPr>
          <w:p w14:paraId="08E254C3" w14:textId="04F72F5C" w:rsidR="001D1417" w:rsidRPr="001A516A" w:rsidRDefault="0071331A" w:rsidP="001A516A">
            <w:pPr>
              <w:spacing w:after="120"/>
              <w:ind w:firstLine="720"/>
              <w:jc w:val="both"/>
              <w:rPr>
                <w:rFonts w:ascii="Times New Roman" w:hAnsi="Times New Roman"/>
                <w:sz w:val="24"/>
                <w:szCs w:val="24"/>
              </w:rPr>
            </w:pPr>
            <w:r w:rsidRPr="00ED653E">
              <w:rPr>
                <w:rFonts w:ascii="Times New Roman" w:hAnsi="Times New Roman"/>
                <w:b/>
                <w:bCs/>
                <w:sz w:val="24"/>
                <w:szCs w:val="24"/>
                <w:lang w:eastAsia="lv-LV"/>
              </w:rPr>
              <w:t xml:space="preserve">Reformas rezultāts: </w:t>
            </w:r>
            <w:r w:rsidR="00680770">
              <w:rPr>
                <w:rFonts w:ascii="Times New Roman" w:eastAsia="Times New Roman" w:hAnsi="Times New Roman"/>
                <w:b/>
                <w:sz w:val="24"/>
                <w:szCs w:val="24"/>
              </w:rPr>
              <w:t>S</w:t>
            </w:r>
            <w:r w:rsidR="00680770" w:rsidRPr="00F42A4E">
              <w:rPr>
                <w:rFonts w:ascii="Times New Roman" w:eastAsia="Times New Roman" w:hAnsi="Times New Roman"/>
                <w:b/>
                <w:sz w:val="24"/>
                <w:szCs w:val="24"/>
              </w:rPr>
              <w:t>avlaicīgi palīdzot sāpju pacientu grupai, tiks nodrošināta l</w:t>
            </w:r>
            <w:r w:rsidR="00680770" w:rsidRPr="00F42A4E">
              <w:rPr>
                <w:rFonts w:ascii="Times New Roman" w:hAnsi="Times New Roman"/>
                <w:b/>
                <w:color w:val="000000"/>
                <w:sz w:val="24"/>
                <w:szCs w:val="24"/>
              </w:rPr>
              <w:t>abākas dzīves kvalitāte un mazināta arī funkcionalitāte  un darba nespēja, kas radusies sāpju dēļ. Savukārt pamatota, mērķtiecīga un produktīva ārstniecībai paredzēto finansiālo resursu izmantošana samazinās izmaksas, kas saistītas ar sāpju pacientu funkcionālo, pārejošo un ilglaicīgo darba nespēju</w:t>
            </w:r>
            <w:r w:rsidR="00680770">
              <w:rPr>
                <w:rFonts w:ascii="Times New Roman" w:hAnsi="Times New Roman"/>
                <w:b/>
                <w:color w:val="000000"/>
                <w:sz w:val="24"/>
                <w:szCs w:val="24"/>
              </w:rPr>
              <w:t xml:space="preserve">. Kopumā </w:t>
            </w:r>
            <w:r w:rsidR="00680770">
              <w:rPr>
                <w:rFonts w:ascii="Times New Roman" w:hAnsi="Times New Roman"/>
                <w:b/>
                <w:bCs/>
                <w:sz w:val="24"/>
                <w:szCs w:val="24"/>
                <w:lang w:eastAsia="lv-LV"/>
              </w:rPr>
              <w:t>t</w:t>
            </w:r>
            <w:r w:rsidR="0051705D" w:rsidRPr="006121F3">
              <w:rPr>
                <w:rFonts w:ascii="Times New Roman" w:hAnsi="Times New Roman"/>
                <w:b/>
                <w:bCs/>
                <w:sz w:val="24"/>
                <w:szCs w:val="24"/>
                <w:lang w:eastAsia="lv-LV"/>
              </w:rPr>
              <w:t xml:space="preserve">iks nodrošināta tieši darbspējīgā vecumā esošu pacientu pakalpojuma pieejamības uzlabošana, veicinot pacienta ātrāku iekļaušanos darba tirgū un samazinot slimības pabalstu gadījumu skaitu un vidējo darbnespējas ilgumu. Prognozējams, ka papildus pieauguma rezultātā </w:t>
            </w:r>
            <w:r w:rsidR="0051705D" w:rsidRPr="006121F3">
              <w:rPr>
                <w:rFonts w:ascii="Times New Roman" w:hAnsi="Times New Roman"/>
                <w:b/>
                <w:bCs/>
                <w:sz w:val="24"/>
                <w:szCs w:val="24"/>
              </w:rPr>
              <w:t xml:space="preserve">kopējais izmaksājamo slimības pabalstu apmērs 2019.gadā varētu samazināties par 2%, tādējādi ņemot vērā, ka izmaksāto slimības pabalstu apjoms 2019.gadā varētu sasniegt 57 miljonus </w:t>
            </w:r>
            <w:r w:rsidR="0051705D" w:rsidRPr="006121F3">
              <w:rPr>
                <w:rFonts w:ascii="Times New Roman" w:hAnsi="Times New Roman"/>
                <w:b/>
                <w:bCs/>
                <w:i/>
                <w:sz w:val="24"/>
                <w:szCs w:val="24"/>
              </w:rPr>
              <w:t>euro</w:t>
            </w:r>
            <w:r w:rsidR="0051705D" w:rsidRPr="006121F3">
              <w:rPr>
                <w:rFonts w:ascii="Times New Roman" w:hAnsi="Times New Roman"/>
                <w:b/>
                <w:bCs/>
                <w:sz w:val="24"/>
                <w:szCs w:val="24"/>
              </w:rPr>
              <w:t xml:space="preserve">, kopumā ietaupījums no intervences īstenošanas sasniegtu 1,1 miljonus </w:t>
            </w:r>
            <w:r w:rsidR="0051705D" w:rsidRPr="006121F3">
              <w:rPr>
                <w:rFonts w:ascii="Times New Roman" w:hAnsi="Times New Roman"/>
                <w:b/>
                <w:bCs/>
                <w:i/>
                <w:sz w:val="24"/>
                <w:szCs w:val="24"/>
              </w:rPr>
              <w:t>euro</w:t>
            </w:r>
            <w:r w:rsidR="00680770">
              <w:rPr>
                <w:rFonts w:ascii="Times New Roman" w:hAnsi="Times New Roman"/>
                <w:b/>
                <w:bCs/>
                <w:i/>
                <w:sz w:val="24"/>
                <w:szCs w:val="24"/>
              </w:rPr>
              <w:t>.</w:t>
            </w:r>
          </w:p>
        </w:tc>
      </w:tr>
    </w:tbl>
    <w:p w14:paraId="6D844295" w14:textId="77777777" w:rsidR="001D1417" w:rsidRPr="00847710" w:rsidRDefault="001D1417" w:rsidP="00A31E26">
      <w:pPr>
        <w:autoSpaceDE w:val="0"/>
        <w:autoSpaceDN w:val="0"/>
        <w:adjustRightInd w:val="0"/>
        <w:spacing w:after="120"/>
        <w:jc w:val="both"/>
        <w:rPr>
          <w:rFonts w:ascii="Times New Roman" w:hAnsi="Times New Roman" w:cs="Times New Roman"/>
          <w:sz w:val="24"/>
          <w:szCs w:val="24"/>
        </w:rPr>
      </w:pPr>
    </w:p>
    <w:p w14:paraId="05FB3A8E" w14:textId="76342C18" w:rsidR="00525D36" w:rsidRPr="00C86312" w:rsidRDefault="0071331A" w:rsidP="00A31E26">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CE6A18" w:rsidRPr="0012317D">
        <w:rPr>
          <w:rFonts w:ascii="Times New Roman" w:hAnsi="Times New Roman" w:cs="Times New Roman"/>
          <w:b/>
          <w:bCs/>
          <w:color w:val="auto"/>
          <w:sz w:val="24"/>
          <w:szCs w:val="24"/>
          <w:u w:val="single"/>
        </w:rPr>
        <w:t>.</w:t>
      </w:r>
      <w:r w:rsidR="00E42D7C">
        <w:rPr>
          <w:rFonts w:ascii="Times New Roman" w:hAnsi="Times New Roman" w:cs="Times New Roman"/>
          <w:b/>
          <w:bCs/>
          <w:color w:val="auto"/>
          <w:sz w:val="24"/>
          <w:szCs w:val="24"/>
          <w:u w:val="single"/>
        </w:rPr>
        <w:t>7</w:t>
      </w:r>
      <w:r w:rsidR="00CE6A18" w:rsidRPr="0012317D">
        <w:rPr>
          <w:rFonts w:ascii="Times New Roman" w:hAnsi="Times New Roman" w:cs="Times New Roman"/>
          <w:b/>
          <w:bCs/>
          <w:color w:val="auto"/>
          <w:sz w:val="24"/>
          <w:szCs w:val="24"/>
          <w:u w:val="single"/>
        </w:rPr>
        <w:t>.</w:t>
      </w:r>
      <w:r w:rsidR="00784CDF">
        <w:rPr>
          <w:rFonts w:ascii="Times New Roman" w:hAnsi="Times New Roman" w:cs="Times New Roman"/>
          <w:b/>
          <w:bCs/>
          <w:color w:val="auto"/>
          <w:sz w:val="24"/>
          <w:szCs w:val="24"/>
          <w:u w:val="single"/>
        </w:rPr>
        <w:t xml:space="preserve"> A</w:t>
      </w:r>
      <w:r w:rsidRPr="0012317D">
        <w:rPr>
          <w:rFonts w:ascii="Times New Roman" w:hAnsi="Times New Roman" w:cs="Times New Roman"/>
          <w:b/>
          <w:bCs/>
          <w:color w:val="auto"/>
          <w:sz w:val="24"/>
          <w:szCs w:val="24"/>
          <w:u w:val="single"/>
        </w:rPr>
        <w:t xml:space="preserve">knu transplantācija </w:t>
      </w:r>
    </w:p>
    <w:p w14:paraId="1122F1C8" w14:textId="395BC05D" w:rsidR="001C5FDF" w:rsidRDefault="00CE5E7C" w:rsidP="00FF02DA">
      <w:pPr>
        <w:spacing w:after="120"/>
        <w:ind w:firstLine="720"/>
        <w:jc w:val="both"/>
        <w:rPr>
          <w:rFonts w:ascii="Times New Roman" w:hAnsi="Times New Roman" w:cs="Times New Roman"/>
          <w:sz w:val="24"/>
          <w:szCs w:val="24"/>
        </w:rPr>
      </w:pPr>
      <w:r w:rsidRPr="006245A9">
        <w:rPr>
          <w:rFonts w:ascii="Times New Roman" w:hAnsi="Times New Roman" w:cs="Times New Roman"/>
          <w:sz w:val="24"/>
          <w:szCs w:val="24"/>
        </w:rPr>
        <w:t>201</w:t>
      </w:r>
      <w:r>
        <w:rPr>
          <w:rFonts w:ascii="Times New Roman" w:hAnsi="Times New Roman" w:cs="Times New Roman"/>
          <w:sz w:val="24"/>
          <w:szCs w:val="24"/>
        </w:rPr>
        <w:t>9</w:t>
      </w:r>
      <w:r w:rsidRPr="006245A9">
        <w:rPr>
          <w:rFonts w:ascii="Times New Roman" w:hAnsi="Times New Roman" w:cs="Times New Roman"/>
          <w:sz w:val="24"/>
          <w:szCs w:val="24"/>
        </w:rPr>
        <w:t xml:space="preserve">.gadā </w:t>
      </w:r>
      <w:r>
        <w:rPr>
          <w:rFonts w:ascii="Times New Roman" w:hAnsi="Times New Roman" w:cs="Times New Roman"/>
          <w:sz w:val="24"/>
          <w:szCs w:val="24"/>
        </w:rPr>
        <w:t>ir nepieciešams</w:t>
      </w:r>
      <w:r w:rsidR="006243BA">
        <w:rPr>
          <w:rFonts w:ascii="Times New Roman" w:hAnsi="Times New Roman" w:cs="Times New Roman"/>
          <w:sz w:val="24"/>
          <w:szCs w:val="24"/>
        </w:rPr>
        <w:t xml:space="preserve"> turpināt</w:t>
      </w:r>
      <w:r w:rsidRPr="006245A9">
        <w:rPr>
          <w:rFonts w:ascii="Times New Roman" w:hAnsi="Times New Roman" w:cs="Times New Roman"/>
          <w:sz w:val="24"/>
          <w:szCs w:val="24"/>
        </w:rPr>
        <w:t xml:space="preserve"> </w:t>
      </w:r>
      <w:r w:rsidR="00DE1F8F">
        <w:rPr>
          <w:rFonts w:ascii="Times New Roman" w:hAnsi="Times New Roman" w:cs="Times New Roman"/>
          <w:sz w:val="24"/>
          <w:szCs w:val="24"/>
        </w:rPr>
        <w:t>nodrošināt iespēju veikt</w:t>
      </w:r>
      <w:r w:rsidRPr="006245A9">
        <w:rPr>
          <w:rFonts w:ascii="Times New Roman" w:hAnsi="Times New Roman" w:cs="Times New Roman"/>
          <w:sz w:val="24"/>
          <w:szCs w:val="24"/>
        </w:rPr>
        <w:t xml:space="preserve"> 7 aknu transplantācijas par kopējo summu </w:t>
      </w:r>
      <w:r w:rsidR="003254A1" w:rsidRPr="007C5276">
        <w:rPr>
          <w:rFonts w:ascii="Times New Roman" w:hAnsi="Times New Roman" w:cs="Times New Roman"/>
          <w:b/>
          <w:sz w:val="24"/>
          <w:szCs w:val="24"/>
        </w:rPr>
        <w:t>4</w:t>
      </w:r>
      <w:r w:rsidR="001F4D0B" w:rsidRPr="007C5276">
        <w:rPr>
          <w:rFonts w:ascii="Times New Roman" w:hAnsi="Times New Roman" w:cs="Times New Roman"/>
          <w:b/>
          <w:sz w:val="24"/>
          <w:szCs w:val="24"/>
        </w:rPr>
        <w:t>18</w:t>
      </w:r>
      <w:r w:rsidR="003254A1" w:rsidRPr="007C5276">
        <w:rPr>
          <w:rFonts w:ascii="Times New Roman" w:hAnsi="Times New Roman" w:cs="Times New Roman"/>
          <w:b/>
          <w:sz w:val="24"/>
          <w:szCs w:val="24"/>
        </w:rPr>
        <w:t xml:space="preserve"> </w:t>
      </w:r>
      <w:r w:rsidR="001F4D0B" w:rsidRPr="007C5276">
        <w:rPr>
          <w:rFonts w:ascii="Times New Roman" w:hAnsi="Times New Roman" w:cs="Times New Roman"/>
          <w:b/>
          <w:sz w:val="24"/>
          <w:szCs w:val="24"/>
        </w:rPr>
        <w:t>374</w:t>
      </w:r>
      <w:r w:rsidRPr="007C5276">
        <w:rPr>
          <w:rFonts w:ascii="Times New Roman" w:hAnsi="Times New Roman" w:cs="Times New Roman"/>
          <w:b/>
          <w:sz w:val="24"/>
          <w:szCs w:val="24"/>
        </w:rPr>
        <w:t xml:space="preserve"> </w:t>
      </w:r>
      <w:r w:rsidRPr="007C5276">
        <w:rPr>
          <w:rFonts w:ascii="Times New Roman" w:hAnsi="Times New Roman" w:cs="Times New Roman"/>
          <w:b/>
          <w:i/>
          <w:sz w:val="24"/>
          <w:szCs w:val="24"/>
        </w:rPr>
        <w:t>euro</w:t>
      </w:r>
      <w:r w:rsidR="001C5FDF">
        <w:rPr>
          <w:rFonts w:ascii="Times New Roman" w:hAnsi="Times New Roman" w:cs="Times New Roman"/>
          <w:sz w:val="24"/>
          <w:szCs w:val="24"/>
        </w:rPr>
        <w:t xml:space="preserve"> </w:t>
      </w:r>
      <w:r w:rsidR="001C5FDF" w:rsidRPr="00A31E26">
        <w:rPr>
          <w:rFonts w:ascii="Times New Roman" w:hAnsi="Times New Roman" w:cs="Times New Roman"/>
          <w:sz w:val="24"/>
          <w:szCs w:val="24"/>
        </w:rPr>
        <w:t>(</w:t>
      </w:r>
      <w:r w:rsidR="00073137">
        <w:rPr>
          <w:rFonts w:ascii="Times New Roman" w:hAnsi="Times New Roman" w:cs="Times New Roman"/>
          <w:sz w:val="24"/>
          <w:szCs w:val="24"/>
        </w:rPr>
        <w:t>2</w:t>
      </w:r>
      <w:r w:rsidR="00A65C8C">
        <w:rPr>
          <w:rFonts w:ascii="Times New Roman" w:hAnsi="Times New Roman" w:cs="Times New Roman"/>
          <w:sz w:val="24"/>
          <w:szCs w:val="24"/>
        </w:rPr>
        <w:t>4</w:t>
      </w:r>
      <w:r w:rsidR="001C5FDF" w:rsidRPr="00A31E26">
        <w:rPr>
          <w:rFonts w:ascii="Times New Roman" w:hAnsi="Times New Roman" w:cs="Times New Roman"/>
          <w:sz w:val="24"/>
          <w:szCs w:val="24"/>
        </w:rPr>
        <w:t>.tabul</w:t>
      </w:r>
      <w:r w:rsidR="002575DC" w:rsidRPr="00A31E26">
        <w:rPr>
          <w:rFonts w:ascii="Times New Roman" w:hAnsi="Times New Roman" w:cs="Times New Roman"/>
          <w:sz w:val="24"/>
          <w:szCs w:val="24"/>
        </w:rPr>
        <w:t>a</w:t>
      </w:r>
      <w:r w:rsidR="001C5FDF" w:rsidRPr="00A31E26">
        <w:rPr>
          <w:rFonts w:ascii="Times New Roman" w:hAnsi="Times New Roman" w:cs="Times New Roman"/>
          <w:sz w:val="24"/>
          <w:szCs w:val="24"/>
        </w:rPr>
        <w:t>).</w:t>
      </w:r>
      <w:r w:rsidRPr="00847710">
        <w:rPr>
          <w:rFonts w:ascii="Times New Roman" w:hAnsi="Times New Roman" w:cs="Times New Roman"/>
          <w:sz w:val="24"/>
          <w:szCs w:val="24"/>
        </w:rPr>
        <w:t xml:space="preserve"> </w:t>
      </w:r>
      <w:r w:rsidR="001C5FDF" w:rsidRPr="00007A5A">
        <w:rPr>
          <w:rFonts w:ascii="Times New Roman" w:hAnsi="Times New Roman" w:cs="Times New Roman"/>
          <w:sz w:val="24"/>
          <w:szCs w:val="24"/>
        </w:rPr>
        <w:t xml:space="preserve">Līdz 2018.gada </w:t>
      </w:r>
      <w:r w:rsidR="00CC565E">
        <w:rPr>
          <w:rFonts w:ascii="Times New Roman" w:hAnsi="Times New Roman" w:cs="Times New Roman"/>
          <w:sz w:val="24"/>
          <w:szCs w:val="24"/>
        </w:rPr>
        <w:t>septembrim</w:t>
      </w:r>
      <w:r w:rsidR="001C5FDF" w:rsidRPr="00007A5A">
        <w:rPr>
          <w:rFonts w:ascii="Times New Roman" w:hAnsi="Times New Roman" w:cs="Times New Roman"/>
          <w:sz w:val="24"/>
          <w:szCs w:val="24"/>
        </w:rPr>
        <w:t xml:space="preserve"> tika veiktas aknu transplantācijas </w:t>
      </w:r>
      <w:r w:rsidR="00CC565E">
        <w:rPr>
          <w:rFonts w:ascii="Times New Roman" w:hAnsi="Times New Roman" w:cs="Times New Roman"/>
          <w:sz w:val="24"/>
          <w:szCs w:val="24"/>
        </w:rPr>
        <w:t>5</w:t>
      </w:r>
      <w:r w:rsidR="001C5FDF" w:rsidRPr="00007A5A">
        <w:rPr>
          <w:rFonts w:ascii="Times New Roman" w:hAnsi="Times New Roman" w:cs="Times New Roman"/>
          <w:sz w:val="24"/>
          <w:szCs w:val="24"/>
        </w:rPr>
        <w:t xml:space="preserve"> cilvēkiem, no kurām veiksmīgas bija </w:t>
      </w:r>
      <w:r w:rsidR="00CC565E">
        <w:rPr>
          <w:rFonts w:ascii="Times New Roman" w:hAnsi="Times New Roman" w:cs="Times New Roman"/>
          <w:sz w:val="24"/>
          <w:szCs w:val="24"/>
        </w:rPr>
        <w:t>četras</w:t>
      </w:r>
      <w:r w:rsidR="001C5FDF" w:rsidRPr="00007A5A">
        <w:rPr>
          <w:rFonts w:ascii="Times New Roman" w:hAnsi="Times New Roman" w:cs="Times New Roman"/>
          <w:sz w:val="24"/>
          <w:szCs w:val="24"/>
        </w:rPr>
        <w:t xml:space="preserve"> operācijas un šie </w:t>
      </w:r>
      <w:r w:rsidR="00CC565E">
        <w:rPr>
          <w:rFonts w:ascii="Times New Roman" w:hAnsi="Times New Roman" w:cs="Times New Roman"/>
          <w:sz w:val="24"/>
          <w:szCs w:val="24"/>
        </w:rPr>
        <w:t>četri</w:t>
      </w:r>
      <w:r w:rsidR="001C5FDF" w:rsidRPr="00007A5A">
        <w:rPr>
          <w:rFonts w:ascii="Times New Roman" w:hAnsi="Times New Roman" w:cs="Times New Roman"/>
          <w:sz w:val="24"/>
          <w:szCs w:val="24"/>
        </w:rPr>
        <w:t xml:space="preserve"> cilvēki saņem pēc aknu transplantācijas nepieciešamos medikamentus</w:t>
      </w:r>
      <w:r w:rsidR="001C5FDF" w:rsidRPr="00BB73BC">
        <w:t>.</w:t>
      </w:r>
      <w:r w:rsidR="001C5FDF">
        <w:t xml:space="preserve"> </w:t>
      </w:r>
      <w:r w:rsidRPr="00847710">
        <w:rPr>
          <w:rFonts w:ascii="Times New Roman" w:hAnsi="Times New Roman" w:cs="Times New Roman"/>
          <w:sz w:val="24"/>
          <w:szCs w:val="24"/>
        </w:rPr>
        <w:t>Jāatzīmē, ka veikto aknu transplantāciju skaits ir atkarīgs ne tikai no rindā esošajiem pacientiem, bet arī no orgānu donoru skaita un saderības</w:t>
      </w:r>
      <w:r w:rsidR="00532BD6">
        <w:rPr>
          <w:rFonts w:ascii="Times New Roman" w:hAnsi="Times New Roman" w:cs="Times New Roman"/>
          <w:sz w:val="24"/>
          <w:szCs w:val="24"/>
        </w:rPr>
        <w:t>, līdz ar to nav paredzams gaidīšanas laiks operācijas veikšan</w:t>
      </w:r>
      <w:r w:rsidR="00F53AFF">
        <w:rPr>
          <w:rFonts w:ascii="Times New Roman" w:hAnsi="Times New Roman" w:cs="Times New Roman"/>
          <w:sz w:val="24"/>
          <w:szCs w:val="24"/>
        </w:rPr>
        <w:t>a</w:t>
      </w:r>
      <w:r w:rsidR="00532BD6">
        <w:rPr>
          <w:rFonts w:ascii="Times New Roman" w:hAnsi="Times New Roman" w:cs="Times New Roman"/>
          <w:sz w:val="24"/>
          <w:szCs w:val="24"/>
        </w:rPr>
        <w:t>i</w:t>
      </w:r>
      <w:r w:rsidR="001C5FDF">
        <w:rPr>
          <w:rFonts w:ascii="Times New Roman" w:hAnsi="Times New Roman" w:cs="Times New Roman"/>
          <w:sz w:val="24"/>
          <w:szCs w:val="24"/>
        </w:rPr>
        <w:t>.</w:t>
      </w:r>
      <w:r w:rsidR="00F51EED">
        <w:rPr>
          <w:rFonts w:ascii="Times New Roman" w:hAnsi="Times New Roman" w:cs="Times New Roman"/>
          <w:sz w:val="24"/>
          <w:szCs w:val="24"/>
        </w:rPr>
        <w:t xml:space="preserve"> Šobrīd nepieciešamība pēc aknu transplantāci</w:t>
      </w:r>
      <w:r w:rsidR="00727A28">
        <w:rPr>
          <w:rFonts w:ascii="Times New Roman" w:hAnsi="Times New Roman" w:cs="Times New Roman"/>
          <w:sz w:val="24"/>
          <w:szCs w:val="24"/>
        </w:rPr>
        <w:t>jas ir 26 cilvēkiem, no kuriem četriem</w:t>
      </w:r>
      <w:r w:rsidR="00F51EED">
        <w:rPr>
          <w:rFonts w:ascii="Times New Roman" w:hAnsi="Times New Roman" w:cs="Times New Roman"/>
          <w:sz w:val="24"/>
          <w:szCs w:val="24"/>
        </w:rPr>
        <w:t xml:space="preserve"> ir nepieciešama steidzamības kārtā.</w:t>
      </w:r>
    </w:p>
    <w:p w14:paraId="65BA319D" w14:textId="77777777" w:rsidR="003B5242" w:rsidRDefault="003B5242" w:rsidP="704995BB">
      <w:pPr>
        <w:spacing w:after="0"/>
        <w:ind w:firstLine="720"/>
        <w:jc w:val="right"/>
        <w:rPr>
          <w:rFonts w:ascii="Times New Roman" w:hAnsi="Times New Roman" w:cs="Times New Roman"/>
          <w:i/>
          <w:iCs/>
          <w:sz w:val="24"/>
          <w:szCs w:val="24"/>
        </w:rPr>
        <w:sectPr w:rsidR="003B5242" w:rsidSect="00333B64">
          <w:pgSz w:w="12240" w:h="15840"/>
          <w:pgMar w:top="1440" w:right="1440" w:bottom="1440" w:left="1701" w:header="708" w:footer="708" w:gutter="0"/>
          <w:cols w:space="708"/>
          <w:docGrid w:linePitch="360"/>
        </w:sectPr>
      </w:pPr>
    </w:p>
    <w:p w14:paraId="72CA7B58" w14:textId="66C3199B" w:rsidR="00D00F4C" w:rsidRPr="00E93259" w:rsidRDefault="00073137" w:rsidP="704995BB">
      <w:pPr>
        <w:spacing w:after="0"/>
        <w:ind w:firstLine="720"/>
        <w:jc w:val="right"/>
        <w:rPr>
          <w:rFonts w:ascii="Times New Roman" w:hAnsi="Times New Roman" w:cs="Times New Roman"/>
          <w:i/>
          <w:iCs/>
          <w:sz w:val="24"/>
          <w:szCs w:val="24"/>
        </w:rPr>
      </w:pPr>
      <w:r w:rsidRPr="704995BB">
        <w:rPr>
          <w:rFonts w:ascii="Times New Roman" w:hAnsi="Times New Roman" w:cs="Times New Roman"/>
          <w:i/>
          <w:iCs/>
          <w:sz w:val="24"/>
          <w:szCs w:val="24"/>
        </w:rPr>
        <w:lastRenderedPageBreak/>
        <w:t>2</w:t>
      </w:r>
      <w:r w:rsidR="00A65C8C">
        <w:rPr>
          <w:rFonts w:ascii="Times New Roman" w:hAnsi="Times New Roman" w:cs="Times New Roman"/>
          <w:i/>
          <w:iCs/>
          <w:sz w:val="24"/>
          <w:szCs w:val="24"/>
        </w:rPr>
        <w:t>4</w:t>
      </w:r>
      <w:r w:rsidR="0071331A" w:rsidRPr="704995BB">
        <w:rPr>
          <w:rFonts w:ascii="Times New Roman" w:hAnsi="Times New Roman" w:cs="Times New Roman"/>
          <w:i/>
          <w:iCs/>
          <w:sz w:val="24"/>
          <w:szCs w:val="24"/>
        </w:rPr>
        <w:t xml:space="preserve">.tabula </w:t>
      </w:r>
    </w:p>
    <w:p w14:paraId="5CEADF9F" w14:textId="6E93FEA9" w:rsidR="00D00F4C" w:rsidRDefault="0071331A" w:rsidP="00D00F4C">
      <w:pPr>
        <w:jc w:val="center"/>
        <w:rPr>
          <w:rFonts w:ascii="Times New Roman" w:hAnsi="Times New Roman" w:cs="Times New Roman"/>
          <w:b/>
          <w:bCs/>
          <w:sz w:val="24"/>
          <w:szCs w:val="24"/>
        </w:rPr>
      </w:pPr>
      <w:r w:rsidRPr="0012317D">
        <w:rPr>
          <w:rFonts w:ascii="Times New Roman" w:hAnsi="Times New Roman" w:cs="Times New Roman"/>
          <w:b/>
          <w:bCs/>
          <w:sz w:val="24"/>
          <w:szCs w:val="24"/>
        </w:rPr>
        <w:t>Aknu transplantācijai stacionārās ārstniecības iestādēs nepieciešamais finansējums</w:t>
      </w:r>
      <w:r w:rsidR="007B3E06">
        <w:rPr>
          <w:rFonts w:ascii="Times New Roman" w:hAnsi="Times New Roman" w:cs="Times New Roman"/>
          <w:b/>
          <w:bCs/>
          <w:sz w:val="24"/>
          <w:szCs w:val="24"/>
        </w:rPr>
        <w:t xml:space="preserve"> 2017., 2018. un 2019.gadam</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30"/>
        <w:gridCol w:w="1134"/>
        <w:gridCol w:w="850"/>
        <w:gridCol w:w="851"/>
        <w:gridCol w:w="850"/>
        <w:gridCol w:w="851"/>
        <w:gridCol w:w="992"/>
        <w:gridCol w:w="992"/>
        <w:gridCol w:w="709"/>
        <w:gridCol w:w="709"/>
        <w:gridCol w:w="850"/>
        <w:gridCol w:w="709"/>
        <w:gridCol w:w="709"/>
        <w:gridCol w:w="709"/>
      </w:tblGrid>
      <w:tr w:rsidR="00566FD2" w14:paraId="42F6B1AB" w14:textId="77777777" w:rsidTr="00C4284B">
        <w:trPr>
          <w:cantSplit/>
          <w:trHeight w:val="1505"/>
          <w:jc w:val="center"/>
        </w:trPr>
        <w:tc>
          <w:tcPr>
            <w:tcW w:w="450" w:type="dxa"/>
            <w:shd w:val="clear" w:color="auto" w:fill="E36C0A" w:themeFill="accent6" w:themeFillShade="BF"/>
          </w:tcPr>
          <w:p w14:paraId="3A65D208" w14:textId="77777777" w:rsidR="00566FD2" w:rsidRPr="00847710" w:rsidRDefault="00566FD2" w:rsidP="005C58C0">
            <w:pPr>
              <w:spacing w:after="0" w:line="240" w:lineRule="auto"/>
              <w:rPr>
                <w:rFonts w:ascii="Times New Roman" w:eastAsia="Times New Roman" w:hAnsi="Times New Roman" w:cs="Times New Roman"/>
                <w:b/>
                <w:bCs/>
                <w:sz w:val="20"/>
                <w:szCs w:val="20"/>
                <w:lang w:eastAsia="lv-LV"/>
              </w:rPr>
            </w:pPr>
          </w:p>
        </w:tc>
        <w:tc>
          <w:tcPr>
            <w:tcW w:w="1530" w:type="dxa"/>
            <w:shd w:val="clear" w:color="auto" w:fill="E36C0A" w:themeFill="accent6" w:themeFillShade="BF"/>
            <w:vAlign w:val="center"/>
            <w:hideMark/>
          </w:tcPr>
          <w:p w14:paraId="6F3757DE" w14:textId="77777777" w:rsidR="00566FD2" w:rsidRPr="00847710" w:rsidRDefault="00566FD2" w:rsidP="005C58C0">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3932CD1F" w14:textId="77777777" w:rsidR="00566FD2" w:rsidRPr="00847710" w:rsidRDefault="00566FD2"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pakalpojuma</w:t>
            </w:r>
          </w:p>
          <w:p w14:paraId="6CF3E045" w14:textId="77777777" w:rsidR="00566FD2" w:rsidRPr="00847710" w:rsidRDefault="00566FD2"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62EFB83E" w14:textId="77777777" w:rsidR="00566FD2" w:rsidRPr="00847710" w:rsidRDefault="00566FD2" w:rsidP="005C58C0">
            <w:pPr>
              <w:spacing w:after="0" w:line="240" w:lineRule="auto"/>
              <w:ind w:left="113" w:right="113"/>
              <w:jc w:val="center"/>
              <w:rPr>
                <w:rFonts w:ascii="Times New Roman" w:eastAsia="Times New Roman" w:hAnsi="Times New Roman" w:cs="Times New Roman"/>
                <w:b/>
                <w:bCs/>
                <w:sz w:val="20"/>
                <w:szCs w:val="20"/>
                <w:lang w:eastAsia="lv-LV"/>
              </w:rPr>
            </w:pPr>
          </w:p>
        </w:tc>
        <w:tc>
          <w:tcPr>
            <w:tcW w:w="2551" w:type="dxa"/>
            <w:gridSpan w:val="3"/>
            <w:shd w:val="clear" w:color="auto" w:fill="E36C0A" w:themeFill="accent6" w:themeFillShade="BF"/>
            <w:textDirection w:val="btLr"/>
            <w:vAlign w:val="center"/>
          </w:tcPr>
          <w:p w14:paraId="217C020F" w14:textId="77777777" w:rsidR="00566FD2" w:rsidRPr="00847710" w:rsidRDefault="00566FD2" w:rsidP="005C58C0">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5" w:type="dxa"/>
            <w:gridSpan w:val="3"/>
            <w:shd w:val="clear" w:color="auto" w:fill="E36C0A" w:themeFill="accent6" w:themeFillShade="BF"/>
            <w:textDirection w:val="btLr"/>
            <w:vAlign w:val="center"/>
          </w:tcPr>
          <w:p w14:paraId="2D67C3A1" w14:textId="77777777" w:rsidR="00566FD2" w:rsidRPr="00847710" w:rsidRDefault="00566FD2"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268" w:type="dxa"/>
            <w:gridSpan w:val="3"/>
            <w:shd w:val="clear" w:color="auto" w:fill="E36C0A" w:themeFill="accent6" w:themeFillShade="BF"/>
            <w:textDirection w:val="btLr"/>
            <w:vAlign w:val="center"/>
          </w:tcPr>
          <w:p w14:paraId="00C8CA97" w14:textId="77777777" w:rsidR="00566FD2" w:rsidRPr="00847710" w:rsidRDefault="00566FD2"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127" w:type="dxa"/>
            <w:gridSpan w:val="3"/>
            <w:shd w:val="clear" w:color="auto" w:fill="E36C0A" w:themeFill="accent6" w:themeFillShade="BF"/>
            <w:textDirection w:val="btLr"/>
            <w:vAlign w:val="center"/>
          </w:tcPr>
          <w:p w14:paraId="3210A0D4" w14:textId="77777777" w:rsidR="00566FD2" w:rsidRPr="00847710" w:rsidRDefault="00566FD2"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C4284B" w14:paraId="17E1EF17" w14:textId="77777777" w:rsidTr="00C4284B">
        <w:trPr>
          <w:trHeight w:val="640"/>
          <w:jc w:val="center"/>
        </w:trPr>
        <w:tc>
          <w:tcPr>
            <w:tcW w:w="450" w:type="dxa"/>
            <w:shd w:val="clear" w:color="auto" w:fill="FABF8F" w:themeFill="accent6" w:themeFillTint="99"/>
          </w:tcPr>
          <w:p w14:paraId="0D0ACB7F"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p>
        </w:tc>
        <w:tc>
          <w:tcPr>
            <w:tcW w:w="1530" w:type="dxa"/>
            <w:shd w:val="clear" w:color="auto" w:fill="FABF8F" w:themeFill="accent6" w:themeFillTint="99"/>
            <w:vAlign w:val="center"/>
          </w:tcPr>
          <w:p w14:paraId="722D852D"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575AF879" w14:textId="77777777" w:rsidR="00566FD2" w:rsidRPr="00847710" w:rsidRDefault="00566FD2" w:rsidP="005C58C0">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57FB0DCD"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554D5520" w14:textId="77777777" w:rsidR="00566FD2"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12C79CCC" w14:textId="77777777" w:rsidR="00566FD2" w:rsidRPr="0012317D" w:rsidRDefault="00566FD2"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0ED6EE5E" w14:textId="77777777" w:rsidR="00566FD2"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6833EB9" w14:textId="77777777" w:rsidR="00566FD2" w:rsidRPr="0012317D" w:rsidRDefault="00566FD2"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540A3059" w14:textId="77777777" w:rsidR="00566FD2"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25EDAAD0" w14:textId="77777777" w:rsidR="00566FD2" w:rsidRPr="0012317D" w:rsidRDefault="00566FD2"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29BEB74B" w14:textId="77777777" w:rsidR="00566FD2"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148A87E6" w14:textId="77777777" w:rsidR="00566FD2" w:rsidRPr="0012317D" w:rsidRDefault="00566FD2"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218C3941" w14:textId="77777777" w:rsidR="00566FD2"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1B7D3D05" w14:textId="77777777" w:rsidR="00566FD2" w:rsidRPr="0012317D" w:rsidRDefault="00566FD2"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2E9AAA74" w14:textId="77777777" w:rsidR="00566FD2" w:rsidRPr="00C86312" w:rsidRDefault="00566FD2" w:rsidP="005C58C0">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7E8A0279" w14:textId="77777777" w:rsidR="00566FD2" w:rsidRPr="00C86312" w:rsidRDefault="00566FD2" w:rsidP="005C58C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9" w:type="dxa"/>
            <w:shd w:val="clear" w:color="auto" w:fill="FABF8F" w:themeFill="accent6" w:themeFillTint="99"/>
            <w:vAlign w:val="center"/>
          </w:tcPr>
          <w:p w14:paraId="0F8DD019"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4E75178A"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7D14D568"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234BF38A"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33CAB93E"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03315DA3" w14:textId="77777777" w:rsidR="00566FD2" w:rsidRPr="00847710" w:rsidRDefault="00566FD2" w:rsidP="005C58C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C4284B" w14:paraId="274DD87A" w14:textId="77777777" w:rsidTr="00C4284B">
        <w:trPr>
          <w:trHeight w:val="598"/>
          <w:jc w:val="center"/>
        </w:trPr>
        <w:tc>
          <w:tcPr>
            <w:tcW w:w="450" w:type="dxa"/>
            <w:shd w:val="clear" w:color="auto" w:fill="FFFFFF" w:themeFill="background1"/>
          </w:tcPr>
          <w:p w14:paraId="519DF3AA"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530" w:type="dxa"/>
            <w:shd w:val="clear" w:color="auto" w:fill="FFFFFF" w:themeFill="background1"/>
            <w:vAlign w:val="bottom"/>
          </w:tcPr>
          <w:p w14:paraId="339994FA" w14:textId="0C2E61A1" w:rsidR="00566FD2" w:rsidRPr="00FD7B70" w:rsidRDefault="00566FD2" w:rsidP="00566FD2">
            <w:pPr>
              <w:spacing w:after="0" w:line="240" w:lineRule="auto"/>
              <w:rPr>
                <w:rFonts w:ascii="Times New Roman" w:eastAsia="Times New Roman" w:hAnsi="Times New Roman" w:cs="Times New Roman"/>
                <w:bCs/>
                <w:sz w:val="16"/>
                <w:szCs w:val="16"/>
                <w:lang w:eastAsia="lv-LV"/>
              </w:rPr>
            </w:pPr>
            <w:r w:rsidRPr="00E11AFF">
              <w:rPr>
                <w:rFonts w:ascii="Times New Roman" w:eastAsia="Times New Roman" w:hAnsi="Times New Roman" w:cs="Times New Roman"/>
                <w:sz w:val="16"/>
                <w:szCs w:val="16"/>
                <w:lang w:eastAsia="lv-LV"/>
              </w:rPr>
              <w:t>imūnsupresīvās terapijas medikamentu nodrošināšana pēc transplantācijas</w:t>
            </w:r>
          </w:p>
        </w:tc>
        <w:tc>
          <w:tcPr>
            <w:tcW w:w="1134" w:type="dxa"/>
            <w:shd w:val="clear" w:color="auto" w:fill="FFFFFF" w:themeFill="background1"/>
            <w:vAlign w:val="center"/>
          </w:tcPr>
          <w:p w14:paraId="25F51AF5" w14:textId="466656AA" w:rsidR="00566FD2" w:rsidRPr="00030FAC" w:rsidRDefault="00566FD2" w:rsidP="00566FD2">
            <w:pPr>
              <w:spacing w:after="0" w:line="240" w:lineRule="auto"/>
              <w:jc w:val="center"/>
              <w:rPr>
                <w:rFonts w:ascii="Times New Roman" w:eastAsia="Times New Roman" w:hAnsi="Times New Roman" w:cs="Times New Roman"/>
                <w:iCs/>
                <w:sz w:val="16"/>
                <w:szCs w:val="16"/>
                <w:lang w:eastAsia="lv-LV"/>
              </w:rPr>
            </w:pPr>
            <w:r w:rsidRPr="00847710">
              <w:rPr>
                <w:rFonts w:ascii="Times New Roman" w:hAnsi="Times New Roman" w:cs="Times New Roman"/>
                <w:sz w:val="20"/>
                <w:szCs w:val="20"/>
              </w:rPr>
              <w:t>11 053</w:t>
            </w:r>
          </w:p>
        </w:tc>
        <w:tc>
          <w:tcPr>
            <w:tcW w:w="850" w:type="dxa"/>
            <w:shd w:val="clear" w:color="auto" w:fill="FFFFFF" w:themeFill="background1"/>
            <w:vAlign w:val="center"/>
          </w:tcPr>
          <w:p w14:paraId="4717DE34" w14:textId="77777777" w:rsidR="00566FD2"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9B44961" w14:textId="77777777" w:rsidR="00566FD2"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46FFBF0"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2720D6AB" w14:textId="77777777" w:rsidR="00566FD2"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31D8259B" w14:textId="0EA56CCA" w:rsidR="00566FD2"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hAnsi="Times New Roman" w:cs="Times New Roman"/>
                <w:sz w:val="20"/>
                <w:szCs w:val="20"/>
              </w:rPr>
              <w:t>77 371</w:t>
            </w:r>
          </w:p>
        </w:tc>
        <w:tc>
          <w:tcPr>
            <w:tcW w:w="992" w:type="dxa"/>
            <w:shd w:val="clear" w:color="auto" w:fill="FFFFFF" w:themeFill="background1"/>
            <w:vAlign w:val="center"/>
          </w:tcPr>
          <w:p w14:paraId="4C2769B9" w14:textId="122BAB96" w:rsidR="00566FD2" w:rsidRPr="00030FAC" w:rsidRDefault="00566FD2" w:rsidP="00566FD2">
            <w:pPr>
              <w:spacing w:after="0" w:line="240" w:lineRule="auto"/>
              <w:jc w:val="center"/>
              <w:rPr>
                <w:rFonts w:ascii="Times New Roman" w:eastAsia="Times New Roman" w:hAnsi="Times New Roman" w:cs="Times New Roman"/>
                <w:bCs/>
                <w:sz w:val="16"/>
                <w:szCs w:val="16"/>
                <w:lang w:eastAsia="lv-LV"/>
              </w:rPr>
            </w:pPr>
            <w:r w:rsidRPr="00847710">
              <w:rPr>
                <w:rFonts w:ascii="Times New Roman" w:hAnsi="Times New Roman" w:cs="Times New Roman"/>
                <w:sz w:val="20"/>
                <w:szCs w:val="20"/>
              </w:rPr>
              <w:t>77 371</w:t>
            </w:r>
          </w:p>
        </w:tc>
        <w:tc>
          <w:tcPr>
            <w:tcW w:w="709" w:type="dxa"/>
            <w:shd w:val="clear" w:color="auto" w:fill="FFFFFF" w:themeFill="background1"/>
            <w:vAlign w:val="center"/>
          </w:tcPr>
          <w:p w14:paraId="1F0FC3D0"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AD7C1BA"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22FDB22"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00F663AC" w14:textId="77777777" w:rsidR="00566FD2"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075A796F" w14:textId="1FDA010A" w:rsidR="00566FD2" w:rsidRPr="00EE2D43" w:rsidRDefault="00566FD2" w:rsidP="00566FD2">
            <w:pPr>
              <w:spacing w:after="0" w:line="240" w:lineRule="auto"/>
              <w:jc w:val="center"/>
              <w:rPr>
                <w:rFonts w:ascii="Times New Roman" w:eastAsia="Times New Roman" w:hAnsi="Times New Roman" w:cs="Times New Roman"/>
                <w:bCs/>
                <w:sz w:val="20"/>
                <w:szCs w:val="20"/>
                <w:lang w:eastAsia="lv-LV"/>
              </w:rPr>
            </w:pPr>
            <w:r w:rsidRPr="00EE2D43">
              <w:rPr>
                <w:rFonts w:ascii="Times New Roman" w:hAnsi="Times New Roman" w:cs="Times New Roman"/>
                <w:b/>
                <w:bCs/>
                <w:sz w:val="20"/>
                <w:szCs w:val="20"/>
              </w:rPr>
              <w:t>7</w:t>
            </w:r>
          </w:p>
        </w:tc>
        <w:tc>
          <w:tcPr>
            <w:tcW w:w="709" w:type="dxa"/>
            <w:shd w:val="clear" w:color="auto" w:fill="FFFFFF" w:themeFill="background1"/>
            <w:vAlign w:val="center"/>
          </w:tcPr>
          <w:p w14:paraId="34F1476C" w14:textId="41B2E851" w:rsidR="00566FD2" w:rsidRPr="00EE2D43" w:rsidRDefault="00566FD2" w:rsidP="00566FD2">
            <w:pPr>
              <w:spacing w:after="0" w:line="240" w:lineRule="auto"/>
              <w:jc w:val="center"/>
              <w:rPr>
                <w:rFonts w:ascii="Times New Roman" w:eastAsia="Times New Roman" w:hAnsi="Times New Roman" w:cs="Times New Roman"/>
                <w:bCs/>
                <w:sz w:val="20"/>
                <w:szCs w:val="20"/>
                <w:lang w:eastAsia="lv-LV"/>
              </w:rPr>
            </w:pPr>
            <w:r w:rsidRPr="00EE2D43">
              <w:rPr>
                <w:rFonts w:ascii="Times New Roman" w:hAnsi="Times New Roman" w:cs="Times New Roman"/>
                <w:b/>
                <w:bCs/>
                <w:sz w:val="20"/>
                <w:szCs w:val="20"/>
              </w:rPr>
              <w:t>7</w:t>
            </w:r>
          </w:p>
        </w:tc>
      </w:tr>
      <w:tr w:rsidR="00C4284B" w14:paraId="3F84F621" w14:textId="77777777" w:rsidTr="00C4284B">
        <w:trPr>
          <w:trHeight w:val="598"/>
          <w:jc w:val="center"/>
        </w:trPr>
        <w:tc>
          <w:tcPr>
            <w:tcW w:w="450" w:type="dxa"/>
            <w:shd w:val="clear" w:color="auto" w:fill="FFFFFF" w:themeFill="background1"/>
          </w:tcPr>
          <w:p w14:paraId="70768EFE"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r w:rsidRPr="00E1067B">
              <w:rPr>
                <w:rFonts w:ascii="Times New Roman" w:eastAsia="Times New Roman" w:hAnsi="Times New Roman" w:cs="Times New Roman"/>
                <w:bCs/>
                <w:sz w:val="20"/>
                <w:szCs w:val="20"/>
                <w:lang w:eastAsia="lv-LV"/>
              </w:rPr>
              <w:t>.</w:t>
            </w:r>
          </w:p>
        </w:tc>
        <w:tc>
          <w:tcPr>
            <w:tcW w:w="1530" w:type="dxa"/>
            <w:shd w:val="clear" w:color="auto" w:fill="FFFFFF" w:themeFill="background1"/>
            <w:vAlign w:val="bottom"/>
          </w:tcPr>
          <w:p w14:paraId="0F589BD7" w14:textId="1ABAF31D" w:rsidR="00566FD2" w:rsidRPr="00FD7B70" w:rsidRDefault="00566FD2" w:rsidP="00566FD2">
            <w:pPr>
              <w:spacing w:after="0" w:line="240" w:lineRule="auto"/>
              <w:rPr>
                <w:rFonts w:ascii="Times New Roman" w:eastAsia="Times New Roman" w:hAnsi="Times New Roman" w:cs="Times New Roman"/>
                <w:bCs/>
                <w:sz w:val="16"/>
                <w:szCs w:val="16"/>
                <w:lang w:eastAsia="lv-LV"/>
              </w:rPr>
            </w:pPr>
            <w:r w:rsidRPr="00E11AFF">
              <w:rPr>
                <w:rFonts w:ascii="Times New Roman" w:eastAsia="Times New Roman" w:hAnsi="Times New Roman" w:cs="Times New Roman"/>
                <w:sz w:val="16"/>
                <w:szCs w:val="16"/>
                <w:lang w:eastAsia="lv-LV"/>
              </w:rPr>
              <w:t>ambulatorās konsultācijas un izmeklējumus pēc aknu transplantācijas</w:t>
            </w:r>
          </w:p>
        </w:tc>
        <w:tc>
          <w:tcPr>
            <w:tcW w:w="1134" w:type="dxa"/>
            <w:shd w:val="clear" w:color="auto" w:fill="FFFFFF" w:themeFill="background1"/>
            <w:vAlign w:val="center"/>
          </w:tcPr>
          <w:p w14:paraId="555F3A6E" w14:textId="2839153C" w:rsidR="00566FD2" w:rsidRPr="00030FAC" w:rsidRDefault="00566FD2" w:rsidP="00566FD2">
            <w:pPr>
              <w:spacing w:after="0" w:line="240" w:lineRule="auto"/>
              <w:jc w:val="center"/>
              <w:rPr>
                <w:rFonts w:ascii="Times New Roman" w:eastAsia="Times New Roman" w:hAnsi="Times New Roman" w:cs="Times New Roman"/>
                <w:iCs/>
                <w:sz w:val="16"/>
                <w:szCs w:val="16"/>
                <w:lang w:eastAsia="lv-LV"/>
              </w:rPr>
            </w:pPr>
            <w:r>
              <w:rPr>
                <w:rFonts w:ascii="Times New Roman" w:hAnsi="Times New Roman" w:cs="Times New Roman"/>
                <w:sz w:val="20"/>
                <w:szCs w:val="20"/>
              </w:rPr>
              <w:t>1 043.05</w:t>
            </w:r>
          </w:p>
        </w:tc>
        <w:tc>
          <w:tcPr>
            <w:tcW w:w="850" w:type="dxa"/>
            <w:shd w:val="clear" w:color="auto" w:fill="FFFFFF" w:themeFill="background1"/>
            <w:vAlign w:val="center"/>
          </w:tcPr>
          <w:p w14:paraId="4151780F"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D77B914"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504281B"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2B8366C1"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6B09D6DF" w14:textId="44AE6918"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hAnsi="Times New Roman" w:cs="Times New Roman"/>
                <w:sz w:val="20"/>
                <w:szCs w:val="20"/>
              </w:rPr>
              <w:t>148 052</w:t>
            </w:r>
          </w:p>
        </w:tc>
        <w:tc>
          <w:tcPr>
            <w:tcW w:w="992" w:type="dxa"/>
            <w:shd w:val="clear" w:color="auto" w:fill="FFFFFF" w:themeFill="background1"/>
            <w:vAlign w:val="center"/>
          </w:tcPr>
          <w:p w14:paraId="73852444" w14:textId="6AB08145" w:rsidR="00566FD2" w:rsidRPr="00030FAC" w:rsidRDefault="00566FD2" w:rsidP="00566FD2">
            <w:pPr>
              <w:spacing w:after="0" w:line="240" w:lineRule="auto"/>
              <w:jc w:val="center"/>
              <w:rPr>
                <w:rFonts w:ascii="Times New Roman" w:eastAsia="Times New Roman" w:hAnsi="Times New Roman" w:cs="Times New Roman"/>
                <w:bCs/>
                <w:sz w:val="16"/>
                <w:szCs w:val="16"/>
                <w:lang w:eastAsia="lv-LV"/>
              </w:rPr>
            </w:pPr>
            <w:r>
              <w:rPr>
                <w:rFonts w:ascii="Times New Roman" w:hAnsi="Times New Roman" w:cs="Times New Roman"/>
                <w:sz w:val="20"/>
                <w:szCs w:val="20"/>
              </w:rPr>
              <w:t>7 301</w:t>
            </w:r>
          </w:p>
        </w:tc>
        <w:tc>
          <w:tcPr>
            <w:tcW w:w="709" w:type="dxa"/>
            <w:shd w:val="clear" w:color="auto" w:fill="FFFFFF" w:themeFill="background1"/>
            <w:vAlign w:val="center"/>
          </w:tcPr>
          <w:p w14:paraId="55CD3D43"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DB41738"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0EB9E0E"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2A1B4957" w14:textId="77777777" w:rsidR="00566FD2" w:rsidRPr="00E1067B" w:rsidRDefault="00566FD2" w:rsidP="00566FD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73D968AB" w14:textId="6BE08EB8" w:rsidR="00566FD2" w:rsidRPr="00EE2D43" w:rsidRDefault="00566FD2" w:rsidP="00566FD2">
            <w:pPr>
              <w:spacing w:after="0" w:line="240" w:lineRule="auto"/>
              <w:jc w:val="center"/>
              <w:rPr>
                <w:rFonts w:ascii="Times New Roman" w:eastAsia="Times New Roman" w:hAnsi="Times New Roman" w:cs="Times New Roman"/>
                <w:bCs/>
                <w:sz w:val="20"/>
                <w:szCs w:val="20"/>
                <w:lang w:eastAsia="lv-LV"/>
              </w:rPr>
            </w:pPr>
            <w:r w:rsidRPr="00EE2D43">
              <w:rPr>
                <w:rFonts w:ascii="Times New Roman" w:hAnsi="Times New Roman" w:cs="Times New Roman"/>
                <w:b/>
                <w:bCs/>
                <w:sz w:val="20"/>
                <w:szCs w:val="20"/>
              </w:rPr>
              <w:t>7</w:t>
            </w:r>
          </w:p>
        </w:tc>
        <w:tc>
          <w:tcPr>
            <w:tcW w:w="709" w:type="dxa"/>
            <w:shd w:val="clear" w:color="auto" w:fill="FFFFFF" w:themeFill="background1"/>
            <w:vAlign w:val="center"/>
          </w:tcPr>
          <w:p w14:paraId="76914EB2" w14:textId="67B5FD4D" w:rsidR="00566FD2" w:rsidRPr="00EE2D43" w:rsidRDefault="00566FD2" w:rsidP="00566FD2">
            <w:pPr>
              <w:spacing w:after="0" w:line="240" w:lineRule="auto"/>
              <w:jc w:val="center"/>
              <w:rPr>
                <w:rFonts w:ascii="Times New Roman" w:eastAsia="Times New Roman" w:hAnsi="Times New Roman" w:cs="Times New Roman"/>
                <w:bCs/>
                <w:sz w:val="20"/>
                <w:szCs w:val="20"/>
                <w:lang w:eastAsia="lv-LV"/>
              </w:rPr>
            </w:pPr>
            <w:r w:rsidRPr="00EE2D43">
              <w:rPr>
                <w:rFonts w:ascii="Times New Roman" w:hAnsi="Times New Roman" w:cs="Times New Roman"/>
                <w:b/>
                <w:bCs/>
                <w:sz w:val="20"/>
                <w:szCs w:val="20"/>
              </w:rPr>
              <w:t>7</w:t>
            </w:r>
          </w:p>
        </w:tc>
      </w:tr>
      <w:tr w:rsidR="00025DB7" w14:paraId="366BB76F" w14:textId="77777777" w:rsidTr="00C4284B">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6AE32661" w14:textId="77777777" w:rsidR="00566FD2" w:rsidRPr="00847710" w:rsidRDefault="00566FD2" w:rsidP="00566FD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47710">
              <w:rPr>
                <w:rFonts w:ascii="Times New Roman" w:eastAsia="Times New Roman" w:hAnsi="Times New Roman" w:cs="Times New Roman"/>
                <w:sz w:val="20"/>
                <w:szCs w:val="20"/>
                <w:lang w:eastAsia="lv-LV"/>
              </w:rPr>
              <w:t>.</w:t>
            </w:r>
          </w:p>
        </w:tc>
        <w:tc>
          <w:tcPr>
            <w:tcW w:w="1530" w:type="dxa"/>
            <w:tcBorders>
              <w:top w:val="single" w:sz="4" w:space="0" w:color="auto"/>
              <w:left w:val="single" w:sz="4" w:space="0" w:color="auto"/>
              <w:bottom w:val="single" w:sz="4" w:space="0" w:color="auto"/>
              <w:right w:val="single" w:sz="4" w:space="0" w:color="auto"/>
            </w:tcBorders>
            <w:vAlign w:val="bottom"/>
          </w:tcPr>
          <w:p w14:paraId="274441A3" w14:textId="42A05C3D" w:rsidR="00566FD2" w:rsidRPr="00FD7B70" w:rsidRDefault="00566FD2" w:rsidP="00566FD2">
            <w:pPr>
              <w:spacing w:after="0" w:line="240" w:lineRule="auto"/>
              <w:rPr>
                <w:rFonts w:ascii="Times New Roman" w:eastAsia="Times New Roman" w:hAnsi="Times New Roman" w:cs="Times New Roman"/>
                <w:sz w:val="16"/>
                <w:szCs w:val="16"/>
                <w:lang w:eastAsia="lv-LV"/>
              </w:rPr>
            </w:pPr>
            <w:r w:rsidRPr="00E11AFF">
              <w:rPr>
                <w:rFonts w:ascii="Times New Roman" w:eastAsia="Times New Roman" w:hAnsi="Times New Roman" w:cs="Times New Roman"/>
                <w:sz w:val="16"/>
                <w:szCs w:val="16"/>
                <w:lang w:eastAsia="lv-LV"/>
              </w:rPr>
              <w:t>Transplantācijas operācijas nodrošināšana stacionārā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6E15C" w14:textId="138D5FAF" w:rsidR="00566FD2" w:rsidRPr="00030FAC" w:rsidRDefault="00566FD2" w:rsidP="00566FD2">
            <w:pPr>
              <w:spacing w:after="0" w:line="240" w:lineRule="auto"/>
              <w:jc w:val="center"/>
              <w:rPr>
                <w:rFonts w:ascii="Times New Roman" w:eastAsia="Times New Roman" w:hAnsi="Times New Roman" w:cs="Times New Roman"/>
                <w:sz w:val="16"/>
                <w:szCs w:val="16"/>
                <w:lang w:eastAsia="lv-LV"/>
              </w:rPr>
            </w:pPr>
            <w:r>
              <w:rPr>
                <w:rFonts w:ascii="Times New Roman" w:hAnsi="Times New Roman" w:cs="Times New Roman"/>
                <w:sz w:val="20"/>
                <w:szCs w:val="20"/>
              </w:rPr>
              <w:t>39 225.</w:t>
            </w:r>
            <w:r w:rsidRPr="00847710">
              <w:rPr>
                <w:rFonts w:ascii="Times New Roman" w:hAnsi="Times New Roman" w:cs="Times New Roman"/>
                <w:sz w:val="20"/>
                <w:szCs w:val="20"/>
              </w:rPr>
              <w:t>4</w:t>
            </w: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3750436A" w14:textId="77777777"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D370DCE" w14:textId="77777777"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4196409" w14:textId="77777777"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D1FA30F" w14:textId="77777777"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1BF3E9C" w14:textId="3BF210E1"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274 578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19714" w14:textId="18252276" w:rsidR="00566FD2" w:rsidRPr="00030FAC" w:rsidRDefault="00566FD2" w:rsidP="00566FD2">
            <w:pPr>
              <w:spacing w:after="0" w:line="240" w:lineRule="auto"/>
              <w:jc w:val="center"/>
              <w:rPr>
                <w:rFonts w:ascii="Times New Roman" w:eastAsia="Times New Roman" w:hAnsi="Times New Roman" w:cs="Times New Roman"/>
                <w:sz w:val="16"/>
                <w:szCs w:val="16"/>
                <w:lang w:eastAsia="lv-LV"/>
              </w:rPr>
            </w:pPr>
            <w:r w:rsidRPr="00847710">
              <w:rPr>
                <w:rFonts w:ascii="Times New Roman" w:hAnsi="Times New Roman" w:cs="Times New Roman"/>
                <w:sz w:val="20"/>
                <w:szCs w:val="20"/>
              </w:rPr>
              <w:t>274 578</w:t>
            </w:r>
          </w:p>
        </w:tc>
        <w:tc>
          <w:tcPr>
            <w:tcW w:w="709" w:type="dxa"/>
            <w:tcBorders>
              <w:top w:val="single" w:sz="4" w:space="0" w:color="auto"/>
              <w:left w:val="single" w:sz="4" w:space="0" w:color="auto"/>
              <w:bottom w:val="single" w:sz="4" w:space="0" w:color="auto"/>
              <w:right w:val="single" w:sz="4" w:space="0" w:color="auto"/>
            </w:tcBorders>
            <w:vAlign w:val="center"/>
          </w:tcPr>
          <w:p w14:paraId="239D9AC9" w14:textId="77777777" w:rsidR="00566FD2" w:rsidRPr="000C29E1" w:rsidRDefault="00566FD2" w:rsidP="00566FD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047C431" w14:textId="77777777" w:rsidR="00566FD2" w:rsidRPr="000C29E1" w:rsidRDefault="00566FD2" w:rsidP="00566FD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C3E8E54" w14:textId="77777777" w:rsidR="00566FD2" w:rsidRPr="000C29E1" w:rsidRDefault="00566FD2" w:rsidP="00566FD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6E6F02D" w14:textId="77777777" w:rsidR="00566FD2" w:rsidRPr="000C29E1" w:rsidRDefault="00566FD2" w:rsidP="00566FD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498C902" w14:textId="2154D77C" w:rsidR="00566FD2" w:rsidRPr="00EE2D43" w:rsidRDefault="00566FD2" w:rsidP="00566FD2">
            <w:pPr>
              <w:spacing w:after="0" w:line="240" w:lineRule="auto"/>
              <w:jc w:val="center"/>
              <w:rPr>
                <w:rFonts w:ascii="Times New Roman" w:hAnsi="Times New Roman" w:cs="Times New Roman"/>
                <w:b/>
                <w:bCs/>
                <w:sz w:val="20"/>
                <w:szCs w:val="20"/>
              </w:rPr>
            </w:pPr>
            <w:r w:rsidRPr="00EE2D43">
              <w:rPr>
                <w:rFonts w:ascii="Times New Roman" w:hAnsi="Times New Roman" w:cs="Times New Roman"/>
                <w:b/>
                <w:bCs/>
                <w:sz w:val="20"/>
                <w:szCs w:val="20"/>
              </w:rPr>
              <w:t>7</w:t>
            </w:r>
          </w:p>
        </w:tc>
        <w:tc>
          <w:tcPr>
            <w:tcW w:w="709" w:type="dxa"/>
            <w:tcBorders>
              <w:top w:val="single" w:sz="4" w:space="0" w:color="auto"/>
              <w:left w:val="single" w:sz="4" w:space="0" w:color="auto"/>
              <w:bottom w:val="single" w:sz="4" w:space="0" w:color="auto"/>
              <w:right w:val="single" w:sz="4" w:space="0" w:color="auto"/>
            </w:tcBorders>
            <w:noWrap/>
            <w:vAlign w:val="center"/>
          </w:tcPr>
          <w:p w14:paraId="246449B0" w14:textId="513E0095" w:rsidR="00566FD2" w:rsidRPr="00EE2D43" w:rsidRDefault="00566FD2" w:rsidP="00566FD2">
            <w:pPr>
              <w:spacing w:after="0" w:line="240" w:lineRule="auto"/>
              <w:jc w:val="center"/>
              <w:rPr>
                <w:rFonts w:ascii="Times New Roman" w:eastAsia="Times New Roman" w:hAnsi="Times New Roman" w:cs="Times New Roman"/>
                <w:b/>
                <w:sz w:val="20"/>
                <w:szCs w:val="20"/>
                <w:lang w:eastAsia="lv-LV"/>
              </w:rPr>
            </w:pPr>
            <w:r w:rsidRPr="00EE2D43">
              <w:rPr>
                <w:rFonts w:ascii="Times New Roman" w:hAnsi="Times New Roman" w:cs="Times New Roman"/>
                <w:b/>
                <w:bCs/>
                <w:sz w:val="20"/>
                <w:szCs w:val="20"/>
              </w:rPr>
              <w:t>7</w:t>
            </w:r>
          </w:p>
        </w:tc>
      </w:tr>
      <w:tr w:rsidR="00025DB7" w14:paraId="5E8E253A" w14:textId="77777777" w:rsidTr="00C4284B">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22F839B0" w14:textId="24E79AF7" w:rsidR="00566FD2" w:rsidRDefault="00566FD2" w:rsidP="00566FD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1530" w:type="dxa"/>
            <w:tcBorders>
              <w:top w:val="single" w:sz="4" w:space="0" w:color="auto"/>
              <w:left w:val="single" w:sz="4" w:space="0" w:color="auto"/>
              <w:bottom w:val="single" w:sz="4" w:space="0" w:color="auto"/>
              <w:right w:val="single" w:sz="4" w:space="0" w:color="auto"/>
            </w:tcBorders>
            <w:vAlign w:val="bottom"/>
          </w:tcPr>
          <w:p w14:paraId="27C9D261" w14:textId="1CFF5998" w:rsidR="00566FD2" w:rsidRPr="00FD7B70" w:rsidRDefault="00566FD2" w:rsidP="00566FD2">
            <w:pPr>
              <w:spacing w:after="0" w:line="240" w:lineRule="auto"/>
              <w:rPr>
                <w:rFonts w:ascii="Times New Roman" w:hAnsi="Times New Roman"/>
                <w:sz w:val="16"/>
                <w:szCs w:val="16"/>
              </w:rPr>
            </w:pPr>
            <w:r w:rsidRPr="00E11AFF">
              <w:rPr>
                <w:rFonts w:ascii="Times New Roman" w:eastAsia="Times New Roman" w:hAnsi="Times New Roman" w:cs="Times New Roman"/>
                <w:sz w:val="16"/>
                <w:szCs w:val="16"/>
                <w:lang w:eastAsia="lv-LV"/>
              </w:rPr>
              <w:t>Pacienta izmeklēšana pirms ortotopiskas aknu transplantācijas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8AAFC" w14:textId="319C7B4A" w:rsidR="00566FD2" w:rsidRPr="00030FAC" w:rsidRDefault="00566FD2" w:rsidP="00566FD2">
            <w:pPr>
              <w:spacing w:after="0" w:line="240" w:lineRule="auto"/>
              <w:jc w:val="center"/>
              <w:rPr>
                <w:rFonts w:ascii="Times New Roman" w:hAnsi="Times New Roman"/>
                <w:b/>
                <w:bCs/>
                <w:sz w:val="16"/>
                <w:szCs w:val="16"/>
              </w:rPr>
            </w:pPr>
            <w:r>
              <w:rPr>
                <w:rFonts w:ascii="Times New Roman" w:hAnsi="Times New Roman" w:cs="Times New Roman"/>
                <w:sz w:val="20"/>
                <w:szCs w:val="20"/>
              </w:rPr>
              <w:t>8 446.29</w:t>
            </w:r>
          </w:p>
        </w:tc>
        <w:tc>
          <w:tcPr>
            <w:tcW w:w="850" w:type="dxa"/>
            <w:tcBorders>
              <w:top w:val="single" w:sz="4" w:space="0" w:color="auto"/>
              <w:left w:val="single" w:sz="4" w:space="0" w:color="auto"/>
              <w:bottom w:val="single" w:sz="4" w:space="0" w:color="auto"/>
              <w:right w:val="single" w:sz="4" w:space="0" w:color="auto"/>
            </w:tcBorders>
            <w:vAlign w:val="center"/>
          </w:tcPr>
          <w:p w14:paraId="6FE42D8E" w14:textId="421C80AD"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FB4A0A4" w14:textId="5A814231"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F837763" w14:textId="2BD5275F"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187F991" w14:textId="279D5A3F"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87DF907" w14:textId="3838A7E1" w:rsidR="00566FD2"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7B14" w14:textId="732C2486" w:rsidR="00566FD2" w:rsidRPr="00030FAC" w:rsidRDefault="00566FD2" w:rsidP="00566FD2">
            <w:pPr>
              <w:spacing w:after="0" w:line="240" w:lineRule="auto"/>
              <w:jc w:val="center"/>
              <w:rPr>
                <w:rFonts w:ascii="Times New Roman" w:eastAsia="Times New Roman" w:hAnsi="Times New Roman" w:cs="Times New Roman"/>
                <w:bCs/>
                <w:color w:val="000000"/>
                <w:sz w:val="16"/>
                <w:szCs w:val="16"/>
                <w:lang w:eastAsia="lv-LV"/>
              </w:rPr>
            </w:pPr>
            <w:r>
              <w:rPr>
                <w:rFonts w:ascii="Times New Roman" w:hAnsi="Times New Roman" w:cs="Times New Roman"/>
                <w:sz w:val="20"/>
                <w:szCs w:val="20"/>
              </w:rPr>
              <w:t>59 124</w:t>
            </w:r>
          </w:p>
        </w:tc>
        <w:tc>
          <w:tcPr>
            <w:tcW w:w="709" w:type="dxa"/>
            <w:tcBorders>
              <w:top w:val="single" w:sz="4" w:space="0" w:color="auto"/>
              <w:left w:val="single" w:sz="4" w:space="0" w:color="auto"/>
              <w:bottom w:val="single" w:sz="4" w:space="0" w:color="auto"/>
              <w:right w:val="single" w:sz="4" w:space="0" w:color="auto"/>
            </w:tcBorders>
            <w:vAlign w:val="center"/>
          </w:tcPr>
          <w:p w14:paraId="66C979B7" w14:textId="1480FAC1" w:rsidR="00566FD2" w:rsidRDefault="00566FD2" w:rsidP="00566FD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A4F5E4F" w14:textId="33208539" w:rsidR="00566FD2" w:rsidRDefault="00566FD2" w:rsidP="00566FD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1E1EE11" w14:textId="01A39DA6" w:rsidR="00566FD2" w:rsidRDefault="00566FD2" w:rsidP="00566FD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376D532" w14:textId="7CE396C8" w:rsidR="00566FD2" w:rsidRDefault="00566FD2" w:rsidP="00566FD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0DDC2E5" w14:textId="52A947D1" w:rsidR="00566FD2" w:rsidRPr="00EE2D43" w:rsidRDefault="00566FD2" w:rsidP="00566FD2">
            <w:pPr>
              <w:spacing w:after="0" w:line="240" w:lineRule="auto"/>
              <w:jc w:val="center"/>
              <w:rPr>
                <w:rFonts w:ascii="Times New Roman" w:hAnsi="Times New Roman" w:cs="Times New Roman"/>
                <w:b/>
                <w:bCs/>
                <w:sz w:val="20"/>
                <w:szCs w:val="20"/>
              </w:rPr>
            </w:pPr>
            <w:r w:rsidRPr="00EE2D43">
              <w:rPr>
                <w:rFonts w:ascii="Times New Roman" w:hAnsi="Times New Roman" w:cs="Times New Roman"/>
                <w:b/>
                <w:bCs/>
                <w:sz w:val="20"/>
                <w:szCs w:val="20"/>
              </w:rPr>
              <w:t>7</w:t>
            </w:r>
          </w:p>
        </w:tc>
        <w:tc>
          <w:tcPr>
            <w:tcW w:w="709" w:type="dxa"/>
            <w:tcBorders>
              <w:top w:val="single" w:sz="4" w:space="0" w:color="auto"/>
              <w:left w:val="single" w:sz="4" w:space="0" w:color="auto"/>
              <w:bottom w:val="single" w:sz="4" w:space="0" w:color="auto"/>
              <w:right w:val="single" w:sz="4" w:space="0" w:color="auto"/>
            </w:tcBorders>
            <w:noWrap/>
            <w:vAlign w:val="center"/>
          </w:tcPr>
          <w:p w14:paraId="168A9BF8" w14:textId="43350826" w:rsidR="00566FD2" w:rsidRPr="00EE2D43" w:rsidRDefault="00566FD2" w:rsidP="00566FD2">
            <w:pPr>
              <w:spacing w:after="0" w:line="240" w:lineRule="auto"/>
              <w:jc w:val="center"/>
              <w:rPr>
                <w:rFonts w:ascii="Times New Roman" w:eastAsia="Times New Roman" w:hAnsi="Times New Roman" w:cs="Times New Roman"/>
                <w:b/>
                <w:bCs/>
                <w:sz w:val="20"/>
                <w:szCs w:val="20"/>
                <w:lang w:eastAsia="lv-LV"/>
              </w:rPr>
            </w:pPr>
            <w:r w:rsidRPr="00EE2D43">
              <w:rPr>
                <w:rFonts w:ascii="Times New Roman" w:hAnsi="Times New Roman" w:cs="Times New Roman"/>
                <w:b/>
                <w:bCs/>
                <w:sz w:val="20"/>
                <w:szCs w:val="20"/>
              </w:rPr>
              <w:t>7</w:t>
            </w:r>
          </w:p>
        </w:tc>
      </w:tr>
      <w:tr w:rsidR="00C4284B" w14:paraId="64523AC4" w14:textId="77777777" w:rsidTr="00C4284B">
        <w:trPr>
          <w:trHeight w:val="296"/>
          <w:jc w:val="center"/>
        </w:trPr>
        <w:tc>
          <w:tcPr>
            <w:tcW w:w="450" w:type="dxa"/>
            <w:shd w:val="clear" w:color="auto" w:fill="FBD4B4" w:themeFill="accent6" w:themeFillTint="66"/>
          </w:tcPr>
          <w:p w14:paraId="5D68F6A3" w14:textId="77777777" w:rsidR="00566FD2" w:rsidRPr="00847710" w:rsidRDefault="00566FD2" w:rsidP="00566FD2">
            <w:pPr>
              <w:spacing w:after="0" w:line="240" w:lineRule="auto"/>
              <w:rPr>
                <w:rFonts w:ascii="Times New Roman" w:eastAsia="Times New Roman" w:hAnsi="Times New Roman" w:cs="Times New Roman"/>
                <w:sz w:val="20"/>
                <w:szCs w:val="20"/>
                <w:lang w:eastAsia="lv-LV"/>
              </w:rPr>
            </w:pPr>
          </w:p>
        </w:tc>
        <w:tc>
          <w:tcPr>
            <w:tcW w:w="1530" w:type="dxa"/>
            <w:shd w:val="clear" w:color="auto" w:fill="FBD4B4" w:themeFill="accent6" w:themeFillTint="66"/>
            <w:vAlign w:val="bottom"/>
          </w:tcPr>
          <w:p w14:paraId="1ECAB8D6" w14:textId="77777777" w:rsidR="00566FD2" w:rsidRPr="00847710" w:rsidRDefault="00566FD2" w:rsidP="00566FD2">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tcPr>
          <w:p w14:paraId="6221B99D" w14:textId="77777777" w:rsidR="00566FD2" w:rsidRPr="00847710" w:rsidRDefault="00566FD2" w:rsidP="00566FD2">
            <w:pPr>
              <w:spacing w:after="0" w:line="240" w:lineRule="auto"/>
              <w:jc w:val="center"/>
              <w:rPr>
                <w:rFonts w:ascii="Times New Roman" w:eastAsia="Times New Roman" w:hAnsi="Times New Roman" w:cs="Times New Roman"/>
                <w:sz w:val="20"/>
                <w:szCs w:val="20"/>
                <w:lang w:eastAsia="lv-LV"/>
              </w:rPr>
            </w:pPr>
          </w:p>
        </w:tc>
        <w:tc>
          <w:tcPr>
            <w:tcW w:w="850" w:type="dxa"/>
            <w:shd w:val="clear" w:color="auto" w:fill="FBD4B4" w:themeFill="accent6" w:themeFillTint="66"/>
            <w:vAlign w:val="center"/>
          </w:tcPr>
          <w:p w14:paraId="42DAAE00" w14:textId="77777777" w:rsidR="00566FD2" w:rsidRPr="00847710" w:rsidRDefault="00566FD2" w:rsidP="00566FD2">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5A521A67" w14:textId="77777777" w:rsidR="00566FD2" w:rsidRPr="00847710" w:rsidRDefault="00566FD2" w:rsidP="00566FD2">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1ACBCA8C" w14:textId="77777777" w:rsidR="00566FD2" w:rsidRPr="00847710" w:rsidRDefault="00566FD2" w:rsidP="00566FD2">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17260A45" w14:textId="77777777" w:rsidR="00566FD2" w:rsidRPr="00847710" w:rsidRDefault="00566FD2" w:rsidP="00566FD2">
            <w:pPr>
              <w:spacing w:after="0" w:line="240" w:lineRule="auto"/>
              <w:jc w:val="center"/>
              <w:rPr>
                <w:rFonts w:ascii="Times New Roman" w:hAnsi="Times New Roman" w:cs="Times New Roman"/>
                <w:sz w:val="20"/>
                <w:szCs w:val="20"/>
              </w:rPr>
            </w:pPr>
          </w:p>
        </w:tc>
        <w:tc>
          <w:tcPr>
            <w:tcW w:w="992" w:type="dxa"/>
            <w:shd w:val="clear" w:color="auto" w:fill="FBD4B4" w:themeFill="accent6" w:themeFillTint="66"/>
            <w:vAlign w:val="center"/>
          </w:tcPr>
          <w:p w14:paraId="2964AF64" w14:textId="6C2C996C" w:rsidR="00566FD2" w:rsidRPr="00847710" w:rsidRDefault="00566FD2" w:rsidP="00566FD2">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500 001</w:t>
            </w:r>
          </w:p>
        </w:tc>
        <w:tc>
          <w:tcPr>
            <w:tcW w:w="992" w:type="dxa"/>
            <w:shd w:val="clear" w:color="auto" w:fill="FBD4B4" w:themeFill="accent6" w:themeFillTint="66"/>
            <w:noWrap/>
            <w:vAlign w:val="center"/>
          </w:tcPr>
          <w:p w14:paraId="16A95D42" w14:textId="4C96AF44" w:rsidR="00566FD2" w:rsidRPr="00030FAC" w:rsidRDefault="00566FD2" w:rsidP="00566FD2">
            <w:pPr>
              <w:spacing w:after="0" w:line="240" w:lineRule="auto"/>
              <w:jc w:val="center"/>
              <w:rPr>
                <w:rFonts w:ascii="Times New Roman" w:eastAsia="Times New Roman" w:hAnsi="Times New Roman" w:cs="Times New Roman"/>
                <w:b/>
                <w:sz w:val="16"/>
                <w:szCs w:val="16"/>
                <w:lang w:eastAsia="lv-LV"/>
              </w:rPr>
            </w:pPr>
            <w:r>
              <w:rPr>
                <w:rFonts w:ascii="Times New Roman" w:hAnsi="Times New Roman" w:cs="Times New Roman"/>
                <w:b/>
                <w:bCs/>
                <w:sz w:val="20"/>
                <w:szCs w:val="20"/>
              </w:rPr>
              <w:t>418 374</w:t>
            </w:r>
          </w:p>
        </w:tc>
        <w:tc>
          <w:tcPr>
            <w:tcW w:w="709" w:type="dxa"/>
            <w:shd w:val="clear" w:color="auto" w:fill="FBD4B4" w:themeFill="accent6" w:themeFillTint="66"/>
            <w:vAlign w:val="center"/>
          </w:tcPr>
          <w:p w14:paraId="7A6B5CDA" w14:textId="77777777" w:rsidR="00566FD2" w:rsidRPr="00AE3965" w:rsidRDefault="00566FD2" w:rsidP="00566FD2">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03D61A06" w14:textId="77777777" w:rsidR="00566FD2" w:rsidRPr="00AE3965" w:rsidRDefault="00566FD2" w:rsidP="00566FD2">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47B1115A" w14:textId="77777777" w:rsidR="00566FD2" w:rsidRPr="00AE3965" w:rsidRDefault="00566FD2" w:rsidP="00566FD2">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6EF373DF" w14:textId="77777777" w:rsidR="00566FD2" w:rsidRPr="00AE3965" w:rsidRDefault="00566FD2" w:rsidP="00566FD2">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0CB12B79" w14:textId="648670DF" w:rsidR="00566FD2" w:rsidRPr="00EE2D43" w:rsidRDefault="00566FD2" w:rsidP="00566FD2">
            <w:pPr>
              <w:spacing w:after="0" w:line="240" w:lineRule="auto"/>
              <w:jc w:val="center"/>
              <w:rPr>
                <w:rFonts w:ascii="Times New Roman" w:hAnsi="Times New Roman" w:cs="Times New Roman"/>
                <w:b/>
                <w:bCs/>
                <w:sz w:val="20"/>
                <w:szCs w:val="20"/>
              </w:rPr>
            </w:pPr>
            <w:r w:rsidRPr="00EE2D43">
              <w:rPr>
                <w:rFonts w:ascii="Times New Roman" w:hAnsi="Times New Roman" w:cs="Times New Roman"/>
                <w:b/>
                <w:bCs/>
                <w:sz w:val="20"/>
                <w:szCs w:val="20"/>
              </w:rPr>
              <w:t>7</w:t>
            </w:r>
          </w:p>
        </w:tc>
        <w:tc>
          <w:tcPr>
            <w:tcW w:w="709" w:type="dxa"/>
            <w:shd w:val="clear" w:color="auto" w:fill="FBD4B4" w:themeFill="accent6" w:themeFillTint="66"/>
            <w:noWrap/>
            <w:vAlign w:val="center"/>
          </w:tcPr>
          <w:p w14:paraId="03DD855F" w14:textId="6A1DCE51" w:rsidR="00566FD2" w:rsidRPr="00EE2D43" w:rsidRDefault="00566FD2" w:rsidP="00566FD2">
            <w:pPr>
              <w:spacing w:after="0" w:line="240" w:lineRule="auto"/>
              <w:jc w:val="center"/>
              <w:rPr>
                <w:rFonts w:ascii="Times New Roman" w:eastAsia="Times New Roman" w:hAnsi="Times New Roman" w:cs="Times New Roman"/>
                <w:b/>
                <w:bCs/>
                <w:sz w:val="20"/>
                <w:szCs w:val="20"/>
                <w:lang w:eastAsia="lv-LV"/>
              </w:rPr>
            </w:pPr>
            <w:r w:rsidRPr="00EE2D43">
              <w:rPr>
                <w:rFonts w:ascii="Times New Roman" w:eastAsia="Times New Roman" w:hAnsi="Times New Roman" w:cs="Times New Roman"/>
                <w:b/>
                <w:bCs/>
                <w:sz w:val="20"/>
                <w:szCs w:val="20"/>
                <w:lang w:eastAsia="lv-LV"/>
              </w:rPr>
              <w:t>7</w:t>
            </w:r>
          </w:p>
        </w:tc>
      </w:tr>
    </w:tbl>
    <w:p w14:paraId="2A3EC19D" w14:textId="4496806C" w:rsidR="00566FD2" w:rsidRDefault="00566FD2" w:rsidP="00D00F4C">
      <w:pPr>
        <w:jc w:val="center"/>
        <w:rPr>
          <w:rFonts w:ascii="Times New Roman" w:hAnsi="Times New Roman" w:cs="Times New Roman"/>
          <w:b/>
          <w:bCs/>
          <w:sz w:val="24"/>
          <w:szCs w:val="24"/>
        </w:rPr>
      </w:pPr>
    </w:p>
    <w:p w14:paraId="5CC987A6" w14:textId="77777777" w:rsidR="00566FD2" w:rsidRPr="00847710" w:rsidRDefault="00566FD2" w:rsidP="00D00F4C">
      <w:pPr>
        <w:jc w:val="center"/>
        <w:rPr>
          <w:rFonts w:ascii="Times New Roman" w:hAnsi="Times New Roman" w:cs="Times New Roman"/>
          <w:color w:val="000000"/>
          <w:sz w:val="24"/>
          <w:szCs w:val="24"/>
        </w:rPr>
      </w:pPr>
    </w:p>
    <w:p w14:paraId="43CEA75B" w14:textId="77777777" w:rsidR="003B5242" w:rsidRDefault="003B5242" w:rsidP="004F3E08">
      <w:pPr>
        <w:spacing w:after="0" w:line="240" w:lineRule="auto"/>
        <w:ind w:firstLine="720"/>
        <w:jc w:val="both"/>
        <w:rPr>
          <w:rFonts w:ascii="Times New Roman" w:hAnsi="Times New Roman" w:cs="Times New Roman"/>
          <w:sz w:val="24"/>
          <w:szCs w:val="24"/>
        </w:rPr>
        <w:sectPr w:rsidR="003B5242" w:rsidSect="00FD01EE">
          <w:pgSz w:w="15840" w:h="12240" w:orient="landscape"/>
          <w:pgMar w:top="1701" w:right="1440" w:bottom="1440" w:left="1440" w:header="709" w:footer="709" w:gutter="0"/>
          <w:cols w:space="708"/>
          <w:docGrid w:linePitch="360"/>
        </w:sectPr>
      </w:pPr>
    </w:p>
    <w:p w14:paraId="6F7BF3F8" w14:textId="330E39DD" w:rsidR="004F3E08" w:rsidRDefault="004F3E08" w:rsidP="004F3E08">
      <w:pPr>
        <w:spacing w:after="0" w:line="240" w:lineRule="auto"/>
        <w:ind w:firstLine="720"/>
        <w:jc w:val="both"/>
        <w:rPr>
          <w:rFonts w:ascii="Times New Roman" w:hAnsi="Times New Roman" w:cs="Times New Roman"/>
          <w:sz w:val="24"/>
          <w:szCs w:val="24"/>
        </w:rPr>
      </w:pPr>
    </w:p>
    <w:p w14:paraId="61B7BF47" w14:textId="27B5CBB9" w:rsidR="004C6B78" w:rsidRPr="00C86312" w:rsidRDefault="0071331A" w:rsidP="00C86312">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CE6A18" w:rsidRPr="0012317D">
        <w:rPr>
          <w:rFonts w:ascii="Times New Roman" w:hAnsi="Times New Roman" w:cs="Times New Roman"/>
          <w:b/>
          <w:bCs/>
          <w:color w:val="auto"/>
          <w:sz w:val="24"/>
          <w:szCs w:val="24"/>
          <w:u w:val="single"/>
        </w:rPr>
        <w:t>.</w:t>
      </w:r>
      <w:r w:rsidR="00AC6E54">
        <w:rPr>
          <w:rFonts w:ascii="Times New Roman" w:hAnsi="Times New Roman" w:cs="Times New Roman"/>
          <w:b/>
          <w:bCs/>
          <w:color w:val="auto"/>
          <w:sz w:val="24"/>
          <w:szCs w:val="24"/>
          <w:u w:val="single"/>
        </w:rPr>
        <w:t>8</w:t>
      </w:r>
      <w:r w:rsidR="00CE6A18" w:rsidRPr="0012317D">
        <w:rPr>
          <w:rFonts w:ascii="Times New Roman" w:hAnsi="Times New Roman" w:cs="Times New Roman"/>
          <w:b/>
          <w:bCs/>
          <w:color w:val="auto"/>
          <w:sz w:val="24"/>
          <w:szCs w:val="24"/>
          <w:u w:val="single"/>
        </w:rPr>
        <w:t>.</w:t>
      </w:r>
      <w:r w:rsidR="00784CDF">
        <w:rPr>
          <w:rFonts w:ascii="Times New Roman" w:hAnsi="Times New Roman" w:cs="Times New Roman"/>
          <w:b/>
          <w:bCs/>
          <w:color w:val="auto"/>
          <w:sz w:val="24"/>
          <w:szCs w:val="24"/>
          <w:u w:val="single"/>
        </w:rPr>
        <w:t>B</w:t>
      </w:r>
      <w:r w:rsidRPr="0012317D">
        <w:rPr>
          <w:rFonts w:ascii="Times New Roman" w:hAnsi="Times New Roman" w:cs="Times New Roman"/>
          <w:b/>
          <w:bCs/>
          <w:color w:val="auto"/>
          <w:sz w:val="24"/>
          <w:szCs w:val="24"/>
          <w:u w:val="single"/>
        </w:rPr>
        <w:t xml:space="preserve">ioloģiskās terapijas </w:t>
      </w:r>
      <w:r w:rsidR="008E0DF6">
        <w:rPr>
          <w:rFonts w:ascii="Times New Roman" w:hAnsi="Times New Roman" w:cs="Times New Roman"/>
          <w:b/>
          <w:bCs/>
          <w:color w:val="auto"/>
          <w:sz w:val="24"/>
          <w:szCs w:val="24"/>
          <w:u w:val="single"/>
        </w:rPr>
        <w:t>nodrošin</w:t>
      </w:r>
      <w:r w:rsidR="008548F1" w:rsidRPr="0012317D">
        <w:rPr>
          <w:rFonts w:ascii="Times New Roman" w:hAnsi="Times New Roman" w:cs="Times New Roman"/>
          <w:b/>
          <w:bCs/>
          <w:color w:val="auto"/>
          <w:sz w:val="24"/>
          <w:szCs w:val="24"/>
          <w:u w:val="single"/>
        </w:rPr>
        <w:t>āšana</w:t>
      </w:r>
      <w:r w:rsidRPr="0078794A">
        <w:rPr>
          <w:rFonts w:ascii="Times New Roman" w:hAnsi="Times New Roman" w:cs="Times New Roman"/>
          <w:b/>
          <w:bCs/>
          <w:color w:val="auto"/>
          <w:sz w:val="24"/>
          <w:szCs w:val="24"/>
          <w:u w:val="single"/>
        </w:rPr>
        <w:t xml:space="preserve"> Krona slimībai, čūlainajam kolītam un psoriāzei</w:t>
      </w:r>
    </w:p>
    <w:p w14:paraId="44A520DC" w14:textId="6684E42E" w:rsidR="00847710" w:rsidRPr="0078323F" w:rsidRDefault="005A228D" w:rsidP="00FF02DA">
      <w:pPr>
        <w:spacing w:after="120"/>
        <w:ind w:firstLine="720"/>
        <w:jc w:val="both"/>
        <w:rPr>
          <w:rFonts w:ascii="Times New Roman" w:hAnsi="Times New Roman" w:cs="Times New Roman"/>
          <w:sz w:val="24"/>
          <w:szCs w:val="24"/>
        </w:rPr>
      </w:pPr>
      <w:r w:rsidRPr="0078323F">
        <w:rPr>
          <w:rFonts w:ascii="Times New Roman" w:hAnsi="Times New Roman" w:cs="Times New Roman"/>
          <w:sz w:val="24"/>
          <w:szCs w:val="24"/>
        </w:rPr>
        <w:t xml:space="preserve">Turpinot 2018.gadā uzsākto </w:t>
      </w:r>
      <w:r w:rsidR="002C67A8">
        <w:rPr>
          <w:rFonts w:ascii="Times New Roman" w:hAnsi="Times New Roman" w:cs="Times New Roman"/>
          <w:bCs/>
          <w:sz w:val="24"/>
          <w:szCs w:val="24"/>
        </w:rPr>
        <w:t>b</w:t>
      </w:r>
      <w:r w:rsidRPr="0078323F">
        <w:rPr>
          <w:rFonts w:ascii="Times New Roman" w:hAnsi="Times New Roman" w:cs="Times New Roman"/>
          <w:bCs/>
          <w:sz w:val="24"/>
          <w:szCs w:val="24"/>
        </w:rPr>
        <w:t xml:space="preserve">ioloģiskās terapijas </w:t>
      </w:r>
      <w:r w:rsidR="002C67A8">
        <w:rPr>
          <w:rFonts w:ascii="Times New Roman" w:hAnsi="Times New Roman" w:cs="Times New Roman"/>
          <w:bCs/>
          <w:sz w:val="24"/>
          <w:szCs w:val="24"/>
        </w:rPr>
        <w:t xml:space="preserve">nodrošināšanu </w:t>
      </w:r>
      <w:r w:rsidRPr="0078323F">
        <w:rPr>
          <w:rFonts w:ascii="Times New Roman" w:hAnsi="Times New Roman" w:cs="Times New Roman"/>
          <w:bCs/>
          <w:sz w:val="24"/>
          <w:szCs w:val="24"/>
        </w:rPr>
        <w:t>Krona slimībai, čūlainajam kolītam un psoriāzei kompensējamo zāļu sarakstā</w:t>
      </w:r>
      <w:r w:rsidRPr="0078323F">
        <w:rPr>
          <w:rFonts w:ascii="Times New Roman" w:hAnsi="Times New Roman" w:cs="Times New Roman"/>
          <w:sz w:val="24"/>
          <w:szCs w:val="24"/>
        </w:rPr>
        <w:t xml:space="preserve"> 2019.gadam reformas nodrošināšanai nepieciešams finansējums </w:t>
      </w:r>
      <w:r w:rsidR="00D96B01" w:rsidRPr="009F1205">
        <w:rPr>
          <w:rFonts w:ascii="Times New Roman" w:hAnsi="Times New Roman" w:cs="Times New Roman"/>
          <w:b/>
          <w:sz w:val="24"/>
          <w:szCs w:val="24"/>
        </w:rPr>
        <w:t>1 883 748</w:t>
      </w:r>
      <w:r w:rsidR="007335BC" w:rsidRPr="009F1205">
        <w:rPr>
          <w:rFonts w:ascii="Times New Roman" w:hAnsi="Times New Roman" w:cs="Times New Roman"/>
          <w:b/>
          <w:sz w:val="24"/>
          <w:szCs w:val="24"/>
        </w:rPr>
        <w:t xml:space="preserve"> </w:t>
      </w:r>
      <w:r w:rsidR="007335BC" w:rsidRPr="009F1205">
        <w:rPr>
          <w:rFonts w:ascii="Times New Roman" w:hAnsi="Times New Roman" w:cs="Times New Roman"/>
          <w:b/>
          <w:i/>
          <w:sz w:val="24"/>
          <w:szCs w:val="24"/>
        </w:rPr>
        <w:t>euro</w:t>
      </w:r>
      <w:r w:rsidR="007335BC" w:rsidRPr="0078323F">
        <w:rPr>
          <w:rFonts w:ascii="Times New Roman" w:hAnsi="Times New Roman" w:cs="Times New Roman"/>
          <w:sz w:val="24"/>
          <w:szCs w:val="24"/>
        </w:rPr>
        <w:t xml:space="preserve"> apmērā 175 </w:t>
      </w:r>
      <w:r w:rsidR="007335BC" w:rsidRPr="00A31E26">
        <w:rPr>
          <w:rFonts w:ascii="Times New Roman" w:hAnsi="Times New Roman" w:cs="Times New Roman"/>
          <w:sz w:val="24"/>
          <w:szCs w:val="24"/>
        </w:rPr>
        <w:t>pacientiem</w:t>
      </w:r>
      <w:r w:rsidR="00B34933" w:rsidRPr="00A31E26">
        <w:rPr>
          <w:rFonts w:ascii="Times New Roman" w:hAnsi="Times New Roman" w:cs="Times New Roman"/>
          <w:sz w:val="24"/>
          <w:szCs w:val="24"/>
        </w:rPr>
        <w:t xml:space="preserve"> (</w:t>
      </w:r>
      <w:r w:rsidR="00A31E26" w:rsidRPr="00A31E26">
        <w:rPr>
          <w:rFonts w:ascii="Times New Roman" w:hAnsi="Times New Roman" w:cs="Times New Roman"/>
          <w:sz w:val="24"/>
          <w:szCs w:val="24"/>
        </w:rPr>
        <w:t>2</w:t>
      </w:r>
      <w:r w:rsidR="00AC6E54">
        <w:rPr>
          <w:rFonts w:ascii="Times New Roman" w:hAnsi="Times New Roman" w:cs="Times New Roman"/>
          <w:sz w:val="24"/>
          <w:szCs w:val="24"/>
        </w:rPr>
        <w:t>5</w:t>
      </w:r>
      <w:r w:rsidR="0035418F">
        <w:rPr>
          <w:rFonts w:ascii="Times New Roman" w:hAnsi="Times New Roman" w:cs="Times New Roman"/>
          <w:sz w:val="24"/>
          <w:szCs w:val="24"/>
        </w:rPr>
        <w:t>, 26.</w:t>
      </w:r>
      <w:r w:rsidR="00A31E26" w:rsidRPr="00A31E26">
        <w:rPr>
          <w:rFonts w:ascii="Times New Roman" w:hAnsi="Times New Roman" w:cs="Times New Roman"/>
          <w:sz w:val="24"/>
          <w:szCs w:val="24"/>
        </w:rPr>
        <w:t xml:space="preserve"> un 2</w:t>
      </w:r>
      <w:r w:rsidR="0035418F">
        <w:rPr>
          <w:rFonts w:ascii="Times New Roman" w:hAnsi="Times New Roman" w:cs="Times New Roman"/>
          <w:sz w:val="24"/>
          <w:szCs w:val="24"/>
        </w:rPr>
        <w:t>7</w:t>
      </w:r>
      <w:r w:rsidR="00B34933" w:rsidRPr="00A31E26">
        <w:rPr>
          <w:rFonts w:ascii="Times New Roman" w:hAnsi="Times New Roman" w:cs="Times New Roman"/>
          <w:sz w:val="24"/>
          <w:szCs w:val="24"/>
        </w:rPr>
        <w:t>.tabula)</w:t>
      </w:r>
      <w:r w:rsidRPr="00A31E26">
        <w:rPr>
          <w:rFonts w:ascii="Times New Roman" w:hAnsi="Times New Roman" w:cs="Times New Roman"/>
          <w:sz w:val="24"/>
          <w:szCs w:val="24"/>
        </w:rPr>
        <w:t xml:space="preserve"> nodrošinot </w:t>
      </w:r>
      <w:r w:rsidR="007335BC" w:rsidRPr="00A31E26">
        <w:rPr>
          <w:rFonts w:ascii="Times New Roman" w:hAnsi="Times New Roman" w:cs="Times New Roman"/>
          <w:sz w:val="24"/>
          <w:szCs w:val="24"/>
        </w:rPr>
        <w:t>nepieciešamos medikamentus</w:t>
      </w:r>
      <w:r w:rsidR="0078323F" w:rsidRPr="00A31E26">
        <w:rPr>
          <w:rFonts w:ascii="Times New Roman" w:hAnsi="Times New Roman" w:cs="Times New Roman"/>
          <w:sz w:val="24"/>
          <w:szCs w:val="24"/>
        </w:rPr>
        <w:t>, lai m</w:t>
      </w:r>
      <w:r w:rsidR="00C632EF" w:rsidRPr="00A31E26">
        <w:rPr>
          <w:rFonts w:ascii="Times New Roman" w:hAnsi="Times New Roman"/>
          <w:bCs/>
          <w:sz w:val="24"/>
          <w:szCs w:val="24"/>
        </w:rPr>
        <w:t>azinātu</w:t>
      </w:r>
      <w:r w:rsidR="0078323F" w:rsidRPr="00A31E26">
        <w:rPr>
          <w:rFonts w:ascii="Times New Roman" w:hAnsi="Times New Roman"/>
          <w:bCs/>
          <w:sz w:val="24"/>
          <w:szCs w:val="24"/>
        </w:rPr>
        <w:t xml:space="preserve"> nevienlīdzību zāļu</w:t>
      </w:r>
      <w:r w:rsidR="0078323F" w:rsidRPr="0078323F">
        <w:rPr>
          <w:rFonts w:ascii="Times New Roman" w:hAnsi="Times New Roman"/>
          <w:bCs/>
          <w:sz w:val="24"/>
          <w:szCs w:val="24"/>
        </w:rPr>
        <w:t xml:space="preserve"> pieejamībā, samazinātu izdevumus par ārstēšanos stacionārā, invaliditātes un ļaundabīgu audzēju rašanās risku. Tāpat saņemot atbilstošu terapiju, pacienti varēs atgriezties darba tirgū un </w:t>
      </w:r>
      <w:r w:rsidR="0078323F" w:rsidRPr="0078323F">
        <w:rPr>
          <w:rFonts w:ascii="Times New Roman" w:hAnsi="Times New Roman"/>
          <w:bCs/>
          <w:sz w:val="24"/>
          <w:szCs w:val="24"/>
          <w:lang w:eastAsia="lv-LV"/>
        </w:rPr>
        <w:t>samazināsies slimības pabalstu gadījumu skaits un vidējais darbnespējas ilgums</w:t>
      </w:r>
      <w:r w:rsidR="007335BC" w:rsidRPr="0078323F">
        <w:rPr>
          <w:rFonts w:ascii="Times New Roman" w:hAnsi="Times New Roman" w:cs="Times New Roman"/>
          <w:sz w:val="24"/>
          <w:szCs w:val="24"/>
        </w:rPr>
        <w:t>.</w:t>
      </w:r>
    </w:p>
    <w:p w14:paraId="07A3C164" w14:textId="77777777" w:rsidR="00FB3088" w:rsidRDefault="00FB3088" w:rsidP="704995BB">
      <w:pPr>
        <w:ind w:firstLine="720"/>
        <w:jc w:val="right"/>
        <w:rPr>
          <w:rFonts w:ascii="Times New Roman" w:hAnsi="Times New Roman" w:cs="Times New Roman"/>
          <w:i/>
          <w:iCs/>
          <w:sz w:val="24"/>
          <w:szCs w:val="24"/>
        </w:rPr>
        <w:sectPr w:rsidR="00FB3088" w:rsidSect="00FD01EE">
          <w:pgSz w:w="12240" w:h="15840"/>
          <w:pgMar w:top="1440" w:right="1440" w:bottom="1440" w:left="1701" w:header="708" w:footer="708" w:gutter="0"/>
          <w:cols w:space="708"/>
          <w:docGrid w:linePitch="360"/>
        </w:sectPr>
      </w:pPr>
    </w:p>
    <w:p w14:paraId="0DEA7775" w14:textId="1263543F" w:rsidR="004C6B78" w:rsidRPr="00E93259" w:rsidRDefault="00A31E26" w:rsidP="704995BB">
      <w:pPr>
        <w:ind w:firstLine="720"/>
        <w:jc w:val="right"/>
        <w:rPr>
          <w:rFonts w:ascii="Times New Roman" w:hAnsi="Times New Roman" w:cs="Times New Roman"/>
          <w:i/>
          <w:iCs/>
          <w:sz w:val="24"/>
          <w:szCs w:val="24"/>
        </w:rPr>
      </w:pPr>
      <w:r w:rsidRPr="704995BB">
        <w:rPr>
          <w:rFonts w:ascii="Times New Roman" w:hAnsi="Times New Roman" w:cs="Times New Roman"/>
          <w:i/>
          <w:iCs/>
          <w:sz w:val="24"/>
          <w:szCs w:val="24"/>
        </w:rPr>
        <w:lastRenderedPageBreak/>
        <w:t>2</w:t>
      </w:r>
      <w:r w:rsidR="00AC6E54">
        <w:rPr>
          <w:rFonts w:ascii="Times New Roman" w:hAnsi="Times New Roman" w:cs="Times New Roman"/>
          <w:i/>
          <w:iCs/>
          <w:sz w:val="24"/>
          <w:szCs w:val="24"/>
        </w:rPr>
        <w:t>5</w:t>
      </w:r>
      <w:r w:rsidR="0071331A" w:rsidRPr="704995BB">
        <w:rPr>
          <w:rFonts w:ascii="Times New Roman" w:hAnsi="Times New Roman" w:cs="Times New Roman"/>
          <w:i/>
          <w:iCs/>
          <w:sz w:val="24"/>
          <w:szCs w:val="24"/>
        </w:rPr>
        <w:t xml:space="preserve">.tabula </w:t>
      </w:r>
    </w:p>
    <w:p w14:paraId="7FE58520" w14:textId="3E9D866A" w:rsidR="00FD7B70" w:rsidRDefault="0071331A" w:rsidP="00A11CC5">
      <w:pPr>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Bioloģiskās terapijas </w:t>
      </w:r>
      <w:r w:rsidR="002C67A8">
        <w:rPr>
          <w:rFonts w:ascii="Times New Roman" w:hAnsi="Times New Roman" w:cs="Times New Roman"/>
          <w:b/>
          <w:bCs/>
          <w:sz w:val="24"/>
          <w:szCs w:val="24"/>
        </w:rPr>
        <w:t xml:space="preserve">nodrošināšana </w:t>
      </w:r>
      <w:r w:rsidRPr="0012317D">
        <w:rPr>
          <w:rFonts w:ascii="Times New Roman" w:hAnsi="Times New Roman" w:cs="Times New Roman"/>
          <w:b/>
          <w:bCs/>
          <w:sz w:val="24"/>
          <w:szCs w:val="24"/>
        </w:rPr>
        <w:t>Krona slimībai, čūlainajam kolītam un psoriāzei</w:t>
      </w:r>
      <w:r w:rsidR="005C079A" w:rsidRPr="0012317D">
        <w:rPr>
          <w:rFonts w:ascii="Times New Roman" w:hAnsi="Times New Roman" w:cs="Times New Roman"/>
          <w:b/>
          <w:bCs/>
          <w:sz w:val="24"/>
          <w:szCs w:val="24"/>
        </w:rPr>
        <w:t xml:space="preserve"> kompensējamo zāļu sarakstā</w:t>
      </w:r>
      <w:r w:rsidRPr="0012317D">
        <w:rPr>
          <w:rFonts w:ascii="Times New Roman" w:hAnsi="Times New Roman" w:cs="Times New Roman"/>
          <w:b/>
          <w:bCs/>
          <w:sz w:val="24"/>
          <w:szCs w:val="24"/>
        </w:rPr>
        <w:t xml:space="preserve"> nepieciešamais finansējums</w:t>
      </w:r>
      <w:r w:rsidR="002F198A">
        <w:rPr>
          <w:rFonts w:ascii="Times New Roman" w:hAnsi="Times New Roman" w:cs="Times New Roman"/>
          <w:b/>
          <w:bCs/>
          <w:sz w:val="24"/>
          <w:szCs w:val="24"/>
        </w:rPr>
        <w:t xml:space="preserve"> 2017., 2018. un 2019.gada</w:t>
      </w:r>
      <w:r w:rsidR="00FF2ABB">
        <w:rPr>
          <w:rFonts w:ascii="Times New Roman" w:hAnsi="Times New Roman" w:cs="Times New Roman"/>
          <w:b/>
          <w:bCs/>
          <w:sz w:val="24"/>
          <w:szCs w:val="24"/>
        </w:rPr>
        <w:t>m</w:t>
      </w: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30"/>
        <w:gridCol w:w="850"/>
        <w:gridCol w:w="851"/>
        <w:gridCol w:w="850"/>
        <w:gridCol w:w="851"/>
        <w:gridCol w:w="850"/>
        <w:gridCol w:w="993"/>
        <w:gridCol w:w="1134"/>
        <w:gridCol w:w="708"/>
        <w:gridCol w:w="709"/>
        <w:gridCol w:w="709"/>
        <w:gridCol w:w="709"/>
        <w:gridCol w:w="708"/>
        <w:gridCol w:w="851"/>
      </w:tblGrid>
      <w:tr w:rsidR="00FD7B70" w14:paraId="0F4AA676" w14:textId="77777777" w:rsidTr="00C4284B">
        <w:trPr>
          <w:cantSplit/>
          <w:trHeight w:val="1505"/>
          <w:jc w:val="center"/>
        </w:trPr>
        <w:tc>
          <w:tcPr>
            <w:tcW w:w="450" w:type="dxa"/>
            <w:shd w:val="clear" w:color="auto" w:fill="E36C0A" w:themeFill="accent6" w:themeFillShade="BF"/>
          </w:tcPr>
          <w:p w14:paraId="1F7B47A8" w14:textId="77777777" w:rsidR="00FD7B70" w:rsidRPr="00847710" w:rsidRDefault="00FD7B70" w:rsidP="005C58C0">
            <w:pPr>
              <w:spacing w:after="0" w:line="240" w:lineRule="auto"/>
              <w:rPr>
                <w:rFonts w:ascii="Times New Roman" w:eastAsia="Times New Roman" w:hAnsi="Times New Roman" w:cs="Times New Roman"/>
                <w:b/>
                <w:bCs/>
                <w:sz w:val="20"/>
                <w:szCs w:val="20"/>
                <w:lang w:eastAsia="lv-LV"/>
              </w:rPr>
            </w:pPr>
          </w:p>
        </w:tc>
        <w:tc>
          <w:tcPr>
            <w:tcW w:w="1530" w:type="dxa"/>
            <w:shd w:val="clear" w:color="auto" w:fill="E36C0A" w:themeFill="accent6" w:themeFillShade="BF"/>
            <w:vAlign w:val="center"/>
            <w:hideMark/>
          </w:tcPr>
          <w:p w14:paraId="5778BD90" w14:textId="77777777" w:rsidR="00FD7B70" w:rsidRPr="00847710" w:rsidRDefault="00FD7B70" w:rsidP="005C58C0">
            <w:pPr>
              <w:spacing w:after="0" w:line="240" w:lineRule="auto"/>
              <w:rPr>
                <w:rFonts w:ascii="Times New Roman" w:eastAsia="Times New Roman" w:hAnsi="Times New Roman" w:cs="Times New Roman"/>
                <w:b/>
                <w:bCs/>
                <w:sz w:val="20"/>
                <w:szCs w:val="20"/>
                <w:lang w:eastAsia="lv-LV"/>
              </w:rPr>
            </w:pPr>
          </w:p>
        </w:tc>
        <w:tc>
          <w:tcPr>
            <w:tcW w:w="850" w:type="dxa"/>
            <w:shd w:val="clear" w:color="auto" w:fill="E36C0A" w:themeFill="accent6" w:themeFillShade="BF"/>
            <w:textDirection w:val="btLr"/>
            <w:vAlign w:val="center"/>
            <w:hideMark/>
          </w:tcPr>
          <w:p w14:paraId="4E0D2CBB" w14:textId="77777777" w:rsidR="00FD7B70" w:rsidRPr="00847710" w:rsidRDefault="00FD7B7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pakalpojuma</w:t>
            </w:r>
          </w:p>
          <w:p w14:paraId="6A79DF97" w14:textId="77777777" w:rsidR="00FD7B70" w:rsidRPr="00847710" w:rsidRDefault="00FD7B7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6083A601" w14:textId="77777777" w:rsidR="00FD7B70" w:rsidRPr="00847710" w:rsidRDefault="00FD7B70" w:rsidP="005C58C0">
            <w:pPr>
              <w:spacing w:after="0" w:line="240" w:lineRule="auto"/>
              <w:ind w:left="113" w:right="113"/>
              <w:jc w:val="center"/>
              <w:rPr>
                <w:rFonts w:ascii="Times New Roman" w:eastAsia="Times New Roman" w:hAnsi="Times New Roman" w:cs="Times New Roman"/>
                <w:b/>
                <w:bCs/>
                <w:sz w:val="20"/>
                <w:szCs w:val="20"/>
                <w:lang w:eastAsia="lv-LV"/>
              </w:rPr>
            </w:pPr>
          </w:p>
        </w:tc>
        <w:tc>
          <w:tcPr>
            <w:tcW w:w="2552" w:type="dxa"/>
            <w:gridSpan w:val="3"/>
            <w:shd w:val="clear" w:color="auto" w:fill="E36C0A" w:themeFill="accent6" w:themeFillShade="BF"/>
            <w:textDirection w:val="btLr"/>
            <w:vAlign w:val="center"/>
          </w:tcPr>
          <w:p w14:paraId="358461C2" w14:textId="77777777" w:rsidR="00FD7B70" w:rsidRPr="00847710" w:rsidRDefault="00FD7B70" w:rsidP="005C58C0">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977" w:type="dxa"/>
            <w:gridSpan w:val="3"/>
            <w:shd w:val="clear" w:color="auto" w:fill="E36C0A" w:themeFill="accent6" w:themeFillShade="BF"/>
            <w:textDirection w:val="btLr"/>
            <w:vAlign w:val="center"/>
          </w:tcPr>
          <w:p w14:paraId="32A730CF" w14:textId="77777777" w:rsidR="00FD7B70" w:rsidRPr="00847710" w:rsidRDefault="00FD7B7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6" w:type="dxa"/>
            <w:gridSpan w:val="3"/>
            <w:shd w:val="clear" w:color="auto" w:fill="E36C0A" w:themeFill="accent6" w:themeFillShade="BF"/>
            <w:textDirection w:val="btLr"/>
            <w:vAlign w:val="center"/>
          </w:tcPr>
          <w:p w14:paraId="53084D2A" w14:textId="77777777" w:rsidR="00FD7B70" w:rsidRPr="00847710" w:rsidRDefault="00FD7B7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268" w:type="dxa"/>
            <w:gridSpan w:val="3"/>
            <w:shd w:val="clear" w:color="auto" w:fill="E36C0A" w:themeFill="accent6" w:themeFillShade="BF"/>
            <w:textDirection w:val="btLr"/>
            <w:vAlign w:val="center"/>
          </w:tcPr>
          <w:p w14:paraId="0085278B" w14:textId="77777777" w:rsidR="00FD7B70" w:rsidRPr="00847710" w:rsidRDefault="00FD7B70"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C4284B" w14:paraId="2681B0B6" w14:textId="77777777" w:rsidTr="00C4284B">
        <w:trPr>
          <w:trHeight w:val="640"/>
          <w:jc w:val="center"/>
        </w:trPr>
        <w:tc>
          <w:tcPr>
            <w:tcW w:w="450" w:type="dxa"/>
            <w:shd w:val="clear" w:color="auto" w:fill="FABF8F" w:themeFill="accent6" w:themeFillTint="99"/>
          </w:tcPr>
          <w:p w14:paraId="3DE0C1BA"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p>
        </w:tc>
        <w:tc>
          <w:tcPr>
            <w:tcW w:w="1530" w:type="dxa"/>
            <w:shd w:val="clear" w:color="auto" w:fill="FABF8F" w:themeFill="accent6" w:themeFillTint="99"/>
            <w:vAlign w:val="center"/>
          </w:tcPr>
          <w:p w14:paraId="7274DF23"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FABF8F" w:themeFill="accent6" w:themeFillTint="99"/>
            <w:vAlign w:val="center"/>
          </w:tcPr>
          <w:p w14:paraId="08A12CB7" w14:textId="77777777" w:rsidR="00FD7B70" w:rsidRPr="00847710" w:rsidRDefault="00FD7B70" w:rsidP="005C58C0">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2A3D2AA5"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0799BE55" w14:textId="77777777" w:rsidR="00FD7B7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02773CF" w14:textId="77777777" w:rsidR="00FD7B70" w:rsidRPr="0012317D" w:rsidRDefault="00FD7B7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74929720" w14:textId="77777777" w:rsidR="00FD7B7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36BC990B" w14:textId="77777777" w:rsidR="00FD7B70" w:rsidRPr="0012317D" w:rsidRDefault="00FD7B7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7C47FC8E" w14:textId="77777777" w:rsidR="00FD7B7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70B0D150" w14:textId="77777777" w:rsidR="00FD7B70" w:rsidRPr="0012317D" w:rsidRDefault="00FD7B7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4A5AE279" w14:textId="77777777" w:rsidR="00FD7B7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1BAF11E7" w14:textId="77777777" w:rsidR="00FD7B70" w:rsidRPr="0012317D" w:rsidRDefault="00FD7B7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3" w:type="dxa"/>
            <w:shd w:val="clear" w:color="auto" w:fill="FABF8F" w:themeFill="accent6" w:themeFillTint="99"/>
            <w:vAlign w:val="center"/>
          </w:tcPr>
          <w:p w14:paraId="264E8B82" w14:textId="77777777" w:rsidR="00FD7B7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2E4AC3BC" w14:textId="77777777" w:rsidR="00FD7B70" w:rsidRPr="0012317D" w:rsidRDefault="00FD7B70"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0543BE0B" w14:textId="77777777" w:rsidR="00FD7B70" w:rsidRPr="00C86312" w:rsidRDefault="00FD7B70" w:rsidP="005C58C0">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2DE6F0F" w14:textId="77777777" w:rsidR="00FD7B70" w:rsidRPr="00C86312" w:rsidRDefault="00FD7B70" w:rsidP="005C58C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8" w:type="dxa"/>
            <w:shd w:val="clear" w:color="auto" w:fill="FABF8F" w:themeFill="accent6" w:themeFillTint="99"/>
            <w:vAlign w:val="center"/>
          </w:tcPr>
          <w:p w14:paraId="7A575BBA"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0466E124"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79D7CB36"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669BCC1A"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8" w:type="dxa"/>
            <w:shd w:val="clear" w:color="auto" w:fill="FABF8F" w:themeFill="accent6" w:themeFillTint="99"/>
            <w:vAlign w:val="center"/>
          </w:tcPr>
          <w:p w14:paraId="01F1FA75"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3B221B64" w14:textId="77777777" w:rsidR="00FD7B70" w:rsidRPr="00847710" w:rsidRDefault="00FD7B70" w:rsidP="005C58C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C4284B" w14:paraId="2DA514BD" w14:textId="77777777" w:rsidTr="00C4284B">
        <w:trPr>
          <w:trHeight w:val="598"/>
          <w:jc w:val="center"/>
        </w:trPr>
        <w:tc>
          <w:tcPr>
            <w:tcW w:w="450" w:type="dxa"/>
            <w:shd w:val="clear" w:color="auto" w:fill="FFFFFF" w:themeFill="background1"/>
          </w:tcPr>
          <w:p w14:paraId="5864F761"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530" w:type="dxa"/>
            <w:shd w:val="clear" w:color="auto" w:fill="FFFFFF" w:themeFill="background1"/>
          </w:tcPr>
          <w:p w14:paraId="34732618" w14:textId="690CE844" w:rsidR="00FF2ABB" w:rsidRPr="00030FAC" w:rsidRDefault="00FF2ABB" w:rsidP="00FF2ABB">
            <w:pPr>
              <w:spacing w:after="0" w:line="240" w:lineRule="auto"/>
              <w:rPr>
                <w:rFonts w:ascii="Times New Roman" w:eastAsia="Times New Roman" w:hAnsi="Times New Roman" w:cs="Times New Roman"/>
                <w:bCs/>
                <w:sz w:val="16"/>
                <w:szCs w:val="16"/>
                <w:lang w:eastAsia="lv-LV"/>
              </w:rPr>
            </w:pPr>
            <w:r w:rsidRPr="00847710">
              <w:rPr>
                <w:rFonts w:ascii="Times New Roman" w:hAnsi="Times New Roman" w:cs="Times New Roman"/>
                <w:sz w:val="20"/>
                <w:szCs w:val="20"/>
              </w:rPr>
              <w:t>Nodrošināt bioloģiskās izcelsmes zāles diagnozēm K50 un K51</w:t>
            </w:r>
          </w:p>
        </w:tc>
        <w:tc>
          <w:tcPr>
            <w:tcW w:w="850" w:type="dxa"/>
            <w:shd w:val="clear" w:color="auto" w:fill="FFFFFF" w:themeFill="background1"/>
            <w:vAlign w:val="center"/>
          </w:tcPr>
          <w:p w14:paraId="4089491A" w14:textId="6A4DB57F" w:rsidR="00FF2ABB" w:rsidRPr="00030FAC" w:rsidRDefault="00FF2ABB" w:rsidP="00FF2ABB">
            <w:pPr>
              <w:spacing w:after="0" w:line="240" w:lineRule="auto"/>
              <w:jc w:val="center"/>
              <w:rPr>
                <w:rFonts w:ascii="Times New Roman" w:eastAsia="Times New Roman" w:hAnsi="Times New Roman" w:cs="Times New Roman"/>
                <w:iCs/>
                <w:sz w:val="16"/>
                <w:szCs w:val="16"/>
                <w:lang w:eastAsia="lv-LV"/>
              </w:rPr>
            </w:pPr>
            <w:r w:rsidRPr="00847710">
              <w:rPr>
                <w:rFonts w:ascii="Times New Roman" w:hAnsi="Times New Roman" w:cs="Times New Roman"/>
                <w:sz w:val="20"/>
                <w:szCs w:val="20"/>
              </w:rPr>
              <w:t>9</w:t>
            </w:r>
            <w:r>
              <w:rPr>
                <w:rFonts w:ascii="Times New Roman" w:hAnsi="Times New Roman" w:cs="Times New Roman"/>
                <w:sz w:val="20"/>
                <w:szCs w:val="20"/>
              </w:rPr>
              <w:t xml:space="preserve"> </w:t>
            </w:r>
            <w:r w:rsidRPr="00847710">
              <w:rPr>
                <w:rFonts w:ascii="Times New Roman" w:hAnsi="Times New Roman" w:cs="Times New Roman"/>
                <w:sz w:val="20"/>
                <w:szCs w:val="20"/>
              </w:rPr>
              <w:t>000</w:t>
            </w:r>
          </w:p>
        </w:tc>
        <w:tc>
          <w:tcPr>
            <w:tcW w:w="851" w:type="dxa"/>
            <w:shd w:val="clear" w:color="auto" w:fill="FFFFFF" w:themeFill="background1"/>
            <w:vAlign w:val="center"/>
          </w:tcPr>
          <w:p w14:paraId="6DC630E0" w14:textId="77777777" w:rsidR="00FF2AB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74DF7AF" w14:textId="77777777" w:rsidR="00FF2AB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523ED96"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3E5E5461" w14:textId="77777777" w:rsidR="00FF2AB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43D7F29E" w14:textId="22C49CBB" w:rsidR="00FF2AB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hAnsi="Times New Roman" w:cs="Times New Roman"/>
                <w:sz w:val="20"/>
                <w:szCs w:val="20"/>
              </w:rPr>
              <w:t>450 000</w:t>
            </w:r>
          </w:p>
        </w:tc>
        <w:tc>
          <w:tcPr>
            <w:tcW w:w="1134" w:type="dxa"/>
            <w:shd w:val="clear" w:color="auto" w:fill="FFFFFF" w:themeFill="background1"/>
            <w:vAlign w:val="center"/>
          </w:tcPr>
          <w:p w14:paraId="4E836805" w14:textId="6012AED6" w:rsidR="00FF2ABB" w:rsidRPr="00030FAC" w:rsidRDefault="00FF2ABB" w:rsidP="00FF2ABB">
            <w:pPr>
              <w:spacing w:after="0" w:line="240" w:lineRule="auto"/>
              <w:jc w:val="center"/>
              <w:rPr>
                <w:rFonts w:ascii="Times New Roman" w:eastAsia="Times New Roman" w:hAnsi="Times New Roman" w:cs="Times New Roman"/>
                <w:bCs/>
                <w:sz w:val="16"/>
                <w:szCs w:val="16"/>
                <w:lang w:eastAsia="lv-LV"/>
              </w:rPr>
            </w:pPr>
            <w:r>
              <w:rPr>
                <w:rFonts w:ascii="Times New Roman" w:hAnsi="Times New Roman" w:cs="Times New Roman"/>
                <w:sz w:val="20"/>
                <w:szCs w:val="20"/>
              </w:rPr>
              <w:t>67</w:t>
            </w:r>
            <w:r w:rsidRPr="00847710">
              <w:rPr>
                <w:rFonts w:ascii="Times New Roman" w:hAnsi="Times New Roman" w:cs="Times New Roman"/>
                <w:sz w:val="20"/>
                <w:szCs w:val="20"/>
              </w:rPr>
              <w:t>5 000</w:t>
            </w:r>
          </w:p>
        </w:tc>
        <w:tc>
          <w:tcPr>
            <w:tcW w:w="708" w:type="dxa"/>
            <w:shd w:val="clear" w:color="auto" w:fill="FFFFFF" w:themeFill="background1"/>
            <w:vAlign w:val="center"/>
          </w:tcPr>
          <w:p w14:paraId="223A72BE"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7509E38"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2AD290DA"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6B0BD21C" w14:textId="77777777" w:rsidR="00FF2AB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8" w:type="dxa"/>
            <w:shd w:val="clear" w:color="auto" w:fill="FFFFFF" w:themeFill="background1"/>
            <w:vAlign w:val="center"/>
          </w:tcPr>
          <w:p w14:paraId="3F8870FC" w14:textId="58FD1165" w:rsidR="00FF2ABB" w:rsidRPr="00FD44C1" w:rsidRDefault="00FF2ABB" w:rsidP="00FF2ABB">
            <w:pPr>
              <w:spacing w:after="0" w:line="240" w:lineRule="auto"/>
              <w:jc w:val="center"/>
              <w:rPr>
                <w:rFonts w:ascii="Times New Roman" w:eastAsia="Times New Roman" w:hAnsi="Times New Roman" w:cs="Times New Roman"/>
                <w:bCs/>
                <w:sz w:val="20"/>
                <w:szCs w:val="20"/>
                <w:lang w:eastAsia="lv-LV"/>
              </w:rPr>
            </w:pPr>
            <w:r w:rsidRPr="00FD44C1">
              <w:rPr>
                <w:rFonts w:ascii="Times New Roman" w:hAnsi="Times New Roman" w:cs="Times New Roman"/>
                <w:bCs/>
                <w:sz w:val="20"/>
                <w:szCs w:val="20"/>
              </w:rPr>
              <w:t>50</w:t>
            </w:r>
          </w:p>
        </w:tc>
        <w:tc>
          <w:tcPr>
            <w:tcW w:w="851" w:type="dxa"/>
            <w:shd w:val="clear" w:color="auto" w:fill="FFFFFF" w:themeFill="background1"/>
            <w:vAlign w:val="center"/>
          </w:tcPr>
          <w:p w14:paraId="70635447" w14:textId="01CA575D" w:rsidR="00FF2ABB" w:rsidRPr="00FD44C1" w:rsidRDefault="00FF2ABB" w:rsidP="00FF2ABB">
            <w:pPr>
              <w:spacing w:after="0" w:line="240" w:lineRule="auto"/>
              <w:jc w:val="center"/>
              <w:rPr>
                <w:rFonts w:ascii="Times New Roman" w:eastAsia="Times New Roman" w:hAnsi="Times New Roman" w:cs="Times New Roman"/>
                <w:bCs/>
                <w:sz w:val="20"/>
                <w:szCs w:val="20"/>
                <w:lang w:eastAsia="lv-LV"/>
              </w:rPr>
            </w:pPr>
            <w:r w:rsidRPr="00FD44C1">
              <w:rPr>
                <w:rFonts w:ascii="Times New Roman" w:hAnsi="Times New Roman" w:cs="Times New Roman"/>
                <w:bCs/>
                <w:sz w:val="20"/>
                <w:szCs w:val="20"/>
              </w:rPr>
              <w:t> 75</w:t>
            </w:r>
          </w:p>
        </w:tc>
      </w:tr>
      <w:tr w:rsidR="00C4284B" w14:paraId="7441D3FF" w14:textId="77777777" w:rsidTr="00C4284B">
        <w:trPr>
          <w:trHeight w:val="598"/>
          <w:jc w:val="center"/>
        </w:trPr>
        <w:tc>
          <w:tcPr>
            <w:tcW w:w="450" w:type="dxa"/>
            <w:shd w:val="clear" w:color="auto" w:fill="FFFFFF" w:themeFill="background1"/>
          </w:tcPr>
          <w:p w14:paraId="311974B2"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r w:rsidRPr="00E1067B">
              <w:rPr>
                <w:rFonts w:ascii="Times New Roman" w:eastAsia="Times New Roman" w:hAnsi="Times New Roman" w:cs="Times New Roman"/>
                <w:bCs/>
                <w:sz w:val="20"/>
                <w:szCs w:val="20"/>
                <w:lang w:eastAsia="lv-LV"/>
              </w:rPr>
              <w:t>.</w:t>
            </w:r>
          </w:p>
        </w:tc>
        <w:tc>
          <w:tcPr>
            <w:tcW w:w="1530" w:type="dxa"/>
            <w:shd w:val="clear" w:color="auto" w:fill="FFFFFF" w:themeFill="background1"/>
          </w:tcPr>
          <w:p w14:paraId="389EA8EE" w14:textId="31D911C6" w:rsidR="00FF2ABB" w:rsidRPr="00030FAC" w:rsidRDefault="00FF2ABB" w:rsidP="00FF2ABB">
            <w:pPr>
              <w:spacing w:after="0" w:line="240" w:lineRule="auto"/>
              <w:rPr>
                <w:rFonts w:ascii="Times New Roman" w:eastAsia="Times New Roman" w:hAnsi="Times New Roman" w:cs="Times New Roman"/>
                <w:bCs/>
                <w:sz w:val="16"/>
                <w:szCs w:val="16"/>
                <w:lang w:eastAsia="lv-LV"/>
              </w:rPr>
            </w:pPr>
            <w:r w:rsidRPr="00847710">
              <w:rPr>
                <w:rFonts w:ascii="Times New Roman" w:hAnsi="Times New Roman" w:cs="Times New Roman"/>
                <w:sz w:val="20"/>
                <w:szCs w:val="20"/>
              </w:rPr>
              <w:t>Nodrošināt bioloģiskās izcelsmes zāles diagnozei L40</w:t>
            </w:r>
          </w:p>
        </w:tc>
        <w:tc>
          <w:tcPr>
            <w:tcW w:w="850" w:type="dxa"/>
            <w:shd w:val="clear" w:color="auto" w:fill="FFFFFF" w:themeFill="background1"/>
            <w:vAlign w:val="center"/>
          </w:tcPr>
          <w:p w14:paraId="39C38B40" w14:textId="17C49DF4" w:rsidR="00FF2ABB" w:rsidRPr="00030FAC" w:rsidRDefault="00FF2ABB" w:rsidP="00FF2ABB">
            <w:pPr>
              <w:spacing w:after="0" w:line="240" w:lineRule="auto"/>
              <w:jc w:val="center"/>
              <w:rPr>
                <w:rFonts w:ascii="Times New Roman" w:eastAsia="Times New Roman" w:hAnsi="Times New Roman" w:cs="Times New Roman"/>
                <w:iCs/>
                <w:sz w:val="16"/>
                <w:szCs w:val="16"/>
                <w:lang w:eastAsia="lv-LV"/>
              </w:rPr>
            </w:pPr>
            <w:r w:rsidRPr="00847710">
              <w:rPr>
                <w:rFonts w:ascii="Times New Roman" w:hAnsi="Times New Roman" w:cs="Times New Roman"/>
                <w:sz w:val="20"/>
                <w:szCs w:val="20"/>
              </w:rPr>
              <w:t>9</w:t>
            </w:r>
            <w:r>
              <w:rPr>
                <w:rFonts w:ascii="Times New Roman" w:hAnsi="Times New Roman" w:cs="Times New Roman"/>
                <w:sz w:val="20"/>
                <w:szCs w:val="20"/>
              </w:rPr>
              <w:t xml:space="preserve"> </w:t>
            </w:r>
            <w:r w:rsidRPr="00847710">
              <w:rPr>
                <w:rFonts w:ascii="Times New Roman" w:hAnsi="Times New Roman" w:cs="Times New Roman"/>
                <w:sz w:val="20"/>
                <w:szCs w:val="20"/>
              </w:rPr>
              <w:t>000</w:t>
            </w:r>
          </w:p>
        </w:tc>
        <w:tc>
          <w:tcPr>
            <w:tcW w:w="851" w:type="dxa"/>
            <w:shd w:val="clear" w:color="auto" w:fill="FFFFFF" w:themeFill="background1"/>
            <w:vAlign w:val="center"/>
          </w:tcPr>
          <w:p w14:paraId="1DC1F975"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358BC3DD"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4DE5BE44"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1C10D66"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662BBB99" w14:textId="314059C0"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hAnsi="Times New Roman" w:cs="Times New Roman"/>
                <w:sz w:val="20"/>
                <w:szCs w:val="20"/>
              </w:rPr>
              <w:t>450 000</w:t>
            </w:r>
          </w:p>
        </w:tc>
        <w:tc>
          <w:tcPr>
            <w:tcW w:w="1134" w:type="dxa"/>
            <w:shd w:val="clear" w:color="auto" w:fill="FFFFFF" w:themeFill="background1"/>
            <w:vAlign w:val="center"/>
          </w:tcPr>
          <w:p w14:paraId="36C8C99B" w14:textId="380939B4" w:rsidR="00FF2ABB" w:rsidRPr="00030FAC" w:rsidRDefault="00FF2ABB" w:rsidP="00FF2ABB">
            <w:pPr>
              <w:spacing w:after="0" w:line="240" w:lineRule="auto"/>
              <w:jc w:val="center"/>
              <w:rPr>
                <w:rFonts w:ascii="Times New Roman" w:eastAsia="Times New Roman" w:hAnsi="Times New Roman" w:cs="Times New Roman"/>
                <w:bCs/>
                <w:sz w:val="16"/>
                <w:szCs w:val="16"/>
                <w:lang w:eastAsia="lv-LV"/>
              </w:rPr>
            </w:pPr>
            <w:r>
              <w:rPr>
                <w:rFonts w:ascii="Times New Roman" w:hAnsi="Times New Roman" w:cs="Times New Roman"/>
                <w:sz w:val="20"/>
                <w:szCs w:val="20"/>
              </w:rPr>
              <w:t>900 000</w:t>
            </w:r>
          </w:p>
        </w:tc>
        <w:tc>
          <w:tcPr>
            <w:tcW w:w="708" w:type="dxa"/>
            <w:shd w:val="clear" w:color="auto" w:fill="FFFFFF" w:themeFill="background1"/>
            <w:vAlign w:val="center"/>
          </w:tcPr>
          <w:p w14:paraId="4FEB14CD"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0889DFFB"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2C625C0E"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54723D95" w14:textId="77777777" w:rsidR="00FF2ABB" w:rsidRPr="00E1067B" w:rsidRDefault="00FF2ABB" w:rsidP="00FF2AB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8" w:type="dxa"/>
            <w:shd w:val="clear" w:color="auto" w:fill="FFFFFF" w:themeFill="background1"/>
            <w:vAlign w:val="center"/>
          </w:tcPr>
          <w:p w14:paraId="3DB15552" w14:textId="19FB6E6F" w:rsidR="00FF2ABB" w:rsidRPr="00FD44C1" w:rsidRDefault="00FF2ABB" w:rsidP="00FF2ABB">
            <w:pPr>
              <w:spacing w:after="0" w:line="240" w:lineRule="auto"/>
              <w:jc w:val="center"/>
              <w:rPr>
                <w:rFonts w:ascii="Times New Roman" w:eastAsia="Times New Roman" w:hAnsi="Times New Roman" w:cs="Times New Roman"/>
                <w:bCs/>
                <w:sz w:val="20"/>
                <w:szCs w:val="20"/>
                <w:lang w:eastAsia="lv-LV"/>
              </w:rPr>
            </w:pPr>
            <w:r w:rsidRPr="00FD44C1">
              <w:rPr>
                <w:rFonts w:ascii="Times New Roman" w:hAnsi="Times New Roman" w:cs="Times New Roman"/>
                <w:bCs/>
                <w:sz w:val="20"/>
                <w:szCs w:val="20"/>
              </w:rPr>
              <w:t>50</w:t>
            </w:r>
          </w:p>
        </w:tc>
        <w:tc>
          <w:tcPr>
            <w:tcW w:w="851" w:type="dxa"/>
            <w:shd w:val="clear" w:color="auto" w:fill="FFFFFF" w:themeFill="background1"/>
            <w:vAlign w:val="center"/>
          </w:tcPr>
          <w:p w14:paraId="5722FC9C" w14:textId="677E2FBD" w:rsidR="00FF2ABB" w:rsidRPr="00FD44C1" w:rsidRDefault="00FF2ABB" w:rsidP="00FF2ABB">
            <w:pPr>
              <w:spacing w:after="0" w:line="240" w:lineRule="auto"/>
              <w:jc w:val="center"/>
              <w:rPr>
                <w:rFonts w:ascii="Times New Roman" w:eastAsia="Times New Roman" w:hAnsi="Times New Roman" w:cs="Times New Roman"/>
                <w:bCs/>
                <w:sz w:val="20"/>
                <w:szCs w:val="20"/>
                <w:lang w:eastAsia="lv-LV"/>
              </w:rPr>
            </w:pPr>
            <w:r w:rsidRPr="00FD44C1">
              <w:rPr>
                <w:rFonts w:ascii="Times New Roman" w:hAnsi="Times New Roman" w:cs="Times New Roman"/>
                <w:bCs/>
                <w:sz w:val="20"/>
                <w:szCs w:val="20"/>
              </w:rPr>
              <w:t> 100</w:t>
            </w:r>
          </w:p>
        </w:tc>
      </w:tr>
      <w:tr w:rsidR="00C4284B" w14:paraId="3046A3D9" w14:textId="77777777" w:rsidTr="00C4284B">
        <w:trPr>
          <w:trHeight w:val="296"/>
          <w:jc w:val="center"/>
        </w:trPr>
        <w:tc>
          <w:tcPr>
            <w:tcW w:w="450" w:type="dxa"/>
            <w:shd w:val="clear" w:color="auto" w:fill="FBD4B4" w:themeFill="accent6" w:themeFillTint="66"/>
          </w:tcPr>
          <w:p w14:paraId="29C0868C" w14:textId="77777777" w:rsidR="00FF2ABB" w:rsidRPr="00847710" w:rsidRDefault="00FF2ABB" w:rsidP="00FF2ABB">
            <w:pPr>
              <w:spacing w:after="0" w:line="240" w:lineRule="auto"/>
              <w:rPr>
                <w:rFonts w:ascii="Times New Roman" w:eastAsia="Times New Roman" w:hAnsi="Times New Roman" w:cs="Times New Roman"/>
                <w:sz w:val="20"/>
                <w:szCs w:val="20"/>
                <w:lang w:eastAsia="lv-LV"/>
              </w:rPr>
            </w:pPr>
          </w:p>
        </w:tc>
        <w:tc>
          <w:tcPr>
            <w:tcW w:w="1530" w:type="dxa"/>
            <w:shd w:val="clear" w:color="auto" w:fill="FBD4B4" w:themeFill="accent6" w:themeFillTint="66"/>
            <w:vAlign w:val="bottom"/>
          </w:tcPr>
          <w:p w14:paraId="59F67450" w14:textId="77777777" w:rsidR="00FF2ABB" w:rsidRPr="00847710" w:rsidRDefault="00FF2ABB" w:rsidP="00FF2ABB">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850" w:type="dxa"/>
            <w:shd w:val="clear" w:color="auto" w:fill="FBD4B4" w:themeFill="accent6" w:themeFillTint="66"/>
            <w:noWrap/>
            <w:vAlign w:val="bottom"/>
          </w:tcPr>
          <w:p w14:paraId="5ED8F787" w14:textId="77777777" w:rsidR="00FF2ABB" w:rsidRPr="00847710" w:rsidRDefault="00FF2ABB" w:rsidP="00FF2ABB">
            <w:pPr>
              <w:spacing w:after="0" w:line="240" w:lineRule="auto"/>
              <w:jc w:val="center"/>
              <w:rPr>
                <w:rFonts w:ascii="Times New Roman" w:eastAsia="Times New Roman" w:hAnsi="Times New Roman" w:cs="Times New Roman"/>
                <w:sz w:val="20"/>
                <w:szCs w:val="20"/>
                <w:lang w:eastAsia="lv-LV"/>
              </w:rPr>
            </w:pPr>
          </w:p>
        </w:tc>
        <w:tc>
          <w:tcPr>
            <w:tcW w:w="851" w:type="dxa"/>
            <w:shd w:val="clear" w:color="auto" w:fill="FBD4B4" w:themeFill="accent6" w:themeFillTint="66"/>
            <w:vAlign w:val="center"/>
          </w:tcPr>
          <w:p w14:paraId="449CE769" w14:textId="77777777" w:rsidR="00FF2ABB" w:rsidRPr="00847710" w:rsidRDefault="00FF2ABB" w:rsidP="00FF2ABB">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52667A2A" w14:textId="77777777" w:rsidR="00FF2ABB" w:rsidRPr="00847710" w:rsidRDefault="00FF2ABB" w:rsidP="00FF2ABB">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406980FD" w14:textId="77777777" w:rsidR="00FF2ABB" w:rsidRPr="00847710" w:rsidRDefault="00FF2ABB" w:rsidP="00FF2ABB">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2A863AAF" w14:textId="77777777" w:rsidR="00FF2ABB" w:rsidRPr="00847710" w:rsidRDefault="00FF2ABB" w:rsidP="00FF2ABB">
            <w:pPr>
              <w:spacing w:after="0" w:line="240" w:lineRule="auto"/>
              <w:jc w:val="center"/>
              <w:rPr>
                <w:rFonts w:ascii="Times New Roman" w:hAnsi="Times New Roman" w:cs="Times New Roman"/>
                <w:sz w:val="20"/>
                <w:szCs w:val="20"/>
              </w:rPr>
            </w:pPr>
          </w:p>
        </w:tc>
        <w:tc>
          <w:tcPr>
            <w:tcW w:w="993" w:type="dxa"/>
            <w:shd w:val="clear" w:color="auto" w:fill="FBD4B4" w:themeFill="accent6" w:themeFillTint="66"/>
            <w:vAlign w:val="center"/>
          </w:tcPr>
          <w:p w14:paraId="7A861E11" w14:textId="3FEEEA9C" w:rsidR="00FF2ABB" w:rsidRPr="00FD44C1" w:rsidRDefault="00FF2ABB" w:rsidP="00FF2ABB">
            <w:pPr>
              <w:spacing w:after="0" w:line="240" w:lineRule="auto"/>
              <w:jc w:val="center"/>
              <w:rPr>
                <w:rFonts w:ascii="Times New Roman" w:hAnsi="Times New Roman" w:cs="Times New Roman"/>
                <w:b/>
                <w:sz w:val="20"/>
                <w:szCs w:val="20"/>
              </w:rPr>
            </w:pPr>
            <w:r w:rsidRPr="00FD44C1">
              <w:rPr>
                <w:rFonts w:ascii="Times New Roman" w:hAnsi="Times New Roman" w:cs="Times New Roman"/>
                <w:b/>
                <w:sz w:val="20"/>
                <w:szCs w:val="20"/>
              </w:rPr>
              <w:t>900 000</w:t>
            </w:r>
          </w:p>
        </w:tc>
        <w:tc>
          <w:tcPr>
            <w:tcW w:w="1134" w:type="dxa"/>
            <w:shd w:val="clear" w:color="auto" w:fill="FBD4B4" w:themeFill="accent6" w:themeFillTint="66"/>
            <w:noWrap/>
            <w:vAlign w:val="center"/>
          </w:tcPr>
          <w:p w14:paraId="063C71DC" w14:textId="01B370FC" w:rsidR="00FF2ABB" w:rsidRPr="00FD44C1" w:rsidRDefault="00FF2ABB" w:rsidP="00FF2ABB">
            <w:pPr>
              <w:spacing w:after="0" w:line="240" w:lineRule="auto"/>
              <w:jc w:val="center"/>
              <w:rPr>
                <w:rFonts w:ascii="Times New Roman" w:eastAsia="Times New Roman" w:hAnsi="Times New Roman" w:cs="Times New Roman"/>
                <w:b/>
                <w:sz w:val="16"/>
                <w:szCs w:val="16"/>
                <w:lang w:eastAsia="lv-LV"/>
              </w:rPr>
            </w:pPr>
            <w:r w:rsidRPr="00FD44C1">
              <w:rPr>
                <w:rFonts w:ascii="Times New Roman" w:hAnsi="Times New Roman" w:cs="Times New Roman"/>
                <w:b/>
                <w:sz w:val="20"/>
                <w:szCs w:val="20"/>
              </w:rPr>
              <w:t>1 575 000</w:t>
            </w:r>
          </w:p>
        </w:tc>
        <w:tc>
          <w:tcPr>
            <w:tcW w:w="708" w:type="dxa"/>
            <w:shd w:val="clear" w:color="auto" w:fill="FBD4B4" w:themeFill="accent6" w:themeFillTint="66"/>
            <w:vAlign w:val="center"/>
          </w:tcPr>
          <w:p w14:paraId="57E8A5D0" w14:textId="77777777" w:rsidR="00FF2ABB" w:rsidRPr="00AE3965" w:rsidRDefault="00FF2ABB" w:rsidP="00FF2ABB">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132E12CD" w14:textId="77777777" w:rsidR="00FF2ABB" w:rsidRPr="00AE3965" w:rsidRDefault="00FF2ABB" w:rsidP="00FF2ABB">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69940E13" w14:textId="77777777" w:rsidR="00FF2ABB" w:rsidRPr="00AE3965" w:rsidRDefault="00FF2ABB" w:rsidP="00FF2ABB">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6FECD34E" w14:textId="77777777" w:rsidR="00FF2ABB" w:rsidRPr="00AE3965" w:rsidRDefault="00FF2ABB" w:rsidP="00FF2ABB">
            <w:pPr>
              <w:spacing w:after="0" w:line="240" w:lineRule="auto"/>
              <w:jc w:val="center"/>
              <w:rPr>
                <w:rFonts w:ascii="Times New Roman" w:hAnsi="Times New Roman" w:cs="Times New Roman"/>
                <w:b/>
                <w:bCs/>
                <w:sz w:val="20"/>
                <w:szCs w:val="20"/>
              </w:rPr>
            </w:pPr>
          </w:p>
        </w:tc>
        <w:tc>
          <w:tcPr>
            <w:tcW w:w="708" w:type="dxa"/>
            <w:shd w:val="clear" w:color="auto" w:fill="FBD4B4" w:themeFill="accent6" w:themeFillTint="66"/>
            <w:vAlign w:val="center"/>
          </w:tcPr>
          <w:p w14:paraId="6B734075" w14:textId="1411E444" w:rsidR="00FF2ABB" w:rsidRPr="00FD44C1" w:rsidRDefault="00FF2ABB" w:rsidP="00FF2ABB">
            <w:pPr>
              <w:spacing w:after="0" w:line="240" w:lineRule="auto"/>
              <w:jc w:val="center"/>
              <w:rPr>
                <w:rFonts w:ascii="Times New Roman" w:hAnsi="Times New Roman" w:cs="Times New Roman"/>
                <w:b/>
                <w:bCs/>
                <w:sz w:val="20"/>
                <w:szCs w:val="20"/>
              </w:rPr>
            </w:pPr>
            <w:r w:rsidRPr="00FD44C1">
              <w:rPr>
                <w:rFonts w:ascii="Times New Roman" w:hAnsi="Times New Roman" w:cs="Times New Roman"/>
                <w:b/>
                <w:bCs/>
                <w:sz w:val="20"/>
                <w:szCs w:val="20"/>
              </w:rPr>
              <w:t>100</w:t>
            </w:r>
          </w:p>
        </w:tc>
        <w:tc>
          <w:tcPr>
            <w:tcW w:w="851" w:type="dxa"/>
            <w:shd w:val="clear" w:color="auto" w:fill="FBD4B4" w:themeFill="accent6" w:themeFillTint="66"/>
            <w:noWrap/>
            <w:vAlign w:val="center"/>
          </w:tcPr>
          <w:p w14:paraId="3F7CC2B6" w14:textId="6D6E396E" w:rsidR="00FF2ABB" w:rsidRPr="00FD44C1" w:rsidRDefault="00FF2ABB" w:rsidP="00FF2ABB">
            <w:pPr>
              <w:spacing w:after="0" w:line="240" w:lineRule="auto"/>
              <w:jc w:val="center"/>
              <w:rPr>
                <w:rFonts w:ascii="Times New Roman" w:eastAsia="Times New Roman" w:hAnsi="Times New Roman" w:cs="Times New Roman"/>
                <w:b/>
                <w:bCs/>
                <w:sz w:val="20"/>
                <w:szCs w:val="20"/>
                <w:lang w:eastAsia="lv-LV"/>
              </w:rPr>
            </w:pPr>
            <w:r w:rsidRPr="00FD44C1">
              <w:rPr>
                <w:rFonts w:ascii="Times New Roman" w:hAnsi="Times New Roman" w:cs="Times New Roman"/>
                <w:b/>
                <w:bCs/>
                <w:sz w:val="20"/>
                <w:szCs w:val="20"/>
              </w:rPr>
              <w:t>175</w:t>
            </w:r>
          </w:p>
        </w:tc>
      </w:tr>
    </w:tbl>
    <w:p w14:paraId="19A30ECB" w14:textId="77777777" w:rsidR="00FD7B70" w:rsidRDefault="00FD7B70">
      <w:pPr>
        <w:jc w:val="center"/>
        <w:rPr>
          <w:rFonts w:ascii="Times New Roman" w:hAnsi="Times New Roman" w:cs="Times New Roman"/>
          <w:b/>
          <w:bCs/>
          <w:sz w:val="24"/>
          <w:szCs w:val="24"/>
        </w:rPr>
      </w:pPr>
    </w:p>
    <w:p w14:paraId="2E9EBD97" w14:textId="77777777" w:rsidR="00FD7B70" w:rsidRPr="00C86312" w:rsidRDefault="00FD7B70">
      <w:pPr>
        <w:jc w:val="center"/>
        <w:rPr>
          <w:rFonts w:ascii="Times New Roman" w:hAnsi="Times New Roman" w:cs="Times New Roman"/>
          <w:b/>
          <w:bCs/>
          <w:sz w:val="24"/>
          <w:szCs w:val="24"/>
        </w:rPr>
      </w:pPr>
    </w:p>
    <w:p w14:paraId="76E18E5F" w14:textId="77777777" w:rsidR="00FB3088" w:rsidRDefault="00FB3088" w:rsidP="009F1205">
      <w:pPr>
        <w:rPr>
          <w:rFonts w:ascii="Times New Roman" w:hAnsi="Times New Roman" w:cs="Times New Roman"/>
          <w:i/>
          <w:iCs/>
          <w:sz w:val="24"/>
          <w:szCs w:val="24"/>
        </w:rPr>
        <w:sectPr w:rsidR="00FB3088" w:rsidSect="00FD01EE">
          <w:pgSz w:w="15840" w:h="12240" w:orient="landscape"/>
          <w:pgMar w:top="1701" w:right="1440" w:bottom="1440" w:left="1440" w:header="709" w:footer="709" w:gutter="0"/>
          <w:cols w:space="708"/>
          <w:docGrid w:linePitch="360"/>
        </w:sectPr>
      </w:pPr>
    </w:p>
    <w:p w14:paraId="4D16700E" w14:textId="4471E05F" w:rsidR="00C31428" w:rsidRPr="00E93259" w:rsidRDefault="00B34933" w:rsidP="704995BB">
      <w:pPr>
        <w:jc w:val="right"/>
        <w:rPr>
          <w:rFonts w:ascii="Times New Roman" w:hAnsi="Times New Roman" w:cs="Times New Roman"/>
          <w:i/>
          <w:iCs/>
          <w:sz w:val="24"/>
          <w:szCs w:val="24"/>
        </w:rPr>
      </w:pPr>
      <w:r w:rsidRPr="704995BB">
        <w:rPr>
          <w:rFonts w:ascii="Times New Roman" w:hAnsi="Times New Roman" w:cs="Times New Roman"/>
          <w:i/>
          <w:iCs/>
          <w:sz w:val="24"/>
          <w:szCs w:val="24"/>
        </w:rPr>
        <w:lastRenderedPageBreak/>
        <w:t>2</w:t>
      </w:r>
      <w:r w:rsidR="00AC6E54">
        <w:rPr>
          <w:rFonts w:ascii="Times New Roman" w:hAnsi="Times New Roman" w:cs="Times New Roman"/>
          <w:i/>
          <w:iCs/>
          <w:sz w:val="24"/>
          <w:szCs w:val="24"/>
        </w:rPr>
        <w:t>6</w:t>
      </w:r>
      <w:r w:rsidR="0071331A" w:rsidRPr="704995BB">
        <w:rPr>
          <w:rFonts w:ascii="Times New Roman" w:hAnsi="Times New Roman" w:cs="Times New Roman"/>
          <w:i/>
          <w:iCs/>
          <w:sz w:val="24"/>
          <w:szCs w:val="24"/>
        </w:rPr>
        <w:t xml:space="preserve">.tabula </w:t>
      </w:r>
    </w:p>
    <w:p w14:paraId="70D5BA9A" w14:textId="35770538" w:rsidR="00C31428" w:rsidRDefault="00367C9B">
      <w:pPr>
        <w:jc w:val="center"/>
        <w:rPr>
          <w:rFonts w:ascii="Times New Roman" w:hAnsi="Times New Roman" w:cs="Times New Roman"/>
          <w:b/>
          <w:bCs/>
          <w:sz w:val="24"/>
          <w:szCs w:val="24"/>
        </w:rPr>
      </w:pPr>
      <w:r w:rsidRPr="00367C9B">
        <w:rPr>
          <w:rFonts w:ascii="Times New Roman" w:hAnsi="Times New Roman" w:cs="Times New Roman"/>
          <w:b/>
          <w:sz w:val="24"/>
          <w:szCs w:val="24"/>
        </w:rPr>
        <w:t>100% kompensācijas apmēra nodrošināšanai</w:t>
      </w:r>
      <w:r w:rsidRPr="0012317D">
        <w:rPr>
          <w:rFonts w:ascii="Times New Roman" w:hAnsi="Times New Roman" w:cs="Times New Roman"/>
          <w:b/>
          <w:bCs/>
          <w:sz w:val="24"/>
          <w:szCs w:val="24"/>
        </w:rPr>
        <w:t xml:space="preserve"> </w:t>
      </w:r>
      <w:r w:rsidR="0071331A" w:rsidRPr="0012317D">
        <w:rPr>
          <w:rFonts w:ascii="Times New Roman" w:hAnsi="Times New Roman" w:cs="Times New Roman"/>
          <w:b/>
          <w:bCs/>
          <w:sz w:val="24"/>
          <w:szCs w:val="24"/>
        </w:rPr>
        <w:t>Krona slimībai, čūlainajam kolītam un psoriāzei nepieciešamais finansējums</w:t>
      </w:r>
      <w:r w:rsidR="00FB2675">
        <w:rPr>
          <w:rFonts w:ascii="Times New Roman" w:hAnsi="Times New Roman" w:cs="Times New Roman"/>
          <w:b/>
          <w:bCs/>
          <w:sz w:val="24"/>
          <w:szCs w:val="24"/>
        </w:rPr>
        <w:t xml:space="preserve"> 2017., 2018. un 2019.gadam</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30"/>
        <w:gridCol w:w="850"/>
        <w:gridCol w:w="851"/>
        <w:gridCol w:w="850"/>
        <w:gridCol w:w="851"/>
        <w:gridCol w:w="850"/>
        <w:gridCol w:w="993"/>
        <w:gridCol w:w="992"/>
        <w:gridCol w:w="850"/>
        <w:gridCol w:w="709"/>
        <w:gridCol w:w="709"/>
        <w:gridCol w:w="850"/>
        <w:gridCol w:w="851"/>
        <w:gridCol w:w="850"/>
      </w:tblGrid>
      <w:tr w:rsidR="00ED248D" w14:paraId="7735FB43" w14:textId="77777777" w:rsidTr="00C4284B">
        <w:trPr>
          <w:cantSplit/>
          <w:trHeight w:val="1505"/>
          <w:jc w:val="center"/>
        </w:trPr>
        <w:tc>
          <w:tcPr>
            <w:tcW w:w="450" w:type="dxa"/>
            <w:shd w:val="clear" w:color="auto" w:fill="E36C0A" w:themeFill="accent6" w:themeFillShade="BF"/>
          </w:tcPr>
          <w:p w14:paraId="5638BC3C" w14:textId="77777777" w:rsidR="00ED248D" w:rsidRPr="00847710" w:rsidRDefault="00ED248D" w:rsidP="005C58C0">
            <w:pPr>
              <w:spacing w:after="0" w:line="240" w:lineRule="auto"/>
              <w:rPr>
                <w:rFonts w:ascii="Times New Roman" w:eastAsia="Times New Roman" w:hAnsi="Times New Roman" w:cs="Times New Roman"/>
                <w:b/>
                <w:bCs/>
                <w:sz w:val="20"/>
                <w:szCs w:val="20"/>
                <w:lang w:eastAsia="lv-LV"/>
              </w:rPr>
            </w:pPr>
          </w:p>
        </w:tc>
        <w:tc>
          <w:tcPr>
            <w:tcW w:w="1530" w:type="dxa"/>
            <w:shd w:val="clear" w:color="auto" w:fill="E36C0A" w:themeFill="accent6" w:themeFillShade="BF"/>
            <w:vAlign w:val="center"/>
            <w:hideMark/>
          </w:tcPr>
          <w:p w14:paraId="599A3ADD" w14:textId="77777777" w:rsidR="00ED248D" w:rsidRPr="00847710" w:rsidRDefault="00ED248D" w:rsidP="005C58C0">
            <w:pPr>
              <w:spacing w:after="0" w:line="240" w:lineRule="auto"/>
              <w:rPr>
                <w:rFonts w:ascii="Times New Roman" w:eastAsia="Times New Roman" w:hAnsi="Times New Roman" w:cs="Times New Roman"/>
                <w:b/>
                <w:bCs/>
                <w:sz w:val="20"/>
                <w:szCs w:val="20"/>
                <w:lang w:eastAsia="lv-LV"/>
              </w:rPr>
            </w:pPr>
          </w:p>
        </w:tc>
        <w:tc>
          <w:tcPr>
            <w:tcW w:w="850" w:type="dxa"/>
            <w:shd w:val="clear" w:color="auto" w:fill="E36C0A" w:themeFill="accent6" w:themeFillShade="BF"/>
            <w:textDirection w:val="btLr"/>
            <w:vAlign w:val="center"/>
            <w:hideMark/>
          </w:tcPr>
          <w:p w14:paraId="0CD10DCD" w14:textId="77777777" w:rsidR="00ED248D" w:rsidRPr="00847710" w:rsidRDefault="00ED248D"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pakalpojuma</w:t>
            </w:r>
          </w:p>
          <w:p w14:paraId="4B0B18F6" w14:textId="77777777" w:rsidR="00ED248D" w:rsidRPr="00847710" w:rsidRDefault="00ED248D"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03C964A5" w14:textId="77777777" w:rsidR="00ED248D" w:rsidRPr="00847710" w:rsidRDefault="00ED248D" w:rsidP="005C58C0">
            <w:pPr>
              <w:spacing w:after="0" w:line="240" w:lineRule="auto"/>
              <w:ind w:left="113" w:right="113"/>
              <w:jc w:val="center"/>
              <w:rPr>
                <w:rFonts w:ascii="Times New Roman" w:eastAsia="Times New Roman" w:hAnsi="Times New Roman" w:cs="Times New Roman"/>
                <w:b/>
                <w:bCs/>
                <w:sz w:val="20"/>
                <w:szCs w:val="20"/>
                <w:lang w:eastAsia="lv-LV"/>
              </w:rPr>
            </w:pPr>
          </w:p>
        </w:tc>
        <w:tc>
          <w:tcPr>
            <w:tcW w:w="2552" w:type="dxa"/>
            <w:gridSpan w:val="3"/>
            <w:shd w:val="clear" w:color="auto" w:fill="E36C0A" w:themeFill="accent6" w:themeFillShade="BF"/>
            <w:textDirection w:val="btLr"/>
            <w:vAlign w:val="center"/>
          </w:tcPr>
          <w:p w14:paraId="6026C829" w14:textId="77777777" w:rsidR="00ED248D" w:rsidRPr="00847710" w:rsidRDefault="00ED248D" w:rsidP="005C58C0">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5" w:type="dxa"/>
            <w:gridSpan w:val="3"/>
            <w:shd w:val="clear" w:color="auto" w:fill="E36C0A" w:themeFill="accent6" w:themeFillShade="BF"/>
            <w:textDirection w:val="btLr"/>
            <w:vAlign w:val="center"/>
          </w:tcPr>
          <w:p w14:paraId="4AD9ABE7" w14:textId="77777777" w:rsidR="00ED248D" w:rsidRPr="00847710" w:rsidRDefault="00ED248D"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268" w:type="dxa"/>
            <w:gridSpan w:val="3"/>
            <w:shd w:val="clear" w:color="auto" w:fill="E36C0A" w:themeFill="accent6" w:themeFillShade="BF"/>
            <w:textDirection w:val="btLr"/>
            <w:vAlign w:val="center"/>
          </w:tcPr>
          <w:p w14:paraId="1BA4A30C" w14:textId="77777777" w:rsidR="00ED248D" w:rsidRPr="00847710" w:rsidRDefault="00ED248D"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551" w:type="dxa"/>
            <w:gridSpan w:val="3"/>
            <w:shd w:val="clear" w:color="auto" w:fill="E36C0A" w:themeFill="accent6" w:themeFillShade="BF"/>
            <w:textDirection w:val="btLr"/>
            <w:vAlign w:val="center"/>
          </w:tcPr>
          <w:p w14:paraId="160FCCF1" w14:textId="77777777" w:rsidR="00ED248D" w:rsidRPr="00847710" w:rsidRDefault="00ED248D" w:rsidP="005C58C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C4284B" w14:paraId="44753EF3" w14:textId="77777777" w:rsidTr="00C4284B">
        <w:trPr>
          <w:trHeight w:val="640"/>
          <w:jc w:val="center"/>
        </w:trPr>
        <w:tc>
          <w:tcPr>
            <w:tcW w:w="450" w:type="dxa"/>
            <w:shd w:val="clear" w:color="auto" w:fill="FABF8F" w:themeFill="accent6" w:themeFillTint="99"/>
          </w:tcPr>
          <w:p w14:paraId="6CF51EA4"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p>
        </w:tc>
        <w:tc>
          <w:tcPr>
            <w:tcW w:w="1530" w:type="dxa"/>
            <w:shd w:val="clear" w:color="auto" w:fill="FABF8F" w:themeFill="accent6" w:themeFillTint="99"/>
            <w:vAlign w:val="center"/>
          </w:tcPr>
          <w:p w14:paraId="12A56999"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FABF8F" w:themeFill="accent6" w:themeFillTint="99"/>
            <w:vAlign w:val="center"/>
          </w:tcPr>
          <w:p w14:paraId="6ED0DB56" w14:textId="77777777" w:rsidR="00ED248D" w:rsidRPr="00847710" w:rsidRDefault="00ED248D" w:rsidP="005C58C0">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5D7B5A64"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60479ABF" w14:textId="77777777" w:rsidR="00ED248D"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6088B39" w14:textId="77777777" w:rsidR="00ED248D" w:rsidRPr="0012317D" w:rsidRDefault="00ED248D"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00D1CA86" w14:textId="77777777" w:rsidR="00ED248D"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0B532EBB" w14:textId="77777777" w:rsidR="00ED248D" w:rsidRPr="0012317D" w:rsidRDefault="00ED248D"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11346A52" w14:textId="77777777" w:rsidR="00ED248D"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22DF751D" w14:textId="77777777" w:rsidR="00ED248D" w:rsidRPr="0012317D" w:rsidRDefault="00ED248D"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719CA6E5" w14:textId="77777777" w:rsidR="00ED248D"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21BBA115" w14:textId="77777777" w:rsidR="00ED248D" w:rsidRPr="0012317D" w:rsidRDefault="00ED248D"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3" w:type="dxa"/>
            <w:shd w:val="clear" w:color="auto" w:fill="FABF8F" w:themeFill="accent6" w:themeFillTint="99"/>
            <w:vAlign w:val="center"/>
          </w:tcPr>
          <w:p w14:paraId="361F647E" w14:textId="77777777" w:rsidR="00ED248D"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D5F02A6" w14:textId="77777777" w:rsidR="00ED248D" w:rsidRPr="0012317D" w:rsidRDefault="00ED248D" w:rsidP="005C58C0">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70F58214" w14:textId="77777777" w:rsidR="00ED248D" w:rsidRPr="00C86312" w:rsidRDefault="00ED248D" w:rsidP="005C58C0">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58C2923" w14:textId="77777777" w:rsidR="00ED248D" w:rsidRPr="00C86312" w:rsidRDefault="00ED248D" w:rsidP="005C58C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3D12DE89"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17EFF7CD"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6C0238A1"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0" w:type="dxa"/>
            <w:shd w:val="clear" w:color="auto" w:fill="FABF8F" w:themeFill="accent6" w:themeFillTint="99"/>
            <w:vAlign w:val="center"/>
          </w:tcPr>
          <w:p w14:paraId="2C436B6E"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317D2704"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294E85F1" w14:textId="77777777" w:rsidR="00ED248D" w:rsidRPr="00847710" w:rsidRDefault="00ED248D" w:rsidP="005C58C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C4284B" w14:paraId="688892EC" w14:textId="77777777" w:rsidTr="00C4284B">
        <w:trPr>
          <w:trHeight w:val="598"/>
          <w:jc w:val="center"/>
        </w:trPr>
        <w:tc>
          <w:tcPr>
            <w:tcW w:w="450" w:type="dxa"/>
            <w:shd w:val="clear" w:color="auto" w:fill="FFFFFF" w:themeFill="background1"/>
          </w:tcPr>
          <w:p w14:paraId="60FCC64B"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530" w:type="dxa"/>
            <w:shd w:val="clear" w:color="auto" w:fill="FFFFFF" w:themeFill="background1"/>
          </w:tcPr>
          <w:p w14:paraId="5C50192A" w14:textId="77777777" w:rsidR="00ED248D" w:rsidRPr="00030FAC" w:rsidRDefault="00ED248D" w:rsidP="00ED248D">
            <w:pPr>
              <w:spacing w:after="0" w:line="240" w:lineRule="auto"/>
              <w:rPr>
                <w:rFonts w:ascii="Times New Roman" w:eastAsia="Times New Roman" w:hAnsi="Times New Roman" w:cs="Times New Roman"/>
                <w:bCs/>
                <w:sz w:val="16"/>
                <w:szCs w:val="16"/>
                <w:lang w:eastAsia="lv-LV"/>
              </w:rPr>
            </w:pPr>
            <w:r w:rsidRPr="00847710">
              <w:rPr>
                <w:rFonts w:ascii="Times New Roman" w:hAnsi="Times New Roman" w:cs="Times New Roman"/>
                <w:sz w:val="20"/>
                <w:szCs w:val="20"/>
              </w:rPr>
              <w:t>Nodrošināt bioloģiskās izcelsmes zāles diagnozēm K50 un K51</w:t>
            </w:r>
          </w:p>
        </w:tc>
        <w:tc>
          <w:tcPr>
            <w:tcW w:w="850" w:type="dxa"/>
            <w:shd w:val="clear" w:color="auto" w:fill="FFFFFF" w:themeFill="background1"/>
            <w:vAlign w:val="center"/>
          </w:tcPr>
          <w:p w14:paraId="07E24C02" w14:textId="51250A39" w:rsidR="00ED248D" w:rsidRPr="00030FAC" w:rsidRDefault="00ED248D" w:rsidP="00ED248D">
            <w:pPr>
              <w:spacing w:after="0" w:line="240" w:lineRule="auto"/>
              <w:jc w:val="center"/>
              <w:rPr>
                <w:rFonts w:ascii="Times New Roman" w:eastAsia="Times New Roman" w:hAnsi="Times New Roman" w:cs="Times New Roman"/>
                <w:iCs/>
                <w:sz w:val="16"/>
                <w:szCs w:val="16"/>
                <w:lang w:eastAsia="lv-LV"/>
              </w:rPr>
            </w:pPr>
            <w:r>
              <w:rPr>
                <w:rFonts w:ascii="Times New Roman" w:hAnsi="Times New Roman" w:cs="Times New Roman"/>
                <w:sz w:val="20"/>
                <w:szCs w:val="20"/>
              </w:rPr>
              <w:t>74,78</w:t>
            </w:r>
          </w:p>
        </w:tc>
        <w:tc>
          <w:tcPr>
            <w:tcW w:w="851" w:type="dxa"/>
            <w:shd w:val="clear" w:color="auto" w:fill="FFFFFF" w:themeFill="background1"/>
            <w:vAlign w:val="center"/>
          </w:tcPr>
          <w:p w14:paraId="0F8AA3D9" w14:textId="77777777" w:rsidR="00ED248D"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4BC7B5F" w14:textId="77777777" w:rsidR="00ED248D"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DD5C68C"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D2EDD4C" w14:textId="77777777" w:rsidR="00ED248D"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39EC90CA" w14:textId="69651831" w:rsidR="00ED248D" w:rsidRDefault="00ED248D" w:rsidP="00ED248D">
            <w:pPr>
              <w:spacing w:after="0" w:line="240" w:lineRule="auto"/>
              <w:jc w:val="center"/>
              <w:rPr>
                <w:rFonts w:ascii="Times New Roman" w:eastAsia="Times New Roman" w:hAnsi="Times New Roman" w:cs="Times New Roman"/>
                <w:bCs/>
                <w:sz w:val="20"/>
                <w:szCs w:val="20"/>
                <w:lang w:eastAsia="lv-LV"/>
              </w:rPr>
            </w:pPr>
            <w:r w:rsidRPr="00847710">
              <w:rPr>
                <w:rFonts w:ascii="Times New Roman" w:eastAsia="Times New Roman" w:hAnsi="Times New Roman" w:cs="Times New Roman"/>
                <w:sz w:val="20"/>
                <w:szCs w:val="20"/>
                <w:lang w:eastAsia="lv-LV"/>
              </w:rPr>
              <w:t>146 644</w:t>
            </w:r>
          </w:p>
        </w:tc>
        <w:tc>
          <w:tcPr>
            <w:tcW w:w="992" w:type="dxa"/>
            <w:shd w:val="clear" w:color="auto" w:fill="FFFFFF" w:themeFill="background1"/>
            <w:vAlign w:val="center"/>
          </w:tcPr>
          <w:p w14:paraId="437B69AD" w14:textId="13FAA08E" w:rsidR="00ED248D" w:rsidRPr="00030FAC" w:rsidRDefault="00ED248D" w:rsidP="00ED248D">
            <w:pPr>
              <w:spacing w:after="0" w:line="240" w:lineRule="auto"/>
              <w:jc w:val="center"/>
              <w:rPr>
                <w:rFonts w:ascii="Times New Roman" w:eastAsia="Times New Roman" w:hAnsi="Times New Roman" w:cs="Times New Roman"/>
                <w:bCs/>
                <w:sz w:val="16"/>
                <w:szCs w:val="16"/>
                <w:lang w:eastAsia="lv-LV"/>
              </w:rPr>
            </w:pPr>
            <w:r w:rsidRPr="00847710">
              <w:rPr>
                <w:rFonts w:ascii="Times New Roman" w:eastAsia="Times New Roman" w:hAnsi="Times New Roman" w:cs="Times New Roman"/>
                <w:sz w:val="20"/>
                <w:szCs w:val="20"/>
                <w:lang w:eastAsia="lv-LV"/>
              </w:rPr>
              <w:t>146 644</w:t>
            </w:r>
          </w:p>
        </w:tc>
        <w:tc>
          <w:tcPr>
            <w:tcW w:w="850" w:type="dxa"/>
            <w:shd w:val="clear" w:color="auto" w:fill="FFFFFF" w:themeFill="background1"/>
            <w:vAlign w:val="center"/>
          </w:tcPr>
          <w:p w14:paraId="7091F8F2"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2B0859B8"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7A66C0C8"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2FEA9CC" w14:textId="77777777" w:rsidR="00ED248D"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0EC4DBBE" w14:textId="7E569ABF" w:rsidR="00ED248D" w:rsidRDefault="00ED248D" w:rsidP="00ED248D">
            <w:pPr>
              <w:spacing w:after="0" w:line="240" w:lineRule="auto"/>
              <w:jc w:val="center"/>
              <w:rPr>
                <w:rFonts w:ascii="Times New Roman" w:eastAsia="Times New Roman" w:hAnsi="Times New Roman" w:cs="Times New Roman"/>
                <w:bCs/>
                <w:sz w:val="20"/>
                <w:szCs w:val="20"/>
                <w:lang w:eastAsia="lv-LV"/>
              </w:rPr>
            </w:pPr>
            <w:r w:rsidRPr="00847710">
              <w:rPr>
                <w:rFonts w:ascii="Times New Roman" w:eastAsia="Times New Roman" w:hAnsi="Times New Roman" w:cs="Times New Roman"/>
                <w:sz w:val="20"/>
                <w:szCs w:val="20"/>
                <w:lang w:eastAsia="lv-LV"/>
              </w:rPr>
              <w:t>1 961</w:t>
            </w:r>
          </w:p>
        </w:tc>
        <w:tc>
          <w:tcPr>
            <w:tcW w:w="850" w:type="dxa"/>
            <w:shd w:val="clear" w:color="auto" w:fill="FFFFFF" w:themeFill="background1"/>
            <w:vAlign w:val="center"/>
          </w:tcPr>
          <w:p w14:paraId="312EB954" w14:textId="5FB3121C"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sidRPr="00847710">
              <w:rPr>
                <w:rFonts w:ascii="Times New Roman" w:eastAsia="Times New Roman" w:hAnsi="Times New Roman" w:cs="Times New Roman"/>
                <w:sz w:val="20"/>
                <w:szCs w:val="20"/>
                <w:lang w:eastAsia="lv-LV"/>
              </w:rPr>
              <w:t>1 961</w:t>
            </w:r>
          </w:p>
        </w:tc>
      </w:tr>
      <w:tr w:rsidR="00C4284B" w14:paraId="2820CA57" w14:textId="77777777" w:rsidTr="00C4284B">
        <w:trPr>
          <w:trHeight w:val="598"/>
          <w:jc w:val="center"/>
        </w:trPr>
        <w:tc>
          <w:tcPr>
            <w:tcW w:w="450" w:type="dxa"/>
            <w:shd w:val="clear" w:color="auto" w:fill="FFFFFF" w:themeFill="background1"/>
          </w:tcPr>
          <w:p w14:paraId="5A79458B"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r w:rsidRPr="00E1067B">
              <w:rPr>
                <w:rFonts w:ascii="Times New Roman" w:eastAsia="Times New Roman" w:hAnsi="Times New Roman" w:cs="Times New Roman"/>
                <w:bCs/>
                <w:sz w:val="20"/>
                <w:szCs w:val="20"/>
                <w:lang w:eastAsia="lv-LV"/>
              </w:rPr>
              <w:t>.</w:t>
            </w:r>
          </w:p>
        </w:tc>
        <w:tc>
          <w:tcPr>
            <w:tcW w:w="1530" w:type="dxa"/>
            <w:shd w:val="clear" w:color="auto" w:fill="FFFFFF" w:themeFill="background1"/>
          </w:tcPr>
          <w:p w14:paraId="796DCF37" w14:textId="77777777" w:rsidR="00ED248D" w:rsidRPr="00030FAC" w:rsidRDefault="00ED248D" w:rsidP="00ED248D">
            <w:pPr>
              <w:spacing w:after="0" w:line="240" w:lineRule="auto"/>
              <w:rPr>
                <w:rFonts w:ascii="Times New Roman" w:eastAsia="Times New Roman" w:hAnsi="Times New Roman" w:cs="Times New Roman"/>
                <w:bCs/>
                <w:sz w:val="16"/>
                <w:szCs w:val="16"/>
                <w:lang w:eastAsia="lv-LV"/>
              </w:rPr>
            </w:pPr>
            <w:r w:rsidRPr="00847710">
              <w:rPr>
                <w:rFonts w:ascii="Times New Roman" w:hAnsi="Times New Roman" w:cs="Times New Roman"/>
                <w:sz w:val="20"/>
                <w:szCs w:val="20"/>
              </w:rPr>
              <w:t>Nodrošināt bioloģiskās izcelsmes zāles diagnozei L40</w:t>
            </w:r>
          </w:p>
        </w:tc>
        <w:tc>
          <w:tcPr>
            <w:tcW w:w="850" w:type="dxa"/>
            <w:shd w:val="clear" w:color="auto" w:fill="FFFFFF" w:themeFill="background1"/>
            <w:vAlign w:val="center"/>
          </w:tcPr>
          <w:p w14:paraId="04B37C80" w14:textId="6720A40A" w:rsidR="00ED248D" w:rsidRPr="00030FAC" w:rsidRDefault="00ED248D" w:rsidP="00ED248D">
            <w:pPr>
              <w:spacing w:after="0" w:line="240" w:lineRule="auto"/>
              <w:jc w:val="center"/>
              <w:rPr>
                <w:rFonts w:ascii="Times New Roman" w:eastAsia="Times New Roman" w:hAnsi="Times New Roman" w:cs="Times New Roman"/>
                <w:iCs/>
                <w:sz w:val="16"/>
                <w:szCs w:val="16"/>
                <w:lang w:eastAsia="lv-LV"/>
              </w:rPr>
            </w:pPr>
            <w:r>
              <w:rPr>
                <w:rFonts w:ascii="Times New Roman" w:hAnsi="Times New Roman" w:cs="Times New Roman"/>
                <w:sz w:val="20"/>
                <w:szCs w:val="20"/>
              </w:rPr>
              <w:t>16,65</w:t>
            </w:r>
          </w:p>
        </w:tc>
        <w:tc>
          <w:tcPr>
            <w:tcW w:w="851" w:type="dxa"/>
            <w:shd w:val="clear" w:color="auto" w:fill="FFFFFF" w:themeFill="background1"/>
            <w:vAlign w:val="center"/>
          </w:tcPr>
          <w:p w14:paraId="74BBF65D"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9E75301"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A684C11"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3E3B07EF"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79AC3AE8" w14:textId="1D6AFA21"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sidRPr="00847710">
              <w:rPr>
                <w:rFonts w:ascii="Times New Roman" w:eastAsia="Times New Roman" w:hAnsi="Times New Roman" w:cs="Times New Roman"/>
                <w:sz w:val="20"/>
                <w:szCs w:val="20"/>
                <w:lang w:eastAsia="lv-LV"/>
              </w:rPr>
              <w:t>162 104</w:t>
            </w:r>
          </w:p>
        </w:tc>
        <w:tc>
          <w:tcPr>
            <w:tcW w:w="992" w:type="dxa"/>
            <w:shd w:val="clear" w:color="auto" w:fill="FFFFFF" w:themeFill="background1"/>
            <w:vAlign w:val="center"/>
          </w:tcPr>
          <w:p w14:paraId="5F5CC360" w14:textId="2967B877" w:rsidR="00ED248D" w:rsidRPr="00030FAC" w:rsidRDefault="00ED248D" w:rsidP="00ED248D">
            <w:pPr>
              <w:spacing w:after="0" w:line="240" w:lineRule="auto"/>
              <w:jc w:val="center"/>
              <w:rPr>
                <w:rFonts w:ascii="Times New Roman" w:eastAsia="Times New Roman" w:hAnsi="Times New Roman" w:cs="Times New Roman"/>
                <w:bCs/>
                <w:sz w:val="16"/>
                <w:szCs w:val="16"/>
                <w:lang w:eastAsia="lv-LV"/>
              </w:rPr>
            </w:pPr>
            <w:r w:rsidRPr="00847710">
              <w:rPr>
                <w:rFonts w:ascii="Times New Roman" w:eastAsia="Times New Roman" w:hAnsi="Times New Roman" w:cs="Times New Roman"/>
                <w:sz w:val="20"/>
                <w:szCs w:val="20"/>
                <w:lang w:eastAsia="lv-LV"/>
              </w:rPr>
              <w:t>162 104</w:t>
            </w:r>
          </w:p>
        </w:tc>
        <w:tc>
          <w:tcPr>
            <w:tcW w:w="850" w:type="dxa"/>
            <w:shd w:val="clear" w:color="auto" w:fill="FFFFFF" w:themeFill="background1"/>
            <w:vAlign w:val="center"/>
          </w:tcPr>
          <w:p w14:paraId="04C025B3"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5A73061D"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09BE6852"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8B4C6D6" w14:textId="77777777"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A3CF0A8" w14:textId="3D6588B6"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sidRPr="00847710">
              <w:rPr>
                <w:rFonts w:ascii="Times New Roman" w:eastAsia="Times New Roman" w:hAnsi="Times New Roman" w:cs="Times New Roman"/>
                <w:sz w:val="20"/>
                <w:szCs w:val="20"/>
                <w:lang w:eastAsia="lv-LV"/>
              </w:rPr>
              <w:t>9 736</w:t>
            </w:r>
          </w:p>
        </w:tc>
        <w:tc>
          <w:tcPr>
            <w:tcW w:w="850" w:type="dxa"/>
            <w:shd w:val="clear" w:color="auto" w:fill="FFFFFF" w:themeFill="background1"/>
            <w:vAlign w:val="center"/>
          </w:tcPr>
          <w:p w14:paraId="0EE952F9" w14:textId="040D4954" w:rsidR="00ED248D" w:rsidRPr="00E1067B" w:rsidRDefault="00ED248D" w:rsidP="00ED248D">
            <w:pPr>
              <w:spacing w:after="0" w:line="240" w:lineRule="auto"/>
              <w:jc w:val="center"/>
              <w:rPr>
                <w:rFonts w:ascii="Times New Roman" w:eastAsia="Times New Roman" w:hAnsi="Times New Roman" w:cs="Times New Roman"/>
                <w:bCs/>
                <w:sz w:val="20"/>
                <w:szCs w:val="20"/>
                <w:lang w:eastAsia="lv-LV"/>
              </w:rPr>
            </w:pPr>
            <w:r w:rsidRPr="00847710">
              <w:rPr>
                <w:rFonts w:ascii="Times New Roman" w:eastAsia="Times New Roman" w:hAnsi="Times New Roman" w:cs="Times New Roman"/>
                <w:sz w:val="20"/>
                <w:szCs w:val="20"/>
                <w:lang w:eastAsia="lv-LV"/>
              </w:rPr>
              <w:t>9 736</w:t>
            </w:r>
          </w:p>
        </w:tc>
      </w:tr>
      <w:tr w:rsidR="00C4284B" w14:paraId="4A97367E" w14:textId="77777777" w:rsidTr="00C4284B">
        <w:trPr>
          <w:trHeight w:val="296"/>
          <w:jc w:val="center"/>
        </w:trPr>
        <w:tc>
          <w:tcPr>
            <w:tcW w:w="450" w:type="dxa"/>
            <w:shd w:val="clear" w:color="auto" w:fill="FBD4B4" w:themeFill="accent6" w:themeFillTint="66"/>
          </w:tcPr>
          <w:p w14:paraId="0CFF21B5" w14:textId="77777777" w:rsidR="00ED248D" w:rsidRPr="00847710" w:rsidRDefault="00ED248D" w:rsidP="00ED248D">
            <w:pPr>
              <w:spacing w:after="0" w:line="240" w:lineRule="auto"/>
              <w:rPr>
                <w:rFonts w:ascii="Times New Roman" w:eastAsia="Times New Roman" w:hAnsi="Times New Roman" w:cs="Times New Roman"/>
                <w:sz w:val="20"/>
                <w:szCs w:val="20"/>
                <w:lang w:eastAsia="lv-LV"/>
              </w:rPr>
            </w:pPr>
          </w:p>
        </w:tc>
        <w:tc>
          <w:tcPr>
            <w:tcW w:w="1530" w:type="dxa"/>
            <w:shd w:val="clear" w:color="auto" w:fill="FBD4B4" w:themeFill="accent6" w:themeFillTint="66"/>
            <w:vAlign w:val="bottom"/>
          </w:tcPr>
          <w:p w14:paraId="32BCD5C7" w14:textId="77777777" w:rsidR="00ED248D" w:rsidRPr="00847710" w:rsidRDefault="00ED248D" w:rsidP="00ED248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850" w:type="dxa"/>
            <w:shd w:val="clear" w:color="auto" w:fill="FBD4B4" w:themeFill="accent6" w:themeFillTint="66"/>
            <w:noWrap/>
            <w:vAlign w:val="bottom"/>
          </w:tcPr>
          <w:p w14:paraId="1161EF8A" w14:textId="77777777" w:rsidR="00ED248D" w:rsidRPr="00847710" w:rsidRDefault="00ED248D" w:rsidP="00ED248D">
            <w:pPr>
              <w:spacing w:after="0" w:line="240" w:lineRule="auto"/>
              <w:jc w:val="center"/>
              <w:rPr>
                <w:rFonts w:ascii="Times New Roman" w:eastAsia="Times New Roman" w:hAnsi="Times New Roman" w:cs="Times New Roman"/>
                <w:sz w:val="20"/>
                <w:szCs w:val="20"/>
                <w:lang w:eastAsia="lv-LV"/>
              </w:rPr>
            </w:pPr>
          </w:p>
        </w:tc>
        <w:tc>
          <w:tcPr>
            <w:tcW w:w="851" w:type="dxa"/>
            <w:shd w:val="clear" w:color="auto" w:fill="FBD4B4" w:themeFill="accent6" w:themeFillTint="66"/>
            <w:vAlign w:val="center"/>
          </w:tcPr>
          <w:p w14:paraId="752F361B" w14:textId="77777777" w:rsidR="00ED248D" w:rsidRPr="00847710" w:rsidRDefault="00ED248D" w:rsidP="00ED248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2F3B93C2" w14:textId="77777777" w:rsidR="00ED248D" w:rsidRPr="00847710" w:rsidRDefault="00ED248D" w:rsidP="00ED248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1BA04D53" w14:textId="77777777" w:rsidR="00ED248D" w:rsidRPr="00847710" w:rsidRDefault="00ED248D" w:rsidP="00ED248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6FC32671" w14:textId="77777777" w:rsidR="00ED248D" w:rsidRPr="00847710" w:rsidRDefault="00ED248D" w:rsidP="00ED248D">
            <w:pPr>
              <w:spacing w:after="0" w:line="240" w:lineRule="auto"/>
              <w:jc w:val="center"/>
              <w:rPr>
                <w:rFonts w:ascii="Times New Roman" w:hAnsi="Times New Roman" w:cs="Times New Roman"/>
                <w:sz w:val="20"/>
                <w:szCs w:val="20"/>
              </w:rPr>
            </w:pPr>
          </w:p>
        </w:tc>
        <w:tc>
          <w:tcPr>
            <w:tcW w:w="993" w:type="dxa"/>
            <w:shd w:val="clear" w:color="auto" w:fill="FBD4B4" w:themeFill="accent6" w:themeFillTint="66"/>
            <w:vAlign w:val="bottom"/>
          </w:tcPr>
          <w:p w14:paraId="2CA6AD38" w14:textId="5B8E67BA" w:rsidR="00ED248D" w:rsidRPr="00E9304E" w:rsidRDefault="00ED248D" w:rsidP="00ED248D">
            <w:pPr>
              <w:spacing w:after="0" w:line="240" w:lineRule="auto"/>
              <w:jc w:val="center"/>
              <w:rPr>
                <w:rFonts w:ascii="Times New Roman" w:hAnsi="Times New Roman" w:cs="Times New Roman"/>
                <w:b/>
                <w:sz w:val="20"/>
                <w:szCs w:val="20"/>
              </w:rPr>
            </w:pPr>
            <w:r w:rsidRPr="00E9304E">
              <w:rPr>
                <w:rFonts w:ascii="Times New Roman" w:eastAsia="Times New Roman" w:hAnsi="Times New Roman"/>
                <w:b/>
                <w:sz w:val="20"/>
                <w:szCs w:val="20"/>
                <w:lang w:eastAsia="lv-LV"/>
              </w:rPr>
              <w:t>308 748</w:t>
            </w:r>
          </w:p>
        </w:tc>
        <w:tc>
          <w:tcPr>
            <w:tcW w:w="992" w:type="dxa"/>
            <w:shd w:val="clear" w:color="auto" w:fill="FBD4B4" w:themeFill="accent6" w:themeFillTint="66"/>
            <w:noWrap/>
            <w:vAlign w:val="bottom"/>
          </w:tcPr>
          <w:p w14:paraId="1150140A" w14:textId="61D30657" w:rsidR="00ED248D" w:rsidRPr="00E9304E" w:rsidRDefault="00ED248D" w:rsidP="00ED248D">
            <w:pPr>
              <w:spacing w:after="0" w:line="240" w:lineRule="auto"/>
              <w:jc w:val="center"/>
              <w:rPr>
                <w:rFonts w:ascii="Times New Roman" w:eastAsia="Times New Roman" w:hAnsi="Times New Roman" w:cs="Times New Roman"/>
                <w:b/>
                <w:sz w:val="16"/>
                <w:szCs w:val="16"/>
                <w:lang w:eastAsia="lv-LV"/>
              </w:rPr>
            </w:pPr>
            <w:r w:rsidRPr="00E9304E">
              <w:rPr>
                <w:rFonts w:ascii="Times New Roman" w:eastAsia="Times New Roman" w:hAnsi="Times New Roman"/>
                <w:b/>
                <w:sz w:val="20"/>
                <w:szCs w:val="20"/>
                <w:lang w:eastAsia="lv-LV"/>
              </w:rPr>
              <w:t>308 748</w:t>
            </w:r>
          </w:p>
        </w:tc>
        <w:tc>
          <w:tcPr>
            <w:tcW w:w="850" w:type="dxa"/>
            <w:shd w:val="clear" w:color="auto" w:fill="FBD4B4" w:themeFill="accent6" w:themeFillTint="66"/>
            <w:vAlign w:val="center"/>
          </w:tcPr>
          <w:p w14:paraId="481D7D2D" w14:textId="77777777" w:rsidR="00ED248D" w:rsidRPr="00E9304E" w:rsidRDefault="00ED248D" w:rsidP="00ED248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2E58145F" w14:textId="77777777" w:rsidR="00ED248D" w:rsidRPr="00E9304E" w:rsidRDefault="00ED248D" w:rsidP="00ED248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04123F02" w14:textId="77777777" w:rsidR="00ED248D" w:rsidRPr="00E9304E" w:rsidRDefault="00ED248D" w:rsidP="00ED248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4B07CF92" w14:textId="77777777" w:rsidR="00ED248D" w:rsidRPr="00E9304E" w:rsidRDefault="00ED248D" w:rsidP="00ED248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bottom"/>
          </w:tcPr>
          <w:p w14:paraId="05B2F573" w14:textId="26DF6B37" w:rsidR="00ED248D" w:rsidRPr="00E9304E" w:rsidRDefault="00ED248D" w:rsidP="00ED248D">
            <w:pPr>
              <w:spacing w:after="0" w:line="240" w:lineRule="auto"/>
              <w:jc w:val="center"/>
              <w:rPr>
                <w:rFonts w:ascii="Times New Roman" w:hAnsi="Times New Roman" w:cs="Times New Roman"/>
                <w:b/>
                <w:bCs/>
                <w:sz w:val="20"/>
                <w:szCs w:val="20"/>
              </w:rPr>
            </w:pPr>
            <w:r w:rsidRPr="00E9304E">
              <w:rPr>
                <w:rFonts w:ascii="Times New Roman" w:eastAsia="Times New Roman" w:hAnsi="Times New Roman" w:cs="Times New Roman"/>
                <w:b/>
                <w:sz w:val="20"/>
                <w:szCs w:val="20"/>
                <w:lang w:eastAsia="lv-LV"/>
              </w:rPr>
              <w:t>11 697</w:t>
            </w:r>
          </w:p>
        </w:tc>
        <w:tc>
          <w:tcPr>
            <w:tcW w:w="850" w:type="dxa"/>
            <w:shd w:val="clear" w:color="auto" w:fill="FBD4B4" w:themeFill="accent6" w:themeFillTint="66"/>
            <w:noWrap/>
            <w:vAlign w:val="bottom"/>
          </w:tcPr>
          <w:p w14:paraId="3D7EF559" w14:textId="5FA10859" w:rsidR="00ED248D" w:rsidRPr="00E9304E" w:rsidRDefault="00ED248D" w:rsidP="00ED248D">
            <w:pPr>
              <w:spacing w:after="0" w:line="240" w:lineRule="auto"/>
              <w:jc w:val="center"/>
              <w:rPr>
                <w:rFonts w:ascii="Times New Roman" w:eastAsia="Times New Roman" w:hAnsi="Times New Roman" w:cs="Times New Roman"/>
                <w:b/>
                <w:bCs/>
                <w:color w:val="FF0000"/>
                <w:sz w:val="20"/>
                <w:szCs w:val="20"/>
                <w:lang w:eastAsia="lv-LV"/>
              </w:rPr>
            </w:pPr>
            <w:r w:rsidRPr="00E9304E">
              <w:rPr>
                <w:rFonts w:ascii="Times New Roman" w:eastAsia="Times New Roman" w:hAnsi="Times New Roman" w:cs="Times New Roman"/>
                <w:b/>
                <w:sz w:val="20"/>
                <w:szCs w:val="20"/>
                <w:lang w:eastAsia="lv-LV"/>
              </w:rPr>
              <w:t>11 697</w:t>
            </w:r>
          </w:p>
        </w:tc>
      </w:tr>
    </w:tbl>
    <w:p w14:paraId="32100225" w14:textId="2B2F2640" w:rsidR="00ED248D" w:rsidRDefault="00ED248D">
      <w:pPr>
        <w:jc w:val="center"/>
        <w:rPr>
          <w:rFonts w:ascii="Times New Roman" w:hAnsi="Times New Roman" w:cs="Times New Roman"/>
          <w:b/>
          <w:bCs/>
          <w:sz w:val="24"/>
          <w:szCs w:val="24"/>
        </w:rPr>
      </w:pPr>
    </w:p>
    <w:p w14:paraId="4ADB32CD" w14:textId="77777777" w:rsidR="00ED248D" w:rsidRDefault="00ED248D">
      <w:pPr>
        <w:jc w:val="center"/>
        <w:rPr>
          <w:rFonts w:ascii="Times New Roman" w:hAnsi="Times New Roman" w:cs="Times New Roman"/>
          <w:b/>
          <w:bCs/>
          <w:sz w:val="24"/>
          <w:szCs w:val="24"/>
        </w:rPr>
      </w:pPr>
    </w:p>
    <w:p w14:paraId="214DDBB0" w14:textId="77777777" w:rsidR="0035418F" w:rsidRDefault="0035418F" w:rsidP="0035418F">
      <w:pPr>
        <w:jc w:val="right"/>
        <w:rPr>
          <w:rFonts w:ascii="Times New Roman" w:hAnsi="Times New Roman" w:cs="Times New Roman"/>
          <w:i/>
          <w:sz w:val="24"/>
          <w:szCs w:val="24"/>
        </w:rPr>
      </w:pPr>
    </w:p>
    <w:p w14:paraId="7C1E09D0" w14:textId="77777777" w:rsidR="0043420D" w:rsidRDefault="0043420D" w:rsidP="0035418F">
      <w:pPr>
        <w:jc w:val="right"/>
        <w:rPr>
          <w:rFonts w:ascii="Times New Roman" w:hAnsi="Times New Roman" w:cs="Times New Roman"/>
          <w:i/>
          <w:sz w:val="24"/>
          <w:szCs w:val="24"/>
        </w:rPr>
        <w:sectPr w:rsidR="0043420D" w:rsidSect="00FD01EE">
          <w:pgSz w:w="15840" w:h="12240" w:orient="landscape"/>
          <w:pgMar w:top="1701" w:right="1440" w:bottom="1440" w:left="1440" w:header="709" w:footer="709" w:gutter="0"/>
          <w:cols w:space="708"/>
          <w:docGrid w:linePitch="360"/>
        </w:sectPr>
      </w:pPr>
    </w:p>
    <w:p w14:paraId="502EF1C9" w14:textId="67EFF886" w:rsidR="0035418F" w:rsidRDefault="0035418F" w:rsidP="0035418F">
      <w:pPr>
        <w:jc w:val="right"/>
        <w:rPr>
          <w:rFonts w:ascii="Times New Roman" w:hAnsi="Times New Roman" w:cs="Times New Roman"/>
          <w:i/>
          <w:sz w:val="24"/>
          <w:szCs w:val="24"/>
        </w:rPr>
      </w:pPr>
    </w:p>
    <w:p w14:paraId="6776EA2E" w14:textId="42F1C568" w:rsidR="00FB2675" w:rsidRPr="0035418F" w:rsidRDefault="0035418F" w:rsidP="0035418F">
      <w:pPr>
        <w:jc w:val="right"/>
        <w:rPr>
          <w:rFonts w:ascii="Times New Roman" w:hAnsi="Times New Roman" w:cs="Times New Roman"/>
          <w:i/>
          <w:sz w:val="24"/>
          <w:szCs w:val="24"/>
        </w:rPr>
      </w:pPr>
      <w:r w:rsidRPr="0035418F">
        <w:rPr>
          <w:rFonts w:ascii="Times New Roman" w:hAnsi="Times New Roman" w:cs="Times New Roman"/>
          <w:i/>
          <w:sz w:val="24"/>
          <w:szCs w:val="24"/>
        </w:rPr>
        <w:t>27.tabula</w:t>
      </w:r>
    </w:p>
    <w:p w14:paraId="155A84E5" w14:textId="42879BF5" w:rsidR="00EF2AC1" w:rsidRPr="00C86312" w:rsidRDefault="00FB2675">
      <w:pPr>
        <w:jc w:val="center"/>
        <w:rPr>
          <w:rFonts w:ascii="Times New Roman" w:hAnsi="Times New Roman" w:cs="Times New Roman"/>
          <w:b/>
          <w:bCs/>
          <w:sz w:val="24"/>
          <w:szCs w:val="24"/>
        </w:rPr>
      </w:pPr>
      <w:r w:rsidRPr="00367C9B">
        <w:rPr>
          <w:rFonts w:ascii="Times New Roman" w:hAnsi="Times New Roman" w:cs="Times New Roman"/>
          <w:b/>
          <w:sz w:val="24"/>
          <w:szCs w:val="24"/>
        </w:rPr>
        <w:t>100% kompensācijas apmēra nodrošināšanai</w:t>
      </w:r>
      <w:r w:rsidRPr="0012317D">
        <w:rPr>
          <w:rFonts w:ascii="Times New Roman" w:hAnsi="Times New Roman" w:cs="Times New Roman"/>
          <w:b/>
          <w:bCs/>
          <w:sz w:val="24"/>
          <w:szCs w:val="24"/>
        </w:rPr>
        <w:t xml:space="preserve"> Krona slimībai, čūlainajam kolītam un psoriāzei nepieciešamais finansējums</w:t>
      </w:r>
      <w:r>
        <w:rPr>
          <w:rFonts w:ascii="Times New Roman" w:hAnsi="Times New Roman" w:cs="Times New Roman"/>
          <w:b/>
          <w:bCs/>
          <w:sz w:val="24"/>
          <w:szCs w:val="24"/>
        </w:rPr>
        <w:t xml:space="preserve"> 2019.gadam</w:t>
      </w:r>
    </w:p>
    <w:tbl>
      <w:tblPr>
        <w:tblW w:w="9918" w:type="dxa"/>
        <w:jc w:val="center"/>
        <w:tblLook w:val="04A0" w:firstRow="1" w:lastRow="0" w:firstColumn="1" w:lastColumn="0" w:noHBand="0" w:noVBand="1"/>
      </w:tblPr>
      <w:tblGrid>
        <w:gridCol w:w="822"/>
        <w:gridCol w:w="2292"/>
        <w:gridCol w:w="1394"/>
        <w:gridCol w:w="1394"/>
        <w:gridCol w:w="1464"/>
        <w:gridCol w:w="1276"/>
        <w:gridCol w:w="1516"/>
      </w:tblGrid>
      <w:tr w:rsidR="00591368" w14:paraId="135A0AA4" w14:textId="77777777" w:rsidTr="00EA53CC">
        <w:trPr>
          <w:trHeight w:val="765"/>
          <w:jc w:val="center"/>
        </w:trPr>
        <w:tc>
          <w:tcPr>
            <w:tcW w:w="82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26486E7"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Nr.p.k.</w:t>
            </w:r>
          </w:p>
        </w:tc>
        <w:tc>
          <w:tcPr>
            <w:tcW w:w="229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598278D"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Pakalpojuma veids</w:t>
            </w:r>
          </w:p>
        </w:tc>
        <w:tc>
          <w:tcPr>
            <w:tcW w:w="139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932520B"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75% kompensācija</w:t>
            </w:r>
          </w:p>
        </w:tc>
        <w:tc>
          <w:tcPr>
            <w:tcW w:w="139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A8259B8"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100% kompensācija</w:t>
            </w:r>
          </w:p>
        </w:tc>
        <w:tc>
          <w:tcPr>
            <w:tcW w:w="146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5B8CD00"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Pieaugums (</w:t>
            </w:r>
            <w:r w:rsidRPr="004247A9">
              <w:rPr>
                <w:rFonts w:ascii="Times New Roman" w:eastAsia="Times New Roman" w:hAnsi="Times New Roman" w:cs="Times New Roman"/>
                <w:b/>
                <w:bCs/>
                <w:i/>
                <w:sz w:val="20"/>
                <w:szCs w:val="20"/>
                <w:lang w:eastAsia="lv-LV"/>
              </w:rPr>
              <w:t>euro</w:t>
            </w:r>
            <w:r w:rsidRPr="00847710">
              <w:rPr>
                <w:rFonts w:ascii="Times New Roman" w:eastAsia="Times New Roman" w:hAnsi="Times New Roman" w:cs="Times New Roman"/>
                <w:b/>
                <w:bCs/>
                <w:sz w:val="20"/>
                <w:szCs w:val="20"/>
                <w:lang w:eastAsia="lv-LV"/>
              </w:rPr>
              <w:t>)</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D9D34B8"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Pacientu skaits</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2FC47C4"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Nepieciešamais finansējums</w:t>
            </w:r>
          </w:p>
        </w:tc>
      </w:tr>
      <w:tr w:rsidR="00591368" w14:paraId="7F00F02D" w14:textId="77777777" w:rsidTr="00EA53CC">
        <w:trPr>
          <w:trHeight w:val="525"/>
          <w:jc w:val="center"/>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056E04B" w14:textId="77777777" w:rsidR="00CB0541" w:rsidRPr="00847710" w:rsidRDefault="0071331A" w:rsidP="00CB054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292" w:type="dxa"/>
            <w:tcBorders>
              <w:top w:val="nil"/>
              <w:left w:val="nil"/>
              <w:bottom w:val="single" w:sz="4" w:space="0" w:color="auto"/>
              <w:right w:val="single" w:sz="4" w:space="0" w:color="auto"/>
            </w:tcBorders>
            <w:shd w:val="clear" w:color="auto" w:fill="auto"/>
            <w:vAlign w:val="bottom"/>
            <w:hideMark/>
          </w:tcPr>
          <w:p w14:paraId="1FE73EE4" w14:textId="44530031" w:rsidR="00CB0541" w:rsidRPr="00367C9B" w:rsidRDefault="00367C9B" w:rsidP="00CB0541">
            <w:pPr>
              <w:spacing w:after="0" w:line="240" w:lineRule="auto"/>
              <w:rPr>
                <w:rFonts w:ascii="Times New Roman" w:eastAsia="Times New Roman" w:hAnsi="Times New Roman" w:cs="Times New Roman"/>
                <w:sz w:val="20"/>
                <w:szCs w:val="20"/>
                <w:lang w:eastAsia="lv-LV"/>
              </w:rPr>
            </w:pPr>
            <w:r w:rsidRPr="00367C9B">
              <w:rPr>
                <w:rFonts w:ascii="Times New Roman" w:eastAsia="Times New Roman" w:hAnsi="Times New Roman" w:cs="Times New Roman"/>
                <w:sz w:val="20"/>
                <w:szCs w:val="20"/>
                <w:lang w:eastAsia="lv-LV"/>
              </w:rPr>
              <w:t xml:space="preserve">100% kompensācijas apmēra nodrošināšana diagnozēm </w:t>
            </w:r>
            <w:r w:rsidR="0071331A" w:rsidRPr="00367C9B">
              <w:rPr>
                <w:rFonts w:ascii="Times New Roman" w:eastAsia="Times New Roman" w:hAnsi="Times New Roman" w:cs="Times New Roman"/>
                <w:sz w:val="20"/>
                <w:szCs w:val="20"/>
                <w:lang w:eastAsia="lv-LV"/>
              </w:rPr>
              <w:t xml:space="preserve">K50 un K51 </w:t>
            </w:r>
          </w:p>
        </w:tc>
        <w:tc>
          <w:tcPr>
            <w:tcW w:w="1394" w:type="dxa"/>
            <w:tcBorders>
              <w:top w:val="nil"/>
              <w:left w:val="nil"/>
              <w:bottom w:val="single" w:sz="4" w:space="0" w:color="auto"/>
              <w:right w:val="single" w:sz="4" w:space="0" w:color="auto"/>
            </w:tcBorders>
            <w:shd w:val="clear" w:color="auto" w:fill="auto"/>
            <w:noWrap/>
            <w:vAlign w:val="center"/>
            <w:hideMark/>
          </w:tcPr>
          <w:p w14:paraId="056479AA"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224.33</w:t>
            </w:r>
          </w:p>
        </w:tc>
        <w:tc>
          <w:tcPr>
            <w:tcW w:w="1394" w:type="dxa"/>
            <w:tcBorders>
              <w:top w:val="nil"/>
              <w:left w:val="nil"/>
              <w:bottom w:val="single" w:sz="4" w:space="0" w:color="auto"/>
              <w:right w:val="single" w:sz="4" w:space="0" w:color="auto"/>
            </w:tcBorders>
            <w:shd w:val="clear" w:color="auto" w:fill="auto"/>
            <w:noWrap/>
            <w:vAlign w:val="center"/>
            <w:hideMark/>
          </w:tcPr>
          <w:p w14:paraId="7A9C1F88"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299.11</w:t>
            </w:r>
          </w:p>
        </w:tc>
        <w:tc>
          <w:tcPr>
            <w:tcW w:w="1464" w:type="dxa"/>
            <w:tcBorders>
              <w:top w:val="nil"/>
              <w:left w:val="nil"/>
              <w:bottom w:val="single" w:sz="4" w:space="0" w:color="auto"/>
              <w:right w:val="single" w:sz="4" w:space="0" w:color="auto"/>
            </w:tcBorders>
            <w:shd w:val="clear" w:color="auto" w:fill="auto"/>
            <w:noWrap/>
            <w:vAlign w:val="center"/>
            <w:hideMark/>
          </w:tcPr>
          <w:p w14:paraId="5272AE20"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74.78</w:t>
            </w:r>
          </w:p>
        </w:tc>
        <w:tc>
          <w:tcPr>
            <w:tcW w:w="1276" w:type="dxa"/>
            <w:tcBorders>
              <w:top w:val="nil"/>
              <w:left w:val="nil"/>
              <w:bottom w:val="single" w:sz="4" w:space="0" w:color="auto"/>
              <w:right w:val="single" w:sz="4" w:space="0" w:color="auto"/>
            </w:tcBorders>
            <w:shd w:val="clear" w:color="auto" w:fill="auto"/>
            <w:noWrap/>
            <w:vAlign w:val="center"/>
            <w:hideMark/>
          </w:tcPr>
          <w:p w14:paraId="148ED612"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961</w:t>
            </w:r>
          </w:p>
        </w:tc>
        <w:tc>
          <w:tcPr>
            <w:tcW w:w="1276" w:type="dxa"/>
            <w:tcBorders>
              <w:top w:val="nil"/>
              <w:left w:val="nil"/>
              <w:bottom w:val="single" w:sz="4" w:space="0" w:color="auto"/>
              <w:right w:val="single" w:sz="4" w:space="0" w:color="auto"/>
            </w:tcBorders>
            <w:shd w:val="clear" w:color="auto" w:fill="auto"/>
            <w:noWrap/>
            <w:vAlign w:val="center"/>
            <w:hideMark/>
          </w:tcPr>
          <w:p w14:paraId="46B73F37"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146</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644</w:t>
            </w:r>
          </w:p>
        </w:tc>
      </w:tr>
      <w:tr w:rsidR="00591368" w14:paraId="3EC43B34" w14:textId="77777777" w:rsidTr="00EA53CC">
        <w:trPr>
          <w:trHeight w:val="525"/>
          <w:jc w:val="center"/>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20AEE53" w14:textId="77777777" w:rsidR="00CB0541" w:rsidRPr="00847710" w:rsidRDefault="0071331A" w:rsidP="00CB054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292" w:type="dxa"/>
            <w:tcBorders>
              <w:top w:val="nil"/>
              <w:left w:val="nil"/>
              <w:bottom w:val="single" w:sz="4" w:space="0" w:color="auto"/>
              <w:right w:val="single" w:sz="4" w:space="0" w:color="auto"/>
            </w:tcBorders>
            <w:shd w:val="clear" w:color="auto" w:fill="auto"/>
            <w:vAlign w:val="bottom"/>
            <w:hideMark/>
          </w:tcPr>
          <w:p w14:paraId="5865C948" w14:textId="3F3B3743" w:rsidR="00CB0541" w:rsidRPr="00367C9B" w:rsidRDefault="00367C9B" w:rsidP="00CB0541">
            <w:pPr>
              <w:spacing w:after="0" w:line="240" w:lineRule="auto"/>
              <w:rPr>
                <w:rFonts w:ascii="Times New Roman" w:eastAsia="Times New Roman" w:hAnsi="Times New Roman" w:cs="Times New Roman"/>
                <w:sz w:val="20"/>
                <w:szCs w:val="20"/>
                <w:lang w:eastAsia="lv-LV"/>
              </w:rPr>
            </w:pPr>
            <w:r w:rsidRPr="00367C9B">
              <w:rPr>
                <w:rFonts w:ascii="Times New Roman" w:eastAsia="Times New Roman" w:hAnsi="Times New Roman" w:cs="Times New Roman"/>
                <w:sz w:val="20"/>
                <w:szCs w:val="20"/>
                <w:lang w:eastAsia="lv-LV"/>
              </w:rPr>
              <w:t xml:space="preserve">100% kompensācijas apmēra nodrošināšana diagnozēm </w:t>
            </w:r>
            <w:r w:rsidR="0071331A" w:rsidRPr="00367C9B">
              <w:rPr>
                <w:rFonts w:ascii="Times New Roman" w:eastAsia="Times New Roman" w:hAnsi="Times New Roman" w:cs="Times New Roman"/>
                <w:sz w:val="20"/>
                <w:szCs w:val="20"/>
                <w:lang w:eastAsia="lv-LV"/>
              </w:rPr>
              <w:t xml:space="preserve"> L40</w:t>
            </w:r>
          </w:p>
        </w:tc>
        <w:tc>
          <w:tcPr>
            <w:tcW w:w="1394" w:type="dxa"/>
            <w:tcBorders>
              <w:top w:val="nil"/>
              <w:left w:val="nil"/>
              <w:bottom w:val="single" w:sz="4" w:space="0" w:color="auto"/>
              <w:right w:val="single" w:sz="4" w:space="0" w:color="auto"/>
            </w:tcBorders>
            <w:shd w:val="clear" w:color="auto" w:fill="auto"/>
            <w:noWrap/>
            <w:vAlign w:val="center"/>
            <w:hideMark/>
          </w:tcPr>
          <w:p w14:paraId="53E7B4E8"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49.97</w:t>
            </w:r>
          </w:p>
        </w:tc>
        <w:tc>
          <w:tcPr>
            <w:tcW w:w="1394" w:type="dxa"/>
            <w:tcBorders>
              <w:top w:val="nil"/>
              <w:left w:val="nil"/>
              <w:bottom w:val="single" w:sz="4" w:space="0" w:color="auto"/>
              <w:right w:val="single" w:sz="4" w:space="0" w:color="auto"/>
            </w:tcBorders>
            <w:shd w:val="clear" w:color="auto" w:fill="auto"/>
            <w:noWrap/>
            <w:vAlign w:val="center"/>
            <w:hideMark/>
          </w:tcPr>
          <w:p w14:paraId="7B141BBE"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66.62</w:t>
            </w:r>
          </w:p>
        </w:tc>
        <w:tc>
          <w:tcPr>
            <w:tcW w:w="1464" w:type="dxa"/>
            <w:tcBorders>
              <w:top w:val="nil"/>
              <w:left w:val="nil"/>
              <w:bottom w:val="single" w:sz="4" w:space="0" w:color="auto"/>
              <w:right w:val="single" w:sz="4" w:space="0" w:color="auto"/>
            </w:tcBorders>
            <w:shd w:val="clear" w:color="auto" w:fill="auto"/>
            <w:noWrap/>
            <w:vAlign w:val="center"/>
            <w:hideMark/>
          </w:tcPr>
          <w:p w14:paraId="4D7944B4"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16.65</w:t>
            </w:r>
          </w:p>
        </w:tc>
        <w:tc>
          <w:tcPr>
            <w:tcW w:w="1276" w:type="dxa"/>
            <w:tcBorders>
              <w:top w:val="nil"/>
              <w:left w:val="nil"/>
              <w:bottom w:val="single" w:sz="4" w:space="0" w:color="auto"/>
              <w:right w:val="single" w:sz="4" w:space="0" w:color="auto"/>
            </w:tcBorders>
            <w:shd w:val="clear" w:color="auto" w:fill="auto"/>
            <w:noWrap/>
            <w:vAlign w:val="center"/>
            <w:hideMark/>
          </w:tcPr>
          <w:p w14:paraId="404D90D2"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736</w:t>
            </w:r>
          </w:p>
        </w:tc>
        <w:tc>
          <w:tcPr>
            <w:tcW w:w="1276" w:type="dxa"/>
            <w:tcBorders>
              <w:top w:val="nil"/>
              <w:left w:val="nil"/>
              <w:bottom w:val="single" w:sz="4" w:space="0" w:color="auto"/>
              <w:right w:val="single" w:sz="4" w:space="0" w:color="auto"/>
            </w:tcBorders>
            <w:shd w:val="clear" w:color="auto" w:fill="auto"/>
            <w:noWrap/>
            <w:vAlign w:val="center"/>
            <w:hideMark/>
          </w:tcPr>
          <w:p w14:paraId="7AB9A38C"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162</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104</w:t>
            </w:r>
          </w:p>
        </w:tc>
      </w:tr>
      <w:tr w:rsidR="00591368" w14:paraId="3090F0BF" w14:textId="77777777" w:rsidTr="00EA53CC">
        <w:trPr>
          <w:trHeight w:val="300"/>
          <w:jc w:val="center"/>
        </w:trPr>
        <w:tc>
          <w:tcPr>
            <w:tcW w:w="822" w:type="dxa"/>
            <w:tcBorders>
              <w:top w:val="nil"/>
              <w:left w:val="single" w:sz="4" w:space="0" w:color="auto"/>
              <w:bottom w:val="single" w:sz="4" w:space="0" w:color="auto"/>
              <w:right w:val="single" w:sz="4" w:space="0" w:color="auto"/>
            </w:tcBorders>
            <w:shd w:val="clear" w:color="auto" w:fill="FCD5B4"/>
            <w:noWrap/>
            <w:vAlign w:val="bottom"/>
            <w:hideMark/>
          </w:tcPr>
          <w:p w14:paraId="092011C9" w14:textId="77777777" w:rsidR="00CB0541" w:rsidRPr="00847710" w:rsidRDefault="0071331A" w:rsidP="00CB05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2292" w:type="dxa"/>
            <w:tcBorders>
              <w:top w:val="nil"/>
              <w:left w:val="nil"/>
              <w:bottom w:val="single" w:sz="4" w:space="0" w:color="auto"/>
              <w:right w:val="single" w:sz="4" w:space="0" w:color="auto"/>
            </w:tcBorders>
            <w:shd w:val="clear" w:color="auto" w:fill="FCD5B4"/>
            <w:noWrap/>
            <w:vAlign w:val="bottom"/>
            <w:hideMark/>
          </w:tcPr>
          <w:p w14:paraId="2E5701F8" w14:textId="77777777" w:rsidR="00CB0541" w:rsidRPr="00847710" w:rsidRDefault="0071331A" w:rsidP="00CB05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1394" w:type="dxa"/>
            <w:tcBorders>
              <w:top w:val="nil"/>
              <w:left w:val="nil"/>
              <w:bottom w:val="single" w:sz="4" w:space="0" w:color="auto"/>
              <w:right w:val="single" w:sz="4" w:space="0" w:color="auto"/>
            </w:tcBorders>
            <w:shd w:val="clear" w:color="auto" w:fill="FCD5B4"/>
            <w:noWrap/>
            <w:vAlign w:val="bottom"/>
            <w:hideMark/>
          </w:tcPr>
          <w:p w14:paraId="5AF3588A"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394" w:type="dxa"/>
            <w:tcBorders>
              <w:top w:val="nil"/>
              <w:left w:val="nil"/>
              <w:bottom w:val="single" w:sz="4" w:space="0" w:color="auto"/>
              <w:right w:val="single" w:sz="4" w:space="0" w:color="auto"/>
            </w:tcBorders>
            <w:shd w:val="clear" w:color="auto" w:fill="FCD5B4"/>
            <w:noWrap/>
            <w:vAlign w:val="bottom"/>
            <w:hideMark/>
          </w:tcPr>
          <w:p w14:paraId="449890FB"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464" w:type="dxa"/>
            <w:tcBorders>
              <w:top w:val="nil"/>
              <w:left w:val="nil"/>
              <w:bottom w:val="single" w:sz="4" w:space="0" w:color="auto"/>
              <w:right w:val="single" w:sz="4" w:space="0" w:color="auto"/>
            </w:tcBorders>
            <w:shd w:val="clear" w:color="auto" w:fill="FCD5B4"/>
            <w:noWrap/>
            <w:vAlign w:val="bottom"/>
            <w:hideMark/>
          </w:tcPr>
          <w:p w14:paraId="2BFEC7C6"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FCD5B4"/>
            <w:noWrap/>
            <w:vAlign w:val="bottom"/>
            <w:hideMark/>
          </w:tcPr>
          <w:p w14:paraId="6842C18E"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11</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697</w:t>
            </w:r>
          </w:p>
        </w:tc>
        <w:tc>
          <w:tcPr>
            <w:tcW w:w="1276" w:type="dxa"/>
            <w:tcBorders>
              <w:top w:val="nil"/>
              <w:left w:val="nil"/>
              <w:bottom w:val="single" w:sz="4" w:space="0" w:color="auto"/>
              <w:right w:val="single" w:sz="4" w:space="0" w:color="auto"/>
            </w:tcBorders>
            <w:shd w:val="clear" w:color="auto" w:fill="FCD5B4"/>
            <w:noWrap/>
            <w:vAlign w:val="bottom"/>
            <w:hideMark/>
          </w:tcPr>
          <w:p w14:paraId="6408617D" w14:textId="433C295B" w:rsidR="00CB0541" w:rsidRPr="005B5A3A" w:rsidRDefault="005B5A3A" w:rsidP="005B5A3A">
            <w:pPr>
              <w:spacing w:after="0" w:line="240" w:lineRule="auto"/>
              <w:jc w:val="center"/>
              <w:rPr>
                <w:rFonts w:ascii="Times New Roman" w:eastAsia="Times New Roman" w:hAnsi="Times New Roman"/>
                <w:sz w:val="20"/>
                <w:szCs w:val="20"/>
                <w:lang w:eastAsia="lv-LV"/>
              </w:rPr>
            </w:pPr>
            <w:r w:rsidRPr="005B5A3A">
              <w:rPr>
                <w:rFonts w:ascii="Times New Roman" w:eastAsia="Times New Roman" w:hAnsi="Times New Roman"/>
                <w:sz w:val="20"/>
                <w:szCs w:val="20"/>
                <w:lang w:eastAsia="lv-LV"/>
              </w:rPr>
              <w:t xml:space="preserve">308 </w:t>
            </w:r>
            <w:r w:rsidR="0071331A" w:rsidRPr="005B5A3A">
              <w:rPr>
                <w:rFonts w:ascii="Times New Roman" w:eastAsia="Times New Roman" w:hAnsi="Times New Roman"/>
                <w:sz w:val="20"/>
                <w:szCs w:val="20"/>
                <w:lang w:eastAsia="lv-LV"/>
              </w:rPr>
              <w:t>748</w:t>
            </w:r>
          </w:p>
        </w:tc>
      </w:tr>
    </w:tbl>
    <w:p w14:paraId="7CDE1C20" w14:textId="36BB0835" w:rsidR="00FA37E8" w:rsidRPr="00847710" w:rsidRDefault="00FA37E8" w:rsidP="00CB4F41">
      <w:pPr>
        <w:spacing w:after="120"/>
        <w:jc w:val="both"/>
        <w:rPr>
          <w:rFonts w:ascii="Times New Roman" w:hAnsi="Times New Roman" w:cs="Times New Roman"/>
          <w:b/>
          <w:sz w:val="24"/>
          <w:szCs w:val="24"/>
          <w:lang w:eastAsia="lv-LV"/>
        </w:rPr>
      </w:pPr>
    </w:p>
    <w:p w14:paraId="6FE9F953" w14:textId="35B54B43" w:rsidR="00541E8D" w:rsidRPr="009F1205" w:rsidRDefault="00E0581E" w:rsidP="009F1205">
      <w:pPr>
        <w:pStyle w:val="Heading2"/>
        <w:spacing w:before="0" w:after="120"/>
        <w:ind w:left="360"/>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1.</w:t>
      </w:r>
      <w:r w:rsidR="00A66AEE">
        <w:rPr>
          <w:rFonts w:ascii="Times New Roman" w:hAnsi="Times New Roman" w:cs="Times New Roman"/>
          <w:b/>
          <w:bCs/>
          <w:color w:val="auto"/>
          <w:sz w:val="24"/>
          <w:szCs w:val="24"/>
          <w:u w:val="single"/>
        </w:rPr>
        <w:t>9</w:t>
      </w:r>
      <w:r>
        <w:rPr>
          <w:rFonts w:ascii="Times New Roman" w:hAnsi="Times New Roman" w:cs="Times New Roman"/>
          <w:b/>
          <w:bCs/>
          <w:color w:val="auto"/>
          <w:sz w:val="24"/>
          <w:szCs w:val="24"/>
          <w:u w:val="single"/>
        </w:rPr>
        <w:t xml:space="preserve">. </w:t>
      </w:r>
      <w:r w:rsidR="0071331A" w:rsidRPr="0012317D">
        <w:rPr>
          <w:rFonts w:ascii="Times New Roman" w:hAnsi="Times New Roman" w:cs="Times New Roman"/>
          <w:b/>
          <w:bCs/>
          <w:color w:val="auto"/>
          <w:sz w:val="24"/>
          <w:szCs w:val="24"/>
          <w:u w:val="single"/>
        </w:rPr>
        <w:t>Hronisko pacientu aprūpes reforma</w:t>
      </w:r>
    </w:p>
    <w:p w14:paraId="4E8426D5" w14:textId="05E554D6" w:rsidR="007E7131" w:rsidRPr="007E7131" w:rsidRDefault="007E7131" w:rsidP="00FF02DA">
      <w:pPr>
        <w:spacing w:after="120"/>
        <w:ind w:firstLine="720"/>
        <w:jc w:val="both"/>
        <w:rPr>
          <w:rFonts w:ascii="Times New Roman" w:hAnsi="Times New Roman"/>
          <w:sz w:val="24"/>
          <w:szCs w:val="24"/>
        </w:rPr>
      </w:pPr>
      <w:r w:rsidRPr="007E7131">
        <w:rPr>
          <w:rFonts w:ascii="Times New Roman" w:hAnsi="Times New Roman"/>
          <w:sz w:val="24"/>
          <w:szCs w:val="24"/>
        </w:rPr>
        <w:t>Informatīvajā ziņojumā 2018.gadam tika paredzēts, ka 2018.gadā tiks nodrošināta stacionēšana 33 000 hronisko pacientu. Hronisko pacientu skaits 2018.gadā tika plānots, ņemot par pamatu vajadzību pēc hroniskām gultām atbilstošām diagnozēm. Atbilstoši Reformu ziņojumam pacienti ar hroniskām saslimšanām tiks stacionēti ar ģimenes ārsta nosūtījumu, pārvedot no augstāka līmeņa slimnīcas atbilstošas medicīniskās palīdzības un aprūpes nodrošināšanai, kā arī ar Neatliekamās medicīniskās palīdzības dienesta (turpmāk – NMPD) brigādes nosūtījumu. Ņemot vērā, ka hronisko pacientu aprūpe ir jauns pakalpojuma veids, slimnīcām bija nepieciešams veikt attiecīgus pasākumus jaunā pakalpojuma nodrošinājumam.  Papildus plānoto hospitalizāciju samazinājumu ietekmē diagnožu, ar kurām hospitalizē hroniskos pacientus, saraksta pārskatīšana, kā arī izmaiņas pacientu plūsmā. Šajās nodaļās netiks stacionēti akūtie pacienti kurus atvedīs NMPD brigādes. Pamatojoties uz Veselības aprūpes finansēšanas likuma 6.panta ceturto daļu un 10.panta trešo daļu, ar mērķi nodrošināt valsts apmaksātu veselības aprūpes pakalpojumu nepārtrauktību un to pieejamību hroniskiem pacientiem stacionārā ārstniecības iestādē, kā arī noteikt kārtību, kādā tiek organizēta veselības aprūpes pakalpojumu sniegšana hroniskiem pacientiem stacionārā un kārtību, kādā tiek veikta samaksa par hroniskajiem pacientiem sniegtajiem pakalpojumiem stacionārā ārstniecības iestādē Veselības ministrija ir izstrādājusi un ir pieņemti Ministru Kabineta 2018.gada 24.jūlija noteikumi Nr.450 “</w:t>
      </w:r>
      <w:bookmarkStart w:id="3" w:name="_Hlk521073131"/>
      <w:r w:rsidRPr="007E7131">
        <w:rPr>
          <w:rFonts w:ascii="Times New Roman" w:hAnsi="Times New Roman"/>
          <w:sz w:val="24"/>
          <w:szCs w:val="24"/>
        </w:rPr>
        <w:t>Kārtība, kādā pacientiem ar hroniskām slimībām sniedzami veselības aprūpes pakalpojumi stacionārā ārstniecības iestādē</w:t>
      </w:r>
      <w:bookmarkEnd w:id="3"/>
      <w:r w:rsidRPr="007E7131">
        <w:rPr>
          <w:rFonts w:ascii="Times New Roman" w:hAnsi="Times New Roman"/>
          <w:sz w:val="24"/>
          <w:szCs w:val="24"/>
        </w:rPr>
        <w:t>”</w:t>
      </w:r>
      <w:r w:rsidR="00F27E6B">
        <w:rPr>
          <w:rFonts w:ascii="Times New Roman" w:hAnsi="Times New Roman"/>
          <w:sz w:val="24"/>
          <w:szCs w:val="24"/>
        </w:rPr>
        <w:t xml:space="preserve"> (spēkā līdz 2018.gada 1.septembrim, </w:t>
      </w:r>
      <w:r w:rsidR="00F27E6B" w:rsidRPr="004F434F">
        <w:rPr>
          <w:rFonts w:ascii="Times New Roman" w:hAnsi="Times New Roman"/>
          <w:sz w:val="24"/>
          <w:szCs w:val="24"/>
        </w:rPr>
        <w:t xml:space="preserve">šobrīd spēkā </w:t>
      </w:r>
      <w:r w:rsidR="00F27E6B" w:rsidRPr="004F434F">
        <w:rPr>
          <w:rFonts w:ascii="Times New Roman" w:hAnsi="Times New Roman" w:cs="Times New Roman"/>
          <w:color w:val="000000"/>
          <w:sz w:val="24"/>
          <w:szCs w:val="24"/>
        </w:rPr>
        <w:t>Ministru kabineta 2018.gada 28. augusta noteikumi Nr.555 „Veselības aprūpes pakalpojumu organizēšanas un samaksas kārtība”</w:t>
      </w:r>
      <w:r w:rsidR="00F27E6B" w:rsidRPr="004F434F">
        <w:rPr>
          <w:rFonts w:ascii="Times New Roman" w:hAnsi="Times New Roman"/>
          <w:sz w:val="24"/>
          <w:szCs w:val="24"/>
        </w:rPr>
        <w:t>)</w:t>
      </w:r>
      <w:r w:rsidRPr="007E7131">
        <w:rPr>
          <w:rFonts w:ascii="Times New Roman" w:hAnsi="Times New Roman"/>
          <w:sz w:val="24"/>
          <w:szCs w:val="24"/>
        </w:rPr>
        <w:t xml:space="preserve">. </w:t>
      </w:r>
      <w:r w:rsidR="00964549">
        <w:rPr>
          <w:rFonts w:ascii="Times New Roman" w:hAnsi="Times New Roman"/>
          <w:sz w:val="24"/>
          <w:szCs w:val="24"/>
        </w:rPr>
        <w:t xml:space="preserve">Atbilstoši 2018.gada 11 mēnešu izpildes datiem tika nodrošinātas 3 871 </w:t>
      </w:r>
      <w:r w:rsidR="00964549" w:rsidRPr="007E7131">
        <w:rPr>
          <w:rFonts w:ascii="Times New Roman" w:hAnsi="Times New Roman"/>
          <w:sz w:val="24"/>
          <w:szCs w:val="24"/>
        </w:rPr>
        <w:t xml:space="preserve"> hronisko pacientu hospitalizācijas.</w:t>
      </w:r>
      <w:r w:rsidR="00964549">
        <w:rPr>
          <w:rFonts w:ascii="Times New Roman" w:hAnsi="Times New Roman"/>
          <w:sz w:val="24"/>
          <w:szCs w:val="24"/>
        </w:rPr>
        <w:t xml:space="preserve"> Ņemot vērā to, ka programmas realizācija tika uzsākta gada otrajā pusē, tad hronisko pacientu hospitalizācijām 2018.gadā prognozējama pakalpojuma neizpilde, lai gan uz gada beigām pieaug pakalpojuma </w:t>
      </w:r>
      <w:r w:rsidR="00964549">
        <w:rPr>
          <w:rFonts w:ascii="Times New Roman" w:hAnsi="Times New Roman"/>
          <w:sz w:val="24"/>
          <w:szCs w:val="24"/>
        </w:rPr>
        <w:lastRenderedPageBreak/>
        <w:t>izpildes rādītājs, jo slimnīcas ir apzinājušas savus pieejamos resursus šo pakalpojumu sniegšanai, atbilstoši normatīvos aktos noteiktajam. Ņemot vērā to, ka slimnīcas ir apzinājušas</w:t>
      </w:r>
      <w:r w:rsidR="00EF715A">
        <w:rPr>
          <w:rFonts w:ascii="Times New Roman" w:hAnsi="Times New Roman"/>
          <w:sz w:val="24"/>
          <w:szCs w:val="24"/>
        </w:rPr>
        <w:t xml:space="preserve"> savus resursus un iespējas izveidot šo hronisko pacientu aprūpes profilu ir nepieciešams t</w:t>
      </w:r>
      <w:r w:rsidRPr="007E7131">
        <w:rPr>
          <w:rFonts w:ascii="Times New Roman" w:hAnsi="Times New Roman"/>
          <w:sz w:val="24"/>
          <w:szCs w:val="24"/>
        </w:rPr>
        <w:t>urpin</w:t>
      </w:r>
      <w:r w:rsidR="00EF715A">
        <w:rPr>
          <w:rFonts w:ascii="Times New Roman" w:hAnsi="Times New Roman"/>
          <w:sz w:val="24"/>
          <w:szCs w:val="24"/>
        </w:rPr>
        <w:t>ā</w:t>
      </w:r>
      <w:r w:rsidRPr="007E7131">
        <w:rPr>
          <w:rFonts w:ascii="Times New Roman" w:hAnsi="Times New Roman"/>
          <w:sz w:val="24"/>
          <w:szCs w:val="24"/>
        </w:rPr>
        <w:t>t 2018.gadā uzsākto hronisko pacientu aprūp</w:t>
      </w:r>
      <w:r w:rsidR="00EF715A">
        <w:rPr>
          <w:rFonts w:ascii="Times New Roman" w:hAnsi="Times New Roman"/>
          <w:sz w:val="24"/>
          <w:szCs w:val="24"/>
        </w:rPr>
        <w:t>i.</w:t>
      </w:r>
      <w:r w:rsidRPr="007E7131">
        <w:rPr>
          <w:rFonts w:ascii="Times New Roman" w:hAnsi="Times New Roman"/>
          <w:sz w:val="24"/>
          <w:szCs w:val="24"/>
        </w:rPr>
        <w:t xml:space="preserve"> 2019.gadam reformas nodrošināšanai nepieciešams finansējums </w:t>
      </w:r>
      <w:r w:rsidR="00453B3F">
        <w:rPr>
          <w:rFonts w:ascii="Times New Roman" w:hAnsi="Times New Roman"/>
          <w:b/>
          <w:sz w:val="24"/>
          <w:szCs w:val="24"/>
        </w:rPr>
        <w:t>5</w:t>
      </w:r>
      <w:r w:rsidR="00AF3598">
        <w:rPr>
          <w:rFonts w:ascii="Times New Roman" w:hAnsi="Times New Roman"/>
          <w:b/>
          <w:sz w:val="24"/>
          <w:szCs w:val="24"/>
        </w:rPr>
        <w:t> </w:t>
      </w:r>
      <w:r w:rsidR="00453B3F">
        <w:rPr>
          <w:rFonts w:ascii="Times New Roman" w:hAnsi="Times New Roman"/>
          <w:b/>
          <w:sz w:val="24"/>
          <w:szCs w:val="24"/>
        </w:rPr>
        <w:t>437</w:t>
      </w:r>
      <w:r w:rsidR="00AF3598">
        <w:rPr>
          <w:rFonts w:ascii="Times New Roman" w:hAnsi="Times New Roman"/>
          <w:b/>
          <w:sz w:val="24"/>
          <w:szCs w:val="24"/>
        </w:rPr>
        <w:t> </w:t>
      </w:r>
      <w:r w:rsidR="00453B3F">
        <w:rPr>
          <w:rFonts w:ascii="Times New Roman" w:hAnsi="Times New Roman"/>
          <w:b/>
          <w:sz w:val="24"/>
          <w:szCs w:val="24"/>
        </w:rPr>
        <w:t>810</w:t>
      </w:r>
      <w:r w:rsidRPr="004E5EF6">
        <w:rPr>
          <w:rFonts w:ascii="Times New Roman" w:hAnsi="Times New Roman"/>
          <w:b/>
          <w:sz w:val="24"/>
          <w:szCs w:val="24"/>
        </w:rPr>
        <w:t xml:space="preserve"> </w:t>
      </w:r>
      <w:r w:rsidRPr="004E5EF6">
        <w:rPr>
          <w:rFonts w:ascii="Times New Roman" w:hAnsi="Times New Roman"/>
          <w:b/>
          <w:i/>
          <w:sz w:val="24"/>
          <w:szCs w:val="24"/>
        </w:rPr>
        <w:t>euro</w:t>
      </w:r>
      <w:r w:rsidRPr="007E7131">
        <w:rPr>
          <w:rFonts w:ascii="Times New Roman" w:hAnsi="Times New Roman"/>
          <w:sz w:val="24"/>
          <w:szCs w:val="24"/>
        </w:rPr>
        <w:t xml:space="preserve"> apmērā, nodrošinot </w:t>
      </w:r>
      <w:r w:rsidR="00D16E66">
        <w:rPr>
          <w:rFonts w:ascii="Times New Roman" w:hAnsi="Times New Roman"/>
          <w:sz w:val="24"/>
          <w:szCs w:val="24"/>
        </w:rPr>
        <w:t>9</w:t>
      </w:r>
      <w:r w:rsidR="00AF3598">
        <w:rPr>
          <w:rFonts w:ascii="Times New Roman" w:hAnsi="Times New Roman"/>
          <w:sz w:val="24"/>
          <w:szCs w:val="24"/>
        </w:rPr>
        <w:t> </w:t>
      </w:r>
      <w:r w:rsidR="00D16E66">
        <w:rPr>
          <w:rFonts w:ascii="Times New Roman" w:hAnsi="Times New Roman"/>
          <w:sz w:val="24"/>
          <w:szCs w:val="24"/>
        </w:rPr>
        <w:t>607</w:t>
      </w:r>
      <w:r w:rsidRPr="007E7131">
        <w:rPr>
          <w:rFonts w:ascii="Times New Roman" w:hAnsi="Times New Roman"/>
          <w:sz w:val="24"/>
          <w:szCs w:val="24"/>
        </w:rPr>
        <w:t xml:space="preserve"> stacionēšanas gadījumus gadā</w:t>
      </w:r>
      <w:r>
        <w:rPr>
          <w:rStyle w:val="FootnoteReference"/>
          <w:rFonts w:ascii="Times New Roman" w:hAnsi="Times New Roman"/>
          <w:sz w:val="24"/>
          <w:szCs w:val="24"/>
        </w:rPr>
        <w:footnoteReference w:id="16"/>
      </w:r>
      <w:r w:rsidRPr="007E7131">
        <w:rPr>
          <w:rFonts w:ascii="Times New Roman" w:hAnsi="Times New Roman"/>
          <w:sz w:val="24"/>
          <w:szCs w:val="24"/>
        </w:rPr>
        <w:t xml:space="preserve"> ar vidējo gadījuma izmaksu 380,04 </w:t>
      </w:r>
      <w:r w:rsidRPr="00C54F9E">
        <w:rPr>
          <w:rFonts w:ascii="Times New Roman" w:hAnsi="Times New Roman"/>
          <w:i/>
          <w:sz w:val="24"/>
          <w:szCs w:val="24"/>
        </w:rPr>
        <w:t>euro</w:t>
      </w:r>
      <w:r w:rsidRPr="007E7131">
        <w:rPr>
          <w:rFonts w:ascii="Times New Roman" w:hAnsi="Times New Roman"/>
          <w:sz w:val="24"/>
          <w:szCs w:val="24"/>
        </w:rPr>
        <w:t xml:space="preserve"> apmērā un </w:t>
      </w:r>
      <w:r w:rsidR="00D16E66">
        <w:rPr>
          <w:rFonts w:ascii="Times New Roman" w:hAnsi="Times New Roman"/>
          <w:sz w:val="24"/>
          <w:szCs w:val="24"/>
        </w:rPr>
        <w:t>3</w:t>
      </w:r>
      <w:r w:rsidR="00AF3598">
        <w:rPr>
          <w:rFonts w:ascii="Times New Roman" w:hAnsi="Times New Roman"/>
          <w:sz w:val="24"/>
          <w:szCs w:val="24"/>
        </w:rPr>
        <w:t> </w:t>
      </w:r>
      <w:r w:rsidR="00D16E66">
        <w:rPr>
          <w:rFonts w:ascii="Times New Roman" w:hAnsi="Times New Roman"/>
          <w:sz w:val="24"/>
          <w:szCs w:val="24"/>
        </w:rPr>
        <w:t>535</w:t>
      </w:r>
      <w:r w:rsidRPr="007E7131">
        <w:rPr>
          <w:rFonts w:ascii="Times New Roman" w:hAnsi="Times New Roman"/>
          <w:sz w:val="24"/>
          <w:szCs w:val="24"/>
        </w:rPr>
        <w:t xml:space="preserve"> stacionēšanas gadījumus gadā ar tarif</w:t>
      </w:r>
      <w:r w:rsidR="00B87E14">
        <w:rPr>
          <w:rFonts w:ascii="Times New Roman" w:hAnsi="Times New Roman"/>
          <w:sz w:val="24"/>
          <w:szCs w:val="24"/>
        </w:rPr>
        <w:t>u viena pacienta ārstēšanai 505,</w:t>
      </w:r>
      <w:r w:rsidRPr="007E7131">
        <w:rPr>
          <w:rFonts w:ascii="Times New Roman" w:hAnsi="Times New Roman"/>
          <w:sz w:val="24"/>
          <w:szCs w:val="24"/>
        </w:rPr>
        <w:t xml:space="preserve">45 </w:t>
      </w:r>
      <w:r w:rsidRPr="00C54F9E">
        <w:rPr>
          <w:rFonts w:ascii="Times New Roman" w:hAnsi="Times New Roman"/>
          <w:i/>
          <w:sz w:val="24"/>
          <w:szCs w:val="24"/>
        </w:rPr>
        <w:t>euro</w:t>
      </w:r>
      <w:r w:rsidRPr="007E7131">
        <w:rPr>
          <w:rFonts w:ascii="Times New Roman" w:hAnsi="Times New Roman"/>
          <w:sz w:val="24"/>
          <w:szCs w:val="24"/>
        </w:rPr>
        <w:t xml:space="preserve"> </w:t>
      </w:r>
      <w:r w:rsidRPr="004F434F">
        <w:rPr>
          <w:rFonts w:ascii="Times New Roman" w:hAnsi="Times New Roman"/>
          <w:sz w:val="24"/>
          <w:szCs w:val="24"/>
        </w:rPr>
        <w:t>apmērā</w:t>
      </w:r>
      <w:r w:rsidR="0003359F" w:rsidRPr="004F434F">
        <w:rPr>
          <w:rFonts w:ascii="Times New Roman" w:hAnsi="Times New Roman"/>
          <w:sz w:val="24"/>
          <w:szCs w:val="24"/>
        </w:rPr>
        <w:t xml:space="preserve"> (</w:t>
      </w:r>
      <w:r w:rsidR="00B34933" w:rsidRPr="004F434F">
        <w:rPr>
          <w:rFonts w:ascii="Times New Roman" w:hAnsi="Times New Roman"/>
          <w:sz w:val="24"/>
          <w:szCs w:val="24"/>
        </w:rPr>
        <w:t>2</w:t>
      </w:r>
      <w:r w:rsidR="00520359">
        <w:rPr>
          <w:rFonts w:ascii="Times New Roman" w:hAnsi="Times New Roman"/>
          <w:sz w:val="24"/>
          <w:szCs w:val="24"/>
        </w:rPr>
        <w:t>8</w:t>
      </w:r>
      <w:r w:rsidR="0003359F" w:rsidRPr="004F434F">
        <w:rPr>
          <w:rFonts w:ascii="Times New Roman" w:hAnsi="Times New Roman"/>
          <w:sz w:val="24"/>
          <w:szCs w:val="24"/>
        </w:rPr>
        <w:t>.tabul</w:t>
      </w:r>
      <w:r w:rsidR="004D68EC" w:rsidRPr="004F434F">
        <w:rPr>
          <w:rFonts w:ascii="Times New Roman" w:hAnsi="Times New Roman"/>
          <w:sz w:val="24"/>
          <w:szCs w:val="24"/>
        </w:rPr>
        <w:t>a</w:t>
      </w:r>
      <w:r w:rsidR="0003359F" w:rsidRPr="004F434F">
        <w:rPr>
          <w:rFonts w:ascii="Times New Roman" w:hAnsi="Times New Roman"/>
          <w:sz w:val="24"/>
          <w:szCs w:val="24"/>
        </w:rPr>
        <w:t>)</w:t>
      </w:r>
      <w:r w:rsidRPr="004F434F">
        <w:rPr>
          <w:rFonts w:ascii="Times New Roman" w:hAnsi="Times New Roman"/>
          <w:sz w:val="24"/>
          <w:szCs w:val="24"/>
        </w:rPr>
        <w:t>.</w:t>
      </w:r>
    </w:p>
    <w:p w14:paraId="3C055D3F" w14:textId="77777777" w:rsidR="007327C0" w:rsidRDefault="007327C0" w:rsidP="704995BB">
      <w:pPr>
        <w:pStyle w:val="ListParagraph"/>
        <w:jc w:val="right"/>
        <w:rPr>
          <w:rFonts w:ascii="Times New Roman" w:hAnsi="Times New Roman"/>
          <w:i/>
          <w:iCs/>
          <w:sz w:val="24"/>
          <w:szCs w:val="24"/>
        </w:rPr>
        <w:sectPr w:rsidR="007327C0" w:rsidSect="00FD01EE">
          <w:pgSz w:w="12240" w:h="15840"/>
          <w:pgMar w:top="1440" w:right="1440" w:bottom="1440" w:left="1701" w:header="708" w:footer="708" w:gutter="0"/>
          <w:cols w:space="708"/>
          <w:docGrid w:linePitch="360"/>
        </w:sectPr>
      </w:pPr>
    </w:p>
    <w:p w14:paraId="3ED2A221" w14:textId="2D0BE2B7" w:rsidR="007E7131" w:rsidRPr="00E93259" w:rsidRDefault="00B34933" w:rsidP="704995BB">
      <w:pPr>
        <w:pStyle w:val="ListParagraph"/>
        <w:jc w:val="right"/>
        <w:rPr>
          <w:rFonts w:ascii="Times New Roman" w:hAnsi="Times New Roman"/>
          <w:i/>
          <w:iCs/>
          <w:sz w:val="24"/>
          <w:szCs w:val="24"/>
        </w:rPr>
      </w:pPr>
      <w:r w:rsidRPr="704995BB">
        <w:rPr>
          <w:rFonts w:ascii="Times New Roman" w:hAnsi="Times New Roman"/>
          <w:i/>
          <w:iCs/>
          <w:sz w:val="24"/>
          <w:szCs w:val="24"/>
        </w:rPr>
        <w:lastRenderedPageBreak/>
        <w:t>2</w:t>
      </w:r>
      <w:r w:rsidR="00520359">
        <w:rPr>
          <w:rFonts w:ascii="Times New Roman" w:hAnsi="Times New Roman"/>
          <w:i/>
          <w:iCs/>
          <w:sz w:val="24"/>
          <w:szCs w:val="24"/>
        </w:rPr>
        <w:t>8</w:t>
      </w:r>
      <w:r w:rsidR="007E7131" w:rsidRPr="704995BB">
        <w:rPr>
          <w:rFonts w:ascii="Times New Roman" w:hAnsi="Times New Roman"/>
          <w:i/>
          <w:iCs/>
          <w:sz w:val="24"/>
          <w:szCs w:val="24"/>
        </w:rPr>
        <w:t xml:space="preserve">.tabula </w:t>
      </w:r>
    </w:p>
    <w:p w14:paraId="31A2A348" w14:textId="0E1FC66E" w:rsidR="007E7131" w:rsidRPr="00380076" w:rsidRDefault="007E7131" w:rsidP="007E7131">
      <w:pPr>
        <w:pStyle w:val="ListParagraph"/>
        <w:jc w:val="center"/>
        <w:rPr>
          <w:rFonts w:ascii="Times New Roman" w:hAnsi="Times New Roman"/>
          <w:color w:val="000000"/>
          <w:sz w:val="24"/>
          <w:szCs w:val="24"/>
          <w:lang w:val="lv-LV"/>
        </w:rPr>
      </w:pPr>
      <w:r w:rsidRPr="00380076">
        <w:rPr>
          <w:rFonts w:ascii="Times New Roman" w:hAnsi="Times New Roman"/>
          <w:b/>
          <w:bCs/>
          <w:sz w:val="24"/>
          <w:szCs w:val="24"/>
          <w:lang w:val="lv-LV"/>
        </w:rPr>
        <w:t>Hronisko pacientu aprūpes reformai nepieciešamais finansējums</w:t>
      </w:r>
      <w:r w:rsidR="00525D8B">
        <w:rPr>
          <w:rFonts w:ascii="Times New Roman" w:hAnsi="Times New Roman"/>
          <w:b/>
          <w:bCs/>
          <w:sz w:val="24"/>
          <w:szCs w:val="24"/>
          <w:lang w:val="lv-LV"/>
        </w:rPr>
        <w:t xml:space="preserve"> 2017., 2018.un 2019.gadā</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850"/>
        <w:gridCol w:w="851"/>
        <w:gridCol w:w="850"/>
        <w:gridCol w:w="851"/>
        <w:gridCol w:w="1134"/>
        <w:gridCol w:w="1134"/>
        <w:gridCol w:w="850"/>
        <w:gridCol w:w="709"/>
        <w:gridCol w:w="850"/>
        <w:gridCol w:w="851"/>
        <w:gridCol w:w="709"/>
        <w:gridCol w:w="850"/>
      </w:tblGrid>
      <w:tr w:rsidR="00E11AFF" w:rsidRPr="00261E67" w14:paraId="035F3C6A" w14:textId="647D61B7" w:rsidTr="007C25A0">
        <w:trPr>
          <w:cantSplit/>
          <w:trHeight w:val="1566"/>
          <w:jc w:val="center"/>
        </w:trPr>
        <w:tc>
          <w:tcPr>
            <w:tcW w:w="2122" w:type="dxa"/>
            <w:shd w:val="clear" w:color="auto" w:fill="E36C0A"/>
            <w:vAlign w:val="center"/>
            <w:hideMark/>
          </w:tcPr>
          <w:p w14:paraId="475ECC16" w14:textId="77777777" w:rsidR="007327C0" w:rsidRPr="00847710" w:rsidRDefault="007327C0" w:rsidP="000C2EF6">
            <w:pPr>
              <w:spacing w:after="0" w:line="240" w:lineRule="auto"/>
              <w:rPr>
                <w:rFonts w:ascii="Times New Roman" w:eastAsia="Times New Roman" w:hAnsi="Times New Roman"/>
                <w:b/>
                <w:sz w:val="20"/>
                <w:szCs w:val="20"/>
                <w:lang w:eastAsia="lv-LV"/>
              </w:rPr>
            </w:pPr>
          </w:p>
        </w:tc>
        <w:tc>
          <w:tcPr>
            <w:tcW w:w="1134" w:type="dxa"/>
            <w:shd w:val="clear" w:color="auto" w:fill="E36C0A"/>
            <w:textDirection w:val="btLr"/>
            <w:vAlign w:val="center"/>
            <w:hideMark/>
          </w:tcPr>
          <w:p w14:paraId="1AC8340C" w14:textId="77777777" w:rsidR="007327C0" w:rsidRPr="00847710" w:rsidRDefault="007327C0"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Vienas ārstēšanas vidējās</w:t>
            </w:r>
          </w:p>
          <w:p w14:paraId="0D8171DA" w14:textId="77777777" w:rsidR="007327C0" w:rsidRPr="00847710" w:rsidRDefault="007327C0"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izmaksas</w:t>
            </w:r>
          </w:p>
          <w:p w14:paraId="39F9623B" w14:textId="77777777" w:rsidR="007327C0" w:rsidRPr="00847710" w:rsidRDefault="007327C0" w:rsidP="000C2EF6">
            <w:pPr>
              <w:spacing w:after="0" w:line="240" w:lineRule="auto"/>
              <w:ind w:left="113" w:right="113"/>
              <w:jc w:val="center"/>
              <w:rPr>
                <w:rFonts w:ascii="Times New Roman" w:eastAsia="Times New Roman" w:hAnsi="Times New Roman"/>
                <w:b/>
                <w:bCs/>
                <w:sz w:val="20"/>
                <w:szCs w:val="20"/>
                <w:lang w:eastAsia="lv-LV"/>
              </w:rPr>
            </w:pPr>
          </w:p>
        </w:tc>
        <w:tc>
          <w:tcPr>
            <w:tcW w:w="2551" w:type="dxa"/>
            <w:gridSpan w:val="3"/>
            <w:shd w:val="clear" w:color="auto" w:fill="E36C0A"/>
            <w:textDirection w:val="btLr"/>
            <w:vAlign w:val="center"/>
          </w:tcPr>
          <w:p w14:paraId="388FDD4A" w14:textId="299DB5BB" w:rsidR="007327C0" w:rsidRPr="00847710" w:rsidRDefault="007327C0" w:rsidP="000C2EF6">
            <w:pPr>
              <w:spacing w:after="0" w:line="240" w:lineRule="auto"/>
              <w:ind w:left="113" w:right="113"/>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Plānotais finansējums</w:t>
            </w:r>
          </w:p>
        </w:tc>
        <w:tc>
          <w:tcPr>
            <w:tcW w:w="3119" w:type="dxa"/>
            <w:gridSpan w:val="3"/>
            <w:shd w:val="clear" w:color="auto" w:fill="E36C0A"/>
            <w:textDirection w:val="btLr"/>
            <w:vAlign w:val="center"/>
          </w:tcPr>
          <w:p w14:paraId="2F3A4774" w14:textId="3497B049" w:rsidR="007327C0" w:rsidRPr="00847710" w:rsidRDefault="007327C0"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 xml:space="preserve">Papildus finansējums </w:t>
            </w:r>
          </w:p>
        </w:tc>
        <w:tc>
          <w:tcPr>
            <w:tcW w:w="2409" w:type="dxa"/>
            <w:gridSpan w:val="3"/>
            <w:shd w:val="clear" w:color="auto" w:fill="E36C0A"/>
            <w:textDirection w:val="btLr"/>
            <w:vAlign w:val="center"/>
          </w:tcPr>
          <w:p w14:paraId="69D3F4B2" w14:textId="5AC992ED" w:rsidR="007327C0" w:rsidRPr="00847710" w:rsidRDefault="007327C0"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 xml:space="preserve">Plānotais pakalpojumu skaits </w:t>
            </w:r>
          </w:p>
        </w:tc>
        <w:tc>
          <w:tcPr>
            <w:tcW w:w="2410" w:type="dxa"/>
            <w:gridSpan w:val="3"/>
            <w:shd w:val="clear" w:color="auto" w:fill="E36C0A"/>
            <w:textDirection w:val="btLr"/>
            <w:vAlign w:val="center"/>
          </w:tcPr>
          <w:p w14:paraId="391A8D96" w14:textId="5BAF31D8" w:rsidR="007327C0" w:rsidRPr="00847710" w:rsidRDefault="007327C0"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Plānotais pakalpojumu skaits pēc finansējuma piešķīruma</w:t>
            </w:r>
          </w:p>
        </w:tc>
      </w:tr>
      <w:tr w:rsidR="00C4284B" w:rsidRPr="00261E67" w14:paraId="7F4B39CF" w14:textId="4AB680BE" w:rsidTr="007C25A0">
        <w:trPr>
          <w:trHeight w:val="640"/>
          <w:jc w:val="center"/>
        </w:trPr>
        <w:tc>
          <w:tcPr>
            <w:tcW w:w="2122" w:type="dxa"/>
            <w:shd w:val="clear" w:color="auto" w:fill="FABF8F"/>
            <w:vAlign w:val="center"/>
          </w:tcPr>
          <w:p w14:paraId="779D69A0" w14:textId="77777777" w:rsidR="007327C0" w:rsidRPr="00847710" w:rsidRDefault="007327C0" w:rsidP="007327C0">
            <w:pPr>
              <w:spacing w:after="0" w:line="240" w:lineRule="auto"/>
              <w:jc w:val="center"/>
              <w:rPr>
                <w:rFonts w:ascii="Times New Roman" w:eastAsia="Times New Roman" w:hAnsi="Times New Roman"/>
                <w:b/>
                <w:sz w:val="20"/>
                <w:szCs w:val="20"/>
                <w:lang w:eastAsia="lv-LV"/>
              </w:rPr>
            </w:pPr>
          </w:p>
        </w:tc>
        <w:tc>
          <w:tcPr>
            <w:tcW w:w="1134" w:type="dxa"/>
            <w:shd w:val="clear" w:color="auto" w:fill="FABF8F"/>
            <w:vAlign w:val="center"/>
          </w:tcPr>
          <w:p w14:paraId="6CEA0506" w14:textId="66906A3C" w:rsidR="007327C0" w:rsidRPr="00C4284B" w:rsidRDefault="00C4284B" w:rsidP="007327C0">
            <w:pPr>
              <w:spacing w:after="0" w:line="240" w:lineRule="auto"/>
              <w:jc w:val="center"/>
              <w:rPr>
                <w:rFonts w:ascii="Times New Roman" w:eastAsia="Times New Roman" w:hAnsi="Times New Roman"/>
                <w:b/>
                <w:i/>
                <w:iCs/>
                <w:sz w:val="20"/>
                <w:szCs w:val="20"/>
                <w:lang w:eastAsia="lv-LV"/>
              </w:rPr>
            </w:pPr>
            <w:r w:rsidRPr="00C4284B">
              <w:rPr>
                <w:rFonts w:ascii="Times New Roman" w:eastAsia="Times New Roman" w:hAnsi="Times New Roman"/>
                <w:b/>
                <w:i/>
                <w:iCs/>
                <w:sz w:val="20"/>
                <w:szCs w:val="20"/>
                <w:lang w:eastAsia="lv-LV"/>
              </w:rPr>
              <w:t>2019</w:t>
            </w:r>
          </w:p>
          <w:p w14:paraId="68CFB894" w14:textId="77777777" w:rsidR="007327C0" w:rsidRPr="00847710" w:rsidRDefault="007327C0" w:rsidP="007327C0">
            <w:pPr>
              <w:spacing w:after="0" w:line="240" w:lineRule="auto"/>
              <w:jc w:val="center"/>
              <w:rPr>
                <w:rFonts w:ascii="Times New Roman" w:eastAsia="Times New Roman" w:hAnsi="Times New Roman"/>
                <w:b/>
                <w:bCs/>
                <w:sz w:val="20"/>
                <w:szCs w:val="20"/>
                <w:lang w:eastAsia="lv-LV"/>
              </w:rPr>
            </w:pPr>
            <w:r w:rsidRPr="57326167">
              <w:rPr>
                <w:rFonts w:ascii="Times New Roman" w:eastAsia="Times New Roman" w:hAnsi="Times New Roman"/>
                <w:i/>
                <w:iCs/>
                <w:sz w:val="20"/>
                <w:szCs w:val="20"/>
                <w:lang w:eastAsia="lv-LV"/>
              </w:rPr>
              <w:t>(euro)</w:t>
            </w:r>
          </w:p>
        </w:tc>
        <w:tc>
          <w:tcPr>
            <w:tcW w:w="850" w:type="dxa"/>
            <w:shd w:val="clear" w:color="auto" w:fill="FABF8F"/>
            <w:vAlign w:val="center"/>
          </w:tcPr>
          <w:p w14:paraId="04434053" w14:textId="2373F986" w:rsidR="007327C0" w:rsidRPr="00C4284B" w:rsidRDefault="007327C0" w:rsidP="007327C0">
            <w:pPr>
              <w:spacing w:after="0" w:line="240" w:lineRule="auto"/>
              <w:jc w:val="center"/>
              <w:rPr>
                <w:rFonts w:ascii="Times New Roman" w:eastAsia="Times New Roman" w:hAnsi="Times New Roman"/>
                <w:b/>
                <w:bCs/>
                <w:i/>
                <w:iCs/>
                <w:sz w:val="20"/>
                <w:szCs w:val="20"/>
                <w:lang w:eastAsia="lv-LV"/>
              </w:rPr>
            </w:pPr>
            <w:r w:rsidRPr="00C4284B">
              <w:rPr>
                <w:rFonts w:ascii="Times New Roman" w:eastAsia="Times New Roman" w:hAnsi="Times New Roman"/>
                <w:b/>
                <w:bCs/>
                <w:iCs/>
                <w:sz w:val="20"/>
                <w:szCs w:val="20"/>
                <w:lang w:eastAsia="lv-LV"/>
              </w:rPr>
              <w:t>2017</w:t>
            </w:r>
            <w:r w:rsidRPr="00C4284B">
              <w:rPr>
                <w:rFonts w:ascii="Times New Roman" w:eastAsia="Times New Roman" w:hAnsi="Times New Roman"/>
                <w:b/>
                <w:bCs/>
                <w:i/>
                <w:iCs/>
                <w:sz w:val="20"/>
                <w:szCs w:val="20"/>
                <w:lang w:eastAsia="lv-LV"/>
              </w:rPr>
              <w:t xml:space="preserve"> </w:t>
            </w:r>
            <w:r w:rsidRPr="00C4284B">
              <w:rPr>
                <w:rFonts w:ascii="Times New Roman" w:eastAsia="Times New Roman" w:hAnsi="Times New Roman"/>
                <w:b/>
                <w:i/>
                <w:iCs/>
                <w:sz w:val="20"/>
                <w:szCs w:val="20"/>
                <w:lang w:eastAsia="lv-LV"/>
              </w:rPr>
              <w:t>(euro)</w:t>
            </w:r>
          </w:p>
        </w:tc>
        <w:tc>
          <w:tcPr>
            <w:tcW w:w="851" w:type="dxa"/>
            <w:shd w:val="clear" w:color="auto" w:fill="FABF8F"/>
            <w:vAlign w:val="center"/>
          </w:tcPr>
          <w:p w14:paraId="64C54E93" w14:textId="1506DA39" w:rsidR="007327C0" w:rsidRPr="00C4284B" w:rsidRDefault="007327C0" w:rsidP="007327C0">
            <w:pPr>
              <w:spacing w:after="0" w:line="240" w:lineRule="auto"/>
              <w:jc w:val="center"/>
              <w:rPr>
                <w:rFonts w:ascii="Times New Roman" w:eastAsia="Times New Roman" w:hAnsi="Times New Roman"/>
                <w:b/>
                <w:bCs/>
                <w:i/>
                <w:iCs/>
                <w:sz w:val="20"/>
                <w:szCs w:val="20"/>
                <w:lang w:eastAsia="lv-LV"/>
              </w:rPr>
            </w:pPr>
            <w:r w:rsidRPr="00C4284B">
              <w:rPr>
                <w:rFonts w:ascii="Times New Roman" w:eastAsia="Times New Roman" w:hAnsi="Times New Roman"/>
                <w:b/>
                <w:bCs/>
                <w:iCs/>
                <w:sz w:val="20"/>
                <w:szCs w:val="20"/>
                <w:lang w:eastAsia="lv-LV"/>
              </w:rPr>
              <w:t>2018</w:t>
            </w:r>
            <w:r w:rsidRPr="00C4284B">
              <w:rPr>
                <w:rFonts w:ascii="Times New Roman" w:eastAsia="Times New Roman" w:hAnsi="Times New Roman"/>
                <w:b/>
                <w:bCs/>
                <w:i/>
                <w:iCs/>
                <w:sz w:val="20"/>
                <w:szCs w:val="20"/>
                <w:lang w:eastAsia="lv-LV"/>
              </w:rPr>
              <w:t xml:space="preserve"> </w:t>
            </w:r>
            <w:r w:rsidRPr="00C4284B">
              <w:rPr>
                <w:rFonts w:ascii="Times New Roman" w:eastAsia="Times New Roman" w:hAnsi="Times New Roman"/>
                <w:b/>
                <w:i/>
                <w:iCs/>
                <w:sz w:val="20"/>
                <w:szCs w:val="20"/>
                <w:lang w:eastAsia="lv-LV"/>
              </w:rPr>
              <w:t>(euro)</w:t>
            </w:r>
          </w:p>
        </w:tc>
        <w:tc>
          <w:tcPr>
            <w:tcW w:w="850" w:type="dxa"/>
            <w:shd w:val="clear" w:color="auto" w:fill="FABF8F"/>
            <w:vAlign w:val="center"/>
          </w:tcPr>
          <w:p w14:paraId="00EED306" w14:textId="54324021" w:rsidR="007327C0" w:rsidRPr="00C4284B" w:rsidRDefault="007327C0" w:rsidP="007327C0">
            <w:pPr>
              <w:spacing w:after="0" w:line="240" w:lineRule="auto"/>
              <w:jc w:val="center"/>
              <w:rPr>
                <w:rFonts w:ascii="Times New Roman" w:eastAsia="Times New Roman" w:hAnsi="Times New Roman"/>
                <w:b/>
                <w:bCs/>
                <w:i/>
                <w:iCs/>
                <w:sz w:val="20"/>
                <w:szCs w:val="20"/>
                <w:lang w:eastAsia="lv-LV"/>
              </w:rPr>
            </w:pPr>
            <w:r w:rsidRPr="00C4284B">
              <w:rPr>
                <w:rFonts w:ascii="Times New Roman" w:eastAsia="Times New Roman" w:hAnsi="Times New Roman"/>
                <w:b/>
                <w:bCs/>
                <w:iCs/>
                <w:sz w:val="20"/>
                <w:szCs w:val="20"/>
                <w:lang w:eastAsia="lv-LV"/>
              </w:rPr>
              <w:t>2019</w:t>
            </w:r>
            <w:r w:rsidRPr="00C4284B">
              <w:rPr>
                <w:rFonts w:ascii="Times New Roman" w:eastAsia="Times New Roman" w:hAnsi="Times New Roman"/>
                <w:b/>
                <w:bCs/>
                <w:i/>
                <w:iCs/>
                <w:sz w:val="20"/>
                <w:szCs w:val="20"/>
                <w:lang w:eastAsia="lv-LV"/>
              </w:rPr>
              <w:t xml:space="preserve"> </w:t>
            </w:r>
            <w:r w:rsidRPr="00C4284B">
              <w:rPr>
                <w:rFonts w:ascii="Times New Roman" w:eastAsia="Times New Roman" w:hAnsi="Times New Roman"/>
                <w:b/>
                <w:i/>
                <w:iCs/>
                <w:sz w:val="20"/>
                <w:szCs w:val="20"/>
                <w:lang w:eastAsia="lv-LV"/>
              </w:rPr>
              <w:t>(euro)</w:t>
            </w:r>
          </w:p>
        </w:tc>
        <w:tc>
          <w:tcPr>
            <w:tcW w:w="851" w:type="dxa"/>
            <w:shd w:val="clear" w:color="auto" w:fill="FABF8F"/>
            <w:vAlign w:val="center"/>
          </w:tcPr>
          <w:p w14:paraId="27C3392D" w14:textId="615819D9" w:rsidR="007327C0" w:rsidRPr="00C4284B" w:rsidRDefault="007327C0" w:rsidP="007327C0">
            <w:pPr>
              <w:spacing w:after="0" w:line="240" w:lineRule="auto"/>
              <w:jc w:val="center"/>
              <w:rPr>
                <w:rFonts w:ascii="Times New Roman" w:eastAsia="Times New Roman" w:hAnsi="Times New Roman"/>
                <w:b/>
                <w:bCs/>
                <w:i/>
                <w:iCs/>
                <w:sz w:val="20"/>
                <w:szCs w:val="20"/>
                <w:lang w:eastAsia="lv-LV"/>
              </w:rPr>
            </w:pPr>
            <w:r w:rsidRPr="00C4284B">
              <w:rPr>
                <w:rFonts w:ascii="Times New Roman" w:eastAsia="Times New Roman" w:hAnsi="Times New Roman"/>
                <w:b/>
                <w:bCs/>
                <w:iCs/>
                <w:sz w:val="20"/>
                <w:szCs w:val="20"/>
                <w:lang w:eastAsia="lv-LV"/>
              </w:rPr>
              <w:t>2017</w:t>
            </w:r>
            <w:r w:rsidRPr="00C4284B">
              <w:rPr>
                <w:rFonts w:ascii="Times New Roman" w:eastAsia="Times New Roman" w:hAnsi="Times New Roman"/>
                <w:b/>
                <w:bCs/>
                <w:i/>
                <w:iCs/>
                <w:sz w:val="20"/>
                <w:szCs w:val="20"/>
                <w:lang w:eastAsia="lv-LV"/>
              </w:rPr>
              <w:t xml:space="preserve"> </w:t>
            </w:r>
            <w:r w:rsidRPr="00C4284B">
              <w:rPr>
                <w:rFonts w:ascii="Times New Roman" w:eastAsia="Times New Roman" w:hAnsi="Times New Roman"/>
                <w:b/>
                <w:i/>
                <w:iCs/>
                <w:sz w:val="20"/>
                <w:szCs w:val="20"/>
                <w:lang w:eastAsia="lv-LV"/>
              </w:rPr>
              <w:t>(euro)</w:t>
            </w:r>
          </w:p>
        </w:tc>
        <w:tc>
          <w:tcPr>
            <w:tcW w:w="1134" w:type="dxa"/>
            <w:shd w:val="clear" w:color="auto" w:fill="FABF8F"/>
            <w:vAlign w:val="center"/>
          </w:tcPr>
          <w:p w14:paraId="1CBC6138" w14:textId="0BE490BF" w:rsidR="007327C0" w:rsidRPr="00C4284B" w:rsidRDefault="007327C0" w:rsidP="007327C0">
            <w:pPr>
              <w:spacing w:after="0" w:line="240" w:lineRule="auto"/>
              <w:jc w:val="center"/>
              <w:rPr>
                <w:rFonts w:ascii="Times New Roman" w:eastAsia="Times New Roman" w:hAnsi="Times New Roman"/>
                <w:b/>
                <w:bCs/>
                <w:i/>
                <w:iCs/>
                <w:sz w:val="20"/>
                <w:szCs w:val="20"/>
                <w:lang w:eastAsia="lv-LV"/>
              </w:rPr>
            </w:pPr>
            <w:r w:rsidRPr="00C4284B">
              <w:rPr>
                <w:rFonts w:ascii="Times New Roman" w:eastAsia="Times New Roman" w:hAnsi="Times New Roman"/>
                <w:b/>
                <w:bCs/>
                <w:iCs/>
                <w:sz w:val="20"/>
                <w:szCs w:val="20"/>
                <w:lang w:eastAsia="lv-LV"/>
              </w:rPr>
              <w:t>2018</w:t>
            </w:r>
            <w:r w:rsidRPr="00C4284B">
              <w:rPr>
                <w:rFonts w:ascii="Times New Roman" w:eastAsia="Times New Roman" w:hAnsi="Times New Roman"/>
                <w:b/>
                <w:bCs/>
                <w:i/>
                <w:iCs/>
                <w:sz w:val="20"/>
                <w:szCs w:val="20"/>
                <w:lang w:eastAsia="lv-LV"/>
              </w:rPr>
              <w:t xml:space="preserve"> </w:t>
            </w:r>
            <w:r w:rsidRPr="00C4284B">
              <w:rPr>
                <w:rFonts w:ascii="Times New Roman" w:eastAsia="Times New Roman" w:hAnsi="Times New Roman"/>
                <w:b/>
                <w:i/>
                <w:iCs/>
                <w:sz w:val="20"/>
                <w:szCs w:val="20"/>
                <w:lang w:eastAsia="lv-LV"/>
              </w:rPr>
              <w:t>(euro)</w:t>
            </w:r>
          </w:p>
        </w:tc>
        <w:tc>
          <w:tcPr>
            <w:tcW w:w="1134" w:type="dxa"/>
            <w:shd w:val="clear" w:color="auto" w:fill="FABF8F"/>
            <w:vAlign w:val="center"/>
          </w:tcPr>
          <w:p w14:paraId="03E8FA48" w14:textId="12C14D3A" w:rsidR="007327C0" w:rsidRPr="00C4284B" w:rsidRDefault="007327C0" w:rsidP="007327C0">
            <w:pPr>
              <w:spacing w:after="0" w:line="240" w:lineRule="auto"/>
              <w:jc w:val="center"/>
              <w:rPr>
                <w:rFonts w:ascii="Times New Roman" w:eastAsia="Times New Roman" w:hAnsi="Times New Roman"/>
                <w:b/>
                <w:bCs/>
                <w:iCs/>
                <w:sz w:val="20"/>
                <w:szCs w:val="20"/>
                <w:lang w:eastAsia="lv-LV"/>
              </w:rPr>
            </w:pPr>
            <w:r w:rsidRPr="00C4284B">
              <w:rPr>
                <w:rFonts w:ascii="Times New Roman" w:eastAsia="Times New Roman" w:hAnsi="Times New Roman"/>
                <w:b/>
                <w:bCs/>
                <w:iCs/>
                <w:sz w:val="20"/>
                <w:szCs w:val="20"/>
                <w:lang w:eastAsia="lv-LV"/>
              </w:rPr>
              <w:t>2019</w:t>
            </w:r>
          </w:p>
          <w:p w14:paraId="1BD660F1" w14:textId="77777777" w:rsidR="007327C0" w:rsidRPr="00C4284B" w:rsidRDefault="007327C0" w:rsidP="007327C0">
            <w:pPr>
              <w:spacing w:after="0" w:line="240" w:lineRule="auto"/>
              <w:jc w:val="center"/>
              <w:rPr>
                <w:rFonts w:ascii="Times New Roman" w:eastAsia="Times New Roman" w:hAnsi="Times New Roman"/>
                <w:b/>
                <w:i/>
                <w:iCs/>
                <w:sz w:val="20"/>
                <w:szCs w:val="20"/>
                <w:lang w:eastAsia="lv-LV"/>
              </w:rPr>
            </w:pPr>
            <w:r w:rsidRPr="00C4284B">
              <w:rPr>
                <w:rFonts w:ascii="Times New Roman" w:eastAsia="Times New Roman" w:hAnsi="Times New Roman"/>
                <w:b/>
                <w:i/>
                <w:iCs/>
                <w:sz w:val="20"/>
                <w:szCs w:val="20"/>
                <w:lang w:eastAsia="lv-LV"/>
              </w:rPr>
              <w:t>(euro)</w:t>
            </w:r>
          </w:p>
        </w:tc>
        <w:tc>
          <w:tcPr>
            <w:tcW w:w="850" w:type="dxa"/>
            <w:shd w:val="clear" w:color="auto" w:fill="FABF8F"/>
            <w:vAlign w:val="center"/>
          </w:tcPr>
          <w:p w14:paraId="33E3F15B" w14:textId="4676DCBA" w:rsidR="007327C0" w:rsidRPr="00847710" w:rsidRDefault="007327C0" w:rsidP="007327C0">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2017</w:t>
            </w:r>
          </w:p>
        </w:tc>
        <w:tc>
          <w:tcPr>
            <w:tcW w:w="709" w:type="dxa"/>
            <w:shd w:val="clear" w:color="auto" w:fill="FABF8F"/>
            <w:vAlign w:val="center"/>
          </w:tcPr>
          <w:p w14:paraId="7F51CAFE" w14:textId="144792F3" w:rsidR="007327C0" w:rsidRPr="00847710" w:rsidRDefault="007327C0" w:rsidP="007327C0">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2018</w:t>
            </w:r>
          </w:p>
        </w:tc>
        <w:tc>
          <w:tcPr>
            <w:tcW w:w="850" w:type="dxa"/>
            <w:shd w:val="clear" w:color="auto" w:fill="FABF8F"/>
            <w:vAlign w:val="center"/>
          </w:tcPr>
          <w:p w14:paraId="0A51CDA7" w14:textId="67DC08FD" w:rsidR="007327C0" w:rsidRPr="00847710" w:rsidRDefault="007327C0" w:rsidP="007327C0">
            <w:pPr>
              <w:spacing w:after="0" w:line="240" w:lineRule="auto"/>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201</w:t>
            </w:r>
            <w:r>
              <w:rPr>
                <w:rFonts w:ascii="Times New Roman" w:eastAsia="Times New Roman" w:hAnsi="Times New Roman"/>
                <w:b/>
                <w:bCs/>
                <w:sz w:val="20"/>
                <w:szCs w:val="20"/>
                <w:lang w:eastAsia="lv-LV"/>
              </w:rPr>
              <w:t>9</w:t>
            </w:r>
          </w:p>
        </w:tc>
        <w:tc>
          <w:tcPr>
            <w:tcW w:w="851" w:type="dxa"/>
            <w:shd w:val="clear" w:color="auto" w:fill="FABF8F"/>
            <w:vAlign w:val="center"/>
          </w:tcPr>
          <w:p w14:paraId="25353D5C" w14:textId="2405C5BA" w:rsidR="007327C0" w:rsidRPr="00CB4538" w:rsidRDefault="007327C0" w:rsidP="007327C0">
            <w:pPr>
              <w:spacing w:after="0" w:line="240" w:lineRule="auto"/>
              <w:jc w:val="center"/>
              <w:rPr>
                <w:rFonts w:ascii="Times New Roman" w:eastAsia="Times New Roman" w:hAnsi="Times New Roman"/>
                <w:b/>
                <w:bCs/>
                <w:sz w:val="20"/>
                <w:szCs w:val="20"/>
                <w:lang w:eastAsia="lv-LV"/>
              </w:rPr>
            </w:pPr>
            <w:r w:rsidRPr="00E11AFF">
              <w:rPr>
                <w:rFonts w:ascii="Times New Roman" w:eastAsia="Times New Roman" w:hAnsi="Times New Roman"/>
                <w:b/>
                <w:bCs/>
                <w:iCs/>
                <w:sz w:val="20"/>
                <w:szCs w:val="20"/>
                <w:lang w:eastAsia="lv-LV"/>
              </w:rPr>
              <w:t xml:space="preserve">2017 </w:t>
            </w:r>
          </w:p>
        </w:tc>
        <w:tc>
          <w:tcPr>
            <w:tcW w:w="709" w:type="dxa"/>
            <w:shd w:val="clear" w:color="auto" w:fill="FABF8F"/>
            <w:vAlign w:val="center"/>
          </w:tcPr>
          <w:p w14:paraId="06844E53" w14:textId="234769F2" w:rsidR="007327C0" w:rsidRPr="00CB4538" w:rsidRDefault="007327C0" w:rsidP="007327C0">
            <w:pPr>
              <w:spacing w:after="0" w:line="240" w:lineRule="auto"/>
              <w:jc w:val="center"/>
              <w:rPr>
                <w:rFonts w:ascii="Times New Roman" w:eastAsia="Times New Roman" w:hAnsi="Times New Roman"/>
                <w:b/>
                <w:bCs/>
                <w:sz w:val="20"/>
                <w:szCs w:val="20"/>
                <w:lang w:eastAsia="lv-LV"/>
              </w:rPr>
            </w:pPr>
            <w:r w:rsidRPr="00E11AFF">
              <w:rPr>
                <w:rFonts w:ascii="Times New Roman" w:eastAsia="Times New Roman" w:hAnsi="Times New Roman"/>
                <w:b/>
                <w:bCs/>
                <w:iCs/>
                <w:sz w:val="20"/>
                <w:szCs w:val="20"/>
                <w:lang w:eastAsia="lv-LV"/>
              </w:rPr>
              <w:t xml:space="preserve">2018 </w:t>
            </w:r>
          </w:p>
        </w:tc>
        <w:tc>
          <w:tcPr>
            <w:tcW w:w="850" w:type="dxa"/>
            <w:shd w:val="clear" w:color="auto" w:fill="FABF8F"/>
            <w:vAlign w:val="center"/>
          </w:tcPr>
          <w:p w14:paraId="5675DD47" w14:textId="16E912D6" w:rsidR="007327C0" w:rsidRPr="00847710" w:rsidRDefault="007327C0" w:rsidP="007327C0">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2019</w:t>
            </w:r>
          </w:p>
        </w:tc>
      </w:tr>
      <w:tr w:rsidR="00121C14" w:rsidRPr="00261E67" w14:paraId="46890D22" w14:textId="02B6C7FC" w:rsidTr="007C25A0">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5B89B" w14:textId="77777777" w:rsidR="00121C14" w:rsidRPr="00847710" w:rsidRDefault="00121C14" w:rsidP="00121C14">
            <w:pPr>
              <w:spacing w:after="0" w:line="240" w:lineRule="auto"/>
              <w:rPr>
                <w:rFonts w:ascii="Times New Roman" w:eastAsia="Times New Roman" w:hAnsi="Times New Roman"/>
                <w:sz w:val="20"/>
                <w:szCs w:val="20"/>
                <w:lang w:eastAsia="lv-LV"/>
              </w:rPr>
            </w:pPr>
            <w:r w:rsidRPr="00C67F6F">
              <w:rPr>
                <w:rFonts w:ascii="Times New Roman" w:eastAsia="Times New Roman" w:hAnsi="Times New Roman"/>
                <w:sz w:val="20"/>
                <w:szCs w:val="20"/>
                <w:lang w:eastAsia="lv-LV"/>
              </w:rPr>
              <w:t>Hronisko pacientu aprūpe, ar ārstēšanās ilgumu līdz 10 gultasdienām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7D646" w14:textId="77777777" w:rsidR="00121C14" w:rsidRPr="00847710" w:rsidRDefault="00121C14" w:rsidP="00121C14">
            <w:pPr>
              <w:spacing w:after="0" w:line="240" w:lineRule="auto"/>
              <w:jc w:val="center"/>
              <w:rPr>
                <w:rFonts w:ascii="Times New Roman" w:eastAsia="Times New Roman" w:hAnsi="Times New Roman"/>
                <w:sz w:val="20"/>
                <w:szCs w:val="20"/>
                <w:lang w:eastAsia="lv-LV"/>
              </w:rPr>
            </w:pPr>
            <w:r w:rsidRPr="00261E67">
              <w:rPr>
                <w:rFonts w:ascii="Times New Roman" w:hAnsi="Times New Roman"/>
                <w:sz w:val="20"/>
                <w:szCs w:val="20"/>
              </w:rPr>
              <w:t>380,04</w:t>
            </w:r>
          </w:p>
        </w:tc>
        <w:tc>
          <w:tcPr>
            <w:tcW w:w="850" w:type="dxa"/>
            <w:tcBorders>
              <w:top w:val="single" w:sz="4" w:space="0" w:color="auto"/>
              <w:left w:val="single" w:sz="4" w:space="0" w:color="auto"/>
              <w:bottom w:val="single" w:sz="4" w:space="0" w:color="auto"/>
              <w:right w:val="single" w:sz="4" w:space="0" w:color="auto"/>
            </w:tcBorders>
            <w:vAlign w:val="center"/>
          </w:tcPr>
          <w:p w14:paraId="6E2CA1A8" w14:textId="1A73EF80" w:rsidR="00121C14"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08B2CFB" w14:textId="4858D3D7" w:rsidR="00121C14"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D709D33" w14:textId="21C7F5A4" w:rsidR="00121C14"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59B7019" w14:textId="467BC799" w:rsidR="00121C14"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9B8A071" w14:textId="57902719" w:rsidR="00121C14" w:rsidRDefault="00121C14" w:rsidP="00121C14">
            <w:pPr>
              <w:spacing w:after="0" w:line="240" w:lineRule="auto"/>
              <w:jc w:val="center"/>
              <w:rPr>
                <w:rFonts w:ascii="Times New Roman" w:hAnsi="Times New Roman"/>
                <w:sz w:val="20"/>
                <w:szCs w:val="20"/>
              </w:rPr>
            </w:pPr>
            <w:r w:rsidRPr="00E97A8F">
              <w:rPr>
                <w:rFonts w:ascii="Times New Roman" w:eastAsia="Times New Roman" w:hAnsi="Times New Roman" w:cs="Times New Roman"/>
                <w:color w:val="000000"/>
                <w:sz w:val="20"/>
                <w:szCs w:val="20"/>
                <w:lang w:eastAsia="lv-LV"/>
              </w:rPr>
              <w:t>1 825 332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3E53E" w14:textId="01EA6F33" w:rsidR="00121C14" w:rsidRPr="00261E67"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3 651 044</w:t>
            </w:r>
          </w:p>
        </w:tc>
        <w:tc>
          <w:tcPr>
            <w:tcW w:w="850" w:type="dxa"/>
            <w:tcBorders>
              <w:top w:val="single" w:sz="4" w:space="0" w:color="auto"/>
              <w:left w:val="single" w:sz="4" w:space="0" w:color="auto"/>
              <w:bottom w:val="single" w:sz="4" w:space="0" w:color="auto"/>
              <w:right w:val="single" w:sz="4" w:space="0" w:color="auto"/>
            </w:tcBorders>
            <w:vAlign w:val="center"/>
          </w:tcPr>
          <w:p w14:paraId="3771F5DC" w14:textId="305271AA" w:rsidR="00121C14" w:rsidRPr="00EA2B59" w:rsidRDefault="00121C14" w:rsidP="00121C14">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DB3A31C" w14:textId="09CCDBCE" w:rsidR="00121C14" w:rsidRPr="00EA2B59" w:rsidRDefault="00121C14" w:rsidP="00121C14">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E3CA2" w14:textId="0D42DCB8" w:rsidR="00121C14" w:rsidRPr="00EA2B59" w:rsidRDefault="00121C14" w:rsidP="00121C14">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B7C29AC" w14:textId="08EA1F64" w:rsidR="00121C14" w:rsidRDefault="00121C14" w:rsidP="00121C14">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9AE2128" w14:textId="5BBC4F34" w:rsidR="00121C14" w:rsidRDefault="00121C14" w:rsidP="00CB4538">
            <w:pPr>
              <w:spacing w:after="0" w:line="240" w:lineRule="auto"/>
              <w:jc w:val="center"/>
              <w:rPr>
                <w:rFonts w:ascii="Times New Roman" w:hAnsi="Times New Roman"/>
                <w:b/>
                <w:bCs/>
                <w:sz w:val="20"/>
                <w:szCs w:val="20"/>
              </w:rPr>
            </w:pPr>
            <w:r w:rsidRPr="00E97A8F">
              <w:rPr>
                <w:rFonts w:ascii="Times New Roman" w:eastAsia="Times New Roman" w:hAnsi="Times New Roman" w:cs="Times New Roman"/>
                <w:bCs/>
                <w:color w:val="000000"/>
                <w:sz w:val="20"/>
                <w:szCs w:val="20"/>
                <w:lang w:eastAsia="lv-LV"/>
              </w:rPr>
              <w:t>4</w:t>
            </w:r>
            <w:r>
              <w:rPr>
                <w:rFonts w:ascii="Times New Roman" w:eastAsia="Times New Roman" w:hAnsi="Times New Roman" w:cs="Times New Roman"/>
                <w:bCs/>
                <w:color w:val="000000"/>
                <w:sz w:val="20"/>
                <w:szCs w:val="20"/>
                <w:lang w:eastAsia="lv-LV"/>
              </w:rPr>
              <w:t> </w:t>
            </w:r>
            <w:r w:rsidRPr="00E97A8F">
              <w:rPr>
                <w:rFonts w:ascii="Times New Roman" w:eastAsia="Times New Roman" w:hAnsi="Times New Roman" w:cs="Times New Roman"/>
                <w:bCs/>
                <w:color w:val="000000"/>
                <w:sz w:val="20"/>
                <w:szCs w:val="20"/>
                <w:lang w:eastAsia="lv-LV"/>
              </w:rPr>
              <w:t>803</w:t>
            </w:r>
          </w:p>
        </w:tc>
        <w:tc>
          <w:tcPr>
            <w:tcW w:w="850" w:type="dxa"/>
            <w:tcBorders>
              <w:top w:val="single" w:sz="4" w:space="0" w:color="auto"/>
              <w:left w:val="single" w:sz="4" w:space="0" w:color="auto"/>
              <w:bottom w:val="single" w:sz="4" w:space="0" w:color="auto"/>
              <w:right w:val="single" w:sz="4" w:space="0" w:color="auto"/>
            </w:tcBorders>
            <w:vAlign w:val="center"/>
          </w:tcPr>
          <w:p w14:paraId="3922C432" w14:textId="1CBD6A92" w:rsidR="00121C14" w:rsidRPr="00EE36BA" w:rsidRDefault="00121C14" w:rsidP="00121C14">
            <w:pPr>
              <w:spacing w:after="0" w:line="240" w:lineRule="auto"/>
              <w:jc w:val="center"/>
              <w:rPr>
                <w:rFonts w:ascii="Times New Roman" w:hAnsi="Times New Roman"/>
                <w:bCs/>
                <w:sz w:val="20"/>
                <w:szCs w:val="20"/>
              </w:rPr>
            </w:pPr>
            <w:r w:rsidRPr="00EE36BA">
              <w:rPr>
                <w:rFonts w:ascii="Times New Roman" w:hAnsi="Times New Roman"/>
                <w:bCs/>
                <w:sz w:val="20"/>
                <w:szCs w:val="20"/>
              </w:rPr>
              <w:t>9 607</w:t>
            </w:r>
          </w:p>
        </w:tc>
      </w:tr>
      <w:tr w:rsidR="00121C14" w:rsidRPr="00261E67" w14:paraId="7E363B5A" w14:textId="05CD8E1B" w:rsidTr="007C25A0">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12C9BBFA" w14:textId="77777777" w:rsidR="00121C14" w:rsidRPr="00847710" w:rsidRDefault="00121C14" w:rsidP="00121C14">
            <w:pPr>
              <w:spacing w:after="0" w:line="240" w:lineRule="auto"/>
              <w:rPr>
                <w:rFonts w:ascii="Times New Roman" w:eastAsia="Times New Roman" w:hAnsi="Times New Roman"/>
                <w:sz w:val="20"/>
                <w:szCs w:val="20"/>
                <w:lang w:eastAsia="lv-LV"/>
              </w:rPr>
            </w:pPr>
            <w:r w:rsidRPr="00C67F6F">
              <w:rPr>
                <w:rFonts w:ascii="Times New Roman" w:eastAsia="Times New Roman" w:hAnsi="Times New Roman"/>
                <w:sz w:val="20"/>
                <w:szCs w:val="20"/>
                <w:lang w:eastAsia="lv-LV"/>
              </w:rPr>
              <w:t>Hronisko pacientu aprūpe, ar ārstēšanās ilgumu 11 vai vairāk gultasdienas un pacientam ir blakusdiagnozes, kurām nepieciešama ārstēšana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D2B81" w14:textId="77777777" w:rsidR="00121C14" w:rsidRPr="00261E67" w:rsidRDefault="00121C14" w:rsidP="00121C14">
            <w:pPr>
              <w:spacing w:after="0" w:line="240" w:lineRule="auto"/>
              <w:jc w:val="center"/>
              <w:rPr>
                <w:rFonts w:ascii="Times New Roman" w:hAnsi="Times New Roman"/>
                <w:sz w:val="20"/>
                <w:szCs w:val="20"/>
              </w:rPr>
            </w:pPr>
            <w:r w:rsidRPr="00261E67">
              <w:rPr>
                <w:rFonts w:ascii="Times New Roman" w:hAnsi="Times New Roman"/>
                <w:sz w:val="20"/>
                <w:szCs w:val="20"/>
              </w:rPr>
              <w:t>505,45</w:t>
            </w:r>
          </w:p>
        </w:tc>
        <w:tc>
          <w:tcPr>
            <w:tcW w:w="850" w:type="dxa"/>
            <w:tcBorders>
              <w:top w:val="single" w:sz="4" w:space="0" w:color="auto"/>
              <w:left w:val="single" w:sz="4" w:space="0" w:color="auto"/>
              <w:bottom w:val="single" w:sz="4" w:space="0" w:color="auto"/>
              <w:right w:val="single" w:sz="4" w:space="0" w:color="auto"/>
            </w:tcBorders>
            <w:vAlign w:val="center"/>
          </w:tcPr>
          <w:p w14:paraId="34252195" w14:textId="6CB7BCFE" w:rsidR="00121C14"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7F18E38" w14:textId="12C3C742" w:rsidR="00121C14"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35DD2D3" w14:textId="0F276521" w:rsidR="00121C14"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07F4C06" w14:textId="15A50131" w:rsidR="00121C14"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C095214" w14:textId="5038CD83" w:rsidR="00121C14" w:rsidRDefault="00121C14" w:rsidP="00121C14">
            <w:pPr>
              <w:spacing w:after="0" w:line="240" w:lineRule="auto"/>
              <w:jc w:val="center"/>
              <w:rPr>
                <w:rFonts w:ascii="Times New Roman" w:hAnsi="Times New Roman"/>
                <w:sz w:val="20"/>
                <w:szCs w:val="20"/>
              </w:rPr>
            </w:pPr>
            <w:r w:rsidRPr="00E97A8F">
              <w:rPr>
                <w:rFonts w:ascii="Times New Roman" w:eastAsia="Times New Roman" w:hAnsi="Times New Roman" w:cs="Times New Roman"/>
                <w:color w:val="000000"/>
                <w:sz w:val="20"/>
                <w:szCs w:val="20"/>
                <w:lang w:eastAsia="lv-LV"/>
              </w:rPr>
              <w:t>893 636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CADB" w14:textId="5AEFC945" w:rsidR="00121C14" w:rsidRPr="00261E67" w:rsidRDefault="00121C14" w:rsidP="00121C14">
            <w:pPr>
              <w:spacing w:after="0" w:line="240" w:lineRule="auto"/>
              <w:jc w:val="center"/>
              <w:rPr>
                <w:rFonts w:ascii="Times New Roman" w:hAnsi="Times New Roman"/>
                <w:sz w:val="20"/>
                <w:szCs w:val="20"/>
              </w:rPr>
            </w:pPr>
            <w:r>
              <w:rPr>
                <w:rFonts w:ascii="Times New Roman" w:hAnsi="Times New Roman"/>
                <w:sz w:val="20"/>
                <w:szCs w:val="20"/>
              </w:rPr>
              <w:t>1 786 766</w:t>
            </w:r>
          </w:p>
        </w:tc>
        <w:tc>
          <w:tcPr>
            <w:tcW w:w="850" w:type="dxa"/>
            <w:tcBorders>
              <w:top w:val="single" w:sz="4" w:space="0" w:color="auto"/>
              <w:left w:val="single" w:sz="4" w:space="0" w:color="auto"/>
              <w:bottom w:val="single" w:sz="4" w:space="0" w:color="auto"/>
              <w:right w:val="single" w:sz="4" w:space="0" w:color="auto"/>
            </w:tcBorders>
            <w:vAlign w:val="center"/>
          </w:tcPr>
          <w:p w14:paraId="394FA121" w14:textId="65DF4732" w:rsidR="00121C14" w:rsidRPr="00EA2B59" w:rsidRDefault="00121C14" w:rsidP="00121C14">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063E116" w14:textId="131923B6" w:rsidR="00121C14" w:rsidRPr="00EA2B59" w:rsidRDefault="00121C14" w:rsidP="00121C14">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508FB" w14:textId="591A3F35" w:rsidR="00121C14" w:rsidRPr="00EA2B59" w:rsidRDefault="00121C14" w:rsidP="00121C14">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B01431F" w14:textId="18C2F20F" w:rsidR="00121C14" w:rsidRDefault="00121C14" w:rsidP="00121C14">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1AE6AFE" w14:textId="3336E357" w:rsidR="00121C14" w:rsidRDefault="00121C14" w:rsidP="00CB4538">
            <w:pPr>
              <w:spacing w:after="0" w:line="240" w:lineRule="auto"/>
              <w:jc w:val="center"/>
              <w:rPr>
                <w:rFonts w:ascii="Times New Roman" w:hAnsi="Times New Roman"/>
                <w:b/>
                <w:bCs/>
                <w:sz w:val="20"/>
                <w:szCs w:val="20"/>
              </w:rPr>
            </w:pPr>
            <w:r w:rsidRPr="00E97A8F">
              <w:rPr>
                <w:rFonts w:ascii="Times New Roman" w:eastAsia="Times New Roman" w:hAnsi="Times New Roman" w:cs="Times New Roman"/>
                <w:bCs/>
                <w:color w:val="000000"/>
                <w:sz w:val="20"/>
                <w:szCs w:val="20"/>
                <w:lang w:eastAsia="lv-LV"/>
              </w:rPr>
              <w:t>1</w:t>
            </w:r>
            <w:r>
              <w:rPr>
                <w:rFonts w:ascii="Times New Roman" w:eastAsia="Times New Roman" w:hAnsi="Times New Roman" w:cs="Times New Roman"/>
                <w:bCs/>
                <w:color w:val="000000"/>
                <w:sz w:val="20"/>
                <w:szCs w:val="20"/>
                <w:lang w:eastAsia="lv-LV"/>
              </w:rPr>
              <w:t> </w:t>
            </w:r>
            <w:r w:rsidRPr="00E97A8F">
              <w:rPr>
                <w:rFonts w:ascii="Times New Roman" w:eastAsia="Times New Roman" w:hAnsi="Times New Roman" w:cs="Times New Roman"/>
                <w:bCs/>
                <w:color w:val="000000"/>
                <w:sz w:val="20"/>
                <w:szCs w:val="20"/>
                <w:lang w:eastAsia="lv-LV"/>
              </w:rPr>
              <w:t>768</w:t>
            </w:r>
          </w:p>
        </w:tc>
        <w:tc>
          <w:tcPr>
            <w:tcW w:w="850" w:type="dxa"/>
            <w:tcBorders>
              <w:top w:val="single" w:sz="4" w:space="0" w:color="auto"/>
              <w:left w:val="single" w:sz="4" w:space="0" w:color="auto"/>
              <w:bottom w:val="single" w:sz="4" w:space="0" w:color="auto"/>
              <w:right w:val="single" w:sz="4" w:space="0" w:color="auto"/>
            </w:tcBorders>
            <w:vAlign w:val="center"/>
          </w:tcPr>
          <w:p w14:paraId="39D1676B" w14:textId="5C2BA5C1" w:rsidR="00121C14" w:rsidRPr="00EE36BA" w:rsidRDefault="00573BB1" w:rsidP="00121C14">
            <w:pPr>
              <w:spacing w:after="0" w:line="240" w:lineRule="auto"/>
              <w:jc w:val="center"/>
              <w:rPr>
                <w:rFonts w:ascii="Times New Roman" w:hAnsi="Times New Roman"/>
                <w:bCs/>
                <w:sz w:val="20"/>
                <w:szCs w:val="20"/>
              </w:rPr>
            </w:pPr>
            <w:r w:rsidRPr="00EE36BA">
              <w:rPr>
                <w:rFonts w:ascii="Times New Roman" w:hAnsi="Times New Roman"/>
                <w:bCs/>
                <w:sz w:val="20"/>
                <w:szCs w:val="20"/>
              </w:rPr>
              <w:t>3</w:t>
            </w:r>
            <w:r w:rsidR="00121C14" w:rsidRPr="00EE36BA">
              <w:rPr>
                <w:rFonts w:ascii="Times New Roman" w:hAnsi="Times New Roman"/>
                <w:bCs/>
                <w:sz w:val="20"/>
                <w:szCs w:val="20"/>
              </w:rPr>
              <w:t xml:space="preserve"> 535</w:t>
            </w:r>
          </w:p>
        </w:tc>
      </w:tr>
      <w:tr w:rsidR="00C4284B" w:rsidRPr="00261E67" w14:paraId="29BBCAB0" w14:textId="317943E5" w:rsidTr="007C25A0">
        <w:trPr>
          <w:trHeight w:val="393"/>
          <w:jc w:val="center"/>
        </w:trPr>
        <w:tc>
          <w:tcPr>
            <w:tcW w:w="2122" w:type="dxa"/>
            <w:shd w:val="clear" w:color="auto" w:fill="FBD4B4"/>
            <w:noWrap/>
            <w:vAlign w:val="center"/>
            <w:hideMark/>
          </w:tcPr>
          <w:p w14:paraId="018FF86A" w14:textId="77777777" w:rsidR="00121C14" w:rsidRPr="00847710" w:rsidRDefault="00121C14" w:rsidP="00121C14">
            <w:pPr>
              <w:spacing w:after="0" w:line="240" w:lineRule="auto"/>
              <w:jc w:val="center"/>
              <w:rPr>
                <w:rFonts w:ascii="Times New Roman" w:eastAsia="Times New Roman" w:hAnsi="Times New Roman"/>
                <w:sz w:val="20"/>
                <w:szCs w:val="20"/>
                <w:lang w:eastAsia="lv-LV"/>
              </w:rPr>
            </w:pPr>
            <w:r w:rsidRPr="00847710">
              <w:rPr>
                <w:rFonts w:ascii="Times New Roman" w:eastAsia="Times New Roman" w:hAnsi="Times New Roman"/>
                <w:sz w:val="20"/>
                <w:szCs w:val="20"/>
                <w:lang w:eastAsia="lv-LV"/>
              </w:rPr>
              <w:t>Kopā</w:t>
            </w:r>
          </w:p>
        </w:tc>
        <w:tc>
          <w:tcPr>
            <w:tcW w:w="1134" w:type="dxa"/>
            <w:shd w:val="clear" w:color="auto" w:fill="FBD4B4"/>
            <w:noWrap/>
            <w:vAlign w:val="center"/>
            <w:hideMark/>
          </w:tcPr>
          <w:p w14:paraId="0B39B2C8" w14:textId="77777777" w:rsidR="00121C14" w:rsidRPr="00847710" w:rsidRDefault="00121C14" w:rsidP="00121C14">
            <w:pPr>
              <w:spacing w:after="0" w:line="240" w:lineRule="auto"/>
              <w:jc w:val="center"/>
              <w:rPr>
                <w:rFonts w:ascii="Times New Roman" w:eastAsia="Times New Roman" w:hAnsi="Times New Roman"/>
                <w:sz w:val="20"/>
                <w:szCs w:val="20"/>
                <w:lang w:eastAsia="lv-LV"/>
              </w:rPr>
            </w:pPr>
          </w:p>
        </w:tc>
        <w:tc>
          <w:tcPr>
            <w:tcW w:w="850" w:type="dxa"/>
            <w:shd w:val="clear" w:color="auto" w:fill="FBD4B4"/>
            <w:vAlign w:val="center"/>
          </w:tcPr>
          <w:p w14:paraId="263CFF86" w14:textId="77777777" w:rsidR="00121C14" w:rsidRDefault="00121C14" w:rsidP="00121C14">
            <w:pPr>
              <w:spacing w:after="0" w:line="240" w:lineRule="auto"/>
              <w:jc w:val="center"/>
              <w:rPr>
                <w:rFonts w:ascii="Times New Roman" w:hAnsi="Times New Roman"/>
                <w:sz w:val="20"/>
                <w:szCs w:val="20"/>
              </w:rPr>
            </w:pPr>
          </w:p>
        </w:tc>
        <w:tc>
          <w:tcPr>
            <w:tcW w:w="851" w:type="dxa"/>
            <w:shd w:val="clear" w:color="auto" w:fill="FBD4B4"/>
            <w:vAlign w:val="center"/>
          </w:tcPr>
          <w:p w14:paraId="2936B205" w14:textId="77777777" w:rsidR="00121C14" w:rsidRDefault="00121C14" w:rsidP="00121C14">
            <w:pPr>
              <w:spacing w:after="0" w:line="240" w:lineRule="auto"/>
              <w:jc w:val="center"/>
              <w:rPr>
                <w:rFonts w:ascii="Times New Roman" w:hAnsi="Times New Roman"/>
                <w:sz w:val="20"/>
                <w:szCs w:val="20"/>
              </w:rPr>
            </w:pPr>
          </w:p>
        </w:tc>
        <w:tc>
          <w:tcPr>
            <w:tcW w:w="850" w:type="dxa"/>
            <w:shd w:val="clear" w:color="auto" w:fill="FBD4B4"/>
            <w:vAlign w:val="center"/>
          </w:tcPr>
          <w:p w14:paraId="58166C9D" w14:textId="28E9B7A3" w:rsidR="00121C14" w:rsidRDefault="00121C14" w:rsidP="00121C14">
            <w:pPr>
              <w:spacing w:after="0" w:line="240" w:lineRule="auto"/>
              <w:jc w:val="center"/>
              <w:rPr>
                <w:rFonts w:ascii="Times New Roman" w:hAnsi="Times New Roman"/>
                <w:sz w:val="20"/>
                <w:szCs w:val="20"/>
              </w:rPr>
            </w:pPr>
          </w:p>
        </w:tc>
        <w:tc>
          <w:tcPr>
            <w:tcW w:w="851" w:type="dxa"/>
            <w:shd w:val="clear" w:color="auto" w:fill="FBD4B4"/>
            <w:vAlign w:val="center"/>
          </w:tcPr>
          <w:p w14:paraId="5FAE9A0D" w14:textId="77777777" w:rsidR="00121C14" w:rsidRDefault="00121C14" w:rsidP="00121C14">
            <w:pPr>
              <w:spacing w:after="0" w:line="240" w:lineRule="auto"/>
              <w:rPr>
                <w:rFonts w:ascii="Times New Roman" w:hAnsi="Times New Roman"/>
                <w:sz w:val="20"/>
                <w:szCs w:val="20"/>
              </w:rPr>
            </w:pPr>
          </w:p>
        </w:tc>
        <w:tc>
          <w:tcPr>
            <w:tcW w:w="1134" w:type="dxa"/>
            <w:shd w:val="clear" w:color="auto" w:fill="FBD4B4"/>
            <w:vAlign w:val="center"/>
          </w:tcPr>
          <w:p w14:paraId="7D5FAEEA" w14:textId="27548F2D" w:rsidR="00121C14" w:rsidRPr="00EE36BA" w:rsidRDefault="00121C14" w:rsidP="00121C14">
            <w:pPr>
              <w:spacing w:after="0" w:line="240" w:lineRule="auto"/>
              <w:rPr>
                <w:rFonts w:ascii="Times New Roman" w:hAnsi="Times New Roman"/>
                <w:b/>
                <w:sz w:val="20"/>
                <w:szCs w:val="20"/>
              </w:rPr>
            </w:pPr>
            <w:r w:rsidRPr="00EE36BA">
              <w:rPr>
                <w:rFonts w:ascii="Times New Roman" w:eastAsia="Times New Roman" w:hAnsi="Times New Roman" w:cs="Times New Roman"/>
                <w:b/>
                <w:color w:val="000000"/>
                <w:sz w:val="20"/>
                <w:szCs w:val="20"/>
                <w:lang w:eastAsia="lv-LV"/>
              </w:rPr>
              <w:t>2 718 968</w:t>
            </w:r>
          </w:p>
        </w:tc>
        <w:tc>
          <w:tcPr>
            <w:tcW w:w="1134" w:type="dxa"/>
            <w:shd w:val="clear" w:color="auto" w:fill="FBD4B4"/>
            <w:noWrap/>
            <w:vAlign w:val="center"/>
            <w:hideMark/>
          </w:tcPr>
          <w:p w14:paraId="3F8C65F2" w14:textId="4C9EA653" w:rsidR="00121C14" w:rsidRPr="00EE36BA" w:rsidRDefault="00121C14" w:rsidP="00121C14">
            <w:pPr>
              <w:spacing w:after="0" w:line="240" w:lineRule="auto"/>
              <w:rPr>
                <w:rFonts w:ascii="Times New Roman" w:hAnsi="Times New Roman"/>
                <w:b/>
                <w:sz w:val="20"/>
                <w:szCs w:val="20"/>
              </w:rPr>
            </w:pPr>
            <w:r w:rsidRPr="00EE36BA">
              <w:rPr>
                <w:rFonts w:ascii="Times New Roman" w:hAnsi="Times New Roman"/>
                <w:b/>
                <w:sz w:val="20"/>
                <w:szCs w:val="20"/>
              </w:rPr>
              <w:t>5 437 810</w:t>
            </w:r>
          </w:p>
        </w:tc>
        <w:tc>
          <w:tcPr>
            <w:tcW w:w="850" w:type="dxa"/>
            <w:shd w:val="clear" w:color="auto" w:fill="FBD4B4"/>
            <w:vAlign w:val="center"/>
          </w:tcPr>
          <w:p w14:paraId="7D6F9B73" w14:textId="77777777" w:rsidR="00121C14" w:rsidRPr="00EE36BA" w:rsidRDefault="00121C14" w:rsidP="00121C14">
            <w:pPr>
              <w:spacing w:after="0" w:line="240" w:lineRule="auto"/>
              <w:rPr>
                <w:rFonts w:ascii="Times New Roman" w:hAnsi="Times New Roman"/>
                <w:b/>
                <w:bCs/>
                <w:sz w:val="20"/>
                <w:szCs w:val="20"/>
              </w:rPr>
            </w:pPr>
          </w:p>
        </w:tc>
        <w:tc>
          <w:tcPr>
            <w:tcW w:w="709" w:type="dxa"/>
            <w:shd w:val="clear" w:color="auto" w:fill="FBD4B4"/>
            <w:vAlign w:val="center"/>
          </w:tcPr>
          <w:p w14:paraId="37D2F5FA" w14:textId="77777777" w:rsidR="00121C14" w:rsidRPr="00EE36BA" w:rsidRDefault="00121C14" w:rsidP="00121C14">
            <w:pPr>
              <w:spacing w:after="0" w:line="240" w:lineRule="auto"/>
              <w:rPr>
                <w:rFonts w:ascii="Times New Roman" w:hAnsi="Times New Roman"/>
                <w:b/>
                <w:bCs/>
                <w:sz w:val="20"/>
                <w:szCs w:val="20"/>
              </w:rPr>
            </w:pPr>
          </w:p>
        </w:tc>
        <w:tc>
          <w:tcPr>
            <w:tcW w:w="850" w:type="dxa"/>
            <w:shd w:val="clear" w:color="auto" w:fill="FBD4B4"/>
            <w:noWrap/>
            <w:vAlign w:val="center"/>
          </w:tcPr>
          <w:p w14:paraId="082FB83E" w14:textId="31B74A3A" w:rsidR="00121C14" w:rsidRPr="00EE36BA" w:rsidRDefault="00121C14" w:rsidP="00121C14">
            <w:pPr>
              <w:spacing w:after="0" w:line="240" w:lineRule="auto"/>
              <w:rPr>
                <w:rFonts w:ascii="Times New Roman" w:hAnsi="Times New Roman"/>
                <w:b/>
                <w:bCs/>
                <w:sz w:val="20"/>
                <w:szCs w:val="20"/>
              </w:rPr>
            </w:pPr>
          </w:p>
        </w:tc>
        <w:tc>
          <w:tcPr>
            <w:tcW w:w="851" w:type="dxa"/>
            <w:shd w:val="clear" w:color="auto" w:fill="FBD4B4"/>
            <w:vAlign w:val="center"/>
          </w:tcPr>
          <w:p w14:paraId="691950D9" w14:textId="77777777" w:rsidR="00121C14" w:rsidRPr="00EE36BA" w:rsidRDefault="00121C14" w:rsidP="00121C14">
            <w:pPr>
              <w:spacing w:after="0" w:line="240" w:lineRule="auto"/>
              <w:rPr>
                <w:rFonts w:ascii="Times New Roman" w:hAnsi="Times New Roman"/>
                <w:b/>
                <w:bCs/>
                <w:sz w:val="20"/>
                <w:szCs w:val="20"/>
              </w:rPr>
            </w:pPr>
          </w:p>
        </w:tc>
        <w:tc>
          <w:tcPr>
            <w:tcW w:w="709" w:type="dxa"/>
            <w:shd w:val="clear" w:color="auto" w:fill="FBD4B4"/>
            <w:vAlign w:val="center"/>
          </w:tcPr>
          <w:p w14:paraId="523B42DC" w14:textId="0349AEC9" w:rsidR="00121C14" w:rsidRPr="00EE36BA" w:rsidRDefault="00121C14" w:rsidP="00E11AFF">
            <w:pPr>
              <w:spacing w:after="0" w:line="240" w:lineRule="auto"/>
              <w:jc w:val="center"/>
              <w:rPr>
                <w:rFonts w:ascii="Times New Roman" w:hAnsi="Times New Roman"/>
                <w:b/>
                <w:bCs/>
                <w:sz w:val="20"/>
                <w:szCs w:val="20"/>
              </w:rPr>
            </w:pPr>
            <w:r w:rsidRPr="00EE36BA">
              <w:rPr>
                <w:rFonts w:ascii="Times New Roman" w:eastAsia="Times New Roman" w:hAnsi="Times New Roman" w:cs="Times New Roman"/>
                <w:b/>
                <w:color w:val="000000"/>
                <w:sz w:val="20"/>
                <w:szCs w:val="20"/>
                <w:lang w:eastAsia="lv-LV"/>
              </w:rPr>
              <w:t>6 571</w:t>
            </w:r>
          </w:p>
        </w:tc>
        <w:tc>
          <w:tcPr>
            <w:tcW w:w="850" w:type="dxa"/>
            <w:shd w:val="clear" w:color="auto" w:fill="FBD4B4"/>
            <w:vAlign w:val="center"/>
          </w:tcPr>
          <w:p w14:paraId="142E81BC" w14:textId="3B4B48F9" w:rsidR="00121C14" w:rsidRPr="00EE36BA" w:rsidRDefault="00121C14" w:rsidP="00121C14">
            <w:pPr>
              <w:spacing w:after="0" w:line="240" w:lineRule="auto"/>
              <w:rPr>
                <w:rFonts w:ascii="Times New Roman" w:hAnsi="Times New Roman"/>
                <w:b/>
                <w:bCs/>
                <w:sz w:val="20"/>
                <w:szCs w:val="20"/>
              </w:rPr>
            </w:pPr>
            <w:r w:rsidRPr="00EE36BA">
              <w:rPr>
                <w:rFonts w:ascii="Times New Roman" w:hAnsi="Times New Roman"/>
                <w:b/>
                <w:bCs/>
                <w:sz w:val="20"/>
                <w:szCs w:val="20"/>
              </w:rPr>
              <w:t>15 142</w:t>
            </w:r>
          </w:p>
        </w:tc>
      </w:tr>
    </w:tbl>
    <w:p w14:paraId="3C10C1BD" w14:textId="77777777" w:rsidR="007327C0" w:rsidRDefault="007327C0" w:rsidP="007E7131">
      <w:pPr>
        <w:rPr>
          <w:rFonts w:ascii="Times New Roman" w:hAnsi="Times New Roman" w:cs="Times New Roman"/>
          <w:i/>
          <w:iCs/>
          <w:sz w:val="24"/>
          <w:szCs w:val="24"/>
        </w:rPr>
        <w:sectPr w:rsidR="007327C0" w:rsidSect="00AE736A">
          <w:pgSz w:w="15840" w:h="12240" w:orient="landscape"/>
          <w:pgMar w:top="1701" w:right="1440" w:bottom="1440" w:left="1440" w:header="709" w:footer="709" w:gutter="0"/>
          <w:cols w:space="708"/>
          <w:docGrid w:linePitch="360"/>
        </w:sectPr>
      </w:pPr>
    </w:p>
    <w:p w14:paraId="7785E02C" w14:textId="1019C9A0" w:rsidR="00F920F0" w:rsidRPr="00BA03E4" w:rsidRDefault="009E0D80" w:rsidP="00BA03E4">
      <w:pPr>
        <w:pStyle w:val="Heading2"/>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lastRenderedPageBreak/>
        <w:t>1.</w:t>
      </w:r>
      <w:r w:rsidR="00EE00E3">
        <w:rPr>
          <w:rFonts w:ascii="Times New Roman" w:hAnsi="Times New Roman" w:cs="Times New Roman"/>
          <w:b/>
          <w:bCs/>
          <w:color w:val="auto"/>
          <w:sz w:val="24"/>
          <w:szCs w:val="24"/>
          <w:u w:val="single"/>
        </w:rPr>
        <w:t>1</w:t>
      </w:r>
      <w:r w:rsidR="000004F4">
        <w:rPr>
          <w:rFonts w:ascii="Times New Roman" w:hAnsi="Times New Roman" w:cs="Times New Roman"/>
          <w:b/>
          <w:bCs/>
          <w:color w:val="auto"/>
          <w:sz w:val="24"/>
          <w:szCs w:val="24"/>
          <w:u w:val="single"/>
        </w:rPr>
        <w:t>0</w:t>
      </w:r>
      <w:r w:rsidR="00FD01DA">
        <w:rPr>
          <w:rFonts w:ascii="Times New Roman" w:hAnsi="Times New Roman" w:cs="Times New Roman"/>
          <w:b/>
          <w:bCs/>
          <w:color w:val="auto"/>
          <w:sz w:val="24"/>
          <w:szCs w:val="24"/>
          <w:u w:val="single"/>
        </w:rPr>
        <w:t xml:space="preserve">. </w:t>
      </w:r>
      <w:r w:rsidR="00F920F0">
        <w:rPr>
          <w:rFonts w:ascii="Times New Roman" w:hAnsi="Times New Roman" w:cs="Times New Roman"/>
          <w:b/>
          <w:bCs/>
          <w:color w:val="auto"/>
          <w:sz w:val="24"/>
          <w:szCs w:val="24"/>
          <w:u w:val="single"/>
        </w:rPr>
        <w:t>Jaunā reformas iniciatīva 2019.gadā - Laboratorisko pakalpojumu pieejamības uzlabošana</w:t>
      </w:r>
    </w:p>
    <w:p w14:paraId="4C960B37" w14:textId="5A96A43A" w:rsidR="00604416" w:rsidRDefault="00EB2E09" w:rsidP="001B1A2C">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Ministru kabineta </w:t>
      </w:r>
      <w:r w:rsidR="0098750D">
        <w:rPr>
          <w:rFonts w:ascii="Times New Roman" w:eastAsia="Times New Roman" w:hAnsi="Times New Roman" w:cs="Times New Roman"/>
          <w:iCs/>
          <w:sz w:val="24"/>
          <w:szCs w:val="24"/>
          <w:lang w:eastAsia="lv-LV"/>
        </w:rPr>
        <w:t>2018.gada 28.augusta noteikumu</w:t>
      </w:r>
      <w:r>
        <w:rPr>
          <w:rFonts w:ascii="Times New Roman" w:eastAsia="Times New Roman" w:hAnsi="Times New Roman" w:cs="Times New Roman"/>
          <w:iCs/>
          <w:sz w:val="24"/>
          <w:szCs w:val="24"/>
          <w:lang w:eastAsia="lv-LV"/>
        </w:rPr>
        <w:t xml:space="preserve"> Nr.555</w:t>
      </w:r>
      <w:r w:rsidR="0098750D">
        <w:rPr>
          <w:rFonts w:ascii="Times New Roman" w:eastAsia="Times New Roman" w:hAnsi="Times New Roman" w:cs="Times New Roman"/>
          <w:iCs/>
          <w:sz w:val="24"/>
          <w:szCs w:val="24"/>
          <w:lang w:eastAsia="lv-LV"/>
        </w:rPr>
        <w:t xml:space="preserve"> “Veselības aprūpes pakalpojumu organizēšanas un samaksas kārtība”</w:t>
      </w:r>
      <w:r w:rsidR="00DC08EA" w:rsidRPr="004A58A0">
        <w:rPr>
          <w:rFonts w:ascii="Times New Roman" w:eastAsia="Times New Roman" w:hAnsi="Times New Roman" w:cs="Times New Roman"/>
          <w:iCs/>
          <w:sz w:val="24"/>
          <w:szCs w:val="24"/>
          <w:lang w:eastAsia="lv-LV"/>
        </w:rPr>
        <w:t xml:space="preserve"> 198.punkta ievaddaļā noteikts regulējums par ģimenes ārsta vai ārstniecības iestādes iesnieguma iesniegšanu un </w:t>
      </w:r>
      <w:r w:rsidR="009C51D6">
        <w:rPr>
          <w:rFonts w:ascii="Times New Roman" w:eastAsia="Times New Roman" w:hAnsi="Times New Roman" w:cs="Times New Roman"/>
          <w:iCs/>
          <w:sz w:val="24"/>
          <w:szCs w:val="24"/>
          <w:lang w:eastAsia="lv-LV"/>
        </w:rPr>
        <w:t>NVD</w:t>
      </w:r>
      <w:r w:rsidR="00DC08EA" w:rsidRPr="004A58A0">
        <w:rPr>
          <w:rFonts w:ascii="Times New Roman" w:eastAsia="Times New Roman" w:hAnsi="Times New Roman" w:cs="Times New Roman"/>
          <w:iCs/>
          <w:sz w:val="24"/>
          <w:szCs w:val="24"/>
          <w:lang w:eastAsia="lv-LV"/>
        </w:rPr>
        <w:t xml:space="preserve"> tiesībām palielināt ambulatoro laboratorisko pakalpojumu apmaksai paredzēto līdzekļu apmēru</w:t>
      </w:r>
      <w:r w:rsidR="006B0B50">
        <w:rPr>
          <w:rFonts w:ascii="Times New Roman" w:eastAsia="Times New Roman" w:hAnsi="Times New Roman" w:cs="Times New Roman"/>
          <w:iCs/>
          <w:sz w:val="24"/>
          <w:szCs w:val="24"/>
          <w:lang w:eastAsia="lv-LV"/>
        </w:rPr>
        <w:t>.</w:t>
      </w:r>
      <w:r w:rsidR="00DC08EA" w:rsidRPr="004A58A0">
        <w:rPr>
          <w:rFonts w:ascii="Times New Roman" w:eastAsia="Times New Roman" w:hAnsi="Times New Roman" w:cs="Times New Roman"/>
          <w:iCs/>
          <w:sz w:val="24"/>
          <w:szCs w:val="24"/>
          <w:lang w:eastAsia="lv-LV"/>
        </w:rPr>
        <w:t xml:space="preserve"> </w:t>
      </w:r>
    </w:p>
    <w:p w14:paraId="64FF3D9C" w14:textId="02AA2BBA" w:rsidR="00645440" w:rsidRDefault="00D930C7" w:rsidP="001B1A2C">
      <w:pPr>
        <w:spacing w:after="12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645440" w:rsidRPr="00645440">
        <w:rPr>
          <w:rFonts w:ascii="Times New Roman" w:eastAsia="Times New Roman" w:hAnsi="Times New Roman" w:cs="Times New Roman"/>
          <w:iCs/>
          <w:sz w:val="24"/>
          <w:szCs w:val="24"/>
          <w:lang w:eastAsia="lv-LV"/>
        </w:rPr>
        <w:t>lānojot 2019.gadā papildus 541 836 speciālistu konsultācijas, ir nepieciešams arī papildus laboratorijas apjoma palielinājums, jo šobrīd 2019.gadam plānotais kopējais laboratorijas pakalpojumu finansējums un izmeklējumi nav pietiekami, lai nodrošinātu nepieciešamos laboratoriskos izmeklējumus diagnozes precizēšanai un ārstēšanas dinamikas kontrolei pēc papildus speciālistu konsultāciju saņemšanas. Pēc speciālistu novērtējuma, uz vienu papildus speciālista konsultāciju, 2019.gadam ir nepieciešami papildus 1,</w:t>
      </w:r>
      <w:r w:rsidR="00926218">
        <w:rPr>
          <w:rFonts w:ascii="Times New Roman" w:eastAsia="Times New Roman" w:hAnsi="Times New Roman" w:cs="Times New Roman"/>
          <w:iCs/>
          <w:sz w:val="24"/>
          <w:szCs w:val="24"/>
          <w:lang w:eastAsia="lv-LV"/>
        </w:rPr>
        <w:t>3</w:t>
      </w:r>
      <w:r w:rsidR="00645440" w:rsidRPr="00645440">
        <w:rPr>
          <w:rFonts w:ascii="Times New Roman" w:eastAsia="Times New Roman" w:hAnsi="Times New Roman" w:cs="Times New Roman"/>
          <w:iCs/>
          <w:sz w:val="24"/>
          <w:szCs w:val="24"/>
          <w:lang w:eastAsia="lv-LV"/>
        </w:rPr>
        <w:t xml:space="preserve">9 laboratoriskie izmeklējumi.  Līdz ar to ar 2019.gadam prognozētajām viena laboratoriskā izmeklējuma vidējām izmaksām 3,03 </w:t>
      </w:r>
      <w:r w:rsidR="00645440" w:rsidRPr="004853F3">
        <w:rPr>
          <w:rFonts w:ascii="Times New Roman" w:eastAsia="Times New Roman" w:hAnsi="Times New Roman" w:cs="Times New Roman"/>
          <w:i/>
          <w:iCs/>
          <w:sz w:val="24"/>
          <w:szCs w:val="24"/>
          <w:lang w:eastAsia="lv-LV"/>
        </w:rPr>
        <w:t>euro</w:t>
      </w:r>
      <w:r w:rsidR="005E1130">
        <w:rPr>
          <w:rFonts w:ascii="Times New Roman" w:eastAsia="Times New Roman" w:hAnsi="Times New Roman" w:cs="Times New Roman"/>
          <w:iCs/>
          <w:sz w:val="24"/>
          <w:szCs w:val="24"/>
          <w:lang w:eastAsia="lv-LV"/>
        </w:rPr>
        <w:t xml:space="preserve">, papildus būtu nepieciešami </w:t>
      </w:r>
      <w:r w:rsidR="00926218">
        <w:rPr>
          <w:rFonts w:ascii="Times New Roman" w:eastAsia="Times New Roman" w:hAnsi="Times New Roman" w:cs="Times New Roman"/>
          <w:iCs/>
          <w:sz w:val="24"/>
          <w:szCs w:val="24"/>
          <w:lang w:eastAsia="lv-LV"/>
        </w:rPr>
        <w:t>2 282 051</w:t>
      </w:r>
      <w:r w:rsidR="00645440" w:rsidRPr="00645440">
        <w:rPr>
          <w:rFonts w:ascii="Times New Roman" w:eastAsia="Times New Roman" w:hAnsi="Times New Roman" w:cs="Times New Roman"/>
          <w:iCs/>
          <w:sz w:val="24"/>
          <w:szCs w:val="24"/>
          <w:lang w:eastAsia="lv-LV"/>
        </w:rPr>
        <w:t xml:space="preserve"> </w:t>
      </w:r>
      <w:r w:rsidR="00645440" w:rsidRPr="0041167E">
        <w:rPr>
          <w:rFonts w:ascii="Times New Roman" w:eastAsia="Times New Roman" w:hAnsi="Times New Roman" w:cs="Times New Roman"/>
          <w:i/>
          <w:iCs/>
          <w:sz w:val="24"/>
          <w:szCs w:val="24"/>
          <w:lang w:eastAsia="lv-LV"/>
        </w:rPr>
        <w:t>euro</w:t>
      </w:r>
      <w:r w:rsidR="000C1361">
        <w:rPr>
          <w:rFonts w:ascii="Times New Roman" w:eastAsia="Times New Roman" w:hAnsi="Times New Roman" w:cs="Times New Roman"/>
          <w:i/>
          <w:iCs/>
          <w:sz w:val="24"/>
          <w:szCs w:val="24"/>
          <w:lang w:eastAsia="lv-LV"/>
        </w:rPr>
        <w:t xml:space="preserve"> </w:t>
      </w:r>
      <w:r w:rsidR="004F434F">
        <w:rPr>
          <w:rFonts w:ascii="Times New Roman" w:eastAsia="Times New Roman" w:hAnsi="Times New Roman" w:cs="Times New Roman"/>
          <w:iCs/>
          <w:sz w:val="24"/>
          <w:szCs w:val="24"/>
          <w:lang w:eastAsia="lv-LV"/>
        </w:rPr>
        <w:t>(2</w:t>
      </w:r>
      <w:r w:rsidR="00520359">
        <w:rPr>
          <w:rFonts w:ascii="Times New Roman" w:eastAsia="Times New Roman" w:hAnsi="Times New Roman" w:cs="Times New Roman"/>
          <w:iCs/>
          <w:sz w:val="24"/>
          <w:szCs w:val="24"/>
          <w:lang w:eastAsia="lv-LV"/>
        </w:rPr>
        <w:t>9</w:t>
      </w:r>
      <w:r w:rsidR="000C1361" w:rsidRPr="00EA2B59">
        <w:rPr>
          <w:rFonts w:ascii="Times New Roman" w:eastAsia="Times New Roman" w:hAnsi="Times New Roman" w:cs="Times New Roman"/>
          <w:iCs/>
          <w:sz w:val="24"/>
          <w:szCs w:val="24"/>
          <w:lang w:eastAsia="lv-LV"/>
        </w:rPr>
        <w:t>.</w:t>
      </w:r>
      <w:r w:rsidR="0021332E">
        <w:rPr>
          <w:rFonts w:ascii="Times New Roman" w:eastAsia="Times New Roman" w:hAnsi="Times New Roman" w:cs="Times New Roman"/>
          <w:iCs/>
          <w:sz w:val="24"/>
          <w:szCs w:val="24"/>
          <w:lang w:eastAsia="lv-LV"/>
        </w:rPr>
        <w:t xml:space="preserve"> un 30.</w:t>
      </w:r>
      <w:r w:rsidR="000C1361" w:rsidRPr="00EA2B59">
        <w:rPr>
          <w:rFonts w:ascii="Times New Roman" w:eastAsia="Times New Roman" w:hAnsi="Times New Roman" w:cs="Times New Roman"/>
          <w:iCs/>
          <w:sz w:val="24"/>
          <w:szCs w:val="24"/>
          <w:lang w:eastAsia="lv-LV"/>
        </w:rPr>
        <w:t>tabula)</w:t>
      </w:r>
      <w:r w:rsidR="00645440" w:rsidRPr="000C1361">
        <w:rPr>
          <w:rFonts w:ascii="Times New Roman" w:eastAsia="Times New Roman" w:hAnsi="Times New Roman" w:cs="Times New Roman"/>
          <w:iCs/>
          <w:sz w:val="24"/>
          <w:szCs w:val="24"/>
          <w:lang w:eastAsia="lv-LV"/>
        </w:rPr>
        <w:t>.</w:t>
      </w:r>
      <w:r w:rsidR="00645440" w:rsidRPr="00645440">
        <w:rPr>
          <w:rFonts w:ascii="Times New Roman" w:eastAsia="Times New Roman" w:hAnsi="Times New Roman" w:cs="Times New Roman"/>
          <w:iCs/>
          <w:sz w:val="24"/>
          <w:szCs w:val="24"/>
          <w:lang w:eastAsia="lv-LV"/>
        </w:rPr>
        <w:t xml:space="preserve"> 541</w:t>
      </w:r>
      <w:r w:rsidR="005A2A75">
        <w:rPr>
          <w:rFonts w:ascii="Times New Roman" w:eastAsia="Times New Roman" w:hAnsi="Times New Roman" w:cs="Times New Roman"/>
          <w:iCs/>
          <w:sz w:val="24"/>
          <w:szCs w:val="24"/>
          <w:lang w:eastAsia="lv-LV"/>
        </w:rPr>
        <w:t> </w:t>
      </w:r>
      <w:r w:rsidR="00645440" w:rsidRPr="00645440">
        <w:rPr>
          <w:rFonts w:ascii="Times New Roman" w:eastAsia="Times New Roman" w:hAnsi="Times New Roman" w:cs="Times New Roman"/>
          <w:iCs/>
          <w:sz w:val="24"/>
          <w:szCs w:val="24"/>
          <w:lang w:eastAsia="lv-LV"/>
        </w:rPr>
        <w:t>836 * 1.</w:t>
      </w:r>
      <w:r w:rsidR="00926218">
        <w:rPr>
          <w:rFonts w:ascii="Times New Roman" w:eastAsia="Times New Roman" w:hAnsi="Times New Roman" w:cs="Times New Roman"/>
          <w:iCs/>
          <w:sz w:val="24"/>
          <w:szCs w:val="24"/>
          <w:lang w:eastAsia="lv-LV"/>
        </w:rPr>
        <w:t>3</w:t>
      </w:r>
      <w:r w:rsidR="00645440" w:rsidRPr="00645440">
        <w:rPr>
          <w:rFonts w:ascii="Times New Roman" w:eastAsia="Times New Roman" w:hAnsi="Times New Roman" w:cs="Times New Roman"/>
          <w:iCs/>
          <w:sz w:val="24"/>
          <w:szCs w:val="24"/>
          <w:lang w:eastAsia="lv-LV"/>
        </w:rPr>
        <w:t>9</w:t>
      </w:r>
      <w:r w:rsidR="00AF3598">
        <w:rPr>
          <w:rFonts w:ascii="Times New Roman" w:eastAsia="Times New Roman" w:hAnsi="Times New Roman" w:cs="Times New Roman"/>
          <w:iCs/>
          <w:sz w:val="24"/>
          <w:szCs w:val="24"/>
          <w:lang w:eastAsia="lv-LV"/>
        </w:rPr>
        <w:t xml:space="preserve"> </w:t>
      </w:r>
      <w:r w:rsidR="00645440" w:rsidRPr="00645440">
        <w:rPr>
          <w:rFonts w:ascii="Times New Roman" w:eastAsia="Times New Roman" w:hAnsi="Times New Roman" w:cs="Times New Roman"/>
          <w:iCs/>
          <w:sz w:val="24"/>
          <w:szCs w:val="24"/>
          <w:lang w:eastAsia="lv-LV"/>
        </w:rPr>
        <w:t>=</w:t>
      </w:r>
      <w:r w:rsidR="00AF3598">
        <w:rPr>
          <w:rFonts w:ascii="Times New Roman" w:eastAsia="Times New Roman" w:hAnsi="Times New Roman" w:cs="Times New Roman"/>
          <w:iCs/>
          <w:sz w:val="24"/>
          <w:szCs w:val="24"/>
          <w:lang w:eastAsia="lv-LV"/>
        </w:rPr>
        <w:t xml:space="preserve"> </w:t>
      </w:r>
      <w:r w:rsidR="00926218">
        <w:rPr>
          <w:rFonts w:ascii="Times New Roman" w:eastAsia="Times New Roman" w:hAnsi="Times New Roman" w:cs="Times New Roman"/>
          <w:iCs/>
          <w:sz w:val="24"/>
          <w:szCs w:val="24"/>
          <w:lang w:eastAsia="lv-LV"/>
        </w:rPr>
        <w:t>753 152</w:t>
      </w:r>
      <w:r w:rsidR="00645440" w:rsidRPr="00645440">
        <w:rPr>
          <w:rFonts w:ascii="Times New Roman" w:eastAsia="Times New Roman" w:hAnsi="Times New Roman" w:cs="Times New Roman"/>
          <w:iCs/>
          <w:sz w:val="24"/>
          <w:szCs w:val="24"/>
          <w:lang w:eastAsia="lv-LV"/>
        </w:rPr>
        <w:t xml:space="preserve"> izmeklējumi.</w:t>
      </w:r>
    </w:p>
    <w:p w14:paraId="461FE5E2" w14:textId="77777777" w:rsidR="004F434F" w:rsidRDefault="004F434F" w:rsidP="00EE00E3">
      <w:pPr>
        <w:spacing w:after="0" w:line="240" w:lineRule="auto"/>
        <w:rPr>
          <w:rFonts w:ascii="Times New Roman" w:eastAsia="Times New Roman" w:hAnsi="Times New Roman" w:cs="Times New Roman"/>
          <w:i/>
          <w:iCs/>
          <w:sz w:val="24"/>
          <w:szCs w:val="24"/>
          <w:lang w:eastAsia="lv-LV"/>
        </w:rPr>
      </w:pPr>
    </w:p>
    <w:p w14:paraId="5F91E12E" w14:textId="77777777" w:rsidR="004F434F" w:rsidRDefault="004F434F" w:rsidP="004F434F">
      <w:pPr>
        <w:spacing w:after="0" w:line="240" w:lineRule="auto"/>
        <w:ind w:firstLine="720"/>
        <w:jc w:val="right"/>
        <w:rPr>
          <w:rFonts w:ascii="Times New Roman" w:eastAsia="Times New Roman" w:hAnsi="Times New Roman" w:cs="Times New Roman"/>
          <w:i/>
          <w:iCs/>
          <w:sz w:val="24"/>
          <w:szCs w:val="24"/>
          <w:lang w:eastAsia="lv-LV"/>
        </w:rPr>
      </w:pPr>
    </w:p>
    <w:p w14:paraId="6DBE11CF" w14:textId="77777777" w:rsidR="00FD7B70" w:rsidRDefault="00FD7B70" w:rsidP="704995BB">
      <w:pPr>
        <w:spacing w:after="0" w:line="240" w:lineRule="auto"/>
        <w:ind w:firstLine="720"/>
        <w:jc w:val="right"/>
        <w:rPr>
          <w:rFonts w:ascii="Times New Roman" w:eastAsia="Times New Roman" w:hAnsi="Times New Roman" w:cs="Times New Roman"/>
          <w:i/>
          <w:iCs/>
          <w:sz w:val="24"/>
          <w:szCs w:val="24"/>
          <w:lang w:eastAsia="lv-LV"/>
        </w:rPr>
        <w:sectPr w:rsidR="00FD7B70" w:rsidSect="00AE736A">
          <w:pgSz w:w="12240" w:h="15840"/>
          <w:pgMar w:top="1440" w:right="1440" w:bottom="1440" w:left="1701" w:header="708" w:footer="708" w:gutter="0"/>
          <w:cols w:space="708"/>
          <w:docGrid w:linePitch="360"/>
        </w:sectPr>
      </w:pPr>
    </w:p>
    <w:p w14:paraId="387D361E" w14:textId="48B548FE" w:rsidR="004F434F" w:rsidRDefault="004F434F" w:rsidP="704995BB">
      <w:pPr>
        <w:spacing w:after="0" w:line="240" w:lineRule="auto"/>
        <w:ind w:firstLine="720"/>
        <w:jc w:val="right"/>
        <w:rPr>
          <w:rFonts w:ascii="Times New Roman" w:eastAsia="Times New Roman" w:hAnsi="Times New Roman" w:cs="Times New Roman"/>
          <w:i/>
          <w:iCs/>
          <w:sz w:val="24"/>
          <w:szCs w:val="24"/>
          <w:lang w:eastAsia="lv-LV"/>
        </w:rPr>
      </w:pPr>
      <w:r w:rsidRPr="704995BB">
        <w:rPr>
          <w:rFonts w:ascii="Times New Roman" w:eastAsia="Times New Roman" w:hAnsi="Times New Roman" w:cs="Times New Roman"/>
          <w:i/>
          <w:iCs/>
          <w:sz w:val="24"/>
          <w:szCs w:val="24"/>
          <w:lang w:eastAsia="lv-LV"/>
        </w:rPr>
        <w:lastRenderedPageBreak/>
        <w:t>2</w:t>
      </w:r>
      <w:r w:rsidR="00520359">
        <w:rPr>
          <w:rFonts w:ascii="Times New Roman" w:eastAsia="Times New Roman" w:hAnsi="Times New Roman" w:cs="Times New Roman"/>
          <w:i/>
          <w:iCs/>
          <w:sz w:val="24"/>
          <w:szCs w:val="24"/>
          <w:lang w:eastAsia="lv-LV"/>
        </w:rPr>
        <w:t>9</w:t>
      </w:r>
      <w:r w:rsidRPr="704995BB">
        <w:rPr>
          <w:rFonts w:ascii="Times New Roman" w:eastAsia="Times New Roman" w:hAnsi="Times New Roman" w:cs="Times New Roman"/>
          <w:i/>
          <w:iCs/>
          <w:sz w:val="24"/>
          <w:szCs w:val="24"/>
          <w:lang w:eastAsia="lv-LV"/>
        </w:rPr>
        <w:t>.tabula</w:t>
      </w:r>
    </w:p>
    <w:p w14:paraId="17E5A029" w14:textId="6DB16D8D" w:rsidR="00520359" w:rsidRDefault="00520359" w:rsidP="00520359">
      <w:pPr>
        <w:spacing w:after="0" w:line="24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Laboratorisko pakalpojumu pieejamības uzlabošanai nepieciešamais finansējums 2017., 2018. un 2019.gadam</w:t>
      </w:r>
    </w:p>
    <w:p w14:paraId="4AC4A49F" w14:textId="74EC3EE7" w:rsidR="00AC454A" w:rsidRDefault="00AC454A" w:rsidP="00520359">
      <w:pPr>
        <w:spacing w:after="0" w:line="240" w:lineRule="auto"/>
        <w:ind w:firstLine="720"/>
        <w:jc w:val="center"/>
        <w:rPr>
          <w:rFonts w:ascii="Times New Roman" w:hAnsi="Times New Roman" w:cs="Times New Roman"/>
          <w:b/>
          <w:bCs/>
          <w:sz w:val="24"/>
          <w:szCs w:val="24"/>
          <w:u w:val="single"/>
        </w:rPr>
      </w:pP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001"/>
        <w:gridCol w:w="1134"/>
        <w:gridCol w:w="1134"/>
        <w:gridCol w:w="1134"/>
        <w:gridCol w:w="851"/>
        <w:gridCol w:w="992"/>
        <w:gridCol w:w="1134"/>
        <w:gridCol w:w="992"/>
        <w:gridCol w:w="997"/>
        <w:gridCol w:w="988"/>
        <w:gridCol w:w="708"/>
        <w:gridCol w:w="700"/>
        <w:gridCol w:w="992"/>
      </w:tblGrid>
      <w:tr w:rsidR="00E11AFF" w:rsidRPr="00261E67" w14:paraId="3943D4A4" w14:textId="77777777" w:rsidTr="007C25A0">
        <w:trPr>
          <w:cantSplit/>
          <w:trHeight w:val="1656"/>
          <w:jc w:val="center"/>
        </w:trPr>
        <w:tc>
          <w:tcPr>
            <w:tcW w:w="1423" w:type="dxa"/>
            <w:shd w:val="clear" w:color="auto" w:fill="E36C0A"/>
            <w:vAlign w:val="center"/>
            <w:hideMark/>
          </w:tcPr>
          <w:p w14:paraId="01C1DCE1" w14:textId="77777777" w:rsidR="00AC454A" w:rsidRPr="00847710" w:rsidRDefault="00AC454A" w:rsidP="005C58C0">
            <w:pPr>
              <w:spacing w:after="0" w:line="240" w:lineRule="auto"/>
              <w:rPr>
                <w:rFonts w:ascii="Times New Roman" w:eastAsia="Times New Roman" w:hAnsi="Times New Roman"/>
                <w:b/>
                <w:sz w:val="20"/>
                <w:szCs w:val="20"/>
                <w:lang w:eastAsia="lv-LV"/>
              </w:rPr>
            </w:pPr>
          </w:p>
        </w:tc>
        <w:tc>
          <w:tcPr>
            <w:tcW w:w="1001" w:type="dxa"/>
            <w:shd w:val="clear" w:color="auto" w:fill="E36C0A"/>
            <w:textDirection w:val="btLr"/>
            <w:vAlign w:val="center"/>
            <w:hideMark/>
          </w:tcPr>
          <w:p w14:paraId="05434C0E" w14:textId="77777777" w:rsidR="00AC454A" w:rsidRPr="00847710" w:rsidRDefault="00AC454A" w:rsidP="005C58C0">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Vienas ārstēšanas vidējās</w:t>
            </w:r>
          </w:p>
          <w:p w14:paraId="01C95DEE" w14:textId="77777777" w:rsidR="00AC454A" w:rsidRPr="00847710" w:rsidRDefault="00AC454A" w:rsidP="005C58C0">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izmaksas</w:t>
            </w:r>
          </w:p>
          <w:p w14:paraId="25251758" w14:textId="77777777" w:rsidR="00AC454A" w:rsidRPr="00847710" w:rsidRDefault="00AC454A" w:rsidP="005C58C0">
            <w:pPr>
              <w:spacing w:after="0" w:line="240" w:lineRule="auto"/>
              <w:ind w:left="113" w:right="113"/>
              <w:jc w:val="center"/>
              <w:rPr>
                <w:rFonts w:ascii="Times New Roman" w:eastAsia="Times New Roman" w:hAnsi="Times New Roman"/>
                <w:b/>
                <w:bCs/>
                <w:sz w:val="20"/>
                <w:szCs w:val="20"/>
                <w:lang w:eastAsia="lv-LV"/>
              </w:rPr>
            </w:pPr>
          </w:p>
        </w:tc>
        <w:tc>
          <w:tcPr>
            <w:tcW w:w="3402" w:type="dxa"/>
            <w:gridSpan w:val="3"/>
            <w:shd w:val="clear" w:color="auto" w:fill="E36C0A"/>
            <w:textDirection w:val="btLr"/>
            <w:vAlign w:val="center"/>
          </w:tcPr>
          <w:p w14:paraId="1AFD55C8" w14:textId="77777777" w:rsidR="00AC454A" w:rsidRPr="00847710" w:rsidRDefault="00AC454A" w:rsidP="005C58C0">
            <w:pPr>
              <w:spacing w:after="0" w:line="240" w:lineRule="auto"/>
              <w:ind w:left="113" w:right="113"/>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Plānotais finansējums</w:t>
            </w:r>
          </w:p>
        </w:tc>
        <w:tc>
          <w:tcPr>
            <w:tcW w:w="2977" w:type="dxa"/>
            <w:gridSpan w:val="3"/>
            <w:shd w:val="clear" w:color="auto" w:fill="E36C0A"/>
            <w:textDirection w:val="btLr"/>
            <w:vAlign w:val="center"/>
          </w:tcPr>
          <w:p w14:paraId="03D08FD5" w14:textId="77777777" w:rsidR="00AC454A" w:rsidRPr="00847710" w:rsidRDefault="00AC454A" w:rsidP="005C58C0">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 xml:space="preserve">Papildus finansējums </w:t>
            </w:r>
          </w:p>
        </w:tc>
        <w:tc>
          <w:tcPr>
            <w:tcW w:w="2977" w:type="dxa"/>
            <w:gridSpan w:val="3"/>
            <w:shd w:val="clear" w:color="auto" w:fill="E36C0A"/>
            <w:textDirection w:val="btLr"/>
            <w:vAlign w:val="center"/>
          </w:tcPr>
          <w:p w14:paraId="732A9E5D" w14:textId="77777777" w:rsidR="00AC454A" w:rsidRPr="00847710" w:rsidRDefault="00AC454A" w:rsidP="005C58C0">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 xml:space="preserve">Plānotais pakalpojumu skaits </w:t>
            </w:r>
          </w:p>
        </w:tc>
        <w:tc>
          <w:tcPr>
            <w:tcW w:w="2400" w:type="dxa"/>
            <w:gridSpan w:val="3"/>
            <w:shd w:val="clear" w:color="auto" w:fill="E36C0A"/>
            <w:textDirection w:val="btLr"/>
            <w:vAlign w:val="center"/>
          </w:tcPr>
          <w:p w14:paraId="450A5AA2" w14:textId="77777777" w:rsidR="00AC454A" w:rsidRPr="00847710" w:rsidRDefault="00AC454A" w:rsidP="005C58C0">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Plānotais pakalpojumu skaits pēc finansējuma piešķīruma</w:t>
            </w:r>
          </w:p>
        </w:tc>
      </w:tr>
      <w:tr w:rsidR="004615AC" w:rsidRPr="00261E67" w14:paraId="18A4DB21" w14:textId="77777777" w:rsidTr="007C25A0">
        <w:trPr>
          <w:trHeight w:val="640"/>
          <w:jc w:val="center"/>
        </w:trPr>
        <w:tc>
          <w:tcPr>
            <w:tcW w:w="1423" w:type="dxa"/>
            <w:shd w:val="clear" w:color="auto" w:fill="FABF8F"/>
            <w:vAlign w:val="center"/>
          </w:tcPr>
          <w:p w14:paraId="7A415E9B" w14:textId="77777777" w:rsidR="00AC454A" w:rsidRPr="00847710" w:rsidRDefault="00AC454A" w:rsidP="005C58C0">
            <w:pPr>
              <w:spacing w:after="0" w:line="240" w:lineRule="auto"/>
              <w:jc w:val="center"/>
              <w:rPr>
                <w:rFonts w:ascii="Times New Roman" w:eastAsia="Times New Roman" w:hAnsi="Times New Roman"/>
                <w:b/>
                <w:sz w:val="20"/>
                <w:szCs w:val="20"/>
                <w:lang w:eastAsia="lv-LV"/>
              </w:rPr>
            </w:pPr>
          </w:p>
        </w:tc>
        <w:tc>
          <w:tcPr>
            <w:tcW w:w="1001" w:type="dxa"/>
            <w:shd w:val="clear" w:color="auto" w:fill="FABF8F"/>
            <w:vAlign w:val="center"/>
          </w:tcPr>
          <w:p w14:paraId="38D76801" w14:textId="263D8EA8" w:rsidR="00AC454A" w:rsidRPr="00847710" w:rsidRDefault="00AC454A" w:rsidP="005C58C0">
            <w:pPr>
              <w:spacing w:after="0" w:line="240" w:lineRule="auto"/>
              <w:jc w:val="center"/>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2019</w:t>
            </w:r>
          </w:p>
          <w:p w14:paraId="3ABDC668" w14:textId="77777777" w:rsidR="00AC454A" w:rsidRPr="00847710" w:rsidRDefault="00AC454A" w:rsidP="005C58C0">
            <w:pPr>
              <w:spacing w:after="0" w:line="240" w:lineRule="auto"/>
              <w:jc w:val="center"/>
              <w:rPr>
                <w:rFonts w:ascii="Times New Roman" w:eastAsia="Times New Roman" w:hAnsi="Times New Roman"/>
                <w:b/>
                <w:bCs/>
                <w:sz w:val="20"/>
                <w:szCs w:val="20"/>
                <w:lang w:eastAsia="lv-LV"/>
              </w:rPr>
            </w:pPr>
            <w:r w:rsidRPr="57326167">
              <w:rPr>
                <w:rFonts w:ascii="Times New Roman" w:eastAsia="Times New Roman" w:hAnsi="Times New Roman"/>
                <w:i/>
                <w:iCs/>
                <w:sz w:val="20"/>
                <w:szCs w:val="20"/>
                <w:lang w:eastAsia="lv-LV"/>
              </w:rPr>
              <w:t>(euro)</w:t>
            </w:r>
          </w:p>
        </w:tc>
        <w:tc>
          <w:tcPr>
            <w:tcW w:w="1134" w:type="dxa"/>
            <w:shd w:val="clear" w:color="auto" w:fill="FABF8F"/>
            <w:vAlign w:val="center"/>
          </w:tcPr>
          <w:p w14:paraId="1D7147AB" w14:textId="77777777" w:rsidR="00AC454A" w:rsidRDefault="00AC454A" w:rsidP="005C58C0">
            <w:pPr>
              <w:spacing w:after="0" w:line="240" w:lineRule="auto"/>
              <w:jc w:val="center"/>
              <w:rPr>
                <w:rFonts w:ascii="Times New Roman" w:eastAsia="Times New Roman" w:hAnsi="Times New Roman"/>
                <w:bCs/>
                <w:i/>
                <w:iCs/>
                <w:sz w:val="20"/>
                <w:szCs w:val="20"/>
                <w:lang w:eastAsia="lv-LV"/>
              </w:rPr>
            </w:pPr>
            <w:r>
              <w:rPr>
                <w:rFonts w:ascii="Times New Roman" w:eastAsia="Times New Roman" w:hAnsi="Times New Roman"/>
                <w:bCs/>
                <w:i/>
                <w:iCs/>
                <w:sz w:val="20"/>
                <w:szCs w:val="20"/>
                <w:lang w:eastAsia="lv-LV"/>
              </w:rPr>
              <w:t xml:space="preserve">2017 </w:t>
            </w:r>
            <w:r w:rsidRPr="57326167">
              <w:rPr>
                <w:rFonts w:ascii="Times New Roman" w:eastAsia="Times New Roman" w:hAnsi="Times New Roman"/>
                <w:i/>
                <w:iCs/>
                <w:sz w:val="20"/>
                <w:szCs w:val="20"/>
                <w:lang w:eastAsia="lv-LV"/>
              </w:rPr>
              <w:t>(euro)</w:t>
            </w:r>
          </w:p>
        </w:tc>
        <w:tc>
          <w:tcPr>
            <w:tcW w:w="1134" w:type="dxa"/>
            <w:shd w:val="clear" w:color="auto" w:fill="FABF8F"/>
            <w:vAlign w:val="center"/>
          </w:tcPr>
          <w:p w14:paraId="1DD73454" w14:textId="77777777" w:rsidR="00AC454A" w:rsidRDefault="00AC454A" w:rsidP="005C58C0">
            <w:pPr>
              <w:spacing w:after="0" w:line="240" w:lineRule="auto"/>
              <w:jc w:val="center"/>
              <w:rPr>
                <w:rFonts w:ascii="Times New Roman" w:eastAsia="Times New Roman" w:hAnsi="Times New Roman"/>
                <w:bCs/>
                <w:i/>
                <w:iCs/>
                <w:sz w:val="20"/>
                <w:szCs w:val="20"/>
                <w:lang w:eastAsia="lv-LV"/>
              </w:rPr>
            </w:pPr>
            <w:r>
              <w:rPr>
                <w:rFonts w:ascii="Times New Roman" w:eastAsia="Times New Roman" w:hAnsi="Times New Roman"/>
                <w:bCs/>
                <w:i/>
                <w:iCs/>
                <w:sz w:val="20"/>
                <w:szCs w:val="20"/>
                <w:lang w:eastAsia="lv-LV"/>
              </w:rPr>
              <w:t xml:space="preserve">2018 </w:t>
            </w:r>
            <w:r w:rsidRPr="57326167">
              <w:rPr>
                <w:rFonts w:ascii="Times New Roman" w:eastAsia="Times New Roman" w:hAnsi="Times New Roman"/>
                <w:i/>
                <w:iCs/>
                <w:sz w:val="20"/>
                <w:szCs w:val="20"/>
                <w:lang w:eastAsia="lv-LV"/>
              </w:rPr>
              <w:t>(euro)</w:t>
            </w:r>
          </w:p>
        </w:tc>
        <w:tc>
          <w:tcPr>
            <w:tcW w:w="1134" w:type="dxa"/>
            <w:shd w:val="clear" w:color="auto" w:fill="FABF8F"/>
            <w:vAlign w:val="center"/>
          </w:tcPr>
          <w:p w14:paraId="63FF3FBF" w14:textId="77777777" w:rsidR="00AC454A" w:rsidRDefault="00AC454A" w:rsidP="005C58C0">
            <w:pPr>
              <w:spacing w:after="0" w:line="240" w:lineRule="auto"/>
              <w:jc w:val="center"/>
              <w:rPr>
                <w:rFonts w:ascii="Times New Roman" w:eastAsia="Times New Roman" w:hAnsi="Times New Roman"/>
                <w:bCs/>
                <w:i/>
                <w:iCs/>
                <w:sz w:val="20"/>
                <w:szCs w:val="20"/>
                <w:lang w:eastAsia="lv-LV"/>
              </w:rPr>
            </w:pPr>
            <w:r>
              <w:rPr>
                <w:rFonts w:ascii="Times New Roman" w:eastAsia="Times New Roman" w:hAnsi="Times New Roman"/>
                <w:bCs/>
                <w:i/>
                <w:iCs/>
                <w:sz w:val="20"/>
                <w:szCs w:val="20"/>
                <w:lang w:eastAsia="lv-LV"/>
              </w:rPr>
              <w:t xml:space="preserve">2019 </w:t>
            </w:r>
            <w:r w:rsidRPr="57326167">
              <w:rPr>
                <w:rFonts w:ascii="Times New Roman" w:eastAsia="Times New Roman" w:hAnsi="Times New Roman"/>
                <w:i/>
                <w:iCs/>
                <w:sz w:val="20"/>
                <w:szCs w:val="20"/>
                <w:lang w:eastAsia="lv-LV"/>
              </w:rPr>
              <w:t>(euro)</w:t>
            </w:r>
          </w:p>
        </w:tc>
        <w:tc>
          <w:tcPr>
            <w:tcW w:w="851" w:type="dxa"/>
            <w:shd w:val="clear" w:color="auto" w:fill="FABF8F"/>
            <w:vAlign w:val="center"/>
          </w:tcPr>
          <w:p w14:paraId="523D7C4B" w14:textId="77777777" w:rsidR="00AC454A" w:rsidRDefault="00AC454A" w:rsidP="005C58C0">
            <w:pPr>
              <w:spacing w:after="0" w:line="240" w:lineRule="auto"/>
              <w:jc w:val="center"/>
              <w:rPr>
                <w:rFonts w:ascii="Times New Roman" w:eastAsia="Times New Roman" w:hAnsi="Times New Roman"/>
                <w:bCs/>
                <w:i/>
                <w:iCs/>
                <w:sz w:val="20"/>
                <w:szCs w:val="20"/>
                <w:lang w:eastAsia="lv-LV"/>
              </w:rPr>
            </w:pPr>
            <w:r>
              <w:rPr>
                <w:rFonts w:ascii="Times New Roman" w:eastAsia="Times New Roman" w:hAnsi="Times New Roman"/>
                <w:bCs/>
                <w:i/>
                <w:iCs/>
                <w:sz w:val="20"/>
                <w:szCs w:val="20"/>
                <w:lang w:eastAsia="lv-LV"/>
              </w:rPr>
              <w:t xml:space="preserve">2017 </w:t>
            </w:r>
            <w:r w:rsidRPr="57326167">
              <w:rPr>
                <w:rFonts w:ascii="Times New Roman" w:eastAsia="Times New Roman" w:hAnsi="Times New Roman"/>
                <w:i/>
                <w:iCs/>
                <w:sz w:val="20"/>
                <w:szCs w:val="20"/>
                <w:lang w:eastAsia="lv-LV"/>
              </w:rPr>
              <w:t>(euro)</w:t>
            </w:r>
          </w:p>
        </w:tc>
        <w:tc>
          <w:tcPr>
            <w:tcW w:w="992" w:type="dxa"/>
            <w:shd w:val="clear" w:color="auto" w:fill="FABF8F"/>
            <w:vAlign w:val="center"/>
          </w:tcPr>
          <w:p w14:paraId="1BD63765" w14:textId="77777777" w:rsidR="00AC454A" w:rsidRDefault="00AC454A" w:rsidP="005C58C0">
            <w:pPr>
              <w:spacing w:after="0" w:line="240" w:lineRule="auto"/>
              <w:jc w:val="center"/>
              <w:rPr>
                <w:rFonts w:ascii="Times New Roman" w:eastAsia="Times New Roman" w:hAnsi="Times New Roman"/>
                <w:bCs/>
                <w:i/>
                <w:iCs/>
                <w:sz w:val="20"/>
                <w:szCs w:val="20"/>
                <w:lang w:eastAsia="lv-LV"/>
              </w:rPr>
            </w:pPr>
            <w:r>
              <w:rPr>
                <w:rFonts w:ascii="Times New Roman" w:eastAsia="Times New Roman" w:hAnsi="Times New Roman"/>
                <w:bCs/>
                <w:i/>
                <w:iCs/>
                <w:sz w:val="20"/>
                <w:szCs w:val="20"/>
                <w:lang w:eastAsia="lv-LV"/>
              </w:rPr>
              <w:t xml:space="preserve">2018 </w:t>
            </w:r>
            <w:r w:rsidRPr="57326167">
              <w:rPr>
                <w:rFonts w:ascii="Times New Roman" w:eastAsia="Times New Roman" w:hAnsi="Times New Roman"/>
                <w:i/>
                <w:iCs/>
                <w:sz w:val="20"/>
                <w:szCs w:val="20"/>
                <w:lang w:eastAsia="lv-LV"/>
              </w:rPr>
              <w:t>(euro)</w:t>
            </w:r>
          </w:p>
        </w:tc>
        <w:tc>
          <w:tcPr>
            <w:tcW w:w="1134" w:type="dxa"/>
            <w:shd w:val="clear" w:color="auto" w:fill="FABF8F"/>
            <w:vAlign w:val="center"/>
          </w:tcPr>
          <w:p w14:paraId="0417D19F" w14:textId="77777777" w:rsidR="00AC454A" w:rsidRPr="00847710" w:rsidRDefault="00AC454A" w:rsidP="005C58C0">
            <w:pPr>
              <w:spacing w:after="0" w:line="240" w:lineRule="auto"/>
              <w:jc w:val="center"/>
              <w:rPr>
                <w:rFonts w:ascii="Times New Roman" w:eastAsia="Times New Roman" w:hAnsi="Times New Roman"/>
                <w:bCs/>
                <w:i/>
                <w:iCs/>
                <w:sz w:val="20"/>
                <w:szCs w:val="20"/>
                <w:lang w:eastAsia="lv-LV"/>
              </w:rPr>
            </w:pPr>
            <w:r>
              <w:rPr>
                <w:rFonts w:ascii="Times New Roman" w:eastAsia="Times New Roman" w:hAnsi="Times New Roman"/>
                <w:bCs/>
                <w:i/>
                <w:iCs/>
                <w:sz w:val="20"/>
                <w:szCs w:val="20"/>
                <w:lang w:eastAsia="lv-LV"/>
              </w:rPr>
              <w:t>2019</w:t>
            </w:r>
          </w:p>
          <w:p w14:paraId="20D16F85" w14:textId="77777777" w:rsidR="00AC454A" w:rsidRPr="00C86312" w:rsidRDefault="00AC454A" w:rsidP="005C58C0">
            <w:pPr>
              <w:spacing w:after="0" w:line="240" w:lineRule="auto"/>
              <w:jc w:val="center"/>
              <w:rPr>
                <w:rFonts w:ascii="Times New Roman" w:eastAsia="Times New Roman" w:hAnsi="Times New Roman"/>
                <w:i/>
                <w:iCs/>
                <w:sz w:val="20"/>
                <w:szCs w:val="20"/>
                <w:lang w:eastAsia="lv-LV"/>
              </w:rPr>
            </w:pPr>
            <w:r w:rsidRPr="57326167">
              <w:rPr>
                <w:rFonts w:ascii="Times New Roman" w:eastAsia="Times New Roman" w:hAnsi="Times New Roman"/>
                <w:i/>
                <w:iCs/>
                <w:sz w:val="20"/>
                <w:szCs w:val="20"/>
                <w:lang w:eastAsia="lv-LV"/>
              </w:rPr>
              <w:t>(euro)</w:t>
            </w:r>
          </w:p>
        </w:tc>
        <w:tc>
          <w:tcPr>
            <w:tcW w:w="992" w:type="dxa"/>
            <w:shd w:val="clear" w:color="auto" w:fill="FABF8F"/>
            <w:vAlign w:val="center"/>
          </w:tcPr>
          <w:p w14:paraId="1DB001FB" w14:textId="77777777" w:rsidR="00AC454A" w:rsidRPr="00847710" w:rsidRDefault="00AC454A" w:rsidP="005C58C0">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2017</w:t>
            </w:r>
          </w:p>
        </w:tc>
        <w:tc>
          <w:tcPr>
            <w:tcW w:w="997" w:type="dxa"/>
            <w:shd w:val="clear" w:color="auto" w:fill="FABF8F"/>
            <w:vAlign w:val="center"/>
          </w:tcPr>
          <w:p w14:paraId="0448CAA9" w14:textId="77777777" w:rsidR="00AC454A" w:rsidRPr="00847710" w:rsidRDefault="00AC454A" w:rsidP="005C58C0">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2018</w:t>
            </w:r>
          </w:p>
        </w:tc>
        <w:tc>
          <w:tcPr>
            <w:tcW w:w="988" w:type="dxa"/>
            <w:shd w:val="clear" w:color="auto" w:fill="FABF8F"/>
            <w:vAlign w:val="center"/>
          </w:tcPr>
          <w:p w14:paraId="77936C04" w14:textId="77777777" w:rsidR="00AC454A" w:rsidRPr="00847710" w:rsidRDefault="00AC454A" w:rsidP="005C58C0">
            <w:pPr>
              <w:spacing w:after="0" w:line="240" w:lineRule="auto"/>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201</w:t>
            </w:r>
            <w:r>
              <w:rPr>
                <w:rFonts w:ascii="Times New Roman" w:eastAsia="Times New Roman" w:hAnsi="Times New Roman"/>
                <w:b/>
                <w:bCs/>
                <w:sz w:val="20"/>
                <w:szCs w:val="20"/>
                <w:lang w:eastAsia="lv-LV"/>
              </w:rPr>
              <w:t>9</w:t>
            </w:r>
          </w:p>
        </w:tc>
        <w:tc>
          <w:tcPr>
            <w:tcW w:w="708" w:type="dxa"/>
            <w:shd w:val="clear" w:color="auto" w:fill="FABF8F"/>
            <w:vAlign w:val="center"/>
          </w:tcPr>
          <w:p w14:paraId="6DA3BF40" w14:textId="77777777" w:rsidR="00AC454A" w:rsidRPr="00030FAC" w:rsidRDefault="00AC454A" w:rsidP="005C58C0">
            <w:pPr>
              <w:spacing w:after="0" w:line="240" w:lineRule="auto"/>
              <w:jc w:val="center"/>
              <w:rPr>
                <w:rFonts w:ascii="Times New Roman" w:eastAsia="Times New Roman" w:hAnsi="Times New Roman"/>
                <w:b/>
                <w:bCs/>
                <w:sz w:val="20"/>
                <w:szCs w:val="20"/>
                <w:lang w:eastAsia="lv-LV"/>
              </w:rPr>
            </w:pPr>
            <w:r w:rsidRPr="00030FAC">
              <w:rPr>
                <w:rFonts w:ascii="Times New Roman" w:eastAsia="Times New Roman" w:hAnsi="Times New Roman"/>
                <w:b/>
                <w:bCs/>
                <w:iCs/>
                <w:sz w:val="20"/>
                <w:szCs w:val="20"/>
                <w:lang w:eastAsia="lv-LV"/>
              </w:rPr>
              <w:t xml:space="preserve">2017 </w:t>
            </w:r>
          </w:p>
        </w:tc>
        <w:tc>
          <w:tcPr>
            <w:tcW w:w="700" w:type="dxa"/>
            <w:shd w:val="clear" w:color="auto" w:fill="FABF8F"/>
            <w:vAlign w:val="center"/>
          </w:tcPr>
          <w:p w14:paraId="3DECE65F" w14:textId="77777777" w:rsidR="00AC454A" w:rsidRPr="00030FAC" w:rsidRDefault="00AC454A" w:rsidP="005C58C0">
            <w:pPr>
              <w:spacing w:after="0" w:line="240" w:lineRule="auto"/>
              <w:jc w:val="center"/>
              <w:rPr>
                <w:rFonts w:ascii="Times New Roman" w:eastAsia="Times New Roman" w:hAnsi="Times New Roman"/>
                <w:b/>
                <w:bCs/>
                <w:sz w:val="20"/>
                <w:szCs w:val="20"/>
                <w:lang w:eastAsia="lv-LV"/>
              </w:rPr>
            </w:pPr>
            <w:r w:rsidRPr="00030FAC">
              <w:rPr>
                <w:rFonts w:ascii="Times New Roman" w:eastAsia="Times New Roman" w:hAnsi="Times New Roman"/>
                <w:b/>
                <w:bCs/>
                <w:iCs/>
                <w:sz w:val="20"/>
                <w:szCs w:val="20"/>
                <w:lang w:eastAsia="lv-LV"/>
              </w:rPr>
              <w:t xml:space="preserve">2018 </w:t>
            </w:r>
          </w:p>
        </w:tc>
        <w:tc>
          <w:tcPr>
            <w:tcW w:w="992" w:type="dxa"/>
            <w:shd w:val="clear" w:color="auto" w:fill="FABF8F"/>
            <w:vAlign w:val="center"/>
          </w:tcPr>
          <w:p w14:paraId="444EA88C" w14:textId="77777777" w:rsidR="00AC454A" w:rsidRPr="00847710" w:rsidRDefault="00AC454A" w:rsidP="005C58C0">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2019</w:t>
            </w:r>
          </w:p>
        </w:tc>
      </w:tr>
      <w:tr w:rsidR="00E11AFF" w:rsidRPr="004615AC" w14:paraId="1FCE0B33" w14:textId="77777777" w:rsidTr="007C25A0">
        <w:trPr>
          <w:trHeight w:val="525"/>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7336B" w14:textId="74E2DBBE" w:rsidR="00B1613E" w:rsidRPr="00847710" w:rsidRDefault="00B1613E" w:rsidP="00B1613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Laboratoriskie pakalpojumi</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4CB8" w14:textId="0D6F148D" w:rsidR="00B1613E" w:rsidRPr="00E11AFF" w:rsidRDefault="00B1613E" w:rsidP="00B1613E">
            <w:pPr>
              <w:spacing w:after="0" w:line="240" w:lineRule="auto"/>
              <w:jc w:val="center"/>
              <w:rPr>
                <w:rFonts w:ascii="Times New Roman" w:eastAsia="Times New Roman" w:hAnsi="Times New Roman"/>
                <w:sz w:val="16"/>
                <w:szCs w:val="16"/>
                <w:lang w:eastAsia="lv-LV"/>
              </w:rPr>
            </w:pPr>
            <w:r w:rsidRPr="00E11AFF">
              <w:rPr>
                <w:rFonts w:ascii="Times New Roman" w:hAnsi="Times New Roman"/>
                <w:sz w:val="16"/>
                <w:szCs w:val="16"/>
              </w:rPr>
              <w:t>3,03</w:t>
            </w:r>
          </w:p>
        </w:tc>
        <w:tc>
          <w:tcPr>
            <w:tcW w:w="1134" w:type="dxa"/>
            <w:tcBorders>
              <w:top w:val="single" w:sz="4" w:space="0" w:color="auto"/>
              <w:left w:val="single" w:sz="4" w:space="0" w:color="auto"/>
              <w:bottom w:val="single" w:sz="4" w:space="0" w:color="auto"/>
              <w:right w:val="single" w:sz="4" w:space="0" w:color="auto"/>
            </w:tcBorders>
            <w:vAlign w:val="center"/>
          </w:tcPr>
          <w:p w14:paraId="2417CED7" w14:textId="2323BCA6" w:rsidR="00B1613E" w:rsidRPr="00E11AFF" w:rsidRDefault="004A62BA" w:rsidP="00B1613E">
            <w:pPr>
              <w:spacing w:after="0" w:line="240" w:lineRule="auto"/>
              <w:jc w:val="center"/>
              <w:rPr>
                <w:rFonts w:ascii="Times New Roman" w:hAnsi="Times New Roman"/>
                <w:sz w:val="16"/>
                <w:szCs w:val="16"/>
              </w:rPr>
            </w:pPr>
            <w:r w:rsidRPr="00E11AFF">
              <w:rPr>
                <w:rFonts w:ascii="Times New Roman" w:hAnsi="Times New Roman"/>
                <w:sz w:val="16"/>
                <w:szCs w:val="16"/>
              </w:rPr>
              <w:t>25 160 356</w:t>
            </w:r>
          </w:p>
        </w:tc>
        <w:tc>
          <w:tcPr>
            <w:tcW w:w="1134" w:type="dxa"/>
            <w:tcBorders>
              <w:top w:val="single" w:sz="4" w:space="0" w:color="auto"/>
              <w:left w:val="single" w:sz="4" w:space="0" w:color="auto"/>
              <w:bottom w:val="single" w:sz="4" w:space="0" w:color="auto"/>
              <w:right w:val="single" w:sz="4" w:space="0" w:color="auto"/>
            </w:tcBorders>
            <w:vAlign w:val="center"/>
          </w:tcPr>
          <w:p w14:paraId="4066D717" w14:textId="00973F85" w:rsidR="00B1613E" w:rsidRPr="00E11AFF" w:rsidRDefault="004A62BA" w:rsidP="00B1613E">
            <w:pPr>
              <w:spacing w:after="0" w:line="240" w:lineRule="auto"/>
              <w:jc w:val="center"/>
              <w:rPr>
                <w:rFonts w:ascii="Times New Roman" w:hAnsi="Times New Roman"/>
                <w:sz w:val="16"/>
                <w:szCs w:val="16"/>
              </w:rPr>
            </w:pPr>
            <w:r w:rsidRPr="00E11AFF">
              <w:rPr>
                <w:rFonts w:ascii="Times New Roman" w:hAnsi="Times New Roman"/>
                <w:sz w:val="16"/>
                <w:szCs w:val="16"/>
              </w:rPr>
              <w:t>29 294 900</w:t>
            </w:r>
          </w:p>
        </w:tc>
        <w:tc>
          <w:tcPr>
            <w:tcW w:w="1134" w:type="dxa"/>
            <w:tcBorders>
              <w:top w:val="single" w:sz="4" w:space="0" w:color="auto"/>
              <w:left w:val="single" w:sz="4" w:space="0" w:color="auto"/>
              <w:bottom w:val="single" w:sz="4" w:space="0" w:color="auto"/>
              <w:right w:val="single" w:sz="4" w:space="0" w:color="auto"/>
            </w:tcBorders>
            <w:vAlign w:val="center"/>
          </w:tcPr>
          <w:p w14:paraId="445654B0" w14:textId="68DE34D0" w:rsidR="00B1613E" w:rsidRPr="00E11AFF" w:rsidRDefault="004A62BA" w:rsidP="00B1613E">
            <w:pPr>
              <w:spacing w:after="0" w:line="240" w:lineRule="auto"/>
              <w:jc w:val="center"/>
              <w:rPr>
                <w:rFonts w:ascii="Times New Roman" w:hAnsi="Times New Roman"/>
                <w:sz w:val="16"/>
                <w:szCs w:val="16"/>
              </w:rPr>
            </w:pPr>
            <w:r w:rsidRPr="00E11AFF">
              <w:rPr>
                <w:rFonts w:ascii="Times New Roman" w:hAnsi="Times New Roman"/>
                <w:sz w:val="16"/>
                <w:szCs w:val="16"/>
              </w:rPr>
              <w:t>30 802 217</w:t>
            </w:r>
          </w:p>
        </w:tc>
        <w:tc>
          <w:tcPr>
            <w:tcW w:w="851" w:type="dxa"/>
            <w:tcBorders>
              <w:top w:val="single" w:sz="4" w:space="0" w:color="auto"/>
              <w:left w:val="single" w:sz="4" w:space="0" w:color="auto"/>
              <w:bottom w:val="single" w:sz="4" w:space="0" w:color="auto"/>
              <w:right w:val="single" w:sz="4" w:space="0" w:color="auto"/>
            </w:tcBorders>
            <w:vAlign w:val="center"/>
          </w:tcPr>
          <w:p w14:paraId="3EFBBAC8" w14:textId="77777777" w:rsidR="00B1613E" w:rsidRPr="00E11AFF" w:rsidRDefault="00B1613E" w:rsidP="00B1613E">
            <w:pPr>
              <w:spacing w:after="0" w:line="240" w:lineRule="auto"/>
              <w:jc w:val="center"/>
              <w:rPr>
                <w:rFonts w:ascii="Times New Roman" w:hAnsi="Times New Roman"/>
                <w:sz w:val="16"/>
                <w:szCs w:val="16"/>
              </w:rPr>
            </w:pPr>
            <w:r w:rsidRPr="00E11AFF">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5A395223" w14:textId="52AB3F15" w:rsidR="00B1613E" w:rsidRPr="00E11AFF" w:rsidRDefault="00B1613E" w:rsidP="00B1613E">
            <w:pPr>
              <w:spacing w:after="0" w:line="240" w:lineRule="auto"/>
              <w:jc w:val="center"/>
              <w:rPr>
                <w:rFonts w:ascii="Times New Roman" w:hAnsi="Times New Roman"/>
                <w:sz w:val="16"/>
                <w:szCs w:val="16"/>
              </w:rPr>
            </w:pPr>
            <w:r w:rsidRPr="00E11AFF">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0ED7E" w14:textId="269ED988" w:rsidR="00B1613E" w:rsidRPr="00E11AFF" w:rsidRDefault="00B1613E" w:rsidP="00B1613E">
            <w:pPr>
              <w:spacing w:after="0" w:line="240" w:lineRule="auto"/>
              <w:jc w:val="center"/>
              <w:rPr>
                <w:rFonts w:ascii="Times New Roman" w:hAnsi="Times New Roman"/>
                <w:sz w:val="16"/>
                <w:szCs w:val="16"/>
              </w:rPr>
            </w:pPr>
            <w:r w:rsidRPr="00E11AFF">
              <w:rPr>
                <w:rFonts w:ascii="Times New Roman" w:hAnsi="Times New Roman" w:cs="Times New Roman"/>
                <w:sz w:val="16"/>
                <w:szCs w:val="16"/>
              </w:rPr>
              <w:t>2 282 051</w:t>
            </w:r>
          </w:p>
        </w:tc>
        <w:tc>
          <w:tcPr>
            <w:tcW w:w="992" w:type="dxa"/>
            <w:tcBorders>
              <w:top w:val="single" w:sz="4" w:space="0" w:color="auto"/>
              <w:left w:val="single" w:sz="4" w:space="0" w:color="auto"/>
              <w:bottom w:val="single" w:sz="4" w:space="0" w:color="auto"/>
              <w:right w:val="single" w:sz="4" w:space="0" w:color="auto"/>
            </w:tcBorders>
            <w:vAlign w:val="center"/>
          </w:tcPr>
          <w:p w14:paraId="7873E060" w14:textId="02E2E0F6" w:rsidR="00B1613E" w:rsidRPr="00E11AFF" w:rsidRDefault="004615AC" w:rsidP="00B1613E">
            <w:pPr>
              <w:spacing w:after="0" w:line="240" w:lineRule="auto"/>
              <w:jc w:val="center"/>
              <w:rPr>
                <w:rFonts w:ascii="Times New Roman" w:hAnsi="Times New Roman"/>
                <w:bCs/>
                <w:sz w:val="16"/>
                <w:szCs w:val="16"/>
              </w:rPr>
            </w:pPr>
            <w:r w:rsidRPr="00E11AFF">
              <w:rPr>
                <w:rFonts w:ascii="Times New Roman" w:hAnsi="Times New Roman"/>
                <w:bCs/>
                <w:sz w:val="16"/>
                <w:szCs w:val="16"/>
              </w:rPr>
              <w:t>11 366 123</w:t>
            </w:r>
          </w:p>
        </w:tc>
        <w:tc>
          <w:tcPr>
            <w:tcW w:w="997" w:type="dxa"/>
            <w:tcBorders>
              <w:top w:val="single" w:sz="4" w:space="0" w:color="auto"/>
              <w:left w:val="single" w:sz="4" w:space="0" w:color="auto"/>
              <w:bottom w:val="single" w:sz="4" w:space="0" w:color="auto"/>
              <w:right w:val="single" w:sz="4" w:space="0" w:color="auto"/>
            </w:tcBorders>
            <w:vAlign w:val="center"/>
          </w:tcPr>
          <w:p w14:paraId="1073A868" w14:textId="3C288964" w:rsidR="00B1613E" w:rsidRPr="00E11AFF" w:rsidRDefault="004615AC" w:rsidP="00B1613E">
            <w:pPr>
              <w:spacing w:after="0" w:line="240" w:lineRule="auto"/>
              <w:jc w:val="center"/>
              <w:rPr>
                <w:rFonts w:ascii="Times New Roman" w:hAnsi="Times New Roman"/>
                <w:bCs/>
                <w:sz w:val="16"/>
                <w:szCs w:val="16"/>
              </w:rPr>
            </w:pPr>
            <w:r w:rsidRPr="00E11AFF">
              <w:rPr>
                <w:rFonts w:ascii="Times New Roman" w:hAnsi="Times New Roman"/>
                <w:bCs/>
                <w:sz w:val="16"/>
                <w:szCs w:val="16"/>
              </w:rPr>
              <w:t>12530 753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0560D" w14:textId="735BB71B" w:rsidR="00B1613E" w:rsidRPr="00E11AFF" w:rsidRDefault="004615AC" w:rsidP="00B1613E">
            <w:pPr>
              <w:spacing w:after="0" w:line="240" w:lineRule="auto"/>
              <w:jc w:val="center"/>
              <w:rPr>
                <w:rFonts w:ascii="Times New Roman" w:hAnsi="Times New Roman"/>
                <w:bCs/>
                <w:sz w:val="16"/>
                <w:szCs w:val="16"/>
              </w:rPr>
            </w:pPr>
            <w:r w:rsidRPr="00E11AFF">
              <w:rPr>
                <w:rFonts w:ascii="Times New Roman" w:hAnsi="Times New Roman"/>
                <w:bCs/>
                <w:sz w:val="16"/>
                <w:szCs w:val="16"/>
              </w:rPr>
              <w:t>12 298 295</w:t>
            </w:r>
          </w:p>
        </w:tc>
        <w:tc>
          <w:tcPr>
            <w:tcW w:w="708" w:type="dxa"/>
            <w:tcBorders>
              <w:top w:val="single" w:sz="4" w:space="0" w:color="auto"/>
              <w:left w:val="single" w:sz="4" w:space="0" w:color="auto"/>
              <w:bottom w:val="single" w:sz="4" w:space="0" w:color="auto"/>
              <w:right w:val="single" w:sz="4" w:space="0" w:color="auto"/>
            </w:tcBorders>
            <w:vAlign w:val="center"/>
          </w:tcPr>
          <w:p w14:paraId="4DC21A5F" w14:textId="77777777" w:rsidR="00B1613E" w:rsidRPr="00E11AFF" w:rsidRDefault="00B1613E" w:rsidP="00B1613E">
            <w:pPr>
              <w:spacing w:after="0" w:line="240" w:lineRule="auto"/>
              <w:jc w:val="center"/>
              <w:rPr>
                <w:rFonts w:ascii="Times New Roman" w:hAnsi="Times New Roman"/>
                <w:b/>
                <w:bCs/>
                <w:sz w:val="16"/>
                <w:szCs w:val="16"/>
              </w:rPr>
            </w:pPr>
            <w:r w:rsidRPr="00E11AFF">
              <w:rPr>
                <w:rFonts w:ascii="Times New Roman" w:hAnsi="Times New Roman"/>
                <w:b/>
                <w:bCs/>
                <w:sz w:val="16"/>
                <w:szCs w:val="16"/>
              </w:rPr>
              <w:t>-</w:t>
            </w:r>
          </w:p>
        </w:tc>
        <w:tc>
          <w:tcPr>
            <w:tcW w:w="700" w:type="dxa"/>
            <w:tcBorders>
              <w:top w:val="single" w:sz="4" w:space="0" w:color="auto"/>
              <w:left w:val="single" w:sz="4" w:space="0" w:color="auto"/>
              <w:bottom w:val="single" w:sz="4" w:space="0" w:color="auto"/>
              <w:right w:val="single" w:sz="4" w:space="0" w:color="auto"/>
            </w:tcBorders>
            <w:vAlign w:val="center"/>
          </w:tcPr>
          <w:p w14:paraId="2A7A8CB3" w14:textId="266D1EC3" w:rsidR="00B1613E" w:rsidRPr="00E11AFF" w:rsidRDefault="00B1613E" w:rsidP="00B1613E">
            <w:pPr>
              <w:spacing w:after="0" w:line="240" w:lineRule="auto"/>
              <w:jc w:val="center"/>
              <w:rPr>
                <w:rFonts w:ascii="Times New Roman" w:hAnsi="Times New Roman"/>
                <w:b/>
                <w:bCs/>
                <w:sz w:val="16"/>
                <w:szCs w:val="16"/>
              </w:rPr>
            </w:pPr>
            <w:r w:rsidRPr="00E11AFF">
              <w:rPr>
                <w:rFonts w:ascii="Times New Roman" w:hAnsi="Times New Roman"/>
                <w:b/>
                <w:bCs/>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3A746EDE" w14:textId="051CE38F" w:rsidR="00B1613E" w:rsidRPr="00E11AFF" w:rsidRDefault="004615AC" w:rsidP="00CB4538">
            <w:pPr>
              <w:spacing w:after="0" w:line="240" w:lineRule="auto"/>
              <w:jc w:val="center"/>
              <w:rPr>
                <w:rFonts w:ascii="Times New Roman" w:hAnsi="Times New Roman"/>
                <w:b/>
                <w:bCs/>
                <w:sz w:val="16"/>
                <w:szCs w:val="16"/>
              </w:rPr>
            </w:pPr>
            <w:r>
              <w:rPr>
                <w:rFonts w:ascii="Times New Roman" w:eastAsia="Times New Roman" w:hAnsi="Times New Roman" w:cs="Times New Roman"/>
                <w:sz w:val="16"/>
                <w:szCs w:val="16"/>
                <w:lang w:eastAsia="lv-LV"/>
              </w:rPr>
              <w:t>13 051 447</w:t>
            </w:r>
          </w:p>
        </w:tc>
      </w:tr>
      <w:tr w:rsidR="007717A4" w:rsidRPr="003962D3" w14:paraId="58917595" w14:textId="77777777" w:rsidTr="007C25A0">
        <w:trPr>
          <w:trHeight w:val="393"/>
          <w:jc w:val="center"/>
        </w:trPr>
        <w:tc>
          <w:tcPr>
            <w:tcW w:w="1423" w:type="dxa"/>
            <w:shd w:val="clear" w:color="auto" w:fill="FBD4B4"/>
            <w:noWrap/>
            <w:vAlign w:val="center"/>
            <w:hideMark/>
          </w:tcPr>
          <w:p w14:paraId="0F4FECED" w14:textId="77777777" w:rsidR="003C192F" w:rsidRPr="00847710" w:rsidRDefault="003C192F" w:rsidP="003C192F">
            <w:pPr>
              <w:spacing w:after="0" w:line="240" w:lineRule="auto"/>
              <w:jc w:val="center"/>
              <w:rPr>
                <w:rFonts w:ascii="Times New Roman" w:eastAsia="Times New Roman" w:hAnsi="Times New Roman"/>
                <w:sz w:val="20"/>
                <w:szCs w:val="20"/>
                <w:lang w:eastAsia="lv-LV"/>
              </w:rPr>
            </w:pPr>
            <w:r w:rsidRPr="00847710">
              <w:rPr>
                <w:rFonts w:ascii="Times New Roman" w:eastAsia="Times New Roman" w:hAnsi="Times New Roman"/>
                <w:sz w:val="20"/>
                <w:szCs w:val="20"/>
                <w:lang w:eastAsia="lv-LV"/>
              </w:rPr>
              <w:t>Kopā</w:t>
            </w:r>
          </w:p>
        </w:tc>
        <w:tc>
          <w:tcPr>
            <w:tcW w:w="1001" w:type="dxa"/>
            <w:shd w:val="clear" w:color="auto" w:fill="FBD4B4"/>
            <w:noWrap/>
            <w:vAlign w:val="center"/>
            <w:hideMark/>
          </w:tcPr>
          <w:p w14:paraId="0840FC7E" w14:textId="77777777" w:rsidR="003C192F" w:rsidRPr="00847710" w:rsidRDefault="003C192F" w:rsidP="003C192F">
            <w:pPr>
              <w:spacing w:after="0" w:line="240" w:lineRule="auto"/>
              <w:jc w:val="center"/>
              <w:rPr>
                <w:rFonts w:ascii="Times New Roman" w:eastAsia="Times New Roman" w:hAnsi="Times New Roman"/>
                <w:sz w:val="20"/>
                <w:szCs w:val="20"/>
                <w:lang w:eastAsia="lv-LV"/>
              </w:rPr>
            </w:pPr>
          </w:p>
        </w:tc>
        <w:tc>
          <w:tcPr>
            <w:tcW w:w="1134" w:type="dxa"/>
            <w:shd w:val="clear" w:color="auto" w:fill="FBD4B4"/>
            <w:vAlign w:val="center"/>
          </w:tcPr>
          <w:p w14:paraId="402330AF" w14:textId="46F8FD04" w:rsidR="003C192F" w:rsidRPr="003962D3" w:rsidRDefault="003C192F" w:rsidP="003C192F">
            <w:pPr>
              <w:spacing w:after="0" w:line="240" w:lineRule="auto"/>
              <w:jc w:val="center"/>
              <w:rPr>
                <w:rFonts w:ascii="Times New Roman" w:hAnsi="Times New Roman"/>
                <w:b/>
                <w:sz w:val="20"/>
                <w:szCs w:val="20"/>
              </w:rPr>
            </w:pPr>
            <w:r w:rsidRPr="003962D3">
              <w:rPr>
                <w:rFonts w:ascii="Times New Roman" w:hAnsi="Times New Roman"/>
                <w:b/>
                <w:sz w:val="16"/>
                <w:szCs w:val="16"/>
              </w:rPr>
              <w:t>25 160 356</w:t>
            </w:r>
          </w:p>
        </w:tc>
        <w:tc>
          <w:tcPr>
            <w:tcW w:w="1134" w:type="dxa"/>
            <w:shd w:val="clear" w:color="auto" w:fill="FBD4B4"/>
            <w:vAlign w:val="center"/>
          </w:tcPr>
          <w:p w14:paraId="210F8B48" w14:textId="590F521A" w:rsidR="003C192F" w:rsidRPr="003962D3" w:rsidRDefault="003C192F" w:rsidP="003C192F">
            <w:pPr>
              <w:spacing w:after="0" w:line="240" w:lineRule="auto"/>
              <w:jc w:val="center"/>
              <w:rPr>
                <w:rFonts w:ascii="Times New Roman" w:hAnsi="Times New Roman"/>
                <w:b/>
                <w:sz w:val="20"/>
                <w:szCs w:val="20"/>
              </w:rPr>
            </w:pPr>
            <w:r w:rsidRPr="003962D3">
              <w:rPr>
                <w:rFonts w:ascii="Times New Roman" w:hAnsi="Times New Roman"/>
                <w:b/>
                <w:sz w:val="16"/>
                <w:szCs w:val="16"/>
              </w:rPr>
              <w:t>29 294 900</w:t>
            </w:r>
          </w:p>
        </w:tc>
        <w:tc>
          <w:tcPr>
            <w:tcW w:w="1134" w:type="dxa"/>
            <w:shd w:val="clear" w:color="auto" w:fill="FBD4B4"/>
            <w:vAlign w:val="center"/>
          </w:tcPr>
          <w:p w14:paraId="6C5F1D99" w14:textId="3BCD8C82" w:rsidR="003C192F" w:rsidRPr="003962D3" w:rsidRDefault="003C192F" w:rsidP="003C192F">
            <w:pPr>
              <w:spacing w:after="0" w:line="240" w:lineRule="auto"/>
              <w:jc w:val="center"/>
              <w:rPr>
                <w:rFonts w:ascii="Times New Roman" w:hAnsi="Times New Roman"/>
                <w:b/>
                <w:sz w:val="20"/>
                <w:szCs w:val="20"/>
              </w:rPr>
            </w:pPr>
            <w:r w:rsidRPr="003962D3">
              <w:rPr>
                <w:rFonts w:ascii="Times New Roman" w:hAnsi="Times New Roman"/>
                <w:b/>
                <w:sz w:val="16"/>
                <w:szCs w:val="16"/>
              </w:rPr>
              <w:t>30 802 217</w:t>
            </w:r>
          </w:p>
        </w:tc>
        <w:tc>
          <w:tcPr>
            <w:tcW w:w="851" w:type="dxa"/>
            <w:shd w:val="clear" w:color="auto" w:fill="FBD4B4"/>
            <w:vAlign w:val="center"/>
          </w:tcPr>
          <w:p w14:paraId="17FF6B9F" w14:textId="77777777" w:rsidR="003C192F" w:rsidRPr="003962D3" w:rsidRDefault="003C192F" w:rsidP="003C192F">
            <w:pPr>
              <w:spacing w:after="0" w:line="240" w:lineRule="auto"/>
              <w:rPr>
                <w:rFonts w:ascii="Times New Roman" w:hAnsi="Times New Roman"/>
                <w:b/>
                <w:sz w:val="20"/>
                <w:szCs w:val="20"/>
              </w:rPr>
            </w:pPr>
          </w:p>
        </w:tc>
        <w:tc>
          <w:tcPr>
            <w:tcW w:w="992" w:type="dxa"/>
            <w:shd w:val="clear" w:color="auto" w:fill="FBD4B4"/>
            <w:vAlign w:val="center"/>
          </w:tcPr>
          <w:p w14:paraId="3CD0821C" w14:textId="04FC007C" w:rsidR="003C192F" w:rsidRPr="003962D3" w:rsidRDefault="003C192F" w:rsidP="003C192F">
            <w:pPr>
              <w:spacing w:after="0" w:line="240" w:lineRule="auto"/>
              <w:rPr>
                <w:rFonts w:ascii="Times New Roman" w:hAnsi="Times New Roman"/>
                <w:b/>
                <w:sz w:val="20"/>
                <w:szCs w:val="20"/>
              </w:rPr>
            </w:pPr>
          </w:p>
        </w:tc>
        <w:tc>
          <w:tcPr>
            <w:tcW w:w="1134" w:type="dxa"/>
            <w:shd w:val="clear" w:color="auto" w:fill="FBD4B4"/>
            <w:noWrap/>
            <w:vAlign w:val="center"/>
            <w:hideMark/>
          </w:tcPr>
          <w:p w14:paraId="261C53BA" w14:textId="607704FE" w:rsidR="003C192F" w:rsidRPr="003962D3" w:rsidRDefault="003C192F" w:rsidP="00E11AFF">
            <w:pPr>
              <w:spacing w:after="0" w:line="240" w:lineRule="auto"/>
              <w:jc w:val="center"/>
              <w:rPr>
                <w:rFonts w:ascii="Times New Roman" w:hAnsi="Times New Roman"/>
                <w:b/>
                <w:sz w:val="16"/>
                <w:szCs w:val="16"/>
              </w:rPr>
            </w:pPr>
            <w:r w:rsidRPr="003962D3">
              <w:rPr>
                <w:rFonts w:ascii="Times New Roman" w:hAnsi="Times New Roman" w:cs="Times New Roman"/>
                <w:b/>
                <w:sz w:val="16"/>
                <w:szCs w:val="16"/>
              </w:rPr>
              <w:t>2 282 051</w:t>
            </w:r>
          </w:p>
        </w:tc>
        <w:tc>
          <w:tcPr>
            <w:tcW w:w="992" w:type="dxa"/>
            <w:shd w:val="clear" w:color="auto" w:fill="FBD4B4"/>
            <w:vAlign w:val="center"/>
          </w:tcPr>
          <w:p w14:paraId="27C4BB19" w14:textId="183E8990" w:rsidR="003C192F" w:rsidRPr="003962D3" w:rsidRDefault="003C192F" w:rsidP="003C192F">
            <w:pPr>
              <w:spacing w:after="0" w:line="240" w:lineRule="auto"/>
              <w:rPr>
                <w:rFonts w:ascii="Times New Roman" w:hAnsi="Times New Roman"/>
                <w:b/>
                <w:bCs/>
                <w:sz w:val="20"/>
                <w:szCs w:val="20"/>
              </w:rPr>
            </w:pPr>
            <w:r w:rsidRPr="003962D3">
              <w:rPr>
                <w:rFonts w:ascii="Times New Roman" w:hAnsi="Times New Roman"/>
                <w:b/>
                <w:bCs/>
                <w:sz w:val="16"/>
                <w:szCs w:val="16"/>
              </w:rPr>
              <w:t>11 366 123</w:t>
            </w:r>
          </w:p>
        </w:tc>
        <w:tc>
          <w:tcPr>
            <w:tcW w:w="997" w:type="dxa"/>
            <w:shd w:val="clear" w:color="auto" w:fill="FBD4B4"/>
            <w:vAlign w:val="center"/>
          </w:tcPr>
          <w:p w14:paraId="414A6E39" w14:textId="323027C3" w:rsidR="003C192F" w:rsidRPr="003962D3" w:rsidRDefault="003C192F" w:rsidP="003C192F">
            <w:pPr>
              <w:spacing w:after="0" w:line="240" w:lineRule="auto"/>
              <w:rPr>
                <w:rFonts w:ascii="Times New Roman" w:hAnsi="Times New Roman"/>
                <w:b/>
                <w:bCs/>
                <w:sz w:val="20"/>
                <w:szCs w:val="20"/>
              </w:rPr>
            </w:pPr>
            <w:r w:rsidRPr="003962D3">
              <w:rPr>
                <w:rFonts w:ascii="Times New Roman" w:hAnsi="Times New Roman"/>
                <w:b/>
                <w:bCs/>
                <w:sz w:val="16"/>
                <w:szCs w:val="16"/>
              </w:rPr>
              <w:t>12530 753</w:t>
            </w:r>
          </w:p>
        </w:tc>
        <w:tc>
          <w:tcPr>
            <w:tcW w:w="988" w:type="dxa"/>
            <w:shd w:val="clear" w:color="auto" w:fill="FBD4B4"/>
            <w:noWrap/>
            <w:vAlign w:val="center"/>
          </w:tcPr>
          <w:p w14:paraId="5F7346C3" w14:textId="7C72447E" w:rsidR="003C192F" w:rsidRPr="003962D3" w:rsidRDefault="003C192F" w:rsidP="003C192F">
            <w:pPr>
              <w:spacing w:after="0" w:line="240" w:lineRule="auto"/>
              <w:rPr>
                <w:rFonts w:ascii="Times New Roman" w:hAnsi="Times New Roman"/>
                <w:b/>
                <w:bCs/>
                <w:sz w:val="20"/>
                <w:szCs w:val="20"/>
              </w:rPr>
            </w:pPr>
            <w:r w:rsidRPr="003962D3">
              <w:rPr>
                <w:rFonts w:ascii="Times New Roman" w:hAnsi="Times New Roman"/>
                <w:b/>
                <w:bCs/>
                <w:sz w:val="16"/>
                <w:szCs w:val="16"/>
              </w:rPr>
              <w:t>12 298 295</w:t>
            </w:r>
          </w:p>
        </w:tc>
        <w:tc>
          <w:tcPr>
            <w:tcW w:w="708" w:type="dxa"/>
            <w:shd w:val="clear" w:color="auto" w:fill="FBD4B4"/>
            <w:vAlign w:val="center"/>
          </w:tcPr>
          <w:p w14:paraId="646EA0AC" w14:textId="77777777" w:rsidR="003C192F" w:rsidRPr="003962D3" w:rsidRDefault="003C192F" w:rsidP="003C192F">
            <w:pPr>
              <w:spacing w:after="0" w:line="240" w:lineRule="auto"/>
              <w:rPr>
                <w:rFonts w:ascii="Times New Roman" w:hAnsi="Times New Roman"/>
                <w:b/>
                <w:bCs/>
                <w:sz w:val="20"/>
                <w:szCs w:val="20"/>
              </w:rPr>
            </w:pPr>
          </w:p>
        </w:tc>
        <w:tc>
          <w:tcPr>
            <w:tcW w:w="700" w:type="dxa"/>
            <w:shd w:val="clear" w:color="auto" w:fill="FBD4B4"/>
            <w:vAlign w:val="center"/>
          </w:tcPr>
          <w:p w14:paraId="0316CDAA" w14:textId="0F2F58C4" w:rsidR="003C192F" w:rsidRPr="003962D3" w:rsidRDefault="003C192F" w:rsidP="003C192F">
            <w:pPr>
              <w:spacing w:after="0" w:line="240" w:lineRule="auto"/>
              <w:jc w:val="center"/>
              <w:rPr>
                <w:rFonts w:ascii="Times New Roman" w:hAnsi="Times New Roman"/>
                <w:b/>
                <w:bCs/>
                <w:sz w:val="20"/>
                <w:szCs w:val="20"/>
              </w:rPr>
            </w:pPr>
          </w:p>
        </w:tc>
        <w:tc>
          <w:tcPr>
            <w:tcW w:w="992" w:type="dxa"/>
            <w:shd w:val="clear" w:color="auto" w:fill="FBD4B4"/>
            <w:vAlign w:val="center"/>
          </w:tcPr>
          <w:p w14:paraId="1CDCAACF" w14:textId="28E1FB7D" w:rsidR="003C192F" w:rsidRPr="003962D3" w:rsidRDefault="003C192F" w:rsidP="00E11AFF">
            <w:pPr>
              <w:spacing w:after="0" w:line="240" w:lineRule="auto"/>
              <w:jc w:val="center"/>
              <w:rPr>
                <w:rFonts w:ascii="Times New Roman" w:hAnsi="Times New Roman"/>
                <w:b/>
                <w:bCs/>
                <w:sz w:val="20"/>
                <w:szCs w:val="20"/>
              </w:rPr>
            </w:pPr>
            <w:r w:rsidRPr="003962D3">
              <w:rPr>
                <w:rFonts w:ascii="Times New Roman" w:eastAsia="Times New Roman" w:hAnsi="Times New Roman" w:cs="Times New Roman"/>
                <w:b/>
                <w:sz w:val="16"/>
                <w:szCs w:val="16"/>
                <w:lang w:eastAsia="lv-LV"/>
              </w:rPr>
              <w:t>13 051 447</w:t>
            </w:r>
          </w:p>
        </w:tc>
      </w:tr>
    </w:tbl>
    <w:p w14:paraId="26360746" w14:textId="77777777" w:rsidR="00AC454A" w:rsidRDefault="00AC454A" w:rsidP="00520359">
      <w:pPr>
        <w:spacing w:after="0" w:line="240" w:lineRule="auto"/>
        <w:ind w:firstLine="720"/>
        <w:jc w:val="center"/>
        <w:rPr>
          <w:rFonts w:ascii="Times New Roman" w:hAnsi="Times New Roman" w:cs="Times New Roman"/>
          <w:b/>
          <w:bCs/>
          <w:sz w:val="24"/>
          <w:szCs w:val="24"/>
          <w:u w:val="single"/>
        </w:rPr>
      </w:pPr>
    </w:p>
    <w:p w14:paraId="7B353F6D" w14:textId="77777777" w:rsidR="0014757F" w:rsidRPr="005D1E5B" w:rsidRDefault="0014757F" w:rsidP="0014757F">
      <w:pPr>
        <w:spacing w:after="0" w:line="240" w:lineRule="auto"/>
        <w:ind w:firstLine="720"/>
        <w:jc w:val="right"/>
        <w:rPr>
          <w:rFonts w:ascii="Times New Roman" w:eastAsia="Times New Roman" w:hAnsi="Times New Roman" w:cs="Times New Roman"/>
          <w:i/>
          <w:iCs/>
          <w:sz w:val="24"/>
          <w:szCs w:val="24"/>
          <w:lang w:eastAsia="lv-LV"/>
        </w:rPr>
      </w:pPr>
      <w:r w:rsidRPr="005D1E5B">
        <w:rPr>
          <w:rFonts w:ascii="Times New Roman" w:eastAsia="Times New Roman" w:hAnsi="Times New Roman" w:cs="Times New Roman"/>
          <w:i/>
          <w:iCs/>
          <w:sz w:val="24"/>
          <w:szCs w:val="24"/>
          <w:lang w:eastAsia="lv-LV"/>
        </w:rPr>
        <w:t>30.tabula</w:t>
      </w:r>
    </w:p>
    <w:p w14:paraId="44CF241F" w14:textId="77777777" w:rsidR="0014757F" w:rsidRPr="0041167E" w:rsidRDefault="0014757F" w:rsidP="0014757F">
      <w:pPr>
        <w:spacing w:after="0" w:line="24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Laboratorisko pakalpojumu pieejamības uzlabošanai nepieciešamais finansējums no 2019.gada 1.aprīļa</w:t>
      </w:r>
    </w:p>
    <w:p w14:paraId="59A985EA" w14:textId="77777777" w:rsidR="0014757F" w:rsidRPr="00726218" w:rsidRDefault="0014757F" w:rsidP="0014757F">
      <w:pPr>
        <w:spacing w:after="0" w:line="240" w:lineRule="auto"/>
        <w:ind w:firstLine="720"/>
        <w:jc w:val="center"/>
        <w:rPr>
          <w:rFonts w:ascii="Times New Roman" w:eastAsia="Times New Roman" w:hAnsi="Times New Roman" w:cs="Times New Roman"/>
          <w:i/>
          <w:iCs/>
          <w:sz w:val="24"/>
          <w:szCs w:val="24"/>
          <w:lang w:eastAsia="lv-LV"/>
        </w:rPr>
      </w:pPr>
    </w:p>
    <w:tbl>
      <w:tblPr>
        <w:tblW w:w="9089" w:type="dxa"/>
        <w:jc w:val="center"/>
        <w:tblLook w:val="04A0" w:firstRow="1" w:lastRow="0" w:firstColumn="1" w:lastColumn="0" w:noHBand="0" w:noVBand="1"/>
      </w:tblPr>
      <w:tblGrid>
        <w:gridCol w:w="1410"/>
        <w:gridCol w:w="1395"/>
        <w:gridCol w:w="1585"/>
        <w:gridCol w:w="2045"/>
        <w:gridCol w:w="1327"/>
        <w:gridCol w:w="1327"/>
      </w:tblGrid>
      <w:tr w:rsidR="0014757F" w:rsidRPr="00032A66" w14:paraId="25776213" w14:textId="77777777" w:rsidTr="005C62FF">
        <w:trPr>
          <w:trHeight w:val="1290"/>
          <w:jc w:val="center"/>
        </w:trPr>
        <w:tc>
          <w:tcPr>
            <w:tcW w:w="141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78334E1" w14:textId="77777777" w:rsidR="0014757F" w:rsidRPr="00032A66" w:rsidRDefault="0014757F" w:rsidP="005C62FF">
            <w:pPr>
              <w:spacing w:after="0" w:line="240" w:lineRule="auto"/>
              <w:jc w:val="center"/>
              <w:rPr>
                <w:rFonts w:ascii="Times New Roman" w:eastAsia="Times New Roman" w:hAnsi="Times New Roman" w:cs="Times New Roman"/>
                <w:b/>
                <w:bCs/>
                <w:sz w:val="20"/>
                <w:szCs w:val="20"/>
                <w:lang w:eastAsia="lv-LV"/>
              </w:rPr>
            </w:pPr>
            <w:r w:rsidRPr="00032A66">
              <w:rPr>
                <w:rFonts w:ascii="Times New Roman" w:eastAsia="Times New Roman" w:hAnsi="Times New Roman" w:cs="Times New Roman"/>
                <w:b/>
                <w:bCs/>
                <w:sz w:val="20"/>
                <w:szCs w:val="20"/>
                <w:lang w:eastAsia="lv-LV"/>
              </w:rPr>
              <w:t>Papildus veicamo izmeklējumu skaits</w:t>
            </w:r>
            <w:r>
              <w:rPr>
                <w:rFonts w:ascii="Times New Roman" w:eastAsia="Times New Roman" w:hAnsi="Times New Roman" w:cs="Times New Roman"/>
                <w:b/>
                <w:bCs/>
                <w:sz w:val="20"/>
                <w:szCs w:val="20"/>
                <w:lang w:eastAsia="lv-LV"/>
              </w:rPr>
              <w:t xml:space="preserve"> no 2019.gada 1.aprīļa</w:t>
            </w:r>
          </w:p>
        </w:tc>
        <w:tc>
          <w:tcPr>
            <w:tcW w:w="1395"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5F907188" w14:textId="77777777" w:rsidR="0014757F" w:rsidRDefault="0014757F" w:rsidP="005C62FF">
            <w:pPr>
              <w:spacing w:after="0" w:line="240" w:lineRule="auto"/>
              <w:jc w:val="center"/>
              <w:rPr>
                <w:rFonts w:ascii="Times New Roman" w:eastAsia="Times New Roman" w:hAnsi="Times New Roman" w:cs="Times New Roman"/>
                <w:b/>
                <w:bCs/>
                <w:sz w:val="20"/>
                <w:szCs w:val="20"/>
                <w:lang w:eastAsia="lv-LV"/>
              </w:rPr>
            </w:pPr>
            <w:r w:rsidRPr="00032A66">
              <w:rPr>
                <w:rFonts w:ascii="Times New Roman" w:eastAsia="Times New Roman" w:hAnsi="Times New Roman" w:cs="Times New Roman"/>
                <w:b/>
                <w:bCs/>
                <w:sz w:val="20"/>
                <w:szCs w:val="20"/>
                <w:lang w:eastAsia="lv-LV"/>
              </w:rPr>
              <w:t>Papildus veicamo izmeklējumu skaits</w:t>
            </w:r>
            <w:r>
              <w:rPr>
                <w:rFonts w:ascii="Times New Roman" w:eastAsia="Times New Roman" w:hAnsi="Times New Roman" w:cs="Times New Roman"/>
                <w:b/>
                <w:bCs/>
                <w:sz w:val="20"/>
                <w:szCs w:val="20"/>
                <w:lang w:eastAsia="lv-LV"/>
              </w:rPr>
              <w:t xml:space="preserve"> 2019.gadam</w:t>
            </w:r>
          </w:p>
        </w:tc>
        <w:tc>
          <w:tcPr>
            <w:tcW w:w="15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360476C" w14:textId="77777777" w:rsidR="0014757F" w:rsidRPr="00032A66" w:rsidRDefault="0014757F" w:rsidP="005C62F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Viena laboratoriskā izmeklējuma vidējās izmaksas </w:t>
            </w:r>
            <w:r w:rsidRPr="005A2A75">
              <w:rPr>
                <w:rFonts w:ascii="Times New Roman" w:eastAsia="Times New Roman" w:hAnsi="Times New Roman" w:cs="Times New Roman"/>
                <w:b/>
                <w:bCs/>
                <w:i/>
                <w:sz w:val="20"/>
                <w:szCs w:val="20"/>
                <w:lang w:eastAsia="lv-LV"/>
              </w:rPr>
              <w:t>euro</w:t>
            </w:r>
          </w:p>
        </w:tc>
        <w:tc>
          <w:tcPr>
            <w:tcW w:w="204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FA0CBFB" w14:textId="77777777" w:rsidR="0014757F" w:rsidRPr="00032A66" w:rsidRDefault="0014757F" w:rsidP="005C62F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Pr="00032A66">
              <w:rPr>
                <w:rFonts w:ascii="Times New Roman" w:eastAsia="Times New Roman" w:hAnsi="Times New Roman" w:cs="Times New Roman"/>
                <w:b/>
                <w:bCs/>
                <w:sz w:val="20"/>
                <w:szCs w:val="20"/>
                <w:lang w:eastAsia="lv-LV"/>
              </w:rPr>
              <w:t>acientu skaits, kuri papildus tiks uz SAVA speciālistu konsultācijām, un kuriem būs nepieciešami laboratoriski izmeklējumi</w:t>
            </w:r>
          </w:p>
        </w:tc>
        <w:tc>
          <w:tcPr>
            <w:tcW w:w="1327"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6BE3C8B" w14:textId="77777777" w:rsidR="0014757F" w:rsidRPr="00307B88" w:rsidRDefault="0014757F" w:rsidP="005C62FF">
            <w:pPr>
              <w:spacing w:after="0" w:line="240" w:lineRule="auto"/>
              <w:jc w:val="center"/>
              <w:rPr>
                <w:rFonts w:ascii="Times New Roman" w:eastAsia="Times New Roman" w:hAnsi="Times New Roman" w:cs="Times New Roman"/>
                <w:b/>
                <w:bCs/>
                <w:sz w:val="20"/>
                <w:szCs w:val="20"/>
                <w:lang w:eastAsia="lv-LV"/>
              </w:rPr>
            </w:pPr>
            <w:r w:rsidRPr="00307B88">
              <w:rPr>
                <w:rFonts w:ascii="Times New Roman" w:hAnsi="Times New Roman" w:cs="Times New Roman"/>
                <w:b/>
                <w:sz w:val="20"/>
                <w:szCs w:val="20"/>
              </w:rPr>
              <w:t xml:space="preserve">Papildus laboratorijas  līdzekļi </w:t>
            </w:r>
            <w:r>
              <w:rPr>
                <w:rFonts w:ascii="Times New Roman" w:hAnsi="Times New Roman" w:cs="Times New Roman"/>
                <w:b/>
                <w:sz w:val="20"/>
                <w:szCs w:val="20"/>
              </w:rPr>
              <w:t xml:space="preserve"> no </w:t>
            </w:r>
            <w:r w:rsidRPr="00307B88">
              <w:rPr>
                <w:rFonts w:ascii="Times New Roman" w:hAnsi="Times New Roman" w:cs="Times New Roman"/>
                <w:b/>
                <w:sz w:val="20"/>
                <w:szCs w:val="20"/>
              </w:rPr>
              <w:t>2019.gada</w:t>
            </w:r>
            <w:r>
              <w:rPr>
                <w:rFonts w:ascii="Times New Roman" w:hAnsi="Times New Roman" w:cs="Times New Roman"/>
                <w:b/>
                <w:sz w:val="20"/>
                <w:szCs w:val="20"/>
              </w:rPr>
              <w:t xml:space="preserve"> 1.aprīļa </w:t>
            </w:r>
            <w:r w:rsidRPr="0097380F">
              <w:rPr>
                <w:rFonts w:ascii="Times New Roman" w:hAnsi="Times New Roman" w:cs="Times New Roman"/>
                <w:b/>
                <w:i/>
                <w:sz w:val="20"/>
                <w:szCs w:val="20"/>
              </w:rPr>
              <w:t>euro</w:t>
            </w:r>
          </w:p>
        </w:tc>
        <w:tc>
          <w:tcPr>
            <w:tcW w:w="1327"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B256A9A" w14:textId="77777777" w:rsidR="0014757F" w:rsidRPr="00307B88" w:rsidRDefault="0014757F" w:rsidP="005C62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Papildus laboratorijas līdzekļi 2019.gadam, </w:t>
            </w:r>
            <w:r w:rsidRPr="003C063D">
              <w:rPr>
                <w:rFonts w:ascii="Times New Roman" w:hAnsi="Times New Roman" w:cs="Times New Roman"/>
                <w:b/>
                <w:i/>
                <w:sz w:val="20"/>
                <w:szCs w:val="20"/>
              </w:rPr>
              <w:t>euro</w:t>
            </w:r>
          </w:p>
        </w:tc>
      </w:tr>
      <w:tr w:rsidR="0014757F" w:rsidRPr="00032A66" w14:paraId="4614C1E8" w14:textId="77777777" w:rsidTr="005C62FF">
        <w:trPr>
          <w:trHeight w:val="285"/>
          <w:jc w:val="center"/>
        </w:trPr>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FA3B5B" w14:textId="77777777" w:rsidR="0014757F" w:rsidRPr="00032A66" w:rsidRDefault="0014757F" w:rsidP="005C62FF">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w:t>
            </w:r>
          </w:p>
        </w:tc>
        <w:tc>
          <w:tcPr>
            <w:tcW w:w="1395" w:type="dxa"/>
            <w:tcBorders>
              <w:top w:val="single" w:sz="4" w:space="0" w:color="auto"/>
              <w:left w:val="nil"/>
              <w:bottom w:val="single" w:sz="4" w:space="0" w:color="auto"/>
              <w:right w:val="single" w:sz="4" w:space="0" w:color="auto"/>
            </w:tcBorders>
            <w:shd w:val="clear" w:color="auto" w:fill="D9D9D9" w:themeFill="background1" w:themeFillShade="D9"/>
          </w:tcPr>
          <w:p w14:paraId="6DC404B2" w14:textId="77777777" w:rsidR="0014757F" w:rsidRDefault="0014757F" w:rsidP="005C62FF">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w:t>
            </w:r>
          </w:p>
        </w:tc>
        <w:tc>
          <w:tcPr>
            <w:tcW w:w="1585"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3F51D93" w14:textId="77777777" w:rsidR="0014757F" w:rsidRPr="00032A66" w:rsidRDefault="0014757F" w:rsidP="005C62FF">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w:t>
            </w:r>
          </w:p>
        </w:tc>
        <w:tc>
          <w:tcPr>
            <w:tcW w:w="2045" w:type="dxa"/>
            <w:tcBorders>
              <w:top w:val="nil"/>
              <w:left w:val="nil"/>
              <w:bottom w:val="single" w:sz="4" w:space="0" w:color="auto"/>
              <w:right w:val="single" w:sz="4" w:space="0" w:color="auto"/>
            </w:tcBorders>
            <w:shd w:val="clear" w:color="auto" w:fill="D9D9D9" w:themeFill="background1" w:themeFillShade="D9"/>
            <w:vAlign w:val="bottom"/>
          </w:tcPr>
          <w:p w14:paraId="3D7C3C16" w14:textId="77777777" w:rsidR="0014757F" w:rsidRPr="00032A66" w:rsidRDefault="0014757F" w:rsidP="005C62FF">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w:t>
            </w:r>
          </w:p>
        </w:tc>
        <w:tc>
          <w:tcPr>
            <w:tcW w:w="1327" w:type="dxa"/>
            <w:tcBorders>
              <w:top w:val="nil"/>
              <w:left w:val="nil"/>
              <w:bottom w:val="single" w:sz="4" w:space="0" w:color="auto"/>
              <w:right w:val="single" w:sz="4" w:space="0" w:color="auto"/>
            </w:tcBorders>
            <w:shd w:val="clear" w:color="auto" w:fill="D9D9D9" w:themeFill="background1" w:themeFillShade="D9"/>
          </w:tcPr>
          <w:p w14:paraId="6219EDDC" w14:textId="77777777" w:rsidR="0014757F" w:rsidRPr="00032A66" w:rsidRDefault="0014757F" w:rsidP="005C62FF">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5=1*3</w:t>
            </w:r>
          </w:p>
        </w:tc>
        <w:tc>
          <w:tcPr>
            <w:tcW w:w="1327" w:type="dxa"/>
            <w:tcBorders>
              <w:top w:val="nil"/>
              <w:left w:val="nil"/>
              <w:bottom w:val="single" w:sz="4" w:space="0" w:color="auto"/>
              <w:right w:val="single" w:sz="4" w:space="0" w:color="auto"/>
            </w:tcBorders>
            <w:shd w:val="clear" w:color="auto" w:fill="D9D9D9" w:themeFill="background1" w:themeFillShade="D9"/>
          </w:tcPr>
          <w:p w14:paraId="17C6F0E8" w14:textId="77777777" w:rsidR="0014757F" w:rsidRDefault="0014757F" w:rsidP="005C62FF">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5=2*3</w:t>
            </w:r>
          </w:p>
        </w:tc>
      </w:tr>
      <w:tr w:rsidR="0014757F" w:rsidRPr="00032A66" w14:paraId="40C58C7C" w14:textId="77777777" w:rsidTr="005C62FF">
        <w:trPr>
          <w:trHeight w:val="315"/>
          <w:jc w:val="center"/>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FC204" w14:textId="77777777" w:rsidR="0014757F" w:rsidRPr="00267FB3" w:rsidRDefault="0014757F" w:rsidP="005C62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753 152</w:t>
            </w:r>
          </w:p>
        </w:tc>
        <w:tc>
          <w:tcPr>
            <w:tcW w:w="1395" w:type="dxa"/>
            <w:tcBorders>
              <w:top w:val="single" w:sz="4" w:space="0" w:color="auto"/>
              <w:left w:val="nil"/>
              <w:bottom w:val="single" w:sz="4" w:space="0" w:color="auto"/>
              <w:right w:val="single" w:sz="4" w:space="0" w:color="auto"/>
            </w:tcBorders>
            <w:vAlign w:val="center"/>
          </w:tcPr>
          <w:p w14:paraId="65A2DA09" w14:textId="77777777" w:rsidR="0014757F" w:rsidRDefault="0014757F" w:rsidP="005C62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1 004 203</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33936928" w14:textId="77777777" w:rsidR="0014757F" w:rsidRPr="00267FB3" w:rsidRDefault="0014757F" w:rsidP="005C62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3,03</w:t>
            </w:r>
          </w:p>
        </w:tc>
        <w:tc>
          <w:tcPr>
            <w:tcW w:w="2045" w:type="dxa"/>
            <w:tcBorders>
              <w:top w:val="nil"/>
              <w:left w:val="nil"/>
              <w:bottom w:val="single" w:sz="4" w:space="0" w:color="auto"/>
              <w:right w:val="single" w:sz="4" w:space="0" w:color="auto"/>
            </w:tcBorders>
            <w:shd w:val="clear" w:color="auto" w:fill="auto"/>
            <w:vAlign w:val="center"/>
            <w:hideMark/>
          </w:tcPr>
          <w:p w14:paraId="3935EDDC" w14:textId="77777777" w:rsidR="0014757F" w:rsidRPr="00267FB3" w:rsidRDefault="0014757F" w:rsidP="005C62F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73 911</w:t>
            </w:r>
          </w:p>
        </w:tc>
        <w:tc>
          <w:tcPr>
            <w:tcW w:w="1327" w:type="dxa"/>
            <w:tcBorders>
              <w:top w:val="nil"/>
              <w:left w:val="nil"/>
              <w:bottom w:val="single" w:sz="4" w:space="0" w:color="auto"/>
              <w:right w:val="single" w:sz="4" w:space="0" w:color="auto"/>
            </w:tcBorders>
            <w:vAlign w:val="center"/>
          </w:tcPr>
          <w:p w14:paraId="64F2F1F4" w14:textId="77777777" w:rsidR="0014757F" w:rsidRPr="0097380F" w:rsidRDefault="0014757F" w:rsidP="005C62FF">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2 282 051</w:t>
            </w:r>
          </w:p>
        </w:tc>
        <w:tc>
          <w:tcPr>
            <w:tcW w:w="1327" w:type="dxa"/>
            <w:tcBorders>
              <w:top w:val="nil"/>
              <w:left w:val="nil"/>
              <w:bottom w:val="single" w:sz="4" w:space="0" w:color="auto"/>
              <w:right w:val="single" w:sz="4" w:space="0" w:color="auto"/>
            </w:tcBorders>
            <w:vAlign w:val="center"/>
          </w:tcPr>
          <w:p w14:paraId="57390018" w14:textId="77777777" w:rsidR="0014757F" w:rsidRDefault="0014757F" w:rsidP="005C62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3 042 735</w:t>
            </w:r>
          </w:p>
        </w:tc>
      </w:tr>
    </w:tbl>
    <w:p w14:paraId="1D2B0C71" w14:textId="77777777" w:rsidR="00E2767D" w:rsidRPr="0041167E" w:rsidRDefault="00E2767D" w:rsidP="00520359">
      <w:pPr>
        <w:spacing w:after="0" w:line="240" w:lineRule="auto"/>
        <w:ind w:firstLine="720"/>
        <w:jc w:val="center"/>
        <w:rPr>
          <w:rFonts w:ascii="Times New Roman" w:hAnsi="Times New Roman" w:cs="Times New Roman"/>
          <w:b/>
          <w:bCs/>
          <w:sz w:val="24"/>
          <w:szCs w:val="24"/>
          <w:u w:val="single"/>
        </w:rPr>
      </w:pPr>
    </w:p>
    <w:p w14:paraId="2EF9873B" w14:textId="77777777" w:rsidR="00FD7B70" w:rsidRDefault="00FD7B70" w:rsidP="704995BB">
      <w:pPr>
        <w:spacing w:after="0" w:line="240" w:lineRule="auto"/>
        <w:ind w:firstLine="720"/>
        <w:jc w:val="right"/>
        <w:rPr>
          <w:rFonts w:ascii="Times New Roman" w:eastAsia="Times New Roman" w:hAnsi="Times New Roman" w:cs="Times New Roman"/>
          <w:i/>
          <w:iCs/>
          <w:sz w:val="24"/>
          <w:szCs w:val="24"/>
          <w:lang w:eastAsia="lv-LV"/>
        </w:rPr>
        <w:sectPr w:rsidR="00FD7B70" w:rsidSect="00E11AFF">
          <w:pgSz w:w="15840" w:h="12240" w:orient="landscape"/>
          <w:pgMar w:top="1701" w:right="1440" w:bottom="1440" w:left="1440" w:header="709" w:footer="709" w:gutter="0"/>
          <w:cols w:space="708"/>
          <w:docGrid w:linePitch="360"/>
        </w:sectPr>
      </w:pPr>
    </w:p>
    <w:p w14:paraId="24A41783" w14:textId="2FBE34BA" w:rsidR="00520359" w:rsidRDefault="00520359" w:rsidP="704995BB">
      <w:pPr>
        <w:spacing w:after="0" w:line="240" w:lineRule="auto"/>
        <w:ind w:firstLine="720"/>
        <w:jc w:val="right"/>
        <w:rPr>
          <w:rFonts w:ascii="Times New Roman" w:eastAsia="Times New Roman" w:hAnsi="Times New Roman" w:cs="Times New Roman"/>
          <w:i/>
          <w:iCs/>
          <w:sz w:val="24"/>
          <w:szCs w:val="24"/>
          <w:lang w:eastAsia="lv-LV"/>
        </w:rPr>
      </w:pPr>
    </w:p>
    <w:p w14:paraId="6FE95519" w14:textId="1F21E97B" w:rsidR="00D1022D" w:rsidRPr="00BA03E4" w:rsidRDefault="00FD01DA" w:rsidP="00BA03E4">
      <w:pPr>
        <w:pStyle w:val="Heading2"/>
        <w:spacing w:before="0" w:after="120"/>
        <w:ind w:left="36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1</w:t>
      </w:r>
      <w:r w:rsidR="00B90691">
        <w:rPr>
          <w:rFonts w:ascii="Times New Roman" w:hAnsi="Times New Roman" w:cs="Times New Roman"/>
          <w:b/>
          <w:bCs/>
          <w:color w:val="auto"/>
          <w:sz w:val="24"/>
          <w:szCs w:val="24"/>
          <w:u w:val="single"/>
        </w:rPr>
        <w:t>.1</w:t>
      </w:r>
      <w:r w:rsidR="000004F4">
        <w:rPr>
          <w:rFonts w:ascii="Times New Roman" w:hAnsi="Times New Roman" w:cs="Times New Roman"/>
          <w:b/>
          <w:bCs/>
          <w:color w:val="auto"/>
          <w:sz w:val="24"/>
          <w:szCs w:val="24"/>
          <w:u w:val="single"/>
        </w:rPr>
        <w:t>1</w:t>
      </w:r>
      <w:r w:rsidR="00B90691">
        <w:rPr>
          <w:rFonts w:ascii="Times New Roman" w:hAnsi="Times New Roman" w:cs="Times New Roman"/>
          <w:b/>
          <w:bCs/>
          <w:color w:val="auto"/>
          <w:sz w:val="24"/>
          <w:szCs w:val="24"/>
          <w:u w:val="single"/>
        </w:rPr>
        <w:t xml:space="preserve">. </w:t>
      </w:r>
      <w:r w:rsidR="0071331A" w:rsidRPr="0012317D">
        <w:rPr>
          <w:rFonts w:ascii="Times New Roman" w:hAnsi="Times New Roman" w:cs="Times New Roman"/>
          <w:b/>
          <w:bCs/>
          <w:color w:val="auto"/>
          <w:sz w:val="24"/>
          <w:szCs w:val="24"/>
          <w:u w:val="single"/>
        </w:rPr>
        <w:t>Veselības aprūpes pakalpojumu pieejamības reformas uzlabošanas ieguvumi</w:t>
      </w:r>
    </w:p>
    <w:tbl>
      <w:tblPr>
        <w:tblStyle w:val="TableGrid"/>
        <w:tblW w:w="0" w:type="auto"/>
        <w:tblLook w:val="04A0" w:firstRow="1" w:lastRow="0" w:firstColumn="1" w:lastColumn="0" w:noHBand="0" w:noVBand="1"/>
      </w:tblPr>
      <w:tblGrid>
        <w:gridCol w:w="9089"/>
      </w:tblGrid>
      <w:tr w:rsidR="00591368" w14:paraId="11C0FBE9" w14:textId="77777777" w:rsidTr="704995BB">
        <w:trPr>
          <w:trHeight w:val="1124"/>
        </w:trPr>
        <w:tc>
          <w:tcPr>
            <w:tcW w:w="9089" w:type="dxa"/>
          </w:tcPr>
          <w:p w14:paraId="6572902C" w14:textId="77777777" w:rsidR="00A81563" w:rsidRPr="00C86312" w:rsidRDefault="0071331A">
            <w:pPr>
              <w:ind w:firstLine="720"/>
              <w:jc w:val="both"/>
              <w:rPr>
                <w:rFonts w:ascii="Times New Roman" w:hAnsi="Times New Roman"/>
                <w:b/>
                <w:bCs/>
                <w:sz w:val="24"/>
                <w:szCs w:val="24"/>
              </w:rPr>
            </w:pPr>
            <w:r w:rsidRPr="0012317D">
              <w:rPr>
                <w:rFonts w:ascii="Times New Roman" w:hAnsi="Times New Roman"/>
                <w:b/>
                <w:bCs/>
                <w:sz w:val="24"/>
                <w:szCs w:val="24"/>
              </w:rPr>
              <w:t>Reformas mērķis ir ieguldot papildus valsts līdzekļus, uzlabot pieejamību sekundārās ambulatorās veselības aprūpes pakalpojumiem, tādejādi sekmējot iespējami liela veselības problēmu lo</w:t>
            </w:r>
            <w:r w:rsidRPr="00901A9F">
              <w:rPr>
                <w:rFonts w:ascii="Times New Roman" w:hAnsi="Times New Roman"/>
                <w:b/>
                <w:bCs/>
                <w:sz w:val="24"/>
                <w:szCs w:val="24"/>
              </w:rPr>
              <w:t xml:space="preserve">ka (savlaicīga slimību diagnostika, pacientu dzīves  </w:t>
            </w:r>
            <w:r w:rsidRPr="00E93259">
              <w:rPr>
                <w:rFonts w:asciiTheme="minorHAnsi" w:hAnsiTheme="minorHAnsi"/>
                <w:sz w:val="22"/>
                <w:szCs w:val="22"/>
              </w:rPr>
              <w:footnoteReference w:id="17"/>
            </w:r>
            <w:r w:rsidRPr="00E93259">
              <w:rPr>
                <w:rFonts w:asciiTheme="minorHAnsi" w:hAnsiTheme="minorHAnsi"/>
                <w:sz w:val="22"/>
                <w:szCs w:val="22"/>
              </w:rPr>
              <w:t>￼</w:t>
            </w:r>
            <w:r w:rsidR="52B20BA9" w:rsidRPr="00E93259">
              <w:rPr>
                <w:rFonts w:ascii="Times New Roman" w:hAnsi="Times New Roman"/>
                <w:b/>
                <w:bCs/>
                <w:sz w:val="24"/>
                <w:szCs w:val="24"/>
              </w:rPr>
              <w:t>.</w:t>
            </w:r>
          </w:p>
          <w:p w14:paraId="7711DDFE" w14:textId="77777777" w:rsidR="00A81563" w:rsidRPr="00847710" w:rsidRDefault="00A81563" w:rsidP="00910EE6">
            <w:pPr>
              <w:ind w:firstLine="720"/>
              <w:jc w:val="both"/>
              <w:rPr>
                <w:rFonts w:ascii="Times New Roman" w:hAnsi="Times New Roman"/>
                <w:b/>
                <w:sz w:val="24"/>
                <w:szCs w:val="24"/>
              </w:rPr>
            </w:pPr>
          </w:p>
          <w:p w14:paraId="037E5CB4" w14:textId="77777777" w:rsidR="00A81563" w:rsidRPr="00C86312" w:rsidRDefault="0071331A">
            <w:pPr>
              <w:jc w:val="both"/>
              <w:rPr>
                <w:rFonts w:ascii="Times New Roman" w:hAnsi="Times New Roman"/>
                <w:b/>
                <w:bCs/>
                <w:sz w:val="24"/>
                <w:szCs w:val="24"/>
              </w:rPr>
            </w:pPr>
            <w:r w:rsidRPr="0012317D">
              <w:rPr>
                <w:rFonts w:ascii="Times New Roman" w:hAnsi="Times New Roman"/>
                <w:b/>
                <w:bCs/>
                <w:sz w:val="24"/>
                <w:szCs w:val="24"/>
              </w:rPr>
              <w:t>Indikatīvie rādītāji (papildus 2017.</w:t>
            </w:r>
            <w:r w:rsidR="005C0075">
              <w:rPr>
                <w:rFonts w:ascii="Times New Roman" w:hAnsi="Times New Roman"/>
                <w:b/>
                <w:bCs/>
                <w:sz w:val="24"/>
                <w:szCs w:val="24"/>
              </w:rPr>
              <w:t xml:space="preserve"> un 2018.</w:t>
            </w:r>
            <w:r w:rsidRPr="0012317D">
              <w:rPr>
                <w:rFonts w:ascii="Times New Roman" w:hAnsi="Times New Roman"/>
                <w:b/>
                <w:bCs/>
                <w:sz w:val="24"/>
                <w:szCs w:val="24"/>
              </w:rPr>
              <w:t>gadā uzsāktajām reformām):</w:t>
            </w:r>
          </w:p>
          <w:p w14:paraId="21B70995" w14:textId="58BF97F8" w:rsidR="00A81563" w:rsidRPr="00C86312"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D11FC8">
              <w:rPr>
                <w:rFonts w:ascii="Times New Roman" w:hAnsi="Times New Roman"/>
                <w:b/>
                <w:bCs/>
                <w:sz w:val="24"/>
                <w:szCs w:val="24"/>
                <w:lang w:val="lv-LV"/>
              </w:rPr>
              <w:t>512 112</w:t>
            </w:r>
            <w:r w:rsidRPr="0012317D">
              <w:rPr>
                <w:rFonts w:ascii="Times New Roman" w:hAnsi="Times New Roman"/>
                <w:b/>
                <w:bCs/>
                <w:sz w:val="24"/>
                <w:szCs w:val="24"/>
                <w:lang w:val="lv-LV"/>
              </w:rPr>
              <w:t xml:space="preserve"> speciālistu konsultācijas;</w:t>
            </w:r>
          </w:p>
          <w:p w14:paraId="05F768B5" w14:textId="4ACBABA8" w:rsidR="00A81563" w:rsidRPr="00C86312"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0A526E">
              <w:rPr>
                <w:rFonts w:ascii="Times New Roman" w:hAnsi="Times New Roman"/>
                <w:b/>
                <w:bCs/>
                <w:sz w:val="24"/>
                <w:szCs w:val="24"/>
                <w:lang w:val="lv-LV"/>
              </w:rPr>
              <w:t>66</w:t>
            </w:r>
            <w:r w:rsidR="00A16DD9">
              <w:rPr>
                <w:rFonts w:ascii="Times New Roman" w:hAnsi="Times New Roman"/>
                <w:b/>
                <w:bCs/>
                <w:sz w:val="24"/>
                <w:szCs w:val="24"/>
                <w:lang w:val="lv-LV"/>
              </w:rPr>
              <w:t>2 36</w:t>
            </w:r>
            <w:r w:rsidR="001F7C25">
              <w:rPr>
                <w:rFonts w:ascii="Times New Roman" w:hAnsi="Times New Roman"/>
                <w:b/>
                <w:bCs/>
                <w:sz w:val="24"/>
                <w:szCs w:val="24"/>
                <w:lang w:val="lv-LV"/>
              </w:rPr>
              <w:t>5</w:t>
            </w:r>
            <w:r w:rsidRPr="0012317D">
              <w:rPr>
                <w:rFonts w:ascii="Times New Roman" w:hAnsi="Times New Roman"/>
                <w:b/>
                <w:bCs/>
                <w:sz w:val="24"/>
                <w:szCs w:val="24"/>
                <w:lang w:val="lv-LV"/>
              </w:rPr>
              <w:t xml:space="preserve"> ambulatorie izmeklējumi; </w:t>
            </w:r>
          </w:p>
          <w:p w14:paraId="7F78977B" w14:textId="19979771" w:rsidR="00A81563"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0A526E">
              <w:rPr>
                <w:rFonts w:ascii="Times New Roman" w:hAnsi="Times New Roman"/>
                <w:b/>
                <w:bCs/>
                <w:sz w:val="24"/>
                <w:szCs w:val="24"/>
                <w:lang w:val="lv-LV"/>
              </w:rPr>
              <w:t>1</w:t>
            </w:r>
            <w:r w:rsidR="000B4DA5">
              <w:rPr>
                <w:rFonts w:ascii="Times New Roman" w:hAnsi="Times New Roman"/>
                <w:b/>
                <w:bCs/>
                <w:sz w:val="24"/>
                <w:szCs w:val="24"/>
                <w:lang w:val="lv-LV"/>
              </w:rPr>
              <w:t>0</w:t>
            </w:r>
            <w:r w:rsidR="00D11FC8">
              <w:rPr>
                <w:rFonts w:ascii="Times New Roman" w:hAnsi="Times New Roman"/>
                <w:b/>
                <w:bCs/>
                <w:sz w:val="24"/>
                <w:szCs w:val="24"/>
                <w:lang w:val="lv-LV"/>
              </w:rPr>
              <w:t>5</w:t>
            </w:r>
            <w:r w:rsidR="000B4DA5">
              <w:rPr>
                <w:rFonts w:ascii="Times New Roman" w:hAnsi="Times New Roman"/>
                <w:b/>
                <w:bCs/>
                <w:sz w:val="24"/>
                <w:szCs w:val="24"/>
                <w:lang w:val="lv-LV"/>
              </w:rPr>
              <w:t xml:space="preserve"> </w:t>
            </w:r>
            <w:r w:rsidR="00D11FC8">
              <w:rPr>
                <w:rFonts w:ascii="Times New Roman" w:hAnsi="Times New Roman"/>
                <w:b/>
                <w:bCs/>
                <w:sz w:val="24"/>
                <w:szCs w:val="24"/>
                <w:lang w:val="lv-LV"/>
              </w:rPr>
              <w:t>749</w:t>
            </w:r>
            <w:r w:rsidRPr="0012317D">
              <w:rPr>
                <w:rFonts w:ascii="Times New Roman" w:hAnsi="Times New Roman"/>
                <w:b/>
                <w:bCs/>
                <w:sz w:val="24"/>
                <w:szCs w:val="24"/>
                <w:lang w:val="lv-LV"/>
              </w:rPr>
              <w:t xml:space="preserve"> dienas stacionāra pakalpojumi;</w:t>
            </w:r>
          </w:p>
          <w:p w14:paraId="6C954710" w14:textId="6C5F802A" w:rsidR="00D03CC4" w:rsidRPr="00C86312" w:rsidRDefault="00D03CC4"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Pr>
                <w:rFonts w:ascii="Times New Roman" w:hAnsi="Times New Roman"/>
                <w:b/>
                <w:bCs/>
                <w:sz w:val="24"/>
                <w:szCs w:val="24"/>
                <w:lang w:val="lv-LV"/>
              </w:rPr>
              <w:t>97 555</w:t>
            </w:r>
            <w:r w:rsidRPr="0012317D">
              <w:rPr>
                <w:rFonts w:ascii="Times New Roman" w:hAnsi="Times New Roman"/>
                <w:b/>
                <w:bCs/>
                <w:sz w:val="24"/>
                <w:szCs w:val="24"/>
                <w:lang w:val="lv-LV"/>
              </w:rPr>
              <w:t xml:space="preserve"> </w:t>
            </w:r>
            <w:r>
              <w:rPr>
                <w:rFonts w:ascii="Times New Roman" w:hAnsi="Times New Roman"/>
                <w:b/>
                <w:bCs/>
                <w:sz w:val="24"/>
                <w:szCs w:val="24"/>
                <w:lang w:val="lv-LV"/>
              </w:rPr>
              <w:t>ambulatorie rehabilitācijas</w:t>
            </w:r>
            <w:r w:rsidRPr="0012317D">
              <w:rPr>
                <w:rFonts w:ascii="Times New Roman" w:hAnsi="Times New Roman"/>
                <w:b/>
                <w:bCs/>
                <w:sz w:val="24"/>
                <w:szCs w:val="24"/>
                <w:lang w:val="lv-LV"/>
              </w:rPr>
              <w:t xml:space="preserve"> pakalpojumi</w:t>
            </w:r>
            <w:r w:rsidR="00DA0A3D">
              <w:rPr>
                <w:rFonts w:ascii="Times New Roman" w:hAnsi="Times New Roman"/>
                <w:b/>
                <w:bCs/>
                <w:sz w:val="24"/>
                <w:szCs w:val="24"/>
                <w:lang w:val="lv-LV"/>
              </w:rPr>
              <w:t>;</w:t>
            </w:r>
          </w:p>
          <w:p w14:paraId="64654EAA" w14:textId="7BC29CC8" w:rsidR="00A81563" w:rsidRPr="00C65D3E" w:rsidRDefault="0071331A" w:rsidP="00F2728F">
            <w:pPr>
              <w:pStyle w:val="ListParagraph"/>
              <w:numPr>
                <w:ilvl w:val="0"/>
                <w:numId w:val="2"/>
              </w:numPr>
              <w:jc w:val="both"/>
              <w:rPr>
                <w:rFonts w:ascii="Times New Roman" w:hAnsi="Times New Roman"/>
                <w:b/>
                <w:bCs/>
                <w:sz w:val="24"/>
                <w:szCs w:val="24"/>
                <w:lang w:val="lv-LV"/>
              </w:rPr>
            </w:pPr>
            <w:r w:rsidRPr="00C65D3E">
              <w:rPr>
                <w:rFonts w:ascii="Times New Roman" w:hAnsi="Times New Roman"/>
                <w:b/>
                <w:bCs/>
                <w:sz w:val="24"/>
                <w:szCs w:val="24"/>
                <w:lang w:val="lv-LV"/>
              </w:rPr>
              <w:t xml:space="preserve">Papildus </w:t>
            </w:r>
            <w:r w:rsidR="002D2E70">
              <w:rPr>
                <w:rFonts w:ascii="Times New Roman" w:hAnsi="Times New Roman"/>
                <w:b/>
                <w:bCs/>
                <w:sz w:val="24"/>
                <w:szCs w:val="24"/>
                <w:lang w:val="lv-LV"/>
              </w:rPr>
              <w:t>20</w:t>
            </w:r>
            <w:r w:rsidRPr="00C65D3E">
              <w:rPr>
                <w:rFonts w:ascii="Times New Roman" w:hAnsi="Times New Roman"/>
                <w:b/>
                <w:bCs/>
                <w:sz w:val="24"/>
                <w:szCs w:val="24"/>
                <w:lang w:val="lv-LV"/>
              </w:rPr>
              <w:t xml:space="preserve"> diabēta kabinetu apmaksa</w:t>
            </w:r>
            <w:r w:rsidR="00D91423" w:rsidRPr="00C65D3E">
              <w:rPr>
                <w:rFonts w:ascii="Times New Roman" w:hAnsi="Times New Roman"/>
                <w:b/>
                <w:bCs/>
                <w:sz w:val="24"/>
                <w:szCs w:val="24"/>
                <w:lang w:val="lv-LV"/>
              </w:rPr>
              <w:t xml:space="preserve">, nodrošinot </w:t>
            </w:r>
            <w:r w:rsidR="00A16DD9" w:rsidRPr="00C65D3E">
              <w:rPr>
                <w:rFonts w:ascii="Times New Roman" w:hAnsi="Times New Roman"/>
                <w:b/>
                <w:bCs/>
                <w:sz w:val="24"/>
                <w:szCs w:val="24"/>
                <w:lang w:val="lv-LV"/>
              </w:rPr>
              <w:t>41 769</w:t>
            </w:r>
            <w:r w:rsidR="00D91423" w:rsidRPr="00C65D3E">
              <w:rPr>
                <w:rFonts w:ascii="Times New Roman" w:hAnsi="Times New Roman"/>
                <w:b/>
                <w:bCs/>
                <w:sz w:val="24"/>
                <w:szCs w:val="24"/>
                <w:lang w:val="lv-LV"/>
              </w:rPr>
              <w:t xml:space="preserve"> apmeklējumu</w:t>
            </w:r>
            <w:r w:rsidR="00525D36" w:rsidRPr="00C65D3E">
              <w:rPr>
                <w:rFonts w:ascii="Times New Roman" w:hAnsi="Times New Roman"/>
                <w:b/>
                <w:bCs/>
                <w:sz w:val="24"/>
                <w:szCs w:val="24"/>
                <w:lang w:val="lv-LV"/>
              </w:rPr>
              <w:t>;</w:t>
            </w:r>
          </w:p>
          <w:p w14:paraId="1D87B19E" w14:textId="7405AA7A" w:rsidR="00525D36" w:rsidRPr="00C86312"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C30BDD" w:rsidRPr="00E169D2">
              <w:rPr>
                <w:rFonts w:ascii="Times New Roman" w:hAnsi="Times New Roman"/>
                <w:b/>
                <w:bCs/>
                <w:sz w:val="24"/>
                <w:szCs w:val="24"/>
                <w:lang w:val="lv-LV"/>
              </w:rPr>
              <w:t>1 0</w:t>
            </w:r>
            <w:r w:rsidR="001857D0" w:rsidRPr="00E169D2">
              <w:rPr>
                <w:rFonts w:ascii="Times New Roman" w:hAnsi="Times New Roman"/>
                <w:b/>
                <w:bCs/>
                <w:sz w:val="24"/>
                <w:szCs w:val="24"/>
                <w:lang w:val="lv-LV"/>
              </w:rPr>
              <w:t>36</w:t>
            </w:r>
            <w:r w:rsidRPr="0012317D">
              <w:rPr>
                <w:rFonts w:ascii="Times New Roman" w:hAnsi="Times New Roman"/>
                <w:b/>
                <w:bCs/>
                <w:sz w:val="24"/>
                <w:szCs w:val="24"/>
                <w:lang w:val="lv-LV"/>
              </w:rPr>
              <w:t xml:space="preserve"> endoprotezēšanas operācijas;</w:t>
            </w:r>
          </w:p>
          <w:p w14:paraId="79B5B66A" w14:textId="1869F40C" w:rsidR="0030341C"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C24C96">
              <w:rPr>
                <w:rFonts w:ascii="Times New Roman" w:hAnsi="Times New Roman"/>
                <w:b/>
                <w:bCs/>
                <w:sz w:val="24"/>
                <w:szCs w:val="24"/>
                <w:lang w:val="lv-LV"/>
              </w:rPr>
              <w:t>1 620</w:t>
            </w:r>
            <w:r w:rsidRPr="0012317D">
              <w:rPr>
                <w:rFonts w:ascii="Times New Roman" w:hAnsi="Times New Roman"/>
                <w:b/>
                <w:bCs/>
                <w:sz w:val="24"/>
                <w:szCs w:val="24"/>
                <w:lang w:val="lv-LV"/>
              </w:rPr>
              <w:t xml:space="preserve"> pakalpojumi pacientiem darbspējas vecumā;</w:t>
            </w:r>
          </w:p>
          <w:p w14:paraId="1C3CC2EA" w14:textId="1BD22053" w:rsidR="001B1A2C" w:rsidRPr="00C65D3E" w:rsidRDefault="001B1A2C" w:rsidP="00F2728F">
            <w:pPr>
              <w:pStyle w:val="ListParagraph"/>
              <w:numPr>
                <w:ilvl w:val="0"/>
                <w:numId w:val="2"/>
              </w:numPr>
              <w:jc w:val="both"/>
              <w:rPr>
                <w:rFonts w:ascii="Times New Roman" w:hAnsi="Times New Roman"/>
                <w:b/>
                <w:bCs/>
                <w:sz w:val="24"/>
                <w:szCs w:val="24"/>
                <w:lang w:val="lv-LV"/>
              </w:rPr>
            </w:pPr>
            <w:r w:rsidRPr="00C65D3E">
              <w:rPr>
                <w:rFonts w:ascii="Times New Roman" w:hAnsi="Times New Roman"/>
                <w:b/>
                <w:bCs/>
                <w:sz w:val="24"/>
                <w:szCs w:val="24"/>
                <w:lang w:val="lv-LV"/>
              </w:rPr>
              <w:t>Papildus sāpju kabineta pakalpojumi</w:t>
            </w:r>
            <w:r w:rsidR="00A16DD9" w:rsidRPr="00C65D3E">
              <w:rPr>
                <w:rFonts w:ascii="Times New Roman" w:hAnsi="Times New Roman"/>
                <w:b/>
                <w:bCs/>
                <w:sz w:val="24"/>
                <w:szCs w:val="24"/>
                <w:lang w:val="lv-LV"/>
              </w:rPr>
              <w:t xml:space="preserve"> </w:t>
            </w:r>
            <w:r w:rsidR="00800D07">
              <w:rPr>
                <w:rFonts w:ascii="Times New Roman" w:hAnsi="Times New Roman"/>
                <w:b/>
                <w:bCs/>
                <w:sz w:val="24"/>
                <w:szCs w:val="24"/>
                <w:lang w:val="lv-LV"/>
              </w:rPr>
              <w:t>11 325</w:t>
            </w:r>
            <w:r w:rsidR="00A16DD9" w:rsidRPr="00C65D3E">
              <w:rPr>
                <w:rFonts w:ascii="Times New Roman" w:hAnsi="Times New Roman"/>
                <w:b/>
                <w:bCs/>
                <w:sz w:val="24"/>
                <w:szCs w:val="24"/>
                <w:lang w:val="lv-LV"/>
              </w:rPr>
              <w:t xml:space="preserve"> pacientiem;</w:t>
            </w:r>
          </w:p>
          <w:p w14:paraId="4B23ED4E" w14:textId="77777777" w:rsidR="0030341C" w:rsidRPr="00C86312"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P</w:t>
            </w:r>
            <w:r w:rsidR="00CB0002" w:rsidRPr="0012317D">
              <w:rPr>
                <w:rFonts w:ascii="Times New Roman" w:hAnsi="Times New Roman"/>
                <w:b/>
                <w:bCs/>
                <w:sz w:val="24"/>
                <w:szCs w:val="24"/>
                <w:lang w:val="lv-LV"/>
              </w:rPr>
              <w:t>apildus 7 aknu transplantācijas;</w:t>
            </w:r>
          </w:p>
          <w:p w14:paraId="3C539949" w14:textId="085486C3" w:rsidR="00CB0002" w:rsidRDefault="0048215F" w:rsidP="00F2728F">
            <w:pPr>
              <w:pStyle w:val="ListParagraph"/>
              <w:numPr>
                <w:ilvl w:val="0"/>
                <w:numId w:val="2"/>
              </w:numPr>
              <w:jc w:val="both"/>
              <w:rPr>
                <w:rFonts w:ascii="Times New Roman" w:hAnsi="Times New Roman"/>
                <w:b/>
                <w:bCs/>
                <w:sz w:val="24"/>
                <w:szCs w:val="24"/>
                <w:lang w:val="lv-LV"/>
              </w:rPr>
            </w:pPr>
            <w:r>
              <w:rPr>
                <w:rFonts w:ascii="Times New Roman" w:hAnsi="Times New Roman"/>
                <w:b/>
                <w:bCs/>
                <w:sz w:val="24"/>
                <w:szCs w:val="24"/>
                <w:lang w:val="lv-LV"/>
              </w:rPr>
              <w:t>B</w:t>
            </w:r>
            <w:r w:rsidR="004468EA">
              <w:rPr>
                <w:rFonts w:ascii="Times New Roman" w:hAnsi="Times New Roman"/>
                <w:b/>
                <w:bCs/>
                <w:sz w:val="24"/>
                <w:szCs w:val="24"/>
                <w:lang w:val="lv-LV"/>
              </w:rPr>
              <w:t>ioloģisko</w:t>
            </w:r>
            <w:r w:rsidR="0071331A" w:rsidRPr="0012317D">
              <w:rPr>
                <w:rFonts w:ascii="Times New Roman" w:hAnsi="Times New Roman"/>
                <w:b/>
                <w:bCs/>
                <w:sz w:val="24"/>
                <w:szCs w:val="24"/>
                <w:lang w:val="lv-LV"/>
              </w:rPr>
              <w:t xml:space="preserve"> medikamentu nodrošinājums </w:t>
            </w:r>
            <w:r w:rsidR="00B5305F" w:rsidRPr="0012317D">
              <w:rPr>
                <w:rFonts w:ascii="Times New Roman" w:hAnsi="Times New Roman"/>
                <w:b/>
                <w:bCs/>
                <w:sz w:val="24"/>
                <w:szCs w:val="24"/>
                <w:lang w:val="lv-LV"/>
              </w:rPr>
              <w:t>1</w:t>
            </w:r>
            <w:r w:rsidR="000E6EA2">
              <w:rPr>
                <w:rFonts w:ascii="Times New Roman" w:hAnsi="Times New Roman"/>
                <w:b/>
                <w:bCs/>
                <w:sz w:val="24"/>
                <w:szCs w:val="24"/>
                <w:lang w:val="lv-LV"/>
              </w:rPr>
              <w:t>75</w:t>
            </w:r>
            <w:r w:rsidR="00B5305F" w:rsidRPr="0012317D">
              <w:rPr>
                <w:rFonts w:ascii="Times New Roman" w:hAnsi="Times New Roman"/>
                <w:b/>
                <w:bCs/>
                <w:sz w:val="24"/>
                <w:szCs w:val="24"/>
                <w:lang w:val="lv-LV"/>
              </w:rPr>
              <w:t xml:space="preserve"> </w:t>
            </w:r>
            <w:r w:rsidR="00B64255" w:rsidRPr="00BA03E4">
              <w:rPr>
                <w:rFonts w:ascii="Times New Roman" w:hAnsi="Times New Roman"/>
                <w:b/>
                <w:bCs/>
                <w:sz w:val="24"/>
                <w:szCs w:val="24"/>
                <w:lang w:val="lv-LV"/>
              </w:rPr>
              <w:t xml:space="preserve">Krona slimības, čūlainā kolīta un psoriāzes </w:t>
            </w:r>
            <w:r w:rsidR="00B5305F" w:rsidRPr="0012317D">
              <w:rPr>
                <w:rFonts w:ascii="Times New Roman" w:hAnsi="Times New Roman"/>
                <w:b/>
                <w:bCs/>
                <w:sz w:val="24"/>
                <w:szCs w:val="24"/>
                <w:lang w:val="lv-LV"/>
              </w:rPr>
              <w:t xml:space="preserve">pacientiem un </w:t>
            </w:r>
            <w:r w:rsidR="004468EA">
              <w:rPr>
                <w:rFonts w:ascii="Times New Roman" w:hAnsi="Times New Roman"/>
                <w:b/>
                <w:bCs/>
                <w:sz w:val="24"/>
                <w:szCs w:val="24"/>
                <w:lang w:val="lv-LV"/>
              </w:rPr>
              <w:t xml:space="preserve">100% kompensācijas apjoma </w:t>
            </w:r>
            <w:r>
              <w:rPr>
                <w:rFonts w:ascii="Times New Roman" w:hAnsi="Times New Roman"/>
                <w:b/>
                <w:bCs/>
                <w:sz w:val="24"/>
                <w:szCs w:val="24"/>
                <w:lang w:val="lv-LV"/>
              </w:rPr>
              <w:t xml:space="preserve">saglabāšanas </w:t>
            </w:r>
            <w:r w:rsidR="004468EA">
              <w:rPr>
                <w:rFonts w:ascii="Times New Roman" w:hAnsi="Times New Roman"/>
                <w:b/>
                <w:bCs/>
                <w:sz w:val="24"/>
                <w:szCs w:val="24"/>
                <w:lang w:val="lv-LV"/>
              </w:rPr>
              <w:t>nodrošinājums</w:t>
            </w:r>
            <w:r w:rsidR="00B5305F" w:rsidRPr="0012317D">
              <w:rPr>
                <w:rFonts w:ascii="Times New Roman" w:hAnsi="Times New Roman"/>
                <w:b/>
                <w:bCs/>
                <w:sz w:val="24"/>
                <w:szCs w:val="24"/>
                <w:lang w:val="lv-LV"/>
              </w:rPr>
              <w:t xml:space="preserve"> 11 697 </w:t>
            </w:r>
            <w:r w:rsidR="00B64255" w:rsidRPr="00BA03E4">
              <w:rPr>
                <w:rFonts w:ascii="Times New Roman" w:hAnsi="Times New Roman"/>
                <w:b/>
                <w:bCs/>
                <w:sz w:val="24"/>
                <w:szCs w:val="24"/>
                <w:lang w:val="lv-LV"/>
              </w:rPr>
              <w:t xml:space="preserve">Krona slimības, čūlainā kolīta un psoriāzes </w:t>
            </w:r>
            <w:r w:rsidR="00B5305F" w:rsidRPr="0012317D">
              <w:rPr>
                <w:rFonts w:ascii="Times New Roman" w:hAnsi="Times New Roman"/>
                <w:b/>
                <w:bCs/>
                <w:sz w:val="24"/>
                <w:szCs w:val="24"/>
                <w:lang w:val="lv-LV"/>
              </w:rPr>
              <w:t>pacientiem</w:t>
            </w:r>
            <w:r w:rsidR="00D87D7A" w:rsidRPr="0012317D">
              <w:rPr>
                <w:rFonts w:ascii="Times New Roman" w:hAnsi="Times New Roman"/>
                <w:b/>
                <w:bCs/>
                <w:sz w:val="24"/>
                <w:szCs w:val="24"/>
                <w:lang w:val="lv-LV"/>
              </w:rPr>
              <w:t>;</w:t>
            </w:r>
          </w:p>
          <w:p w14:paraId="7692697B" w14:textId="672EE259" w:rsidR="00A16DD9" w:rsidRPr="00C86312" w:rsidRDefault="00A16DD9" w:rsidP="00F2728F">
            <w:pPr>
              <w:pStyle w:val="ListParagraph"/>
              <w:numPr>
                <w:ilvl w:val="0"/>
                <w:numId w:val="2"/>
              </w:numPr>
              <w:jc w:val="both"/>
              <w:rPr>
                <w:rFonts w:ascii="Times New Roman" w:hAnsi="Times New Roman"/>
                <w:b/>
                <w:bCs/>
                <w:sz w:val="24"/>
                <w:szCs w:val="24"/>
                <w:lang w:val="lv-LV"/>
              </w:rPr>
            </w:pPr>
            <w:r>
              <w:rPr>
                <w:rFonts w:ascii="Times New Roman" w:hAnsi="Times New Roman"/>
                <w:b/>
                <w:bCs/>
                <w:sz w:val="24"/>
                <w:szCs w:val="24"/>
                <w:lang w:val="lv-LV"/>
              </w:rPr>
              <w:t xml:space="preserve">Papildus </w:t>
            </w:r>
            <w:r w:rsidR="00D3460B">
              <w:rPr>
                <w:rFonts w:ascii="Times New Roman" w:hAnsi="Times New Roman"/>
                <w:b/>
                <w:bCs/>
                <w:sz w:val="24"/>
                <w:szCs w:val="24"/>
                <w:lang w:val="lv-LV"/>
              </w:rPr>
              <w:t>753 152</w:t>
            </w:r>
            <w:r>
              <w:rPr>
                <w:rFonts w:ascii="Times New Roman" w:hAnsi="Times New Roman"/>
                <w:b/>
                <w:bCs/>
                <w:sz w:val="24"/>
                <w:szCs w:val="24"/>
                <w:lang w:val="lv-LV"/>
              </w:rPr>
              <w:t xml:space="preserve"> laboratoriskie izmeklējumi;</w:t>
            </w:r>
          </w:p>
          <w:p w14:paraId="6E2C5817" w14:textId="2870B96E" w:rsidR="00D87D7A" w:rsidRPr="00007A5A"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D16E66">
              <w:rPr>
                <w:rFonts w:ascii="Times New Roman" w:hAnsi="Times New Roman"/>
                <w:b/>
                <w:bCs/>
                <w:sz w:val="24"/>
                <w:szCs w:val="24"/>
                <w:lang w:val="lv-LV"/>
              </w:rPr>
              <w:t>13 142</w:t>
            </w:r>
            <w:r w:rsidR="000E6EA2" w:rsidRPr="00007A5A">
              <w:rPr>
                <w:rFonts w:ascii="Times New Roman" w:hAnsi="Times New Roman"/>
                <w:b/>
                <w:bCs/>
                <w:sz w:val="24"/>
                <w:szCs w:val="24"/>
                <w:lang w:val="lv-LV"/>
              </w:rPr>
              <w:t xml:space="preserve"> </w:t>
            </w:r>
            <w:r w:rsidRPr="00007A5A">
              <w:rPr>
                <w:rFonts w:ascii="Times New Roman" w:hAnsi="Times New Roman"/>
                <w:b/>
                <w:bCs/>
                <w:sz w:val="24"/>
                <w:szCs w:val="24"/>
                <w:lang w:val="lv-LV"/>
              </w:rPr>
              <w:t xml:space="preserve"> hronisko pacientu aprūpe.</w:t>
            </w:r>
          </w:p>
          <w:p w14:paraId="363C4AA4" w14:textId="77777777" w:rsidR="00A81563" w:rsidRPr="00847710" w:rsidRDefault="00A81563" w:rsidP="00910EE6">
            <w:pPr>
              <w:ind w:firstLine="720"/>
              <w:jc w:val="both"/>
              <w:rPr>
                <w:rFonts w:ascii="Times New Roman" w:hAnsi="Times New Roman"/>
                <w:b/>
                <w:sz w:val="24"/>
                <w:szCs w:val="24"/>
              </w:rPr>
            </w:pPr>
          </w:p>
          <w:p w14:paraId="50777499" w14:textId="2B0BE9F3" w:rsidR="00A81563" w:rsidRPr="00701B49" w:rsidRDefault="0071331A" w:rsidP="00910EE6">
            <w:pPr>
              <w:jc w:val="both"/>
              <w:rPr>
                <w:rFonts w:ascii="Times New Roman" w:hAnsi="Times New Roman"/>
                <w:b/>
                <w:bCs/>
                <w:sz w:val="24"/>
                <w:szCs w:val="24"/>
              </w:rPr>
            </w:pPr>
            <w:r w:rsidRPr="0012317D">
              <w:rPr>
                <w:rFonts w:ascii="Times New Roman" w:hAnsi="Times New Roman"/>
                <w:b/>
                <w:bCs/>
                <w:sz w:val="24"/>
                <w:szCs w:val="24"/>
              </w:rPr>
              <w:t xml:space="preserve">Kopā </w:t>
            </w:r>
            <w:r w:rsidRPr="00104D43">
              <w:rPr>
                <w:rFonts w:ascii="Times New Roman" w:hAnsi="Times New Roman"/>
                <w:b/>
                <w:bCs/>
                <w:sz w:val="24"/>
                <w:szCs w:val="24"/>
              </w:rPr>
              <w:t xml:space="preserve">ambulatoro pakalpojumu skaita pieaugums </w:t>
            </w:r>
            <w:r w:rsidR="001F7C25">
              <w:rPr>
                <w:rFonts w:ascii="Times New Roman" w:hAnsi="Times New Roman"/>
                <w:b/>
                <w:bCs/>
                <w:sz w:val="24"/>
                <w:szCs w:val="24"/>
              </w:rPr>
              <w:t>646 969</w:t>
            </w:r>
            <w:r w:rsidRPr="00104D43">
              <w:rPr>
                <w:rFonts w:ascii="Times New Roman" w:hAnsi="Times New Roman"/>
                <w:b/>
                <w:bCs/>
                <w:sz w:val="24"/>
                <w:szCs w:val="24"/>
              </w:rPr>
              <w:t xml:space="preserve"> pacientiem (pakalpojumu pieaugums </w:t>
            </w:r>
            <w:r w:rsidR="001F7C25">
              <w:rPr>
                <w:rFonts w:ascii="Times New Roman" w:hAnsi="Times New Roman"/>
                <w:b/>
                <w:bCs/>
                <w:sz w:val="24"/>
                <w:szCs w:val="24"/>
              </w:rPr>
              <w:t>10</w:t>
            </w:r>
            <w:r w:rsidR="00AB3E95" w:rsidRPr="00104D43">
              <w:rPr>
                <w:rFonts w:ascii="Times New Roman" w:hAnsi="Times New Roman"/>
                <w:b/>
                <w:bCs/>
                <w:sz w:val="24"/>
                <w:szCs w:val="24"/>
              </w:rPr>
              <w:t>,</w:t>
            </w:r>
            <w:r w:rsidR="001F7C25">
              <w:rPr>
                <w:rFonts w:ascii="Times New Roman" w:hAnsi="Times New Roman"/>
                <w:b/>
                <w:bCs/>
                <w:sz w:val="24"/>
                <w:szCs w:val="24"/>
              </w:rPr>
              <w:t>97</w:t>
            </w:r>
            <w:r w:rsidRPr="00104D43">
              <w:rPr>
                <w:rFonts w:ascii="Times New Roman" w:hAnsi="Times New Roman"/>
                <w:b/>
                <w:bCs/>
                <w:sz w:val="24"/>
                <w:szCs w:val="24"/>
              </w:rPr>
              <w:t>%), samazinot</w:t>
            </w:r>
            <w:r w:rsidRPr="00901A9F">
              <w:rPr>
                <w:rFonts w:ascii="Times New Roman" w:hAnsi="Times New Roman"/>
                <w:b/>
                <w:bCs/>
                <w:sz w:val="24"/>
                <w:szCs w:val="24"/>
              </w:rPr>
              <w:t xml:space="preserve"> gaidīšanas rindas līdz </w:t>
            </w:r>
            <w:r w:rsidR="00EA6FB5">
              <w:rPr>
                <w:rFonts w:ascii="Times New Roman" w:hAnsi="Times New Roman"/>
                <w:b/>
                <w:bCs/>
                <w:sz w:val="24"/>
                <w:szCs w:val="24"/>
              </w:rPr>
              <w:t>5</w:t>
            </w:r>
            <w:r w:rsidRPr="00901A9F">
              <w:rPr>
                <w:rFonts w:ascii="Times New Roman" w:hAnsi="Times New Roman"/>
                <w:b/>
                <w:bCs/>
                <w:sz w:val="24"/>
                <w:szCs w:val="24"/>
              </w:rPr>
              <w:t xml:space="preserve">0%, diabēta kabinetos sniegti pakalpojumi </w:t>
            </w:r>
            <w:r w:rsidR="005049A0">
              <w:rPr>
                <w:rFonts w:ascii="Times New Roman" w:hAnsi="Times New Roman"/>
                <w:b/>
                <w:sz w:val="24"/>
                <w:szCs w:val="24"/>
              </w:rPr>
              <w:t>41 769</w:t>
            </w:r>
            <w:r w:rsidRPr="004D4B58">
              <w:rPr>
                <w:rFonts w:ascii="Times New Roman" w:hAnsi="Times New Roman"/>
                <w:b/>
                <w:sz w:val="24"/>
                <w:szCs w:val="24"/>
              </w:rPr>
              <w:t xml:space="preserve"> pacientiem. Endoprotezēšanas pakalpojumu rindu samazinājums </w:t>
            </w:r>
            <w:r w:rsidR="005049A0">
              <w:rPr>
                <w:rFonts w:ascii="Times New Roman" w:hAnsi="Times New Roman"/>
                <w:b/>
                <w:sz w:val="24"/>
                <w:szCs w:val="24"/>
              </w:rPr>
              <w:t>30</w:t>
            </w:r>
            <w:r w:rsidRPr="004D4B58">
              <w:rPr>
                <w:rFonts w:ascii="Times New Roman" w:hAnsi="Times New Roman"/>
                <w:b/>
                <w:sz w:val="24"/>
                <w:szCs w:val="24"/>
              </w:rPr>
              <w:t>% apmērā.</w:t>
            </w:r>
          </w:p>
        </w:tc>
      </w:tr>
    </w:tbl>
    <w:p w14:paraId="170A952B" w14:textId="77777777" w:rsidR="00CA5CDB" w:rsidRDefault="00CA5CDB" w:rsidP="00C919AA">
      <w:pPr>
        <w:spacing w:after="120"/>
        <w:ind w:firstLine="720"/>
        <w:jc w:val="both"/>
        <w:rPr>
          <w:rFonts w:ascii="Times New Roman" w:hAnsi="Times New Roman" w:cs="Times New Roman"/>
          <w:sz w:val="24"/>
          <w:szCs w:val="24"/>
          <w:lang w:eastAsia="lv-LV"/>
        </w:rPr>
      </w:pPr>
    </w:p>
    <w:p w14:paraId="3A33209E" w14:textId="04D5BEEF" w:rsidR="00CA466B" w:rsidRDefault="0071331A" w:rsidP="00C919AA">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Tādējādi </w:t>
      </w:r>
      <w:r w:rsidR="00C86570">
        <w:rPr>
          <w:rFonts w:ascii="Times New Roman" w:hAnsi="Times New Roman" w:cs="Times New Roman"/>
          <w:sz w:val="24"/>
          <w:szCs w:val="24"/>
          <w:lang w:eastAsia="lv-LV"/>
        </w:rPr>
        <w:t xml:space="preserve">turpinot </w:t>
      </w:r>
      <w:r w:rsidRPr="00847710">
        <w:rPr>
          <w:rFonts w:ascii="Times New Roman" w:hAnsi="Times New Roman" w:cs="Times New Roman"/>
          <w:sz w:val="24"/>
          <w:szCs w:val="24"/>
          <w:lang w:eastAsia="lv-LV"/>
        </w:rPr>
        <w:t>novirz</w:t>
      </w:r>
      <w:r w:rsidR="00C86570">
        <w:rPr>
          <w:rFonts w:ascii="Times New Roman" w:hAnsi="Times New Roman" w:cs="Times New Roman"/>
          <w:sz w:val="24"/>
          <w:szCs w:val="24"/>
          <w:lang w:eastAsia="lv-LV"/>
        </w:rPr>
        <w:t>ī</w:t>
      </w:r>
      <w:r w:rsidRPr="00847710">
        <w:rPr>
          <w:rFonts w:ascii="Times New Roman" w:hAnsi="Times New Roman" w:cs="Times New Roman"/>
          <w:sz w:val="24"/>
          <w:szCs w:val="24"/>
          <w:lang w:eastAsia="lv-LV"/>
        </w:rPr>
        <w:t xml:space="preserve">t </w:t>
      </w:r>
      <w:r w:rsidR="006A56B2" w:rsidRPr="00847710">
        <w:rPr>
          <w:rFonts w:ascii="Times New Roman" w:hAnsi="Times New Roman" w:cs="Times New Roman"/>
          <w:sz w:val="24"/>
          <w:szCs w:val="24"/>
          <w:lang w:eastAsia="lv-LV"/>
        </w:rPr>
        <w:t xml:space="preserve">papildus </w:t>
      </w:r>
      <w:r w:rsidRPr="00847710">
        <w:rPr>
          <w:rFonts w:ascii="Times New Roman" w:hAnsi="Times New Roman" w:cs="Times New Roman"/>
          <w:sz w:val="24"/>
          <w:szCs w:val="24"/>
          <w:lang w:eastAsia="lv-LV"/>
        </w:rPr>
        <w:t xml:space="preserve">finansējumu </w:t>
      </w:r>
      <w:r w:rsidR="006A56B2" w:rsidRPr="00847710">
        <w:rPr>
          <w:rFonts w:ascii="Times New Roman" w:hAnsi="Times New Roman" w:cs="Times New Roman"/>
          <w:sz w:val="24"/>
          <w:szCs w:val="24"/>
          <w:lang w:eastAsia="lv-LV"/>
        </w:rPr>
        <w:t>veselības aprūpes pakalpojumiem</w:t>
      </w:r>
      <w:r w:rsidRPr="00847710">
        <w:rPr>
          <w:rFonts w:ascii="Times New Roman" w:hAnsi="Times New Roman" w:cs="Times New Roman"/>
          <w:sz w:val="24"/>
          <w:szCs w:val="24"/>
          <w:lang w:eastAsia="lv-LV"/>
        </w:rPr>
        <w:t>, uzlabosies to pieejamība, samazināsies darbnespējas gadījumu skaits un ilgums, kas rezultēsies labākos veselības rādītājos sabiedrībā, samazinot potenciāli zaudēto mūža gadus</w:t>
      </w:r>
      <w:r w:rsidR="00E60057" w:rsidRPr="00847710">
        <w:rPr>
          <w:rFonts w:ascii="Times New Roman" w:hAnsi="Times New Roman" w:cs="Times New Roman"/>
          <w:sz w:val="24"/>
          <w:szCs w:val="24"/>
          <w:lang w:eastAsia="lv-LV"/>
        </w:rPr>
        <w:t>.</w:t>
      </w:r>
      <w:r>
        <w:rPr>
          <w:rStyle w:val="FootnoteReference"/>
          <w:rFonts w:ascii="Times New Roman" w:hAnsi="Times New Roman" w:cs="Times New Roman"/>
          <w:sz w:val="24"/>
          <w:szCs w:val="24"/>
          <w:lang w:eastAsia="lv-LV"/>
        </w:rPr>
        <w:footnoteReference w:id="18"/>
      </w:r>
    </w:p>
    <w:p w14:paraId="3582F48E" w14:textId="77777777" w:rsidR="00DB0DD4" w:rsidRPr="00847710" w:rsidRDefault="00DB0DD4" w:rsidP="00DB0DD4">
      <w:pPr>
        <w:spacing w:after="0" w:line="240" w:lineRule="auto"/>
        <w:ind w:firstLine="720"/>
        <w:jc w:val="both"/>
        <w:rPr>
          <w:rFonts w:ascii="Times New Roman" w:hAnsi="Times New Roman" w:cs="Times New Roman"/>
          <w:sz w:val="24"/>
          <w:szCs w:val="24"/>
          <w:lang w:eastAsia="lv-LV"/>
        </w:rPr>
      </w:pPr>
    </w:p>
    <w:p w14:paraId="56772151" w14:textId="77777777" w:rsidR="00FA37E8" w:rsidRPr="00C86312" w:rsidRDefault="0071331A" w:rsidP="00F2728F">
      <w:pPr>
        <w:pStyle w:val="Heading2"/>
        <w:numPr>
          <w:ilvl w:val="0"/>
          <w:numId w:val="6"/>
        </w:numPr>
        <w:spacing w:before="0" w:after="200"/>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Onkoloģisko saslimšanu diagnostikas un ārstēšanas pieejamības uzlabošana</w:t>
      </w:r>
    </w:p>
    <w:p w14:paraId="33460B0D" w14:textId="02931756" w:rsidR="003A5334" w:rsidRPr="00C86312" w:rsidRDefault="0071331A"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2.1. Reformas rezultāti 201</w:t>
      </w:r>
      <w:r w:rsidR="00BA45E4">
        <w:rPr>
          <w:rFonts w:ascii="Times New Roman" w:hAnsi="Times New Roman" w:cs="Times New Roman"/>
          <w:b/>
          <w:bCs/>
          <w:color w:val="auto"/>
          <w:sz w:val="24"/>
          <w:szCs w:val="24"/>
          <w:u w:val="single"/>
        </w:rPr>
        <w:t>8</w:t>
      </w:r>
      <w:r w:rsidRPr="0012317D">
        <w:rPr>
          <w:rFonts w:ascii="Times New Roman" w:hAnsi="Times New Roman" w:cs="Times New Roman"/>
          <w:b/>
          <w:bCs/>
          <w:color w:val="auto"/>
          <w:sz w:val="24"/>
          <w:szCs w:val="24"/>
          <w:u w:val="single"/>
        </w:rPr>
        <w:t>.</w:t>
      </w:r>
      <w:r w:rsidR="00BA45E4">
        <w:rPr>
          <w:rFonts w:ascii="Times New Roman" w:hAnsi="Times New Roman" w:cs="Times New Roman"/>
          <w:b/>
          <w:bCs/>
          <w:color w:val="auto"/>
          <w:sz w:val="24"/>
          <w:szCs w:val="24"/>
          <w:u w:val="single"/>
        </w:rPr>
        <w:t>gada 1.pus</w:t>
      </w:r>
      <w:r w:rsidRPr="0012317D">
        <w:rPr>
          <w:rFonts w:ascii="Times New Roman" w:hAnsi="Times New Roman" w:cs="Times New Roman"/>
          <w:b/>
          <w:bCs/>
          <w:color w:val="auto"/>
          <w:sz w:val="24"/>
          <w:szCs w:val="24"/>
          <w:u w:val="single"/>
        </w:rPr>
        <w:t>gadā</w:t>
      </w:r>
    </w:p>
    <w:p w14:paraId="2122B768" w14:textId="7ED4079E" w:rsidR="003A5334" w:rsidRPr="000F512F" w:rsidRDefault="00A34237" w:rsidP="00FA37E8">
      <w:pPr>
        <w:spacing w:after="120"/>
        <w:ind w:firstLine="567"/>
        <w:jc w:val="both"/>
        <w:rPr>
          <w:rFonts w:ascii="Times New Roman" w:eastAsia="Times New Roman" w:hAnsi="Times New Roman" w:cs="Times New Roman"/>
          <w:sz w:val="24"/>
          <w:szCs w:val="24"/>
          <w:lang w:eastAsia="lv-LV"/>
        </w:rPr>
      </w:pPr>
      <w:r w:rsidRPr="00007A5A">
        <w:rPr>
          <w:rFonts w:ascii="Times New Roman" w:hAnsi="Times New Roman" w:cs="Times New Roman"/>
          <w:sz w:val="24"/>
          <w:szCs w:val="24"/>
        </w:rPr>
        <w:t xml:space="preserve">Ar Ministru kabineta 2017.gada 19.decembra sēdes protokola Nr.63 66§ 2.punktu, Veselības ministrijai 2018.gadā no budžeta resora "74.Gadskārtējā valsts budžeta izpildes procesā pārdalāmais finansējums" 08.00.00 programmas "Veselības aprūpes sistēmas reformas ieviešanas finansējums" rezervētā finansējuma piešķirts finansējums 113 400 000 </w:t>
      </w:r>
      <w:r w:rsidRPr="00007A5A">
        <w:rPr>
          <w:rFonts w:ascii="Times New Roman" w:hAnsi="Times New Roman" w:cs="Times New Roman"/>
          <w:i/>
          <w:sz w:val="24"/>
          <w:szCs w:val="24"/>
        </w:rPr>
        <w:t xml:space="preserve">euro </w:t>
      </w:r>
      <w:r w:rsidRPr="00007A5A">
        <w:rPr>
          <w:rFonts w:ascii="Times New Roman" w:hAnsi="Times New Roman" w:cs="Times New Roman"/>
          <w:sz w:val="24"/>
          <w:szCs w:val="24"/>
        </w:rPr>
        <w:t xml:space="preserve">apmērā, </w:t>
      </w:r>
      <w:r w:rsidRPr="00007A5A">
        <w:rPr>
          <w:rFonts w:ascii="Times New Roman" w:hAnsi="Times New Roman" w:cs="Times New Roman"/>
          <w:sz w:val="24"/>
          <w:szCs w:val="24"/>
        </w:rPr>
        <w:lastRenderedPageBreak/>
        <w:t xml:space="preserve">tai skaitā </w:t>
      </w:r>
      <w:r w:rsidR="0071331A" w:rsidRPr="005A228D">
        <w:rPr>
          <w:rFonts w:ascii="Times New Roman" w:eastAsia="Times New Roman" w:hAnsi="Times New Roman" w:cs="Times New Roman"/>
          <w:sz w:val="24"/>
          <w:szCs w:val="24"/>
          <w:lang w:eastAsia="lv-LV"/>
        </w:rPr>
        <w:t xml:space="preserve"> 1</w:t>
      </w:r>
      <w:r w:rsidR="00067E55" w:rsidRPr="005A228D">
        <w:rPr>
          <w:rFonts w:ascii="Times New Roman" w:eastAsia="Times New Roman" w:hAnsi="Times New Roman" w:cs="Times New Roman"/>
          <w:sz w:val="24"/>
          <w:szCs w:val="24"/>
          <w:lang w:eastAsia="lv-LV"/>
        </w:rPr>
        <w:t>9</w:t>
      </w:r>
      <w:r w:rsidR="0071331A" w:rsidRPr="005A228D">
        <w:rPr>
          <w:rFonts w:ascii="Times New Roman" w:eastAsia="Times New Roman" w:hAnsi="Times New Roman" w:cs="Times New Roman"/>
          <w:sz w:val="24"/>
          <w:szCs w:val="24"/>
          <w:lang w:eastAsia="lv-LV"/>
        </w:rPr>
        <w:t xml:space="preserve"> </w:t>
      </w:r>
      <w:r w:rsidR="00067E55" w:rsidRPr="00D96B01">
        <w:rPr>
          <w:rFonts w:ascii="Times New Roman" w:eastAsia="Times New Roman" w:hAnsi="Times New Roman" w:cs="Times New Roman"/>
          <w:sz w:val="24"/>
          <w:szCs w:val="24"/>
          <w:lang w:eastAsia="lv-LV"/>
        </w:rPr>
        <w:t>330 590</w:t>
      </w:r>
      <w:r w:rsidR="0071331A" w:rsidRPr="00D369B9">
        <w:rPr>
          <w:rFonts w:ascii="Times New Roman" w:eastAsia="Times New Roman" w:hAnsi="Times New Roman" w:cs="Times New Roman"/>
          <w:sz w:val="24"/>
          <w:szCs w:val="24"/>
          <w:lang w:eastAsia="lv-LV"/>
        </w:rPr>
        <w:t xml:space="preserve"> </w:t>
      </w:r>
      <w:r w:rsidR="0071331A" w:rsidRPr="00983AEB">
        <w:rPr>
          <w:rFonts w:ascii="Times New Roman" w:eastAsia="Times New Roman" w:hAnsi="Times New Roman" w:cs="Times New Roman"/>
          <w:i/>
          <w:sz w:val="24"/>
          <w:szCs w:val="24"/>
          <w:lang w:eastAsia="lv-LV"/>
        </w:rPr>
        <w:t>euro</w:t>
      </w:r>
      <w:r w:rsidR="0071331A" w:rsidRPr="00D369B9">
        <w:rPr>
          <w:rFonts w:ascii="Times New Roman" w:eastAsia="Times New Roman" w:hAnsi="Times New Roman" w:cs="Times New Roman"/>
          <w:sz w:val="24"/>
          <w:szCs w:val="24"/>
          <w:lang w:eastAsia="lv-LV"/>
        </w:rPr>
        <w:t xml:space="preserve"> apmērā onkoloģijas jomas reformām, lai </w:t>
      </w:r>
      <w:r w:rsidR="000F512F">
        <w:rPr>
          <w:rFonts w:ascii="Times New Roman" w:eastAsia="Times New Roman" w:hAnsi="Times New Roman" w:cs="Times New Roman"/>
          <w:sz w:val="24"/>
          <w:szCs w:val="24"/>
          <w:lang w:eastAsia="lv-LV"/>
        </w:rPr>
        <w:t xml:space="preserve">turpinātu 2017.gadā iesākto </w:t>
      </w:r>
      <w:r w:rsidR="0071331A" w:rsidRPr="000F512F">
        <w:rPr>
          <w:rFonts w:ascii="Times New Roman" w:eastAsia="Times New Roman" w:hAnsi="Times New Roman" w:cs="Times New Roman"/>
          <w:sz w:val="24"/>
          <w:szCs w:val="24"/>
          <w:lang w:eastAsia="lv-LV"/>
        </w:rPr>
        <w:t>uzlabo</w:t>
      </w:r>
      <w:r w:rsidR="000F512F">
        <w:rPr>
          <w:rFonts w:ascii="Times New Roman" w:eastAsia="Times New Roman" w:hAnsi="Times New Roman" w:cs="Times New Roman"/>
          <w:sz w:val="24"/>
          <w:szCs w:val="24"/>
          <w:lang w:eastAsia="lv-LV"/>
        </w:rPr>
        <w:t>jot</w:t>
      </w:r>
      <w:r w:rsidR="0071331A" w:rsidRPr="000F512F">
        <w:rPr>
          <w:rFonts w:ascii="Times New Roman" w:eastAsia="Times New Roman" w:hAnsi="Times New Roman" w:cs="Times New Roman"/>
          <w:sz w:val="24"/>
          <w:szCs w:val="24"/>
          <w:lang w:eastAsia="lv-LV"/>
        </w:rPr>
        <w:t xml:space="preserve"> onkoloģisko saslimšanu diagnostikas un ārstēšanas pieejamību.</w:t>
      </w:r>
    </w:p>
    <w:p w14:paraId="4BE2E7C6" w14:textId="77777777" w:rsidR="009F080E" w:rsidRPr="00847710" w:rsidRDefault="0071331A" w:rsidP="000C1AB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Onkoloģisko saslimšanu ārstēšana iedalās vairākos secīgos posmos: </w:t>
      </w:r>
    </w:p>
    <w:p w14:paraId="5AE26C59" w14:textId="77777777" w:rsidR="009F080E" w:rsidRPr="00847710" w:rsidRDefault="0071331A" w:rsidP="00F2728F">
      <w:pPr>
        <w:pStyle w:val="ListParagraph"/>
        <w:numPr>
          <w:ilvl w:val="1"/>
          <w:numId w:val="7"/>
        </w:numPr>
        <w:spacing w:after="120"/>
        <w:jc w:val="both"/>
        <w:rPr>
          <w:rFonts w:ascii="Times New Roman" w:hAnsi="Times New Roman"/>
          <w:sz w:val="24"/>
          <w:szCs w:val="24"/>
          <w:lang w:val="lv-LV"/>
        </w:rPr>
      </w:pPr>
      <w:r w:rsidRPr="00847710">
        <w:rPr>
          <w:rFonts w:ascii="Times New Roman" w:hAnsi="Times New Roman"/>
          <w:sz w:val="24"/>
          <w:szCs w:val="24"/>
          <w:lang w:val="lv-LV"/>
        </w:rPr>
        <w:t>primārā diagnostika jeb aizdomas uz saslimšanu;</w:t>
      </w:r>
    </w:p>
    <w:p w14:paraId="3B636EDE" w14:textId="77777777" w:rsidR="009F080E" w:rsidRPr="00847710" w:rsidRDefault="0071331A" w:rsidP="00F2728F">
      <w:pPr>
        <w:pStyle w:val="ListParagraph"/>
        <w:numPr>
          <w:ilvl w:val="1"/>
          <w:numId w:val="7"/>
        </w:numPr>
        <w:spacing w:after="120"/>
        <w:jc w:val="both"/>
        <w:rPr>
          <w:rFonts w:ascii="Times New Roman" w:hAnsi="Times New Roman"/>
          <w:sz w:val="24"/>
          <w:szCs w:val="24"/>
          <w:lang w:val="lv-LV"/>
        </w:rPr>
      </w:pPr>
      <w:r w:rsidRPr="00847710">
        <w:rPr>
          <w:rFonts w:ascii="Times New Roman" w:hAnsi="Times New Roman"/>
          <w:sz w:val="24"/>
          <w:szCs w:val="24"/>
          <w:lang w:val="lv-LV"/>
        </w:rPr>
        <w:t>sekundārā diagnostika jeb aizdomu apstiprināšana un ārstēšanas plāna sastādīšana (konsīlija slēdziens);</w:t>
      </w:r>
    </w:p>
    <w:p w14:paraId="70A120FF" w14:textId="77777777" w:rsidR="009F080E" w:rsidRPr="00847710" w:rsidRDefault="0071331A" w:rsidP="00F2728F">
      <w:pPr>
        <w:pStyle w:val="ListParagraph"/>
        <w:numPr>
          <w:ilvl w:val="1"/>
          <w:numId w:val="7"/>
        </w:numPr>
        <w:spacing w:after="120"/>
        <w:jc w:val="both"/>
        <w:rPr>
          <w:rFonts w:ascii="Times New Roman" w:hAnsi="Times New Roman"/>
          <w:sz w:val="24"/>
          <w:szCs w:val="24"/>
          <w:lang w:val="lv-LV"/>
        </w:rPr>
      </w:pPr>
      <w:r w:rsidRPr="00847710">
        <w:rPr>
          <w:rFonts w:ascii="Times New Roman" w:hAnsi="Times New Roman"/>
          <w:sz w:val="24"/>
          <w:szCs w:val="24"/>
          <w:lang w:val="lv-LV"/>
        </w:rPr>
        <w:t>ārstēšana, kas atkarībā no saslimšanas rakstura un stadijas var būt ķirurģiska, medikamentoza (ķīmijterapija) un staru terapija;</w:t>
      </w:r>
    </w:p>
    <w:p w14:paraId="707BDB7B" w14:textId="77777777" w:rsidR="009F080E" w:rsidRPr="00847710" w:rsidRDefault="0071331A" w:rsidP="00F2728F">
      <w:pPr>
        <w:pStyle w:val="ListParagraph"/>
        <w:numPr>
          <w:ilvl w:val="1"/>
          <w:numId w:val="7"/>
        </w:numPr>
        <w:spacing w:after="120"/>
        <w:jc w:val="both"/>
        <w:rPr>
          <w:rFonts w:ascii="Times New Roman" w:hAnsi="Times New Roman"/>
          <w:sz w:val="24"/>
          <w:szCs w:val="24"/>
          <w:lang w:val="lv-LV"/>
        </w:rPr>
      </w:pPr>
      <w:r w:rsidRPr="00847710">
        <w:rPr>
          <w:rFonts w:ascii="Times New Roman" w:hAnsi="Times New Roman"/>
          <w:sz w:val="24"/>
          <w:szCs w:val="24"/>
          <w:lang w:val="lv-LV"/>
        </w:rPr>
        <w:t>rehabilitācija un pacienta dinamiskā novērošana pie speciālista un ģimenes ārsta.</w:t>
      </w:r>
    </w:p>
    <w:p w14:paraId="5A9FFFD5" w14:textId="77777777" w:rsidR="00D66ADC" w:rsidRPr="00847710" w:rsidRDefault="0071331A" w:rsidP="00847710">
      <w:pPr>
        <w:spacing w:after="120"/>
        <w:ind w:firstLine="709"/>
        <w:jc w:val="both"/>
        <w:rPr>
          <w:rFonts w:ascii="Times New Roman" w:hAnsi="Times New Roman"/>
          <w:sz w:val="24"/>
          <w:szCs w:val="24"/>
        </w:rPr>
      </w:pPr>
      <w:r w:rsidRPr="00847710">
        <w:rPr>
          <w:rFonts w:ascii="Times New Roman" w:hAnsi="Times New Roman"/>
          <w:sz w:val="24"/>
          <w:szCs w:val="24"/>
        </w:rPr>
        <w:t>Bez tam</w:t>
      </w:r>
      <w:r w:rsidR="004F37CE" w:rsidRPr="00847710">
        <w:rPr>
          <w:rFonts w:ascii="Times New Roman" w:hAnsi="Times New Roman"/>
          <w:sz w:val="24"/>
          <w:szCs w:val="24"/>
        </w:rPr>
        <w:t>,</w:t>
      </w:r>
      <w:r w:rsidRPr="00847710">
        <w:rPr>
          <w:rFonts w:ascii="Times New Roman" w:hAnsi="Times New Roman"/>
          <w:sz w:val="24"/>
          <w:szCs w:val="24"/>
        </w:rPr>
        <w:t xml:space="preserve"> </w:t>
      </w:r>
      <w:r w:rsidR="004F37CE" w:rsidRPr="00847710">
        <w:rPr>
          <w:rFonts w:ascii="Times New Roman" w:hAnsi="Times New Roman"/>
          <w:sz w:val="24"/>
          <w:szCs w:val="24"/>
        </w:rPr>
        <w:t xml:space="preserve">onkoloģisko saslimšanu </w:t>
      </w:r>
      <w:r w:rsidRPr="00847710">
        <w:rPr>
          <w:rFonts w:ascii="Times New Roman" w:hAnsi="Times New Roman"/>
          <w:sz w:val="24"/>
          <w:szCs w:val="24"/>
        </w:rPr>
        <w:t xml:space="preserve">ārstēšanas gaitā visi ārstēšanas veidi var savstarpēji papildināties, ko </w:t>
      </w:r>
      <w:r w:rsidR="004F37CE" w:rsidRPr="00847710">
        <w:rPr>
          <w:rFonts w:ascii="Times New Roman" w:hAnsi="Times New Roman"/>
          <w:sz w:val="24"/>
          <w:szCs w:val="24"/>
        </w:rPr>
        <w:t>determinē</w:t>
      </w:r>
      <w:r w:rsidRPr="00847710">
        <w:rPr>
          <w:rFonts w:ascii="Times New Roman" w:hAnsi="Times New Roman"/>
          <w:sz w:val="24"/>
          <w:szCs w:val="24"/>
        </w:rPr>
        <w:t xml:space="preserve"> arī precīza slimības stadijas jeb audzēja morfoloģijas noteikšana</w:t>
      </w:r>
      <w:r w:rsidR="004F37CE" w:rsidRPr="00847710">
        <w:rPr>
          <w:rFonts w:ascii="Times New Roman" w:hAnsi="Times New Roman"/>
          <w:sz w:val="24"/>
          <w:szCs w:val="24"/>
        </w:rPr>
        <w:t xml:space="preserve">, kas ļauj precīzāk iezīmēt tālāko ārstēšanas ceļu. Būtiski, ka kombinējot dažādus ārstēšanas veidus (ķīmijterapija, staru terapija vai ķirurģiska iejaukšanas), svarīgs ir laiks kurā secīgi jāsāk katrs nākamais ārstēšanas posms, kas ir nozīmīgs aspekts, lai pieejamību uzlabotu visos diagnostikas un ārstēšanas posmos kompleksi, tādejādi </w:t>
      </w:r>
      <w:r w:rsidR="00B37523" w:rsidRPr="00847710">
        <w:rPr>
          <w:rFonts w:ascii="Times New Roman" w:hAnsi="Times New Roman"/>
          <w:sz w:val="24"/>
          <w:szCs w:val="24"/>
        </w:rPr>
        <w:t>garantē</w:t>
      </w:r>
      <w:r w:rsidR="004F37CE" w:rsidRPr="00847710">
        <w:rPr>
          <w:rFonts w:ascii="Times New Roman" w:hAnsi="Times New Roman"/>
          <w:sz w:val="24"/>
          <w:szCs w:val="24"/>
        </w:rPr>
        <w:t>jot</w:t>
      </w:r>
      <w:r w:rsidR="00B37523" w:rsidRPr="00847710">
        <w:rPr>
          <w:rFonts w:ascii="Times New Roman" w:hAnsi="Times New Roman"/>
          <w:sz w:val="24"/>
          <w:szCs w:val="24"/>
        </w:rPr>
        <w:t xml:space="preserve"> iespējami labāko rezultātu pacientam un secīgi arī </w:t>
      </w:r>
      <w:r w:rsidR="004F37CE" w:rsidRPr="00847710">
        <w:rPr>
          <w:rFonts w:ascii="Times New Roman" w:hAnsi="Times New Roman"/>
          <w:sz w:val="24"/>
          <w:szCs w:val="24"/>
        </w:rPr>
        <w:t xml:space="preserve">iegūstot </w:t>
      </w:r>
      <w:r w:rsidRPr="00847710">
        <w:rPr>
          <w:rFonts w:ascii="Times New Roman" w:hAnsi="Times New Roman"/>
          <w:sz w:val="24"/>
          <w:szCs w:val="24"/>
        </w:rPr>
        <w:t>PZMG uzlabojum</w:t>
      </w:r>
      <w:r w:rsidR="004F37CE" w:rsidRPr="00847710">
        <w:rPr>
          <w:rFonts w:ascii="Times New Roman" w:hAnsi="Times New Roman"/>
          <w:sz w:val="24"/>
          <w:szCs w:val="24"/>
        </w:rPr>
        <w:t>u.</w:t>
      </w:r>
    </w:p>
    <w:p w14:paraId="47267BD9" w14:textId="1B280579" w:rsidR="00AE4C46" w:rsidRPr="00847710" w:rsidRDefault="0071331A" w:rsidP="000C1AB2">
      <w:pPr>
        <w:spacing w:after="120"/>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 xml:space="preserve">Ar 2016.gada 1.oktobri </w:t>
      </w:r>
      <w:r w:rsidR="00D30B12" w:rsidRPr="00847710">
        <w:rPr>
          <w:rFonts w:ascii="Times New Roman" w:hAnsi="Times New Roman" w:cs="Times New Roman"/>
          <w:sz w:val="24"/>
          <w:szCs w:val="24"/>
        </w:rPr>
        <w:t xml:space="preserve">jau </w:t>
      </w:r>
      <w:r w:rsidRPr="00847710">
        <w:rPr>
          <w:rFonts w:ascii="Times New Roman" w:hAnsi="Times New Roman" w:cs="Times New Roman"/>
          <w:sz w:val="24"/>
          <w:szCs w:val="24"/>
        </w:rPr>
        <w:t xml:space="preserve">tika uzsākta reforma onkoloģisko slimību ātrākā diagnostikā un sekmīgākā ārstēšanā, sākotnēji ieviešot ļaundabīgo audzēju primārās diagnostikas algoritmus jeb nosūtīšanas kārtību primārajā aprūpē 11 biežākajām ļaundabīgo audzēju lokalizācijām. </w:t>
      </w:r>
      <w:r w:rsidR="00373BF5">
        <w:rPr>
          <w:rFonts w:ascii="Times New Roman" w:hAnsi="Times New Roman" w:cs="Times New Roman"/>
          <w:sz w:val="24"/>
          <w:szCs w:val="24"/>
        </w:rPr>
        <w:t xml:space="preserve">No </w:t>
      </w:r>
      <w:r w:rsidR="00373BF5" w:rsidRPr="006245A9">
        <w:rPr>
          <w:rFonts w:ascii="Times New Roman" w:hAnsi="Times New Roman" w:cs="Times New Roman"/>
          <w:sz w:val="24"/>
          <w:szCs w:val="24"/>
          <w:shd w:val="clear" w:color="auto" w:fill="FFFFFF"/>
        </w:rPr>
        <w:t>20</w:t>
      </w:r>
      <w:r w:rsidR="00373BF5">
        <w:rPr>
          <w:rFonts w:ascii="Times New Roman" w:hAnsi="Times New Roman" w:cs="Times New Roman"/>
          <w:sz w:val="24"/>
          <w:szCs w:val="24"/>
          <w:shd w:val="clear" w:color="auto" w:fill="FFFFFF"/>
        </w:rPr>
        <w:t>18.gada 1.</w:t>
      </w:r>
      <w:r w:rsidR="00373BF5" w:rsidRPr="006245A9">
        <w:rPr>
          <w:rFonts w:ascii="Times New Roman" w:hAnsi="Times New Roman" w:cs="Times New Roman"/>
          <w:sz w:val="24"/>
          <w:szCs w:val="24"/>
          <w:shd w:val="clear" w:color="auto" w:fill="FFFFFF"/>
        </w:rPr>
        <w:t xml:space="preserve">janvāra “Zaļajā koridorā” ir iekļautas visas onkoloģisko slimību lokalizācijas un </w:t>
      </w:r>
      <w:r w:rsidR="00373BF5">
        <w:rPr>
          <w:rFonts w:ascii="Times New Roman" w:hAnsi="Times New Roman" w:cs="Times New Roman"/>
          <w:sz w:val="24"/>
          <w:szCs w:val="24"/>
          <w:shd w:val="clear" w:color="auto" w:fill="FFFFFF"/>
        </w:rPr>
        <w:t xml:space="preserve">tā </w:t>
      </w:r>
      <w:r w:rsidR="00373BF5" w:rsidRPr="006245A9">
        <w:rPr>
          <w:rFonts w:ascii="Times New Roman" w:hAnsi="Times New Roman" w:cs="Times New Roman"/>
          <w:sz w:val="24"/>
          <w:szCs w:val="24"/>
          <w:shd w:val="clear" w:color="auto" w:fill="FFFFFF"/>
        </w:rPr>
        <w:t>rezultātā ir nodrošināta visu lokalizāciju ļaundabīgo audzēju diagnostikai nepieciešamo izmeklējumu un ārstu konsultāciju apmaksa prioritārā kārtībā</w:t>
      </w:r>
      <w:r w:rsidR="00373BF5">
        <w:rPr>
          <w:rFonts w:ascii="Times New Roman" w:hAnsi="Times New Roman" w:cs="Times New Roman"/>
          <w:sz w:val="24"/>
          <w:szCs w:val="24"/>
          <w:shd w:val="clear" w:color="auto" w:fill="FFFFFF"/>
        </w:rPr>
        <w:t>.</w:t>
      </w:r>
      <w:r w:rsidR="00373BF5" w:rsidRPr="00847710">
        <w:rPr>
          <w:rFonts w:ascii="Times New Roman" w:hAnsi="Times New Roman" w:cs="Times New Roman"/>
          <w:sz w:val="24"/>
          <w:szCs w:val="24"/>
        </w:rPr>
        <w:t xml:space="preserve"> </w:t>
      </w:r>
      <w:r w:rsidRPr="00847710">
        <w:rPr>
          <w:rFonts w:ascii="Times New Roman" w:hAnsi="Times New Roman" w:cs="Times New Roman"/>
          <w:sz w:val="24"/>
          <w:szCs w:val="24"/>
        </w:rPr>
        <w:t>Turpinot šo reformu jau sekundārajā jeb tālākajā veselības aprūpes līmenī, Veselības ministrija izstrādāja ļ</w:t>
      </w:r>
      <w:r w:rsidRPr="00847710">
        <w:rPr>
          <w:rFonts w:ascii="Times New Roman" w:eastAsia="Times New Roman" w:hAnsi="Times New Roman" w:cs="Times New Roman"/>
          <w:color w:val="000000"/>
          <w:sz w:val="24"/>
          <w:szCs w:val="24"/>
          <w:lang w:eastAsia="lv-LV"/>
        </w:rPr>
        <w:t>aundabīgo audzēju sekundāros diagnostikas algoritmus noteiktām lokalizācijām, kas nosaka kārtību kādā ārstniecības iestāde, kurā pacientam veikta ļaundabīgo audzēju primārā diagnostika, nodrošina konsultāciju pie ārsta speciālista un tālākus sekundāros izmeklējumus, lai savlaicīgi uzsāktu ārstēšanu.</w:t>
      </w:r>
      <w:r w:rsidRPr="00847710">
        <w:rPr>
          <w:rFonts w:ascii="Times New Roman" w:hAnsi="Times New Roman" w:cs="Times New Roman"/>
          <w:sz w:val="24"/>
          <w:szCs w:val="24"/>
        </w:rPr>
        <w:t xml:space="preserve"> </w:t>
      </w:r>
    </w:p>
    <w:p w14:paraId="2A6A1C22" w14:textId="77777777" w:rsidR="00AE4C46" w:rsidRPr="00847710" w:rsidRDefault="0071331A" w:rsidP="00AE4C46">
      <w:pPr>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xml:space="preserve">Attiecīgi, lai uzlabotu diagnostisko izmeklējumu kvalitāti onkoloģisko slimību atklāšanai agrīnās stadijās, tālākai onkoloģiskās aprūpes reformai, atbilstoši </w:t>
      </w:r>
      <w:r w:rsidR="005F250A" w:rsidRPr="00847710">
        <w:rPr>
          <w:rFonts w:ascii="Times New Roman" w:eastAsia="Times New Roman" w:hAnsi="Times New Roman" w:cs="Times New Roman"/>
          <w:sz w:val="24"/>
          <w:szCs w:val="24"/>
          <w:lang w:eastAsia="lv-LV"/>
        </w:rPr>
        <w:t>SVP</w:t>
      </w:r>
      <w:r w:rsidRPr="00847710">
        <w:rPr>
          <w:rFonts w:ascii="Times New Roman" w:eastAsia="Times New Roman" w:hAnsi="Times New Roman" w:cs="Times New Roman"/>
          <w:sz w:val="24"/>
          <w:szCs w:val="24"/>
          <w:lang w:eastAsia="lv-LV"/>
        </w:rPr>
        <w:t xml:space="preserve"> noteiktajam prioritārajam virzienam, tika pare</w:t>
      </w:r>
      <w:r w:rsidR="00387F82" w:rsidRPr="00847710">
        <w:rPr>
          <w:rFonts w:ascii="Times New Roman" w:eastAsia="Times New Roman" w:hAnsi="Times New Roman" w:cs="Times New Roman"/>
          <w:sz w:val="24"/>
          <w:szCs w:val="24"/>
          <w:lang w:eastAsia="lv-LV"/>
        </w:rPr>
        <w:t>dzēti papildus finanšu līdzekļi</w:t>
      </w:r>
      <w:r w:rsidRPr="00847710">
        <w:rPr>
          <w:rFonts w:ascii="Times New Roman" w:eastAsia="Times New Roman" w:hAnsi="Times New Roman" w:cs="Times New Roman"/>
          <w:sz w:val="24"/>
          <w:szCs w:val="24"/>
          <w:lang w:eastAsia="lv-LV"/>
        </w:rPr>
        <w:t xml:space="preserve">: </w:t>
      </w:r>
    </w:p>
    <w:p w14:paraId="43C61832" w14:textId="2735420B"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Primārās diagnostikas algoritmu ieviešanai 1 499 5</w:t>
      </w:r>
      <w:r w:rsidR="00BA45E4">
        <w:rPr>
          <w:rFonts w:ascii="Times New Roman" w:eastAsia="Times New Roman" w:hAnsi="Times New Roman"/>
          <w:sz w:val="24"/>
          <w:szCs w:val="24"/>
          <w:lang w:val="lv-LV" w:eastAsia="lv-LV"/>
        </w:rPr>
        <w:t>20</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219B19D2" w14:textId="41336D66"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Speciālistu konsultāciju izmaksu pieaugum</w:t>
      </w:r>
      <w:r w:rsidR="00477F35" w:rsidRPr="00847710">
        <w:rPr>
          <w:rFonts w:ascii="Times New Roman" w:eastAsia="Times New Roman" w:hAnsi="Times New Roman"/>
          <w:sz w:val="24"/>
          <w:szCs w:val="24"/>
          <w:lang w:val="lv-LV" w:eastAsia="lv-LV"/>
        </w:rPr>
        <w:t>am</w:t>
      </w:r>
      <w:r w:rsidRPr="00847710">
        <w:rPr>
          <w:rFonts w:ascii="Times New Roman" w:eastAsia="Times New Roman" w:hAnsi="Times New Roman"/>
          <w:sz w:val="24"/>
          <w:szCs w:val="24"/>
          <w:lang w:val="lv-LV" w:eastAsia="lv-LV"/>
        </w:rPr>
        <w:t xml:space="preserve">, atbilstoši noteiktajiem algoritmiem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 xml:space="preserve">650 </w:t>
      </w:r>
      <w:r w:rsidR="00BA45E4">
        <w:rPr>
          <w:rFonts w:ascii="Times New Roman" w:eastAsia="Times New Roman" w:hAnsi="Times New Roman"/>
          <w:sz w:val="24"/>
          <w:szCs w:val="24"/>
          <w:lang w:val="lv-LV" w:eastAsia="lv-LV"/>
        </w:rPr>
        <w:t>320</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563A5718" w14:textId="6CF8ADE1"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Sekundārās diagnostikas un izmeklēšanas  algoritmu ieviešanai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2 332 5</w:t>
      </w:r>
      <w:r w:rsidR="00BA45E4">
        <w:rPr>
          <w:rFonts w:ascii="Times New Roman" w:eastAsia="Times New Roman" w:hAnsi="Times New Roman"/>
          <w:sz w:val="24"/>
          <w:szCs w:val="24"/>
          <w:lang w:val="lv-LV" w:eastAsia="lv-LV"/>
        </w:rPr>
        <w:t>40</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 xml:space="preserve"> </w:t>
      </w:r>
    </w:p>
    <w:p w14:paraId="172C0A57" w14:textId="2343CB33"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Onkoloģisko pacientu skaita un prognozētās ārstēšanas izmaksu pieaugumam ambulatori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1 17</w:t>
      </w:r>
      <w:r w:rsidR="00BA45E4">
        <w:rPr>
          <w:rFonts w:ascii="Times New Roman" w:eastAsia="Times New Roman" w:hAnsi="Times New Roman"/>
          <w:sz w:val="24"/>
          <w:szCs w:val="24"/>
          <w:lang w:val="lv-LV" w:eastAsia="lv-LV"/>
        </w:rPr>
        <w:t>7</w:t>
      </w:r>
      <w:r w:rsidRPr="00847710">
        <w:rPr>
          <w:rFonts w:ascii="Times New Roman" w:eastAsia="Times New Roman" w:hAnsi="Times New Roman"/>
          <w:sz w:val="24"/>
          <w:szCs w:val="24"/>
          <w:lang w:val="lv-LV" w:eastAsia="lv-LV"/>
        </w:rPr>
        <w:t xml:space="preserve"> </w:t>
      </w:r>
      <w:r w:rsidR="00BA45E4">
        <w:rPr>
          <w:rFonts w:ascii="Times New Roman" w:eastAsia="Times New Roman" w:hAnsi="Times New Roman"/>
          <w:sz w:val="24"/>
          <w:szCs w:val="24"/>
          <w:lang w:val="lv-LV" w:eastAsia="lv-LV"/>
        </w:rPr>
        <w:t>895</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0F955E2F" w14:textId="28E7EF8C"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Onkoloģisko pacientu skaita un prognozētās ārstēšanas izmaksu pieaugumam stacionārā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2 46</w:t>
      </w:r>
      <w:r w:rsidR="00BA45E4">
        <w:rPr>
          <w:rFonts w:ascii="Times New Roman" w:eastAsia="Times New Roman" w:hAnsi="Times New Roman"/>
          <w:sz w:val="24"/>
          <w:szCs w:val="24"/>
          <w:lang w:val="lv-LV" w:eastAsia="lv-LV"/>
        </w:rPr>
        <w:t>2</w:t>
      </w:r>
      <w:r w:rsidRPr="00847710">
        <w:rPr>
          <w:rFonts w:ascii="Times New Roman" w:eastAsia="Times New Roman" w:hAnsi="Times New Roman"/>
          <w:sz w:val="24"/>
          <w:szCs w:val="24"/>
          <w:lang w:val="lv-LV" w:eastAsia="lv-LV"/>
        </w:rPr>
        <w:t xml:space="preserve"> </w:t>
      </w:r>
      <w:r w:rsidR="00BA45E4">
        <w:rPr>
          <w:rFonts w:ascii="Times New Roman" w:eastAsia="Times New Roman" w:hAnsi="Times New Roman"/>
          <w:sz w:val="24"/>
          <w:szCs w:val="24"/>
          <w:lang w:val="lv-LV" w:eastAsia="lv-LV"/>
        </w:rPr>
        <w:t>176</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704AFBDA" w14:textId="64DD84C8"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lastRenderedPageBreak/>
        <w:t>Kompensējamos medikamentus saņēmušo pacientu skaita un līdzekļu pieaugumam</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 xml:space="preserve">onkoloģijā </w:t>
      </w:r>
      <w:r w:rsidR="00D30B12" w:rsidRPr="00847710">
        <w:rPr>
          <w:rFonts w:ascii="Times New Roman" w:eastAsia="Times New Roman" w:hAnsi="Times New Roman"/>
          <w:sz w:val="24"/>
          <w:szCs w:val="24"/>
          <w:lang w:val="lv-LV" w:eastAsia="lv-LV"/>
        </w:rPr>
        <w:t xml:space="preserve">- </w:t>
      </w:r>
      <w:r w:rsidR="00BA45E4">
        <w:rPr>
          <w:rFonts w:ascii="Times New Roman" w:eastAsia="Times New Roman" w:hAnsi="Times New Roman"/>
          <w:sz w:val="24"/>
          <w:szCs w:val="24"/>
          <w:lang w:val="lv-LV" w:eastAsia="lv-LV"/>
        </w:rPr>
        <w:t>11 208 139</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07ACBEAE" w14:textId="77777777" w:rsidR="00AE4C46" w:rsidRPr="00847710" w:rsidRDefault="0071331A" w:rsidP="00AE4C46">
      <w:pPr>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Lai gan reformas tika uzsāktas sekmīgi, tika konstatēt</w:t>
      </w:r>
      <w:r w:rsidR="00B83D76" w:rsidRPr="00847710">
        <w:rPr>
          <w:rFonts w:ascii="Times New Roman" w:eastAsia="Times New Roman" w:hAnsi="Times New Roman" w:cs="Times New Roman"/>
          <w:sz w:val="24"/>
          <w:szCs w:val="24"/>
          <w:lang w:eastAsia="lv-LV"/>
        </w:rPr>
        <w:t>i</w:t>
      </w:r>
      <w:r w:rsidRPr="00847710">
        <w:rPr>
          <w:rFonts w:ascii="Times New Roman" w:eastAsia="Times New Roman" w:hAnsi="Times New Roman" w:cs="Times New Roman"/>
          <w:sz w:val="24"/>
          <w:szCs w:val="24"/>
          <w:lang w:eastAsia="lv-LV"/>
        </w:rPr>
        <w:t xml:space="preserve"> vair</w:t>
      </w:r>
      <w:r w:rsidR="00B72032" w:rsidRPr="00847710">
        <w:rPr>
          <w:rFonts w:ascii="Times New Roman" w:eastAsia="Times New Roman" w:hAnsi="Times New Roman" w:cs="Times New Roman"/>
          <w:sz w:val="24"/>
          <w:szCs w:val="24"/>
          <w:lang w:eastAsia="lv-LV"/>
        </w:rPr>
        <w:t>āki faktori, kuri ietekmē kopējo reformu sniegumu.</w:t>
      </w:r>
    </w:p>
    <w:p w14:paraId="091BBCA8" w14:textId="34A19058" w:rsidR="00B72032" w:rsidRPr="00E11034" w:rsidRDefault="001509EB" w:rsidP="00AD0485">
      <w:pPr>
        <w:ind w:firstLine="709"/>
        <w:jc w:val="both"/>
        <w:rPr>
          <w:rFonts w:ascii="Times New Roman" w:hAnsi="Times New Roman" w:cs="Times New Roman"/>
          <w:sz w:val="24"/>
          <w:szCs w:val="24"/>
        </w:rPr>
      </w:pPr>
      <w:r w:rsidRPr="00007A5A">
        <w:rPr>
          <w:rFonts w:ascii="Times New Roman" w:hAnsi="Times New Roman" w:cs="Times New Roman"/>
          <w:sz w:val="24"/>
          <w:szCs w:val="24"/>
        </w:rPr>
        <w:t>Attiecīgi 2018.gada 1.pusgadā paplašinot “Zaļajā koridorā” diagnostikas iespējas ar jaunām ļaundabīgo audzēju lokalizācijām, kā arī atbilstošu kārtību kādā veicami izmeklējumi ir nodrošināta pacientiem ar onkoloģiskām slimībām ātrāka un efektīvāka diagnosticēšana, uzsākot savlaicīgu onkoloģisko slimību ārstēšanu 97,74% no 2018.gadā plānotā pacientu skaita pieauguma. Papildus tam, pacientiem tika ātrāk uzsākta ārstēšana, ņemot vērā izmaiņas primārās diagnostikas pakalpojumu saņemšanā, paredzot, k</w:t>
      </w:r>
      <w:r w:rsidR="00C9655B">
        <w:rPr>
          <w:rFonts w:ascii="Times New Roman" w:hAnsi="Times New Roman" w:cs="Times New Roman"/>
          <w:sz w:val="24"/>
          <w:szCs w:val="24"/>
        </w:rPr>
        <w:t>a VSIA “Piejūras slimnīca”, SIA </w:t>
      </w:r>
      <w:r w:rsidR="00AD0485">
        <w:rPr>
          <w:rFonts w:ascii="Times New Roman" w:hAnsi="Times New Roman" w:cs="Times New Roman"/>
          <w:sz w:val="24"/>
          <w:szCs w:val="24"/>
        </w:rPr>
        <w:t xml:space="preserve">“Liepājas reģionālā slimnīca”, </w:t>
      </w:r>
      <w:r w:rsidRPr="00007A5A">
        <w:rPr>
          <w:rFonts w:ascii="Times New Roman" w:hAnsi="Times New Roman" w:cs="Times New Roman"/>
          <w:sz w:val="24"/>
          <w:szCs w:val="24"/>
        </w:rPr>
        <w:t>SIA “Rīgas Austrumu klīniskā universitātes slimnīca”, VSIA “Paula Stradiņa klīniskā universitātes slimnīca” un SIA “Daugavpils reģionālā slimnīca” konstatēto pacientu sūdzību vai simptomu gadījumā varēs arī nodrošināt onkoloģisko pacientu ļaundabīgo audzēju primāro diagnostiku atbilstoši noteiktajiem algoritmiem</w:t>
      </w:r>
      <w:r w:rsidR="00A47451">
        <w:rPr>
          <w:rFonts w:ascii="Times New Roman" w:hAnsi="Times New Roman" w:cs="Times New Roman"/>
          <w:sz w:val="24"/>
          <w:szCs w:val="24"/>
        </w:rPr>
        <w:t xml:space="preserve">. </w:t>
      </w:r>
      <w:r w:rsidR="00240017" w:rsidRPr="00847710">
        <w:rPr>
          <w:rFonts w:ascii="Times New Roman" w:hAnsi="Times New Roman" w:cs="Times New Roman"/>
          <w:sz w:val="24"/>
          <w:szCs w:val="24"/>
          <w:lang w:eastAsia="lv-LV"/>
        </w:rPr>
        <w:t xml:space="preserve">Tāpat </w:t>
      </w:r>
      <w:r w:rsidR="00130A16" w:rsidRPr="00847710">
        <w:rPr>
          <w:rFonts w:ascii="Times New Roman" w:hAnsi="Times New Roman" w:cs="Times New Roman"/>
          <w:sz w:val="24"/>
          <w:szCs w:val="24"/>
          <w:lang w:eastAsia="lv-LV"/>
        </w:rPr>
        <w:t>M</w:t>
      </w:r>
      <w:r w:rsidR="00097038">
        <w:rPr>
          <w:rFonts w:ascii="Times New Roman" w:hAnsi="Times New Roman" w:cs="Times New Roman"/>
          <w:sz w:val="24"/>
          <w:szCs w:val="24"/>
          <w:lang w:eastAsia="lv-LV"/>
        </w:rPr>
        <w:t>inistru kabineta</w:t>
      </w:r>
      <w:r w:rsidR="00130A16" w:rsidRPr="00847710">
        <w:rPr>
          <w:rFonts w:ascii="Times New Roman" w:hAnsi="Times New Roman" w:cs="Times New Roman"/>
          <w:sz w:val="24"/>
          <w:szCs w:val="24"/>
          <w:lang w:eastAsia="lv-LV"/>
        </w:rPr>
        <w:t xml:space="preserve"> N</w:t>
      </w:r>
      <w:r w:rsidR="00240017" w:rsidRPr="00847710">
        <w:rPr>
          <w:rFonts w:ascii="Times New Roman" w:hAnsi="Times New Roman" w:cs="Times New Roman"/>
          <w:sz w:val="24"/>
          <w:szCs w:val="24"/>
          <w:lang w:eastAsia="lv-LV"/>
        </w:rPr>
        <w:t xml:space="preserve">oteikumu Nr.1529 grozījumos veikta onkoloģisko operāciju piemaksu aptveres paplašināšana, paredzot piemaksu par sarežģītas onkoloģiskās operācijas saņemšanu ārstniecības iestādēs arī gadījumos, kad tiek veikta atkārtota, sarežģīta operācija vai arī sarežģīta operācija pacientam, kura noris vairākos etapos, pirmajā operācijā veicot tikai zināmus sagatavošanās darbus tālākajai </w:t>
      </w:r>
      <w:r w:rsidR="00240017" w:rsidRPr="00E11034">
        <w:rPr>
          <w:rFonts w:ascii="Times New Roman" w:hAnsi="Times New Roman" w:cs="Times New Roman"/>
          <w:sz w:val="24"/>
          <w:szCs w:val="24"/>
          <w:lang w:eastAsia="lv-LV"/>
        </w:rPr>
        <w:t>ārstēšanai</w:t>
      </w:r>
      <w:r w:rsidR="00E11034" w:rsidRPr="00007A5A">
        <w:rPr>
          <w:rFonts w:ascii="Times New Roman" w:hAnsi="Times New Roman" w:cs="Times New Roman"/>
          <w:bCs/>
          <w:kern w:val="1"/>
          <w:sz w:val="24"/>
          <w:szCs w:val="24"/>
          <w:lang w:eastAsia="ar-SA"/>
        </w:rPr>
        <w:t xml:space="preserve"> (šobrīd spēkā 2018.gada 28.augusta Ministru Kabineta noteikumi Nr.555 “Veselības aprūpes pakalpojumu organizēšanas un samaksas kārtība”, kuri ietver aprakstīto normu regulējumu)</w:t>
      </w:r>
      <w:r w:rsidR="00240017" w:rsidRPr="00E11034">
        <w:rPr>
          <w:rFonts w:ascii="Times New Roman" w:hAnsi="Times New Roman" w:cs="Times New Roman"/>
          <w:sz w:val="24"/>
          <w:szCs w:val="24"/>
          <w:lang w:eastAsia="lv-LV"/>
        </w:rPr>
        <w:t>.</w:t>
      </w:r>
    </w:p>
    <w:p w14:paraId="0821294A" w14:textId="51B2690C" w:rsidR="00D45321" w:rsidRPr="00847710" w:rsidRDefault="0071331A" w:rsidP="00BD1903">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Ņemot vērā nosacījumu pārskatīšanu, prognozējams, ka līdz 201</w:t>
      </w:r>
      <w:r w:rsidR="001509EB">
        <w:rPr>
          <w:rFonts w:ascii="Times New Roman" w:hAnsi="Times New Roman" w:cs="Times New Roman"/>
          <w:sz w:val="24"/>
          <w:szCs w:val="24"/>
          <w:lang w:eastAsia="lv-LV"/>
        </w:rPr>
        <w:t>8</w:t>
      </w:r>
      <w:r w:rsidRPr="00847710">
        <w:rPr>
          <w:rFonts w:ascii="Times New Roman" w:hAnsi="Times New Roman" w:cs="Times New Roman"/>
          <w:sz w:val="24"/>
          <w:szCs w:val="24"/>
          <w:lang w:eastAsia="lv-LV"/>
        </w:rPr>
        <w:t>.gada 31.decembrim onkoloģijas reform</w:t>
      </w:r>
      <w:r w:rsidR="00F973E9" w:rsidRPr="00847710">
        <w:rPr>
          <w:rFonts w:ascii="Times New Roman" w:hAnsi="Times New Roman" w:cs="Times New Roman"/>
          <w:sz w:val="24"/>
          <w:szCs w:val="24"/>
          <w:lang w:eastAsia="lv-LV"/>
        </w:rPr>
        <w:t>ām novirzītā finansējuma</w:t>
      </w:r>
      <w:r w:rsidRPr="00847710">
        <w:rPr>
          <w:rFonts w:ascii="Times New Roman" w:hAnsi="Times New Roman" w:cs="Times New Roman"/>
          <w:sz w:val="24"/>
          <w:szCs w:val="24"/>
          <w:lang w:eastAsia="lv-LV"/>
        </w:rPr>
        <w:t xml:space="preserve"> apguve tiks nodrošināta pilnā apmērā</w:t>
      </w:r>
      <w:r w:rsidR="00A37A10" w:rsidRPr="00847710">
        <w:rPr>
          <w:rFonts w:ascii="Times New Roman" w:hAnsi="Times New Roman" w:cs="Times New Roman"/>
          <w:sz w:val="24"/>
          <w:szCs w:val="24"/>
          <w:lang w:eastAsia="lv-LV"/>
        </w:rPr>
        <w:t>.</w:t>
      </w:r>
    </w:p>
    <w:p w14:paraId="7B39AE75" w14:textId="7398A7A9" w:rsidR="00D45321" w:rsidRPr="00847710" w:rsidRDefault="0071331A" w:rsidP="00BD1903">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Kopumā veiktās reformas onkoloģijas “</w:t>
      </w:r>
      <w:r w:rsidR="009816A7">
        <w:rPr>
          <w:rFonts w:ascii="Times New Roman" w:hAnsi="Times New Roman" w:cs="Times New Roman"/>
          <w:sz w:val="24"/>
          <w:szCs w:val="24"/>
          <w:lang w:eastAsia="lv-LV"/>
        </w:rPr>
        <w:t>Z</w:t>
      </w:r>
      <w:r w:rsidRPr="00847710">
        <w:rPr>
          <w:rFonts w:ascii="Times New Roman" w:hAnsi="Times New Roman" w:cs="Times New Roman"/>
          <w:sz w:val="24"/>
          <w:szCs w:val="24"/>
          <w:lang w:eastAsia="lv-LV"/>
        </w:rPr>
        <w:t xml:space="preserve">aļā koridora” izveidei, ir nodrošinājušas, ka pacienta ceļš līdz diagnozes saņemšanai un ārstēšanas uzsākšanai ir ievērojami samazinājies, lielākajā daļā gadījumu </w:t>
      </w:r>
      <w:r w:rsidRPr="00097038">
        <w:rPr>
          <w:rFonts w:ascii="Times New Roman" w:hAnsi="Times New Roman" w:cs="Times New Roman"/>
          <w:sz w:val="24"/>
          <w:szCs w:val="24"/>
          <w:lang w:eastAsia="lv-LV"/>
        </w:rPr>
        <w:t>nodrošinot</w:t>
      </w:r>
      <w:r w:rsidR="00097038">
        <w:rPr>
          <w:rFonts w:ascii="Times New Roman" w:hAnsi="Times New Roman" w:cs="Times New Roman"/>
          <w:sz w:val="24"/>
          <w:szCs w:val="24"/>
          <w:lang w:eastAsia="lv-LV"/>
        </w:rPr>
        <w:t>,</w:t>
      </w:r>
      <w:r w:rsidR="00097038" w:rsidRPr="00007A5A">
        <w:rPr>
          <w:rFonts w:ascii="Times New Roman" w:hAnsi="Times New Roman" w:cs="Times New Roman"/>
          <w:sz w:val="24"/>
          <w:szCs w:val="24"/>
        </w:rPr>
        <w:t xml:space="preserve"> ka pēc reformu veikšanas 10 dienu laikā tiek nodrošinātas sākotnējās konsultācijas, izmeklējumi un uzsākta ārstēšana</w:t>
      </w:r>
      <w:r w:rsidRPr="00847710">
        <w:rPr>
          <w:rFonts w:ascii="Times New Roman" w:hAnsi="Times New Roman" w:cs="Times New Roman"/>
          <w:sz w:val="24"/>
          <w:szCs w:val="24"/>
          <w:lang w:eastAsia="lv-LV"/>
        </w:rPr>
        <w:t>, savukārt pirms “</w:t>
      </w:r>
      <w:r w:rsidR="009816A7">
        <w:rPr>
          <w:rFonts w:ascii="Times New Roman" w:hAnsi="Times New Roman" w:cs="Times New Roman"/>
          <w:sz w:val="24"/>
          <w:szCs w:val="24"/>
          <w:lang w:eastAsia="lv-LV"/>
        </w:rPr>
        <w:t>Z</w:t>
      </w:r>
      <w:r w:rsidRPr="00847710">
        <w:rPr>
          <w:rFonts w:ascii="Times New Roman" w:hAnsi="Times New Roman" w:cs="Times New Roman"/>
          <w:sz w:val="24"/>
          <w:szCs w:val="24"/>
          <w:lang w:eastAsia="lv-LV"/>
        </w:rPr>
        <w:t>aļā koridora” ieviešanas pacients tikai uz konsultāciju pie speciālista gaidīja vidēji 30 dienas.</w:t>
      </w:r>
    </w:p>
    <w:p w14:paraId="6EE6AFA5" w14:textId="77777777" w:rsidR="00D30B12" w:rsidRPr="00847710" w:rsidRDefault="0071331A" w:rsidP="00BD1903">
      <w:pPr>
        <w:spacing w:after="120"/>
        <w:ind w:firstLine="720"/>
        <w:jc w:val="both"/>
        <w:rPr>
          <w:rFonts w:ascii="Times New Roman" w:hAnsi="Times New Roman" w:cs="Times New Roman"/>
          <w:sz w:val="24"/>
          <w:szCs w:val="24"/>
          <w:lang w:eastAsia="lv-LV"/>
        </w:rPr>
      </w:pPr>
      <w:r w:rsidRPr="0012317D">
        <w:rPr>
          <w:rFonts w:ascii="Times New Roman" w:hAnsi="Times New Roman" w:cs="Times New Roman"/>
          <w:b/>
          <w:bCs/>
          <w:sz w:val="24"/>
          <w:szCs w:val="24"/>
          <w:lang w:eastAsia="lv-LV"/>
        </w:rPr>
        <w:t>Līdz ar to nepieciešams turpināt onkoloģijas jomas reformas, papildus turpmākajos periodos uzlabojot diagnostiku, padarot to kvalitatīvāku, precīzāku un ātrāku, uzlabojot finanšu līdzekļu, kas saistīti ar pacienta atra</w:t>
      </w:r>
      <w:r w:rsidRPr="0078794A">
        <w:rPr>
          <w:rFonts w:ascii="Times New Roman" w:hAnsi="Times New Roman" w:cs="Times New Roman"/>
          <w:b/>
          <w:bCs/>
          <w:sz w:val="24"/>
          <w:szCs w:val="24"/>
          <w:lang w:eastAsia="lv-LV"/>
        </w:rPr>
        <w:t>šanos ārstniecības iestādēs, izlietojuma efektivitāti un attīstot personalizētu, mērķētu ārstēšanu</w:t>
      </w:r>
      <w:r w:rsidR="00FD0087" w:rsidRPr="00847710">
        <w:rPr>
          <w:rFonts w:ascii="Times New Roman" w:hAnsi="Times New Roman" w:cs="Times New Roman"/>
          <w:sz w:val="24"/>
          <w:szCs w:val="24"/>
          <w:lang w:eastAsia="lv-LV"/>
        </w:rPr>
        <w:t>.</w:t>
      </w:r>
    </w:p>
    <w:p w14:paraId="22ED3192" w14:textId="1EBB1408" w:rsidR="007106E8" w:rsidRPr="00847710" w:rsidRDefault="0071331A" w:rsidP="00BD1903">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2017.</w:t>
      </w:r>
      <w:r w:rsidR="009816A7">
        <w:rPr>
          <w:rFonts w:ascii="Times New Roman" w:hAnsi="Times New Roman" w:cs="Times New Roman"/>
          <w:sz w:val="24"/>
          <w:szCs w:val="24"/>
          <w:lang w:eastAsia="lv-LV"/>
        </w:rPr>
        <w:t xml:space="preserve"> un 2018.</w:t>
      </w:r>
      <w:r w:rsidRPr="00847710">
        <w:rPr>
          <w:rFonts w:ascii="Times New Roman" w:hAnsi="Times New Roman" w:cs="Times New Roman"/>
          <w:sz w:val="24"/>
          <w:szCs w:val="24"/>
          <w:lang w:eastAsia="lv-LV"/>
        </w:rPr>
        <w:t>gadā uzsākto reformu turpināšanai 201</w:t>
      </w:r>
      <w:r w:rsidR="009816A7">
        <w:rPr>
          <w:rFonts w:ascii="Times New Roman" w:hAnsi="Times New Roman" w:cs="Times New Roman"/>
          <w:sz w:val="24"/>
          <w:szCs w:val="24"/>
          <w:lang w:eastAsia="lv-LV"/>
        </w:rPr>
        <w:t>9</w:t>
      </w:r>
      <w:r w:rsidRPr="00847710">
        <w:rPr>
          <w:rFonts w:ascii="Times New Roman" w:hAnsi="Times New Roman" w:cs="Times New Roman"/>
          <w:sz w:val="24"/>
          <w:szCs w:val="24"/>
          <w:lang w:eastAsia="lv-LV"/>
        </w:rPr>
        <w:t>.gadā paredzēts finansējums</w:t>
      </w:r>
      <w:r w:rsidR="00AD40E4">
        <w:rPr>
          <w:rFonts w:ascii="Times New Roman" w:hAnsi="Times New Roman" w:cs="Times New Roman"/>
          <w:sz w:val="24"/>
          <w:szCs w:val="24"/>
          <w:lang w:eastAsia="lv-LV"/>
        </w:rPr>
        <w:t xml:space="preserve"> </w:t>
      </w:r>
      <w:r w:rsidR="00DF5DBB" w:rsidRPr="00847710">
        <w:rPr>
          <w:rFonts w:ascii="Times New Roman" w:hAnsi="Times New Roman" w:cs="Times New Roman"/>
          <w:sz w:val="24"/>
          <w:szCs w:val="24"/>
          <w:lang w:eastAsia="lv-LV"/>
        </w:rPr>
        <w:t xml:space="preserve">līdzvērtīgā </w:t>
      </w:r>
      <w:r w:rsidRPr="00847710">
        <w:rPr>
          <w:rFonts w:ascii="Times New Roman" w:hAnsi="Times New Roman" w:cs="Times New Roman"/>
          <w:sz w:val="24"/>
          <w:szCs w:val="24"/>
          <w:lang w:eastAsia="lv-LV"/>
        </w:rPr>
        <w:t>apmērā.</w:t>
      </w:r>
    </w:p>
    <w:p w14:paraId="1D6BCCD2" w14:textId="77777777" w:rsidR="00FD7B70" w:rsidRDefault="00FD7B70" w:rsidP="00E93259">
      <w:pPr>
        <w:pStyle w:val="ListParagraph"/>
        <w:spacing w:after="0" w:line="240" w:lineRule="auto"/>
        <w:ind w:left="357"/>
        <w:jc w:val="right"/>
        <w:rPr>
          <w:rFonts w:ascii="Times New Roman" w:hAnsi="Times New Roman"/>
          <w:i/>
          <w:iCs/>
          <w:sz w:val="24"/>
          <w:szCs w:val="24"/>
          <w:lang w:val="lv-LV"/>
        </w:rPr>
        <w:sectPr w:rsidR="00FD7B70" w:rsidSect="00333B64">
          <w:pgSz w:w="12240" w:h="15840"/>
          <w:pgMar w:top="1440" w:right="1440" w:bottom="1440" w:left="1701" w:header="708" w:footer="708" w:gutter="0"/>
          <w:cols w:space="708"/>
          <w:docGrid w:linePitch="360"/>
        </w:sectPr>
      </w:pPr>
    </w:p>
    <w:p w14:paraId="009385C9" w14:textId="04D2935B" w:rsidR="007106E8" w:rsidRPr="00E93259" w:rsidRDefault="006E088C" w:rsidP="00E93259">
      <w:pPr>
        <w:pStyle w:val="ListParagraph"/>
        <w:spacing w:after="0" w:line="240" w:lineRule="auto"/>
        <w:ind w:left="357"/>
        <w:jc w:val="right"/>
        <w:rPr>
          <w:rFonts w:ascii="Times New Roman" w:hAnsi="Times New Roman"/>
          <w:i/>
          <w:iCs/>
          <w:sz w:val="24"/>
          <w:szCs w:val="24"/>
          <w:lang w:val="lv-LV"/>
        </w:rPr>
      </w:pPr>
      <w:r>
        <w:rPr>
          <w:rFonts w:ascii="Times New Roman" w:hAnsi="Times New Roman"/>
          <w:i/>
          <w:iCs/>
          <w:sz w:val="24"/>
          <w:szCs w:val="24"/>
          <w:lang w:val="lv-LV"/>
        </w:rPr>
        <w:lastRenderedPageBreak/>
        <w:t>31</w:t>
      </w:r>
      <w:r w:rsidR="0071331A" w:rsidRPr="001E4659">
        <w:rPr>
          <w:rFonts w:ascii="Times New Roman" w:hAnsi="Times New Roman"/>
          <w:i/>
          <w:iCs/>
          <w:sz w:val="24"/>
          <w:szCs w:val="24"/>
          <w:lang w:val="lv-LV"/>
        </w:rPr>
        <w:t>.</w:t>
      </w:r>
      <w:r w:rsidR="0071331A" w:rsidRPr="704995BB">
        <w:rPr>
          <w:rFonts w:ascii="Times New Roman" w:hAnsi="Times New Roman"/>
          <w:i/>
          <w:iCs/>
          <w:sz w:val="24"/>
          <w:szCs w:val="24"/>
          <w:lang w:val="lv-LV"/>
        </w:rPr>
        <w:t>tabula</w:t>
      </w:r>
    </w:p>
    <w:p w14:paraId="6742294C" w14:textId="7132329B" w:rsidR="00F45032" w:rsidRPr="00C935C6" w:rsidRDefault="0071331A" w:rsidP="00C935C6">
      <w:pPr>
        <w:pStyle w:val="ListParagraph"/>
        <w:spacing w:after="0" w:line="240" w:lineRule="auto"/>
        <w:ind w:left="357"/>
        <w:jc w:val="center"/>
        <w:rPr>
          <w:rFonts w:ascii="Times New Roman" w:hAnsi="Times New Roman"/>
          <w:b/>
          <w:bCs/>
          <w:sz w:val="24"/>
          <w:szCs w:val="24"/>
          <w:lang w:val="lv-LV"/>
        </w:rPr>
      </w:pPr>
      <w:r w:rsidRPr="0012317D">
        <w:rPr>
          <w:rFonts w:ascii="Times New Roman" w:hAnsi="Times New Roman"/>
          <w:b/>
          <w:bCs/>
          <w:sz w:val="24"/>
          <w:szCs w:val="24"/>
          <w:lang w:val="lv-LV"/>
        </w:rPr>
        <w:t>Onkoloģisko saslimšanu diagnostikas un ārstēšanas pieejamības uzlab</w:t>
      </w:r>
      <w:r w:rsidR="006B35BF">
        <w:rPr>
          <w:rFonts w:ascii="Times New Roman" w:hAnsi="Times New Roman"/>
          <w:b/>
          <w:bCs/>
          <w:sz w:val="24"/>
          <w:szCs w:val="24"/>
          <w:lang w:val="lv-LV"/>
        </w:rPr>
        <w:t>o</w:t>
      </w:r>
      <w:r w:rsidRPr="0012317D">
        <w:rPr>
          <w:rFonts w:ascii="Times New Roman" w:hAnsi="Times New Roman"/>
          <w:b/>
          <w:bCs/>
          <w:sz w:val="24"/>
          <w:szCs w:val="24"/>
          <w:lang w:val="lv-LV"/>
        </w:rPr>
        <w:t>šanai nepieciešamo līdzekļu sadalījums</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1134"/>
        <w:gridCol w:w="992"/>
        <w:gridCol w:w="992"/>
        <w:gridCol w:w="1134"/>
        <w:gridCol w:w="1134"/>
        <w:gridCol w:w="1139"/>
        <w:gridCol w:w="850"/>
        <w:gridCol w:w="851"/>
        <w:gridCol w:w="850"/>
        <w:gridCol w:w="992"/>
        <w:gridCol w:w="847"/>
        <w:gridCol w:w="997"/>
      </w:tblGrid>
      <w:tr w:rsidR="00F45032" w:rsidRPr="00261E67" w14:paraId="1630C65E" w14:textId="77777777" w:rsidTr="000F746A">
        <w:trPr>
          <w:cantSplit/>
          <w:trHeight w:val="1656"/>
          <w:jc w:val="center"/>
        </w:trPr>
        <w:tc>
          <w:tcPr>
            <w:tcW w:w="2122" w:type="dxa"/>
            <w:shd w:val="clear" w:color="auto" w:fill="E36C0A"/>
            <w:vAlign w:val="center"/>
            <w:hideMark/>
          </w:tcPr>
          <w:p w14:paraId="703725BE" w14:textId="77777777" w:rsidR="00F45032" w:rsidRPr="000F746A" w:rsidRDefault="00F45032" w:rsidP="005C58C0">
            <w:pPr>
              <w:spacing w:after="0" w:line="240" w:lineRule="auto"/>
              <w:rPr>
                <w:rFonts w:ascii="Times New Roman" w:eastAsia="Times New Roman" w:hAnsi="Times New Roman"/>
                <w:b/>
                <w:sz w:val="16"/>
                <w:szCs w:val="16"/>
                <w:lang w:eastAsia="lv-LV"/>
              </w:rPr>
            </w:pPr>
          </w:p>
        </w:tc>
        <w:tc>
          <w:tcPr>
            <w:tcW w:w="992" w:type="dxa"/>
            <w:shd w:val="clear" w:color="auto" w:fill="E36C0A"/>
            <w:textDirection w:val="btLr"/>
            <w:vAlign w:val="center"/>
            <w:hideMark/>
          </w:tcPr>
          <w:p w14:paraId="0EAFE1C3" w14:textId="77777777" w:rsidR="00F45032" w:rsidRPr="000F746A" w:rsidRDefault="00F45032" w:rsidP="005C58C0">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Vienas ārstēšanas vidējās</w:t>
            </w:r>
          </w:p>
          <w:p w14:paraId="0C74B382" w14:textId="77777777" w:rsidR="00F45032" w:rsidRPr="000F746A" w:rsidRDefault="00F45032" w:rsidP="005C58C0">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izmaksas</w:t>
            </w:r>
          </w:p>
          <w:p w14:paraId="74174882" w14:textId="77777777" w:rsidR="00F45032" w:rsidRPr="000F746A" w:rsidRDefault="00F45032" w:rsidP="005C58C0">
            <w:pPr>
              <w:spacing w:after="0" w:line="240" w:lineRule="auto"/>
              <w:ind w:left="113" w:right="113"/>
              <w:jc w:val="center"/>
              <w:rPr>
                <w:rFonts w:ascii="Times New Roman" w:eastAsia="Times New Roman" w:hAnsi="Times New Roman"/>
                <w:b/>
                <w:bCs/>
                <w:sz w:val="16"/>
                <w:szCs w:val="16"/>
                <w:lang w:eastAsia="lv-LV"/>
              </w:rPr>
            </w:pPr>
          </w:p>
        </w:tc>
        <w:tc>
          <w:tcPr>
            <w:tcW w:w="3118" w:type="dxa"/>
            <w:gridSpan w:val="3"/>
            <w:shd w:val="clear" w:color="auto" w:fill="E36C0A"/>
            <w:textDirection w:val="btLr"/>
            <w:vAlign w:val="center"/>
          </w:tcPr>
          <w:p w14:paraId="3C458B9A" w14:textId="77777777" w:rsidR="00F45032" w:rsidRPr="000F746A" w:rsidRDefault="00F45032" w:rsidP="005C58C0">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Plānotais finansējums</w:t>
            </w:r>
          </w:p>
        </w:tc>
        <w:tc>
          <w:tcPr>
            <w:tcW w:w="3407" w:type="dxa"/>
            <w:gridSpan w:val="3"/>
            <w:shd w:val="clear" w:color="auto" w:fill="E36C0A"/>
            <w:textDirection w:val="btLr"/>
            <w:vAlign w:val="center"/>
          </w:tcPr>
          <w:p w14:paraId="53096DD5" w14:textId="77777777" w:rsidR="00F45032" w:rsidRPr="000F746A" w:rsidRDefault="00F45032" w:rsidP="005C58C0">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 xml:space="preserve">Papildus finansējums </w:t>
            </w:r>
          </w:p>
        </w:tc>
        <w:tc>
          <w:tcPr>
            <w:tcW w:w="2551" w:type="dxa"/>
            <w:gridSpan w:val="3"/>
            <w:shd w:val="clear" w:color="auto" w:fill="E36C0A"/>
            <w:textDirection w:val="btLr"/>
            <w:vAlign w:val="center"/>
          </w:tcPr>
          <w:p w14:paraId="2BC76AE2" w14:textId="77777777" w:rsidR="00F45032" w:rsidRPr="000F746A" w:rsidRDefault="00F45032" w:rsidP="005C58C0">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 xml:space="preserve">Plānotais pakalpojumu skaits </w:t>
            </w:r>
          </w:p>
        </w:tc>
        <w:tc>
          <w:tcPr>
            <w:tcW w:w="2836" w:type="dxa"/>
            <w:gridSpan w:val="3"/>
            <w:shd w:val="clear" w:color="auto" w:fill="E36C0A"/>
            <w:textDirection w:val="btLr"/>
            <w:vAlign w:val="center"/>
          </w:tcPr>
          <w:p w14:paraId="1C5C2629" w14:textId="77777777" w:rsidR="00F45032" w:rsidRPr="000F746A" w:rsidRDefault="00F45032" w:rsidP="005C58C0">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Plānotais pakalpojumu skaits pēc finansējuma piešķīruma</w:t>
            </w:r>
          </w:p>
        </w:tc>
      </w:tr>
      <w:tr w:rsidR="00F45032" w:rsidRPr="00261E67" w14:paraId="34D8F543" w14:textId="77777777" w:rsidTr="000F746A">
        <w:trPr>
          <w:trHeight w:val="640"/>
          <w:jc w:val="center"/>
        </w:trPr>
        <w:tc>
          <w:tcPr>
            <w:tcW w:w="2122" w:type="dxa"/>
            <w:shd w:val="clear" w:color="auto" w:fill="FABF8F"/>
            <w:vAlign w:val="center"/>
          </w:tcPr>
          <w:p w14:paraId="6836C4F6" w14:textId="77777777" w:rsidR="00F45032" w:rsidRPr="000F746A" w:rsidRDefault="00F45032" w:rsidP="005C58C0">
            <w:pPr>
              <w:spacing w:after="0" w:line="240" w:lineRule="auto"/>
              <w:jc w:val="center"/>
              <w:rPr>
                <w:rFonts w:ascii="Times New Roman" w:eastAsia="Times New Roman" w:hAnsi="Times New Roman"/>
                <w:b/>
                <w:sz w:val="16"/>
                <w:szCs w:val="16"/>
                <w:lang w:eastAsia="lv-LV"/>
              </w:rPr>
            </w:pPr>
          </w:p>
        </w:tc>
        <w:tc>
          <w:tcPr>
            <w:tcW w:w="992" w:type="dxa"/>
            <w:shd w:val="clear" w:color="auto" w:fill="FABF8F"/>
            <w:vAlign w:val="center"/>
          </w:tcPr>
          <w:p w14:paraId="182EEFC8" w14:textId="46E17AD0" w:rsidR="00F45032" w:rsidRPr="000F746A" w:rsidRDefault="00136C30" w:rsidP="005C58C0">
            <w:pPr>
              <w:spacing w:after="0" w:line="240" w:lineRule="auto"/>
              <w:jc w:val="center"/>
              <w:rPr>
                <w:rFonts w:ascii="Times New Roman" w:eastAsia="Times New Roman" w:hAnsi="Times New Roman"/>
                <w:i/>
                <w:iCs/>
                <w:sz w:val="16"/>
                <w:szCs w:val="16"/>
                <w:lang w:eastAsia="lv-LV"/>
              </w:rPr>
            </w:pPr>
            <w:r>
              <w:rPr>
                <w:rFonts w:ascii="Times New Roman" w:eastAsia="Times New Roman" w:hAnsi="Times New Roman"/>
                <w:i/>
                <w:iCs/>
                <w:sz w:val="16"/>
                <w:szCs w:val="16"/>
                <w:lang w:eastAsia="lv-LV"/>
              </w:rPr>
              <w:t>2019</w:t>
            </w:r>
          </w:p>
          <w:p w14:paraId="5BB17A09" w14:textId="77777777" w:rsidR="00F45032" w:rsidRPr="000F746A" w:rsidRDefault="00F45032" w:rsidP="005C58C0">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i/>
                <w:iCs/>
                <w:sz w:val="16"/>
                <w:szCs w:val="16"/>
                <w:lang w:eastAsia="lv-LV"/>
              </w:rPr>
              <w:t>(euro)</w:t>
            </w:r>
          </w:p>
        </w:tc>
        <w:tc>
          <w:tcPr>
            <w:tcW w:w="1134" w:type="dxa"/>
            <w:shd w:val="clear" w:color="auto" w:fill="FABF8F"/>
            <w:vAlign w:val="center"/>
          </w:tcPr>
          <w:p w14:paraId="42A395D1" w14:textId="77777777" w:rsidR="00F45032" w:rsidRPr="000F746A" w:rsidRDefault="00F45032" w:rsidP="005C58C0">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2017 </w:t>
            </w:r>
            <w:r w:rsidRPr="000F746A">
              <w:rPr>
                <w:rFonts w:ascii="Times New Roman" w:eastAsia="Times New Roman" w:hAnsi="Times New Roman"/>
                <w:i/>
                <w:iCs/>
                <w:sz w:val="16"/>
                <w:szCs w:val="16"/>
                <w:lang w:eastAsia="lv-LV"/>
              </w:rPr>
              <w:t>(euro)</w:t>
            </w:r>
          </w:p>
        </w:tc>
        <w:tc>
          <w:tcPr>
            <w:tcW w:w="992" w:type="dxa"/>
            <w:shd w:val="clear" w:color="auto" w:fill="FABF8F"/>
            <w:vAlign w:val="center"/>
          </w:tcPr>
          <w:p w14:paraId="18B75802" w14:textId="77777777" w:rsidR="00F45032" w:rsidRPr="000F746A" w:rsidRDefault="00F45032" w:rsidP="005C58C0">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2018 </w:t>
            </w:r>
            <w:r w:rsidRPr="000F746A">
              <w:rPr>
                <w:rFonts w:ascii="Times New Roman" w:eastAsia="Times New Roman" w:hAnsi="Times New Roman"/>
                <w:i/>
                <w:iCs/>
                <w:sz w:val="16"/>
                <w:szCs w:val="16"/>
                <w:lang w:eastAsia="lv-LV"/>
              </w:rPr>
              <w:t>(euro)</w:t>
            </w:r>
          </w:p>
        </w:tc>
        <w:tc>
          <w:tcPr>
            <w:tcW w:w="992" w:type="dxa"/>
            <w:shd w:val="clear" w:color="auto" w:fill="FABF8F"/>
            <w:vAlign w:val="center"/>
          </w:tcPr>
          <w:p w14:paraId="4CB7F97A" w14:textId="77777777" w:rsidR="00F45032" w:rsidRPr="000F746A" w:rsidRDefault="00F45032" w:rsidP="005C58C0">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2019 </w:t>
            </w:r>
            <w:r w:rsidRPr="000F746A">
              <w:rPr>
                <w:rFonts w:ascii="Times New Roman" w:eastAsia="Times New Roman" w:hAnsi="Times New Roman"/>
                <w:i/>
                <w:iCs/>
                <w:sz w:val="16"/>
                <w:szCs w:val="16"/>
                <w:lang w:eastAsia="lv-LV"/>
              </w:rPr>
              <w:t>(euro)</w:t>
            </w:r>
          </w:p>
        </w:tc>
        <w:tc>
          <w:tcPr>
            <w:tcW w:w="1134" w:type="dxa"/>
            <w:shd w:val="clear" w:color="auto" w:fill="FABF8F"/>
            <w:vAlign w:val="center"/>
          </w:tcPr>
          <w:p w14:paraId="48EA925D" w14:textId="77777777" w:rsidR="00F45032" w:rsidRPr="000F746A" w:rsidRDefault="00F45032" w:rsidP="005C58C0">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2017 </w:t>
            </w:r>
            <w:r w:rsidRPr="000F746A">
              <w:rPr>
                <w:rFonts w:ascii="Times New Roman" w:eastAsia="Times New Roman" w:hAnsi="Times New Roman"/>
                <w:i/>
                <w:iCs/>
                <w:sz w:val="16"/>
                <w:szCs w:val="16"/>
                <w:lang w:eastAsia="lv-LV"/>
              </w:rPr>
              <w:t>(euro)</w:t>
            </w:r>
          </w:p>
        </w:tc>
        <w:tc>
          <w:tcPr>
            <w:tcW w:w="1134" w:type="dxa"/>
            <w:shd w:val="clear" w:color="auto" w:fill="FABF8F"/>
            <w:vAlign w:val="center"/>
          </w:tcPr>
          <w:p w14:paraId="69FDD9D7" w14:textId="77777777" w:rsidR="00F45032" w:rsidRPr="000F746A" w:rsidRDefault="00F45032" w:rsidP="005C58C0">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2018 </w:t>
            </w:r>
            <w:r w:rsidRPr="000F746A">
              <w:rPr>
                <w:rFonts w:ascii="Times New Roman" w:eastAsia="Times New Roman" w:hAnsi="Times New Roman"/>
                <w:i/>
                <w:iCs/>
                <w:sz w:val="16"/>
                <w:szCs w:val="16"/>
                <w:lang w:eastAsia="lv-LV"/>
              </w:rPr>
              <w:t>(euro)</w:t>
            </w:r>
          </w:p>
        </w:tc>
        <w:tc>
          <w:tcPr>
            <w:tcW w:w="1139" w:type="dxa"/>
            <w:shd w:val="clear" w:color="auto" w:fill="FABF8F"/>
            <w:vAlign w:val="center"/>
          </w:tcPr>
          <w:p w14:paraId="4A9B0810" w14:textId="77777777" w:rsidR="00F45032" w:rsidRPr="000F746A" w:rsidRDefault="00F45032" w:rsidP="005C58C0">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2019</w:t>
            </w:r>
          </w:p>
          <w:p w14:paraId="38912A6D" w14:textId="77777777" w:rsidR="00F45032" w:rsidRPr="000F746A" w:rsidRDefault="00F45032" w:rsidP="005C58C0">
            <w:pPr>
              <w:spacing w:after="0" w:line="240" w:lineRule="auto"/>
              <w:jc w:val="center"/>
              <w:rPr>
                <w:rFonts w:ascii="Times New Roman" w:eastAsia="Times New Roman" w:hAnsi="Times New Roman"/>
                <w:i/>
                <w:iCs/>
                <w:sz w:val="16"/>
                <w:szCs w:val="16"/>
                <w:lang w:eastAsia="lv-LV"/>
              </w:rPr>
            </w:pPr>
            <w:r w:rsidRPr="000F746A">
              <w:rPr>
                <w:rFonts w:ascii="Times New Roman" w:eastAsia="Times New Roman" w:hAnsi="Times New Roman"/>
                <w:i/>
                <w:iCs/>
                <w:sz w:val="16"/>
                <w:szCs w:val="16"/>
                <w:lang w:eastAsia="lv-LV"/>
              </w:rPr>
              <w:t>(euro)</w:t>
            </w:r>
          </w:p>
        </w:tc>
        <w:tc>
          <w:tcPr>
            <w:tcW w:w="850" w:type="dxa"/>
            <w:shd w:val="clear" w:color="auto" w:fill="FABF8F"/>
            <w:vAlign w:val="center"/>
          </w:tcPr>
          <w:p w14:paraId="34155E8E" w14:textId="77777777" w:rsidR="00F45032" w:rsidRPr="000F746A" w:rsidRDefault="00F45032" w:rsidP="005C58C0">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2017</w:t>
            </w:r>
          </w:p>
        </w:tc>
        <w:tc>
          <w:tcPr>
            <w:tcW w:w="851" w:type="dxa"/>
            <w:shd w:val="clear" w:color="auto" w:fill="FABF8F"/>
            <w:vAlign w:val="center"/>
          </w:tcPr>
          <w:p w14:paraId="32D947F3" w14:textId="77777777" w:rsidR="00F45032" w:rsidRPr="000F746A" w:rsidRDefault="00F45032" w:rsidP="005C58C0">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2018</w:t>
            </w:r>
          </w:p>
        </w:tc>
        <w:tc>
          <w:tcPr>
            <w:tcW w:w="850" w:type="dxa"/>
            <w:shd w:val="clear" w:color="auto" w:fill="FABF8F"/>
            <w:vAlign w:val="center"/>
          </w:tcPr>
          <w:p w14:paraId="54AA115D" w14:textId="77777777" w:rsidR="00F45032" w:rsidRPr="000F746A" w:rsidRDefault="00F45032" w:rsidP="005C58C0">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2019</w:t>
            </w:r>
          </w:p>
        </w:tc>
        <w:tc>
          <w:tcPr>
            <w:tcW w:w="992" w:type="dxa"/>
            <w:shd w:val="clear" w:color="auto" w:fill="FABF8F"/>
            <w:vAlign w:val="center"/>
          </w:tcPr>
          <w:p w14:paraId="1B68FFB1" w14:textId="77777777" w:rsidR="00F45032" w:rsidRPr="000F746A" w:rsidRDefault="00F45032" w:rsidP="005C58C0">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iCs/>
                <w:sz w:val="16"/>
                <w:szCs w:val="16"/>
                <w:lang w:eastAsia="lv-LV"/>
              </w:rPr>
              <w:t xml:space="preserve">2017 </w:t>
            </w:r>
          </w:p>
        </w:tc>
        <w:tc>
          <w:tcPr>
            <w:tcW w:w="847" w:type="dxa"/>
            <w:shd w:val="clear" w:color="auto" w:fill="FABF8F"/>
            <w:vAlign w:val="center"/>
          </w:tcPr>
          <w:p w14:paraId="2625FA26" w14:textId="77777777" w:rsidR="00F45032" w:rsidRPr="000F746A" w:rsidRDefault="00F45032" w:rsidP="005C58C0">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iCs/>
                <w:sz w:val="16"/>
                <w:szCs w:val="16"/>
                <w:lang w:eastAsia="lv-LV"/>
              </w:rPr>
              <w:t xml:space="preserve">2018 </w:t>
            </w:r>
          </w:p>
        </w:tc>
        <w:tc>
          <w:tcPr>
            <w:tcW w:w="997" w:type="dxa"/>
            <w:shd w:val="clear" w:color="auto" w:fill="FABF8F"/>
            <w:vAlign w:val="center"/>
          </w:tcPr>
          <w:p w14:paraId="19FA5D46" w14:textId="77777777" w:rsidR="00F45032" w:rsidRPr="000F746A" w:rsidRDefault="00F45032" w:rsidP="005C58C0">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2019</w:t>
            </w:r>
          </w:p>
        </w:tc>
      </w:tr>
      <w:tr w:rsidR="00A76AD4" w:rsidRPr="00261E67" w14:paraId="171900C4" w14:textId="77777777" w:rsidTr="000F746A">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5D2FA" w14:textId="4F06741D" w:rsidR="00A76AD4" w:rsidRPr="000F746A" w:rsidRDefault="00A76AD4" w:rsidP="00A76AD4">
            <w:pPr>
              <w:spacing w:after="0" w:line="240" w:lineRule="auto"/>
              <w:rPr>
                <w:rFonts w:ascii="Times New Roman" w:eastAsia="Times New Roman" w:hAnsi="Times New Roman"/>
                <w:sz w:val="16"/>
                <w:szCs w:val="16"/>
                <w:lang w:eastAsia="lv-LV"/>
              </w:rPr>
            </w:pPr>
            <w:r w:rsidRPr="000F746A">
              <w:rPr>
                <w:rFonts w:ascii="Times New Roman" w:eastAsia="Times New Roman" w:hAnsi="Times New Roman" w:cs="Times New Roman"/>
                <w:color w:val="000000"/>
                <w:sz w:val="16"/>
                <w:szCs w:val="16"/>
                <w:lang w:eastAsia="lv-LV"/>
              </w:rPr>
              <w:t>Primārās diagnostikas algoritmu ieviešanai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66CF" w14:textId="7BABE196" w:rsidR="00A76AD4" w:rsidRPr="000F746A" w:rsidRDefault="00A76AD4" w:rsidP="00A76AD4">
            <w:pPr>
              <w:spacing w:after="0" w:line="240" w:lineRule="auto"/>
              <w:jc w:val="center"/>
              <w:rPr>
                <w:rFonts w:ascii="Times New Roman" w:eastAsia="Times New Roman" w:hAnsi="Times New Roman"/>
                <w:sz w:val="16"/>
                <w:szCs w:val="16"/>
                <w:lang w:eastAsia="lv-LV"/>
              </w:rPr>
            </w:pPr>
            <w:r w:rsidRPr="000F746A">
              <w:rPr>
                <w:rFonts w:ascii="Times New Roman" w:hAnsi="Times New Roman" w:cs="Times New Roman"/>
                <w:color w:val="000000"/>
                <w:sz w:val="16"/>
                <w:szCs w:val="16"/>
              </w:rPr>
              <w:t>68.16</w:t>
            </w:r>
          </w:p>
        </w:tc>
        <w:tc>
          <w:tcPr>
            <w:tcW w:w="1134" w:type="dxa"/>
            <w:tcBorders>
              <w:top w:val="single" w:sz="4" w:space="0" w:color="auto"/>
              <w:left w:val="single" w:sz="4" w:space="0" w:color="auto"/>
              <w:bottom w:val="single" w:sz="4" w:space="0" w:color="auto"/>
              <w:right w:val="single" w:sz="4" w:space="0" w:color="auto"/>
            </w:tcBorders>
            <w:vAlign w:val="center"/>
          </w:tcPr>
          <w:p w14:paraId="6F63F08F" w14:textId="77777777"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68109B3A" w14:textId="77777777"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601FF4E2" w14:textId="77777777"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450262C2" w14:textId="6624DF3E"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1 499 506</w:t>
            </w:r>
          </w:p>
        </w:tc>
        <w:tc>
          <w:tcPr>
            <w:tcW w:w="1134" w:type="dxa"/>
            <w:tcBorders>
              <w:top w:val="single" w:sz="4" w:space="0" w:color="auto"/>
              <w:left w:val="single" w:sz="4" w:space="0" w:color="auto"/>
              <w:bottom w:val="single" w:sz="4" w:space="0" w:color="auto"/>
              <w:right w:val="single" w:sz="4" w:space="0" w:color="auto"/>
            </w:tcBorders>
            <w:vAlign w:val="center"/>
          </w:tcPr>
          <w:p w14:paraId="07939275" w14:textId="13FD5952"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1 499 520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E26" w14:textId="4B505846"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1 499 520</w:t>
            </w:r>
          </w:p>
        </w:tc>
        <w:tc>
          <w:tcPr>
            <w:tcW w:w="850" w:type="dxa"/>
            <w:tcBorders>
              <w:top w:val="single" w:sz="4" w:space="0" w:color="auto"/>
              <w:left w:val="single" w:sz="4" w:space="0" w:color="auto"/>
              <w:bottom w:val="single" w:sz="4" w:space="0" w:color="auto"/>
              <w:right w:val="single" w:sz="4" w:space="0" w:color="auto"/>
            </w:tcBorders>
            <w:vAlign w:val="center"/>
          </w:tcPr>
          <w:p w14:paraId="46D0D1C2" w14:textId="77777777" w:rsidR="00A76AD4" w:rsidRPr="000F746A" w:rsidRDefault="00A76AD4" w:rsidP="00A76AD4">
            <w:pPr>
              <w:spacing w:after="0" w:line="240" w:lineRule="auto"/>
              <w:jc w:val="center"/>
              <w:rPr>
                <w:rFonts w:ascii="Times New Roman" w:hAnsi="Times New Roman"/>
                <w:b/>
                <w:bCs/>
                <w:sz w:val="16"/>
                <w:szCs w:val="16"/>
              </w:rPr>
            </w:pPr>
            <w:r w:rsidRPr="000F746A">
              <w:rPr>
                <w:rFonts w:ascii="Times New Roman" w:hAnsi="Times New Roman"/>
                <w:b/>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540BE408" w14:textId="77777777" w:rsidR="00A76AD4" w:rsidRPr="000F746A" w:rsidRDefault="00A76AD4" w:rsidP="00A76AD4">
            <w:pPr>
              <w:spacing w:after="0" w:line="240" w:lineRule="auto"/>
              <w:jc w:val="center"/>
              <w:rPr>
                <w:rFonts w:ascii="Times New Roman" w:hAnsi="Times New Roman"/>
                <w:b/>
                <w:bCs/>
                <w:sz w:val="16"/>
                <w:szCs w:val="16"/>
              </w:rPr>
            </w:pPr>
            <w:r w:rsidRPr="000F746A">
              <w:rPr>
                <w:rFonts w:ascii="Times New Roman" w:hAnsi="Times New Roman"/>
                <w:b/>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7D79A" w14:textId="77777777" w:rsidR="00A76AD4" w:rsidRPr="000F746A" w:rsidRDefault="00A76AD4" w:rsidP="00A76AD4">
            <w:pPr>
              <w:spacing w:after="0" w:line="240" w:lineRule="auto"/>
              <w:jc w:val="center"/>
              <w:rPr>
                <w:rFonts w:ascii="Times New Roman" w:hAnsi="Times New Roman"/>
                <w:b/>
                <w:bCs/>
                <w:sz w:val="16"/>
                <w:szCs w:val="16"/>
              </w:rPr>
            </w:pPr>
            <w:r w:rsidRPr="000F746A">
              <w:rPr>
                <w:rFonts w:ascii="Times New Roman" w:hAnsi="Times New Roman"/>
                <w:b/>
                <w:bCs/>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645720D6" w14:textId="34E1ABA2" w:rsidR="00A76AD4" w:rsidRPr="000F746A" w:rsidRDefault="00A76AD4" w:rsidP="00A76AD4">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b/>
                <w:sz w:val="16"/>
                <w:szCs w:val="16"/>
                <w:lang w:eastAsia="lv-LV"/>
              </w:rPr>
              <w:t>22 000</w:t>
            </w:r>
          </w:p>
        </w:tc>
        <w:tc>
          <w:tcPr>
            <w:tcW w:w="847" w:type="dxa"/>
            <w:tcBorders>
              <w:top w:val="single" w:sz="4" w:space="0" w:color="auto"/>
              <w:left w:val="single" w:sz="4" w:space="0" w:color="auto"/>
              <w:bottom w:val="single" w:sz="4" w:space="0" w:color="auto"/>
              <w:right w:val="single" w:sz="4" w:space="0" w:color="auto"/>
            </w:tcBorders>
            <w:vAlign w:val="center"/>
          </w:tcPr>
          <w:p w14:paraId="7D938F2D" w14:textId="51358F25" w:rsidR="00A76AD4" w:rsidRPr="000F746A" w:rsidRDefault="00A76AD4" w:rsidP="00A76AD4">
            <w:pPr>
              <w:spacing w:after="0" w:line="240" w:lineRule="auto"/>
              <w:jc w:val="center"/>
              <w:rPr>
                <w:rFonts w:ascii="Times New Roman" w:hAnsi="Times New Roman"/>
                <w:b/>
                <w:bCs/>
                <w:sz w:val="16"/>
                <w:szCs w:val="16"/>
              </w:rPr>
            </w:pPr>
            <w:r w:rsidRPr="00E11AFF">
              <w:rPr>
                <w:rFonts w:ascii="Times New Roman" w:eastAsia="Times New Roman" w:hAnsi="Times New Roman" w:cs="Times New Roman"/>
                <w:b/>
                <w:color w:val="000000"/>
                <w:sz w:val="16"/>
                <w:szCs w:val="16"/>
                <w:lang w:eastAsia="lv-LV"/>
              </w:rPr>
              <w:t>22 000</w:t>
            </w:r>
          </w:p>
        </w:tc>
        <w:tc>
          <w:tcPr>
            <w:tcW w:w="997" w:type="dxa"/>
            <w:tcBorders>
              <w:top w:val="single" w:sz="4" w:space="0" w:color="auto"/>
              <w:left w:val="single" w:sz="4" w:space="0" w:color="auto"/>
              <w:bottom w:val="single" w:sz="4" w:space="0" w:color="auto"/>
              <w:right w:val="single" w:sz="4" w:space="0" w:color="auto"/>
            </w:tcBorders>
            <w:vAlign w:val="center"/>
          </w:tcPr>
          <w:p w14:paraId="20E89E98" w14:textId="2B9825FE" w:rsidR="00A76AD4" w:rsidRPr="000F746A" w:rsidRDefault="00A76AD4" w:rsidP="00A76AD4">
            <w:pPr>
              <w:spacing w:after="0" w:line="240" w:lineRule="auto"/>
              <w:jc w:val="center"/>
              <w:rPr>
                <w:rFonts w:ascii="Times New Roman" w:hAnsi="Times New Roman"/>
                <w:b/>
                <w:bCs/>
                <w:sz w:val="16"/>
                <w:szCs w:val="16"/>
              </w:rPr>
            </w:pPr>
            <w:r w:rsidRPr="00E11AFF">
              <w:rPr>
                <w:rFonts w:ascii="Times New Roman" w:eastAsia="Times New Roman" w:hAnsi="Times New Roman" w:cs="Times New Roman"/>
                <w:b/>
                <w:color w:val="000000"/>
                <w:sz w:val="16"/>
                <w:szCs w:val="16"/>
                <w:lang w:eastAsia="lv-LV"/>
              </w:rPr>
              <w:t>22 000</w:t>
            </w:r>
          </w:p>
        </w:tc>
      </w:tr>
      <w:tr w:rsidR="00855D07" w:rsidRPr="00261E67" w14:paraId="7B07B476" w14:textId="77777777" w:rsidTr="000F746A">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53F26FC" w14:textId="59B21017" w:rsidR="00855D07" w:rsidRPr="000F746A" w:rsidRDefault="00855D07" w:rsidP="00855D07">
            <w:pPr>
              <w:spacing w:after="0" w:line="240" w:lineRule="auto"/>
              <w:rPr>
                <w:rFonts w:ascii="Times New Roman" w:eastAsia="Times New Roman" w:hAnsi="Times New Roman"/>
                <w:sz w:val="16"/>
                <w:szCs w:val="16"/>
                <w:lang w:eastAsia="lv-LV"/>
              </w:rPr>
            </w:pPr>
            <w:r w:rsidRPr="000F746A">
              <w:rPr>
                <w:rFonts w:ascii="Times New Roman" w:eastAsia="Times New Roman" w:hAnsi="Times New Roman" w:cs="Times New Roman"/>
                <w:color w:val="000000"/>
                <w:sz w:val="16"/>
                <w:szCs w:val="16"/>
                <w:lang w:eastAsia="lv-LV"/>
              </w:rPr>
              <w:t>Speciālistu konsultāciju izmaksu pieaugums,  atbilstoši noteiktajiem algoritmiem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76BD6" w14:textId="181AE624"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color w:val="000000"/>
                <w:sz w:val="16"/>
                <w:szCs w:val="16"/>
              </w:rPr>
              <w:t>59.12</w:t>
            </w:r>
          </w:p>
        </w:tc>
        <w:tc>
          <w:tcPr>
            <w:tcW w:w="1134" w:type="dxa"/>
            <w:tcBorders>
              <w:top w:val="single" w:sz="4" w:space="0" w:color="auto"/>
              <w:left w:val="single" w:sz="4" w:space="0" w:color="auto"/>
              <w:bottom w:val="single" w:sz="4" w:space="0" w:color="auto"/>
              <w:right w:val="single" w:sz="4" w:space="0" w:color="auto"/>
            </w:tcBorders>
            <w:vAlign w:val="center"/>
          </w:tcPr>
          <w:p w14:paraId="4780C5DC" w14:textId="2F42A483" w:rsidR="00855D07" w:rsidRPr="000F746A" w:rsidRDefault="00855D07" w:rsidP="00855D07">
            <w:pPr>
              <w:spacing w:after="0" w:line="240" w:lineRule="auto"/>
              <w:jc w:val="center"/>
              <w:rPr>
                <w:rFonts w:ascii="Times New Roman" w:hAnsi="Times New Roman"/>
                <w:sz w:val="16"/>
                <w:szCs w:val="16"/>
              </w:rPr>
            </w:pPr>
            <w:r w:rsidRPr="000F746A">
              <w:rPr>
                <w:rFonts w:ascii="Times New Roman" w:eastAsia="Times New Roman" w:hAnsi="Times New Roman" w:cs="Times New Roman"/>
                <w:color w:val="000000"/>
                <w:sz w:val="16"/>
                <w:szCs w:val="16"/>
                <w:lang w:eastAsia="lv-LV"/>
              </w:rPr>
              <w:t>1 861 209</w:t>
            </w:r>
          </w:p>
        </w:tc>
        <w:tc>
          <w:tcPr>
            <w:tcW w:w="992" w:type="dxa"/>
            <w:tcBorders>
              <w:top w:val="single" w:sz="4" w:space="0" w:color="auto"/>
              <w:left w:val="single" w:sz="4" w:space="0" w:color="auto"/>
              <w:bottom w:val="single" w:sz="4" w:space="0" w:color="auto"/>
              <w:right w:val="single" w:sz="4" w:space="0" w:color="auto"/>
            </w:tcBorders>
            <w:vAlign w:val="center"/>
          </w:tcPr>
          <w:p w14:paraId="32336FF3" w14:textId="7273220D" w:rsidR="00855D07" w:rsidRPr="000F746A" w:rsidRDefault="00855D07" w:rsidP="00855D07">
            <w:pPr>
              <w:spacing w:after="0" w:line="240" w:lineRule="auto"/>
              <w:jc w:val="center"/>
              <w:rPr>
                <w:rFonts w:ascii="Times New Roman" w:hAnsi="Times New Roman"/>
                <w:sz w:val="16"/>
                <w:szCs w:val="16"/>
              </w:rPr>
            </w:pPr>
            <w:r w:rsidRPr="000F746A">
              <w:rPr>
                <w:rFonts w:ascii="Times New Roman" w:eastAsia="Times New Roman" w:hAnsi="Times New Roman" w:cs="Times New Roman"/>
                <w:color w:val="000000"/>
                <w:sz w:val="16"/>
                <w:szCs w:val="16"/>
                <w:lang w:eastAsia="lv-LV"/>
              </w:rPr>
              <w:t>1 861 209</w:t>
            </w:r>
          </w:p>
        </w:tc>
        <w:tc>
          <w:tcPr>
            <w:tcW w:w="992" w:type="dxa"/>
            <w:tcBorders>
              <w:top w:val="single" w:sz="4" w:space="0" w:color="auto"/>
              <w:left w:val="single" w:sz="4" w:space="0" w:color="auto"/>
              <w:bottom w:val="single" w:sz="4" w:space="0" w:color="auto"/>
              <w:right w:val="single" w:sz="4" w:space="0" w:color="auto"/>
            </w:tcBorders>
            <w:vAlign w:val="center"/>
          </w:tcPr>
          <w:p w14:paraId="7A5A8DBF" w14:textId="630406AB" w:rsidR="00855D07" w:rsidRPr="000F746A" w:rsidRDefault="00855D07" w:rsidP="00855D07">
            <w:pPr>
              <w:spacing w:after="0" w:line="240" w:lineRule="auto"/>
              <w:jc w:val="center"/>
              <w:rPr>
                <w:rFonts w:ascii="Times New Roman" w:hAnsi="Times New Roman"/>
                <w:sz w:val="16"/>
                <w:szCs w:val="16"/>
              </w:rPr>
            </w:pPr>
            <w:r w:rsidRPr="000F746A">
              <w:rPr>
                <w:rFonts w:ascii="Times New Roman" w:eastAsia="Times New Roman" w:hAnsi="Times New Roman" w:cs="Times New Roman"/>
                <w:color w:val="000000"/>
                <w:sz w:val="16"/>
                <w:szCs w:val="16"/>
                <w:lang w:eastAsia="lv-LV"/>
              </w:rPr>
              <w:t>1 861 209</w:t>
            </w:r>
          </w:p>
        </w:tc>
        <w:tc>
          <w:tcPr>
            <w:tcW w:w="1134" w:type="dxa"/>
            <w:tcBorders>
              <w:top w:val="single" w:sz="4" w:space="0" w:color="auto"/>
              <w:left w:val="single" w:sz="4" w:space="0" w:color="auto"/>
              <w:bottom w:val="single" w:sz="4" w:space="0" w:color="auto"/>
              <w:right w:val="single" w:sz="4" w:space="0" w:color="auto"/>
            </w:tcBorders>
            <w:vAlign w:val="center"/>
          </w:tcPr>
          <w:p w14:paraId="7EFCDBBC" w14:textId="19C99713"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650 278</w:t>
            </w:r>
          </w:p>
        </w:tc>
        <w:tc>
          <w:tcPr>
            <w:tcW w:w="1134" w:type="dxa"/>
            <w:tcBorders>
              <w:top w:val="single" w:sz="4" w:space="0" w:color="auto"/>
              <w:left w:val="single" w:sz="4" w:space="0" w:color="auto"/>
              <w:bottom w:val="single" w:sz="4" w:space="0" w:color="auto"/>
              <w:right w:val="single" w:sz="4" w:space="0" w:color="auto"/>
            </w:tcBorders>
            <w:vAlign w:val="center"/>
          </w:tcPr>
          <w:p w14:paraId="4586A52C" w14:textId="409AA2F9"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650 320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55C9" w14:textId="2CBC49DF"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650 320</w:t>
            </w:r>
          </w:p>
        </w:tc>
        <w:tc>
          <w:tcPr>
            <w:tcW w:w="850" w:type="dxa"/>
            <w:tcBorders>
              <w:top w:val="single" w:sz="4" w:space="0" w:color="auto"/>
              <w:left w:val="single" w:sz="4" w:space="0" w:color="auto"/>
              <w:bottom w:val="single" w:sz="4" w:space="0" w:color="auto"/>
              <w:right w:val="single" w:sz="4" w:space="0" w:color="auto"/>
            </w:tcBorders>
            <w:vAlign w:val="center"/>
          </w:tcPr>
          <w:p w14:paraId="6B96E0D3" w14:textId="2E4FCD5F"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31 484</w:t>
            </w:r>
          </w:p>
        </w:tc>
        <w:tc>
          <w:tcPr>
            <w:tcW w:w="851" w:type="dxa"/>
            <w:tcBorders>
              <w:top w:val="single" w:sz="4" w:space="0" w:color="auto"/>
              <w:left w:val="single" w:sz="4" w:space="0" w:color="auto"/>
              <w:bottom w:val="single" w:sz="4" w:space="0" w:color="auto"/>
              <w:right w:val="single" w:sz="4" w:space="0" w:color="auto"/>
            </w:tcBorders>
            <w:vAlign w:val="center"/>
          </w:tcPr>
          <w:p w14:paraId="163BF292" w14:textId="303F6383"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31 484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57E85" w14:textId="4F47A2D4"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31 484</w:t>
            </w:r>
          </w:p>
        </w:tc>
        <w:tc>
          <w:tcPr>
            <w:tcW w:w="992" w:type="dxa"/>
            <w:tcBorders>
              <w:top w:val="single" w:sz="4" w:space="0" w:color="auto"/>
              <w:left w:val="single" w:sz="4" w:space="0" w:color="auto"/>
              <w:bottom w:val="single" w:sz="4" w:space="0" w:color="auto"/>
              <w:right w:val="single" w:sz="4" w:space="0" w:color="auto"/>
            </w:tcBorders>
            <w:vAlign w:val="center"/>
          </w:tcPr>
          <w:p w14:paraId="5D635FA0" w14:textId="13F1316C"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b/>
                <w:sz w:val="16"/>
                <w:szCs w:val="16"/>
                <w:lang w:eastAsia="lv-LV"/>
              </w:rPr>
              <w:t>42 484</w:t>
            </w:r>
          </w:p>
        </w:tc>
        <w:tc>
          <w:tcPr>
            <w:tcW w:w="847" w:type="dxa"/>
            <w:tcBorders>
              <w:top w:val="single" w:sz="4" w:space="0" w:color="auto"/>
              <w:left w:val="single" w:sz="4" w:space="0" w:color="auto"/>
              <w:bottom w:val="single" w:sz="4" w:space="0" w:color="auto"/>
              <w:right w:val="single" w:sz="4" w:space="0" w:color="auto"/>
            </w:tcBorders>
            <w:vAlign w:val="center"/>
          </w:tcPr>
          <w:p w14:paraId="48585684" w14:textId="525E3E11"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b/>
                <w:sz w:val="16"/>
                <w:szCs w:val="16"/>
                <w:lang w:eastAsia="lv-LV"/>
              </w:rPr>
              <w:t>42 484</w:t>
            </w:r>
          </w:p>
        </w:tc>
        <w:tc>
          <w:tcPr>
            <w:tcW w:w="997" w:type="dxa"/>
            <w:tcBorders>
              <w:top w:val="single" w:sz="4" w:space="0" w:color="auto"/>
              <w:left w:val="single" w:sz="4" w:space="0" w:color="auto"/>
              <w:bottom w:val="single" w:sz="4" w:space="0" w:color="auto"/>
              <w:right w:val="single" w:sz="4" w:space="0" w:color="auto"/>
            </w:tcBorders>
            <w:vAlign w:val="center"/>
          </w:tcPr>
          <w:p w14:paraId="7FFBD42D" w14:textId="3D73DCC3" w:rsidR="00855D07" w:rsidRPr="0026075F" w:rsidRDefault="00855D07" w:rsidP="00855D07">
            <w:pPr>
              <w:spacing w:after="0" w:line="240" w:lineRule="auto"/>
              <w:jc w:val="center"/>
              <w:rPr>
                <w:rFonts w:ascii="Times New Roman" w:hAnsi="Times New Roman"/>
                <w:b/>
                <w:bCs/>
                <w:sz w:val="16"/>
                <w:szCs w:val="16"/>
              </w:rPr>
            </w:pPr>
            <w:r w:rsidRPr="0026075F">
              <w:rPr>
                <w:rFonts w:ascii="Times New Roman" w:eastAsia="Times New Roman" w:hAnsi="Times New Roman" w:cs="Times New Roman"/>
                <w:b/>
                <w:sz w:val="16"/>
                <w:szCs w:val="16"/>
                <w:lang w:eastAsia="lv-LV"/>
              </w:rPr>
              <w:t>42 484</w:t>
            </w:r>
          </w:p>
        </w:tc>
      </w:tr>
      <w:tr w:rsidR="00A76AD4" w:rsidRPr="00261E67" w14:paraId="7FB5B0A2" w14:textId="77777777" w:rsidTr="000F746A">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DE4E627" w14:textId="1F201A2C" w:rsidR="00A76AD4" w:rsidRPr="000F746A" w:rsidRDefault="00A76AD4" w:rsidP="00A76AD4">
            <w:pPr>
              <w:spacing w:after="0" w:line="240" w:lineRule="auto"/>
              <w:rPr>
                <w:rFonts w:ascii="Times New Roman" w:eastAsia="Times New Roman" w:hAnsi="Times New Roman"/>
                <w:sz w:val="16"/>
                <w:szCs w:val="16"/>
                <w:lang w:eastAsia="lv-LV"/>
              </w:rPr>
            </w:pPr>
            <w:r w:rsidRPr="000F746A">
              <w:rPr>
                <w:rFonts w:ascii="Times New Roman" w:eastAsia="Times New Roman" w:hAnsi="Times New Roman" w:cs="Times New Roman"/>
                <w:color w:val="000000"/>
                <w:sz w:val="16"/>
                <w:szCs w:val="16"/>
                <w:lang w:eastAsia="lv-LV"/>
              </w:rPr>
              <w:t>Sekundārās diagnostikas un izmeklēšanas  algoritmu ieviešanai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E397D" w14:textId="5AFBBE74"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cs="Times New Roman"/>
                <w:color w:val="000000"/>
                <w:sz w:val="16"/>
                <w:szCs w:val="16"/>
              </w:rPr>
              <w:t>159.12</w:t>
            </w:r>
          </w:p>
        </w:tc>
        <w:tc>
          <w:tcPr>
            <w:tcW w:w="1134" w:type="dxa"/>
            <w:tcBorders>
              <w:top w:val="single" w:sz="4" w:space="0" w:color="auto"/>
              <w:left w:val="single" w:sz="4" w:space="0" w:color="auto"/>
              <w:bottom w:val="single" w:sz="4" w:space="0" w:color="auto"/>
              <w:right w:val="single" w:sz="4" w:space="0" w:color="auto"/>
            </w:tcBorders>
            <w:vAlign w:val="center"/>
          </w:tcPr>
          <w:p w14:paraId="46D060A7" w14:textId="1B3F912D"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4318C467" w14:textId="70B139CC"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2833862D" w14:textId="5A0327C4"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5BAF2F42" w14:textId="5BAC29B1"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2 332 565</w:t>
            </w:r>
          </w:p>
        </w:tc>
        <w:tc>
          <w:tcPr>
            <w:tcW w:w="1134" w:type="dxa"/>
            <w:tcBorders>
              <w:top w:val="single" w:sz="4" w:space="0" w:color="auto"/>
              <w:left w:val="single" w:sz="4" w:space="0" w:color="auto"/>
              <w:bottom w:val="single" w:sz="4" w:space="0" w:color="auto"/>
              <w:right w:val="single" w:sz="4" w:space="0" w:color="auto"/>
            </w:tcBorders>
            <w:vAlign w:val="center"/>
          </w:tcPr>
          <w:p w14:paraId="6AB4D8AE" w14:textId="7224BDFC" w:rsidR="00A76AD4" w:rsidRPr="000F746A" w:rsidRDefault="00A76AD4" w:rsidP="00A76AD4">
            <w:pPr>
              <w:spacing w:after="0" w:line="240" w:lineRule="auto"/>
              <w:jc w:val="center"/>
              <w:rPr>
                <w:rFonts w:ascii="Times New Roman" w:eastAsia="Times New Roman" w:hAnsi="Times New Roman" w:cs="Times New Roman"/>
                <w:color w:val="000000"/>
                <w:sz w:val="16"/>
                <w:szCs w:val="16"/>
                <w:lang w:eastAsia="lv-LV"/>
              </w:rPr>
            </w:pPr>
            <w:r w:rsidRPr="000F746A">
              <w:rPr>
                <w:rFonts w:ascii="Times New Roman" w:hAnsi="Times New Roman" w:cs="Times New Roman"/>
                <w:b/>
                <w:bCs/>
                <w:color w:val="000000"/>
                <w:sz w:val="16"/>
                <w:szCs w:val="16"/>
              </w:rPr>
              <w:t>2 332 540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98605" w14:textId="069963C3" w:rsidR="00A76AD4" w:rsidRPr="000F746A" w:rsidRDefault="00A76AD4" w:rsidP="00A76AD4">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2 332 540</w:t>
            </w:r>
          </w:p>
        </w:tc>
        <w:tc>
          <w:tcPr>
            <w:tcW w:w="850" w:type="dxa"/>
            <w:tcBorders>
              <w:top w:val="single" w:sz="4" w:space="0" w:color="auto"/>
              <w:left w:val="single" w:sz="4" w:space="0" w:color="auto"/>
              <w:bottom w:val="single" w:sz="4" w:space="0" w:color="auto"/>
              <w:right w:val="single" w:sz="4" w:space="0" w:color="auto"/>
            </w:tcBorders>
            <w:vAlign w:val="center"/>
          </w:tcPr>
          <w:p w14:paraId="37C73C7E" w14:textId="55A861D7" w:rsidR="00A76AD4" w:rsidRPr="000F746A" w:rsidRDefault="00A76AD4" w:rsidP="00A76AD4">
            <w:pPr>
              <w:spacing w:after="0" w:line="240" w:lineRule="auto"/>
              <w:jc w:val="center"/>
              <w:rPr>
                <w:rFonts w:ascii="Times New Roman" w:hAnsi="Times New Roman"/>
                <w:b/>
                <w:bCs/>
                <w:sz w:val="16"/>
                <w:szCs w:val="16"/>
              </w:rPr>
            </w:pPr>
            <w:r w:rsidRPr="000F746A">
              <w:rPr>
                <w:rFonts w:ascii="Times New Roman" w:hAnsi="Times New Roman"/>
                <w:b/>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1687CF8" w14:textId="37BE57DD" w:rsidR="00A76AD4" w:rsidRPr="000F746A" w:rsidRDefault="00A76AD4" w:rsidP="00A76AD4">
            <w:pPr>
              <w:spacing w:after="0" w:line="240" w:lineRule="auto"/>
              <w:jc w:val="center"/>
              <w:rPr>
                <w:rFonts w:ascii="Times New Roman" w:hAnsi="Times New Roman"/>
                <w:b/>
                <w:bCs/>
                <w:sz w:val="16"/>
                <w:szCs w:val="16"/>
              </w:rPr>
            </w:pPr>
            <w:r w:rsidRPr="000F746A">
              <w:rPr>
                <w:rFonts w:ascii="Times New Roman" w:hAnsi="Times New Roman"/>
                <w:b/>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F3612" w14:textId="1C3D7C33" w:rsidR="00A76AD4" w:rsidRPr="000F746A" w:rsidRDefault="00A76AD4" w:rsidP="00A76AD4">
            <w:pPr>
              <w:spacing w:after="0" w:line="240" w:lineRule="auto"/>
              <w:jc w:val="center"/>
              <w:rPr>
                <w:rFonts w:ascii="Times New Roman" w:hAnsi="Times New Roman"/>
                <w:b/>
                <w:bCs/>
                <w:sz w:val="16"/>
                <w:szCs w:val="16"/>
              </w:rPr>
            </w:pPr>
            <w:r w:rsidRPr="000F746A">
              <w:rPr>
                <w:rFonts w:ascii="Times New Roman" w:hAnsi="Times New Roman"/>
                <w:b/>
                <w:bCs/>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211A33AC" w14:textId="0673EE28" w:rsidR="00A76AD4" w:rsidRPr="000F746A" w:rsidRDefault="00A76AD4" w:rsidP="00A76AD4">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b/>
                <w:sz w:val="16"/>
                <w:szCs w:val="16"/>
                <w:lang w:eastAsia="lv-LV"/>
              </w:rPr>
              <w:t>14 659</w:t>
            </w:r>
          </w:p>
        </w:tc>
        <w:tc>
          <w:tcPr>
            <w:tcW w:w="847" w:type="dxa"/>
            <w:tcBorders>
              <w:top w:val="single" w:sz="4" w:space="0" w:color="auto"/>
              <w:left w:val="single" w:sz="4" w:space="0" w:color="auto"/>
              <w:bottom w:val="single" w:sz="4" w:space="0" w:color="auto"/>
              <w:right w:val="single" w:sz="4" w:space="0" w:color="auto"/>
            </w:tcBorders>
            <w:vAlign w:val="center"/>
          </w:tcPr>
          <w:p w14:paraId="053D0CE1" w14:textId="48240A93" w:rsidR="00A76AD4" w:rsidRPr="00E11AFF" w:rsidRDefault="00A76AD4" w:rsidP="00A76AD4">
            <w:pPr>
              <w:spacing w:after="0" w:line="240" w:lineRule="auto"/>
              <w:jc w:val="center"/>
              <w:rPr>
                <w:rFonts w:ascii="Times New Roman" w:eastAsia="Times New Roman" w:hAnsi="Times New Roman" w:cs="Times New Roman"/>
                <w:b/>
                <w:bCs/>
                <w:color w:val="000000"/>
                <w:sz w:val="16"/>
                <w:szCs w:val="16"/>
                <w:lang w:eastAsia="lv-LV"/>
              </w:rPr>
            </w:pPr>
            <w:r w:rsidRPr="00E11AFF">
              <w:rPr>
                <w:rFonts w:ascii="Times New Roman" w:eastAsia="Times New Roman" w:hAnsi="Times New Roman" w:cs="Times New Roman"/>
                <w:b/>
                <w:color w:val="000000"/>
                <w:sz w:val="16"/>
                <w:szCs w:val="16"/>
                <w:lang w:eastAsia="lv-LV"/>
              </w:rPr>
              <w:t>14 659</w:t>
            </w:r>
          </w:p>
        </w:tc>
        <w:tc>
          <w:tcPr>
            <w:tcW w:w="997" w:type="dxa"/>
            <w:tcBorders>
              <w:top w:val="single" w:sz="4" w:space="0" w:color="auto"/>
              <w:left w:val="single" w:sz="4" w:space="0" w:color="auto"/>
              <w:bottom w:val="single" w:sz="4" w:space="0" w:color="auto"/>
              <w:right w:val="single" w:sz="4" w:space="0" w:color="auto"/>
            </w:tcBorders>
            <w:vAlign w:val="center"/>
          </w:tcPr>
          <w:p w14:paraId="1223BA7B" w14:textId="29B68E08" w:rsidR="00A76AD4" w:rsidRPr="000F746A" w:rsidRDefault="00A76AD4" w:rsidP="00A76AD4">
            <w:pPr>
              <w:spacing w:after="0" w:line="240" w:lineRule="auto"/>
              <w:jc w:val="center"/>
              <w:rPr>
                <w:rFonts w:ascii="Times New Roman" w:hAnsi="Times New Roman"/>
                <w:b/>
                <w:bCs/>
                <w:sz w:val="16"/>
                <w:szCs w:val="16"/>
              </w:rPr>
            </w:pPr>
            <w:r w:rsidRPr="00E11AFF">
              <w:rPr>
                <w:rFonts w:ascii="Times New Roman" w:eastAsia="Times New Roman" w:hAnsi="Times New Roman" w:cs="Times New Roman"/>
                <w:b/>
                <w:color w:val="000000"/>
                <w:sz w:val="16"/>
                <w:szCs w:val="16"/>
                <w:lang w:eastAsia="lv-LV"/>
              </w:rPr>
              <w:t>14 659</w:t>
            </w:r>
          </w:p>
        </w:tc>
      </w:tr>
      <w:tr w:rsidR="00855D07" w:rsidRPr="00261E67" w14:paraId="19956971" w14:textId="77777777" w:rsidTr="000F746A">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0ADC650" w14:textId="2D98DF54" w:rsidR="00855D07" w:rsidRPr="000F746A" w:rsidRDefault="00855D07" w:rsidP="00855D07">
            <w:pPr>
              <w:spacing w:after="0" w:line="240" w:lineRule="auto"/>
              <w:rPr>
                <w:rFonts w:ascii="Times New Roman" w:eastAsia="Times New Roman" w:hAnsi="Times New Roman"/>
                <w:sz w:val="16"/>
                <w:szCs w:val="16"/>
                <w:lang w:eastAsia="lv-LV"/>
              </w:rPr>
            </w:pPr>
            <w:r w:rsidRPr="000F746A">
              <w:rPr>
                <w:rFonts w:ascii="Times New Roman" w:eastAsia="Times New Roman" w:hAnsi="Times New Roman" w:cs="Times New Roman"/>
                <w:color w:val="000000"/>
                <w:sz w:val="16"/>
                <w:szCs w:val="16"/>
                <w:lang w:eastAsia="lv-LV"/>
              </w:rPr>
              <w:t>Onkoloģisko pacientu skaita un prognozētās ārstēšanas izmaksu pieaugums ambulatori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D9627" w14:textId="06C65E02"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color w:val="000000"/>
                <w:sz w:val="16"/>
                <w:szCs w:val="16"/>
              </w:rPr>
              <w:t>356.29</w:t>
            </w:r>
          </w:p>
        </w:tc>
        <w:tc>
          <w:tcPr>
            <w:tcW w:w="1134" w:type="dxa"/>
            <w:tcBorders>
              <w:top w:val="single" w:sz="4" w:space="0" w:color="auto"/>
              <w:left w:val="single" w:sz="4" w:space="0" w:color="auto"/>
              <w:bottom w:val="single" w:sz="4" w:space="0" w:color="auto"/>
              <w:right w:val="single" w:sz="4" w:space="0" w:color="auto"/>
            </w:tcBorders>
            <w:vAlign w:val="center"/>
          </w:tcPr>
          <w:p w14:paraId="29960B4A" w14:textId="7075C4F7" w:rsidR="00855D07" w:rsidRPr="000F746A" w:rsidRDefault="00855D07" w:rsidP="00855D07">
            <w:pPr>
              <w:spacing w:after="0" w:line="240" w:lineRule="auto"/>
              <w:jc w:val="center"/>
              <w:rPr>
                <w:rFonts w:ascii="Times New Roman" w:hAnsi="Times New Roman"/>
                <w:sz w:val="16"/>
                <w:szCs w:val="16"/>
              </w:rPr>
            </w:pPr>
            <w:r w:rsidRPr="000F746A">
              <w:rPr>
                <w:rFonts w:ascii="Times New Roman" w:eastAsia="Times New Roman" w:hAnsi="Times New Roman" w:cs="Times New Roman"/>
                <w:sz w:val="16"/>
                <w:szCs w:val="16"/>
                <w:lang w:eastAsia="lv-LV"/>
              </w:rPr>
              <w:t>5 890 295</w:t>
            </w:r>
          </w:p>
        </w:tc>
        <w:tc>
          <w:tcPr>
            <w:tcW w:w="992" w:type="dxa"/>
            <w:tcBorders>
              <w:top w:val="single" w:sz="4" w:space="0" w:color="auto"/>
              <w:left w:val="single" w:sz="4" w:space="0" w:color="auto"/>
              <w:bottom w:val="single" w:sz="4" w:space="0" w:color="auto"/>
              <w:right w:val="single" w:sz="4" w:space="0" w:color="auto"/>
            </w:tcBorders>
            <w:vAlign w:val="center"/>
          </w:tcPr>
          <w:p w14:paraId="7C3BD442" w14:textId="60E1F5A0" w:rsidR="00855D07" w:rsidRPr="000F746A" w:rsidRDefault="00855D07" w:rsidP="00855D07">
            <w:pPr>
              <w:spacing w:after="0" w:line="240" w:lineRule="auto"/>
              <w:jc w:val="center"/>
              <w:rPr>
                <w:rFonts w:ascii="Times New Roman" w:hAnsi="Times New Roman"/>
                <w:sz w:val="16"/>
                <w:szCs w:val="16"/>
              </w:rPr>
            </w:pPr>
            <w:r w:rsidRPr="000F746A">
              <w:rPr>
                <w:rFonts w:ascii="Times New Roman" w:eastAsia="Times New Roman" w:hAnsi="Times New Roman" w:cs="Times New Roman"/>
                <w:sz w:val="16"/>
                <w:szCs w:val="16"/>
                <w:lang w:eastAsia="lv-LV"/>
              </w:rPr>
              <w:t>5 890 295</w:t>
            </w:r>
          </w:p>
        </w:tc>
        <w:tc>
          <w:tcPr>
            <w:tcW w:w="992" w:type="dxa"/>
            <w:tcBorders>
              <w:top w:val="single" w:sz="4" w:space="0" w:color="auto"/>
              <w:left w:val="single" w:sz="4" w:space="0" w:color="auto"/>
              <w:bottom w:val="single" w:sz="4" w:space="0" w:color="auto"/>
              <w:right w:val="single" w:sz="4" w:space="0" w:color="auto"/>
            </w:tcBorders>
            <w:vAlign w:val="center"/>
          </w:tcPr>
          <w:p w14:paraId="1E4ADD47" w14:textId="1C788EAC" w:rsidR="00855D07" w:rsidRPr="000F746A" w:rsidRDefault="00855D07" w:rsidP="00855D07">
            <w:pPr>
              <w:spacing w:after="0" w:line="240" w:lineRule="auto"/>
              <w:jc w:val="center"/>
              <w:rPr>
                <w:rFonts w:ascii="Times New Roman" w:hAnsi="Times New Roman"/>
                <w:sz w:val="16"/>
                <w:szCs w:val="16"/>
              </w:rPr>
            </w:pPr>
            <w:r w:rsidRPr="000F746A">
              <w:rPr>
                <w:rFonts w:ascii="Times New Roman" w:eastAsia="Times New Roman" w:hAnsi="Times New Roman" w:cs="Times New Roman"/>
                <w:sz w:val="16"/>
                <w:szCs w:val="16"/>
                <w:lang w:eastAsia="lv-LV"/>
              </w:rPr>
              <w:t>5 890 295</w:t>
            </w:r>
          </w:p>
        </w:tc>
        <w:tc>
          <w:tcPr>
            <w:tcW w:w="1134" w:type="dxa"/>
            <w:tcBorders>
              <w:top w:val="single" w:sz="4" w:space="0" w:color="auto"/>
              <w:left w:val="single" w:sz="4" w:space="0" w:color="auto"/>
              <w:bottom w:val="single" w:sz="4" w:space="0" w:color="auto"/>
              <w:right w:val="single" w:sz="4" w:space="0" w:color="auto"/>
            </w:tcBorders>
            <w:vAlign w:val="center"/>
          </w:tcPr>
          <w:p w14:paraId="3917C13D" w14:textId="327D0115"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1 178 058</w:t>
            </w:r>
          </w:p>
        </w:tc>
        <w:tc>
          <w:tcPr>
            <w:tcW w:w="1134" w:type="dxa"/>
            <w:tcBorders>
              <w:top w:val="single" w:sz="4" w:space="0" w:color="auto"/>
              <w:left w:val="single" w:sz="4" w:space="0" w:color="auto"/>
              <w:bottom w:val="single" w:sz="4" w:space="0" w:color="auto"/>
              <w:right w:val="single" w:sz="4" w:space="0" w:color="auto"/>
            </w:tcBorders>
            <w:vAlign w:val="center"/>
          </w:tcPr>
          <w:p w14:paraId="5F5D0FD5" w14:textId="7BD5EC9D" w:rsidR="00855D07" w:rsidRPr="000F746A" w:rsidRDefault="00855D07" w:rsidP="00855D07">
            <w:pPr>
              <w:spacing w:after="0" w:line="240" w:lineRule="auto"/>
              <w:jc w:val="center"/>
              <w:rPr>
                <w:rFonts w:ascii="Times New Roman" w:eastAsia="Times New Roman" w:hAnsi="Times New Roman" w:cs="Times New Roman"/>
                <w:color w:val="000000"/>
                <w:sz w:val="16"/>
                <w:szCs w:val="16"/>
                <w:lang w:eastAsia="lv-LV"/>
              </w:rPr>
            </w:pPr>
            <w:r w:rsidRPr="000F746A">
              <w:rPr>
                <w:rFonts w:ascii="Times New Roman" w:hAnsi="Times New Roman" w:cs="Times New Roman"/>
                <w:b/>
                <w:bCs/>
                <w:color w:val="000000"/>
                <w:sz w:val="16"/>
                <w:szCs w:val="16"/>
              </w:rPr>
              <w:t>1 177 895</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553F2" w14:textId="58E32CE8"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1 177 895</w:t>
            </w:r>
          </w:p>
        </w:tc>
        <w:tc>
          <w:tcPr>
            <w:tcW w:w="850" w:type="dxa"/>
            <w:tcBorders>
              <w:top w:val="single" w:sz="4" w:space="0" w:color="auto"/>
              <w:left w:val="single" w:sz="4" w:space="0" w:color="auto"/>
              <w:bottom w:val="single" w:sz="4" w:space="0" w:color="auto"/>
              <w:right w:val="single" w:sz="4" w:space="0" w:color="auto"/>
            </w:tcBorders>
            <w:vAlign w:val="center"/>
          </w:tcPr>
          <w:p w14:paraId="68E21E2A" w14:textId="36C480F6"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16 532</w:t>
            </w:r>
          </w:p>
        </w:tc>
        <w:tc>
          <w:tcPr>
            <w:tcW w:w="851" w:type="dxa"/>
            <w:tcBorders>
              <w:top w:val="single" w:sz="4" w:space="0" w:color="auto"/>
              <w:left w:val="single" w:sz="4" w:space="0" w:color="auto"/>
              <w:bottom w:val="single" w:sz="4" w:space="0" w:color="auto"/>
              <w:right w:val="single" w:sz="4" w:space="0" w:color="auto"/>
            </w:tcBorders>
            <w:vAlign w:val="center"/>
          </w:tcPr>
          <w:p w14:paraId="45AC1463" w14:textId="6FAF4294"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16 532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6FFB7" w14:textId="21FD6BCF"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16 532</w:t>
            </w:r>
          </w:p>
        </w:tc>
        <w:tc>
          <w:tcPr>
            <w:tcW w:w="992" w:type="dxa"/>
            <w:tcBorders>
              <w:top w:val="single" w:sz="4" w:space="0" w:color="auto"/>
              <w:left w:val="single" w:sz="4" w:space="0" w:color="auto"/>
              <w:bottom w:val="single" w:sz="4" w:space="0" w:color="auto"/>
              <w:right w:val="single" w:sz="4" w:space="0" w:color="auto"/>
            </w:tcBorders>
            <w:vAlign w:val="center"/>
          </w:tcPr>
          <w:p w14:paraId="3CDD02F2" w14:textId="6FBDB4E1"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b/>
                <w:sz w:val="16"/>
                <w:szCs w:val="16"/>
                <w:lang w:eastAsia="lv-LV"/>
              </w:rPr>
              <w:t>19 838</w:t>
            </w:r>
          </w:p>
        </w:tc>
        <w:tc>
          <w:tcPr>
            <w:tcW w:w="847" w:type="dxa"/>
            <w:tcBorders>
              <w:top w:val="single" w:sz="4" w:space="0" w:color="auto"/>
              <w:left w:val="single" w:sz="4" w:space="0" w:color="auto"/>
              <w:bottom w:val="single" w:sz="4" w:space="0" w:color="auto"/>
              <w:right w:val="single" w:sz="4" w:space="0" w:color="auto"/>
            </w:tcBorders>
            <w:vAlign w:val="center"/>
          </w:tcPr>
          <w:p w14:paraId="05C6D44F" w14:textId="022E4571" w:rsidR="00855D07" w:rsidRPr="000F746A" w:rsidRDefault="00855D07" w:rsidP="00855D07">
            <w:pPr>
              <w:spacing w:after="0" w:line="240" w:lineRule="auto"/>
              <w:jc w:val="center"/>
              <w:rPr>
                <w:rFonts w:ascii="Times New Roman" w:eastAsia="Times New Roman" w:hAnsi="Times New Roman" w:cs="Times New Roman"/>
                <w:bCs/>
                <w:color w:val="000000"/>
                <w:sz w:val="16"/>
                <w:szCs w:val="16"/>
                <w:lang w:eastAsia="lv-LV"/>
              </w:rPr>
            </w:pPr>
            <w:r w:rsidRPr="000F746A">
              <w:rPr>
                <w:rFonts w:ascii="Times New Roman" w:eastAsia="Times New Roman" w:hAnsi="Times New Roman" w:cs="Times New Roman"/>
                <w:b/>
                <w:sz w:val="16"/>
                <w:szCs w:val="16"/>
                <w:lang w:eastAsia="lv-LV"/>
              </w:rPr>
              <w:t>19 838</w:t>
            </w:r>
          </w:p>
        </w:tc>
        <w:tc>
          <w:tcPr>
            <w:tcW w:w="997" w:type="dxa"/>
            <w:tcBorders>
              <w:top w:val="single" w:sz="4" w:space="0" w:color="auto"/>
              <w:left w:val="single" w:sz="4" w:space="0" w:color="auto"/>
              <w:bottom w:val="single" w:sz="4" w:space="0" w:color="auto"/>
              <w:right w:val="single" w:sz="4" w:space="0" w:color="auto"/>
            </w:tcBorders>
            <w:vAlign w:val="center"/>
          </w:tcPr>
          <w:p w14:paraId="37CB9EBC" w14:textId="0794FB1F"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b/>
                <w:sz w:val="16"/>
                <w:szCs w:val="16"/>
                <w:lang w:eastAsia="lv-LV"/>
              </w:rPr>
              <w:t>19 838</w:t>
            </w:r>
          </w:p>
        </w:tc>
      </w:tr>
      <w:tr w:rsidR="00855D07" w:rsidRPr="00261E67" w14:paraId="710DA022" w14:textId="77777777" w:rsidTr="000F746A">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CBC6F15" w14:textId="77777777" w:rsidR="00855D07" w:rsidRPr="000F746A" w:rsidRDefault="00855D07" w:rsidP="000F746A">
            <w:pPr>
              <w:spacing w:after="0" w:line="240" w:lineRule="auto"/>
              <w:rPr>
                <w:rFonts w:ascii="Times New Roman" w:eastAsia="Times New Roman" w:hAnsi="Times New Roman" w:cs="Times New Roman"/>
                <w:color w:val="000000"/>
                <w:sz w:val="16"/>
                <w:szCs w:val="16"/>
                <w:lang w:eastAsia="lv-LV"/>
              </w:rPr>
            </w:pPr>
            <w:r w:rsidRPr="000F746A">
              <w:rPr>
                <w:rFonts w:ascii="Times New Roman" w:eastAsia="Times New Roman" w:hAnsi="Times New Roman" w:cs="Times New Roman"/>
                <w:color w:val="000000"/>
                <w:sz w:val="16"/>
                <w:szCs w:val="16"/>
                <w:lang w:eastAsia="lv-LV"/>
              </w:rPr>
              <w:t>Onkoloģisko pacientu skaita un prognozētās ārstēšanas izmaksu pieaugums</w:t>
            </w:r>
          </w:p>
          <w:p w14:paraId="4237186D" w14:textId="43FE631A" w:rsidR="00855D07" w:rsidRPr="000F746A" w:rsidRDefault="00855D07" w:rsidP="00855D07">
            <w:pPr>
              <w:spacing w:after="0" w:line="240" w:lineRule="auto"/>
              <w:rPr>
                <w:rFonts w:ascii="Times New Roman" w:eastAsia="Times New Roman" w:hAnsi="Times New Roman"/>
                <w:sz w:val="16"/>
                <w:szCs w:val="16"/>
                <w:lang w:eastAsia="lv-LV"/>
              </w:rPr>
            </w:pPr>
            <w:r w:rsidRPr="000F746A">
              <w:rPr>
                <w:rFonts w:ascii="Times New Roman" w:eastAsia="Times New Roman" w:hAnsi="Times New Roman" w:cs="Times New Roman"/>
                <w:color w:val="000000"/>
                <w:sz w:val="16"/>
                <w:szCs w:val="16"/>
                <w:lang w:eastAsia="lv-LV"/>
              </w:rPr>
              <w:t>stacionārā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0E377" w14:textId="03111B7E"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color w:val="000000"/>
                <w:sz w:val="16"/>
                <w:szCs w:val="16"/>
              </w:rPr>
              <w:t>410.51</w:t>
            </w:r>
          </w:p>
        </w:tc>
        <w:tc>
          <w:tcPr>
            <w:tcW w:w="1134" w:type="dxa"/>
            <w:tcBorders>
              <w:top w:val="single" w:sz="4" w:space="0" w:color="auto"/>
              <w:left w:val="single" w:sz="4" w:space="0" w:color="auto"/>
              <w:bottom w:val="single" w:sz="4" w:space="0" w:color="auto"/>
              <w:right w:val="single" w:sz="4" w:space="0" w:color="auto"/>
            </w:tcBorders>
            <w:vAlign w:val="center"/>
          </w:tcPr>
          <w:p w14:paraId="5B132C36" w14:textId="1E0F0F51"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sz w:val="16"/>
                <w:szCs w:val="16"/>
              </w:rPr>
              <w:t>24 630 580</w:t>
            </w:r>
          </w:p>
        </w:tc>
        <w:tc>
          <w:tcPr>
            <w:tcW w:w="992" w:type="dxa"/>
            <w:tcBorders>
              <w:top w:val="single" w:sz="4" w:space="0" w:color="auto"/>
              <w:left w:val="single" w:sz="4" w:space="0" w:color="auto"/>
              <w:bottom w:val="single" w:sz="4" w:space="0" w:color="auto"/>
              <w:right w:val="single" w:sz="4" w:space="0" w:color="auto"/>
            </w:tcBorders>
            <w:vAlign w:val="center"/>
          </w:tcPr>
          <w:p w14:paraId="0994079C" w14:textId="0F5FCC3E" w:rsidR="00855D07" w:rsidRPr="000F746A" w:rsidRDefault="00855D07" w:rsidP="00855D07">
            <w:pPr>
              <w:spacing w:after="0" w:line="240" w:lineRule="auto"/>
              <w:jc w:val="center"/>
              <w:rPr>
                <w:rFonts w:ascii="Times New Roman" w:hAnsi="Times New Roman"/>
                <w:sz w:val="16"/>
                <w:szCs w:val="16"/>
              </w:rPr>
            </w:pPr>
            <w:r w:rsidRPr="000F746A">
              <w:rPr>
                <w:rFonts w:ascii="Times New Roman" w:eastAsia="Times New Roman" w:hAnsi="Times New Roman" w:cs="Times New Roman"/>
                <w:sz w:val="16"/>
                <w:szCs w:val="16"/>
                <w:lang w:eastAsia="lv-LV"/>
              </w:rPr>
              <w:t>24 630 580</w:t>
            </w:r>
          </w:p>
        </w:tc>
        <w:tc>
          <w:tcPr>
            <w:tcW w:w="992" w:type="dxa"/>
            <w:tcBorders>
              <w:top w:val="single" w:sz="4" w:space="0" w:color="auto"/>
              <w:left w:val="single" w:sz="4" w:space="0" w:color="auto"/>
              <w:bottom w:val="single" w:sz="4" w:space="0" w:color="auto"/>
              <w:right w:val="single" w:sz="4" w:space="0" w:color="auto"/>
            </w:tcBorders>
            <w:vAlign w:val="center"/>
          </w:tcPr>
          <w:p w14:paraId="0EF4A60B" w14:textId="7E06465C"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sz w:val="16"/>
                <w:szCs w:val="16"/>
              </w:rPr>
              <w:t>24 630 580</w:t>
            </w:r>
          </w:p>
        </w:tc>
        <w:tc>
          <w:tcPr>
            <w:tcW w:w="1134" w:type="dxa"/>
            <w:tcBorders>
              <w:top w:val="single" w:sz="4" w:space="0" w:color="auto"/>
              <w:left w:val="single" w:sz="4" w:space="0" w:color="auto"/>
              <w:bottom w:val="single" w:sz="4" w:space="0" w:color="auto"/>
              <w:right w:val="single" w:sz="4" w:space="0" w:color="auto"/>
            </w:tcBorders>
            <w:vAlign w:val="center"/>
          </w:tcPr>
          <w:p w14:paraId="5A92BA94" w14:textId="75E7BB4F"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2 463 058</w:t>
            </w:r>
          </w:p>
        </w:tc>
        <w:tc>
          <w:tcPr>
            <w:tcW w:w="1134" w:type="dxa"/>
            <w:tcBorders>
              <w:top w:val="single" w:sz="4" w:space="0" w:color="auto"/>
              <w:left w:val="single" w:sz="4" w:space="0" w:color="auto"/>
              <w:bottom w:val="single" w:sz="4" w:space="0" w:color="auto"/>
              <w:right w:val="single" w:sz="4" w:space="0" w:color="auto"/>
            </w:tcBorders>
            <w:vAlign w:val="center"/>
          </w:tcPr>
          <w:p w14:paraId="4A0C9DA7" w14:textId="03B8E1CD" w:rsidR="00855D07" w:rsidRPr="000F746A" w:rsidRDefault="00855D07" w:rsidP="00855D07">
            <w:pPr>
              <w:spacing w:after="0" w:line="240" w:lineRule="auto"/>
              <w:jc w:val="center"/>
              <w:rPr>
                <w:rFonts w:ascii="Times New Roman" w:eastAsia="Times New Roman" w:hAnsi="Times New Roman" w:cs="Times New Roman"/>
                <w:color w:val="000000"/>
                <w:sz w:val="16"/>
                <w:szCs w:val="16"/>
                <w:lang w:eastAsia="lv-LV"/>
              </w:rPr>
            </w:pPr>
            <w:r w:rsidRPr="000F746A">
              <w:rPr>
                <w:rFonts w:ascii="Times New Roman" w:hAnsi="Times New Roman" w:cs="Times New Roman"/>
                <w:b/>
                <w:bCs/>
                <w:color w:val="000000"/>
                <w:sz w:val="16"/>
                <w:szCs w:val="16"/>
              </w:rPr>
              <w:t xml:space="preserve">2 462 </w:t>
            </w:r>
            <w:r w:rsidR="00CC3E70" w:rsidRPr="000F746A">
              <w:rPr>
                <w:rFonts w:ascii="Times New Roman" w:hAnsi="Times New Roman" w:cs="Times New Roman"/>
                <w:b/>
                <w:bCs/>
                <w:color w:val="000000"/>
                <w:sz w:val="16"/>
                <w:szCs w:val="16"/>
              </w:rPr>
              <w:t>176</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8D9FF" w14:textId="7DDD4141" w:rsidR="00855D07" w:rsidRPr="000F746A" w:rsidRDefault="00855D07" w:rsidP="00855D07">
            <w:pPr>
              <w:spacing w:after="0" w:line="240" w:lineRule="auto"/>
              <w:jc w:val="center"/>
              <w:rPr>
                <w:rFonts w:ascii="Times New Roman" w:hAnsi="Times New Roman"/>
                <w:sz w:val="16"/>
                <w:szCs w:val="16"/>
              </w:rPr>
            </w:pPr>
            <w:r w:rsidRPr="000F746A">
              <w:rPr>
                <w:rFonts w:ascii="Times New Roman" w:hAnsi="Times New Roman" w:cs="Times New Roman"/>
                <w:b/>
                <w:bCs/>
                <w:color w:val="000000"/>
                <w:sz w:val="16"/>
                <w:szCs w:val="16"/>
              </w:rPr>
              <w:t>2 462 239</w:t>
            </w:r>
          </w:p>
        </w:tc>
        <w:tc>
          <w:tcPr>
            <w:tcW w:w="850" w:type="dxa"/>
            <w:tcBorders>
              <w:top w:val="single" w:sz="4" w:space="0" w:color="auto"/>
              <w:left w:val="single" w:sz="4" w:space="0" w:color="auto"/>
              <w:bottom w:val="single" w:sz="4" w:space="0" w:color="auto"/>
              <w:right w:val="single" w:sz="4" w:space="0" w:color="auto"/>
            </w:tcBorders>
            <w:vAlign w:val="center"/>
          </w:tcPr>
          <w:p w14:paraId="2B9FECAC" w14:textId="0127706A"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34 454</w:t>
            </w:r>
          </w:p>
        </w:tc>
        <w:tc>
          <w:tcPr>
            <w:tcW w:w="851" w:type="dxa"/>
            <w:tcBorders>
              <w:top w:val="single" w:sz="4" w:space="0" w:color="auto"/>
              <w:left w:val="single" w:sz="4" w:space="0" w:color="auto"/>
              <w:bottom w:val="single" w:sz="4" w:space="0" w:color="auto"/>
              <w:right w:val="single" w:sz="4" w:space="0" w:color="auto"/>
            </w:tcBorders>
            <w:vAlign w:val="center"/>
          </w:tcPr>
          <w:p w14:paraId="31473E94" w14:textId="4908FE55"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34 454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8812B" w14:textId="14171C1C"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sz w:val="16"/>
                <w:szCs w:val="16"/>
                <w:lang w:eastAsia="lv-LV"/>
              </w:rPr>
              <w:t>34 454</w:t>
            </w:r>
          </w:p>
        </w:tc>
        <w:tc>
          <w:tcPr>
            <w:tcW w:w="992" w:type="dxa"/>
            <w:tcBorders>
              <w:top w:val="single" w:sz="4" w:space="0" w:color="auto"/>
              <w:left w:val="single" w:sz="4" w:space="0" w:color="auto"/>
              <w:bottom w:val="single" w:sz="4" w:space="0" w:color="auto"/>
              <w:right w:val="single" w:sz="4" w:space="0" w:color="auto"/>
            </w:tcBorders>
            <w:vAlign w:val="center"/>
          </w:tcPr>
          <w:p w14:paraId="33C01A73" w14:textId="00467D02"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b/>
                <w:sz w:val="16"/>
                <w:szCs w:val="16"/>
                <w:lang w:eastAsia="lv-LV"/>
              </w:rPr>
              <w:t>37 899</w:t>
            </w:r>
          </w:p>
        </w:tc>
        <w:tc>
          <w:tcPr>
            <w:tcW w:w="847" w:type="dxa"/>
            <w:tcBorders>
              <w:top w:val="single" w:sz="4" w:space="0" w:color="auto"/>
              <w:left w:val="single" w:sz="4" w:space="0" w:color="auto"/>
              <w:bottom w:val="single" w:sz="4" w:space="0" w:color="auto"/>
              <w:right w:val="single" w:sz="4" w:space="0" w:color="auto"/>
            </w:tcBorders>
            <w:vAlign w:val="center"/>
          </w:tcPr>
          <w:p w14:paraId="6BC380B8" w14:textId="35B48E07" w:rsidR="00855D07" w:rsidRPr="000F746A" w:rsidRDefault="00855D07" w:rsidP="00855D07">
            <w:pPr>
              <w:spacing w:after="0" w:line="240" w:lineRule="auto"/>
              <w:jc w:val="center"/>
              <w:rPr>
                <w:rFonts w:ascii="Times New Roman" w:eastAsia="Times New Roman" w:hAnsi="Times New Roman" w:cs="Times New Roman"/>
                <w:bCs/>
                <w:color w:val="000000"/>
                <w:sz w:val="16"/>
                <w:szCs w:val="16"/>
                <w:lang w:eastAsia="lv-LV"/>
              </w:rPr>
            </w:pPr>
            <w:r w:rsidRPr="000F746A">
              <w:rPr>
                <w:rFonts w:ascii="Times New Roman" w:eastAsia="Times New Roman" w:hAnsi="Times New Roman" w:cs="Times New Roman"/>
                <w:b/>
                <w:sz w:val="16"/>
                <w:szCs w:val="16"/>
                <w:lang w:eastAsia="lv-LV"/>
              </w:rPr>
              <w:t>37 899</w:t>
            </w:r>
          </w:p>
        </w:tc>
        <w:tc>
          <w:tcPr>
            <w:tcW w:w="997" w:type="dxa"/>
            <w:tcBorders>
              <w:top w:val="single" w:sz="4" w:space="0" w:color="auto"/>
              <w:left w:val="single" w:sz="4" w:space="0" w:color="auto"/>
              <w:bottom w:val="single" w:sz="4" w:space="0" w:color="auto"/>
              <w:right w:val="single" w:sz="4" w:space="0" w:color="auto"/>
            </w:tcBorders>
            <w:vAlign w:val="center"/>
          </w:tcPr>
          <w:p w14:paraId="462E15F8" w14:textId="3AAB8560" w:rsidR="00855D07" w:rsidRPr="000F746A" w:rsidRDefault="00855D07" w:rsidP="00855D07">
            <w:pPr>
              <w:spacing w:after="0" w:line="240" w:lineRule="auto"/>
              <w:jc w:val="center"/>
              <w:rPr>
                <w:rFonts w:ascii="Times New Roman" w:hAnsi="Times New Roman"/>
                <w:b/>
                <w:bCs/>
                <w:sz w:val="16"/>
                <w:szCs w:val="16"/>
              </w:rPr>
            </w:pPr>
            <w:r w:rsidRPr="000F746A">
              <w:rPr>
                <w:rFonts w:ascii="Times New Roman" w:eastAsia="Times New Roman" w:hAnsi="Times New Roman" w:cs="Times New Roman"/>
                <w:b/>
                <w:sz w:val="16"/>
                <w:szCs w:val="16"/>
                <w:lang w:eastAsia="lv-LV"/>
              </w:rPr>
              <w:t>37 899</w:t>
            </w:r>
          </w:p>
        </w:tc>
      </w:tr>
      <w:tr w:rsidR="00136C30" w:rsidRPr="00261E67" w14:paraId="66CA2ACB" w14:textId="77777777" w:rsidTr="000F746A">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12CBA8F" w14:textId="77777777" w:rsidR="00136C30" w:rsidRPr="000F746A" w:rsidRDefault="00136C30" w:rsidP="00136C30">
            <w:pPr>
              <w:spacing w:after="0" w:line="240" w:lineRule="auto"/>
              <w:rPr>
                <w:rFonts w:ascii="Times New Roman" w:eastAsia="Times New Roman" w:hAnsi="Times New Roman" w:cs="Times New Roman"/>
                <w:color w:val="000000"/>
                <w:sz w:val="16"/>
                <w:szCs w:val="16"/>
                <w:lang w:eastAsia="lv-LV"/>
              </w:rPr>
            </w:pPr>
            <w:r w:rsidRPr="000F746A">
              <w:rPr>
                <w:rFonts w:ascii="Times New Roman" w:eastAsia="Times New Roman" w:hAnsi="Times New Roman" w:cs="Times New Roman"/>
                <w:color w:val="000000"/>
                <w:sz w:val="16"/>
                <w:szCs w:val="16"/>
                <w:lang w:eastAsia="lv-LV"/>
              </w:rPr>
              <w:t>Kompensējamos medikamentus saņēmušo</w:t>
            </w:r>
          </w:p>
          <w:p w14:paraId="7009A56A" w14:textId="7BFDB8D1" w:rsidR="00136C30" w:rsidRPr="000F746A" w:rsidRDefault="00136C30" w:rsidP="00136C30">
            <w:pPr>
              <w:spacing w:after="0" w:line="240" w:lineRule="auto"/>
              <w:rPr>
                <w:rFonts w:ascii="Times New Roman" w:eastAsia="Times New Roman" w:hAnsi="Times New Roman"/>
                <w:sz w:val="16"/>
                <w:szCs w:val="16"/>
                <w:lang w:eastAsia="lv-LV"/>
              </w:rPr>
            </w:pPr>
            <w:r w:rsidRPr="000F746A">
              <w:rPr>
                <w:rFonts w:ascii="Times New Roman" w:eastAsia="Times New Roman" w:hAnsi="Times New Roman" w:cs="Times New Roman"/>
                <w:color w:val="000000"/>
                <w:sz w:val="16"/>
                <w:szCs w:val="16"/>
                <w:lang w:eastAsia="lv-LV"/>
              </w:rPr>
              <w:t>pacientu un līdzekļu pieaugums onkoloģijā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BC03B" w14:textId="42585D0E" w:rsidR="00136C30" w:rsidRPr="000F746A" w:rsidRDefault="00136C30" w:rsidP="00136C30">
            <w:pPr>
              <w:spacing w:after="0" w:line="240" w:lineRule="auto"/>
              <w:jc w:val="center"/>
              <w:rPr>
                <w:rFonts w:ascii="Times New Roman" w:hAnsi="Times New Roman"/>
                <w:sz w:val="16"/>
                <w:szCs w:val="16"/>
              </w:rPr>
            </w:pPr>
            <w:r w:rsidRPr="000F746A">
              <w:rPr>
                <w:rFonts w:ascii="Times New Roman" w:hAnsi="Times New Roman" w:cs="Times New Roman"/>
                <w:color w:val="000000"/>
                <w:sz w:val="16"/>
                <w:szCs w:val="16"/>
              </w:rPr>
              <w:t>2 227.19</w:t>
            </w:r>
          </w:p>
        </w:tc>
        <w:tc>
          <w:tcPr>
            <w:tcW w:w="1134" w:type="dxa"/>
            <w:tcBorders>
              <w:top w:val="single" w:sz="4" w:space="0" w:color="auto"/>
              <w:left w:val="single" w:sz="4" w:space="0" w:color="auto"/>
              <w:bottom w:val="single" w:sz="4" w:space="0" w:color="auto"/>
              <w:right w:val="single" w:sz="4" w:space="0" w:color="auto"/>
            </w:tcBorders>
            <w:vAlign w:val="center"/>
          </w:tcPr>
          <w:p w14:paraId="6CAA607C" w14:textId="41E73F51" w:rsidR="00136C30" w:rsidRPr="004949BB" w:rsidRDefault="00136C30" w:rsidP="00136C30">
            <w:pPr>
              <w:spacing w:after="0" w:line="240" w:lineRule="auto"/>
              <w:jc w:val="center"/>
              <w:rPr>
                <w:rFonts w:ascii="Times New Roman" w:hAnsi="Times New Roman"/>
                <w:sz w:val="16"/>
                <w:szCs w:val="16"/>
              </w:rPr>
            </w:pPr>
            <w:r w:rsidRPr="004949BB">
              <w:rPr>
                <w:rFonts w:ascii="Times New Roman" w:hAnsi="Times New Roman" w:cs="Times New Roman"/>
                <w:sz w:val="16"/>
                <w:szCs w:val="16"/>
              </w:rPr>
              <w:t>20 695 813</w:t>
            </w:r>
          </w:p>
        </w:tc>
        <w:tc>
          <w:tcPr>
            <w:tcW w:w="992" w:type="dxa"/>
            <w:tcBorders>
              <w:top w:val="single" w:sz="4" w:space="0" w:color="auto"/>
              <w:left w:val="single" w:sz="4" w:space="0" w:color="auto"/>
              <w:bottom w:val="single" w:sz="4" w:space="0" w:color="auto"/>
              <w:right w:val="single" w:sz="4" w:space="0" w:color="auto"/>
            </w:tcBorders>
            <w:vAlign w:val="center"/>
          </w:tcPr>
          <w:p w14:paraId="5F447912" w14:textId="1604DB83" w:rsidR="00136C30" w:rsidRPr="000F746A" w:rsidRDefault="00136C30" w:rsidP="00136C30">
            <w:pPr>
              <w:spacing w:after="0" w:line="240" w:lineRule="auto"/>
              <w:jc w:val="center"/>
              <w:rPr>
                <w:rFonts w:ascii="Times New Roman" w:hAnsi="Times New Roman"/>
                <w:sz w:val="16"/>
                <w:szCs w:val="16"/>
              </w:rPr>
            </w:pPr>
            <w:r w:rsidRPr="00D05F1B">
              <w:rPr>
                <w:rFonts w:ascii="Times New Roman" w:hAnsi="Times New Roman" w:cs="Times New Roman"/>
                <w:sz w:val="16"/>
                <w:szCs w:val="16"/>
              </w:rPr>
              <w:t>24 485 563</w:t>
            </w:r>
          </w:p>
        </w:tc>
        <w:tc>
          <w:tcPr>
            <w:tcW w:w="992" w:type="dxa"/>
            <w:tcBorders>
              <w:top w:val="single" w:sz="4" w:space="0" w:color="auto"/>
              <w:left w:val="single" w:sz="4" w:space="0" w:color="auto"/>
              <w:bottom w:val="single" w:sz="4" w:space="0" w:color="auto"/>
              <w:right w:val="single" w:sz="4" w:space="0" w:color="auto"/>
            </w:tcBorders>
            <w:vAlign w:val="center"/>
          </w:tcPr>
          <w:p w14:paraId="60E58379" w14:textId="07FC4591" w:rsidR="00136C30" w:rsidRPr="000F746A" w:rsidRDefault="00136C30" w:rsidP="00136C30">
            <w:pPr>
              <w:spacing w:after="0" w:line="240" w:lineRule="auto"/>
              <w:jc w:val="center"/>
              <w:rPr>
                <w:rFonts w:ascii="Times New Roman" w:hAnsi="Times New Roman"/>
                <w:sz w:val="16"/>
                <w:szCs w:val="16"/>
              </w:rPr>
            </w:pPr>
            <w:r w:rsidRPr="00D05F1B">
              <w:rPr>
                <w:rFonts w:ascii="Times New Roman" w:hAnsi="Times New Roman" w:cs="Times New Roman"/>
                <w:sz w:val="16"/>
                <w:szCs w:val="16"/>
              </w:rPr>
              <w:t>24 485 563</w:t>
            </w:r>
          </w:p>
        </w:tc>
        <w:tc>
          <w:tcPr>
            <w:tcW w:w="1134" w:type="dxa"/>
            <w:tcBorders>
              <w:top w:val="single" w:sz="4" w:space="0" w:color="auto"/>
              <w:left w:val="single" w:sz="4" w:space="0" w:color="auto"/>
              <w:bottom w:val="single" w:sz="4" w:space="0" w:color="auto"/>
              <w:right w:val="single" w:sz="4" w:space="0" w:color="auto"/>
            </w:tcBorders>
            <w:vAlign w:val="center"/>
          </w:tcPr>
          <w:p w14:paraId="5FF1B44A" w14:textId="4E1FB614" w:rsidR="00136C30" w:rsidRPr="000F746A" w:rsidRDefault="00136C30" w:rsidP="00136C30">
            <w:pPr>
              <w:spacing w:after="0" w:line="240" w:lineRule="auto"/>
              <w:jc w:val="center"/>
              <w:rPr>
                <w:rFonts w:ascii="Times New Roman" w:hAnsi="Times New Roman"/>
                <w:sz w:val="16"/>
                <w:szCs w:val="16"/>
              </w:rPr>
            </w:pPr>
            <w:r w:rsidRPr="000F746A">
              <w:rPr>
                <w:rFonts w:ascii="Times New Roman" w:eastAsia="Times New Roman" w:hAnsi="Times New Roman" w:cs="Times New Roman"/>
                <w:b/>
                <w:color w:val="000000" w:themeColor="text1"/>
                <w:sz w:val="16"/>
                <w:szCs w:val="16"/>
                <w:lang w:eastAsia="lv-LV"/>
              </w:rPr>
              <w:t>4 138 795</w:t>
            </w:r>
          </w:p>
        </w:tc>
        <w:tc>
          <w:tcPr>
            <w:tcW w:w="1134" w:type="dxa"/>
            <w:tcBorders>
              <w:top w:val="single" w:sz="4" w:space="0" w:color="auto"/>
              <w:left w:val="single" w:sz="4" w:space="0" w:color="auto"/>
              <w:bottom w:val="single" w:sz="4" w:space="0" w:color="auto"/>
              <w:right w:val="single" w:sz="4" w:space="0" w:color="auto"/>
            </w:tcBorders>
            <w:vAlign w:val="center"/>
          </w:tcPr>
          <w:p w14:paraId="569E53F9" w14:textId="740576D5" w:rsidR="00136C30" w:rsidRPr="000F746A" w:rsidRDefault="00136C30" w:rsidP="00136C30">
            <w:pPr>
              <w:spacing w:after="0" w:line="240" w:lineRule="auto"/>
              <w:jc w:val="center"/>
              <w:rPr>
                <w:rFonts w:ascii="Times New Roman" w:eastAsia="Times New Roman" w:hAnsi="Times New Roman" w:cs="Times New Roman"/>
                <w:color w:val="000000"/>
                <w:sz w:val="16"/>
                <w:szCs w:val="16"/>
                <w:lang w:eastAsia="lv-LV"/>
              </w:rPr>
            </w:pPr>
            <w:r>
              <w:rPr>
                <w:rFonts w:ascii="Times New Roman" w:hAnsi="Times New Roman" w:cs="Times New Roman"/>
                <w:b/>
                <w:bCs/>
                <w:sz w:val="16"/>
                <w:szCs w:val="16"/>
              </w:rPr>
              <w:t>12 709 164</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8502D" w14:textId="7D2EF5E0" w:rsidR="00136C30" w:rsidRPr="000F746A" w:rsidRDefault="00136C30" w:rsidP="00136C30">
            <w:pPr>
              <w:spacing w:after="0" w:line="240" w:lineRule="auto"/>
              <w:jc w:val="center"/>
              <w:rPr>
                <w:rFonts w:ascii="Times New Roman" w:hAnsi="Times New Roman"/>
                <w:sz w:val="16"/>
                <w:szCs w:val="16"/>
              </w:rPr>
            </w:pPr>
            <w:r w:rsidRPr="000F746A">
              <w:rPr>
                <w:rFonts w:ascii="Times New Roman" w:hAnsi="Times New Roman" w:cs="Times New Roman"/>
                <w:b/>
                <w:bCs/>
                <w:sz w:val="16"/>
                <w:szCs w:val="16"/>
              </w:rPr>
              <w:t>13 719 490</w:t>
            </w:r>
          </w:p>
        </w:tc>
        <w:tc>
          <w:tcPr>
            <w:tcW w:w="850" w:type="dxa"/>
            <w:tcBorders>
              <w:top w:val="single" w:sz="4" w:space="0" w:color="auto"/>
              <w:left w:val="single" w:sz="4" w:space="0" w:color="auto"/>
              <w:bottom w:val="single" w:sz="4" w:space="0" w:color="auto"/>
              <w:right w:val="single" w:sz="4" w:space="0" w:color="auto"/>
            </w:tcBorders>
            <w:vAlign w:val="center"/>
          </w:tcPr>
          <w:p w14:paraId="40F88439" w14:textId="444C299B" w:rsidR="00136C30" w:rsidRPr="0057254C" w:rsidRDefault="00136C30" w:rsidP="00136C30">
            <w:pPr>
              <w:spacing w:after="0" w:line="240" w:lineRule="auto"/>
              <w:jc w:val="center"/>
              <w:rPr>
                <w:rFonts w:ascii="Times New Roman" w:hAnsi="Times New Roman"/>
                <w:bCs/>
                <w:sz w:val="16"/>
                <w:szCs w:val="16"/>
              </w:rPr>
            </w:pPr>
            <w:r w:rsidRPr="0057254C">
              <w:rPr>
                <w:rFonts w:ascii="Times New Roman" w:hAnsi="Times New Roman" w:cs="Times New Roman"/>
                <w:bCs/>
                <w:sz w:val="16"/>
                <w:szCs w:val="16"/>
              </w:rPr>
              <w:t>22 472</w:t>
            </w:r>
          </w:p>
        </w:tc>
        <w:tc>
          <w:tcPr>
            <w:tcW w:w="851" w:type="dxa"/>
            <w:tcBorders>
              <w:top w:val="single" w:sz="4" w:space="0" w:color="auto"/>
              <w:left w:val="single" w:sz="4" w:space="0" w:color="auto"/>
              <w:bottom w:val="single" w:sz="4" w:space="0" w:color="auto"/>
              <w:right w:val="single" w:sz="4" w:space="0" w:color="auto"/>
            </w:tcBorders>
            <w:vAlign w:val="center"/>
          </w:tcPr>
          <w:p w14:paraId="18F54930" w14:textId="6312B531" w:rsidR="00136C30" w:rsidRPr="0057254C" w:rsidRDefault="00136C30" w:rsidP="00136C30">
            <w:pPr>
              <w:spacing w:after="0" w:line="240" w:lineRule="auto"/>
              <w:jc w:val="center"/>
              <w:rPr>
                <w:rFonts w:ascii="Times New Roman" w:hAnsi="Times New Roman"/>
                <w:bCs/>
                <w:sz w:val="16"/>
                <w:szCs w:val="16"/>
              </w:rPr>
            </w:pPr>
            <w:r w:rsidRPr="0057254C">
              <w:rPr>
                <w:rFonts w:ascii="Times New Roman" w:hAnsi="Times New Roman" w:cs="Times New Roman"/>
                <w:bCs/>
                <w:sz w:val="16"/>
                <w:szCs w:val="16"/>
              </w:rPr>
              <w:t>26 966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57F0C" w14:textId="1599692D" w:rsidR="00136C30" w:rsidRPr="0057254C" w:rsidRDefault="00136C30" w:rsidP="00136C30">
            <w:pPr>
              <w:spacing w:after="0" w:line="240" w:lineRule="auto"/>
              <w:jc w:val="center"/>
              <w:rPr>
                <w:rFonts w:ascii="Times New Roman" w:hAnsi="Times New Roman"/>
                <w:bCs/>
                <w:sz w:val="16"/>
                <w:szCs w:val="16"/>
              </w:rPr>
            </w:pPr>
            <w:r w:rsidRPr="0057254C">
              <w:rPr>
                <w:rFonts w:ascii="Times New Roman" w:hAnsi="Times New Roman" w:cs="Times New Roman"/>
                <w:bCs/>
                <w:sz w:val="16"/>
                <w:szCs w:val="16"/>
              </w:rPr>
              <w:t>26 966</w:t>
            </w:r>
          </w:p>
        </w:tc>
        <w:tc>
          <w:tcPr>
            <w:tcW w:w="992" w:type="dxa"/>
            <w:tcBorders>
              <w:top w:val="single" w:sz="4" w:space="0" w:color="auto"/>
              <w:left w:val="single" w:sz="4" w:space="0" w:color="auto"/>
              <w:bottom w:val="single" w:sz="4" w:space="0" w:color="auto"/>
              <w:right w:val="single" w:sz="4" w:space="0" w:color="auto"/>
            </w:tcBorders>
            <w:vAlign w:val="center"/>
          </w:tcPr>
          <w:p w14:paraId="0EE7A337" w14:textId="5D387855" w:rsidR="00136C30" w:rsidRPr="000F746A" w:rsidRDefault="00136C30" w:rsidP="00136C30">
            <w:pPr>
              <w:spacing w:after="0" w:line="240" w:lineRule="auto"/>
              <w:jc w:val="center"/>
              <w:rPr>
                <w:rFonts w:ascii="Times New Roman" w:hAnsi="Times New Roman"/>
                <w:b/>
                <w:bCs/>
                <w:sz w:val="16"/>
                <w:szCs w:val="16"/>
              </w:rPr>
            </w:pPr>
            <w:r w:rsidRPr="002F6582">
              <w:rPr>
                <w:rFonts w:ascii="Times New Roman" w:hAnsi="Times New Roman" w:cs="Times New Roman"/>
                <w:b/>
                <w:bCs/>
                <w:sz w:val="16"/>
                <w:szCs w:val="16"/>
              </w:rPr>
              <w:t>26 966</w:t>
            </w:r>
          </w:p>
        </w:tc>
        <w:tc>
          <w:tcPr>
            <w:tcW w:w="847" w:type="dxa"/>
            <w:tcBorders>
              <w:top w:val="single" w:sz="4" w:space="0" w:color="auto"/>
              <w:left w:val="single" w:sz="4" w:space="0" w:color="auto"/>
              <w:bottom w:val="single" w:sz="4" w:space="0" w:color="auto"/>
              <w:right w:val="single" w:sz="4" w:space="0" w:color="auto"/>
            </w:tcBorders>
            <w:vAlign w:val="center"/>
          </w:tcPr>
          <w:p w14:paraId="676D1CC4" w14:textId="2CDF1567" w:rsidR="00136C30" w:rsidRPr="000F746A" w:rsidRDefault="00136C30" w:rsidP="00136C30">
            <w:pPr>
              <w:spacing w:after="0" w:line="240" w:lineRule="auto"/>
              <w:jc w:val="center"/>
              <w:rPr>
                <w:rFonts w:ascii="Times New Roman" w:eastAsia="Times New Roman" w:hAnsi="Times New Roman" w:cs="Times New Roman"/>
                <w:bCs/>
                <w:color w:val="000000"/>
                <w:sz w:val="16"/>
                <w:szCs w:val="16"/>
                <w:lang w:eastAsia="lv-LV"/>
              </w:rPr>
            </w:pPr>
            <w:r w:rsidRPr="004949BB">
              <w:rPr>
                <w:rFonts w:ascii="Times New Roman" w:hAnsi="Times New Roman"/>
                <w:b/>
                <w:bCs/>
                <w:sz w:val="16"/>
                <w:szCs w:val="16"/>
              </w:rPr>
              <w:t xml:space="preserve">33 </w:t>
            </w:r>
            <w:r>
              <w:rPr>
                <w:rFonts w:ascii="Times New Roman" w:hAnsi="Times New Roman"/>
                <w:b/>
                <w:bCs/>
                <w:sz w:val="16"/>
                <w:szCs w:val="16"/>
              </w:rPr>
              <w:t>096</w:t>
            </w:r>
          </w:p>
        </w:tc>
        <w:tc>
          <w:tcPr>
            <w:tcW w:w="997" w:type="dxa"/>
            <w:tcBorders>
              <w:top w:val="single" w:sz="4" w:space="0" w:color="auto"/>
              <w:left w:val="single" w:sz="4" w:space="0" w:color="auto"/>
              <w:bottom w:val="single" w:sz="4" w:space="0" w:color="auto"/>
              <w:right w:val="single" w:sz="4" w:space="0" w:color="auto"/>
            </w:tcBorders>
            <w:vAlign w:val="center"/>
          </w:tcPr>
          <w:p w14:paraId="5FF57659" w14:textId="3B04CF63" w:rsidR="00136C30" w:rsidRPr="000F746A" w:rsidRDefault="00136C30" w:rsidP="00136C30">
            <w:pPr>
              <w:spacing w:after="0" w:line="240" w:lineRule="auto"/>
              <w:jc w:val="center"/>
              <w:rPr>
                <w:rFonts w:ascii="Times New Roman" w:hAnsi="Times New Roman"/>
                <w:b/>
                <w:bCs/>
                <w:sz w:val="16"/>
                <w:szCs w:val="16"/>
              </w:rPr>
            </w:pPr>
            <w:r>
              <w:rPr>
                <w:rFonts w:ascii="Times New Roman" w:hAnsi="Times New Roman" w:cs="Times New Roman"/>
                <w:b/>
                <w:bCs/>
                <w:sz w:val="16"/>
                <w:szCs w:val="16"/>
              </w:rPr>
              <w:t>33 126</w:t>
            </w:r>
          </w:p>
        </w:tc>
      </w:tr>
      <w:tr w:rsidR="00933978" w:rsidRPr="00261E67" w14:paraId="6251333E" w14:textId="77777777" w:rsidTr="00DC1E55">
        <w:trPr>
          <w:trHeight w:val="393"/>
          <w:jc w:val="center"/>
        </w:trPr>
        <w:tc>
          <w:tcPr>
            <w:tcW w:w="2122" w:type="dxa"/>
            <w:shd w:val="clear" w:color="auto" w:fill="FBD4B4"/>
            <w:noWrap/>
            <w:vAlign w:val="center"/>
            <w:hideMark/>
          </w:tcPr>
          <w:p w14:paraId="71A30548" w14:textId="77777777" w:rsidR="00933978" w:rsidRPr="000F746A" w:rsidRDefault="00933978" w:rsidP="00933978">
            <w:pPr>
              <w:spacing w:after="0" w:line="240" w:lineRule="auto"/>
              <w:jc w:val="center"/>
              <w:rPr>
                <w:rFonts w:ascii="Times New Roman" w:eastAsia="Times New Roman" w:hAnsi="Times New Roman"/>
                <w:sz w:val="16"/>
                <w:szCs w:val="16"/>
                <w:lang w:eastAsia="lv-LV"/>
              </w:rPr>
            </w:pPr>
            <w:r w:rsidRPr="000F746A">
              <w:rPr>
                <w:rFonts w:ascii="Times New Roman" w:eastAsia="Times New Roman" w:hAnsi="Times New Roman"/>
                <w:sz w:val="16"/>
                <w:szCs w:val="16"/>
                <w:lang w:eastAsia="lv-LV"/>
              </w:rPr>
              <w:t>Kopā</w:t>
            </w:r>
          </w:p>
        </w:tc>
        <w:tc>
          <w:tcPr>
            <w:tcW w:w="992" w:type="dxa"/>
            <w:shd w:val="clear" w:color="auto" w:fill="FBD4B4"/>
            <w:noWrap/>
            <w:vAlign w:val="center"/>
            <w:hideMark/>
          </w:tcPr>
          <w:p w14:paraId="160E8316" w14:textId="77777777" w:rsidR="00933978" w:rsidRPr="000F746A" w:rsidRDefault="00933978" w:rsidP="00933978">
            <w:pPr>
              <w:spacing w:after="0" w:line="240" w:lineRule="auto"/>
              <w:jc w:val="center"/>
              <w:rPr>
                <w:rFonts w:ascii="Times New Roman" w:eastAsia="Times New Roman" w:hAnsi="Times New Roman"/>
                <w:sz w:val="16"/>
                <w:szCs w:val="16"/>
                <w:lang w:eastAsia="lv-LV"/>
              </w:rPr>
            </w:pPr>
          </w:p>
        </w:tc>
        <w:tc>
          <w:tcPr>
            <w:tcW w:w="1134" w:type="dxa"/>
            <w:shd w:val="clear" w:color="auto" w:fill="FBD4B4"/>
            <w:vAlign w:val="center"/>
          </w:tcPr>
          <w:p w14:paraId="45C79412" w14:textId="182A41A3" w:rsidR="00933978" w:rsidRPr="000F746A" w:rsidRDefault="00933978" w:rsidP="00933978">
            <w:pPr>
              <w:spacing w:after="0" w:line="240" w:lineRule="auto"/>
              <w:jc w:val="center"/>
              <w:rPr>
                <w:rFonts w:ascii="Times New Roman" w:hAnsi="Times New Roman"/>
                <w:sz w:val="16"/>
                <w:szCs w:val="16"/>
              </w:rPr>
            </w:pPr>
            <w:r w:rsidRPr="00F91D00">
              <w:rPr>
                <w:rFonts w:ascii="Times New Roman" w:hAnsi="Times New Roman"/>
                <w:sz w:val="16"/>
                <w:szCs w:val="16"/>
              </w:rPr>
              <w:t>53 077 897</w:t>
            </w:r>
          </w:p>
        </w:tc>
        <w:tc>
          <w:tcPr>
            <w:tcW w:w="992" w:type="dxa"/>
            <w:shd w:val="clear" w:color="auto" w:fill="FBD4B4"/>
            <w:vAlign w:val="center"/>
          </w:tcPr>
          <w:p w14:paraId="14884F68" w14:textId="4A39259F" w:rsidR="00933978" w:rsidRPr="000F746A" w:rsidRDefault="00933978" w:rsidP="00933978">
            <w:pPr>
              <w:spacing w:after="0" w:line="240" w:lineRule="auto"/>
              <w:jc w:val="center"/>
              <w:rPr>
                <w:rFonts w:ascii="Times New Roman" w:hAnsi="Times New Roman"/>
                <w:sz w:val="16"/>
                <w:szCs w:val="16"/>
              </w:rPr>
            </w:pPr>
            <w:r>
              <w:rPr>
                <w:rFonts w:ascii="Times New Roman" w:hAnsi="Times New Roman"/>
                <w:sz w:val="16"/>
                <w:szCs w:val="16"/>
              </w:rPr>
              <w:t>56 867 647</w:t>
            </w:r>
          </w:p>
        </w:tc>
        <w:tc>
          <w:tcPr>
            <w:tcW w:w="992" w:type="dxa"/>
            <w:shd w:val="clear" w:color="auto" w:fill="FBD4B4"/>
            <w:vAlign w:val="center"/>
          </w:tcPr>
          <w:p w14:paraId="4C5B0C97" w14:textId="7F58A254" w:rsidR="00933978" w:rsidRPr="000F746A" w:rsidRDefault="00933978" w:rsidP="00933978">
            <w:pPr>
              <w:spacing w:after="0" w:line="240" w:lineRule="auto"/>
              <w:jc w:val="center"/>
              <w:rPr>
                <w:rFonts w:ascii="Times New Roman" w:hAnsi="Times New Roman"/>
                <w:sz w:val="16"/>
                <w:szCs w:val="16"/>
              </w:rPr>
            </w:pPr>
            <w:r>
              <w:rPr>
                <w:rFonts w:ascii="Times New Roman" w:hAnsi="Times New Roman"/>
                <w:sz w:val="16"/>
                <w:szCs w:val="16"/>
              </w:rPr>
              <w:t>56 867 647</w:t>
            </w:r>
          </w:p>
        </w:tc>
        <w:tc>
          <w:tcPr>
            <w:tcW w:w="1134" w:type="dxa"/>
            <w:shd w:val="clear" w:color="auto" w:fill="FBD4B4"/>
            <w:vAlign w:val="center"/>
          </w:tcPr>
          <w:p w14:paraId="5BFEE574" w14:textId="50841A44" w:rsidR="00933978" w:rsidRPr="000F746A" w:rsidRDefault="00933978" w:rsidP="00E11AFF">
            <w:pPr>
              <w:spacing w:after="0" w:line="240" w:lineRule="auto"/>
              <w:jc w:val="center"/>
              <w:rPr>
                <w:rFonts w:ascii="Times New Roman" w:hAnsi="Times New Roman"/>
                <w:sz w:val="16"/>
                <w:szCs w:val="16"/>
              </w:rPr>
            </w:pPr>
            <w:r>
              <w:rPr>
                <w:rFonts w:ascii="Times New Roman" w:hAnsi="Times New Roman"/>
                <w:sz w:val="16"/>
                <w:szCs w:val="16"/>
              </w:rPr>
              <w:t>12 262 260</w:t>
            </w:r>
          </w:p>
        </w:tc>
        <w:tc>
          <w:tcPr>
            <w:tcW w:w="1134" w:type="dxa"/>
            <w:shd w:val="clear" w:color="auto" w:fill="FBD4B4"/>
            <w:vAlign w:val="center"/>
          </w:tcPr>
          <w:p w14:paraId="5CB582DB" w14:textId="10ACBB33" w:rsidR="00933978" w:rsidRPr="000F746A" w:rsidRDefault="00933978" w:rsidP="00933978">
            <w:pPr>
              <w:spacing w:after="0" w:line="240" w:lineRule="auto"/>
              <w:jc w:val="center"/>
              <w:rPr>
                <w:rFonts w:ascii="Times New Roman" w:hAnsi="Times New Roman"/>
                <w:sz w:val="16"/>
                <w:szCs w:val="16"/>
              </w:rPr>
            </w:pPr>
            <w:r>
              <w:rPr>
                <w:rFonts w:ascii="Times New Roman" w:eastAsia="Times New Roman" w:hAnsi="Times New Roman" w:cs="Times New Roman"/>
                <w:b/>
                <w:bCs/>
                <w:sz w:val="16"/>
                <w:szCs w:val="16"/>
                <w:lang w:eastAsia="lv-LV"/>
              </w:rPr>
              <w:t>20 831 615</w:t>
            </w:r>
          </w:p>
        </w:tc>
        <w:tc>
          <w:tcPr>
            <w:tcW w:w="1139" w:type="dxa"/>
            <w:shd w:val="clear" w:color="auto" w:fill="FBD4B4"/>
            <w:noWrap/>
            <w:vAlign w:val="center"/>
            <w:hideMark/>
          </w:tcPr>
          <w:p w14:paraId="3A6A0518" w14:textId="7F3F33DE" w:rsidR="00933978" w:rsidRPr="000F746A" w:rsidRDefault="00933978" w:rsidP="00933978">
            <w:pPr>
              <w:spacing w:after="0" w:line="240" w:lineRule="auto"/>
              <w:jc w:val="center"/>
              <w:rPr>
                <w:rFonts w:ascii="Times New Roman" w:hAnsi="Times New Roman"/>
                <w:sz w:val="16"/>
                <w:szCs w:val="16"/>
              </w:rPr>
            </w:pPr>
            <w:r w:rsidRPr="000F746A">
              <w:rPr>
                <w:rFonts w:ascii="Times New Roman" w:eastAsia="Times New Roman" w:hAnsi="Times New Roman" w:cs="Times New Roman"/>
                <w:b/>
                <w:bCs/>
                <w:sz w:val="16"/>
                <w:szCs w:val="16"/>
                <w:lang w:eastAsia="lv-LV"/>
              </w:rPr>
              <w:t>21 842 004</w:t>
            </w:r>
          </w:p>
        </w:tc>
        <w:tc>
          <w:tcPr>
            <w:tcW w:w="850" w:type="dxa"/>
            <w:shd w:val="clear" w:color="auto" w:fill="FBD4B4"/>
            <w:vAlign w:val="center"/>
          </w:tcPr>
          <w:p w14:paraId="10523506" w14:textId="1E898060" w:rsidR="00933978" w:rsidRPr="000F746A" w:rsidRDefault="00933978" w:rsidP="00933978">
            <w:pPr>
              <w:spacing w:after="0" w:line="240" w:lineRule="auto"/>
              <w:rPr>
                <w:rFonts w:ascii="Times New Roman" w:hAnsi="Times New Roman"/>
                <w:b/>
                <w:bCs/>
                <w:sz w:val="16"/>
                <w:szCs w:val="16"/>
              </w:rPr>
            </w:pPr>
            <w:r w:rsidRPr="000F746A">
              <w:rPr>
                <w:rFonts w:ascii="Times New Roman" w:hAnsi="Times New Roman"/>
                <w:b/>
                <w:bCs/>
                <w:sz w:val="16"/>
                <w:szCs w:val="16"/>
              </w:rPr>
              <w:t>104 942</w:t>
            </w:r>
          </w:p>
        </w:tc>
        <w:tc>
          <w:tcPr>
            <w:tcW w:w="851" w:type="dxa"/>
            <w:shd w:val="clear" w:color="auto" w:fill="FBD4B4"/>
            <w:vAlign w:val="center"/>
          </w:tcPr>
          <w:p w14:paraId="3CC8EFB6" w14:textId="03BFE09E" w:rsidR="00933978" w:rsidRPr="000F746A" w:rsidRDefault="00933978" w:rsidP="00933978">
            <w:pPr>
              <w:spacing w:after="0" w:line="240" w:lineRule="auto"/>
              <w:rPr>
                <w:rFonts w:ascii="Times New Roman" w:hAnsi="Times New Roman"/>
                <w:b/>
                <w:bCs/>
                <w:sz w:val="16"/>
                <w:szCs w:val="16"/>
              </w:rPr>
            </w:pPr>
            <w:r w:rsidRPr="000F746A">
              <w:rPr>
                <w:rFonts w:ascii="Times New Roman" w:hAnsi="Times New Roman"/>
                <w:b/>
                <w:bCs/>
                <w:sz w:val="16"/>
                <w:szCs w:val="16"/>
              </w:rPr>
              <w:t>10</w:t>
            </w:r>
            <w:r w:rsidR="00F91D00">
              <w:rPr>
                <w:rFonts w:ascii="Times New Roman" w:hAnsi="Times New Roman"/>
                <w:b/>
                <w:bCs/>
                <w:sz w:val="16"/>
                <w:szCs w:val="16"/>
              </w:rPr>
              <w:t>9 436</w:t>
            </w:r>
          </w:p>
        </w:tc>
        <w:tc>
          <w:tcPr>
            <w:tcW w:w="850" w:type="dxa"/>
            <w:shd w:val="clear" w:color="auto" w:fill="FBD4B4"/>
            <w:noWrap/>
            <w:vAlign w:val="center"/>
          </w:tcPr>
          <w:p w14:paraId="03A0EC5E" w14:textId="029DB1C1" w:rsidR="00933978" w:rsidRPr="000F746A" w:rsidRDefault="00F91D00" w:rsidP="00933978">
            <w:pPr>
              <w:spacing w:after="0" w:line="240" w:lineRule="auto"/>
              <w:rPr>
                <w:rFonts w:ascii="Times New Roman" w:hAnsi="Times New Roman"/>
                <w:b/>
                <w:bCs/>
                <w:sz w:val="16"/>
                <w:szCs w:val="16"/>
              </w:rPr>
            </w:pPr>
            <w:r w:rsidRPr="000F746A">
              <w:rPr>
                <w:rFonts w:ascii="Times New Roman" w:hAnsi="Times New Roman"/>
                <w:b/>
                <w:bCs/>
                <w:sz w:val="16"/>
                <w:szCs w:val="16"/>
              </w:rPr>
              <w:t>10</w:t>
            </w:r>
            <w:r>
              <w:rPr>
                <w:rFonts w:ascii="Times New Roman" w:hAnsi="Times New Roman"/>
                <w:b/>
                <w:bCs/>
                <w:sz w:val="16"/>
                <w:szCs w:val="16"/>
              </w:rPr>
              <w:t>9 436</w:t>
            </w:r>
          </w:p>
        </w:tc>
        <w:tc>
          <w:tcPr>
            <w:tcW w:w="992" w:type="dxa"/>
            <w:shd w:val="clear" w:color="auto" w:fill="FBD4B4"/>
            <w:vAlign w:val="center"/>
          </w:tcPr>
          <w:p w14:paraId="4F987E0E" w14:textId="4C687499" w:rsidR="00933978" w:rsidRPr="000F746A" w:rsidRDefault="00933978" w:rsidP="00E11AFF">
            <w:pPr>
              <w:spacing w:after="0" w:line="240" w:lineRule="auto"/>
              <w:jc w:val="center"/>
              <w:rPr>
                <w:rFonts w:ascii="Times New Roman" w:hAnsi="Times New Roman"/>
                <w:b/>
                <w:bCs/>
                <w:sz w:val="16"/>
                <w:szCs w:val="16"/>
              </w:rPr>
            </w:pPr>
            <w:r w:rsidRPr="000F746A">
              <w:rPr>
                <w:rFonts w:ascii="Times New Roman" w:hAnsi="Times New Roman"/>
                <w:b/>
                <w:bCs/>
                <w:sz w:val="16"/>
                <w:szCs w:val="16"/>
              </w:rPr>
              <w:t>163 846</w:t>
            </w:r>
          </w:p>
        </w:tc>
        <w:tc>
          <w:tcPr>
            <w:tcW w:w="847" w:type="dxa"/>
            <w:shd w:val="clear" w:color="auto" w:fill="FBD4B4"/>
            <w:vAlign w:val="center"/>
          </w:tcPr>
          <w:p w14:paraId="2828C9DC" w14:textId="3909B869" w:rsidR="00933978" w:rsidRPr="000F746A" w:rsidRDefault="00F91D00" w:rsidP="00933978">
            <w:pPr>
              <w:spacing w:after="0" w:line="240" w:lineRule="auto"/>
              <w:jc w:val="center"/>
              <w:rPr>
                <w:rFonts w:ascii="Times New Roman" w:hAnsi="Times New Roman"/>
                <w:b/>
                <w:bCs/>
                <w:sz w:val="16"/>
                <w:szCs w:val="16"/>
              </w:rPr>
            </w:pPr>
            <w:r>
              <w:rPr>
                <w:rFonts w:ascii="Times New Roman" w:hAnsi="Times New Roman"/>
                <w:b/>
                <w:bCs/>
                <w:sz w:val="16"/>
                <w:szCs w:val="16"/>
              </w:rPr>
              <w:t>169 976</w:t>
            </w:r>
          </w:p>
        </w:tc>
        <w:tc>
          <w:tcPr>
            <w:tcW w:w="997" w:type="dxa"/>
            <w:shd w:val="clear" w:color="auto" w:fill="FBD4B4"/>
            <w:vAlign w:val="center"/>
          </w:tcPr>
          <w:p w14:paraId="3FD4D08B" w14:textId="339319A9" w:rsidR="00933978" w:rsidRPr="000F746A" w:rsidRDefault="00F91D00" w:rsidP="00933978">
            <w:pPr>
              <w:spacing w:after="0" w:line="240" w:lineRule="auto"/>
              <w:jc w:val="center"/>
              <w:rPr>
                <w:rFonts w:ascii="Times New Roman" w:hAnsi="Times New Roman"/>
                <w:b/>
                <w:bCs/>
                <w:sz w:val="16"/>
                <w:szCs w:val="16"/>
              </w:rPr>
            </w:pPr>
            <w:r>
              <w:rPr>
                <w:rFonts w:ascii="Times New Roman" w:hAnsi="Times New Roman"/>
                <w:b/>
                <w:bCs/>
                <w:sz w:val="16"/>
                <w:szCs w:val="16"/>
              </w:rPr>
              <w:t>170 006</w:t>
            </w:r>
          </w:p>
        </w:tc>
      </w:tr>
    </w:tbl>
    <w:p w14:paraId="15593B2B" w14:textId="1EEF4661" w:rsidR="00F45032" w:rsidRPr="008E63B0" w:rsidRDefault="00BE1DAE" w:rsidP="000F746A">
      <w:pPr>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sz w:val="20"/>
          <w:szCs w:val="20"/>
        </w:rPr>
        <w:t>*</w:t>
      </w:r>
      <w:r w:rsidR="00F45032" w:rsidRPr="00847710">
        <w:rPr>
          <w:rFonts w:ascii="Times New Roman" w:hAnsi="Times New Roman" w:cs="Times New Roman"/>
          <w:sz w:val="20"/>
          <w:szCs w:val="20"/>
        </w:rPr>
        <w:t>pakalpojumu tarifs ar 201</w:t>
      </w:r>
      <w:r w:rsidR="00F45032">
        <w:rPr>
          <w:rFonts w:ascii="Times New Roman" w:hAnsi="Times New Roman" w:cs="Times New Roman"/>
          <w:sz w:val="20"/>
          <w:szCs w:val="20"/>
        </w:rPr>
        <w:t>8</w:t>
      </w:r>
      <w:r w:rsidR="00F45032" w:rsidRPr="00847710">
        <w:rPr>
          <w:rFonts w:ascii="Times New Roman" w:hAnsi="Times New Roman" w:cs="Times New Roman"/>
          <w:sz w:val="20"/>
          <w:szCs w:val="20"/>
        </w:rPr>
        <w:t xml:space="preserve">.gada darba samaksu. Darba samaksas pieaugums esošajiem pakalpojumiem nodrošināts no </w:t>
      </w:r>
      <w:r w:rsidR="00F45032" w:rsidRPr="00847710">
        <w:rPr>
          <w:rFonts w:ascii="Times New Roman" w:eastAsia="Times New Roman" w:hAnsi="Times New Roman" w:cs="Times New Roman"/>
          <w:noProof/>
          <w:sz w:val="20"/>
          <w:szCs w:val="20"/>
          <w:lang w:bidi="gu-IN"/>
        </w:rPr>
        <w:t>papildus finansējuma piešķīruma nozarei sasitībā ar 1% palielinājumu sociālajām iemaksām</w:t>
      </w:r>
    </w:p>
    <w:p w14:paraId="0B88ACC8" w14:textId="77777777" w:rsidR="007717A4" w:rsidRDefault="007717A4" w:rsidP="00E11AFF">
      <w:pPr>
        <w:rPr>
          <w:rFonts w:ascii="Times New Roman" w:hAnsi="Times New Roman" w:cs="Times New Roman"/>
          <w:sz w:val="24"/>
          <w:szCs w:val="24"/>
          <w:lang w:eastAsia="lv-LV"/>
        </w:rPr>
        <w:sectPr w:rsidR="007717A4" w:rsidSect="00DC1E55">
          <w:pgSz w:w="15840" w:h="12240" w:orient="landscape"/>
          <w:pgMar w:top="1701" w:right="1440" w:bottom="1440" w:left="1440" w:header="709" w:footer="709" w:gutter="0"/>
          <w:cols w:space="708"/>
          <w:docGrid w:linePitch="360"/>
        </w:sectPr>
      </w:pPr>
    </w:p>
    <w:p w14:paraId="529EC43F" w14:textId="4B9D680F" w:rsidR="00D45321" w:rsidRDefault="0071331A" w:rsidP="00BD1903">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lastRenderedPageBreak/>
        <w:t>Lai nodrošinātu minēto mērķu sasniegšanu plānots tālāk paplašināt onkoloģijas jomas reformu īstenošanu.</w:t>
      </w:r>
    </w:p>
    <w:p w14:paraId="2635F29E" w14:textId="28291682" w:rsidR="007102D1" w:rsidRPr="00D46212" w:rsidRDefault="007102D1" w:rsidP="007102D1">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Pr>
          <w:rFonts w:ascii="Times New Roman" w:hAnsi="Times New Roman" w:cs="Times New Roman"/>
          <w:b/>
          <w:bCs/>
          <w:color w:val="auto"/>
          <w:sz w:val="24"/>
          <w:szCs w:val="24"/>
          <w:u w:val="single"/>
        </w:rPr>
        <w:t>2.</w:t>
      </w:r>
      <w:r w:rsidRPr="0012317D">
        <w:rPr>
          <w:rFonts w:ascii="Times New Roman" w:hAnsi="Times New Roman" w:cs="Times New Roman"/>
          <w:b/>
          <w:bCs/>
          <w:color w:val="auto"/>
          <w:sz w:val="24"/>
          <w:szCs w:val="24"/>
          <w:u w:val="single"/>
        </w:rPr>
        <w:t xml:space="preserve"> </w:t>
      </w:r>
      <w:r>
        <w:rPr>
          <w:rFonts w:ascii="Times New Roman" w:hAnsi="Times New Roman" w:cs="Times New Roman"/>
          <w:b/>
          <w:bCs/>
          <w:color w:val="auto"/>
          <w:sz w:val="24"/>
          <w:szCs w:val="24"/>
          <w:u w:val="single"/>
        </w:rPr>
        <w:t>M</w:t>
      </w:r>
      <w:r w:rsidRPr="0012317D">
        <w:rPr>
          <w:rFonts w:ascii="Times New Roman" w:hAnsi="Times New Roman" w:cs="Times New Roman"/>
          <w:b/>
          <w:bCs/>
          <w:color w:val="auto"/>
          <w:sz w:val="24"/>
          <w:szCs w:val="24"/>
          <w:u w:val="single"/>
        </w:rPr>
        <w:t>edikamentu pieejamības uzlabošana onkoloģiskajiem  pacientiem</w:t>
      </w:r>
    </w:p>
    <w:p w14:paraId="7EA95C1B" w14:textId="5324FAE5" w:rsidR="007102D1" w:rsidRPr="008A546A" w:rsidRDefault="007102D1" w:rsidP="007102D1">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Veselības aprūpes pakalpojumu onkoloģijas jomā uzlabošanas plāns 2017.-2020. gadam paredz, ka jaunu klīniski un ekonomiski efektīvu onkoloģisko pacientu ārstēšanai lietojamo zāļu </w:t>
      </w:r>
      <w:r w:rsidRPr="005720BC">
        <w:rPr>
          <w:rFonts w:ascii="Times New Roman" w:hAnsi="Times New Roman" w:cs="Times New Roman"/>
          <w:sz w:val="24"/>
          <w:szCs w:val="24"/>
        </w:rPr>
        <w:t>apmaksāšanai būtu papildus nepieciešami 14 583 357 eiro</w:t>
      </w:r>
      <w:r w:rsidRPr="005720BC">
        <w:rPr>
          <w:rFonts w:ascii="Times New Roman" w:hAnsi="Times New Roman" w:cs="Times New Roman"/>
          <w:b/>
          <w:bCs/>
          <w:sz w:val="24"/>
          <w:szCs w:val="24"/>
          <w:vertAlign w:val="superscript"/>
        </w:rPr>
        <w:footnoteReference w:id="19"/>
      </w:r>
      <w:r w:rsidRPr="005720BC">
        <w:rPr>
          <w:rFonts w:ascii="Times New Roman" w:hAnsi="Times New Roman" w:cs="Times New Roman"/>
          <w:sz w:val="24"/>
          <w:szCs w:val="24"/>
        </w:rPr>
        <w:t>.  Šāds pasākums un finansējums norādīts arī kā viens no V</w:t>
      </w:r>
      <w:r>
        <w:rPr>
          <w:rFonts w:ascii="Times New Roman" w:hAnsi="Times New Roman" w:cs="Times New Roman"/>
          <w:sz w:val="24"/>
          <w:szCs w:val="24"/>
        </w:rPr>
        <w:t xml:space="preserve">eselības ministrijas </w:t>
      </w:r>
      <w:r w:rsidRPr="005720BC">
        <w:rPr>
          <w:rFonts w:ascii="Times New Roman" w:hAnsi="Times New Roman" w:cs="Times New Roman"/>
          <w:sz w:val="24"/>
          <w:szCs w:val="24"/>
        </w:rPr>
        <w:t xml:space="preserve"> prioritārajiem pasākumiem. </w:t>
      </w:r>
      <w:r w:rsidRPr="008A546A">
        <w:rPr>
          <w:rFonts w:ascii="Times New Roman" w:hAnsi="Times New Roman" w:cs="Times New Roman"/>
          <w:sz w:val="24"/>
          <w:szCs w:val="24"/>
        </w:rPr>
        <w:t>Pateicoties 2018.</w:t>
      </w:r>
      <w:r>
        <w:rPr>
          <w:rFonts w:ascii="Times New Roman" w:hAnsi="Times New Roman" w:cs="Times New Roman"/>
          <w:sz w:val="24"/>
          <w:szCs w:val="24"/>
        </w:rPr>
        <w:t> </w:t>
      </w:r>
      <w:r w:rsidRPr="008A546A">
        <w:rPr>
          <w:rFonts w:ascii="Times New Roman" w:hAnsi="Times New Roman" w:cs="Times New Roman"/>
          <w:sz w:val="24"/>
          <w:szCs w:val="24"/>
        </w:rPr>
        <w:t xml:space="preserve">gadā piešķirtajam papildus finansējumam </w:t>
      </w:r>
      <w:r>
        <w:rPr>
          <w:rFonts w:ascii="Times New Roman" w:hAnsi="Times New Roman" w:cs="Times New Roman"/>
          <w:sz w:val="24"/>
          <w:szCs w:val="24"/>
        </w:rPr>
        <w:t>k</w:t>
      </w:r>
      <w:r w:rsidRPr="008A546A">
        <w:rPr>
          <w:rFonts w:ascii="Times New Roman" w:hAnsi="Times New Roman" w:cs="Times New Roman"/>
          <w:sz w:val="24"/>
          <w:szCs w:val="24"/>
        </w:rPr>
        <w:t>ompensējamo zāļu sarakstā ir iekļauti jauni medikamenti gastroenteropātisku audzēju, metastātiska plaušu audzēja, metastātiska zarnu audzēja, metastātiska prostatas audzēja, HER2 pozitīvam metastātiska krūts vēža, olnīcu audzēja, noteikta tipa limfoleikozees un metastātiskas ādas melanomas ārstēšanai. 2018. gada 10 mēnešos šo jauno terapiju ir saņēmuši 384 pacienti</w:t>
      </w:r>
      <w:r>
        <w:rPr>
          <w:rFonts w:ascii="Times New Roman" w:hAnsi="Times New Roman" w:cs="Times New Roman"/>
          <w:sz w:val="24"/>
          <w:szCs w:val="24"/>
        </w:rPr>
        <w:t>.</w:t>
      </w:r>
      <w:r w:rsidR="0026075F">
        <w:rPr>
          <w:rFonts w:ascii="Times New Roman" w:hAnsi="Times New Roman" w:cs="Times New Roman"/>
          <w:sz w:val="24"/>
          <w:szCs w:val="24"/>
        </w:rPr>
        <w:t xml:space="preserve"> Taču ņemot vērā to, ka daļa pacientu pārtrauc ārstēšanos, kā arī pielietotā terapija nesniedz slimības uzlabojumu pacienti mēdz nomirt, līdz ar to parādās iespēja uzsākt ārstēšanu jauniem pacientiem.</w:t>
      </w:r>
    </w:p>
    <w:p w14:paraId="423F674D" w14:textId="08EA4B32" w:rsidR="007102D1" w:rsidRPr="00F97E21" w:rsidRDefault="007102D1" w:rsidP="007102D1">
      <w:pPr>
        <w:spacing w:after="120"/>
        <w:ind w:firstLine="720"/>
        <w:jc w:val="both"/>
        <w:rPr>
          <w:rFonts w:ascii="Times New Roman" w:hAnsi="Times New Roman" w:cs="Times New Roman"/>
          <w:sz w:val="24"/>
          <w:szCs w:val="24"/>
        </w:rPr>
      </w:pPr>
      <w:r w:rsidRPr="005720BC">
        <w:rPr>
          <w:rFonts w:ascii="Times New Roman" w:hAnsi="Times New Roman" w:cs="Times New Roman"/>
          <w:sz w:val="24"/>
          <w:szCs w:val="24"/>
        </w:rPr>
        <w:t xml:space="preserve">Lai </w:t>
      </w:r>
      <w:r>
        <w:rPr>
          <w:rFonts w:ascii="Times New Roman" w:hAnsi="Times New Roman" w:cs="Times New Roman"/>
          <w:sz w:val="24"/>
          <w:szCs w:val="24"/>
        </w:rPr>
        <w:t>nodrošinātu</w:t>
      </w:r>
      <w:r w:rsidRPr="005720BC">
        <w:rPr>
          <w:rFonts w:ascii="Times New Roman" w:hAnsi="Times New Roman" w:cs="Times New Roman"/>
          <w:sz w:val="24"/>
          <w:szCs w:val="24"/>
        </w:rPr>
        <w:t xml:space="preserve"> Latvijas onkoloģiskajiem pacientiem pieejamo KZS un jaunāko iespējamo ārstēšanos nepieciešams </w:t>
      </w:r>
      <w:r>
        <w:rPr>
          <w:rFonts w:ascii="Times New Roman" w:hAnsi="Times New Roman" w:cs="Times New Roman"/>
          <w:sz w:val="24"/>
          <w:szCs w:val="24"/>
        </w:rPr>
        <w:t>saglabāt</w:t>
      </w:r>
      <w:r w:rsidRPr="005720BC">
        <w:rPr>
          <w:rFonts w:ascii="Times New Roman" w:hAnsi="Times New Roman" w:cs="Times New Roman"/>
          <w:sz w:val="24"/>
          <w:szCs w:val="24"/>
        </w:rPr>
        <w:t xml:space="preserve"> </w:t>
      </w:r>
      <w:r>
        <w:rPr>
          <w:rFonts w:ascii="Times New Roman" w:hAnsi="Times New Roman" w:cs="Times New Roman"/>
          <w:sz w:val="24"/>
          <w:szCs w:val="24"/>
        </w:rPr>
        <w:t>f</w:t>
      </w:r>
      <w:r w:rsidRPr="005720BC">
        <w:rPr>
          <w:rFonts w:ascii="Times New Roman" w:hAnsi="Times New Roman" w:cs="Times New Roman"/>
          <w:sz w:val="24"/>
          <w:szCs w:val="24"/>
        </w:rPr>
        <w:t>inansējumu efektīvas ārst</w:t>
      </w:r>
      <w:r>
        <w:rPr>
          <w:rFonts w:ascii="Times New Roman" w:hAnsi="Times New Roman" w:cs="Times New Roman"/>
          <w:sz w:val="24"/>
          <w:szCs w:val="24"/>
        </w:rPr>
        <w:t xml:space="preserve">ēšanas nodrošināšanai. </w:t>
      </w:r>
      <w:r w:rsidRPr="005720BC">
        <w:rPr>
          <w:rFonts w:ascii="Times New Roman" w:hAnsi="Times New Roman" w:cs="Times New Roman"/>
          <w:sz w:val="24"/>
          <w:szCs w:val="24"/>
        </w:rPr>
        <w:t xml:space="preserve">2019.gadam nepieciešams </w:t>
      </w:r>
      <w:r w:rsidRPr="00B43C13">
        <w:rPr>
          <w:rFonts w:ascii="Times New Roman" w:hAnsi="Times New Roman" w:cs="Times New Roman"/>
          <w:sz w:val="24"/>
          <w:szCs w:val="24"/>
        </w:rPr>
        <w:t xml:space="preserve">finansējums </w:t>
      </w:r>
      <w:r w:rsidRPr="00133D9D">
        <w:rPr>
          <w:rFonts w:ascii="Times New Roman" w:hAnsi="Times New Roman" w:cs="Times New Roman"/>
          <w:b/>
          <w:sz w:val="24"/>
          <w:szCs w:val="24"/>
        </w:rPr>
        <w:t xml:space="preserve">13 719 490 </w:t>
      </w:r>
      <w:r w:rsidRPr="00133D9D">
        <w:rPr>
          <w:rFonts w:ascii="Times New Roman" w:hAnsi="Times New Roman" w:cs="Times New Roman"/>
          <w:b/>
          <w:i/>
          <w:sz w:val="24"/>
          <w:szCs w:val="24"/>
        </w:rPr>
        <w:t>euro</w:t>
      </w:r>
      <w:r w:rsidRPr="00B43C13">
        <w:rPr>
          <w:rFonts w:ascii="Times New Roman" w:hAnsi="Times New Roman" w:cs="Times New Roman"/>
          <w:sz w:val="24"/>
          <w:szCs w:val="24"/>
        </w:rPr>
        <w:t xml:space="preserve"> apmērā (</w:t>
      </w:r>
      <w:r w:rsidR="00D97BAA">
        <w:rPr>
          <w:rFonts w:ascii="Times New Roman" w:hAnsi="Times New Roman" w:cs="Times New Roman"/>
          <w:sz w:val="24"/>
          <w:szCs w:val="24"/>
        </w:rPr>
        <w:t>3</w:t>
      </w:r>
      <w:r w:rsidR="00B43C13">
        <w:rPr>
          <w:rFonts w:ascii="Times New Roman" w:hAnsi="Times New Roman" w:cs="Times New Roman"/>
          <w:sz w:val="24"/>
          <w:szCs w:val="24"/>
        </w:rPr>
        <w:t>2</w:t>
      </w:r>
      <w:r>
        <w:rPr>
          <w:rFonts w:ascii="Times New Roman" w:hAnsi="Times New Roman" w:cs="Times New Roman"/>
          <w:sz w:val="24"/>
          <w:szCs w:val="24"/>
        </w:rPr>
        <w:t>.tabula)</w:t>
      </w:r>
      <w:r w:rsidRPr="007B34A8">
        <w:rPr>
          <w:rFonts w:ascii="Times New Roman" w:hAnsi="Times New Roman" w:cs="Times New Roman"/>
          <w:sz w:val="24"/>
          <w:szCs w:val="24"/>
        </w:rPr>
        <w:t>, lai risināt</w:t>
      </w:r>
      <w:r>
        <w:rPr>
          <w:rFonts w:ascii="Times New Roman" w:hAnsi="Times New Roman" w:cs="Times New Roman"/>
          <w:sz w:val="24"/>
          <w:szCs w:val="24"/>
        </w:rPr>
        <w:t>u</w:t>
      </w:r>
      <w:r w:rsidRPr="007B34A8">
        <w:rPr>
          <w:rFonts w:ascii="Times New Roman" w:hAnsi="Times New Roman" w:cs="Times New Roman"/>
          <w:sz w:val="24"/>
          <w:szCs w:val="24"/>
        </w:rPr>
        <w:t xml:space="preserve"> zāļu kompensācijas problēmas onkoloģijā un </w:t>
      </w:r>
      <w:r>
        <w:rPr>
          <w:rFonts w:ascii="Times New Roman" w:hAnsi="Times New Roman"/>
          <w:bCs/>
          <w:sz w:val="24"/>
          <w:szCs w:val="24"/>
        </w:rPr>
        <w:t>nodrošinātu</w:t>
      </w:r>
      <w:r w:rsidRPr="00F97E21">
        <w:rPr>
          <w:rFonts w:ascii="Times New Roman" w:hAnsi="Times New Roman"/>
          <w:bCs/>
          <w:sz w:val="24"/>
          <w:szCs w:val="24"/>
        </w:rPr>
        <w:t xml:space="preserve"> zāļu pieejamīb</w:t>
      </w:r>
      <w:r w:rsidR="004C7697">
        <w:rPr>
          <w:rFonts w:ascii="Times New Roman" w:hAnsi="Times New Roman"/>
          <w:bCs/>
          <w:sz w:val="24"/>
          <w:szCs w:val="24"/>
        </w:rPr>
        <w:t>u pacientiem,</w:t>
      </w:r>
      <w:r w:rsidRPr="00F97E21">
        <w:rPr>
          <w:rFonts w:ascii="Times New Roman" w:hAnsi="Times New Roman"/>
          <w:bCs/>
          <w:sz w:val="24"/>
          <w:szCs w:val="24"/>
        </w:rPr>
        <w:t xml:space="preserve"> kā arī </w:t>
      </w:r>
      <w:r>
        <w:rPr>
          <w:rFonts w:ascii="Times New Roman" w:hAnsi="Times New Roman"/>
          <w:bCs/>
          <w:sz w:val="24"/>
          <w:szCs w:val="24"/>
        </w:rPr>
        <w:t xml:space="preserve">turpinātu </w:t>
      </w:r>
      <w:r w:rsidRPr="00F97E21">
        <w:rPr>
          <w:rFonts w:ascii="Times New Roman" w:hAnsi="Times New Roman"/>
          <w:bCs/>
          <w:sz w:val="24"/>
          <w:szCs w:val="24"/>
        </w:rPr>
        <w:t>mazin</w:t>
      </w:r>
      <w:r>
        <w:rPr>
          <w:rFonts w:ascii="Times New Roman" w:hAnsi="Times New Roman"/>
          <w:bCs/>
          <w:sz w:val="24"/>
          <w:szCs w:val="24"/>
        </w:rPr>
        <w:t>ā</w:t>
      </w:r>
      <w:r w:rsidRPr="00F97E21">
        <w:rPr>
          <w:rFonts w:ascii="Times New Roman" w:hAnsi="Times New Roman"/>
          <w:bCs/>
          <w:sz w:val="24"/>
          <w:szCs w:val="24"/>
        </w:rPr>
        <w:t>t invaliditātes, priekšlaicīgas mirstības risku un uzlabojot onkoloģisko pacientu dzīvildzi</w:t>
      </w:r>
      <w:r w:rsidRPr="00F97E21">
        <w:rPr>
          <w:rFonts w:ascii="Times New Roman" w:hAnsi="Times New Roman" w:cs="Times New Roman"/>
          <w:sz w:val="24"/>
          <w:szCs w:val="24"/>
        </w:rPr>
        <w:t>.</w:t>
      </w:r>
    </w:p>
    <w:p w14:paraId="156AD99B" w14:textId="77777777" w:rsidR="007102D1" w:rsidRDefault="007102D1" w:rsidP="007102D1">
      <w:pPr>
        <w:spacing w:after="120"/>
        <w:ind w:firstLine="720"/>
        <w:jc w:val="both"/>
        <w:rPr>
          <w:rFonts w:ascii="Times New Roman" w:hAnsi="Times New Roman" w:cs="Times New Roman"/>
          <w:sz w:val="24"/>
          <w:szCs w:val="24"/>
        </w:rPr>
      </w:pPr>
      <w:r w:rsidRPr="005720BC">
        <w:rPr>
          <w:rFonts w:ascii="Times New Roman" w:hAnsi="Times New Roman" w:cs="Times New Roman"/>
          <w:sz w:val="24"/>
          <w:szCs w:val="24"/>
        </w:rPr>
        <w:t>Tādējādi reformas īstenošanai pieejamā finansējuma ietvaros 2019.gadā tiks veikti šādi pasākumi:</w:t>
      </w:r>
      <w:r w:rsidRPr="005720BC">
        <w:rPr>
          <w:rFonts w:ascii="Times New Roman" w:hAnsi="Times New Roman" w:cs="Times New Roman"/>
          <w:sz w:val="24"/>
          <w:szCs w:val="24"/>
        </w:rPr>
        <w:tab/>
      </w:r>
      <w:r w:rsidRPr="005720B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579236" w14:textId="77777777" w:rsidR="009D7892" w:rsidRDefault="009D7892" w:rsidP="007102D1">
      <w:pPr>
        <w:spacing w:after="0" w:line="240" w:lineRule="auto"/>
        <w:ind w:firstLine="720"/>
        <w:jc w:val="right"/>
        <w:rPr>
          <w:rFonts w:ascii="Times New Roman" w:hAnsi="Times New Roman" w:cs="Times New Roman"/>
          <w:i/>
          <w:iCs/>
          <w:sz w:val="24"/>
          <w:szCs w:val="24"/>
        </w:rPr>
        <w:sectPr w:rsidR="009D7892" w:rsidSect="00333B64">
          <w:pgSz w:w="12240" w:h="15840"/>
          <w:pgMar w:top="1440" w:right="1440" w:bottom="1440" w:left="1701" w:header="708" w:footer="708" w:gutter="0"/>
          <w:cols w:space="708"/>
          <w:docGrid w:linePitch="360"/>
        </w:sectPr>
      </w:pPr>
    </w:p>
    <w:p w14:paraId="3F2AC09D" w14:textId="5075CD73" w:rsidR="007102D1" w:rsidRPr="00D46212" w:rsidRDefault="00D97BAA" w:rsidP="007102D1">
      <w:pPr>
        <w:spacing w:after="0" w:line="240" w:lineRule="auto"/>
        <w:ind w:firstLine="720"/>
        <w:jc w:val="right"/>
        <w:rPr>
          <w:rFonts w:ascii="Times New Roman" w:hAnsi="Times New Roman" w:cs="Times New Roman"/>
          <w:sz w:val="24"/>
          <w:szCs w:val="24"/>
        </w:rPr>
      </w:pPr>
      <w:r>
        <w:rPr>
          <w:rFonts w:ascii="Times New Roman" w:hAnsi="Times New Roman" w:cs="Times New Roman"/>
          <w:i/>
          <w:iCs/>
          <w:sz w:val="24"/>
          <w:szCs w:val="24"/>
        </w:rPr>
        <w:lastRenderedPageBreak/>
        <w:t>32</w:t>
      </w:r>
      <w:r w:rsidR="007102D1" w:rsidRPr="704995BB">
        <w:rPr>
          <w:rFonts w:ascii="Times New Roman" w:hAnsi="Times New Roman" w:cs="Times New Roman"/>
          <w:i/>
          <w:iCs/>
          <w:sz w:val="24"/>
          <w:szCs w:val="24"/>
        </w:rPr>
        <w:t>.tabula</w:t>
      </w:r>
    </w:p>
    <w:p w14:paraId="4519B167" w14:textId="4F7D5868" w:rsidR="009D7892" w:rsidRDefault="007102D1" w:rsidP="0003682A">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pacientiem diagnožu grupā “Audzēji”</w:t>
      </w:r>
      <w:r w:rsidR="00954ECA">
        <w:rPr>
          <w:rFonts w:ascii="Times New Roman" w:hAnsi="Times New Roman" w:cs="Times New Roman"/>
          <w:b/>
          <w:bCs/>
          <w:sz w:val="24"/>
          <w:szCs w:val="24"/>
        </w:rPr>
        <w:t xml:space="preserve"> 2017., 2018. un 2019.gadā</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134"/>
        <w:gridCol w:w="993"/>
        <w:gridCol w:w="992"/>
        <w:gridCol w:w="992"/>
        <w:gridCol w:w="992"/>
        <w:gridCol w:w="993"/>
        <w:gridCol w:w="850"/>
        <w:gridCol w:w="851"/>
        <w:gridCol w:w="850"/>
        <w:gridCol w:w="709"/>
        <w:gridCol w:w="850"/>
        <w:gridCol w:w="709"/>
      </w:tblGrid>
      <w:tr w:rsidR="009D7892" w:rsidRPr="00261E67" w14:paraId="3062CFAF" w14:textId="77777777" w:rsidTr="00725982">
        <w:trPr>
          <w:cantSplit/>
          <w:trHeight w:val="1656"/>
          <w:jc w:val="center"/>
        </w:trPr>
        <w:tc>
          <w:tcPr>
            <w:tcW w:w="1980" w:type="dxa"/>
            <w:shd w:val="clear" w:color="auto" w:fill="E36C0A"/>
            <w:vAlign w:val="center"/>
            <w:hideMark/>
          </w:tcPr>
          <w:p w14:paraId="0D14C81B" w14:textId="77777777" w:rsidR="009D7892" w:rsidRPr="000F746A" w:rsidRDefault="009D7892" w:rsidP="005115DB">
            <w:pPr>
              <w:spacing w:after="0" w:line="240" w:lineRule="auto"/>
              <w:rPr>
                <w:rFonts w:ascii="Times New Roman" w:eastAsia="Times New Roman" w:hAnsi="Times New Roman"/>
                <w:b/>
                <w:sz w:val="16"/>
                <w:szCs w:val="16"/>
                <w:lang w:eastAsia="lv-LV"/>
              </w:rPr>
            </w:pPr>
          </w:p>
        </w:tc>
        <w:tc>
          <w:tcPr>
            <w:tcW w:w="850" w:type="dxa"/>
            <w:shd w:val="clear" w:color="auto" w:fill="E36C0A"/>
            <w:textDirection w:val="btLr"/>
            <w:vAlign w:val="center"/>
            <w:hideMark/>
          </w:tcPr>
          <w:p w14:paraId="714D5F1D" w14:textId="77777777" w:rsidR="009D7892" w:rsidRPr="000F746A" w:rsidRDefault="009D7892" w:rsidP="005115DB">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Vienas ārstēšanas vidējās</w:t>
            </w:r>
          </w:p>
          <w:p w14:paraId="4046DB4A" w14:textId="77777777" w:rsidR="009D7892" w:rsidRPr="000F746A" w:rsidRDefault="009D7892" w:rsidP="005115DB">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izmaksas</w:t>
            </w:r>
          </w:p>
          <w:p w14:paraId="7957742E" w14:textId="77777777" w:rsidR="009D7892" w:rsidRPr="000F746A" w:rsidRDefault="009D7892" w:rsidP="005115DB">
            <w:pPr>
              <w:spacing w:after="0" w:line="240" w:lineRule="auto"/>
              <w:ind w:left="113" w:right="113"/>
              <w:jc w:val="center"/>
              <w:rPr>
                <w:rFonts w:ascii="Times New Roman" w:eastAsia="Times New Roman" w:hAnsi="Times New Roman"/>
                <w:b/>
                <w:bCs/>
                <w:sz w:val="16"/>
                <w:szCs w:val="16"/>
                <w:lang w:eastAsia="lv-LV"/>
              </w:rPr>
            </w:pPr>
          </w:p>
        </w:tc>
        <w:tc>
          <w:tcPr>
            <w:tcW w:w="3119" w:type="dxa"/>
            <w:gridSpan w:val="3"/>
            <w:shd w:val="clear" w:color="auto" w:fill="E36C0A"/>
            <w:textDirection w:val="btLr"/>
            <w:vAlign w:val="center"/>
          </w:tcPr>
          <w:p w14:paraId="2B1101CC" w14:textId="77777777" w:rsidR="009D7892" w:rsidRPr="000F746A" w:rsidRDefault="009D7892" w:rsidP="005115DB">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Plānotais finansējums</w:t>
            </w:r>
          </w:p>
        </w:tc>
        <w:tc>
          <w:tcPr>
            <w:tcW w:w="2977" w:type="dxa"/>
            <w:gridSpan w:val="3"/>
            <w:shd w:val="clear" w:color="auto" w:fill="E36C0A"/>
            <w:textDirection w:val="btLr"/>
            <w:vAlign w:val="center"/>
          </w:tcPr>
          <w:p w14:paraId="467EB6F7" w14:textId="77777777" w:rsidR="009D7892" w:rsidRPr="000F746A" w:rsidRDefault="009D7892" w:rsidP="005115DB">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 xml:space="preserve">Papildus finansējums </w:t>
            </w:r>
          </w:p>
        </w:tc>
        <w:tc>
          <w:tcPr>
            <w:tcW w:w="2551" w:type="dxa"/>
            <w:gridSpan w:val="3"/>
            <w:shd w:val="clear" w:color="auto" w:fill="E36C0A"/>
            <w:textDirection w:val="btLr"/>
            <w:vAlign w:val="center"/>
          </w:tcPr>
          <w:p w14:paraId="063E02FE" w14:textId="77777777" w:rsidR="009D7892" w:rsidRPr="000F746A" w:rsidRDefault="009D7892" w:rsidP="005115DB">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 xml:space="preserve">Plānotais pakalpojumu skaits </w:t>
            </w:r>
          </w:p>
        </w:tc>
        <w:tc>
          <w:tcPr>
            <w:tcW w:w="2268" w:type="dxa"/>
            <w:gridSpan w:val="3"/>
            <w:shd w:val="clear" w:color="auto" w:fill="E36C0A"/>
            <w:textDirection w:val="btLr"/>
            <w:vAlign w:val="center"/>
          </w:tcPr>
          <w:p w14:paraId="140574E9" w14:textId="77777777" w:rsidR="009D7892" w:rsidRPr="000F746A" w:rsidRDefault="009D7892" w:rsidP="005115DB">
            <w:pPr>
              <w:spacing w:after="0" w:line="240" w:lineRule="auto"/>
              <w:ind w:left="113" w:right="113"/>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Plānotais pakalpojumu skaits pēc finansējuma piešķīruma</w:t>
            </w:r>
          </w:p>
        </w:tc>
      </w:tr>
      <w:tr w:rsidR="009D7892" w:rsidRPr="00261E67" w14:paraId="7BCF54A6" w14:textId="77777777" w:rsidTr="00725982">
        <w:trPr>
          <w:trHeight w:val="640"/>
          <w:jc w:val="center"/>
        </w:trPr>
        <w:tc>
          <w:tcPr>
            <w:tcW w:w="1980" w:type="dxa"/>
            <w:shd w:val="clear" w:color="auto" w:fill="FABF8F"/>
            <w:vAlign w:val="center"/>
          </w:tcPr>
          <w:p w14:paraId="59C63986" w14:textId="77777777" w:rsidR="009D7892" w:rsidRPr="000F746A" w:rsidRDefault="009D7892" w:rsidP="005115DB">
            <w:pPr>
              <w:spacing w:after="0" w:line="240" w:lineRule="auto"/>
              <w:jc w:val="center"/>
              <w:rPr>
                <w:rFonts w:ascii="Times New Roman" w:eastAsia="Times New Roman" w:hAnsi="Times New Roman"/>
                <w:b/>
                <w:sz w:val="16"/>
                <w:szCs w:val="16"/>
                <w:lang w:eastAsia="lv-LV"/>
              </w:rPr>
            </w:pPr>
          </w:p>
        </w:tc>
        <w:tc>
          <w:tcPr>
            <w:tcW w:w="850" w:type="dxa"/>
            <w:shd w:val="clear" w:color="auto" w:fill="FABF8F"/>
            <w:vAlign w:val="center"/>
          </w:tcPr>
          <w:p w14:paraId="2499B86D" w14:textId="7CE1E749" w:rsidR="009D7892" w:rsidRPr="000F746A" w:rsidRDefault="002F2342" w:rsidP="005115DB">
            <w:pPr>
              <w:spacing w:after="0" w:line="240" w:lineRule="auto"/>
              <w:jc w:val="center"/>
              <w:rPr>
                <w:rFonts w:ascii="Times New Roman" w:eastAsia="Times New Roman" w:hAnsi="Times New Roman"/>
                <w:i/>
                <w:iCs/>
                <w:sz w:val="16"/>
                <w:szCs w:val="16"/>
                <w:lang w:eastAsia="lv-LV"/>
              </w:rPr>
            </w:pPr>
            <w:r>
              <w:rPr>
                <w:rFonts w:ascii="Times New Roman" w:eastAsia="Times New Roman" w:hAnsi="Times New Roman"/>
                <w:i/>
                <w:iCs/>
                <w:sz w:val="16"/>
                <w:szCs w:val="16"/>
                <w:lang w:eastAsia="lv-LV"/>
              </w:rPr>
              <w:t>2019</w:t>
            </w:r>
          </w:p>
          <w:p w14:paraId="3844F2E8" w14:textId="77777777" w:rsidR="009D7892" w:rsidRPr="000F746A" w:rsidRDefault="009D7892" w:rsidP="005115DB">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i/>
                <w:iCs/>
                <w:sz w:val="16"/>
                <w:szCs w:val="16"/>
                <w:lang w:eastAsia="lv-LV"/>
              </w:rPr>
              <w:t>(euro)</w:t>
            </w:r>
          </w:p>
        </w:tc>
        <w:tc>
          <w:tcPr>
            <w:tcW w:w="1134" w:type="dxa"/>
            <w:shd w:val="clear" w:color="auto" w:fill="FABF8F"/>
            <w:vAlign w:val="center"/>
          </w:tcPr>
          <w:p w14:paraId="65D8DDE5" w14:textId="77777777" w:rsidR="00993449"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2017 </w:t>
            </w:r>
          </w:p>
          <w:p w14:paraId="482788CB" w14:textId="08454E48" w:rsidR="009D7892" w:rsidRPr="000F746A"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i/>
                <w:iCs/>
                <w:sz w:val="16"/>
                <w:szCs w:val="16"/>
                <w:lang w:eastAsia="lv-LV"/>
              </w:rPr>
              <w:t>(euro)</w:t>
            </w:r>
          </w:p>
        </w:tc>
        <w:tc>
          <w:tcPr>
            <w:tcW w:w="993" w:type="dxa"/>
            <w:shd w:val="clear" w:color="auto" w:fill="FABF8F"/>
            <w:vAlign w:val="center"/>
          </w:tcPr>
          <w:p w14:paraId="74DDFC16" w14:textId="77777777" w:rsidR="00993449"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2018 </w:t>
            </w:r>
          </w:p>
          <w:p w14:paraId="2FB7BDC5" w14:textId="4BC58DCE" w:rsidR="009D7892" w:rsidRPr="000F746A"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i/>
                <w:iCs/>
                <w:sz w:val="16"/>
                <w:szCs w:val="16"/>
                <w:lang w:eastAsia="lv-LV"/>
              </w:rPr>
              <w:t>(euro)</w:t>
            </w:r>
          </w:p>
        </w:tc>
        <w:tc>
          <w:tcPr>
            <w:tcW w:w="992" w:type="dxa"/>
            <w:shd w:val="clear" w:color="auto" w:fill="FABF8F"/>
            <w:vAlign w:val="center"/>
          </w:tcPr>
          <w:p w14:paraId="04D28596" w14:textId="77777777" w:rsidR="00993449"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2019 </w:t>
            </w:r>
          </w:p>
          <w:p w14:paraId="36F8093B" w14:textId="031CD98C" w:rsidR="009D7892" w:rsidRPr="000F746A"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i/>
                <w:iCs/>
                <w:sz w:val="16"/>
                <w:szCs w:val="16"/>
                <w:lang w:eastAsia="lv-LV"/>
              </w:rPr>
              <w:t>(euro)</w:t>
            </w:r>
          </w:p>
        </w:tc>
        <w:tc>
          <w:tcPr>
            <w:tcW w:w="992" w:type="dxa"/>
            <w:shd w:val="clear" w:color="auto" w:fill="FABF8F"/>
            <w:vAlign w:val="center"/>
          </w:tcPr>
          <w:p w14:paraId="217EA91D" w14:textId="77777777" w:rsidR="00993449"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2017 </w:t>
            </w:r>
          </w:p>
          <w:p w14:paraId="6486EE07" w14:textId="1B5B880A" w:rsidR="009D7892" w:rsidRPr="000F746A"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i/>
                <w:iCs/>
                <w:sz w:val="16"/>
                <w:szCs w:val="16"/>
                <w:lang w:eastAsia="lv-LV"/>
              </w:rPr>
              <w:t>(euro)</w:t>
            </w:r>
          </w:p>
        </w:tc>
        <w:tc>
          <w:tcPr>
            <w:tcW w:w="992" w:type="dxa"/>
            <w:shd w:val="clear" w:color="auto" w:fill="FABF8F"/>
            <w:vAlign w:val="center"/>
          </w:tcPr>
          <w:p w14:paraId="604AEA28" w14:textId="77777777" w:rsidR="00993449"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2018</w:t>
            </w:r>
          </w:p>
          <w:p w14:paraId="27667B54" w14:textId="132A7EB0" w:rsidR="009D7892" w:rsidRPr="000F746A"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 xml:space="preserve"> </w:t>
            </w:r>
            <w:r w:rsidRPr="000F746A">
              <w:rPr>
                <w:rFonts w:ascii="Times New Roman" w:eastAsia="Times New Roman" w:hAnsi="Times New Roman"/>
                <w:i/>
                <w:iCs/>
                <w:sz w:val="16"/>
                <w:szCs w:val="16"/>
                <w:lang w:eastAsia="lv-LV"/>
              </w:rPr>
              <w:t>(euro)</w:t>
            </w:r>
          </w:p>
        </w:tc>
        <w:tc>
          <w:tcPr>
            <w:tcW w:w="993" w:type="dxa"/>
            <w:shd w:val="clear" w:color="auto" w:fill="FABF8F"/>
            <w:vAlign w:val="center"/>
          </w:tcPr>
          <w:p w14:paraId="219617DD" w14:textId="77777777" w:rsidR="009D7892" w:rsidRPr="000F746A" w:rsidRDefault="009D7892" w:rsidP="005115DB">
            <w:pPr>
              <w:spacing w:after="0" w:line="240" w:lineRule="auto"/>
              <w:jc w:val="center"/>
              <w:rPr>
                <w:rFonts w:ascii="Times New Roman" w:eastAsia="Times New Roman" w:hAnsi="Times New Roman"/>
                <w:bCs/>
                <w:i/>
                <w:iCs/>
                <w:sz w:val="16"/>
                <w:szCs w:val="16"/>
                <w:lang w:eastAsia="lv-LV"/>
              </w:rPr>
            </w:pPr>
            <w:r w:rsidRPr="000F746A">
              <w:rPr>
                <w:rFonts w:ascii="Times New Roman" w:eastAsia="Times New Roman" w:hAnsi="Times New Roman"/>
                <w:bCs/>
                <w:i/>
                <w:iCs/>
                <w:sz w:val="16"/>
                <w:szCs w:val="16"/>
                <w:lang w:eastAsia="lv-LV"/>
              </w:rPr>
              <w:t>2019</w:t>
            </w:r>
          </w:p>
          <w:p w14:paraId="161E44AA" w14:textId="77777777" w:rsidR="009D7892" w:rsidRPr="000F746A" w:rsidRDefault="009D7892" w:rsidP="005115DB">
            <w:pPr>
              <w:spacing w:after="0" w:line="240" w:lineRule="auto"/>
              <w:jc w:val="center"/>
              <w:rPr>
                <w:rFonts w:ascii="Times New Roman" w:eastAsia="Times New Roman" w:hAnsi="Times New Roman"/>
                <w:i/>
                <w:iCs/>
                <w:sz w:val="16"/>
                <w:szCs w:val="16"/>
                <w:lang w:eastAsia="lv-LV"/>
              </w:rPr>
            </w:pPr>
            <w:r w:rsidRPr="000F746A">
              <w:rPr>
                <w:rFonts w:ascii="Times New Roman" w:eastAsia="Times New Roman" w:hAnsi="Times New Roman"/>
                <w:i/>
                <w:iCs/>
                <w:sz w:val="16"/>
                <w:szCs w:val="16"/>
                <w:lang w:eastAsia="lv-LV"/>
              </w:rPr>
              <w:t>(euro)</w:t>
            </w:r>
          </w:p>
        </w:tc>
        <w:tc>
          <w:tcPr>
            <w:tcW w:w="850" w:type="dxa"/>
            <w:shd w:val="clear" w:color="auto" w:fill="FABF8F"/>
            <w:vAlign w:val="center"/>
          </w:tcPr>
          <w:p w14:paraId="223CFD42" w14:textId="77777777" w:rsidR="009D7892" w:rsidRPr="000F746A" w:rsidRDefault="009D7892" w:rsidP="005115DB">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2017</w:t>
            </w:r>
          </w:p>
        </w:tc>
        <w:tc>
          <w:tcPr>
            <w:tcW w:w="851" w:type="dxa"/>
            <w:shd w:val="clear" w:color="auto" w:fill="FABF8F"/>
            <w:vAlign w:val="center"/>
          </w:tcPr>
          <w:p w14:paraId="18CC9C1B" w14:textId="77777777" w:rsidR="009D7892" w:rsidRPr="000F746A" w:rsidRDefault="009D7892" w:rsidP="005115DB">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2018</w:t>
            </w:r>
          </w:p>
        </w:tc>
        <w:tc>
          <w:tcPr>
            <w:tcW w:w="850" w:type="dxa"/>
            <w:shd w:val="clear" w:color="auto" w:fill="FABF8F"/>
            <w:vAlign w:val="center"/>
          </w:tcPr>
          <w:p w14:paraId="7C8D6416" w14:textId="77777777" w:rsidR="009D7892" w:rsidRPr="000F746A" w:rsidRDefault="009D7892" w:rsidP="005115DB">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2019</w:t>
            </w:r>
          </w:p>
        </w:tc>
        <w:tc>
          <w:tcPr>
            <w:tcW w:w="709" w:type="dxa"/>
            <w:shd w:val="clear" w:color="auto" w:fill="FABF8F"/>
            <w:vAlign w:val="center"/>
          </w:tcPr>
          <w:p w14:paraId="5745AD9B" w14:textId="77777777" w:rsidR="009D7892" w:rsidRPr="000F746A" w:rsidRDefault="009D7892" w:rsidP="005115DB">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iCs/>
                <w:sz w:val="16"/>
                <w:szCs w:val="16"/>
                <w:lang w:eastAsia="lv-LV"/>
              </w:rPr>
              <w:t xml:space="preserve">2017 </w:t>
            </w:r>
          </w:p>
        </w:tc>
        <w:tc>
          <w:tcPr>
            <w:tcW w:w="850" w:type="dxa"/>
            <w:shd w:val="clear" w:color="auto" w:fill="FABF8F"/>
            <w:vAlign w:val="center"/>
          </w:tcPr>
          <w:p w14:paraId="2721F8D7" w14:textId="77777777" w:rsidR="009D7892" w:rsidRPr="000F746A" w:rsidRDefault="009D7892" w:rsidP="005115DB">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iCs/>
                <w:sz w:val="16"/>
                <w:szCs w:val="16"/>
                <w:lang w:eastAsia="lv-LV"/>
              </w:rPr>
              <w:t xml:space="preserve">2018 </w:t>
            </w:r>
          </w:p>
        </w:tc>
        <w:tc>
          <w:tcPr>
            <w:tcW w:w="709" w:type="dxa"/>
            <w:shd w:val="clear" w:color="auto" w:fill="FABF8F"/>
            <w:vAlign w:val="center"/>
          </w:tcPr>
          <w:p w14:paraId="5D54084D" w14:textId="77777777" w:rsidR="009D7892" w:rsidRPr="000F746A" w:rsidRDefault="009D7892" w:rsidP="005115DB">
            <w:pPr>
              <w:spacing w:after="0" w:line="240" w:lineRule="auto"/>
              <w:jc w:val="center"/>
              <w:rPr>
                <w:rFonts w:ascii="Times New Roman" w:eastAsia="Times New Roman" w:hAnsi="Times New Roman"/>
                <w:b/>
                <w:bCs/>
                <w:sz w:val="16"/>
                <w:szCs w:val="16"/>
                <w:lang w:eastAsia="lv-LV"/>
              </w:rPr>
            </w:pPr>
            <w:r w:rsidRPr="000F746A">
              <w:rPr>
                <w:rFonts w:ascii="Times New Roman" w:eastAsia="Times New Roman" w:hAnsi="Times New Roman"/>
                <w:b/>
                <w:bCs/>
                <w:sz w:val="16"/>
                <w:szCs w:val="16"/>
                <w:lang w:eastAsia="lv-LV"/>
              </w:rPr>
              <w:t>2019</w:t>
            </w:r>
          </w:p>
        </w:tc>
      </w:tr>
      <w:tr w:rsidR="000C7711" w:rsidRPr="00261E67" w14:paraId="19D8685F" w14:textId="77777777" w:rsidTr="00725982">
        <w:trPr>
          <w:trHeight w:val="52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EF6CF9" w14:textId="683C6499" w:rsidR="000C7711" w:rsidRPr="000F746A" w:rsidRDefault="000C7711" w:rsidP="000C7711">
            <w:pPr>
              <w:spacing w:after="0" w:line="240" w:lineRule="auto"/>
              <w:rPr>
                <w:rFonts w:ascii="Times New Roman" w:eastAsia="Times New Roman" w:hAnsi="Times New Roman"/>
                <w:sz w:val="16"/>
                <w:szCs w:val="16"/>
                <w:lang w:eastAsia="lv-LV"/>
              </w:rPr>
            </w:pPr>
            <w:r w:rsidRPr="00E229E5">
              <w:rPr>
                <w:rFonts w:ascii="Times New Roman" w:eastAsia="Times New Roman" w:hAnsi="Times New Roman" w:cs="Times New Roman"/>
                <w:sz w:val="16"/>
                <w:szCs w:val="16"/>
                <w:lang w:eastAsia="lv-LV"/>
              </w:rPr>
              <w:t>Inovatīvie onkoloģiskie medikamenti (terapijas turpināšanai)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724A" w14:textId="13436766" w:rsidR="000C7711" w:rsidRPr="000F746A" w:rsidRDefault="000C7711" w:rsidP="000C7711">
            <w:pPr>
              <w:spacing w:after="0" w:line="240" w:lineRule="auto"/>
              <w:jc w:val="center"/>
              <w:rPr>
                <w:rFonts w:ascii="Times New Roman" w:eastAsia="Times New Roman" w:hAnsi="Times New Roman"/>
                <w:sz w:val="16"/>
                <w:szCs w:val="16"/>
                <w:lang w:eastAsia="lv-LV"/>
              </w:rPr>
            </w:pPr>
            <w:r w:rsidRPr="00E229E5">
              <w:rPr>
                <w:rFonts w:ascii="Times New Roman" w:hAnsi="Times New Roman" w:cs="Times New Roman"/>
                <w:sz w:val="16"/>
                <w:szCs w:val="16"/>
              </w:rPr>
              <w:t>20 000</w:t>
            </w:r>
          </w:p>
        </w:tc>
        <w:tc>
          <w:tcPr>
            <w:tcW w:w="1134" w:type="dxa"/>
            <w:tcBorders>
              <w:top w:val="single" w:sz="4" w:space="0" w:color="auto"/>
              <w:left w:val="single" w:sz="4" w:space="0" w:color="auto"/>
              <w:bottom w:val="single" w:sz="4" w:space="0" w:color="auto"/>
              <w:right w:val="single" w:sz="4" w:space="0" w:color="auto"/>
            </w:tcBorders>
            <w:vAlign w:val="center"/>
          </w:tcPr>
          <w:p w14:paraId="76112E96" w14:textId="0515025E" w:rsidR="000C7711" w:rsidRPr="000F746A" w:rsidRDefault="000C7711" w:rsidP="000C7711">
            <w:pPr>
              <w:spacing w:after="0" w:line="240" w:lineRule="auto"/>
              <w:jc w:val="center"/>
              <w:rPr>
                <w:rFonts w:ascii="Times New Roman" w:hAnsi="Times New Roman"/>
                <w:sz w:val="16"/>
                <w:szCs w:val="16"/>
              </w:rPr>
            </w:pPr>
            <w:r w:rsidRPr="00E229E5">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C35290E" w14:textId="7257F9F5" w:rsidR="000C7711" w:rsidRPr="000F746A" w:rsidRDefault="002A101D" w:rsidP="000C7711">
            <w:pPr>
              <w:spacing w:after="0" w:line="240" w:lineRule="auto"/>
              <w:jc w:val="center"/>
              <w:rPr>
                <w:rFonts w:ascii="Times New Roman" w:hAnsi="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6E74BB99" w14:textId="3ACB318F" w:rsidR="000C7711" w:rsidRPr="000F746A" w:rsidRDefault="002A101D" w:rsidP="000C7711">
            <w:pPr>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0F4DE1A8" w14:textId="72B3382A" w:rsidR="000C7711" w:rsidRPr="000F746A" w:rsidRDefault="002A101D" w:rsidP="000C7711">
            <w:pPr>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39D6B449" w14:textId="3077D28E" w:rsidR="000C7711" w:rsidRPr="000F746A" w:rsidRDefault="002A101D" w:rsidP="000C7711">
            <w:pPr>
              <w:spacing w:after="0" w:line="240" w:lineRule="auto"/>
              <w:jc w:val="center"/>
              <w:rPr>
                <w:rFonts w:ascii="Times New Roman" w:hAnsi="Times New Roman"/>
                <w:sz w:val="16"/>
                <w:szCs w:val="16"/>
              </w:rPr>
            </w:pPr>
            <w:r w:rsidRPr="00E229E5">
              <w:rPr>
                <w:rFonts w:ascii="Times New Roman" w:hAnsi="Times New Roman" w:cs="Times New Roman"/>
                <w:sz w:val="16"/>
                <w:szCs w:val="16"/>
              </w:rPr>
              <w:t>6 000 000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2E94" w14:textId="5060CCC9" w:rsidR="000C7711" w:rsidRPr="000F746A" w:rsidRDefault="0017719C" w:rsidP="000C7711">
            <w:pPr>
              <w:spacing w:after="0" w:line="240" w:lineRule="auto"/>
              <w:jc w:val="center"/>
              <w:rPr>
                <w:rFonts w:ascii="Times New Roman" w:hAnsi="Times New Roman"/>
                <w:sz w:val="16"/>
                <w:szCs w:val="16"/>
              </w:rPr>
            </w:pPr>
            <w:r>
              <w:rPr>
                <w:rFonts w:ascii="Times New Roman" w:hAnsi="Times New Roman" w:cs="Times New Roman"/>
                <w:sz w:val="16"/>
                <w:szCs w:val="16"/>
              </w:rPr>
              <w:t xml:space="preserve">6 </w:t>
            </w:r>
            <w:r w:rsidR="000C7711" w:rsidRPr="00E229E5">
              <w:rPr>
                <w:rFonts w:ascii="Times New Roman" w:hAnsi="Times New Roman" w:cs="Times New Roman"/>
                <w:sz w:val="16"/>
                <w:szCs w:val="16"/>
              </w:rPr>
              <w:t>600 000</w:t>
            </w:r>
          </w:p>
        </w:tc>
        <w:tc>
          <w:tcPr>
            <w:tcW w:w="850" w:type="dxa"/>
            <w:tcBorders>
              <w:top w:val="single" w:sz="4" w:space="0" w:color="auto"/>
              <w:left w:val="single" w:sz="4" w:space="0" w:color="auto"/>
              <w:bottom w:val="single" w:sz="4" w:space="0" w:color="auto"/>
              <w:right w:val="single" w:sz="4" w:space="0" w:color="auto"/>
            </w:tcBorders>
            <w:vAlign w:val="center"/>
          </w:tcPr>
          <w:p w14:paraId="333AF0B5" w14:textId="12B7B36F" w:rsidR="000C7711" w:rsidRPr="00E11AFF" w:rsidRDefault="000C7711" w:rsidP="000C7711">
            <w:pPr>
              <w:spacing w:after="0" w:line="240" w:lineRule="auto"/>
              <w:jc w:val="center"/>
              <w:rPr>
                <w:rFonts w:ascii="Times New Roman" w:hAnsi="Times New Roman"/>
                <w:bCs/>
                <w:sz w:val="16"/>
                <w:szCs w:val="16"/>
              </w:rPr>
            </w:pPr>
            <w:r w:rsidRPr="00E11AFF">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7311CDA" w14:textId="48C44F71" w:rsidR="000C7711" w:rsidRPr="00E11AFF" w:rsidRDefault="006369F0" w:rsidP="002A101D">
            <w:pPr>
              <w:spacing w:after="0" w:line="240" w:lineRule="auto"/>
              <w:jc w:val="center"/>
              <w:rPr>
                <w:rFonts w:ascii="Times New Roman" w:hAnsi="Times New Roman"/>
                <w:bCs/>
                <w:sz w:val="16"/>
                <w:szCs w:val="16"/>
              </w:rPr>
            </w:pPr>
            <w:r w:rsidRPr="00E11AFF">
              <w:rPr>
                <w:rFonts w:ascii="Times New Roman" w:hAnsi="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CD3E1" w14:textId="0606AA6A" w:rsidR="000C7711" w:rsidRPr="00E11AFF" w:rsidRDefault="006369F0" w:rsidP="006369F0">
            <w:pPr>
              <w:spacing w:after="0" w:line="240" w:lineRule="auto"/>
              <w:jc w:val="center"/>
              <w:rPr>
                <w:rFonts w:ascii="Times New Roman" w:hAnsi="Times New Roman"/>
                <w:bCs/>
                <w:sz w:val="16"/>
                <w:szCs w:val="16"/>
              </w:rPr>
            </w:pPr>
            <w:r w:rsidRPr="00E11AFF">
              <w:rPr>
                <w:rFonts w:ascii="Times New Roman" w:hAnsi="Times New Roman"/>
                <w:bCs/>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7CC91BCD" w14:textId="00A2F110" w:rsidR="000C7711" w:rsidRPr="00E11AFF" w:rsidRDefault="006369F0" w:rsidP="000C7711">
            <w:pPr>
              <w:spacing w:after="0" w:line="240" w:lineRule="auto"/>
              <w:jc w:val="center"/>
              <w:rPr>
                <w:rFonts w:ascii="Times New Roman" w:hAnsi="Times New Roman"/>
                <w:bCs/>
                <w:sz w:val="16"/>
                <w:szCs w:val="16"/>
              </w:rPr>
            </w:pPr>
            <w:r w:rsidRPr="00E11AFF">
              <w:rPr>
                <w:rFonts w:ascii="Times New Roman" w:hAnsi="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4A3C8919" w14:textId="1A18FEF5" w:rsidR="000C7711" w:rsidRPr="00E11AFF" w:rsidRDefault="006369F0" w:rsidP="000C7711">
            <w:pPr>
              <w:spacing w:after="0" w:line="240" w:lineRule="auto"/>
              <w:jc w:val="center"/>
              <w:rPr>
                <w:rFonts w:ascii="Times New Roman" w:hAnsi="Times New Roman"/>
                <w:bCs/>
                <w:sz w:val="16"/>
                <w:szCs w:val="16"/>
              </w:rPr>
            </w:pPr>
            <w:r w:rsidRPr="00E11AFF">
              <w:rPr>
                <w:rFonts w:ascii="Times New Roman" w:hAnsi="Times New Roman"/>
                <w:bCs/>
                <w:sz w:val="16"/>
                <w:szCs w:val="16"/>
              </w:rPr>
              <w:t>300</w:t>
            </w:r>
          </w:p>
        </w:tc>
        <w:tc>
          <w:tcPr>
            <w:tcW w:w="709" w:type="dxa"/>
            <w:tcBorders>
              <w:top w:val="single" w:sz="4" w:space="0" w:color="auto"/>
              <w:left w:val="single" w:sz="4" w:space="0" w:color="auto"/>
              <w:bottom w:val="single" w:sz="4" w:space="0" w:color="auto"/>
              <w:right w:val="single" w:sz="4" w:space="0" w:color="auto"/>
            </w:tcBorders>
            <w:vAlign w:val="center"/>
          </w:tcPr>
          <w:p w14:paraId="0F646737" w14:textId="60B6AA2E" w:rsidR="000C7711" w:rsidRPr="00E11AFF" w:rsidRDefault="000C7711" w:rsidP="000C7711">
            <w:pPr>
              <w:spacing w:after="0" w:line="240" w:lineRule="auto"/>
              <w:jc w:val="center"/>
              <w:rPr>
                <w:rFonts w:ascii="Times New Roman" w:hAnsi="Times New Roman"/>
                <w:bCs/>
                <w:sz w:val="16"/>
                <w:szCs w:val="16"/>
              </w:rPr>
            </w:pPr>
            <w:r w:rsidRPr="00E11AFF">
              <w:rPr>
                <w:rFonts w:ascii="Times New Roman" w:hAnsi="Times New Roman" w:cs="Times New Roman"/>
                <w:bCs/>
                <w:sz w:val="16"/>
                <w:szCs w:val="16"/>
              </w:rPr>
              <w:t>330</w:t>
            </w:r>
          </w:p>
        </w:tc>
      </w:tr>
      <w:tr w:rsidR="002F2342" w:rsidRPr="00261E67" w14:paraId="45900D94" w14:textId="77777777" w:rsidTr="00725982">
        <w:trPr>
          <w:trHeight w:val="52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1E28D19E" w14:textId="505AAA9A" w:rsidR="002F2342" w:rsidRPr="000F746A" w:rsidRDefault="002F2342" w:rsidP="002F2342">
            <w:pPr>
              <w:spacing w:after="0" w:line="240" w:lineRule="auto"/>
              <w:rPr>
                <w:rFonts w:ascii="Times New Roman" w:eastAsia="Times New Roman" w:hAnsi="Times New Roman"/>
                <w:sz w:val="16"/>
                <w:szCs w:val="16"/>
                <w:lang w:eastAsia="lv-LV"/>
              </w:rPr>
            </w:pPr>
            <w:r w:rsidRPr="00E229E5">
              <w:rPr>
                <w:rFonts w:ascii="Times New Roman" w:eastAsia="Times New Roman" w:hAnsi="Times New Roman" w:cs="Times New Roman"/>
                <w:sz w:val="16"/>
                <w:szCs w:val="16"/>
                <w:lang w:eastAsia="lv-LV"/>
              </w:rPr>
              <w:t>Kompensējamos medikamentus saņēmušo pacientu terapijas turpināšanai onkoloģijā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E4A5B" w14:textId="582358A5" w:rsidR="002F2342" w:rsidRPr="000F746A" w:rsidRDefault="002F2342" w:rsidP="002F2342">
            <w:pPr>
              <w:spacing w:after="0" w:line="240" w:lineRule="auto"/>
              <w:jc w:val="center"/>
              <w:rPr>
                <w:rFonts w:ascii="Times New Roman" w:hAnsi="Times New Roman"/>
                <w:sz w:val="16"/>
                <w:szCs w:val="16"/>
              </w:rPr>
            </w:pPr>
            <w:r w:rsidRPr="00E229E5">
              <w:rPr>
                <w:rFonts w:ascii="Times New Roman" w:hAnsi="Times New Roman" w:cs="Times New Roman"/>
                <w:sz w:val="16"/>
                <w:szCs w:val="16"/>
              </w:rPr>
              <w:t>1 221.18</w:t>
            </w:r>
          </w:p>
        </w:tc>
        <w:tc>
          <w:tcPr>
            <w:tcW w:w="1134" w:type="dxa"/>
            <w:tcBorders>
              <w:top w:val="single" w:sz="4" w:space="0" w:color="auto"/>
              <w:left w:val="single" w:sz="4" w:space="0" w:color="auto"/>
              <w:bottom w:val="single" w:sz="4" w:space="0" w:color="auto"/>
              <w:right w:val="single" w:sz="4" w:space="0" w:color="auto"/>
            </w:tcBorders>
            <w:vAlign w:val="center"/>
          </w:tcPr>
          <w:p w14:paraId="1C774221" w14:textId="1F42BF9B" w:rsidR="002F2342" w:rsidRPr="004949BB" w:rsidRDefault="004949BB" w:rsidP="002F2342">
            <w:pPr>
              <w:spacing w:after="0" w:line="240" w:lineRule="auto"/>
              <w:jc w:val="center"/>
              <w:rPr>
                <w:rFonts w:ascii="Times New Roman" w:hAnsi="Times New Roman"/>
                <w:sz w:val="16"/>
                <w:szCs w:val="16"/>
              </w:rPr>
            </w:pPr>
            <w:r w:rsidRPr="004949BB">
              <w:rPr>
                <w:rFonts w:ascii="Times New Roman" w:hAnsi="Times New Roman" w:cs="Times New Roman"/>
                <w:sz w:val="16"/>
                <w:szCs w:val="16"/>
              </w:rPr>
              <w:t>20 695 813</w:t>
            </w:r>
          </w:p>
        </w:tc>
        <w:tc>
          <w:tcPr>
            <w:tcW w:w="993" w:type="dxa"/>
            <w:tcBorders>
              <w:top w:val="single" w:sz="4" w:space="0" w:color="auto"/>
              <w:left w:val="single" w:sz="4" w:space="0" w:color="auto"/>
              <w:bottom w:val="single" w:sz="4" w:space="0" w:color="auto"/>
              <w:right w:val="single" w:sz="4" w:space="0" w:color="auto"/>
            </w:tcBorders>
            <w:vAlign w:val="center"/>
          </w:tcPr>
          <w:p w14:paraId="2630A0E4" w14:textId="555C2AAC" w:rsidR="002F2342" w:rsidRPr="000F746A" w:rsidRDefault="002F2342" w:rsidP="002F2342">
            <w:pPr>
              <w:spacing w:after="0" w:line="240" w:lineRule="auto"/>
              <w:jc w:val="center"/>
              <w:rPr>
                <w:rFonts w:ascii="Times New Roman" w:hAnsi="Times New Roman"/>
                <w:sz w:val="16"/>
                <w:szCs w:val="16"/>
              </w:rPr>
            </w:pPr>
            <w:r w:rsidRPr="00D05F1B">
              <w:rPr>
                <w:rFonts w:ascii="Times New Roman" w:hAnsi="Times New Roman" w:cs="Times New Roman"/>
                <w:sz w:val="16"/>
                <w:szCs w:val="16"/>
              </w:rPr>
              <w:t>24 485 563</w:t>
            </w:r>
          </w:p>
        </w:tc>
        <w:tc>
          <w:tcPr>
            <w:tcW w:w="992" w:type="dxa"/>
            <w:tcBorders>
              <w:top w:val="single" w:sz="4" w:space="0" w:color="auto"/>
              <w:left w:val="single" w:sz="4" w:space="0" w:color="auto"/>
              <w:bottom w:val="single" w:sz="4" w:space="0" w:color="auto"/>
              <w:right w:val="single" w:sz="4" w:space="0" w:color="auto"/>
            </w:tcBorders>
            <w:vAlign w:val="center"/>
          </w:tcPr>
          <w:p w14:paraId="32990772" w14:textId="1E342E4E" w:rsidR="002F2342" w:rsidRPr="000F746A" w:rsidRDefault="002F2342" w:rsidP="002F2342">
            <w:pPr>
              <w:spacing w:after="0" w:line="240" w:lineRule="auto"/>
              <w:jc w:val="center"/>
              <w:rPr>
                <w:rFonts w:ascii="Times New Roman" w:hAnsi="Times New Roman"/>
                <w:sz w:val="16"/>
                <w:szCs w:val="16"/>
              </w:rPr>
            </w:pPr>
            <w:r w:rsidRPr="00D05F1B">
              <w:rPr>
                <w:rFonts w:ascii="Times New Roman" w:hAnsi="Times New Roman" w:cs="Times New Roman"/>
                <w:sz w:val="16"/>
                <w:szCs w:val="16"/>
              </w:rPr>
              <w:t>24 485 563</w:t>
            </w:r>
          </w:p>
        </w:tc>
        <w:tc>
          <w:tcPr>
            <w:tcW w:w="992" w:type="dxa"/>
            <w:tcBorders>
              <w:top w:val="single" w:sz="4" w:space="0" w:color="auto"/>
              <w:left w:val="single" w:sz="4" w:space="0" w:color="auto"/>
              <w:bottom w:val="single" w:sz="4" w:space="0" w:color="auto"/>
              <w:right w:val="single" w:sz="4" w:space="0" w:color="auto"/>
            </w:tcBorders>
            <w:vAlign w:val="center"/>
          </w:tcPr>
          <w:p w14:paraId="33BF783B" w14:textId="241F5E83" w:rsidR="002F2342" w:rsidRPr="004949BB" w:rsidRDefault="004949BB" w:rsidP="002F2342">
            <w:pPr>
              <w:spacing w:after="0" w:line="240" w:lineRule="auto"/>
              <w:jc w:val="center"/>
              <w:rPr>
                <w:rFonts w:ascii="Times New Roman" w:hAnsi="Times New Roman"/>
                <w:sz w:val="16"/>
                <w:szCs w:val="16"/>
              </w:rPr>
            </w:pPr>
            <w:r w:rsidRPr="004949BB">
              <w:rPr>
                <w:rFonts w:ascii="Times New Roman" w:eastAsia="Times New Roman" w:hAnsi="Times New Roman" w:cs="Times New Roman"/>
                <w:color w:val="000000" w:themeColor="text1"/>
                <w:sz w:val="16"/>
                <w:szCs w:val="16"/>
                <w:lang w:eastAsia="lv-LV"/>
              </w:rPr>
              <w:t>4 138 795</w:t>
            </w:r>
          </w:p>
        </w:tc>
        <w:tc>
          <w:tcPr>
            <w:tcW w:w="992" w:type="dxa"/>
            <w:tcBorders>
              <w:top w:val="single" w:sz="4" w:space="0" w:color="auto"/>
              <w:left w:val="single" w:sz="4" w:space="0" w:color="auto"/>
              <w:bottom w:val="single" w:sz="4" w:space="0" w:color="auto"/>
              <w:right w:val="single" w:sz="4" w:space="0" w:color="auto"/>
            </w:tcBorders>
            <w:vAlign w:val="center"/>
          </w:tcPr>
          <w:p w14:paraId="537444C7" w14:textId="6D4A8208" w:rsidR="002F2342" w:rsidRPr="000F746A" w:rsidRDefault="002F2342" w:rsidP="002F2342">
            <w:pPr>
              <w:spacing w:after="0" w:line="240" w:lineRule="auto"/>
              <w:jc w:val="center"/>
              <w:rPr>
                <w:rFonts w:ascii="Times New Roman" w:hAnsi="Times New Roman"/>
                <w:sz w:val="16"/>
                <w:szCs w:val="16"/>
              </w:rPr>
            </w:pPr>
            <w:r>
              <w:rPr>
                <w:rFonts w:ascii="Times New Roman" w:hAnsi="Times New Roman"/>
                <w:sz w:val="16"/>
                <w:szCs w:val="16"/>
              </w:rPr>
              <w:t>6 709 164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F5BDD" w14:textId="1EA1CCAC" w:rsidR="002F2342" w:rsidRPr="000F746A" w:rsidRDefault="002F2342" w:rsidP="002F2342">
            <w:pPr>
              <w:spacing w:after="0" w:line="240" w:lineRule="auto"/>
              <w:jc w:val="center"/>
              <w:rPr>
                <w:rFonts w:ascii="Times New Roman" w:hAnsi="Times New Roman"/>
                <w:sz w:val="16"/>
                <w:szCs w:val="16"/>
              </w:rPr>
            </w:pPr>
            <w:r w:rsidRPr="00E229E5">
              <w:rPr>
                <w:rFonts w:ascii="Times New Roman" w:hAnsi="Times New Roman" w:cs="Times New Roman"/>
                <w:sz w:val="16"/>
                <w:szCs w:val="16"/>
              </w:rPr>
              <w:t>7 119 490</w:t>
            </w:r>
          </w:p>
        </w:tc>
        <w:tc>
          <w:tcPr>
            <w:tcW w:w="850" w:type="dxa"/>
            <w:tcBorders>
              <w:top w:val="single" w:sz="4" w:space="0" w:color="auto"/>
              <w:left w:val="single" w:sz="4" w:space="0" w:color="auto"/>
              <w:bottom w:val="single" w:sz="4" w:space="0" w:color="auto"/>
              <w:right w:val="single" w:sz="4" w:space="0" w:color="auto"/>
            </w:tcBorders>
            <w:vAlign w:val="center"/>
          </w:tcPr>
          <w:p w14:paraId="66F3F165" w14:textId="013F722F" w:rsidR="002F2342" w:rsidRPr="00E11AFF" w:rsidRDefault="004949BB" w:rsidP="002F2342">
            <w:pPr>
              <w:spacing w:after="0" w:line="240" w:lineRule="auto"/>
              <w:jc w:val="center"/>
              <w:rPr>
                <w:rFonts w:ascii="Times New Roman" w:hAnsi="Times New Roman"/>
                <w:bCs/>
                <w:sz w:val="16"/>
                <w:szCs w:val="16"/>
              </w:rPr>
            </w:pPr>
            <w:r w:rsidRPr="0057254C">
              <w:rPr>
                <w:rFonts w:ascii="Times New Roman" w:hAnsi="Times New Roman" w:cs="Times New Roman"/>
                <w:bCs/>
                <w:sz w:val="16"/>
                <w:szCs w:val="16"/>
              </w:rPr>
              <w:t>22 472</w:t>
            </w:r>
          </w:p>
        </w:tc>
        <w:tc>
          <w:tcPr>
            <w:tcW w:w="851" w:type="dxa"/>
            <w:tcBorders>
              <w:top w:val="single" w:sz="4" w:space="0" w:color="auto"/>
              <w:left w:val="single" w:sz="4" w:space="0" w:color="auto"/>
              <w:bottom w:val="single" w:sz="4" w:space="0" w:color="auto"/>
              <w:right w:val="single" w:sz="4" w:space="0" w:color="auto"/>
            </w:tcBorders>
            <w:vAlign w:val="center"/>
          </w:tcPr>
          <w:p w14:paraId="37808DCD" w14:textId="0A4F36FC" w:rsidR="002F2342" w:rsidRPr="00E11AFF" w:rsidRDefault="002F2342" w:rsidP="002F2342">
            <w:pPr>
              <w:spacing w:after="0" w:line="240" w:lineRule="auto"/>
              <w:jc w:val="center"/>
              <w:rPr>
                <w:rFonts w:ascii="Times New Roman" w:hAnsi="Times New Roman"/>
                <w:bCs/>
                <w:sz w:val="16"/>
                <w:szCs w:val="16"/>
              </w:rPr>
            </w:pPr>
            <w:r w:rsidRPr="00E11AFF">
              <w:rPr>
                <w:rFonts w:ascii="Times New Roman" w:hAnsi="Times New Roman" w:cs="Times New Roman"/>
                <w:bCs/>
                <w:sz w:val="16"/>
                <w:szCs w:val="16"/>
              </w:rPr>
              <w:t>26 966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CD0B5" w14:textId="58024E81" w:rsidR="002F2342" w:rsidRPr="00E11AFF" w:rsidRDefault="002F2342" w:rsidP="002F2342">
            <w:pPr>
              <w:spacing w:after="0" w:line="240" w:lineRule="auto"/>
              <w:jc w:val="center"/>
              <w:rPr>
                <w:rFonts w:ascii="Times New Roman" w:hAnsi="Times New Roman"/>
                <w:bCs/>
                <w:sz w:val="16"/>
                <w:szCs w:val="16"/>
              </w:rPr>
            </w:pPr>
            <w:r w:rsidRPr="00E11AFF">
              <w:rPr>
                <w:rFonts w:ascii="Times New Roman" w:hAnsi="Times New Roman" w:cs="Times New Roman"/>
                <w:bCs/>
                <w:sz w:val="16"/>
                <w:szCs w:val="16"/>
              </w:rPr>
              <w:t>26 966</w:t>
            </w:r>
          </w:p>
        </w:tc>
        <w:tc>
          <w:tcPr>
            <w:tcW w:w="709" w:type="dxa"/>
            <w:tcBorders>
              <w:top w:val="single" w:sz="4" w:space="0" w:color="auto"/>
              <w:left w:val="single" w:sz="4" w:space="0" w:color="auto"/>
              <w:bottom w:val="single" w:sz="4" w:space="0" w:color="auto"/>
              <w:right w:val="single" w:sz="4" w:space="0" w:color="auto"/>
            </w:tcBorders>
            <w:vAlign w:val="center"/>
          </w:tcPr>
          <w:p w14:paraId="216F846D" w14:textId="14D31802" w:rsidR="002F2342" w:rsidRPr="00E11AFF" w:rsidRDefault="004949BB" w:rsidP="002F2342">
            <w:pPr>
              <w:spacing w:after="0" w:line="240" w:lineRule="auto"/>
              <w:jc w:val="center"/>
              <w:rPr>
                <w:rFonts w:ascii="Times New Roman" w:hAnsi="Times New Roman"/>
                <w:bCs/>
                <w:sz w:val="16"/>
                <w:szCs w:val="16"/>
              </w:rPr>
            </w:pPr>
            <w:r w:rsidRPr="00E11AFF">
              <w:rPr>
                <w:rFonts w:ascii="Times New Roman" w:hAnsi="Times New Roman" w:cs="Times New Roman"/>
                <w:bCs/>
                <w:sz w:val="16"/>
                <w:szCs w:val="16"/>
              </w:rPr>
              <w:t>26 966</w:t>
            </w:r>
          </w:p>
        </w:tc>
        <w:tc>
          <w:tcPr>
            <w:tcW w:w="850" w:type="dxa"/>
            <w:tcBorders>
              <w:top w:val="single" w:sz="4" w:space="0" w:color="auto"/>
              <w:left w:val="single" w:sz="4" w:space="0" w:color="auto"/>
              <w:bottom w:val="single" w:sz="4" w:space="0" w:color="auto"/>
              <w:right w:val="single" w:sz="4" w:space="0" w:color="auto"/>
            </w:tcBorders>
            <w:vAlign w:val="center"/>
          </w:tcPr>
          <w:p w14:paraId="4E3806D0" w14:textId="3C30A4DE" w:rsidR="002F2342" w:rsidRPr="00E11AFF" w:rsidRDefault="00136C30" w:rsidP="002F2342">
            <w:pPr>
              <w:spacing w:after="0" w:line="240" w:lineRule="auto"/>
              <w:jc w:val="center"/>
              <w:rPr>
                <w:rFonts w:ascii="Times New Roman" w:hAnsi="Times New Roman"/>
                <w:bCs/>
                <w:sz w:val="16"/>
                <w:szCs w:val="16"/>
              </w:rPr>
            </w:pPr>
            <w:r>
              <w:rPr>
                <w:rFonts w:ascii="Times New Roman" w:hAnsi="Times New Roman"/>
                <w:bCs/>
                <w:sz w:val="16"/>
                <w:szCs w:val="16"/>
              </w:rPr>
              <w:t>32 796</w:t>
            </w:r>
          </w:p>
        </w:tc>
        <w:tc>
          <w:tcPr>
            <w:tcW w:w="709" w:type="dxa"/>
            <w:tcBorders>
              <w:top w:val="single" w:sz="4" w:space="0" w:color="auto"/>
              <w:left w:val="single" w:sz="4" w:space="0" w:color="auto"/>
              <w:bottom w:val="single" w:sz="4" w:space="0" w:color="auto"/>
              <w:right w:val="single" w:sz="4" w:space="0" w:color="auto"/>
            </w:tcBorders>
            <w:vAlign w:val="center"/>
          </w:tcPr>
          <w:p w14:paraId="566A42C3" w14:textId="64C24A8D" w:rsidR="002F2342" w:rsidRPr="00E11AFF" w:rsidRDefault="00136C30" w:rsidP="002F2342">
            <w:pPr>
              <w:spacing w:after="0" w:line="240" w:lineRule="auto"/>
              <w:jc w:val="center"/>
              <w:rPr>
                <w:rFonts w:ascii="Times New Roman" w:hAnsi="Times New Roman"/>
                <w:bCs/>
                <w:sz w:val="16"/>
                <w:szCs w:val="16"/>
              </w:rPr>
            </w:pPr>
            <w:r>
              <w:rPr>
                <w:rFonts w:ascii="Times New Roman" w:hAnsi="Times New Roman" w:cs="Times New Roman"/>
                <w:sz w:val="16"/>
                <w:szCs w:val="16"/>
              </w:rPr>
              <w:t>32 796</w:t>
            </w:r>
          </w:p>
        </w:tc>
      </w:tr>
      <w:tr w:rsidR="00E11AFF" w:rsidRPr="00261E67" w14:paraId="67B6773F" w14:textId="77777777" w:rsidTr="00725982">
        <w:trPr>
          <w:trHeight w:val="393"/>
          <w:jc w:val="center"/>
        </w:trPr>
        <w:tc>
          <w:tcPr>
            <w:tcW w:w="1980" w:type="dxa"/>
            <w:shd w:val="clear" w:color="auto" w:fill="FBD4B4"/>
            <w:noWrap/>
            <w:vAlign w:val="center"/>
            <w:hideMark/>
          </w:tcPr>
          <w:p w14:paraId="53448EF8" w14:textId="77777777" w:rsidR="002F2342" w:rsidRPr="000F746A" w:rsidRDefault="002F2342" w:rsidP="002F2342">
            <w:pPr>
              <w:spacing w:after="0" w:line="240" w:lineRule="auto"/>
              <w:jc w:val="center"/>
              <w:rPr>
                <w:rFonts w:ascii="Times New Roman" w:eastAsia="Times New Roman" w:hAnsi="Times New Roman"/>
                <w:sz w:val="16"/>
                <w:szCs w:val="16"/>
                <w:lang w:eastAsia="lv-LV"/>
              </w:rPr>
            </w:pPr>
            <w:r w:rsidRPr="000F746A">
              <w:rPr>
                <w:rFonts w:ascii="Times New Roman" w:eastAsia="Times New Roman" w:hAnsi="Times New Roman"/>
                <w:sz w:val="16"/>
                <w:szCs w:val="16"/>
                <w:lang w:eastAsia="lv-LV"/>
              </w:rPr>
              <w:t>Kopā</w:t>
            </w:r>
          </w:p>
        </w:tc>
        <w:tc>
          <w:tcPr>
            <w:tcW w:w="850" w:type="dxa"/>
            <w:shd w:val="clear" w:color="auto" w:fill="FBD4B4"/>
            <w:noWrap/>
            <w:vAlign w:val="center"/>
            <w:hideMark/>
          </w:tcPr>
          <w:p w14:paraId="082DA434" w14:textId="77777777" w:rsidR="002F2342" w:rsidRPr="000F746A" w:rsidRDefault="002F2342" w:rsidP="002F2342">
            <w:pPr>
              <w:spacing w:after="0" w:line="240" w:lineRule="auto"/>
              <w:jc w:val="center"/>
              <w:rPr>
                <w:rFonts w:ascii="Times New Roman" w:eastAsia="Times New Roman" w:hAnsi="Times New Roman"/>
                <w:sz w:val="16"/>
                <w:szCs w:val="16"/>
                <w:lang w:eastAsia="lv-LV"/>
              </w:rPr>
            </w:pPr>
          </w:p>
        </w:tc>
        <w:tc>
          <w:tcPr>
            <w:tcW w:w="1134" w:type="dxa"/>
            <w:shd w:val="clear" w:color="auto" w:fill="FBD4B4"/>
            <w:vAlign w:val="center"/>
          </w:tcPr>
          <w:p w14:paraId="5A0105C7" w14:textId="0252D9D5" w:rsidR="002F2342" w:rsidRPr="004949BB" w:rsidRDefault="002F2342" w:rsidP="002F2342">
            <w:pPr>
              <w:spacing w:after="0" w:line="240" w:lineRule="auto"/>
              <w:jc w:val="center"/>
              <w:rPr>
                <w:rFonts w:ascii="Times New Roman" w:hAnsi="Times New Roman"/>
                <w:b/>
                <w:sz w:val="16"/>
                <w:szCs w:val="16"/>
              </w:rPr>
            </w:pPr>
            <w:r w:rsidRPr="004949BB">
              <w:rPr>
                <w:rFonts w:ascii="Times New Roman" w:hAnsi="Times New Roman" w:cs="Times New Roman"/>
                <w:b/>
                <w:sz w:val="16"/>
                <w:szCs w:val="16"/>
              </w:rPr>
              <w:t>24 485 563</w:t>
            </w:r>
          </w:p>
        </w:tc>
        <w:tc>
          <w:tcPr>
            <w:tcW w:w="993" w:type="dxa"/>
            <w:shd w:val="clear" w:color="auto" w:fill="FBD4B4"/>
            <w:vAlign w:val="center"/>
          </w:tcPr>
          <w:p w14:paraId="7447878B" w14:textId="0D0C96E0" w:rsidR="002F2342" w:rsidRPr="004949BB" w:rsidRDefault="002F2342" w:rsidP="002F2342">
            <w:pPr>
              <w:spacing w:after="0" w:line="240" w:lineRule="auto"/>
              <w:jc w:val="center"/>
              <w:rPr>
                <w:rFonts w:ascii="Times New Roman" w:hAnsi="Times New Roman"/>
                <w:b/>
                <w:sz w:val="16"/>
                <w:szCs w:val="16"/>
              </w:rPr>
            </w:pPr>
            <w:r w:rsidRPr="004949BB">
              <w:rPr>
                <w:rFonts w:ascii="Times New Roman" w:hAnsi="Times New Roman" w:cs="Times New Roman"/>
                <w:b/>
                <w:sz w:val="16"/>
                <w:szCs w:val="16"/>
              </w:rPr>
              <w:t>24 485 563</w:t>
            </w:r>
          </w:p>
        </w:tc>
        <w:tc>
          <w:tcPr>
            <w:tcW w:w="992" w:type="dxa"/>
            <w:shd w:val="clear" w:color="auto" w:fill="FBD4B4"/>
            <w:vAlign w:val="center"/>
          </w:tcPr>
          <w:p w14:paraId="7727E10B" w14:textId="4DBC6AF8" w:rsidR="002F2342" w:rsidRPr="004949BB" w:rsidRDefault="002F2342" w:rsidP="002F2342">
            <w:pPr>
              <w:spacing w:after="0" w:line="240" w:lineRule="auto"/>
              <w:jc w:val="center"/>
              <w:rPr>
                <w:rFonts w:ascii="Times New Roman" w:hAnsi="Times New Roman"/>
                <w:b/>
                <w:sz w:val="16"/>
                <w:szCs w:val="16"/>
              </w:rPr>
            </w:pPr>
            <w:r w:rsidRPr="004949BB">
              <w:rPr>
                <w:rFonts w:ascii="Times New Roman" w:hAnsi="Times New Roman" w:cs="Times New Roman"/>
                <w:b/>
                <w:sz w:val="16"/>
                <w:szCs w:val="16"/>
              </w:rPr>
              <w:t>24 485 563</w:t>
            </w:r>
          </w:p>
        </w:tc>
        <w:tc>
          <w:tcPr>
            <w:tcW w:w="992" w:type="dxa"/>
            <w:shd w:val="clear" w:color="auto" w:fill="FBD4B4"/>
            <w:vAlign w:val="center"/>
          </w:tcPr>
          <w:p w14:paraId="4FF16572" w14:textId="49C02D51" w:rsidR="002F2342" w:rsidRPr="004949BB" w:rsidRDefault="004949BB" w:rsidP="004949BB">
            <w:pPr>
              <w:spacing w:after="0" w:line="240" w:lineRule="auto"/>
              <w:jc w:val="center"/>
              <w:rPr>
                <w:rFonts w:ascii="Times New Roman" w:hAnsi="Times New Roman"/>
                <w:b/>
                <w:sz w:val="16"/>
                <w:szCs w:val="16"/>
              </w:rPr>
            </w:pPr>
            <w:r w:rsidRPr="004949BB">
              <w:rPr>
                <w:rFonts w:ascii="Times New Roman" w:eastAsia="Times New Roman" w:hAnsi="Times New Roman" w:cs="Times New Roman"/>
                <w:b/>
                <w:color w:val="000000" w:themeColor="text1"/>
                <w:sz w:val="16"/>
                <w:szCs w:val="16"/>
                <w:lang w:eastAsia="lv-LV"/>
              </w:rPr>
              <w:t>4 138 795</w:t>
            </w:r>
          </w:p>
        </w:tc>
        <w:tc>
          <w:tcPr>
            <w:tcW w:w="992" w:type="dxa"/>
            <w:shd w:val="clear" w:color="auto" w:fill="FBD4B4"/>
            <w:vAlign w:val="center"/>
          </w:tcPr>
          <w:p w14:paraId="7ACDA964" w14:textId="54B1CFB0" w:rsidR="002F2342" w:rsidRPr="000F746A" w:rsidRDefault="002F2342" w:rsidP="002F2342">
            <w:pPr>
              <w:spacing w:after="0" w:line="240" w:lineRule="auto"/>
              <w:jc w:val="center"/>
              <w:rPr>
                <w:rFonts w:ascii="Times New Roman" w:hAnsi="Times New Roman"/>
                <w:sz w:val="16"/>
                <w:szCs w:val="16"/>
              </w:rPr>
            </w:pPr>
            <w:r>
              <w:rPr>
                <w:rFonts w:ascii="Times New Roman" w:eastAsia="Times New Roman" w:hAnsi="Times New Roman" w:cs="Times New Roman"/>
                <w:b/>
                <w:bCs/>
                <w:sz w:val="16"/>
                <w:szCs w:val="16"/>
                <w:lang w:eastAsia="lv-LV"/>
              </w:rPr>
              <w:t>12 709 164</w:t>
            </w:r>
          </w:p>
        </w:tc>
        <w:tc>
          <w:tcPr>
            <w:tcW w:w="993" w:type="dxa"/>
            <w:shd w:val="clear" w:color="auto" w:fill="FBD4B4"/>
            <w:noWrap/>
            <w:vAlign w:val="center"/>
            <w:hideMark/>
          </w:tcPr>
          <w:p w14:paraId="3EE85F82" w14:textId="4427298F" w:rsidR="002F2342" w:rsidRPr="00E11AFF" w:rsidRDefault="002F2342" w:rsidP="002F2342">
            <w:pPr>
              <w:spacing w:after="0" w:line="240" w:lineRule="auto"/>
              <w:jc w:val="center"/>
              <w:rPr>
                <w:rFonts w:ascii="Times New Roman" w:hAnsi="Times New Roman"/>
                <w:b/>
                <w:sz w:val="16"/>
                <w:szCs w:val="16"/>
              </w:rPr>
            </w:pPr>
            <w:r w:rsidRPr="00E11AFF">
              <w:rPr>
                <w:rFonts w:ascii="Times New Roman" w:hAnsi="Times New Roman" w:cs="Times New Roman"/>
                <w:b/>
                <w:sz w:val="16"/>
                <w:szCs w:val="16"/>
              </w:rPr>
              <w:t>13 719 490</w:t>
            </w:r>
          </w:p>
        </w:tc>
        <w:tc>
          <w:tcPr>
            <w:tcW w:w="850" w:type="dxa"/>
            <w:shd w:val="clear" w:color="auto" w:fill="FBD4B4"/>
            <w:vAlign w:val="center"/>
          </w:tcPr>
          <w:p w14:paraId="73A4D391" w14:textId="3FB8D82E" w:rsidR="002F2342" w:rsidRPr="004949BB" w:rsidRDefault="004949BB" w:rsidP="00E11AFF">
            <w:pPr>
              <w:spacing w:after="0" w:line="240" w:lineRule="auto"/>
              <w:jc w:val="center"/>
              <w:rPr>
                <w:rFonts w:ascii="Times New Roman" w:hAnsi="Times New Roman"/>
                <w:b/>
                <w:bCs/>
                <w:sz w:val="16"/>
                <w:szCs w:val="16"/>
              </w:rPr>
            </w:pPr>
            <w:r w:rsidRPr="004949BB">
              <w:rPr>
                <w:rFonts w:ascii="Times New Roman" w:hAnsi="Times New Roman" w:cs="Times New Roman"/>
                <w:b/>
                <w:bCs/>
                <w:sz w:val="16"/>
                <w:szCs w:val="16"/>
              </w:rPr>
              <w:t>22 472</w:t>
            </w:r>
          </w:p>
        </w:tc>
        <w:tc>
          <w:tcPr>
            <w:tcW w:w="851" w:type="dxa"/>
            <w:shd w:val="clear" w:color="auto" w:fill="FBD4B4"/>
            <w:vAlign w:val="center"/>
          </w:tcPr>
          <w:p w14:paraId="15555D9C" w14:textId="2D15CABF" w:rsidR="002F2342" w:rsidRPr="004949BB" w:rsidRDefault="002F2342" w:rsidP="00E11AFF">
            <w:pPr>
              <w:spacing w:after="0" w:line="240" w:lineRule="auto"/>
              <w:jc w:val="center"/>
              <w:rPr>
                <w:rFonts w:ascii="Times New Roman" w:hAnsi="Times New Roman"/>
                <w:b/>
                <w:bCs/>
                <w:sz w:val="16"/>
                <w:szCs w:val="16"/>
              </w:rPr>
            </w:pPr>
            <w:r w:rsidRPr="004949BB">
              <w:rPr>
                <w:rFonts w:ascii="Times New Roman" w:hAnsi="Times New Roman" w:cs="Times New Roman"/>
                <w:b/>
                <w:bCs/>
                <w:sz w:val="16"/>
                <w:szCs w:val="16"/>
              </w:rPr>
              <w:t>26 966</w:t>
            </w:r>
          </w:p>
        </w:tc>
        <w:tc>
          <w:tcPr>
            <w:tcW w:w="850" w:type="dxa"/>
            <w:shd w:val="clear" w:color="auto" w:fill="FBD4B4"/>
            <w:noWrap/>
            <w:vAlign w:val="center"/>
          </w:tcPr>
          <w:p w14:paraId="06F4EDEF" w14:textId="539F0EA3" w:rsidR="002F2342" w:rsidRPr="004949BB" w:rsidRDefault="002F2342" w:rsidP="00E11AFF">
            <w:pPr>
              <w:spacing w:after="0" w:line="240" w:lineRule="auto"/>
              <w:jc w:val="center"/>
              <w:rPr>
                <w:rFonts w:ascii="Times New Roman" w:hAnsi="Times New Roman"/>
                <w:b/>
                <w:bCs/>
                <w:sz w:val="16"/>
                <w:szCs w:val="16"/>
              </w:rPr>
            </w:pPr>
            <w:r w:rsidRPr="004949BB">
              <w:rPr>
                <w:rFonts w:ascii="Times New Roman" w:hAnsi="Times New Roman" w:cs="Times New Roman"/>
                <w:b/>
                <w:bCs/>
                <w:sz w:val="16"/>
                <w:szCs w:val="16"/>
              </w:rPr>
              <w:t>26 966</w:t>
            </w:r>
          </w:p>
        </w:tc>
        <w:tc>
          <w:tcPr>
            <w:tcW w:w="709" w:type="dxa"/>
            <w:shd w:val="clear" w:color="auto" w:fill="FBD4B4"/>
            <w:vAlign w:val="center"/>
          </w:tcPr>
          <w:p w14:paraId="7D58AF81" w14:textId="7726B5DA" w:rsidR="002F2342" w:rsidRPr="004949BB" w:rsidRDefault="004949BB" w:rsidP="004949BB">
            <w:pPr>
              <w:spacing w:after="0" w:line="240" w:lineRule="auto"/>
              <w:jc w:val="center"/>
              <w:rPr>
                <w:rFonts w:ascii="Times New Roman" w:hAnsi="Times New Roman"/>
                <w:b/>
                <w:bCs/>
                <w:sz w:val="16"/>
                <w:szCs w:val="16"/>
              </w:rPr>
            </w:pPr>
            <w:r w:rsidRPr="002F6582">
              <w:rPr>
                <w:rFonts w:ascii="Times New Roman" w:hAnsi="Times New Roman" w:cs="Times New Roman"/>
                <w:b/>
                <w:bCs/>
                <w:sz w:val="16"/>
                <w:szCs w:val="16"/>
              </w:rPr>
              <w:t>26 966</w:t>
            </w:r>
          </w:p>
        </w:tc>
        <w:tc>
          <w:tcPr>
            <w:tcW w:w="850" w:type="dxa"/>
            <w:shd w:val="clear" w:color="auto" w:fill="FBD4B4"/>
            <w:vAlign w:val="center"/>
          </w:tcPr>
          <w:p w14:paraId="4E51E538" w14:textId="3C459A5D" w:rsidR="002F2342" w:rsidRPr="004949BB" w:rsidRDefault="00A2263F" w:rsidP="004949BB">
            <w:pPr>
              <w:spacing w:after="0" w:line="240" w:lineRule="auto"/>
              <w:jc w:val="center"/>
              <w:rPr>
                <w:rFonts w:ascii="Times New Roman" w:hAnsi="Times New Roman"/>
                <w:b/>
                <w:bCs/>
                <w:sz w:val="16"/>
                <w:szCs w:val="16"/>
              </w:rPr>
            </w:pPr>
            <w:r w:rsidRPr="004949BB">
              <w:rPr>
                <w:rFonts w:ascii="Times New Roman" w:hAnsi="Times New Roman"/>
                <w:b/>
                <w:bCs/>
                <w:sz w:val="16"/>
                <w:szCs w:val="16"/>
              </w:rPr>
              <w:t xml:space="preserve">33 </w:t>
            </w:r>
            <w:r w:rsidR="00136C30">
              <w:rPr>
                <w:rFonts w:ascii="Times New Roman" w:hAnsi="Times New Roman"/>
                <w:b/>
                <w:bCs/>
                <w:sz w:val="16"/>
                <w:szCs w:val="16"/>
              </w:rPr>
              <w:t>096</w:t>
            </w:r>
          </w:p>
        </w:tc>
        <w:tc>
          <w:tcPr>
            <w:tcW w:w="709" w:type="dxa"/>
            <w:shd w:val="clear" w:color="auto" w:fill="FBD4B4"/>
            <w:vAlign w:val="center"/>
          </w:tcPr>
          <w:p w14:paraId="36D36AD6" w14:textId="3DEB8C1F" w:rsidR="002F2342" w:rsidRPr="000F746A" w:rsidRDefault="00136C30" w:rsidP="00E11AFF">
            <w:pPr>
              <w:spacing w:after="0" w:line="240" w:lineRule="auto"/>
              <w:jc w:val="center"/>
              <w:rPr>
                <w:rFonts w:ascii="Times New Roman" w:hAnsi="Times New Roman"/>
                <w:b/>
                <w:bCs/>
                <w:sz w:val="16"/>
                <w:szCs w:val="16"/>
              </w:rPr>
            </w:pPr>
            <w:r>
              <w:rPr>
                <w:rFonts w:ascii="Times New Roman" w:hAnsi="Times New Roman" w:cs="Times New Roman"/>
                <w:b/>
                <w:bCs/>
                <w:sz w:val="16"/>
                <w:szCs w:val="16"/>
              </w:rPr>
              <w:t>33 126</w:t>
            </w:r>
          </w:p>
        </w:tc>
      </w:tr>
    </w:tbl>
    <w:p w14:paraId="6E3D3CF5" w14:textId="77777777" w:rsidR="009D7892" w:rsidRPr="00C86312" w:rsidRDefault="009D7892" w:rsidP="007102D1">
      <w:pPr>
        <w:spacing w:after="120" w:line="240" w:lineRule="auto"/>
        <w:ind w:firstLine="709"/>
        <w:jc w:val="center"/>
        <w:rPr>
          <w:rFonts w:ascii="Times New Roman" w:hAnsi="Times New Roman" w:cs="Times New Roman"/>
          <w:b/>
          <w:bCs/>
          <w:sz w:val="24"/>
          <w:szCs w:val="24"/>
        </w:rPr>
      </w:pPr>
    </w:p>
    <w:p w14:paraId="4BF407AE" w14:textId="77777777" w:rsidR="009D7892" w:rsidRDefault="009D7892" w:rsidP="007102D1">
      <w:pPr>
        <w:spacing w:after="0" w:line="240" w:lineRule="auto"/>
        <w:ind w:firstLine="720"/>
        <w:jc w:val="both"/>
        <w:rPr>
          <w:rFonts w:ascii="Times New Roman" w:hAnsi="Times New Roman" w:cs="Times New Roman"/>
          <w:sz w:val="24"/>
          <w:szCs w:val="24"/>
          <w:lang w:eastAsia="lv-LV"/>
        </w:rPr>
        <w:sectPr w:rsidR="009D7892" w:rsidSect="00333B64">
          <w:pgSz w:w="15840" w:h="12240" w:orient="landscape"/>
          <w:pgMar w:top="1701" w:right="1440" w:bottom="1440" w:left="1440" w:header="709" w:footer="709" w:gutter="0"/>
          <w:cols w:space="708"/>
          <w:docGrid w:linePitch="360"/>
        </w:sectPr>
      </w:pPr>
    </w:p>
    <w:p w14:paraId="303CE1BB" w14:textId="04910EDE" w:rsidR="007102D1" w:rsidRDefault="007102D1" w:rsidP="007102D1">
      <w:pPr>
        <w:spacing w:after="0" w:line="240" w:lineRule="auto"/>
        <w:ind w:firstLine="720"/>
        <w:jc w:val="both"/>
        <w:rPr>
          <w:rFonts w:ascii="Times New Roman" w:hAnsi="Times New Roman" w:cs="Times New Roman"/>
          <w:sz w:val="24"/>
          <w:szCs w:val="24"/>
          <w:lang w:eastAsia="lv-LV"/>
        </w:rPr>
      </w:pPr>
    </w:p>
    <w:p w14:paraId="3147AFF4" w14:textId="171ED80B" w:rsidR="007102D1" w:rsidRDefault="007102D1" w:rsidP="007102D1">
      <w:pPr>
        <w:spacing w:after="120"/>
        <w:ind w:firstLine="720"/>
        <w:jc w:val="both"/>
        <w:rPr>
          <w:rFonts w:ascii="Times New Roman" w:hAnsi="Times New Roman" w:cs="Times New Roman"/>
          <w:sz w:val="24"/>
          <w:szCs w:val="24"/>
          <w:lang w:eastAsia="lv-LV"/>
        </w:rPr>
      </w:pPr>
      <w:r w:rsidRPr="007B6189">
        <w:rPr>
          <w:rFonts w:ascii="Times New Roman" w:hAnsi="Times New Roman" w:cs="Times New Roman"/>
          <w:sz w:val="24"/>
          <w:szCs w:val="24"/>
          <w:lang w:eastAsia="lv-LV"/>
        </w:rPr>
        <w:t xml:space="preserve">Medikamentu pieejamības uzlabošana ir viena no onkoloģijas jomas reformu sastāvdaļām, kas skatāmas kopumā. Kopā ar 2017. un 2018.gadā uzsākto reformu onkoloģijas “Zaļā koridora” ieviešanā un ārstniecības pieejamības nodrošināšanai medikamenti tiks nodrošināti iepriekšējos divos gados terapiju uzsākušajiem “Zaļā koridora” </w:t>
      </w:r>
      <w:r w:rsidR="00DE2A07">
        <w:rPr>
          <w:rFonts w:ascii="Times New Roman" w:hAnsi="Times New Roman" w:cs="Times New Roman"/>
          <w:sz w:val="24"/>
          <w:szCs w:val="24"/>
          <w:lang w:eastAsia="lv-LV"/>
        </w:rPr>
        <w:t>5 830</w:t>
      </w:r>
      <w:r w:rsidRPr="007B6189">
        <w:rPr>
          <w:rFonts w:ascii="Times New Roman" w:hAnsi="Times New Roman" w:cs="Times New Roman"/>
          <w:sz w:val="24"/>
          <w:szCs w:val="24"/>
          <w:lang w:eastAsia="lv-LV"/>
        </w:rPr>
        <w:t xml:space="preserve"> pacientiem</w:t>
      </w:r>
      <w:r>
        <w:rPr>
          <w:rFonts w:ascii="Times New Roman" w:hAnsi="Times New Roman" w:cs="Times New Roman"/>
          <w:sz w:val="24"/>
          <w:szCs w:val="24"/>
          <w:lang w:eastAsia="lv-LV"/>
        </w:rPr>
        <w:t xml:space="preserve">, kā arī </w:t>
      </w:r>
      <w:r w:rsidRPr="007B6189">
        <w:rPr>
          <w:rFonts w:ascii="Times New Roman" w:hAnsi="Times New Roman" w:cs="Times New Roman"/>
          <w:sz w:val="24"/>
          <w:szCs w:val="24"/>
          <w:lang w:eastAsia="lv-LV"/>
        </w:rPr>
        <w:t>tiks nodrošināta inovatīvo medikamentu terapijas turpināšana 300 pacientiem</w:t>
      </w:r>
      <w:r>
        <w:rPr>
          <w:rFonts w:ascii="Times New Roman" w:hAnsi="Times New Roman" w:cs="Times New Roman"/>
          <w:sz w:val="24"/>
          <w:szCs w:val="24"/>
          <w:lang w:eastAsia="lv-LV"/>
        </w:rPr>
        <w:t>, kā arī 30 jaunajiem pacientiem</w:t>
      </w:r>
      <w:r w:rsidRPr="007B6189">
        <w:rPr>
          <w:rFonts w:ascii="Times New Roman" w:hAnsi="Times New Roman" w:cs="Times New Roman"/>
          <w:sz w:val="24"/>
          <w:szCs w:val="24"/>
          <w:lang w:eastAsia="lv-LV"/>
        </w:rPr>
        <w:t>. Līdz ar to reforma tiks turpināta 2019.gadā saglabājot terapiju tiem pacientiem, kuri to uzsākuši no reformas sākuma</w:t>
      </w:r>
      <w:r>
        <w:rPr>
          <w:rFonts w:ascii="Times New Roman" w:hAnsi="Times New Roman" w:cs="Times New Roman"/>
          <w:sz w:val="24"/>
          <w:szCs w:val="24"/>
          <w:lang w:eastAsia="lv-LV"/>
        </w:rPr>
        <w:t xml:space="preserve"> un papildus </w:t>
      </w:r>
      <w:r w:rsidR="00224A1B">
        <w:rPr>
          <w:rFonts w:ascii="Times New Roman" w:hAnsi="Times New Roman" w:cs="Times New Roman"/>
          <w:sz w:val="24"/>
          <w:szCs w:val="24"/>
          <w:lang w:eastAsia="lv-LV"/>
        </w:rPr>
        <w:t>30</w:t>
      </w:r>
      <w:r>
        <w:rPr>
          <w:rFonts w:ascii="Times New Roman" w:hAnsi="Times New Roman" w:cs="Times New Roman"/>
          <w:sz w:val="24"/>
          <w:szCs w:val="24"/>
          <w:lang w:eastAsia="lv-LV"/>
        </w:rPr>
        <w:t xml:space="preserve"> jauniem pacientiem.</w:t>
      </w:r>
    </w:p>
    <w:p w14:paraId="0FF8AFCA" w14:textId="77777777" w:rsidR="001C11A4" w:rsidRPr="00847710" w:rsidRDefault="001C11A4" w:rsidP="00A87A7C">
      <w:pPr>
        <w:spacing w:after="0" w:line="240" w:lineRule="auto"/>
        <w:ind w:firstLine="709"/>
        <w:jc w:val="both"/>
        <w:rPr>
          <w:rFonts w:ascii="Times New Roman" w:hAnsi="Times New Roman" w:cs="Times New Roman"/>
          <w:sz w:val="24"/>
          <w:szCs w:val="24"/>
          <w:lang w:eastAsia="lv-LV"/>
        </w:rPr>
      </w:pPr>
    </w:p>
    <w:p w14:paraId="60AF60FC" w14:textId="4C4A52B1" w:rsidR="004A2DA4" w:rsidRDefault="0071331A" w:rsidP="00A87A7C">
      <w:pPr>
        <w:pStyle w:val="Heading2"/>
        <w:spacing w:before="0" w:line="240" w:lineRule="auto"/>
        <w:ind w:firstLine="7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sidR="007102D1">
        <w:rPr>
          <w:rFonts w:ascii="Times New Roman" w:hAnsi="Times New Roman" w:cs="Times New Roman"/>
          <w:b/>
          <w:bCs/>
          <w:color w:val="auto"/>
          <w:sz w:val="24"/>
          <w:szCs w:val="24"/>
          <w:u w:val="single"/>
        </w:rPr>
        <w:t>3</w:t>
      </w:r>
      <w:r w:rsidRPr="0012317D">
        <w:rPr>
          <w:rFonts w:ascii="Times New Roman" w:hAnsi="Times New Roman" w:cs="Times New Roman"/>
          <w:b/>
          <w:bCs/>
          <w:color w:val="auto"/>
          <w:sz w:val="24"/>
          <w:szCs w:val="24"/>
          <w:u w:val="single"/>
        </w:rPr>
        <w:t>.</w:t>
      </w:r>
      <w:r w:rsidR="00CB0EB0" w:rsidRPr="0012317D">
        <w:rPr>
          <w:rFonts w:ascii="Times New Roman" w:hAnsi="Times New Roman" w:cs="Times New Roman"/>
          <w:b/>
          <w:bCs/>
          <w:color w:val="auto"/>
          <w:sz w:val="24"/>
          <w:szCs w:val="24"/>
          <w:u w:val="single"/>
        </w:rPr>
        <w:t xml:space="preserve"> </w:t>
      </w:r>
      <w:r w:rsidR="00351165">
        <w:rPr>
          <w:rFonts w:ascii="Times New Roman" w:hAnsi="Times New Roman" w:cs="Times New Roman"/>
          <w:b/>
          <w:bCs/>
          <w:color w:val="auto"/>
          <w:sz w:val="24"/>
          <w:szCs w:val="24"/>
          <w:u w:val="single"/>
        </w:rPr>
        <w:t xml:space="preserve">Jaunā reformas iniciatīva 2019.gadā - </w:t>
      </w:r>
      <w:r w:rsidR="000650B8">
        <w:rPr>
          <w:rFonts w:ascii="Times New Roman" w:hAnsi="Times New Roman" w:cs="Times New Roman"/>
          <w:b/>
          <w:bCs/>
          <w:color w:val="auto"/>
          <w:sz w:val="24"/>
          <w:szCs w:val="24"/>
          <w:u w:val="single"/>
        </w:rPr>
        <w:t>Psihoemocionālā atbalsta dienas centrs “</w:t>
      </w:r>
      <w:r w:rsidR="004A2DA4">
        <w:rPr>
          <w:rFonts w:ascii="Times New Roman" w:hAnsi="Times New Roman" w:cs="Times New Roman"/>
          <w:b/>
          <w:bCs/>
          <w:color w:val="auto"/>
          <w:sz w:val="24"/>
          <w:szCs w:val="24"/>
          <w:u w:val="single"/>
        </w:rPr>
        <w:t>Spēka avots</w:t>
      </w:r>
      <w:r w:rsidR="000650B8">
        <w:rPr>
          <w:rFonts w:ascii="Times New Roman" w:hAnsi="Times New Roman" w:cs="Times New Roman"/>
          <w:b/>
          <w:bCs/>
          <w:color w:val="auto"/>
          <w:sz w:val="24"/>
          <w:szCs w:val="24"/>
          <w:u w:val="single"/>
        </w:rPr>
        <w:t>”</w:t>
      </w:r>
    </w:p>
    <w:p w14:paraId="1F748C18" w14:textId="77777777" w:rsidR="00F62D1D" w:rsidRDefault="00F62D1D" w:rsidP="00A4683F">
      <w:pPr>
        <w:spacing w:after="120"/>
        <w:ind w:firstLine="720"/>
        <w:jc w:val="both"/>
        <w:outlineLvl w:val="0"/>
        <w:rPr>
          <w:rFonts w:ascii="Times New Roman" w:hAnsi="Times New Roman" w:cs="Times New Roman"/>
          <w:bCs/>
          <w:sz w:val="24"/>
          <w:szCs w:val="24"/>
        </w:rPr>
      </w:pPr>
    </w:p>
    <w:p w14:paraId="3AFA4D06" w14:textId="33FC8555" w:rsidR="000650B8" w:rsidRPr="00133D9D" w:rsidRDefault="000650B8" w:rsidP="00133D9D">
      <w:pPr>
        <w:spacing w:after="120"/>
        <w:ind w:firstLine="720"/>
        <w:jc w:val="both"/>
        <w:outlineLvl w:val="0"/>
        <w:rPr>
          <w:rFonts w:ascii="Times New Roman" w:hAnsi="Times New Roman" w:cs="Times New Roman"/>
          <w:sz w:val="24"/>
          <w:szCs w:val="24"/>
        </w:rPr>
      </w:pPr>
      <w:r w:rsidRPr="00E12849">
        <w:rPr>
          <w:rFonts w:ascii="Times New Roman" w:hAnsi="Times New Roman" w:cs="Times New Roman"/>
          <w:sz w:val="24"/>
          <w:szCs w:val="24"/>
        </w:rPr>
        <w:t>2017.gadā Latvijā uzskaitē 77</w:t>
      </w:r>
      <w:r w:rsidR="00FB4CAD" w:rsidRPr="00E12849">
        <w:rPr>
          <w:rFonts w:ascii="Times New Roman" w:hAnsi="Times New Roman" w:cs="Times New Roman"/>
          <w:sz w:val="24"/>
          <w:szCs w:val="24"/>
        </w:rPr>
        <w:t> </w:t>
      </w:r>
      <w:r w:rsidRPr="00B82336">
        <w:rPr>
          <w:rFonts w:ascii="Times New Roman" w:hAnsi="Times New Roman" w:cs="Times New Roman"/>
          <w:sz w:val="24"/>
          <w:szCs w:val="24"/>
        </w:rPr>
        <w:t>341</w:t>
      </w:r>
      <w:r w:rsidR="00FB4CAD" w:rsidRPr="00FE3110">
        <w:rPr>
          <w:rFonts w:ascii="Times New Roman" w:hAnsi="Times New Roman" w:cs="Times New Roman"/>
          <w:sz w:val="24"/>
          <w:szCs w:val="24"/>
        </w:rPr>
        <w:t xml:space="preserve"> </w:t>
      </w:r>
      <w:r w:rsidRPr="00FE3110">
        <w:rPr>
          <w:rFonts w:ascii="Times New Roman" w:hAnsi="Times New Roman" w:cs="Times New Roman"/>
          <w:sz w:val="24"/>
          <w:szCs w:val="24"/>
        </w:rPr>
        <w:t xml:space="preserve">onkoloģiskais pacients, </w:t>
      </w:r>
      <w:r w:rsidR="00D120BE" w:rsidRPr="00FE3110">
        <w:rPr>
          <w:rFonts w:ascii="Times New Roman" w:hAnsi="Times New Roman" w:cs="Times New Roman"/>
          <w:sz w:val="24"/>
          <w:szCs w:val="24"/>
        </w:rPr>
        <w:t xml:space="preserve"> no tiem no </w:t>
      </w:r>
      <w:r w:rsidRPr="00FE3110">
        <w:rPr>
          <w:rFonts w:ascii="Times New Roman" w:hAnsi="Times New Roman" w:cs="Times New Roman"/>
          <w:sz w:val="24"/>
          <w:szCs w:val="24"/>
        </w:rPr>
        <w:t>jauna reģistrēto gadījumu skaits 2017.gadā bija 11</w:t>
      </w:r>
      <w:r w:rsidR="00CB01C1" w:rsidRPr="00FE3110">
        <w:rPr>
          <w:rFonts w:ascii="Times New Roman" w:hAnsi="Times New Roman" w:cs="Times New Roman"/>
          <w:sz w:val="24"/>
          <w:szCs w:val="24"/>
        </w:rPr>
        <w:t> </w:t>
      </w:r>
      <w:r w:rsidRPr="00FE3110">
        <w:rPr>
          <w:rFonts w:ascii="Times New Roman" w:hAnsi="Times New Roman" w:cs="Times New Roman"/>
          <w:sz w:val="24"/>
          <w:szCs w:val="24"/>
        </w:rPr>
        <w:t>762</w:t>
      </w:r>
      <w:r w:rsidRPr="00E12849">
        <w:rPr>
          <w:rStyle w:val="FootnoteReference"/>
          <w:rFonts w:ascii="Times New Roman" w:hAnsi="Times New Roman" w:cs="Times New Roman"/>
          <w:sz w:val="24"/>
          <w:szCs w:val="24"/>
        </w:rPr>
        <w:footnoteReference w:id="20"/>
      </w:r>
      <w:r w:rsidRPr="00E12849">
        <w:rPr>
          <w:rFonts w:ascii="Times New Roman" w:hAnsi="Times New Roman" w:cs="Times New Roman"/>
          <w:sz w:val="24"/>
          <w:szCs w:val="24"/>
        </w:rPr>
        <w:t xml:space="preserve">.  Onkoloģiskās slimības Latvijā tiek diagnosticētas un ārstētas universitātes klīnikās: </w:t>
      </w:r>
      <w:r w:rsidR="0096308C" w:rsidRPr="00E12849">
        <w:rPr>
          <w:rFonts w:ascii="Times New Roman" w:hAnsi="Times New Roman" w:cs="Times New Roman"/>
          <w:sz w:val="24"/>
          <w:szCs w:val="24"/>
        </w:rPr>
        <w:t>SIA “</w:t>
      </w:r>
      <w:r w:rsidRPr="00E12849">
        <w:rPr>
          <w:rFonts w:ascii="Times New Roman" w:hAnsi="Times New Roman" w:cs="Times New Roman"/>
          <w:sz w:val="24"/>
          <w:szCs w:val="24"/>
        </w:rPr>
        <w:t>Rīgas Austrumu klīniskā universitātes slimnīca</w:t>
      </w:r>
      <w:r w:rsidR="0096308C" w:rsidRPr="00B82336">
        <w:rPr>
          <w:rFonts w:ascii="Times New Roman" w:hAnsi="Times New Roman" w:cs="Times New Roman"/>
          <w:sz w:val="24"/>
          <w:szCs w:val="24"/>
        </w:rPr>
        <w:t>”</w:t>
      </w:r>
      <w:r w:rsidRPr="00FE3110">
        <w:rPr>
          <w:rFonts w:ascii="Times New Roman" w:hAnsi="Times New Roman" w:cs="Times New Roman"/>
          <w:sz w:val="24"/>
          <w:szCs w:val="24"/>
        </w:rPr>
        <w:t xml:space="preserve"> </w:t>
      </w:r>
      <w:r w:rsidRPr="00E12849">
        <w:rPr>
          <w:rFonts w:ascii="Times New Roman" w:hAnsi="Times New Roman" w:cs="Times New Roman"/>
          <w:sz w:val="24"/>
          <w:szCs w:val="24"/>
        </w:rPr>
        <w:t xml:space="preserve">un </w:t>
      </w:r>
      <w:r w:rsidR="00AB7A47">
        <w:rPr>
          <w:rFonts w:ascii="Times New Roman" w:hAnsi="Times New Roman" w:cs="Times New Roman"/>
          <w:sz w:val="24"/>
          <w:szCs w:val="24"/>
        </w:rPr>
        <w:t>VSIA </w:t>
      </w:r>
      <w:r w:rsidR="0096308C" w:rsidRPr="00E12849">
        <w:rPr>
          <w:rFonts w:ascii="Times New Roman" w:hAnsi="Times New Roman" w:cs="Times New Roman"/>
          <w:sz w:val="24"/>
          <w:szCs w:val="24"/>
        </w:rPr>
        <w:t>“</w:t>
      </w:r>
      <w:r w:rsidRPr="00E12849">
        <w:rPr>
          <w:rFonts w:ascii="Times New Roman" w:hAnsi="Times New Roman" w:cs="Times New Roman"/>
          <w:sz w:val="24"/>
          <w:szCs w:val="24"/>
        </w:rPr>
        <w:t>Paula Stradiņa klīniskā universitātes slimnīca</w:t>
      </w:r>
      <w:r w:rsidR="0096308C" w:rsidRPr="00B82336">
        <w:rPr>
          <w:rFonts w:ascii="Times New Roman" w:hAnsi="Times New Roman" w:cs="Times New Roman"/>
          <w:sz w:val="24"/>
          <w:szCs w:val="24"/>
        </w:rPr>
        <w:t>”</w:t>
      </w:r>
      <w:r w:rsidRPr="00E12849">
        <w:rPr>
          <w:rFonts w:ascii="Times New Roman" w:hAnsi="Times New Roman" w:cs="Times New Roman"/>
          <w:sz w:val="24"/>
          <w:szCs w:val="24"/>
        </w:rPr>
        <w:t xml:space="preserve">; reģionālajās slimnīcās: </w:t>
      </w:r>
      <w:r w:rsidR="0096308C" w:rsidRPr="00E12849">
        <w:rPr>
          <w:rFonts w:ascii="Times New Roman" w:hAnsi="Times New Roman" w:cs="Times New Roman"/>
          <w:sz w:val="24"/>
          <w:szCs w:val="24"/>
        </w:rPr>
        <w:t>SIA “</w:t>
      </w:r>
      <w:r w:rsidRPr="00E12849">
        <w:rPr>
          <w:rFonts w:ascii="Times New Roman" w:hAnsi="Times New Roman" w:cs="Times New Roman"/>
          <w:sz w:val="24"/>
          <w:szCs w:val="24"/>
        </w:rPr>
        <w:t>Daugavpils reģionālā slimnīc</w:t>
      </w:r>
      <w:r w:rsidR="0096308C" w:rsidRPr="00B82336">
        <w:rPr>
          <w:rFonts w:ascii="Times New Roman" w:hAnsi="Times New Roman" w:cs="Times New Roman"/>
          <w:sz w:val="24"/>
          <w:szCs w:val="24"/>
        </w:rPr>
        <w:t>a”</w:t>
      </w:r>
      <w:r w:rsidRPr="00E12849">
        <w:rPr>
          <w:rFonts w:ascii="Times New Roman" w:hAnsi="Times New Roman" w:cs="Times New Roman"/>
          <w:sz w:val="24"/>
          <w:szCs w:val="24"/>
        </w:rPr>
        <w:t xml:space="preserve"> un </w:t>
      </w:r>
      <w:r w:rsidR="0096308C" w:rsidRPr="00E12849">
        <w:rPr>
          <w:rFonts w:ascii="Times New Roman" w:hAnsi="Times New Roman" w:cs="Times New Roman"/>
          <w:sz w:val="24"/>
          <w:szCs w:val="24"/>
        </w:rPr>
        <w:t>SIA “</w:t>
      </w:r>
      <w:r w:rsidRPr="00E12849">
        <w:rPr>
          <w:rFonts w:ascii="Times New Roman" w:hAnsi="Times New Roman" w:cs="Times New Roman"/>
          <w:sz w:val="24"/>
          <w:szCs w:val="24"/>
        </w:rPr>
        <w:t>Liepājas reģionālajā slimnīc</w:t>
      </w:r>
      <w:r w:rsidR="0096308C" w:rsidRPr="00B82336">
        <w:rPr>
          <w:rFonts w:ascii="Times New Roman" w:hAnsi="Times New Roman" w:cs="Times New Roman"/>
          <w:sz w:val="24"/>
          <w:szCs w:val="24"/>
        </w:rPr>
        <w:t>a”</w:t>
      </w:r>
      <w:r w:rsidRPr="00E12849">
        <w:rPr>
          <w:rFonts w:ascii="Times New Roman" w:hAnsi="Times New Roman" w:cs="Times New Roman"/>
          <w:sz w:val="24"/>
          <w:szCs w:val="24"/>
        </w:rPr>
        <w:t xml:space="preserve">. Nenoliedzami lielākā onkoloģisko pacientu plūsma ir </w:t>
      </w:r>
      <w:r w:rsidR="009023F0" w:rsidRPr="00E12849">
        <w:rPr>
          <w:rFonts w:ascii="Times New Roman" w:hAnsi="Times New Roman" w:cs="Times New Roman"/>
          <w:sz w:val="24"/>
          <w:szCs w:val="24"/>
        </w:rPr>
        <w:t>SIA “</w:t>
      </w:r>
      <w:r w:rsidRPr="00E12849">
        <w:rPr>
          <w:rFonts w:ascii="Times New Roman" w:hAnsi="Times New Roman" w:cs="Times New Roman"/>
          <w:sz w:val="24"/>
          <w:szCs w:val="24"/>
        </w:rPr>
        <w:t>Rīgas Austrumu klīnisk</w:t>
      </w:r>
      <w:r w:rsidRPr="00B82336">
        <w:rPr>
          <w:rFonts w:ascii="Times New Roman" w:hAnsi="Times New Roman" w:cs="Times New Roman"/>
          <w:sz w:val="24"/>
          <w:szCs w:val="24"/>
        </w:rPr>
        <w:t>ā universitātes slimnīcas</w:t>
      </w:r>
      <w:r w:rsidR="009023F0" w:rsidRPr="00FE3110">
        <w:rPr>
          <w:rFonts w:ascii="Times New Roman" w:hAnsi="Times New Roman" w:cs="Times New Roman"/>
          <w:sz w:val="24"/>
          <w:szCs w:val="24"/>
        </w:rPr>
        <w:t>”</w:t>
      </w:r>
      <w:r w:rsidRPr="00FE3110">
        <w:rPr>
          <w:rFonts w:ascii="Times New Roman" w:hAnsi="Times New Roman" w:cs="Times New Roman"/>
          <w:sz w:val="24"/>
          <w:szCs w:val="24"/>
        </w:rPr>
        <w:t xml:space="preserve"> Latvijas Onkoloģijas centrā (LOC), kurā ik gadu ārstējas apmēram 80 % no visiem onkoloģiskajiem pacientiem.</w:t>
      </w:r>
    </w:p>
    <w:p w14:paraId="06BABD2E" w14:textId="1B6233F1" w:rsidR="000650B8" w:rsidRPr="00BD1903" w:rsidRDefault="000650B8" w:rsidP="00BD1903">
      <w:pPr>
        <w:spacing w:after="120"/>
        <w:ind w:firstLine="720"/>
        <w:jc w:val="both"/>
        <w:outlineLvl w:val="0"/>
        <w:rPr>
          <w:rFonts w:ascii="Times New Roman" w:hAnsi="Times New Roman" w:cs="Times New Roman"/>
          <w:bCs/>
          <w:sz w:val="24"/>
          <w:szCs w:val="24"/>
        </w:rPr>
      </w:pPr>
      <w:r w:rsidRPr="00B15C1D">
        <w:rPr>
          <w:rFonts w:ascii="Times New Roman" w:hAnsi="Times New Roman" w:cs="Times New Roman"/>
          <w:bCs/>
          <w:sz w:val="24"/>
          <w:szCs w:val="24"/>
        </w:rPr>
        <w:t>Onkoloģiskās slim</w:t>
      </w:r>
      <w:r w:rsidR="00AB7A47">
        <w:rPr>
          <w:rFonts w:ascii="Times New Roman" w:hAnsi="Times New Roman" w:cs="Times New Roman"/>
          <w:bCs/>
          <w:sz w:val="24"/>
          <w:szCs w:val="24"/>
        </w:rPr>
        <w:t>ības joprojām ir stigmatizētas.</w:t>
      </w:r>
      <w:r w:rsidRPr="00B15C1D">
        <w:rPr>
          <w:rFonts w:ascii="Times New Roman" w:hAnsi="Times New Roman" w:cs="Times New Roman"/>
          <w:bCs/>
          <w:sz w:val="24"/>
          <w:szCs w:val="24"/>
        </w:rPr>
        <w:t xml:space="preserve"> Uzzinot onkoloģisku diagnozi, pacients pārdzīvo šoku, piedzīvo stresu, kas bieži kļūst par distresu, jo cilvēks saskaras ar lielām bailēm par savu dzīvību un nākotni. Aizvien biežāk, runājot par onkoloģiski slimību, tiek runāts par tās psihosomatisko raksturu par to, ka nepieciešams nodrošināt psihosociālu atbalstu pacientam un viņa ģimenes locekļiem no brīža, kad uzstādīta diagnoze, ārstēšanās procesa laikā, kā arī tad, kad akūtā ārstēšana pabeigta.</w:t>
      </w:r>
      <w:r w:rsidRPr="00B15C1D">
        <w:rPr>
          <w:rFonts w:ascii="Times New Roman" w:hAnsi="Times New Roman" w:cs="Times New Roman"/>
          <w:sz w:val="24"/>
          <w:szCs w:val="24"/>
        </w:rPr>
        <w:t xml:space="preserve"> Tāpēc aizvien biežāk tiek uzsvērts, ka </w:t>
      </w:r>
      <w:r w:rsidRPr="00B15C1D">
        <w:rPr>
          <w:rFonts w:ascii="Times New Roman" w:hAnsi="Times New Roman" w:cs="Times New Roman"/>
          <w:bCs/>
          <w:sz w:val="24"/>
          <w:szCs w:val="24"/>
        </w:rPr>
        <w:t>onkoloģiskās aprūpes kvalitātes nodrošināšanā ir svarīgi nodrošināt multidisciplināru un multiprofesionālu pieeju, kas sevī iekļauj arī rehabilitāciju, psihosociālo rehabilitāciju un atbalstu, kas pacientam svarīgs no diagnozes uzzināšanas brīža līdz ārstēšanās procesa beigām, kā arī  pēc tam, kad aktīvā ārstēšana pabeigta.</w:t>
      </w:r>
      <w:r>
        <w:rPr>
          <w:rFonts w:ascii="Times New Roman" w:hAnsi="Times New Roman" w:cs="Times New Roman"/>
          <w:bCs/>
          <w:sz w:val="24"/>
          <w:szCs w:val="24"/>
        </w:rPr>
        <w:t xml:space="preserve"> </w:t>
      </w:r>
      <w:r w:rsidRPr="00B15C1D">
        <w:rPr>
          <w:rFonts w:ascii="Times New Roman" w:hAnsi="Times New Roman" w:cs="Times New Roman"/>
          <w:bCs/>
          <w:sz w:val="24"/>
          <w:szCs w:val="24"/>
        </w:rPr>
        <w:t xml:space="preserve">Kopš 2018.gada ieviesta onkoloģisko pacientu psihosociālā rehabilitācija kā valsts pakalpojumus, ko īsteno Onkoloģisko pacientu atbalsta biedrība „Dzīvības koks”, tomēr pietrūkst psihosociālā atbalsta diagnozes uzstādīšanas un aktīvās ārstēšanās posmā. </w:t>
      </w:r>
    </w:p>
    <w:p w14:paraId="44F84AED" w14:textId="02AFD747" w:rsidR="000650B8" w:rsidRDefault="000650B8" w:rsidP="00BD1903">
      <w:pPr>
        <w:spacing w:after="120"/>
        <w:ind w:firstLine="720"/>
        <w:jc w:val="both"/>
        <w:outlineLvl w:val="0"/>
        <w:rPr>
          <w:rFonts w:ascii="Times New Roman" w:hAnsi="Times New Roman" w:cs="Times New Roman"/>
          <w:bCs/>
          <w:sz w:val="24"/>
          <w:szCs w:val="24"/>
        </w:rPr>
      </w:pPr>
      <w:r w:rsidRPr="005E6F86">
        <w:rPr>
          <w:rFonts w:ascii="Times New Roman" w:hAnsi="Times New Roman" w:cs="Times New Roman"/>
          <w:b/>
          <w:bCs/>
          <w:sz w:val="24"/>
          <w:szCs w:val="24"/>
        </w:rPr>
        <w:t>Projekta mērķis</w:t>
      </w:r>
      <w:r w:rsidRPr="005E6F86">
        <w:rPr>
          <w:rFonts w:ascii="Times New Roman" w:hAnsi="Times New Roman" w:cs="Times New Roman"/>
          <w:bCs/>
          <w:sz w:val="24"/>
          <w:szCs w:val="24"/>
        </w:rPr>
        <w:t xml:space="preserve">: </w:t>
      </w:r>
      <w:r>
        <w:rPr>
          <w:rFonts w:ascii="Times New Roman" w:hAnsi="Times New Roman" w:cs="Times New Roman"/>
          <w:bCs/>
          <w:sz w:val="24"/>
          <w:szCs w:val="24"/>
        </w:rPr>
        <w:t>nodrošināt psihosociālu atbalstu onkoloģiskajiem pacientiem un viņu tuviniekiem no brīža, kad uzzināta diagnoze, kā arī akūtās ārstēšanas procesā.</w:t>
      </w:r>
    </w:p>
    <w:p w14:paraId="5D1035B7" w14:textId="77777777" w:rsidR="00ED51CA" w:rsidRDefault="00ED51CA" w:rsidP="009F1205">
      <w:pPr>
        <w:spacing w:after="120"/>
        <w:ind w:firstLine="720"/>
        <w:jc w:val="right"/>
        <w:rPr>
          <w:rFonts w:ascii="Times New Roman" w:hAnsi="Times New Roman" w:cs="Times New Roman"/>
          <w:i/>
          <w:sz w:val="24"/>
          <w:szCs w:val="24"/>
        </w:rPr>
        <w:sectPr w:rsidR="00ED51CA" w:rsidSect="00333B64">
          <w:pgSz w:w="12240" w:h="15840"/>
          <w:pgMar w:top="1440" w:right="1440" w:bottom="1440" w:left="1701" w:header="708" w:footer="708" w:gutter="0"/>
          <w:cols w:space="708"/>
          <w:docGrid w:linePitch="360"/>
        </w:sectPr>
      </w:pPr>
    </w:p>
    <w:p w14:paraId="1765D486" w14:textId="423BC771" w:rsidR="00725982" w:rsidRDefault="00725982" w:rsidP="0092286C">
      <w:pPr>
        <w:spacing w:after="120"/>
        <w:ind w:firstLine="720"/>
        <w:jc w:val="both"/>
        <w:rPr>
          <w:rFonts w:ascii="Times New Roman" w:hAnsi="Times New Roman" w:cs="Times New Roman"/>
          <w:i/>
          <w:sz w:val="24"/>
          <w:szCs w:val="24"/>
        </w:rPr>
      </w:pPr>
      <w:r w:rsidRPr="005E6F86">
        <w:rPr>
          <w:rFonts w:ascii="Times New Roman" w:hAnsi="Times New Roman" w:cs="Times New Roman"/>
          <w:b/>
          <w:bCs/>
          <w:sz w:val="24"/>
          <w:szCs w:val="24"/>
        </w:rPr>
        <w:lastRenderedPageBreak/>
        <w:t xml:space="preserve">Projekta </w:t>
      </w:r>
      <w:r>
        <w:rPr>
          <w:rFonts w:ascii="Times New Roman" w:hAnsi="Times New Roman" w:cs="Times New Roman"/>
          <w:b/>
          <w:bCs/>
          <w:sz w:val="24"/>
          <w:szCs w:val="24"/>
        </w:rPr>
        <w:t xml:space="preserve">uzdevumi: </w:t>
      </w:r>
      <w:r>
        <w:rPr>
          <w:rFonts w:ascii="Times New Roman" w:hAnsi="Times New Roman" w:cs="Times New Roman"/>
          <w:bCs/>
          <w:sz w:val="24"/>
          <w:szCs w:val="24"/>
        </w:rPr>
        <w:t>izveidot multiprofesionālu veselības aprūpes speciālistu komandu; nodrošināt psihosociālā atbalsta sniegšanai atbalstošu vidi un komunikāciju ar pacientiem un tuviniekiem; nodrošināt savstarpēji atbalstošu komunikāciju ar ārstiem speciālistiem; veicināt pacientu informētību un izpratni par slimību un ar to saistītiem procesiem</w:t>
      </w:r>
      <w:r>
        <w:rPr>
          <w:rFonts w:ascii="Times New Roman" w:hAnsi="Times New Roman" w:cs="Times New Roman"/>
          <w:i/>
          <w:sz w:val="24"/>
          <w:szCs w:val="24"/>
        </w:rPr>
        <w:t>.</w:t>
      </w:r>
    </w:p>
    <w:p w14:paraId="2856DB03" w14:textId="2091E0B2" w:rsidR="00507A10" w:rsidRDefault="00D97BAA" w:rsidP="009F1205">
      <w:pPr>
        <w:spacing w:after="120"/>
        <w:ind w:firstLine="720"/>
        <w:jc w:val="right"/>
        <w:rPr>
          <w:rFonts w:ascii="Times New Roman" w:hAnsi="Times New Roman" w:cs="Times New Roman"/>
          <w:i/>
          <w:sz w:val="24"/>
          <w:szCs w:val="24"/>
        </w:rPr>
      </w:pPr>
      <w:r w:rsidRPr="00AB7A47">
        <w:rPr>
          <w:rFonts w:ascii="Times New Roman" w:hAnsi="Times New Roman" w:cs="Times New Roman"/>
          <w:i/>
          <w:sz w:val="24"/>
          <w:szCs w:val="24"/>
        </w:rPr>
        <w:t>33</w:t>
      </w:r>
      <w:r w:rsidR="00507A10" w:rsidRPr="00AB7A47">
        <w:rPr>
          <w:rFonts w:ascii="Times New Roman" w:hAnsi="Times New Roman" w:cs="Times New Roman"/>
          <w:i/>
          <w:sz w:val="24"/>
          <w:szCs w:val="24"/>
        </w:rPr>
        <w:t>.tabula</w:t>
      </w:r>
    </w:p>
    <w:p w14:paraId="2EBC475F" w14:textId="5AACC7FA" w:rsidR="00E64162" w:rsidRDefault="00E64162" w:rsidP="00E64162">
      <w:pPr>
        <w:spacing w:after="12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Psihoemocionālā atbalsta centra izveidei nepieciešamais finansējums </w:t>
      </w:r>
      <w:r w:rsidR="00D94009">
        <w:rPr>
          <w:rFonts w:ascii="Times New Roman" w:hAnsi="Times New Roman" w:cs="Times New Roman"/>
          <w:b/>
          <w:bCs/>
          <w:sz w:val="24"/>
          <w:szCs w:val="24"/>
        </w:rPr>
        <w:t>2017., 2018. un 2019.gadā</w:t>
      </w: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855"/>
        <w:gridCol w:w="850"/>
        <w:gridCol w:w="851"/>
        <w:gridCol w:w="850"/>
        <w:gridCol w:w="709"/>
        <w:gridCol w:w="850"/>
        <w:gridCol w:w="847"/>
        <w:gridCol w:w="708"/>
        <w:gridCol w:w="855"/>
        <w:gridCol w:w="851"/>
        <w:gridCol w:w="846"/>
        <w:gridCol w:w="850"/>
        <w:gridCol w:w="851"/>
      </w:tblGrid>
      <w:tr w:rsidR="00E11AFF" w14:paraId="4FCC898A" w14:textId="77777777" w:rsidTr="00AC21A4">
        <w:trPr>
          <w:cantSplit/>
          <w:trHeight w:val="1493"/>
          <w:jc w:val="center"/>
        </w:trPr>
        <w:tc>
          <w:tcPr>
            <w:tcW w:w="562" w:type="dxa"/>
            <w:shd w:val="clear" w:color="auto" w:fill="E36C0A" w:themeFill="accent6" w:themeFillShade="BF"/>
            <w:vAlign w:val="center"/>
            <w:hideMark/>
          </w:tcPr>
          <w:p w14:paraId="7115BF71" w14:textId="77777777" w:rsidR="00ED51CA" w:rsidRPr="00E229E5" w:rsidRDefault="00ED51CA" w:rsidP="00A842CF">
            <w:pPr>
              <w:spacing w:after="0" w:line="240" w:lineRule="auto"/>
              <w:jc w:val="center"/>
              <w:rPr>
                <w:rFonts w:ascii="Times New Roman" w:eastAsia="Times New Roman" w:hAnsi="Times New Roman" w:cs="Times New Roman"/>
                <w:b/>
                <w:bCs/>
                <w:sz w:val="16"/>
                <w:szCs w:val="16"/>
                <w:lang w:eastAsia="lv-LV"/>
              </w:rPr>
            </w:pPr>
          </w:p>
        </w:tc>
        <w:tc>
          <w:tcPr>
            <w:tcW w:w="1418" w:type="dxa"/>
            <w:shd w:val="clear" w:color="auto" w:fill="E36C0A" w:themeFill="accent6" w:themeFillShade="BF"/>
            <w:vAlign w:val="center"/>
            <w:hideMark/>
          </w:tcPr>
          <w:p w14:paraId="6A5E5326" w14:textId="77777777" w:rsidR="00ED51CA" w:rsidRPr="00E229E5" w:rsidRDefault="00ED51CA" w:rsidP="00A842CF">
            <w:pPr>
              <w:spacing w:after="0" w:line="240" w:lineRule="auto"/>
              <w:rPr>
                <w:rFonts w:ascii="Times New Roman" w:eastAsia="Times New Roman" w:hAnsi="Times New Roman" w:cs="Times New Roman"/>
                <w:b/>
                <w:sz w:val="16"/>
                <w:szCs w:val="16"/>
                <w:lang w:eastAsia="lv-LV"/>
              </w:rPr>
            </w:pPr>
          </w:p>
        </w:tc>
        <w:tc>
          <w:tcPr>
            <w:tcW w:w="855" w:type="dxa"/>
            <w:shd w:val="clear" w:color="auto" w:fill="E36C0A" w:themeFill="accent6" w:themeFillShade="BF"/>
            <w:textDirection w:val="btLr"/>
          </w:tcPr>
          <w:p w14:paraId="140E8698" w14:textId="05C42C76" w:rsidR="00ED51CA" w:rsidRPr="00E229E5" w:rsidRDefault="00ED51CA" w:rsidP="00A842CF">
            <w:pPr>
              <w:spacing w:after="0" w:line="240" w:lineRule="auto"/>
              <w:ind w:left="113" w:right="113"/>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Vienas konsultācijas vidējās izmaksas</w:t>
            </w:r>
          </w:p>
        </w:tc>
        <w:tc>
          <w:tcPr>
            <w:tcW w:w="2551" w:type="dxa"/>
            <w:gridSpan w:val="3"/>
            <w:shd w:val="clear" w:color="auto" w:fill="E36C0A" w:themeFill="accent6" w:themeFillShade="BF"/>
            <w:textDirection w:val="btLr"/>
            <w:vAlign w:val="center"/>
          </w:tcPr>
          <w:p w14:paraId="3DE40565" w14:textId="4F9B4E0F" w:rsidR="00ED51CA" w:rsidRPr="00E229E5" w:rsidRDefault="00ED51CA" w:rsidP="00A842CF">
            <w:pPr>
              <w:spacing w:after="0" w:line="240" w:lineRule="auto"/>
              <w:ind w:left="113" w:right="113"/>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 xml:space="preserve">Plānotais finansējums </w:t>
            </w:r>
          </w:p>
        </w:tc>
        <w:tc>
          <w:tcPr>
            <w:tcW w:w="2406" w:type="dxa"/>
            <w:gridSpan w:val="3"/>
            <w:shd w:val="clear" w:color="auto" w:fill="E36C0A" w:themeFill="accent6" w:themeFillShade="BF"/>
            <w:textDirection w:val="btLr"/>
            <w:vAlign w:val="center"/>
          </w:tcPr>
          <w:p w14:paraId="6FAFD16D" w14:textId="0F67C729" w:rsidR="00ED51CA" w:rsidRPr="00E229E5" w:rsidRDefault="00ED51CA" w:rsidP="00A842CF">
            <w:pPr>
              <w:spacing w:after="0" w:line="240" w:lineRule="auto"/>
              <w:ind w:left="113" w:right="113"/>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Papildus finansējums</w:t>
            </w:r>
          </w:p>
        </w:tc>
        <w:tc>
          <w:tcPr>
            <w:tcW w:w="2414" w:type="dxa"/>
            <w:gridSpan w:val="3"/>
            <w:shd w:val="clear" w:color="auto" w:fill="E36C0A" w:themeFill="accent6" w:themeFillShade="BF"/>
            <w:textDirection w:val="btLr"/>
            <w:vAlign w:val="center"/>
          </w:tcPr>
          <w:p w14:paraId="4702255A" w14:textId="77777777" w:rsidR="00ED51CA" w:rsidRPr="00E229E5" w:rsidRDefault="00ED51CA" w:rsidP="00A842CF">
            <w:pPr>
              <w:spacing w:after="0" w:line="240" w:lineRule="auto"/>
              <w:ind w:left="113" w:right="113"/>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 xml:space="preserve">Plānotais pakalpojumu skaits </w:t>
            </w:r>
          </w:p>
        </w:tc>
        <w:tc>
          <w:tcPr>
            <w:tcW w:w="2547" w:type="dxa"/>
            <w:gridSpan w:val="3"/>
            <w:shd w:val="clear" w:color="auto" w:fill="E36C0A" w:themeFill="accent6" w:themeFillShade="BF"/>
            <w:textDirection w:val="btLr"/>
            <w:vAlign w:val="center"/>
          </w:tcPr>
          <w:p w14:paraId="385FD71F" w14:textId="45BE9A4B" w:rsidR="00ED51CA" w:rsidRPr="00E229E5" w:rsidRDefault="00ED51CA" w:rsidP="00A842CF">
            <w:pPr>
              <w:spacing w:after="0" w:line="240" w:lineRule="auto"/>
              <w:ind w:left="113" w:right="113"/>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Plānotais pakalpojumu skaits pēc finansējuma piešķīruma</w:t>
            </w:r>
          </w:p>
        </w:tc>
      </w:tr>
      <w:tr w:rsidR="007717A4" w14:paraId="5874EE77" w14:textId="77777777" w:rsidTr="00AC21A4">
        <w:trPr>
          <w:trHeight w:val="640"/>
          <w:jc w:val="center"/>
        </w:trPr>
        <w:tc>
          <w:tcPr>
            <w:tcW w:w="562" w:type="dxa"/>
            <w:shd w:val="clear" w:color="auto" w:fill="FABF8F" w:themeFill="accent6" w:themeFillTint="99"/>
            <w:vAlign w:val="center"/>
          </w:tcPr>
          <w:p w14:paraId="74C565B2" w14:textId="77777777" w:rsidR="00ED51CA" w:rsidRPr="00E229E5" w:rsidRDefault="00ED51CA" w:rsidP="00ED51CA">
            <w:pPr>
              <w:spacing w:after="0" w:line="240" w:lineRule="auto"/>
              <w:jc w:val="center"/>
              <w:rPr>
                <w:rFonts w:ascii="Times New Roman" w:eastAsia="Times New Roman" w:hAnsi="Times New Roman" w:cs="Times New Roman"/>
                <w:b/>
                <w:bCs/>
                <w:sz w:val="16"/>
                <w:szCs w:val="16"/>
                <w:lang w:eastAsia="lv-LV"/>
              </w:rPr>
            </w:pPr>
          </w:p>
        </w:tc>
        <w:tc>
          <w:tcPr>
            <w:tcW w:w="1418" w:type="dxa"/>
            <w:shd w:val="clear" w:color="auto" w:fill="FABF8F" w:themeFill="accent6" w:themeFillTint="99"/>
            <w:vAlign w:val="center"/>
          </w:tcPr>
          <w:p w14:paraId="53DB5373" w14:textId="77777777" w:rsidR="00ED51CA" w:rsidRPr="00E229E5" w:rsidRDefault="00ED51CA" w:rsidP="00ED51CA">
            <w:pPr>
              <w:spacing w:after="0" w:line="240" w:lineRule="auto"/>
              <w:jc w:val="center"/>
              <w:rPr>
                <w:rFonts w:ascii="Times New Roman" w:eastAsia="Times New Roman" w:hAnsi="Times New Roman" w:cs="Times New Roman"/>
                <w:b/>
                <w:sz w:val="16"/>
                <w:szCs w:val="16"/>
                <w:lang w:eastAsia="lv-LV"/>
              </w:rPr>
            </w:pPr>
          </w:p>
        </w:tc>
        <w:tc>
          <w:tcPr>
            <w:tcW w:w="855" w:type="dxa"/>
            <w:shd w:val="clear" w:color="auto" w:fill="FABF8F" w:themeFill="accent6" w:themeFillTint="99"/>
            <w:vAlign w:val="center"/>
          </w:tcPr>
          <w:p w14:paraId="2F1433F9" w14:textId="5F46250D"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Pr>
                <w:rFonts w:ascii="Times New Roman" w:eastAsia="Times New Roman" w:hAnsi="Times New Roman" w:cs="Times New Roman"/>
                <w:bCs/>
                <w:i/>
                <w:iCs/>
                <w:sz w:val="16"/>
                <w:szCs w:val="16"/>
                <w:lang w:eastAsia="lv-LV"/>
              </w:rPr>
              <w:t>2019 (euro)</w:t>
            </w:r>
          </w:p>
        </w:tc>
        <w:tc>
          <w:tcPr>
            <w:tcW w:w="850" w:type="dxa"/>
            <w:shd w:val="clear" w:color="auto" w:fill="FABF8F" w:themeFill="accent6" w:themeFillTint="99"/>
            <w:vAlign w:val="center"/>
          </w:tcPr>
          <w:p w14:paraId="5655F4C0" w14:textId="0C4E3356"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bCs/>
                <w:i/>
                <w:iCs/>
                <w:sz w:val="16"/>
                <w:szCs w:val="16"/>
                <w:lang w:eastAsia="lv-LV"/>
              </w:rPr>
              <w:t>2017</w:t>
            </w:r>
          </w:p>
          <w:p w14:paraId="3A9B52A6" w14:textId="77777777"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bCs/>
                <w:i/>
                <w:iCs/>
                <w:sz w:val="16"/>
                <w:szCs w:val="16"/>
                <w:lang w:eastAsia="lv-LV"/>
              </w:rPr>
              <w:t xml:space="preserve"> </w:t>
            </w:r>
            <w:r w:rsidRPr="00E229E5">
              <w:rPr>
                <w:rFonts w:ascii="Times New Roman" w:eastAsia="Times New Roman" w:hAnsi="Times New Roman" w:cs="Times New Roman"/>
                <w:i/>
                <w:iCs/>
                <w:sz w:val="16"/>
                <w:szCs w:val="16"/>
                <w:lang w:eastAsia="lv-LV"/>
              </w:rPr>
              <w:t>(euro)</w:t>
            </w:r>
          </w:p>
        </w:tc>
        <w:tc>
          <w:tcPr>
            <w:tcW w:w="851" w:type="dxa"/>
            <w:shd w:val="clear" w:color="auto" w:fill="FABF8F" w:themeFill="accent6" w:themeFillTint="99"/>
            <w:vAlign w:val="center"/>
          </w:tcPr>
          <w:p w14:paraId="73BE8F88" w14:textId="77777777"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bCs/>
                <w:i/>
                <w:iCs/>
                <w:sz w:val="16"/>
                <w:szCs w:val="16"/>
                <w:lang w:eastAsia="lv-LV"/>
              </w:rPr>
              <w:t xml:space="preserve">2018 </w:t>
            </w:r>
          </w:p>
          <w:p w14:paraId="70953D74" w14:textId="77777777"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i/>
                <w:iCs/>
                <w:sz w:val="16"/>
                <w:szCs w:val="16"/>
                <w:lang w:eastAsia="lv-LV"/>
              </w:rPr>
              <w:t>(euro)</w:t>
            </w:r>
          </w:p>
        </w:tc>
        <w:tc>
          <w:tcPr>
            <w:tcW w:w="850" w:type="dxa"/>
            <w:shd w:val="clear" w:color="auto" w:fill="FABF8F" w:themeFill="accent6" w:themeFillTint="99"/>
            <w:vAlign w:val="center"/>
          </w:tcPr>
          <w:p w14:paraId="28637E75" w14:textId="77777777"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bCs/>
                <w:i/>
                <w:iCs/>
                <w:sz w:val="16"/>
                <w:szCs w:val="16"/>
                <w:lang w:eastAsia="lv-LV"/>
              </w:rPr>
              <w:t>2019</w:t>
            </w:r>
          </w:p>
          <w:p w14:paraId="0BF716F7" w14:textId="77777777" w:rsidR="00ED51CA" w:rsidRPr="00E229E5" w:rsidRDefault="00ED51CA" w:rsidP="00ED51CA">
            <w:pPr>
              <w:spacing w:after="0" w:line="240" w:lineRule="auto"/>
              <w:jc w:val="center"/>
              <w:rPr>
                <w:rFonts w:ascii="Times New Roman" w:eastAsia="Times New Roman" w:hAnsi="Times New Roman" w:cs="Times New Roman"/>
                <w:i/>
                <w:iCs/>
                <w:sz w:val="16"/>
                <w:szCs w:val="16"/>
                <w:lang w:eastAsia="lv-LV"/>
              </w:rPr>
            </w:pPr>
            <w:r w:rsidRPr="00E229E5">
              <w:rPr>
                <w:rFonts w:ascii="Times New Roman" w:eastAsia="Times New Roman" w:hAnsi="Times New Roman" w:cs="Times New Roman"/>
                <w:i/>
                <w:iCs/>
                <w:sz w:val="16"/>
                <w:szCs w:val="16"/>
                <w:lang w:eastAsia="lv-LV"/>
              </w:rPr>
              <w:t>(euro)</w:t>
            </w:r>
          </w:p>
        </w:tc>
        <w:tc>
          <w:tcPr>
            <w:tcW w:w="709" w:type="dxa"/>
            <w:shd w:val="clear" w:color="auto" w:fill="FABF8F" w:themeFill="accent6" w:themeFillTint="99"/>
            <w:vAlign w:val="center"/>
          </w:tcPr>
          <w:p w14:paraId="0E47FC35" w14:textId="77777777"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bCs/>
                <w:i/>
                <w:iCs/>
                <w:sz w:val="16"/>
                <w:szCs w:val="16"/>
                <w:lang w:eastAsia="lv-LV"/>
              </w:rPr>
              <w:t>2017</w:t>
            </w:r>
          </w:p>
          <w:p w14:paraId="1A0E15D2" w14:textId="7AA340C3"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bCs/>
                <w:i/>
                <w:iCs/>
                <w:sz w:val="16"/>
                <w:szCs w:val="16"/>
                <w:lang w:eastAsia="lv-LV"/>
              </w:rPr>
              <w:t xml:space="preserve"> </w:t>
            </w:r>
            <w:r w:rsidRPr="00E229E5">
              <w:rPr>
                <w:rFonts w:ascii="Times New Roman" w:eastAsia="Times New Roman" w:hAnsi="Times New Roman" w:cs="Times New Roman"/>
                <w:i/>
                <w:iCs/>
                <w:sz w:val="16"/>
                <w:szCs w:val="16"/>
                <w:lang w:eastAsia="lv-LV"/>
              </w:rPr>
              <w:t>(euro)</w:t>
            </w:r>
          </w:p>
        </w:tc>
        <w:tc>
          <w:tcPr>
            <w:tcW w:w="850" w:type="dxa"/>
            <w:shd w:val="clear" w:color="auto" w:fill="FABF8F" w:themeFill="accent6" w:themeFillTint="99"/>
            <w:vAlign w:val="center"/>
          </w:tcPr>
          <w:p w14:paraId="63F86BEE" w14:textId="77777777"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bCs/>
                <w:i/>
                <w:iCs/>
                <w:sz w:val="16"/>
                <w:szCs w:val="16"/>
                <w:lang w:eastAsia="lv-LV"/>
              </w:rPr>
              <w:t xml:space="preserve">2018 </w:t>
            </w:r>
          </w:p>
          <w:p w14:paraId="34CA77CE" w14:textId="4C51634D"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i/>
                <w:iCs/>
                <w:sz w:val="16"/>
                <w:szCs w:val="16"/>
                <w:lang w:eastAsia="lv-LV"/>
              </w:rPr>
              <w:t>(euro)</w:t>
            </w:r>
          </w:p>
        </w:tc>
        <w:tc>
          <w:tcPr>
            <w:tcW w:w="847" w:type="dxa"/>
            <w:shd w:val="clear" w:color="auto" w:fill="FABF8F" w:themeFill="accent6" w:themeFillTint="99"/>
            <w:vAlign w:val="center"/>
          </w:tcPr>
          <w:p w14:paraId="5DCF541A" w14:textId="77777777" w:rsidR="00ED51CA" w:rsidRPr="00E229E5" w:rsidRDefault="00ED51CA" w:rsidP="00ED51CA">
            <w:pPr>
              <w:spacing w:after="0" w:line="240" w:lineRule="auto"/>
              <w:jc w:val="center"/>
              <w:rPr>
                <w:rFonts w:ascii="Times New Roman" w:eastAsia="Times New Roman" w:hAnsi="Times New Roman" w:cs="Times New Roman"/>
                <w:bCs/>
                <w:i/>
                <w:iCs/>
                <w:sz w:val="16"/>
                <w:szCs w:val="16"/>
                <w:lang w:eastAsia="lv-LV"/>
              </w:rPr>
            </w:pPr>
            <w:r w:rsidRPr="00E229E5">
              <w:rPr>
                <w:rFonts w:ascii="Times New Roman" w:eastAsia="Times New Roman" w:hAnsi="Times New Roman" w:cs="Times New Roman"/>
                <w:bCs/>
                <w:i/>
                <w:iCs/>
                <w:sz w:val="16"/>
                <w:szCs w:val="16"/>
                <w:lang w:eastAsia="lv-LV"/>
              </w:rPr>
              <w:t>2019</w:t>
            </w:r>
          </w:p>
          <w:p w14:paraId="15843B56" w14:textId="582BD1F2" w:rsidR="00ED51CA" w:rsidRPr="00E229E5" w:rsidRDefault="00ED51CA" w:rsidP="00ED51CA">
            <w:pPr>
              <w:spacing w:after="0" w:line="240" w:lineRule="auto"/>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i/>
                <w:iCs/>
                <w:sz w:val="16"/>
                <w:szCs w:val="16"/>
                <w:lang w:eastAsia="lv-LV"/>
              </w:rPr>
              <w:t>(euro)</w:t>
            </w:r>
          </w:p>
        </w:tc>
        <w:tc>
          <w:tcPr>
            <w:tcW w:w="708" w:type="dxa"/>
            <w:shd w:val="clear" w:color="auto" w:fill="FABF8F" w:themeFill="accent6" w:themeFillTint="99"/>
            <w:vAlign w:val="center"/>
          </w:tcPr>
          <w:p w14:paraId="0CE51648" w14:textId="77777777" w:rsidR="00ED51CA" w:rsidRPr="00E229E5" w:rsidRDefault="00ED51CA" w:rsidP="00ED51CA">
            <w:pPr>
              <w:spacing w:after="0" w:line="240" w:lineRule="auto"/>
              <w:ind w:left="-392" w:firstLine="392"/>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2017</w:t>
            </w:r>
          </w:p>
        </w:tc>
        <w:tc>
          <w:tcPr>
            <w:tcW w:w="855" w:type="dxa"/>
            <w:shd w:val="clear" w:color="auto" w:fill="FABF8F" w:themeFill="accent6" w:themeFillTint="99"/>
            <w:vAlign w:val="center"/>
          </w:tcPr>
          <w:p w14:paraId="4B9478EF" w14:textId="77777777" w:rsidR="00ED51CA" w:rsidRPr="00E229E5" w:rsidRDefault="00ED51CA" w:rsidP="00ED51CA">
            <w:pPr>
              <w:spacing w:after="0" w:line="240" w:lineRule="auto"/>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2018</w:t>
            </w:r>
          </w:p>
        </w:tc>
        <w:tc>
          <w:tcPr>
            <w:tcW w:w="851" w:type="dxa"/>
            <w:shd w:val="clear" w:color="auto" w:fill="FABF8F" w:themeFill="accent6" w:themeFillTint="99"/>
            <w:vAlign w:val="center"/>
          </w:tcPr>
          <w:p w14:paraId="19F04C2F" w14:textId="77777777" w:rsidR="00ED51CA" w:rsidRPr="00E229E5" w:rsidRDefault="00ED51CA" w:rsidP="00ED51CA">
            <w:pPr>
              <w:spacing w:after="0" w:line="240" w:lineRule="auto"/>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2019</w:t>
            </w:r>
          </w:p>
        </w:tc>
        <w:tc>
          <w:tcPr>
            <w:tcW w:w="846" w:type="dxa"/>
            <w:shd w:val="clear" w:color="auto" w:fill="FABF8F" w:themeFill="accent6" w:themeFillTint="99"/>
            <w:vAlign w:val="center"/>
          </w:tcPr>
          <w:p w14:paraId="6C9665E7" w14:textId="633D6B65" w:rsidR="00ED51CA" w:rsidRPr="00E229E5" w:rsidRDefault="00ED51CA" w:rsidP="00ED51CA">
            <w:pPr>
              <w:spacing w:after="0" w:line="240" w:lineRule="auto"/>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2017</w:t>
            </w:r>
          </w:p>
        </w:tc>
        <w:tc>
          <w:tcPr>
            <w:tcW w:w="850" w:type="dxa"/>
            <w:shd w:val="clear" w:color="auto" w:fill="FABF8F" w:themeFill="accent6" w:themeFillTint="99"/>
            <w:vAlign w:val="center"/>
          </w:tcPr>
          <w:p w14:paraId="2DA27425" w14:textId="464DF8D4" w:rsidR="00ED51CA" w:rsidRPr="00E229E5" w:rsidRDefault="00ED51CA" w:rsidP="00ED51CA">
            <w:pPr>
              <w:spacing w:after="0" w:line="240" w:lineRule="auto"/>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2018</w:t>
            </w:r>
          </w:p>
        </w:tc>
        <w:tc>
          <w:tcPr>
            <w:tcW w:w="851" w:type="dxa"/>
            <w:shd w:val="clear" w:color="auto" w:fill="FABF8F" w:themeFill="accent6" w:themeFillTint="99"/>
            <w:vAlign w:val="center"/>
          </w:tcPr>
          <w:p w14:paraId="32A75502" w14:textId="24221612" w:rsidR="00ED51CA" w:rsidRPr="00E229E5" w:rsidRDefault="00ED51CA" w:rsidP="00ED51CA">
            <w:pPr>
              <w:spacing w:after="0" w:line="240" w:lineRule="auto"/>
              <w:jc w:val="center"/>
              <w:rPr>
                <w:rFonts w:ascii="Times New Roman" w:eastAsia="Times New Roman" w:hAnsi="Times New Roman" w:cs="Times New Roman"/>
                <w:b/>
                <w:bCs/>
                <w:sz w:val="16"/>
                <w:szCs w:val="16"/>
                <w:lang w:eastAsia="lv-LV"/>
              </w:rPr>
            </w:pPr>
            <w:r w:rsidRPr="00E229E5">
              <w:rPr>
                <w:rFonts w:ascii="Times New Roman" w:eastAsia="Times New Roman" w:hAnsi="Times New Roman" w:cs="Times New Roman"/>
                <w:b/>
                <w:bCs/>
                <w:sz w:val="16"/>
                <w:szCs w:val="16"/>
                <w:lang w:eastAsia="lv-LV"/>
              </w:rPr>
              <w:t>2019</w:t>
            </w:r>
          </w:p>
        </w:tc>
      </w:tr>
      <w:tr w:rsidR="00E11AFF" w14:paraId="68073ED4" w14:textId="77777777" w:rsidTr="00AC21A4">
        <w:trPr>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22AD" w14:textId="77777777" w:rsidR="00ED51CA" w:rsidRPr="00E229E5" w:rsidRDefault="00ED51CA" w:rsidP="00D94009">
            <w:pPr>
              <w:spacing w:after="0" w:line="240" w:lineRule="auto"/>
              <w:jc w:val="center"/>
              <w:rPr>
                <w:rFonts w:ascii="Times New Roman" w:eastAsia="Times New Roman" w:hAnsi="Times New Roman" w:cs="Times New Roman"/>
                <w:sz w:val="16"/>
                <w:szCs w:val="16"/>
                <w:lang w:eastAsia="lv-LV"/>
              </w:rPr>
            </w:pPr>
            <w:r w:rsidRPr="00E229E5">
              <w:rPr>
                <w:rFonts w:ascii="Times New Roman" w:eastAsia="Times New Roman" w:hAnsi="Times New Roman" w:cs="Times New Roman"/>
                <w:sz w:val="16"/>
                <w:szCs w:val="16"/>
                <w:lang w:eastAsia="lv-LV"/>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7F959" w14:textId="33F956BB" w:rsidR="00ED51CA" w:rsidRPr="00E229E5" w:rsidRDefault="00ED51CA" w:rsidP="00D94009">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Psihoemocionālā atbalsta centra pakalpojumi</w:t>
            </w:r>
          </w:p>
        </w:tc>
        <w:tc>
          <w:tcPr>
            <w:tcW w:w="855" w:type="dxa"/>
            <w:tcBorders>
              <w:top w:val="single" w:sz="4" w:space="0" w:color="auto"/>
              <w:left w:val="single" w:sz="4" w:space="0" w:color="auto"/>
              <w:bottom w:val="single" w:sz="4" w:space="0" w:color="auto"/>
              <w:right w:val="single" w:sz="4" w:space="0" w:color="auto"/>
            </w:tcBorders>
          </w:tcPr>
          <w:p w14:paraId="5A8993DE" w14:textId="527EDA32" w:rsidR="00ED51CA" w:rsidRPr="00E229E5" w:rsidRDefault="00ED51CA" w:rsidP="00D94009">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410FE77" w14:textId="351AA71B" w:rsidR="00ED51CA" w:rsidRPr="00E229E5" w:rsidRDefault="00ED51CA" w:rsidP="00D94009">
            <w:pPr>
              <w:spacing w:after="0" w:line="240" w:lineRule="auto"/>
              <w:jc w:val="center"/>
              <w:rPr>
                <w:rFonts w:ascii="Times New Roman" w:hAnsi="Times New Roman" w:cs="Times New Roman"/>
                <w:sz w:val="16"/>
                <w:szCs w:val="16"/>
              </w:rPr>
            </w:pPr>
            <w:r w:rsidRPr="00E229E5">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6AFEE495" w14:textId="155A9DE2" w:rsidR="00ED51CA" w:rsidRPr="00E229E5" w:rsidRDefault="00ED51CA" w:rsidP="00D9400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21A9" w14:textId="3384DBB6" w:rsidR="00ED51CA" w:rsidRPr="00E229E5" w:rsidRDefault="00ED51CA" w:rsidP="00D9400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12B6585F" w14:textId="54F76F4A" w:rsidR="00ED51CA" w:rsidRPr="00D94009" w:rsidRDefault="00ED51CA" w:rsidP="00D94009">
            <w:pPr>
              <w:spacing w:after="0" w:line="240" w:lineRule="auto"/>
              <w:jc w:val="center"/>
              <w:rPr>
                <w:rFonts w:ascii="Times New Roman" w:eastAsia="Times New Roman" w:hAnsi="Times New Roman"/>
                <w:b/>
                <w:color w:val="000000"/>
                <w:sz w:val="16"/>
                <w:szCs w:val="16"/>
                <w:lang w:eastAsia="en-GB"/>
              </w:rPr>
            </w:pPr>
            <w:r>
              <w:rPr>
                <w:rFonts w:ascii="Times New Roman" w:eastAsia="Times New Roman" w:hAnsi="Times New Roman"/>
                <w:b/>
                <w:color w:val="000000"/>
                <w:sz w:val="16"/>
                <w:szCs w:val="16"/>
                <w:lang w:eastAsia="en-GB"/>
              </w:rPr>
              <w:t>-</w:t>
            </w:r>
          </w:p>
        </w:tc>
        <w:tc>
          <w:tcPr>
            <w:tcW w:w="850" w:type="dxa"/>
            <w:tcBorders>
              <w:top w:val="single" w:sz="4" w:space="0" w:color="auto"/>
              <w:left w:val="single" w:sz="4" w:space="0" w:color="auto"/>
              <w:bottom w:val="single" w:sz="4" w:space="0" w:color="auto"/>
              <w:right w:val="single" w:sz="4" w:space="0" w:color="auto"/>
            </w:tcBorders>
            <w:vAlign w:val="center"/>
          </w:tcPr>
          <w:p w14:paraId="2DEE7CBA" w14:textId="33754AEB" w:rsidR="00ED51CA" w:rsidRPr="00D94009" w:rsidRDefault="00ED51CA" w:rsidP="00D94009">
            <w:pPr>
              <w:spacing w:after="0" w:line="240" w:lineRule="auto"/>
              <w:jc w:val="center"/>
              <w:rPr>
                <w:rFonts w:ascii="Times New Roman" w:eastAsia="Times New Roman" w:hAnsi="Times New Roman"/>
                <w:b/>
                <w:color w:val="000000"/>
                <w:sz w:val="16"/>
                <w:szCs w:val="16"/>
                <w:lang w:eastAsia="en-GB"/>
              </w:rPr>
            </w:pPr>
            <w:r>
              <w:rPr>
                <w:rFonts w:ascii="Times New Roman" w:eastAsia="Times New Roman" w:hAnsi="Times New Roman"/>
                <w:b/>
                <w:color w:val="000000"/>
                <w:sz w:val="16"/>
                <w:szCs w:val="16"/>
                <w:lang w:eastAsia="en-GB"/>
              </w:rPr>
              <w:t>-</w:t>
            </w:r>
          </w:p>
        </w:tc>
        <w:tc>
          <w:tcPr>
            <w:tcW w:w="847" w:type="dxa"/>
            <w:tcBorders>
              <w:top w:val="single" w:sz="4" w:space="0" w:color="auto"/>
              <w:left w:val="single" w:sz="4" w:space="0" w:color="auto"/>
              <w:bottom w:val="single" w:sz="4" w:space="0" w:color="auto"/>
              <w:right w:val="single" w:sz="4" w:space="0" w:color="auto"/>
            </w:tcBorders>
            <w:vAlign w:val="center"/>
          </w:tcPr>
          <w:p w14:paraId="00DC4237" w14:textId="5662F8C5" w:rsidR="00ED51CA" w:rsidRPr="00D94009" w:rsidRDefault="00ED51CA" w:rsidP="00D94009">
            <w:pPr>
              <w:spacing w:after="0" w:line="240" w:lineRule="auto"/>
              <w:jc w:val="center"/>
              <w:rPr>
                <w:rFonts w:ascii="Times New Roman" w:hAnsi="Times New Roman" w:cs="Times New Roman"/>
                <w:b/>
                <w:bCs/>
                <w:color w:val="FF0000"/>
                <w:sz w:val="16"/>
                <w:szCs w:val="16"/>
              </w:rPr>
            </w:pPr>
            <w:r w:rsidRPr="00D94009">
              <w:rPr>
                <w:rFonts w:ascii="Times New Roman" w:eastAsia="Times New Roman" w:hAnsi="Times New Roman"/>
                <w:b/>
                <w:color w:val="000000"/>
                <w:sz w:val="16"/>
                <w:szCs w:val="16"/>
                <w:lang w:eastAsia="en-GB"/>
              </w:rPr>
              <w:t>77 013</w:t>
            </w:r>
          </w:p>
        </w:tc>
        <w:tc>
          <w:tcPr>
            <w:tcW w:w="708" w:type="dxa"/>
            <w:tcBorders>
              <w:top w:val="single" w:sz="4" w:space="0" w:color="auto"/>
              <w:left w:val="single" w:sz="4" w:space="0" w:color="auto"/>
              <w:bottom w:val="single" w:sz="4" w:space="0" w:color="auto"/>
              <w:right w:val="single" w:sz="4" w:space="0" w:color="auto"/>
            </w:tcBorders>
            <w:vAlign w:val="center"/>
          </w:tcPr>
          <w:p w14:paraId="1CE4E816" w14:textId="77777777" w:rsidR="00ED51CA" w:rsidRPr="00E229E5" w:rsidRDefault="00ED51CA" w:rsidP="00D94009">
            <w:pPr>
              <w:spacing w:after="0" w:line="240" w:lineRule="auto"/>
              <w:jc w:val="center"/>
              <w:rPr>
                <w:rFonts w:ascii="Times New Roman" w:hAnsi="Times New Roman" w:cs="Times New Roman"/>
                <w:b/>
                <w:bCs/>
                <w:sz w:val="16"/>
                <w:szCs w:val="16"/>
              </w:rPr>
            </w:pPr>
            <w:r w:rsidRPr="00E229E5">
              <w:rPr>
                <w:rFonts w:ascii="Times New Roman" w:hAnsi="Times New Roman" w:cs="Times New Roman"/>
                <w:b/>
                <w:bCs/>
                <w:sz w:val="16"/>
                <w:szCs w:val="16"/>
              </w:rPr>
              <w:t>-</w:t>
            </w:r>
          </w:p>
        </w:tc>
        <w:tc>
          <w:tcPr>
            <w:tcW w:w="855" w:type="dxa"/>
            <w:tcBorders>
              <w:top w:val="single" w:sz="4" w:space="0" w:color="auto"/>
              <w:left w:val="single" w:sz="4" w:space="0" w:color="auto"/>
              <w:bottom w:val="single" w:sz="4" w:space="0" w:color="auto"/>
              <w:right w:val="single" w:sz="4" w:space="0" w:color="auto"/>
            </w:tcBorders>
            <w:vAlign w:val="center"/>
          </w:tcPr>
          <w:p w14:paraId="14A85F00" w14:textId="1BBC3CA3" w:rsidR="00ED51CA" w:rsidRPr="00E229E5" w:rsidRDefault="00ED51CA" w:rsidP="00D94009">
            <w:pPr>
              <w:spacing w:after="0" w:line="240" w:lineRule="auto"/>
              <w:jc w:val="center"/>
              <w:rPr>
                <w:rFonts w:ascii="Times New Roman" w:hAnsi="Times New Roman" w:cs="Times New Roman"/>
                <w:b/>
                <w:bCs/>
                <w:sz w:val="16"/>
                <w:szCs w:val="16"/>
              </w:rPr>
            </w:pPr>
            <w:r w:rsidRPr="00167C6D">
              <w:rPr>
                <w:rFonts w:ascii="Times New Roman" w:hAnsi="Times New Roman" w:cs="Times New Roman"/>
                <w:b/>
                <w:bCs/>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3B29" w14:textId="01076B1C" w:rsidR="00ED51CA" w:rsidRPr="00E229E5" w:rsidRDefault="00ED51CA" w:rsidP="00D94009">
            <w:pPr>
              <w:spacing w:after="0" w:line="240" w:lineRule="auto"/>
              <w:jc w:val="center"/>
              <w:rPr>
                <w:rFonts w:ascii="Times New Roman" w:hAnsi="Times New Roman" w:cs="Times New Roman"/>
                <w:b/>
                <w:bCs/>
                <w:sz w:val="16"/>
                <w:szCs w:val="16"/>
              </w:rPr>
            </w:pPr>
            <w:r w:rsidRPr="00167C6D">
              <w:rPr>
                <w:rFonts w:ascii="Times New Roman" w:hAnsi="Times New Roman" w:cs="Times New Roman"/>
                <w:b/>
                <w:bCs/>
                <w:sz w:val="16"/>
                <w:szCs w:val="16"/>
              </w:rPr>
              <w:t>-</w:t>
            </w:r>
          </w:p>
        </w:tc>
        <w:tc>
          <w:tcPr>
            <w:tcW w:w="846" w:type="dxa"/>
            <w:tcBorders>
              <w:top w:val="single" w:sz="4" w:space="0" w:color="auto"/>
              <w:left w:val="single" w:sz="4" w:space="0" w:color="auto"/>
              <w:bottom w:val="single" w:sz="4" w:space="0" w:color="auto"/>
              <w:right w:val="single" w:sz="4" w:space="0" w:color="auto"/>
            </w:tcBorders>
            <w:vAlign w:val="center"/>
          </w:tcPr>
          <w:p w14:paraId="310DFA4E" w14:textId="63DB4489" w:rsidR="00ED51CA" w:rsidRDefault="00ED51CA" w:rsidP="00D9400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7C5FBC0A" w14:textId="6DE13201" w:rsidR="00ED51CA" w:rsidRDefault="00ED51CA" w:rsidP="00D9400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9575FE9" w14:textId="4C4E8C0D" w:rsidR="00ED51CA" w:rsidRPr="00E229E5" w:rsidRDefault="00ED51CA" w:rsidP="00D9400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2 352</w:t>
            </w:r>
          </w:p>
        </w:tc>
      </w:tr>
      <w:tr w:rsidR="007717A4" w14:paraId="310CBB15" w14:textId="77777777" w:rsidTr="00AC21A4">
        <w:trPr>
          <w:trHeight w:val="189"/>
          <w:jc w:val="center"/>
        </w:trPr>
        <w:tc>
          <w:tcPr>
            <w:tcW w:w="562" w:type="dxa"/>
            <w:shd w:val="clear" w:color="auto" w:fill="FBD4B4" w:themeFill="accent6" w:themeFillTint="66"/>
            <w:noWrap/>
            <w:vAlign w:val="bottom"/>
            <w:hideMark/>
          </w:tcPr>
          <w:p w14:paraId="1A512CAB" w14:textId="77777777" w:rsidR="00ED51CA" w:rsidRPr="00E229E5" w:rsidRDefault="00ED51CA" w:rsidP="00A842CF">
            <w:pPr>
              <w:spacing w:after="0" w:line="240" w:lineRule="auto"/>
              <w:jc w:val="right"/>
              <w:rPr>
                <w:rFonts w:ascii="Times New Roman" w:eastAsia="Times New Roman" w:hAnsi="Times New Roman" w:cs="Times New Roman"/>
                <w:sz w:val="16"/>
                <w:szCs w:val="16"/>
                <w:lang w:eastAsia="lv-LV"/>
              </w:rPr>
            </w:pPr>
          </w:p>
        </w:tc>
        <w:tc>
          <w:tcPr>
            <w:tcW w:w="1418" w:type="dxa"/>
            <w:shd w:val="clear" w:color="auto" w:fill="FBD4B4" w:themeFill="accent6" w:themeFillTint="66"/>
            <w:noWrap/>
            <w:vAlign w:val="bottom"/>
            <w:hideMark/>
          </w:tcPr>
          <w:p w14:paraId="372B6D6B" w14:textId="77777777" w:rsidR="00ED51CA" w:rsidRPr="00E229E5" w:rsidRDefault="00ED51CA" w:rsidP="00A842CF">
            <w:pPr>
              <w:spacing w:after="0" w:line="240" w:lineRule="auto"/>
              <w:rPr>
                <w:rFonts w:ascii="Times New Roman" w:eastAsia="Times New Roman" w:hAnsi="Times New Roman" w:cs="Times New Roman"/>
                <w:sz w:val="16"/>
                <w:szCs w:val="16"/>
                <w:lang w:eastAsia="lv-LV"/>
              </w:rPr>
            </w:pPr>
            <w:r w:rsidRPr="00E229E5">
              <w:rPr>
                <w:rFonts w:ascii="Times New Roman" w:eastAsia="Times New Roman" w:hAnsi="Times New Roman" w:cs="Times New Roman"/>
                <w:sz w:val="16"/>
                <w:szCs w:val="16"/>
                <w:lang w:eastAsia="lv-LV"/>
              </w:rPr>
              <w:t>Kopā</w:t>
            </w:r>
          </w:p>
        </w:tc>
        <w:tc>
          <w:tcPr>
            <w:tcW w:w="855" w:type="dxa"/>
            <w:shd w:val="clear" w:color="auto" w:fill="FBD4B4" w:themeFill="accent6" w:themeFillTint="66"/>
          </w:tcPr>
          <w:p w14:paraId="2B4F7683" w14:textId="77777777" w:rsidR="00ED51CA" w:rsidRPr="00E229E5" w:rsidRDefault="00ED51CA" w:rsidP="00A842CF">
            <w:pPr>
              <w:spacing w:after="0" w:line="240" w:lineRule="auto"/>
              <w:jc w:val="center"/>
              <w:rPr>
                <w:rFonts w:ascii="Times New Roman" w:hAnsi="Times New Roman" w:cs="Times New Roman"/>
                <w:sz w:val="16"/>
                <w:szCs w:val="16"/>
              </w:rPr>
            </w:pPr>
          </w:p>
        </w:tc>
        <w:tc>
          <w:tcPr>
            <w:tcW w:w="850" w:type="dxa"/>
            <w:shd w:val="clear" w:color="auto" w:fill="FBD4B4" w:themeFill="accent6" w:themeFillTint="66"/>
            <w:vAlign w:val="center"/>
          </w:tcPr>
          <w:p w14:paraId="7239A17C" w14:textId="6AFA9C6A" w:rsidR="00ED51CA" w:rsidRPr="00E229E5" w:rsidRDefault="00ED51CA" w:rsidP="00A842CF">
            <w:pPr>
              <w:spacing w:after="0" w:line="240" w:lineRule="auto"/>
              <w:jc w:val="center"/>
              <w:rPr>
                <w:rFonts w:ascii="Times New Roman" w:hAnsi="Times New Roman" w:cs="Times New Roman"/>
                <w:sz w:val="16"/>
                <w:szCs w:val="16"/>
              </w:rPr>
            </w:pPr>
          </w:p>
        </w:tc>
        <w:tc>
          <w:tcPr>
            <w:tcW w:w="851" w:type="dxa"/>
            <w:shd w:val="clear" w:color="auto" w:fill="FBD4B4" w:themeFill="accent6" w:themeFillTint="66"/>
          </w:tcPr>
          <w:p w14:paraId="27F5024B" w14:textId="035CAD09" w:rsidR="00ED51CA" w:rsidRPr="00E229E5" w:rsidRDefault="00ED51CA" w:rsidP="00A842CF">
            <w:pPr>
              <w:spacing w:after="0" w:line="240" w:lineRule="auto"/>
              <w:jc w:val="center"/>
              <w:rPr>
                <w:rFonts w:ascii="Times New Roman" w:hAnsi="Times New Roman" w:cs="Times New Roman"/>
                <w:sz w:val="16"/>
                <w:szCs w:val="16"/>
              </w:rPr>
            </w:pPr>
          </w:p>
        </w:tc>
        <w:tc>
          <w:tcPr>
            <w:tcW w:w="850" w:type="dxa"/>
            <w:shd w:val="clear" w:color="auto" w:fill="FBD4B4" w:themeFill="accent6" w:themeFillTint="66"/>
            <w:noWrap/>
            <w:vAlign w:val="bottom"/>
          </w:tcPr>
          <w:p w14:paraId="7D65AE9D" w14:textId="29CEF368" w:rsidR="00ED51CA" w:rsidRPr="00E229E5" w:rsidRDefault="00ED51CA" w:rsidP="00A842CF">
            <w:pPr>
              <w:spacing w:after="0" w:line="240" w:lineRule="auto"/>
              <w:jc w:val="center"/>
              <w:rPr>
                <w:rFonts w:ascii="Times New Roman" w:hAnsi="Times New Roman" w:cs="Times New Roman"/>
                <w:sz w:val="16"/>
                <w:szCs w:val="16"/>
              </w:rPr>
            </w:pPr>
          </w:p>
        </w:tc>
        <w:tc>
          <w:tcPr>
            <w:tcW w:w="709" w:type="dxa"/>
            <w:shd w:val="clear" w:color="auto" w:fill="FBD4B4" w:themeFill="accent6" w:themeFillTint="66"/>
          </w:tcPr>
          <w:p w14:paraId="6DC08DC0" w14:textId="77777777" w:rsidR="00ED51CA" w:rsidRDefault="00ED51CA" w:rsidP="00A842CF">
            <w:pPr>
              <w:spacing w:after="0" w:line="240" w:lineRule="auto"/>
              <w:jc w:val="center"/>
              <w:rPr>
                <w:rFonts w:ascii="Times New Roman" w:hAnsi="Times New Roman" w:cs="Times New Roman"/>
                <w:b/>
                <w:bCs/>
                <w:color w:val="FF0000"/>
                <w:sz w:val="16"/>
                <w:szCs w:val="16"/>
              </w:rPr>
            </w:pPr>
          </w:p>
        </w:tc>
        <w:tc>
          <w:tcPr>
            <w:tcW w:w="850" w:type="dxa"/>
            <w:shd w:val="clear" w:color="auto" w:fill="FBD4B4" w:themeFill="accent6" w:themeFillTint="66"/>
          </w:tcPr>
          <w:p w14:paraId="285773C5" w14:textId="7868F65F" w:rsidR="00ED51CA" w:rsidRDefault="00ED51CA" w:rsidP="00A842CF">
            <w:pPr>
              <w:spacing w:after="0" w:line="240" w:lineRule="auto"/>
              <w:jc w:val="center"/>
              <w:rPr>
                <w:rFonts w:ascii="Times New Roman" w:hAnsi="Times New Roman" w:cs="Times New Roman"/>
                <w:b/>
                <w:bCs/>
                <w:color w:val="FF0000"/>
                <w:sz w:val="16"/>
                <w:szCs w:val="16"/>
              </w:rPr>
            </w:pPr>
          </w:p>
        </w:tc>
        <w:tc>
          <w:tcPr>
            <w:tcW w:w="847" w:type="dxa"/>
            <w:shd w:val="clear" w:color="auto" w:fill="FBD4B4" w:themeFill="accent6" w:themeFillTint="66"/>
            <w:vAlign w:val="bottom"/>
          </w:tcPr>
          <w:p w14:paraId="40E8C627" w14:textId="3133B946" w:rsidR="00ED51CA" w:rsidRPr="00E229E5" w:rsidRDefault="00ED51CA" w:rsidP="00A842CF">
            <w:pPr>
              <w:spacing w:after="0" w:line="240" w:lineRule="auto"/>
              <w:jc w:val="center"/>
              <w:rPr>
                <w:rFonts w:ascii="Times New Roman" w:hAnsi="Times New Roman" w:cs="Times New Roman"/>
                <w:b/>
                <w:bCs/>
                <w:color w:val="FF0000"/>
                <w:sz w:val="16"/>
                <w:szCs w:val="16"/>
              </w:rPr>
            </w:pPr>
            <w:r w:rsidRPr="00E11AFF">
              <w:rPr>
                <w:rFonts w:ascii="Times New Roman" w:hAnsi="Times New Roman" w:cs="Times New Roman"/>
                <w:b/>
                <w:bCs/>
                <w:sz w:val="16"/>
                <w:szCs w:val="16"/>
              </w:rPr>
              <w:t>77 013</w:t>
            </w:r>
          </w:p>
        </w:tc>
        <w:tc>
          <w:tcPr>
            <w:tcW w:w="708" w:type="dxa"/>
            <w:shd w:val="clear" w:color="auto" w:fill="FBD4B4" w:themeFill="accent6" w:themeFillTint="66"/>
          </w:tcPr>
          <w:p w14:paraId="3D06AF98" w14:textId="3C2FC1C0" w:rsidR="00ED51CA" w:rsidRPr="00E229E5" w:rsidRDefault="00ED51CA" w:rsidP="00A842CF">
            <w:pPr>
              <w:spacing w:after="0" w:line="240" w:lineRule="auto"/>
              <w:jc w:val="center"/>
              <w:rPr>
                <w:rFonts w:ascii="Times New Roman" w:hAnsi="Times New Roman" w:cs="Times New Roman"/>
                <w:b/>
                <w:bCs/>
                <w:sz w:val="16"/>
                <w:szCs w:val="16"/>
              </w:rPr>
            </w:pPr>
          </w:p>
        </w:tc>
        <w:tc>
          <w:tcPr>
            <w:tcW w:w="855" w:type="dxa"/>
            <w:shd w:val="clear" w:color="auto" w:fill="FBD4B4" w:themeFill="accent6" w:themeFillTint="66"/>
          </w:tcPr>
          <w:p w14:paraId="448B2380" w14:textId="6EC2A48E" w:rsidR="00ED51CA" w:rsidRPr="00E229E5" w:rsidRDefault="00ED51CA" w:rsidP="00A842CF">
            <w:pPr>
              <w:spacing w:after="0" w:line="240" w:lineRule="auto"/>
              <w:jc w:val="center"/>
              <w:rPr>
                <w:rFonts w:ascii="Times New Roman" w:hAnsi="Times New Roman" w:cs="Times New Roman"/>
                <w:b/>
                <w:bCs/>
                <w:sz w:val="16"/>
                <w:szCs w:val="16"/>
              </w:rPr>
            </w:pPr>
          </w:p>
        </w:tc>
        <w:tc>
          <w:tcPr>
            <w:tcW w:w="851" w:type="dxa"/>
            <w:shd w:val="clear" w:color="auto" w:fill="FBD4B4" w:themeFill="accent6" w:themeFillTint="66"/>
            <w:noWrap/>
            <w:vAlign w:val="bottom"/>
          </w:tcPr>
          <w:p w14:paraId="28DDB1B4" w14:textId="1E20E374" w:rsidR="00ED51CA" w:rsidRPr="00E229E5" w:rsidRDefault="00ED51CA" w:rsidP="00A842CF">
            <w:pPr>
              <w:spacing w:after="0" w:line="240" w:lineRule="auto"/>
              <w:jc w:val="center"/>
              <w:rPr>
                <w:rFonts w:ascii="Times New Roman" w:hAnsi="Times New Roman" w:cs="Times New Roman"/>
                <w:b/>
                <w:bCs/>
                <w:sz w:val="16"/>
                <w:szCs w:val="16"/>
              </w:rPr>
            </w:pPr>
          </w:p>
        </w:tc>
        <w:tc>
          <w:tcPr>
            <w:tcW w:w="846" w:type="dxa"/>
            <w:shd w:val="clear" w:color="auto" w:fill="FBD4B4" w:themeFill="accent6" w:themeFillTint="66"/>
          </w:tcPr>
          <w:p w14:paraId="7152EF8C" w14:textId="77777777" w:rsidR="00ED51CA" w:rsidRDefault="00ED51CA" w:rsidP="00A842CF">
            <w:pPr>
              <w:spacing w:after="0" w:line="240" w:lineRule="auto"/>
              <w:jc w:val="center"/>
              <w:rPr>
                <w:rFonts w:ascii="Times New Roman" w:hAnsi="Times New Roman" w:cs="Times New Roman"/>
                <w:b/>
                <w:bCs/>
                <w:sz w:val="16"/>
                <w:szCs w:val="16"/>
              </w:rPr>
            </w:pPr>
          </w:p>
        </w:tc>
        <w:tc>
          <w:tcPr>
            <w:tcW w:w="850" w:type="dxa"/>
            <w:shd w:val="clear" w:color="auto" w:fill="FBD4B4" w:themeFill="accent6" w:themeFillTint="66"/>
          </w:tcPr>
          <w:p w14:paraId="2F55C1A9" w14:textId="004850DD" w:rsidR="00ED51CA" w:rsidRDefault="00ED51CA" w:rsidP="00A842CF">
            <w:pPr>
              <w:spacing w:after="0" w:line="240" w:lineRule="auto"/>
              <w:jc w:val="center"/>
              <w:rPr>
                <w:rFonts w:ascii="Times New Roman" w:hAnsi="Times New Roman" w:cs="Times New Roman"/>
                <w:b/>
                <w:bCs/>
                <w:sz w:val="16"/>
                <w:szCs w:val="16"/>
              </w:rPr>
            </w:pPr>
          </w:p>
        </w:tc>
        <w:tc>
          <w:tcPr>
            <w:tcW w:w="851" w:type="dxa"/>
            <w:shd w:val="clear" w:color="auto" w:fill="FBD4B4" w:themeFill="accent6" w:themeFillTint="66"/>
          </w:tcPr>
          <w:p w14:paraId="5BF715D0" w14:textId="7FBDCC5B" w:rsidR="00ED51CA" w:rsidRPr="00E229E5" w:rsidRDefault="00ED51CA" w:rsidP="00A842C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2 352</w:t>
            </w:r>
          </w:p>
        </w:tc>
      </w:tr>
    </w:tbl>
    <w:p w14:paraId="078E9FBD" w14:textId="77777777" w:rsidR="00ED51CA" w:rsidRDefault="00ED51CA" w:rsidP="0092286C">
      <w:pPr>
        <w:spacing w:after="120"/>
        <w:ind w:firstLine="720"/>
        <w:rPr>
          <w:rFonts w:ascii="Times New Roman" w:hAnsi="Times New Roman" w:cs="Times New Roman"/>
          <w:b/>
          <w:bCs/>
          <w:sz w:val="24"/>
          <w:szCs w:val="24"/>
        </w:rPr>
        <w:sectPr w:rsidR="00ED51CA" w:rsidSect="00E11AFF">
          <w:pgSz w:w="15840" w:h="12240" w:orient="landscape"/>
          <w:pgMar w:top="1701" w:right="1440" w:bottom="1440" w:left="1440" w:header="709" w:footer="709" w:gutter="0"/>
          <w:cols w:space="708"/>
          <w:titlePg/>
          <w:docGrid w:linePitch="360"/>
        </w:sectPr>
      </w:pPr>
    </w:p>
    <w:p w14:paraId="6B748B6D" w14:textId="51E98B37" w:rsidR="00D94009" w:rsidRPr="009F1205" w:rsidRDefault="00D94009" w:rsidP="0092286C">
      <w:pPr>
        <w:spacing w:after="120"/>
        <w:rPr>
          <w:rFonts w:ascii="Times New Roman" w:hAnsi="Times New Roman" w:cs="Times New Roman"/>
          <w:b/>
          <w:bCs/>
          <w:sz w:val="24"/>
          <w:szCs w:val="24"/>
        </w:rPr>
      </w:pPr>
    </w:p>
    <w:p w14:paraId="1F68249A" w14:textId="1D531631" w:rsidR="00E64162" w:rsidRPr="00AB7A47" w:rsidRDefault="00E64162" w:rsidP="00E64162">
      <w:pPr>
        <w:spacing w:after="120"/>
        <w:ind w:firstLine="720"/>
        <w:jc w:val="right"/>
        <w:rPr>
          <w:rFonts w:ascii="Times New Roman" w:hAnsi="Times New Roman" w:cs="Times New Roman"/>
          <w:i/>
          <w:sz w:val="24"/>
          <w:szCs w:val="24"/>
        </w:rPr>
      </w:pPr>
      <w:r w:rsidRPr="00AB7A47">
        <w:rPr>
          <w:rFonts w:ascii="Times New Roman" w:hAnsi="Times New Roman" w:cs="Times New Roman"/>
          <w:i/>
          <w:sz w:val="24"/>
          <w:szCs w:val="24"/>
        </w:rPr>
        <w:t>3</w:t>
      </w:r>
      <w:r>
        <w:rPr>
          <w:rFonts w:ascii="Times New Roman" w:hAnsi="Times New Roman" w:cs="Times New Roman"/>
          <w:i/>
          <w:sz w:val="24"/>
          <w:szCs w:val="24"/>
        </w:rPr>
        <w:t>4</w:t>
      </w:r>
      <w:r w:rsidRPr="00AB7A47">
        <w:rPr>
          <w:rFonts w:ascii="Times New Roman" w:hAnsi="Times New Roman" w:cs="Times New Roman"/>
          <w:i/>
          <w:sz w:val="24"/>
          <w:szCs w:val="24"/>
        </w:rPr>
        <w:t>.tabula</w:t>
      </w:r>
    </w:p>
    <w:p w14:paraId="2A82028C" w14:textId="632AD753" w:rsidR="00507A10" w:rsidRPr="009F1205" w:rsidRDefault="00507A10" w:rsidP="009F1205">
      <w:pPr>
        <w:spacing w:after="120"/>
        <w:ind w:firstLine="720"/>
        <w:jc w:val="center"/>
        <w:rPr>
          <w:rFonts w:ascii="Times New Roman" w:hAnsi="Times New Roman" w:cs="Times New Roman"/>
          <w:b/>
          <w:bCs/>
          <w:sz w:val="24"/>
          <w:szCs w:val="24"/>
        </w:rPr>
      </w:pPr>
      <w:r>
        <w:rPr>
          <w:rFonts w:ascii="Times New Roman" w:hAnsi="Times New Roman" w:cs="Times New Roman"/>
          <w:b/>
          <w:bCs/>
          <w:sz w:val="24"/>
          <w:szCs w:val="24"/>
        </w:rPr>
        <w:t>Psihoemocionālā atbalsta centra izveidei nepieciešamais finansējums</w:t>
      </w:r>
      <w:r w:rsidR="00E64162">
        <w:rPr>
          <w:rFonts w:ascii="Times New Roman" w:hAnsi="Times New Roman" w:cs="Times New Roman"/>
          <w:b/>
          <w:bCs/>
          <w:sz w:val="24"/>
          <w:szCs w:val="24"/>
        </w:rPr>
        <w:t xml:space="preserve"> no 2019.gada 1.jūlija</w:t>
      </w:r>
    </w:p>
    <w:tbl>
      <w:tblPr>
        <w:tblStyle w:val="TableGrid"/>
        <w:tblW w:w="0" w:type="auto"/>
        <w:jc w:val="center"/>
        <w:tblLook w:val="04A0" w:firstRow="1" w:lastRow="0" w:firstColumn="1" w:lastColumn="0" w:noHBand="0" w:noVBand="1"/>
      </w:tblPr>
      <w:tblGrid>
        <w:gridCol w:w="1721"/>
        <w:gridCol w:w="1427"/>
        <w:gridCol w:w="1242"/>
        <w:gridCol w:w="1275"/>
        <w:gridCol w:w="1843"/>
        <w:gridCol w:w="1581"/>
      </w:tblGrid>
      <w:tr w:rsidR="009F1205" w14:paraId="4738857B" w14:textId="2280D6A8" w:rsidTr="00C4284B">
        <w:trPr>
          <w:jc w:val="center"/>
        </w:trPr>
        <w:tc>
          <w:tcPr>
            <w:tcW w:w="1721" w:type="dxa"/>
            <w:shd w:val="clear" w:color="auto" w:fill="E36C0A" w:themeFill="accent6" w:themeFillShade="BF"/>
            <w:vAlign w:val="center"/>
          </w:tcPr>
          <w:p w14:paraId="0C3F42A5" w14:textId="63C2F1CC" w:rsidR="009F1205" w:rsidRPr="00922C41" w:rsidRDefault="009F1205" w:rsidP="009F1205">
            <w:pPr>
              <w:spacing w:after="120"/>
              <w:jc w:val="center"/>
              <w:rPr>
                <w:rFonts w:ascii="Times New Roman" w:hAnsi="Times New Roman"/>
                <w:b/>
                <w:bCs/>
              </w:rPr>
            </w:pPr>
            <w:r w:rsidRPr="00922C41">
              <w:rPr>
                <w:rFonts w:ascii="Times New Roman" w:hAnsi="Times New Roman"/>
                <w:b/>
                <w:bCs/>
              </w:rPr>
              <w:t>Pozīcija</w:t>
            </w:r>
          </w:p>
        </w:tc>
        <w:tc>
          <w:tcPr>
            <w:tcW w:w="1427" w:type="dxa"/>
            <w:shd w:val="clear" w:color="auto" w:fill="E36C0A" w:themeFill="accent6" w:themeFillShade="BF"/>
            <w:vAlign w:val="center"/>
          </w:tcPr>
          <w:p w14:paraId="71EC5A74" w14:textId="09EE29DA" w:rsidR="009F1205" w:rsidRPr="00922C41" w:rsidRDefault="009F1205" w:rsidP="009F1205">
            <w:pPr>
              <w:spacing w:after="120"/>
              <w:jc w:val="center"/>
              <w:rPr>
                <w:rFonts w:ascii="Times New Roman" w:hAnsi="Times New Roman"/>
                <w:b/>
                <w:bCs/>
              </w:rPr>
            </w:pPr>
            <w:r w:rsidRPr="00922C41">
              <w:rPr>
                <w:rFonts w:ascii="Times New Roman" w:eastAsia="Times New Roman" w:hAnsi="Times New Roman"/>
                <w:b/>
                <w:bCs/>
                <w:color w:val="000000"/>
                <w:lang w:eastAsia="en-GB"/>
              </w:rPr>
              <w:t>Slodze/skaits</w:t>
            </w:r>
          </w:p>
        </w:tc>
        <w:tc>
          <w:tcPr>
            <w:tcW w:w="1242" w:type="dxa"/>
            <w:shd w:val="clear" w:color="auto" w:fill="E36C0A" w:themeFill="accent6" w:themeFillShade="BF"/>
            <w:vAlign w:val="center"/>
          </w:tcPr>
          <w:p w14:paraId="7EDACA11" w14:textId="4F468816" w:rsidR="009F1205" w:rsidRPr="00922C41" w:rsidRDefault="009F1205">
            <w:pPr>
              <w:spacing w:after="120"/>
              <w:jc w:val="center"/>
              <w:rPr>
                <w:rFonts w:ascii="Times New Roman" w:eastAsia="Times New Roman" w:hAnsi="Times New Roman"/>
                <w:b/>
                <w:color w:val="000000"/>
                <w:lang w:eastAsia="en-GB"/>
              </w:rPr>
            </w:pPr>
            <w:r w:rsidRPr="00922C41">
              <w:rPr>
                <w:rFonts w:ascii="Times New Roman" w:eastAsia="Times New Roman" w:hAnsi="Times New Roman"/>
                <w:b/>
                <w:color w:val="000000"/>
                <w:lang w:eastAsia="en-GB"/>
              </w:rPr>
              <w:t xml:space="preserve">Vienas vienības izmaksas </w:t>
            </w:r>
            <w:r w:rsidRPr="00922C41">
              <w:rPr>
                <w:rFonts w:ascii="Times New Roman" w:eastAsia="Times New Roman" w:hAnsi="Times New Roman"/>
                <w:b/>
                <w:i/>
                <w:color w:val="000000"/>
                <w:lang w:eastAsia="en-GB"/>
              </w:rPr>
              <w:t>euro</w:t>
            </w:r>
          </w:p>
        </w:tc>
        <w:tc>
          <w:tcPr>
            <w:tcW w:w="1275" w:type="dxa"/>
            <w:shd w:val="clear" w:color="auto" w:fill="E36C0A" w:themeFill="accent6" w:themeFillShade="BF"/>
            <w:vAlign w:val="center"/>
          </w:tcPr>
          <w:p w14:paraId="1356FBEB" w14:textId="4922B866" w:rsidR="009F1205" w:rsidRPr="00922C41" w:rsidRDefault="009F1205" w:rsidP="009F1205">
            <w:pPr>
              <w:spacing w:after="120"/>
              <w:jc w:val="center"/>
              <w:rPr>
                <w:rFonts w:ascii="Times New Roman" w:hAnsi="Times New Roman"/>
                <w:b/>
                <w:bCs/>
              </w:rPr>
            </w:pPr>
            <w:r w:rsidRPr="00922C41">
              <w:rPr>
                <w:rFonts w:ascii="Times New Roman" w:eastAsia="Times New Roman" w:hAnsi="Times New Roman"/>
                <w:b/>
                <w:color w:val="000000"/>
                <w:lang w:eastAsia="en-GB"/>
              </w:rPr>
              <w:t xml:space="preserve">Izmaksas mēnesī </w:t>
            </w:r>
            <w:r w:rsidRPr="00922C41">
              <w:rPr>
                <w:rFonts w:ascii="Times New Roman" w:eastAsia="Times New Roman" w:hAnsi="Times New Roman"/>
                <w:b/>
                <w:i/>
                <w:color w:val="000000"/>
                <w:lang w:eastAsia="en-GB"/>
              </w:rPr>
              <w:t>euro</w:t>
            </w:r>
          </w:p>
        </w:tc>
        <w:tc>
          <w:tcPr>
            <w:tcW w:w="1843" w:type="dxa"/>
            <w:shd w:val="clear" w:color="auto" w:fill="E36C0A" w:themeFill="accent6" w:themeFillShade="BF"/>
            <w:vAlign w:val="center"/>
          </w:tcPr>
          <w:p w14:paraId="0B0B2FE1" w14:textId="1ADD9CE5" w:rsidR="009F1205" w:rsidRPr="00922C41" w:rsidRDefault="009F1205" w:rsidP="009F1205">
            <w:pPr>
              <w:spacing w:after="120"/>
              <w:jc w:val="center"/>
              <w:rPr>
                <w:rFonts w:ascii="Times New Roman" w:hAnsi="Times New Roman"/>
                <w:b/>
                <w:bCs/>
              </w:rPr>
            </w:pPr>
            <w:r w:rsidRPr="00922C41">
              <w:rPr>
                <w:rFonts w:ascii="Times New Roman" w:hAnsi="Times New Roman"/>
                <w:b/>
                <w:bCs/>
              </w:rPr>
              <w:t xml:space="preserve">Izmaksas 6 mēnešiem </w:t>
            </w:r>
            <w:r w:rsidRPr="00922C41">
              <w:rPr>
                <w:rFonts w:ascii="Times New Roman" w:hAnsi="Times New Roman"/>
                <w:b/>
                <w:bCs/>
                <w:i/>
              </w:rPr>
              <w:t>euro</w:t>
            </w:r>
          </w:p>
        </w:tc>
        <w:tc>
          <w:tcPr>
            <w:tcW w:w="1581" w:type="dxa"/>
            <w:shd w:val="clear" w:color="auto" w:fill="E36C0A" w:themeFill="accent6" w:themeFillShade="BF"/>
            <w:vAlign w:val="center"/>
          </w:tcPr>
          <w:p w14:paraId="43B7AE04" w14:textId="3ABD837A" w:rsidR="009F1205" w:rsidRPr="00922C41" w:rsidRDefault="009F1205" w:rsidP="009F1205">
            <w:pPr>
              <w:spacing w:after="120"/>
              <w:jc w:val="center"/>
              <w:rPr>
                <w:rFonts w:ascii="Times New Roman" w:hAnsi="Times New Roman"/>
                <w:b/>
                <w:bCs/>
              </w:rPr>
            </w:pPr>
            <w:r w:rsidRPr="00922C41">
              <w:rPr>
                <w:rFonts w:ascii="Times New Roman" w:hAnsi="Times New Roman"/>
                <w:b/>
                <w:bCs/>
              </w:rPr>
              <w:t xml:space="preserve">Izmaksas 12 mēnešiem </w:t>
            </w:r>
            <w:r w:rsidRPr="00922C41">
              <w:rPr>
                <w:rFonts w:ascii="Times New Roman" w:hAnsi="Times New Roman"/>
                <w:b/>
                <w:bCs/>
                <w:i/>
              </w:rPr>
              <w:t>euro</w:t>
            </w:r>
          </w:p>
        </w:tc>
      </w:tr>
      <w:tr w:rsidR="009F1205" w14:paraId="787D6BB7" w14:textId="789BB820" w:rsidTr="009F1205">
        <w:trPr>
          <w:jc w:val="center"/>
        </w:trPr>
        <w:tc>
          <w:tcPr>
            <w:tcW w:w="1721" w:type="dxa"/>
          </w:tcPr>
          <w:p w14:paraId="5E65A91B" w14:textId="1984BF69" w:rsidR="009F1205" w:rsidRPr="00922C41" w:rsidRDefault="009F1205" w:rsidP="009F1205">
            <w:pPr>
              <w:spacing w:after="120"/>
              <w:jc w:val="both"/>
              <w:rPr>
                <w:rFonts w:ascii="Times New Roman" w:hAnsi="Times New Roman"/>
              </w:rPr>
            </w:pPr>
            <w:r w:rsidRPr="00922C41">
              <w:rPr>
                <w:rFonts w:ascii="Times New Roman" w:hAnsi="Times New Roman"/>
              </w:rPr>
              <w:t>Ārstniecības personas un atbalsta personāls</w:t>
            </w:r>
          </w:p>
        </w:tc>
        <w:tc>
          <w:tcPr>
            <w:tcW w:w="1427" w:type="dxa"/>
            <w:vAlign w:val="center"/>
          </w:tcPr>
          <w:p w14:paraId="7D156073" w14:textId="32E91FF9" w:rsidR="009F1205" w:rsidRPr="00922C41" w:rsidRDefault="009F1205" w:rsidP="009F1205">
            <w:pPr>
              <w:spacing w:after="120"/>
              <w:jc w:val="center"/>
              <w:rPr>
                <w:rFonts w:ascii="Times New Roman" w:hAnsi="Times New Roman"/>
                <w:bCs/>
              </w:rPr>
            </w:pPr>
            <w:r w:rsidRPr="00922C41">
              <w:rPr>
                <w:rFonts w:ascii="Times New Roman" w:hAnsi="Times New Roman"/>
                <w:bCs/>
              </w:rPr>
              <w:t>4,3</w:t>
            </w:r>
          </w:p>
        </w:tc>
        <w:tc>
          <w:tcPr>
            <w:tcW w:w="1242" w:type="dxa"/>
            <w:vAlign w:val="center"/>
          </w:tcPr>
          <w:p w14:paraId="145A1DA9" w14:textId="77777777" w:rsidR="009F1205" w:rsidRPr="00922C41" w:rsidRDefault="009F1205">
            <w:pPr>
              <w:spacing w:after="120"/>
              <w:jc w:val="center"/>
              <w:rPr>
                <w:rFonts w:ascii="Times New Roman" w:hAnsi="Times New Roman"/>
                <w:bCs/>
              </w:rPr>
            </w:pPr>
          </w:p>
        </w:tc>
        <w:tc>
          <w:tcPr>
            <w:tcW w:w="1275" w:type="dxa"/>
            <w:vAlign w:val="center"/>
          </w:tcPr>
          <w:p w14:paraId="38220E58" w14:textId="17AA8CAD" w:rsidR="009F1205" w:rsidRPr="00922C41" w:rsidRDefault="009F1205" w:rsidP="009F1205">
            <w:pPr>
              <w:spacing w:after="120"/>
              <w:jc w:val="center"/>
              <w:rPr>
                <w:rFonts w:ascii="Times New Roman" w:hAnsi="Times New Roman"/>
                <w:bCs/>
              </w:rPr>
            </w:pPr>
            <w:r w:rsidRPr="00922C41">
              <w:rPr>
                <w:rFonts w:ascii="Times New Roman" w:hAnsi="Times New Roman"/>
                <w:bCs/>
              </w:rPr>
              <w:t>9 692,17</w:t>
            </w:r>
          </w:p>
        </w:tc>
        <w:tc>
          <w:tcPr>
            <w:tcW w:w="1843" w:type="dxa"/>
            <w:vAlign w:val="center"/>
          </w:tcPr>
          <w:p w14:paraId="0D8D1579" w14:textId="37496922" w:rsidR="009F1205" w:rsidRPr="00922C41" w:rsidRDefault="009F1205" w:rsidP="009F1205">
            <w:pPr>
              <w:spacing w:after="120"/>
              <w:jc w:val="center"/>
              <w:rPr>
                <w:rFonts w:ascii="Times New Roman" w:hAnsi="Times New Roman"/>
                <w:bCs/>
              </w:rPr>
            </w:pPr>
            <w:r w:rsidRPr="00922C41">
              <w:rPr>
                <w:rFonts w:ascii="Times New Roman" w:hAnsi="Times New Roman"/>
                <w:bCs/>
              </w:rPr>
              <w:t>58 153</w:t>
            </w:r>
          </w:p>
        </w:tc>
        <w:tc>
          <w:tcPr>
            <w:tcW w:w="1581" w:type="dxa"/>
            <w:vAlign w:val="center"/>
          </w:tcPr>
          <w:p w14:paraId="08F39A51" w14:textId="125DABC9" w:rsidR="009F1205" w:rsidRPr="00922C41" w:rsidRDefault="009F1205">
            <w:pPr>
              <w:spacing w:after="120"/>
              <w:jc w:val="center"/>
              <w:rPr>
                <w:rFonts w:ascii="Times New Roman" w:hAnsi="Times New Roman"/>
                <w:bCs/>
              </w:rPr>
            </w:pPr>
            <w:r w:rsidRPr="00922C41">
              <w:rPr>
                <w:rFonts w:ascii="Times New Roman" w:hAnsi="Times New Roman"/>
                <w:bCs/>
              </w:rPr>
              <w:t>116 306</w:t>
            </w:r>
          </w:p>
        </w:tc>
      </w:tr>
      <w:tr w:rsidR="009F1205" w14:paraId="1D306E60" w14:textId="0473BE1E" w:rsidTr="009F1205">
        <w:trPr>
          <w:jc w:val="center"/>
        </w:trPr>
        <w:tc>
          <w:tcPr>
            <w:tcW w:w="1721" w:type="dxa"/>
          </w:tcPr>
          <w:p w14:paraId="485F6C56" w14:textId="3C347389" w:rsidR="009F1205" w:rsidRPr="00922C41" w:rsidRDefault="009F1205" w:rsidP="009F1205">
            <w:pPr>
              <w:spacing w:after="120"/>
              <w:jc w:val="both"/>
              <w:rPr>
                <w:rFonts w:ascii="Times New Roman" w:hAnsi="Times New Roman"/>
              </w:rPr>
            </w:pPr>
            <w:r w:rsidRPr="00922C41">
              <w:rPr>
                <w:rFonts w:ascii="Times New Roman" w:eastAsia="Times New Roman" w:hAnsi="Times New Roman"/>
                <w:color w:val="000000"/>
                <w:lang w:eastAsia="en-GB"/>
              </w:rPr>
              <w:t>Telpu īre (komunālie pakalpojumi)</w:t>
            </w:r>
          </w:p>
        </w:tc>
        <w:tc>
          <w:tcPr>
            <w:tcW w:w="1427" w:type="dxa"/>
            <w:vAlign w:val="center"/>
          </w:tcPr>
          <w:p w14:paraId="0FCBF81C" w14:textId="77777777" w:rsidR="009F1205" w:rsidRPr="00922C41" w:rsidRDefault="009F1205" w:rsidP="00507A10">
            <w:pPr>
              <w:spacing w:after="120"/>
              <w:jc w:val="center"/>
              <w:rPr>
                <w:rFonts w:ascii="Times New Roman" w:hAnsi="Times New Roman"/>
                <w:bCs/>
              </w:rPr>
            </w:pPr>
          </w:p>
        </w:tc>
        <w:tc>
          <w:tcPr>
            <w:tcW w:w="1242" w:type="dxa"/>
            <w:vAlign w:val="center"/>
          </w:tcPr>
          <w:p w14:paraId="460E6184" w14:textId="49DC3F6C" w:rsidR="009F1205" w:rsidRPr="00922C41" w:rsidRDefault="009F1205" w:rsidP="00507A10">
            <w:pPr>
              <w:spacing w:after="120"/>
              <w:jc w:val="center"/>
              <w:rPr>
                <w:rFonts w:ascii="Times New Roman" w:hAnsi="Times New Roman"/>
                <w:bCs/>
              </w:rPr>
            </w:pPr>
          </w:p>
        </w:tc>
        <w:tc>
          <w:tcPr>
            <w:tcW w:w="1275" w:type="dxa"/>
            <w:vAlign w:val="center"/>
          </w:tcPr>
          <w:p w14:paraId="1EFA0DFC" w14:textId="6030AA9E" w:rsidR="009F1205" w:rsidRPr="00922C41" w:rsidRDefault="009F1205" w:rsidP="00507A10">
            <w:pPr>
              <w:spacing w:after="120"/>
              <w:jc w:val="center"/>
              <w:rPr>
                <w:rFonts w:ascii="Times New Roman" w:hAnsi="Times New Roman"/>
                <w:bCs/>
              </w:rPr>
            </w:pPr>
            <w:r w:rsidRPr="00922C41">
              <w:rPr>
                <w:rFonts w:ascii="Times New Roman" w:hAnsi="Times New Roman"/>
                <w:bCs/>
              </w:rPr>
              <w:t>1 120</w:t>
            </w:r>
          </w:p>
        </w:tc>
        <w:tc>
          <w:tcPr>
            <w:tcW w:w="1843" w:type="dxa"/>
            <w:vAlign w:val="center"/>
          </w:tcPr>
          <w:p w14:paraId="79F73EC8" w14:textId="71C9DCCE" w:rsidR="009F1205" w:rsidRPr="00922C41" w:rsidRDefault="009F1205" w:rsidP="00507A10">
            <w:pPr>
              <w:spacing w:after="120"/>
              <w:jc w:val="center"/>
              <w:rPr>
                <w:rFonts w:ascii="Times New Roman" w:hAnsi="Times New Roman"/>
                <w:bCs/>
              </w:rPr>
            </w:pPr>
            <w:r w:rsidRPr="00922C41">
              <w:rPr>
                <w:rFonts w:ascii="Times New Roman" w:hAnsi="Times New Roman"/>
                <w:bCs/>
              </w:rPr>
              <w:t>6 720</w:t>
            </w:r>
          </w:p>
        </w:tc>
        <w:tc>
          <w:tcPr>
            <w:tcW w:w="1581" w:type="dxa"/>
            <w:vAlign w:val="center"/>
          </w:tcPr>
          <w:p w14:paraId="67512A36" w14:textId="6ADC2643" w:rsidR="009F1205" w:rsidRPr="00922C41" w:rsidRDefault="009F1205" w:rsidP="00507A10">
            <w:pPr>
              <w:spacing w:after="120"/>
              <w:jc w:val="center"/>
              <w:rPr>
                <w:rFonts w:ascii="Times New Roman" w:hAnsi="Times New Roman"/>
                <w:bCs/>
              </w:rPr>
            </w:pPr>
            <w:r w:rsidRPr="00922C41">
              <w:rPr>
                <w:rFonts w:ascii="Times New Roman" w:hAnsi="Times New Roman"/>
                <w:bCs/>
              </w:rPr>
              <w:t>13 440</w:t>
            </w:r>
          </w:p>
        </w:tc>
      </w:tr>
      <w:tr w:rsidR="00154ABB" w14:paraId="3B64581C" w14:textId="2FCD44FE" w:rsidTr="005C62FF">
        <w:trPr>
          <w:jc w:val="center"/>
        </w:trPr>
        <w:tc>
          <w:tcPr>
            <w:tcW w:w="1721" w:type="dxa"/>
          </w:tcPr>
          <w:p w14:paraId="49BF1B58" w14:textId="77777777" w:rsidR="00154ABB" w:rsidRPr="00922C41" w:rsidRDefault="00154ABB" w:rsidP="00BD1903">
            <w:pPr>
              <w:spacing w:after="120"/>
              <w:jc w:val="both"/>
              <w:rPr>
                <w:rFonts w:ascii="Times New Roman" w:hAnsi="Times New Roman"/>
                <w:bCs/>
              </w:rPr>
            </w:pPr>
          </w:p>
        </w:tc>
        <w:tc>
          <w:tcPr>
            <w:tcW w:w="7368" w:type="dxa"/>
            <w:gridSpan w:val="5"/>
            <w:vAlign w:val="center"/>
          </w:tcPr>
          <w:p w14:paraId="70DC82E9" w14:textId="0FFDCB88" w:rsidR="00154ABB" w:rsidRPr="00922C41" w:rsidRDefault="00154ABB">
            <w:pPr>
              <w:spacing w:after="120"/>
              <w:jc w:val="both"/>
              <w:rPr>
                <w:rFonts w:ascii="Times New Roman" w:hAnsi="Times New Roman"/>
              </w:rPr>
            </w:pPr>
            <w:r w:rsidRPr="00922C41">
              <w:rPr>
                <w:rFonts w:ascii="Times New Roman" w:hAnsi="Times New Roman"/>
              </w:rPr>
              <w:t>Telpu iekārtojums (vienreizējas izmaksas)</w:t>
            </w:r>
          </w:p>
        </w:tc>
      </w:tr>
      <w:tr w:rsidR="009F1205" w14:paraId="033ED65D" w14:textId="56971F27" w:rsidTr="009F1205">
        <w:trPr>
          <w:jc w:val="center"/>
        </w:trPr>
        <w:tc>
          <w:tcPr>
            <w:tcW w:w="1721" w:type="dxa"/>
            <w:vAlign w:val="bottom"/>
          </w:tcPr>
          <w:p w14:paraId="13950477" w14:textId="1C93CB98" w:rsidR="009F1205" w:rsidRPr="00922C41" w:rsidRDefault="009F1205" w:rsidP="009F1205">
            <w:pPr>
              <w:spacing w:after="120"/>
              <w:jc w:val="both"/>
              <w:rPr>
                <w:rFonts w:ascii="Times New Roman" w:hAnsi="Times New Roman"/>
              </w:rPr>
            </w:pPr>
            <w:r w:rsidRPr="00922C41">
              <w:rPr>
                <w:rFonts w:ascii="Times New Roman" w:eastAsia="Times New Roman" w:hAnsi="Times New Roman"/>
                <w:color w:val="000000"/>
                <w:lang w:eastAsia="en-GB"/>
              </w:rPr>
              <w:t>Galdi</w:t>
            </w:r>
          </w:p>
        </w:tc>
        <w:tc>
          <w:tcPr>
            <w:tcW w:w="1427" w:type="dxa"/>
            <w:vAlign w:val="center"/>
          </w:tcPr>
          <w:p w14:paraId="56D8F7FC" w14:textId="79EDA9D9"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3</w:t>
            </w:r>
          </w:p>
        </w:tc>
        <w:tc>
          <w:tcPr>
            <w:tcW w:w="1242" w:type="dxa"/>
            <w:vAlign w:val="center"/>
          </w:tcPr>
          <w:p w14:paraId="7326380D" w14:textId="4E5FE1C0"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200</w:t>
            </w:r>
          </w:p>
        </w:tc>
        <w:tc>
          <w:tcPr>
            <w:tcW w:w="1275" w:type="dxa"/>
            <w:vAlign w:val="center"/>
          </w:tcPr>
          <w:p w14:paraId="5CAE6592" w14:textId="75A45D0A"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600</w:t>
            </w:r>
          </w:p>
        </w:tc>
        <w:tc>
          <w:tcPr>
            <w:tcW w:w="1843" w:type="dxa"/>
            <w:vAlign w:val="center"/>
          </w:tcPr>
          <w:p w14:paraId="297B88E1" w14:textId="11FA791F"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600</w:t>
            </w:r>
          </w:p>
        </w:tc>
        <w:tc>
          <w:tcPr>
            <w:tcW w:w="1581" w:type="dxa"/>
            <w:vAlign w:val="center"/>
          </w:tcPr>
          <w:p w14:paraId="7E92F467"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4FA09749" w14:textId="66B7206E" w:rsidTr="009F1205">
        <w:trPr>
          <w:jc w:val="center"/>
        </w:trPr>
        <w:tc>
          <w:tcPr>
            <w:tcW w:w="1721" w:type="dxa"/>
            <w:vAlign w:val="bottom"/>
          </w:tcPr>
          <w:p w14:paraId="400CB9C0" w14:textId="6CF63C17" w:rsidR="009F1205" w:rsidRPr="00922C41" w:rsidRDefault="009F1205" w:rsidP="009F1205">
            <w:pPr>
              <w:spacing w:after="120"/>
              <w:jc w:val="both"/>
              <w:rPr>
                <w:rFonts w:ascii="Times New Roman" w:hAnsi="Times New Roman"/>
              </w:rPr>
            </w:pPr>
            <w:r w:rsidRPr="00922C41">
              <w:rPr>
                <w:rFonts w:ascii="Times New Roman" w:eastAsia="Times New Roman" w:hAnsi="Times New Roman"/>
                <w:color w:val="000000"/>
                <w:lang w:eastAsia="en-GB"/>
              </w:rPr>
              <w:t>Krēsli</w:t>
            </w:r>
          </w:p>
        </w:tc>
        <w:tc>
          <w:tcPr>
            <w:tcW w:w="1427" w:type="dxa"/>
            <w:vAlign w:val="center"/>
          </w:tcPr>
          <w:p w14:paraId="433ECD79" w14:textId="2D99DEDF"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30</w:t>
            </w:r>
          </w:p>
        </w:tc>
        <w:tc>
          <w:tcPr>
            <w:tcW w:w="1242" w:type="dxa"/>
            <w:vAlign w:val="center"/>
          </w:tcPr>
          <w:p w14:paraId="0DADF166" w14:textId="24890396"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35</w:t>
            </w:r>
          </w:p>
        </w:tc>
        <w:tc>
          <w:tcPr>
            <w:tcW w:w="1275" w:type="dxa"/>
            <w:vAlign w:val="center"/>
          </w:tcPr>
          <w:p w14:paraId="5B5D62D0" w14:textId="70E4B1B7"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1</w:t>
            </w:r>
            <w:r w:rsidR="00CC103A" w:rsidRPr="00922C41">
              <w:rPr>
                <w:rFonts w:ascii="Times New Roman" w:eastAsia="Times New Roman" w:hAnsi="Times New Roman"/>
                <w:color w:val="000000"/>
                <w:lang w:eastAsia="en-GB"/>
              </w:rPr>
              <w:t xml:space="preserve"> </w:t>
            </w:r>
            <w:r w:rsidRPr="00922C41">
              <w:rPr>
                <w:rFonts w:ascii="Times New Roman" w:eastAsia="Times New Roman" w:hAnsi="Times New Roman"/>
                <w:color w:val="000000"/>
                <w:lang w:eastAsia="en-GB"/>
              </w:rPr>
              <w:t>050</w:t>
            </w:r>
          </w:p>
        </w:tc>
        <w:tc>
          <w:tcPr>
            <w:tcW w:w="1843" w:type="dxa"/>
            <w:vAlign w:val="center"/>
          </w:tcPr>
          <w:p w14:paraId="28A4A6D2" w14:textId="396C8545"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1050</w:t>
            </w:r>
          </w:p>
        </w:tc>
        <w:tc>
          <w:tcPr>
            <w:tcW w:w="1581" w:type="dxa"/>
            <w:vAlign w:val="center"/>
          </w:tcPr>
          <w:p w14:paraId="1A641679"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69899E06" w14:textId="0CBED2C3" w:rsidTr="009F1205">
        <w:trPr>
          <w:jc w:val="center"/>
        </w:trPr>
        <w:tc>
          <w:tcPr>
            <w:tcW w:w="1721" w:type="dxa"/>
            <w:vAlign w:val="bottom"/>
          </w:tcPr>
          <w:p w14:paraId="2465FC57" w14:textId="3D6C2F33" w:rsidR="009F1205" w:rsidRPr="00922C41" w:rsidRDefault="009F1205" w:rsidP="009F1205">
            <w:pPr>
              <w:spacing w:after="120"/>
              <w:jc w:val="both"/>
              <w:rPr>
                <w:rFonts w:ascii="Times New Roman" w:hAnsi="Times New Roman"/>
              </w:rPr>
            </w:pPr>
            <w:r w:rsidRPr="00922C41">
              <w:rPr>
                <w:rFonts w:ascii="Times New Roman" w:eastAsia="Times New Roman" w:hAnsi="Times New Roman"/>
                <w:color w:val="000000"/>
                <w:lang w:eastAsia="en-GB"/>
              </w:rPr>
              <w:t>Plaukti</w:t>
            </w:r>
          </w:p>
        </w:tc>
        <w:tc>
          <w:tcPr>
            <w:tcW w:w="1427" w:type="dxa"/>
            <w:vAlign w:val="center"/>
          </w:tcPr>
          <w:p w14:paraId="778E59B6" w14:textId="0307E05D"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3</w:t>
            </w:r>
          </w:p>
        </w:tc>
        <w:tc>
          <w:tcPr>
            <w:tcW w:w="1242" w:type="dxa"/>
            <w:vAlign w:val="center"/>
          </w:tcPr>
          <w:p w14:paraId="1626F611" w14:textId="142A606D"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150</w:t>
            </w:r>
          </w:p>
        </w:tc>
        <w:tc>
          <w:tcPr>
            <w:tcW w:w="1275" w:type="dxa"/>
            <w:vAlign w:val="center"/>
          </w:tcPr>
          <w:p w14:paraId="2B149F98" w14:textId="45B3C928"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450</w:t>
            </w:r>
          </w:p>
        </w:tc>
        <w:tc>
          <w:tcPr>
            <w:tcW w:w="1843" w:type="dxa"/>
            <w:vAlign w:val="center"/>
          </w:tcPr>
          <w:p w14:paraId="513B4317" w14:textId="6527802E"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450</w:t>
            </w:r>
          </w:p>
        </w:tc>
        <w:tc>
          <w:tcPr>
            <w:tcW w:w="1581" w:type="dxa"/>
            <w:vAlign w:val="center"/>
          </w:tcPr>
          <w:p w14:paraId="0FA83C2A"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6446CF42" w14:textId="4418C903" w:rsidTr="009F1205">
        <w:trPr>
          <w:jc w:val="center"/>
        </w:trPr>
        <w:tc>
          <w:tcPr>
            <w:tcW w:w="1721" w:type="dxa"/>
            <w:vAlign w:val="bottom"/>
          </w:tcPr>
          <w:p w14:paraId="432C2CB8" w14:textId="7A5B8048" w:rsidR="009F1205" w:rsidRPr="00922C41" w:rsidRDefault="009F1205" w:rsidP="009F1205">
            <w:pPr>
              <w:spacing w:after="120"/>
              <w:jc w:val="both"/>
              <w:rPr>
                <w:rFonts w:ascii="Times New Roman" w:hAnsi="Times New Roman"/>
              </w:rPr>
            </w:pPr>
            <w:r w:rsidRPr="00922C41">
              <w:rPr>
                <w:rFonts w:ascii="Times New Roman" w:eastAsia="Times New Roman" w:hAnsi="Times New Roman"/>
                <w:color w:val="000000"/>
                <w:lang w:eastAsia="en-GB"/>
              </w:rPr>
              <w:t>Grīdas klājums</w:t>
            </w:r>
          </w:p>
        </w:tc>
        <w:tc>
          <w:tcPr>
            <w:tcW w:w="1427" w:type="dxa"/>
            <w:vAlign w:val="center"/>
          </w:tcPr>
          <w:p w14:paraId="10BC7499" w14:textId="603710F9"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2</w:t>
            </w:r>
          </w:p>
        </w:tc>
        <w:tc>
          <w:tcPr>
            <w:tcW w:w="1242" w:type="dxa"/>
            <w:vAlign w:val="center"/>
          </w:tcPr>
          <w:p w14:paraId="697A9095" w14:textId="57033ED0"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250</w:t>
            </w:r>
          </w:p>
        </w:tc>
        <w:tc>
          <w:tcPr>
            <w:tcW w:w="1275" w:type="dxa"/>
            <w:vAlign w:val="center"/>
          </w:tcPr>
          <w:p w14:paraId="28D1DEAF" w14:textId="13418AAD"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500</w:t>
            </w:r>
          </w:p>
        </w:tc>
        <w:tc>
          <w:tcPr>
            <w:tcW w:w="1843" w:type="dxa"/>
            <w:vAlign w:val="center"/>
          </w:tcPr>
          <w:p w14:paraId="1658B5E5" w14:textId="5471C3D2" w:rsidR="009F1205" w:rsidRPr="00922C41" w:rsidRDefault="009F1205" w:rsidP="009F1205">
            <w:pPr>
              <w:spacing w:after="120"/>
              <w:jc w:val="center"/>
              <w:rPr>
                <w:rFonts w:ascii="Times New Roman" w:hAnsi="Times New Roman"/>
                <w:bCs/>
              </w:rPr>
            </w:pPr>
            <w:r w:rsidRPr="00922C41">
              <w:rPr>
                <w:rFonts w:ascii="Times New Roman" w:eastAsia="Times New Roman" w:hAnsi="Times New Roman"/>
                <w:color w:val="000000"/>
                <w:lang w:eastAsia="en-GB"/>
              </w:rPr>
              <w:t>500</w:t>
            </w:r>
          </w:p>
        </w:tc>
        <w:tc>
          <w:tcPr>
            <w:tcW w:w="1581" w:type="dxa"/>
            <w:vAlign w:val="center"/>
          </w:tcPr>
          <w:p w14:paraId="05E442F2"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1A19A151" w14:textId="20E90300" w:rsidTr="009F1205">
        <w:trPr>
          <w:jc w:val="center"/>
        </w:trPr>
        <w:tc>
          <w:tcPr>
            <w:tcW w:w="1721" w:type="dxa"/>
            <w:vAlign w:val="bottom"/>
          </w:tcPr>
          <w:p w14:paraId="2DB09A3B" w14:textId="2355324F"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Atpūtas stūrītis</w:t>
            </w:r>
          </w:p>
        </w:tc>
        <w:tc>
          <w:tcPr>
            <w:tcW w:w="1427" w:type="dxa"/>
            <w:vAlign w:val="center"/>
          </w:tcPr>
          <w:p w14:paraId="6B198DB1" w14:textId="3B92FB59"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w:t>
            </w:r>
          </w:p>
        </w:tc>
        <w:tc>
          <w:tcPr>
            <w:tcW w:w="1242" w:type="dxa"/>
            <w:vAlign w:val="center"/>
          </w:tcPr>
          <w:p w14:paraId="7006C42C" w14:textId="3E2887FC"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1 000</w:t>
            </w:r>
          </w:p>
        </w:tc>
        <w:tc>
          <w:tcPr>
            <w:tcW w:w="1275" w:type="dxa"/>
            <w:vAlign w:val="center"/>
          </w:tcPr>
          <w:p w14:paraId="4E5DAB59" w14:textId="2B72393D"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1000</w:t>
            </w:r>
          </w:p>
        </w:tc>
        <w:tc>
          <w:tcPr>
            <w:tcW w:w="1843" w:type="dxa"/>
            <w:vAlign w:val="center"/>
          </w:tcPr>
          <w:p w14:paraId="7A834C78" w14:textId="580AACDB"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1000</w:t>
            </w:r>
          </w:p>
        </w:tc>
        <w:tc>
          <w:tcPr>
            <w:tcW w:w="1581" w:type="dxa"/>
            <w:vAlign w:val="center"/>
          </w:tcPr>
          <w:p w14:paraId="2624DC9C" w14:textId="77777777" w:rsidR="009F1205" w:rsidRPr="00922C41" w:rsidRDefault="009F1205">
            <w:pPr>
              <w:spacing w:after="120"/>
              <w:jc w:val="center"/>
              <w:rPr>
                <w:rFonts w:ascii="Times New Roman" w:eastAsia="Times New Roman" w:hAnsi="Times New Roman"/>
                <w:color w:val="000000"/>
                <w:lang w:eastAsia="en-GB"/>
              </w:rPr>
            </w:pPr>
          </w:p>
        </w:tc>
      </w:tr>
      <w:tr w:rsidR="00154ABB" w14:paraId="7EA47047" w14:textId="6F301CB1" w:rsidTr="005C62FF">
        <w:trPr>
          <w:jc w:val="center"/>
        </w:trPr>
        <w:tc>
          <w:tcPr>
            <w:tcW w:w="1721" w:type="dxa"/>
          </w:tcPr>
          <w:p w14:paraId="094D649F" w14:textId="77777777" w:rsidR="00154ABB" w:rsidRPr="00922C41" w:rsidRDefault="00154ABB" w:rsidP="007649FC">
            <w:pPr>
              <w:spacing w:after="120"/>
              <w:jc w:val="both"/>
              <w:rPr>
                <w:rFonts w:ascii="Times New Roman" w:eastAsia="Times New Roman" w:hAnsi="Times New Roman"/>
                <w:color w:val="000000"/>
                <w:lang w:eastAsia="en-GB"/>
              </w:rPr>
            </w:pPr>
          </w:p>
        </w:tc>
        <w:tc>
          <w:tcPr>
            <w:tcW w:w="7368" w:type="dxa"/>
            <w:gridSpan w:val="5"/>
            <w:vAlign w:val="center"/>
          </w:tcPr>
          <w:p w14:paraId="23C9B235" w14:textId="690548E6" w:rsidR="00154ABB" w:rsidRPr="00922C41" w:rsidRDefault="00154ABB">
            <w:pPr>
              <w:spacing w:after="120"/>
              <w:jc w:val="both"/>
              <w:rPr>
                <w:rFonts w:ascii="Times New Roman" w:eastAsia="Times New Roman" w:hAnsi="Times New Roman"/>
                <w:color w:val="000000"/>
                <w:lang w:eastAsia="en-GB"/>
              </w:rPr>
            </w:pPr>
            <w:r w:rsidRPr="00922C41">
              <w:rPr>
                <w:rFonts w:ascii="Times New Roman" w:eastAsia="Times New Roman" w:hAnsi="Times New Roman"/>
                <w:color w:val="000000"/>
                <w:lang w:eastAsia="en-GB"/>
              </w:rPr>
              <w:t>Biroja tehnika (vienreizējas izmaksas)</w:t>
            </w:r>
          </w:p>
        </w:tc>
      </w:tr>
      <w:tr w:rsidR="009F1205" w14:paraId="723B53B3" w14:textId="0BC65122" w:rsidTr="009F1205">
        <w:trPr>
          <w:jc w:val="center"/>
        </w:trPr>
        <w:tc>
          <w:tcPr>
            <w:tcW w:w="1721" w:type="dxa"/>
            <w:vAlign w:val="bottom"/>
          </w:tcPr>
          <w:p w14:paraId="4A99B6AF" w14:textId="56E305AE"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Dators</w:t>
            </w:r>
          </w:p>
        </w:tc>
        <w:tc>
          <w:tcPr>
            <w:tcW w:w="1427" w:type="dxa"/>
            <w:vAlign w:val="center"/>
          </w:tcPr>
          <w:p w14:paraId="060237B6" w14:textId="17AC5C5A" w:rsidR="009F1205" w:rsidRPr="00922C41" w:rsidRDefault="009F1205" w:rsidP="00E93259">
            <w:pPr>
              <w:spacing w:after="120"/>
              <w:jc w:val="center"/>
              <w:rPr>
                <w:rFonts w:ascii="Times New Roman" w:hAnsi="Times New Roman"/>
                <w:bCs/>
              </w:rPr>
            </w:pPr>
            <w:r w:rsidRPr="00922C41">
              <w:rPr>
                <w:rFonts w:ascii="Times New Roman" w:hAnsi="Times New Roman"/>
                <w:bCs/>
              </w:rPr>
              <w:t>1</w:t>
            </w:r>
          </w:p>
        </w:tc>
        <w:tc>
          <w:tcPr>
            <w:tcW w:w="1242" w:type="dxa"/>
            <w:vAlign w:val="center"/>
          </w:tcPr>
          <w:p w14:paraId="6E27F9E9" w14:textId="31DECEE0"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5 000</w:t>
            </w:r>
          </w:p>
        </w:tc>
        <w:tc>
          <w:tcPr>
            <w:tcW w:w="1275" w:type="dxa"/>
            <w:vAlign w:val="center"/>
          </w:tcPr>
          <w:p w14:paraId="1E1FF652" w14:textId="2C962347"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500</w:t>
            </w:r>
          </w:p>
        </w:tc>
        <w:tc>
          <w:tcPr>
            <w:tcW w:w="1843" w:type="dxa"/>
            <w:vAlign w:val="center"/>
          </w:tcPr>
          <w:p w14:paraId="4B3959EA" w14:textId="16D42CD8"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500</w:t>
            </w:r>
          </w:p>
        </w:tc>
        <w:tc>
          <w:tcPr>
            <w:tcW w:w="1581" w:type="dxa"/>
            <w:vAlign w:val="center"/>
          </w:tcPr>
          <w:p w14:paraId="52232977"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299E97A2" w14:textId="29FAA933" w:rsidTr="009F1205">
        <w:trPr>
          <w:jc w:val="center"/>
        </w:trPr>
        <w:tc>
          <w:tcPr>
            <w:tcW w:w="1721" w:type="dxa"/>
            <w:vAlign w:val="bottom"/>
          </w:tcPr>
          <w:p w14:paraId="36C4816C" w14:textId="5E5DBD26"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Programmas</w:t>
            </w:r>
          </w:p>
        </w:tc>
        <w:tc>
          <w:tcPr>
            <w:tcW w:w="1427" w:type="dxa"/>
            <w:vAlign w:val="center"/>
          </w:tcPr>
          <w:p w14:paraId="2BA5E241" w14:textId="4A5FAF81" w:rsidR="009F1205" w:rsidRPr="00922C41" w:rsidRDefault="009F1205" w:rsidP="00E93259">
            <w:pPr>
              <w:spacing w:after="120"/>
              <w:jc w:val="center"/>
              <w:rPr>
                <w:rFonts w:ascii="Times New Roman" w:hAnsi="Times New Roman"/>
                <w:bCs/>
              </w:rPr>
            </w:pPr>
            <w:r w:rsidRPr="00922C41">
              <w:rPr>
                <w:rFonts w:ascii="Times New Roman" w:hAnsi="Times New Roman"/>
                <w:bCs/>
              </w:rPr>
              <w:t>1</w:t>
            </w:r>
          </w:p>
        </w:tc>
        <w:tc>
          <w:tcPr>
            <w:tcW w:w="1242" w:type="dxa"/>
            <w:vAlign w:val="center"/>
          </w:tcPr>
          <w:p w14:paraId="5CA8FAAF" w14:textId="66D82C1D"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400</w:t>
            </w:r>
          </w:p>
        </w:tc>
        <w:tc>
          <w:tcPr>
            <w:tcW w:w="1275" w:type="dxa"/>
            <w:vAlign w:val="center"/>
          </w:tcPr>
          <w:p w14:paraId="15E59F2C" w14:textId="64C909F9"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400</w:t>
            </w:r>
          </w:p>
        </w:tc>
        <w:tc>
          <w:tcPr>
            <w:tcW w:w="1843" w:type="dxa"/>
            <w:vAlign w:val="center"/>
          </w:tcPr>
          <w:p w14:paraId="2518205F" w14:textId="0F907572"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400</w:t>
            </w:r>
          </w:p>
        </w:tc>
        <w:tc>
          <w:tcPr>
            <w:tcW w:w="1581" w:type="dxa"/>
            <w:vAlign w:val="center"/>
          </w:tcPr>
          <w:p w14:paraId="1039E3BF"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0FCA88F7" w14:textId="17E2BE2D" w:rsidTr="009F1205">
        <w:trPr>
          <w:jc w:val="center"/>
        </w:trPr>
        <w:tc>
          <w:tcPr>
            <w:tcW w:w="1721" w:type="dxa"/>
            <w:vAlign w:val="bottom"/>
          </w:tcPr>
          <w:p w14:paraId="2FA5D445" w14:textId="4D2E4BF2"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Projektors</w:t>
            </w:r>
          </w:p>
        </w:tc>
        <w:tc>
          <w:tcPr>
            <w:tcW w:w="1427" w:type="dxa"/>
            <w:vAlign w:val="center"/>
          </w:tcPr>
          <w:p w14:paraId="07CD2ADE" w14:textId="53DCB44A" w:rsidR="009F1205" w:rsidRPr="00922C41" w:rsidRDefault="009F1205" w:rsidP="00E93259">
            <w:pPr>
              <w:spacing w:after="120"/>
              <w:jc w:val="center"/>
              <w:rPr>
                <w:rFonts w:ascii="Times New Roman" w:hAnsi="Times New Roman"/>
                <w:bCs/>
              </w:rPr>
            </w:pPr>
            <w:r w:rsidRPr="00922C41">
              <w:rPr>
                <w:rFonts w:ascii="Times New Roman" w:hAnsi="Times New Roman"/>
                <w:bCs/>
              </w:rPr>
              <w:t>1</w:t>
            </w:r>
          </w:p>
        </w:tc>
        <w:tc>
          <w:tcPr>
            <w:tcW w:w="1242" w:type="dxa"/>
            <w:vAlign w:val="center"/>
          </w:tcPr>
          <w:p w14:paraId="5038D8D2" w14:textId="4F08F2F5"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400</w:t>
            </w:r>
          </w:p>
        </w:tc>
        <w:tc>
          <w:tcPr>
            <w:tcW w:w="1275" w:type="dxa"/>
            <w:vAlign w:val="center"/>
          </w:tcPr>
          <w:p w14:paraId="64F24B48" w14:textId="33F63DAD"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400</w:t>
            </w:r>
          </w:p>
        </w:tc>
        <w:tc>
          <w:tcPr>
            <w:tcW w:w="1843" w:type="dxa"/>
            <w:vAlign w:val="center"/>
          </w:tcPr>
          <w:p w14:paraId="3E3EF1AF" w14:textId="08A8F695"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400</w:t>
            </w:r>
          </w:p>
        </w:tc>
        <w:tc>
          <w:tcPr>
            <w:tcW w:w="1581" w:type="dxa"/>
            <w:vAlign w:val="center"/>
          </w:tcPr>
          <w:p w14:paraId="70A68921"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5E5ED377" w14:textId="3FE7AD73" w:rsidTr="009F1205">
        <w:trPr>
          <w:jc w:val="center"/>
        </w:trPr>
        <w:tc>
          <w:tcPr>
            <w:tcW w:w="1721" w:type="dxa"/>
            <w:vAlign w:val="bottom"/>
          </w:tcPr>
          <w:p w14:paraId="6BA2A857" w14:textId="04246766"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Apskaņošana</w:t>
            </w:r>
          </w:p>
        </w:tc>
        <w:tc>
          <w:tcPr>
            <w:tcW w:w="1427" w:type="dxa"/>
            <w:vAlign w:val="center"/>
          </w:tcPr>
          <w:p w14:paraId="5A2112EE" w14:textId="54FD5F36" w:rsidR="009F1205" w:rsidRPr="00922C41" w:rsidRDefault="009F1205" w:rsidP="00E93259">
            <w:pPr>
              <w:spacing w:after="120"/>
              <w:jc w:val="center"/>
              <w:rPr>
                <w:rFonts w:ascii="Times New Roman" w:hAnsi="Times New Roman"/>
                <w:bCs/>
              </w:rPr>
            </w:pPr>
            <w:r w:rsidRPr="00922C41">
              <w:rPr>
                <w:rFonts w:ascii="Times New Roman" w:hAnsi="Times New Roman"/>
                <w:bCs/>
              </w:rPr>
              <w:t>1</w:t>
            </w:r>
          </w:p>
        </w:tc>
        <w:tc>
          <w:tcPr>
            <w:tcW w:w="1242" w:type="dxa"/>
            <w:vAlign w:val="center"/>
          </w:tcPr>
          <w:p w14:paraId="2B42FC39" w14:textId="1264CC2C"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100</w:t>
            </w:r>
          </w:p>
        </w:tc>
        <w:tc>
          <w:tcPr>
            <w:tcW w:w="1275" w:type="dxa"/>
            <w:vAlign w:val="center"/>
          </w:tcPr>
          <w:p w14:paraId="41E02215" w14:textId="550878B6"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100</w:t>
            </w:r>
          </w:p>
        </w:tc>
        <w:tc>
          <w:tcPr>
            <w:tcW w:w="1843" w:type="dxa"/>
            <w:vAlign w:val="center"/>
          </w:tcPr>
          <w:p w14:paraId="4E884F80" w14:textId="410BBC01"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100</w:t>
            </w:r>
          </w:p>
        </w:tc>
        <w:tc>
          <w:tcPr>
            <w:tcW w:w="1581" w:type="dxa"/>
            <w:vAlign w:val="center"/>
          </w:tcPr>
          <w:p w14:paraId="35F5F55C" w14:textId="77777777" w:rsidR="009F1205" w:rsidRPr="00922C41" w:rsidRDefault="009F1205">
            <w:pPr>
              <w:spacing w:after="120"/>
              <w:jc w:val="center"/>
              <w:rPr>
                <w:rFonts w:ascii="Times New Roman" w:eastAsia="Times New Roman" w:hAnsi="Times New Roman"/>
                <w:color w:val="000000"/>
                <w:lang w:eastAsia="en-GB"/>
              </w:rPr>
            </w:pPr>
          </w:p>
        </w:tc>
      </w:tr>
      <w:tr w:rsidR="00154ABB" w14:paraId="7AD3DC97" w14:textId="37D2A96F" w:rsidTr="005C62FF">
        <w:trPr>
          <w:jc w:val="center"/>
        </w:trPr>
        <w:tc>
          <w:tcPr>
            <w:tcW w:w="1721" w:type="dxa"/>
          </w:tcPr>
          <w:p w14:paraId="097AD50D" w14:textId="77777777" w:rsidR="00154ABB" w:rsidRPr="00922C41" w:rsidRDefault="00154ABB" w:rsidP="009E6CBB">
            <w:pPr>
              <w:spacing w:after="120"/>
              <w:jc w:val="both"/>
              <w:rPr>
                <w:rFonts w:ascii="Times New Roman" w:eastAsia="Times New Roman" w:hAnsi="Times New Roman"/>
                <w:color w:val="000000"/>
                <w:lang w:eastAsia="en-GB"/>
              </w:rPr>
            </w:pPr>
          </w:p>
        </w:tc>
        <w:tc>
          <w:tcPr>
            <w:tcW w:w="7368" w:type="dxa"/>
            <w:gridSpan w:val="5"/>
            <w:vAlign w:val="center"/>
          </w:tcPr>
          <w:p w14:paraId="27BAC717" w14:textId="45B03BC0" w:rsidR="00154ABB" w:rsidRPr="00922C41" w:rsidRDefault="00154ABB">
            <w:pPr>
              <w:spacing w:after="120"/>
              <w:jc w:val="both"/>
              <w:rPr>
                <w:rFonts w:ascii="Times New Roman" w:eastAsia="Times New Roman" w:hAnsi="Times New Roman"/>
                <w:color w:val="000000"/>
                <w:lang w:eastAsia="en-GB"/>
              </w:rPr>
            </w:pPr>
            <w:r w:rsidRPr="00922C41">
              <w:rPr>
                <w:rFonts w:ascii="Times New Roman" w:eastAsia="Times New Roman" w:hAnsi="Times New Roman"/>
                <w:color w:val="000000"/>
                <w:lang w:eastAsia="en-GB"/>
              </w:rPr>
              <w:t>Materiāli/ tehnika (vienreizējas izmaksas, izņemot biroja preces un mākslas materiāli)</w:t>
            </w:r>
          </w:p>
        </w:tc>
      </w:tr>
      <w:tr w:rsidR="009F1205" w14:paraId="07E9626D" w14:textId="437486EF" w:rsidTr="009F1205">
        <w:trPr>
          <w:jc w:val="center"/>
        </w:trPr>
        <w:tc>
          <w:tcPr>
            <w:tcW w:w="1721" w:type="dxa"/>
            <w:vAlign w:val="bottom"/>
          </w:tcPr>
          <w:p w14:paraId="36A8C642" w14:textId="45E56396"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Trenažieris</w:t>
            </w:r>
          </w:p>
        </w:tc>
        <w:tc>
          <w:tcPr>
            <w:tcW w:w="1427" w:type="dxa"/>
            <w:vAlign w:val="center"/>
          </w:tcPr>
          <w:p w14:paraId="03CAADD5" w14:textId="7A47DC4F"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2</w:t>
            </w:r>
          </w:p>
        </w:tc>
        <w:tc>
          <w:tcPr>
            <w:tcW w:w="1242" w:type="dxa"/>
            <w:vAlign w:val="center"/>
          </w:tcPr>
          <w:p w14:paraId="275865BA" w14:textId="56E4BA9E"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1500</w:t>
            </w:r>
          </w:p>
        </w:tc>
        <w:tc>
          <w:tcPr>
            <w:tcW w:w="1275" w:type="dxa"/>
            <w:vAlign w:val="center"/>
          </w:tcPr>
          <w:p w14:paraId="117B8319" w14:textId="7A383CB0"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3000</w:t>
            </w:r>
          </w:p>
        </w:tc>
        <w:tc>
          <w:tcPr>
            <w:tcW w:w="1843" w:type="dxa"/>
            <w:vAlign w:val="center"/>
          </w:tcPr>
          <w:p w14:paraId="4A610AD5" w14:textId="5A7D3355"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3000</w:t>
            </w:r>
          </w:p>
        </w:tc>
        <w:tc>
          <w:tcPr>
            <w:tcW w:w="1581" w:type="dxa"/>
            <w:vAlign w:val="center"/>
          </w:tcPr>
          <w:p w14:paraId="686966E6"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7910743B" w14:textId="2E9D6ADC" w:rsidTr="009F1205">
        <w:trPr>
          <w:jc w:val="center"/>
        </w:trPr>
        <w:tc>
          <w:tcPr>
            <w:tcW w:w="1721" w:type="dxa"/>
            <w:vAlign w:val="bottom"/>
          </w:tcPr>
          <w:p w14:paraId="22AC1D7F" w14:textId="0C2A5932"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Vingrošanas materiāli</w:t>
            </w:r>
          </w:p>
        </w:tc>
        <w:tc>
          <w:tcPr>
            <w:tcW w:w="1427" w:type="dxa"/>
            <w:vAlign w:val="center"/>
          </w:tcPr>
          <w:p w14:paraId="3FF453F9" w14:textId="31DBC1B4"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24</w:t>
            </w:r>
          </w:p>
        </w:tc>
        <w:tc>
          <w:tcPr>
            <w:tcW w:w="1242" w:type="dxa"/>
            <w:vAlign w:val="center"/>
          </w:tcPr>
          <w:p w14:paraId="04E34081" w14:textId="430D4B26"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55</w:t>
            </w:r>
          </w:p>
        </w:tc>
        <w:tc>
          <w:tcPr>
            <w:tcW w:w="1275" w:type="dxa"/>
            <w:vAlign w:val="center"/>
          </w:tcPr>
          <w:p w14:paraId="1B465233" w14:textId="1027266A"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1320</w:t>
            </w:r>
          </w:p>
        </w:tc>
        <w:tc>
          <w:tcPr>
            <w:tcW w:w="1843" w:type="dxa"/>
            <w:vAlign w:val="center"/>
          </w:tcPr>
          <w:p w14:paraId="73CC20BA" w14:textId="48F95E83"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1320</w:t>
            </w:r>
          </w:p>
        </w:tc>
        <w:tc>
          <w:tcPr>
            <w:tcW w:w="1581" w:type="dxa"/>
            <w:vAlign w:val="center"/>
          </w:tcPr>
          <w:p w14:paraId="68194393" w14:textId="77777777" w:rsidR="009F1205" w:rsidRPr="00922C41" w:rsidRDefault="009F1205">
            <w:pPr>
              <w:spacing w:after="120"/>
              <w:jc w:val="center"/>
              <w:rPr>
                <w:rFonts w:ascii="Times New Roman" w:eastAsia="Times New Roman" w:hAnsi="Times New Roman"/>
                <w:color w:val="000000"/>
                <w:lang w:eastAsia="en-GB"/>
              </w:rPr>
            </w:pPr>
          </w:p>
        </w:tc>
      </w:tr>
      <w:tr w:rsidR="009F1205" w14:paraId="02577343" w14:textId="2C424D73" w:rsidTr="009F1205">
        <w:trPr>
          <w:jc w:val="center"/>
        </w:trPr>
        <w:tc>
          <w:tcPr>
            <w:tcW w:w="1721" w:type="dxa"/>
            <w:vAlign w:val="bottom"/>
          </w:tcPr>
          <w:p w14:paraId="0359C35A" w14:textId="4FAC95A0"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Mākslas materiāli</w:t>
            </w:r>
          </w:p>
        </w:tc>
        <w:tc>
          <w:tcPr>
            <w:tcW w:w="1427" w:type="dxa"/>
            <w:vAlign w:val="center"/>
          </w:tcPr>
          <w:p w14:paraId="25A7F6D7" w14:textId="56A2EBBC"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24</w:t>
            </w:r>
          </w:p>
        </w:tc>
        <w:tc>
          <w:tcPr>
            <w:tcW w:w="1242" w:type="dxa"/>
            <w:vAlign w:val="center"/>
          </w:tcPr>
          <w:p w14:paraId="12B6ED7F" w14:textId="7008BDFA"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5</w:t>
            </w:r>
          </w:p>
        </w:tc>
        <w:tc>
          <w:tcPr>
            <w:tcW w:w="1275" w:type="dxa"/>
            <w:vAlign w:val="center"/>
          </w:tcPr>
          <w:p w14:paraId="37B550DA" w14:textId="21ABB5A9"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120</w:t>
            </w:r>
          </w:p>
        </w:tc>
        <w:tc>
          <w:tcPr>
            <w:tcW w:w="1843" w:type="dxa"/>
            <w:vAlign w:val="center"/>
          </w:tcPr>
          <w:p w14:paraId="41EB7E42" w14:textId="4E202E79"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72</w:t>
            </w:r>
            <w:r w:rsidR="00DE5AEF" w:rsidRPr="00922C41">
              <w:rPr>
                <w:rFonts w:ascii="Times New Roman" w:eastAsia="Times New Roman" w:hAnsi="Times New Roman"/>
                <w:color w:val="000000"/>
                <w:lang w:eastAsia="en-GB"/>
              </w:rPr>
              <w:t>0</w:t>
            </w:r>
          </w:p>
        </w:tc>
        <w:tc>
          <w:tcPr>
            <w:tcW w:w="1581" w:type="dxa"/>
            <w:vAlign w:val="center"/>
          </w:tcPr>
          <w:p w14:paraId="06A1EF9A" w14:textId="6C6D211C"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1 440</w:t>
            </w:r>
          </w:p>
        </w:tc>
      </w:tr>
      <w:tr w:rsidR="009F1205" w14:paraId="5E539DAB" w14:textId="0D718A9D" w:rsidTr="009F1205">
        <w:trPr>
          <w:jc w:val="center"/>
        </w:trPr>
        <w:tc>
          <w:tcPr>
            <w:tcW w:w="1721" w:type="dxa"/>
            <w:vAlign w:val="bottom"/>
          </w:tcPr>
          <w:p w14:paraId="076DE9B1" w14:textId="2AF4F963" w:rsidR="009F1205" w:rsidRPr="00922C41" w:rsidRDefault="009F1205" w:rsidP="00E93259">
            <w:pPr>
              <w:spacing w:after="120"/>
              <w:jc w:val="both"/>
              <w:rPr>
                <w:rFonts w:ascii="Times New Roman" w:hAnsi="Times New Roman"/>
              </w:rPr>
            </w:pPr>
            <w:r w:rsidRPr="00922C41">
              <w:rPr>
                <w:rFonts w:ascii="Times New Roman" w:eastAsia="Times New Roman" w:hAnsi="Times New Roman"/>
                <w:color w:val="000000"/>
                <w:lang w:eastAsia="en-GB"/>
              </w:rPr>
              <w:t>Biroja preces</w:t>
            </w:r>
          </w:p>
        </w:tc>
        <w:tc>
          <w:tcPr>
            <w:tcW w:w="1427" w:type="dxa"/>
            <w:vAlign w:val="center"/>
          </w:tcPr>
          <w:p w14:paraId="1EAAD8EF" w14:textId="433A60DD"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w:t>
            </w:r>
          </w:p>
        </w:tc>
        <w:tc>
          <w:tcPr>
            <w:tcW w:w="1242" w:type="dxa"/>
            <w:vAlign w:val="center"/>
          </w:tcPr>
          <w:p w14:paraId="3FC0DD48" w14:textId="67F691FA"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75</w:t>
            </w:r>
          </w:p>
        </w:tc>
        <w:tc>
          <w:tcPr>
            <w:tcW w:w="1275" w:type="dxa"/>
            <w:vAlign w:val="center"/>
          </w:tcPr>
          <w:p w14:paraId="1B51140E" w14:textId="611A30B8"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75</w:t>
            </w:r>
          </w:p>
        </w:tc>
        <w:tc>
          <w:tcPr>
            <w:tcW w:w="1843" w:type="dxa"/>
            <w:vAlign w:val="center"/>
          </w:tcPr>
          <w:p w14:paraId="107B1EA7" w14:textId="44CBE97F"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450</w:t>
            </w:r>
          </w:p>
        </w:tc>
        <w:tc>
          <w:tcPr>
            <w:tcW w:w="1581" w:type="dxa"/>
            <w:vAlign w:val="center"/>
          </w:tcPr>
          <w:p w14:paraId="57DF6E31" w14:textId="60BC7E70"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900</w:t>
            </w:r>
          </w:p>
        </w:tc>
      </w:tr>
      <w:tr w:rsidR="00154ABB" w14:paraId="5E689A47" w14:textId="319340BE" w:rsidTr="005C62FF">
        <w:trPr>
          <w:jc w:val="center"/>
        </w:trPr>
        <w:tc>
          <w:tcPr>
            <w:tcW w:w="1721" w:type="dxa"/>
          </w:tcPr>
          <w:p w14:paraId="48E82BF0" w14:textId="77777777" w:rsidR="00154ABB" w:rsidRPr="00922C41" w:rsidRDefault="00154ABB" w:rsidP="009E6CBB">
            <w:pPr>
              <w:spacing w:after="120"/>
              <w:jc w:val="both"/>
              <w:rPr>
                <w:rFonts w:ascii="Times New Roman" w:hAnsi="Times New Roman"/>
                <w:bCs/>
              </w:rPr>
            </w:pPr>
          </w:p>
        </w:tc>
        <w:tc>
          <w:tcPr>
            <w:tcW w:w="7368" w:type="dxa"/>
            <w:gridSpan w:val="5"/>
            <w:vAlign w:val="center"/>
          </w:tcPr>
          <w:p w14:paraId="792784EC" w14:textId="36B52918" w:rsidR="00154ABB" w:rsidRPr="00922C41" w:rsidRDefault="00154ABB">
            <w:pPr>
              <w:spacing w:after="120"/>
              <w:jc w:val="both"/>
              <w:rPr>
                <w:rFonts w:ascii="Times New Roman" w:hAnsi="Times New Roman"/>
              </w:rPr>
            </w:pPr>
            <w:r w:rsidRPr="00922C41">
              <w:rPr>
                <w:rFonts w:ascii="Times New Roman" w:hAnsi="Times New Roman"/>
              </w:rPr>
              <w:t>Apmācības</w:t>
            </w:r>
          </w:p>
        </w:tc>
      </w:tr>
      <w:tr w:rsidR="009F1205" w14:paraId="4981F676" w14:textId="7C235202" w:rsidTr="009F1205">
        <w:trPr>
          <w:jc w:val="center"/>
        </w:trPr>
        <w:tc>
          <w:tcPr>
            <w:tcW w:w="1721" w:type="dxa"/>
          </w:tcPr>
          <w:p w14:paraId="39F37193" w14:textId="2BA0D08A" w:rsidR="009F1205" w:rsidRPr="00922C41" w:rsidRDefault="009F1205" w:rsidP="00E93259">
            <w:pPr>
              <w:spacing w:after="120"/>
              <w:jc w:val="both"/>
              <w:rPr>
                <w:rFonts w:ascii="Times New Roman" w:hAnsi="Times New Roman"/>
              </w:rPr>
            </w:pPr>
            <w:r w:rsidRPr="00922C41">
              <w:rPr>
                <w:rFonts w:ascii="Times New Roman" w:hAnsi="Times New Roman"/>
              </w:rPr>
              <w:t>Apmācības 1</w:t>
            </w:r>
          </w:p>
        </w:tc>
        <w:tc>
          <w:tcPr>
            <w:tcW w:w="1427" w:type="dxa"/>
            <w:vAlign w:val="center"/>
          </w:tcPr>
          <w:p w14:paraId="4B58EF97" w14:textId="2B806421"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3</w:t>
            </w:r>
          </w:p>
        </w:tc>
        <w:tc>
          <w:tcPr>
            <w:tcW w:w="1242" w:type="dxa"/>
            <w:vAlign w:val="center"/>
          </w:tcPr>
          <w:p w14:paraId="77B8989D" w14:textId="6340E0D9"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200</w:t>
            </w:r>
          </w:p>
        </w:tc>
        <w:tc>
          <w:tcPr>
            <w:tcW w:w="1275" w:type="dxa"/>
            <w:vAlign w:val="center"/>
          </w:tcPr>
          <w:p w14:paraId="2DEC4FDE" w14:textId="5DC98121"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600</w:t>
            </w:r>
          </w:p>
        </w:tc>
        <w:tc>
          <w:tcPr>
            <w:tcW w:w="1843" w:type="dxa"/>
            <w:vAlign w:val="center"/>
          </w:tcPr>
          <w:p w14:paraId="5DC0D395" w14:textId="166BC095"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600</w:t>
            </w:r>
          </w:p>
        </w:tc>
        <w:tc>
          <w:tcPr>
            <w:tcW w:w="1581" w:type="dxa"/>
            <w:vAlign w:val="center"/>
          </w:tcPr>
          <w:p w14:paraId="720E15BA" w14:textId="0C3968CC"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1 200</w:t>
            </w:r>
          </w:p>
        </w:tc>
      </w:tr>
      <w:tr w:rsidR="009F1205" w14:paraId="08364FB9" w14:textId="21647C47" w:rsidTr="009F1205">
        <w:trPr>
          <w:jc w:val="center"/>
        </w:trPr>
        <w:tc>
          <w:tcPr>
            <w:tcW w:w="1721" w:type="dxa"/>
          </w:tcPr>
          <w:p w14:paraId="3C8DC538" w14:textId="2B3C06E2" w:rsidR="009F1205" w:rsidRPr="00922C41" w:rsidRDefault="009F1205" w:rsidP="00E93259">
            <w:pPr>
              <w:spacing w:after="120"/>
              <w:jc w:val="both"/>
              <w:rPr>
                <w:rFonts w:ascii="Times New Roman" w:hAnsi="Times New Roman"/>
              </w:rPr>
            </w:pPr>
            <w:r w:rsidRPr="00922C41">
              <w:rPr>
                <w:rFonts w:ascii="Times New Roman" w:hAnsi="Times New Roman"/>
              </w:rPr>
              <w:t>Apmācības 2</w:t>
            </w:r>
          </w:p>
        </w:tc>
        <w:tc>
          <w:tcPr>
            <w:tcW w:w="1427" w:type="dxa"/>
            <w:vAlign w:val="center"/>
          </w:tcPr>
          <w:p w14:paraId="25D3CF42" w14:textId="21EF1F1F"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30</w:t>
            </w:r>
          </w:p>
        </w:tc>
        <w:tc>
          <w:tcPr>
            <w:tcW w:w="1242" w:type="dxa"/>
            <w:vAlign w:val="center"/>
          </w:tcPr>
          <w:p w14:paraId="13D4359A" w14:textId="2A053CBC"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35</w:t>
            </w:r>
          </w:p>
        </w:tc>
        <w:tc>
          <w:tcPr>
            <w:tcW w:w="1275" w:type="dxa"/>
            <w:vAlign w:val="center"/>
          </w:tcPr>
          <w:p w14:paraId="49C2EF9E" w14:textId="3EC7D5B1"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1 050</w:t>
            </w:r>
          </w:p>
        </w:tc>
        <w:tc>
          <w:tcPr>
            <w:tcW w:w="1843" w:type="dxa"/>
            <w:vAlign w:val="center"/>
          </w:tcPr>
          <w:p w14:paraId="566F55AA" w14:textId="135DBEAC" w:rsidR="009F1205" w:rsidRPr="00922C41" w:rsidRDefault="009F1205" w:rsidP="00E93259">
            <w:pPr>
              <w:spacing w:after="120"/>
              <w:jc w:val="center"/>
              <w:rPr>
                <w:rFonts w:ascii="Times New Roman" w:hAnsi="Times New Roman"/>
                <w:bCs/>
              </w:rPr>
            </w:pPr>
            <w:r w:rsidRPr="00922C41">
              <w:rPr>
                <w:rFonts w:ascii="Times New Roman" w:eastAsia="Times New Roman" w:hAnsi="Times New Roman"/>
                <w:color w:val="000000"/>
                <w:lang w:eastAsia="en-GB"/>
              </w:rPr>
              <w:t>1 050</w:t>
            </w:r>
          </w:p>
        </w:tc>
        <w:tc>
          <w:tcPr>
            <w:tcW w:w="1581" w:type="dxa"/>
            <w:vAlign w:val="center"/>
          </w:tcPr>
          <w:p w14:paraId="27008570" w14:textId="32F1F91E" w:rsidR="009F1205" w:rsidRPr="00922C41" w:rsidRDefault="009F1205">
            <w:pPr>
              <w:spacing w:after="120"/>
              <w:jc w:val="center"/>
              <w:rPr>
                <w:rFonts w:ascii="Times New Roman" w:eastAsia="Times New Roman" w:hAnsi="Times New Roman"/>
                <w:color w:val="000000"/>
                <w:lang w:eastAsia="en-GB"/>
              </w:rPr>
            </w:pPr>
            <w:r w:rsidRPr="00922C41">
              <w:rPr>
                <w:rFonts w:ascii="Times New Roman" w:eastAsia="Times New Roman" w:hAnsi="Times New Roman"/>
                <w:color w:val="000000"/>
                <w:lang w:eastAsia="en-GB"/>
              </w:rPr>
              <w:t>1 050</w:t>
            </w:r>
          </w:p>
        </w:tc>
      </w:tr>
      <w:tr w:rsidR="009F1205" w14:paraId="6D87E6E3" w14:textId="5A0BE4C4" w:rsidTr="009F1205">
        <w:trPr>
          <w:jc w:val="center"/>
        </w:trPr>
        <w:tc>
          <w:tcPr>
            <w:tcW w:w="1721" w:type="dxa"/>
          </w:tcPr>
          <w:p w14:paraId="102554BC" w14:textId="77777777" w:rsidR="009F1205" w:rsidRPr="00922C41" w:rsidRDefault="009F1205">
            <w:pPr>
              <w:spacing w:after="120"/>
              <w:jc w:val="right"/>
              <w:rPr>
                <w:rFonts w:ascii="Times New Roman" w:eastAsia="Times New Roman" w:hAnsi="Times New Roman"/>
                <w:color w:val="000000"/>
                <w:lang w:eastAsia="en-GB"/>
              </w:rPr>
            </w:pPr>
          </w:p>
        </w:tc>
        <w:tc>
          <w:tcPr>
            <w:tcW w:w="3944" w:type="dxa"/>
            <w:gridSpan w:val="3"/>
            <w:vAlign w:val="center"/>
          </w:tcPr>
          <w:p w14:paraId="15A8B9DF" w14:textId="4F19141C" w:rsidR="009F1205" w:rsidRPr="00922C41" w:rsidRDefault="009F1205" w:rsidP="00E93259">
            <w:pPr>
              <w:spacing w:after="120"/>
              <w:jc w:val="right"/>
              <w:rPr>
                <w:rFonts w:ascii="Times New Roman" w:eastAsia="Times New Roman" w:hAnsi="Times New Roman"/>
                <w:color w:val="000000" w:themeColor="text1"/>
                <w:lang w:eastAsia="en-GB"/>
              </w:rPr>
            </w:pPr>
            <w:r w:rsidRPr="00922C41">
              <w:rPr>
                <w:rFonts w:ascii="Times New Roman" w:eastAsia="Times New Roman" w:hAnsi="Times New Roman"/>
                <w:color w:val="000000"/>
                <w:lang w:eastAsia="en-GB"/>
              </w:rPr>
              <w:t>Kopā nepieciešams:</w:t>
            </w:r>
          </w:p>
        </w:tc>
        <w:tc>
          <w:tcPr>
            <w:tcW w:w="1843" w:type="dxa"/>
            <w:vAlign w:val="center"/>
          </w:tcPr>
          <w:p w14:paraId="04EF5B22" w14:textId="19313429" w:rsidR="009F1205" w:rsidRPr="00922C41" w:rsidRDefault="009F1205" w:rsidP="004913FE">
            <w:pPr>
              <w:spacing w:after="120"/>
              <w:jc w:val="center"/>
              <w:rPr>
                <w:rFonts w:ascii="Times New Roman" w:eastAsia="Times New Roman" w:hAnsi="Times New Roman"/>
                <w:b/>
                <w:color w:val="000000"/>
                <w:lang w:eastAsia="en-GB"/>
              </w:rPr>
            </w:pPr>
            <w:r w:rsidRPr="00922C41">
              <w:rPr>
                <w:rFonts w:ascii="Times New Roman" w:eastAsia="Times New Roman" w:hAnsi="Times New Roman"/>
                <w:b/>
                <w:color w:val="000000"/>
                <w:lang w:eastAsia="en-GB"/>
              </w:rPr>
              <w:t>77 013</w:t>
            </w:r>
          </w:p>
        </w:tc>
        <w:tc>
          <w:tcPr>
            <w:tcW w:w="1581" w:type="dxa"/>
            <w:vAlign w:val="center"/>
          </w:tcPr>
          <w:p w14:paraId="15540D32" w14:textId="5C7B2D55" w:rsidR="009F1205" w:rsidRPr="00922C41" w:rsidRDefault="009F1205" w:rsidP="004913FE">
            <w:pPr>
              <w:spacing w:after="120"/>
              <w:jc w:val="center"/>
              <w:rPr>
                <w:rFonts w:ascii="Times New Roman" w:eastAsia="Times New Roman" w:hAnsi="Times New Roman"/>
                <w:b/>
                <w:color w:val="000000"/>
                <w:lang w:eastAsia="en-GB"/>
              </w:rPr>
            </w:pPr>
            <w:r w:rsidRPr="00922C41">
              <w:rPr>
                <w:rFonts w:ascii="Times New Roman" w:eastAsia="Times New Roman" w:hAnsi="Times New Roman"/>
                <w:b/>
                <w:color w:val="000000"/>
                <w:lang w:eastAsia="en-GB"/>
              </w:rPr>
              <w:t>134 336</w:t>
            </w:r>
          </w:p>
        </w:tc>
      </w:tr>
    </w:tbl>
    <w:p w14:paraId="587FEA6B" w14:textId="77777777" w:rsidR="00507A10" w:rsidRDefault="00507A10" w:rsidP="00BD1903">
      <w:pPr>
        <w:spacing w:after="120"/>
        <w:ind w:firstLine="720"/>
        <w:jc w:val="both"/>
        <w:rPr>
          <w:rFonts w:ascii="Times New Roman" w:hAnsi="Times New Roman" w:cs="Times New Roman"/>
          <w:bCs/>
          <w:sz w:val="24"/>
          <w:szCs w:val="24"/>
        </w:rPr>
      </w:pPr>
    </w:p>
    <w:p w14:paraId="63CACB0B" w14:textId="71384D96" w:rsidR="00A7260E" w:rsidRDefault="009023F0" w:rsidP="00BD1903">
      <w:pPr>
        <w:spacing w:after="120"/>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No </w:t>
      </w:r>
      <w:r w:rsidR="00A7260E">
        <w:rPr>
          <w:rFonts w:ascii="Times New Roman" w:hAnsi="Times New Roman" w:cs="Times New Roman"/>
          <w:bCs/>
          <w:sz w:val="24"/>
          <w:szCs w:val="24"/>
        </w:rPr>
        <w:t>2019.gada</w:t>
      </w:r>
      <w:r>
        <w:rPr>
          <w:rFonts w:ascii="Times New Roman" w:hAnsi="Times New Roman" w:cs="Times New Roman"/>
          <w:bCs/>
          <w:sz w:val="24"/>
          <w:szCs w:val="24"/>
        </w:rPr>
        <w:t>a 1.jūlija</w:t>
      </w:r>
      <w:r w:rsidR="00A7260E">
        <w:rPr>
          <w:rFonts w:ascii="Times New Roman" w:hAnsi="Times New Roman" w:cs="Times New Roman"/>
          <w:bCs/>
          <w:sz w:val="24"/>
          <w:szCs w:val="24"/>
        </w:rPr>
        <w:t xml:space="preserve"> nepieciešami </w:t>
      </w:r>
      <w:r>
        <w:rPr>
          <w:rFonts w:ascii="Times New Roman" w:hAnsi="Times New Roman" w:cs="Times New Roman"/>
          <w:b/>
          <w:bCs/>
          <w:sz w:val="24"/>
          <w:szCs w:val="24"/>
        </w:rPr>
        <w:t>7</w:t>
      </w:r>
      <w:r w:rsidR="002C1EF5">
        <w:rPr>
          <w:rFonts w:ascii="Times New Roman" w:hAnsi="Times New Roman" w:cs="Times New Roman"/>
          <w:b/>
          <w:bCs/>
          <w:sz w:val="24"/>
          <w:szCs w:val="24"/>
        </w:rPr>
        <w:t>7 013</w:t>
      </w:r>
      <w:r w:rsidR="00A7260E" w:rsidRPr="00A7260E">
        <w:rPr>
          <w:rFonts w:ascii="Times New Roman" w:hAnsi="Times New Roman" w:cs="Times New Roman"/>
          <w:b/>
          <w:bCs/>
          <w:sz w:val="24"/>
          <w:szCs w:val="24"/>
        </w:rPr>
        <w:t xml:space="preserve"> </w:t>
      </w:r>
      <w:r w:rsidR="00A7260E" w:rsidRPr="00A4683F">
        <w:rPr>
          <w:rFonts w:ascii="Times New Roman" w:hAnsi="Times New Roman" w:cs="Times New Roman"/>
          <w:b/>
          <w:bCs/>
          <w:i/>
          <w:sz w:val="24"/>
          <w:szCs w:val="24"/>
        </w:rPr>
        <w:t>euro</w:t>
      </w:r>
      <w:r w:rsidR="00A90CC7">
        <w:rPr>
          <w:rFonts w:ascii="Times New Roman" w:hAnsi="Times New Roman" w:cs="Times New Roman"/>
          <w:b/>
          <w:bCs/>
          <w:i/>
          <w:sz w:val="24"/>
          <w:szCs w:val="24"/>
        </w:rPr>
        <w:t xml:space="preserve"> </w:t>
      </w:r>
      <w:r w:rsidR="00A90CC7" w:rsidRPr="00E93259">
        <w:rPr>
          <w:rFonts w:ascii="Times New Roman" w:hAnsi="Times New Roman" w:cs="Times New Roman"/>
          <w:bCs/>
          <w:sz w:val="24"/>
          <w:szCs w:val="24"/>
        </w:rPr>
        <w:t>(</w:t>
      </w:r>
      <w:r w:rsidR="00AB7A47">
        <w:rPr>
          <w:rFonts w:ascii="Times New Roman" w:hAnsi="Times New Roman" w:cs="Times New Roman"/>
          <w:bCs/>
          <w:sz w:val="24"/>
          <w:szCs w:val="24"/>
        </w:rPr>
        <w:t>3</w:t>
      </w:r>
      <w:r w:rsidR="00F82640">
        <w:rPr>
          <w:rFonts w:ascii="Times New Roman" w:hAnsi="Times New Roman" w:cs="Times New Roman"/>
          <w:bCs/>
          <w:sz w:val="24"/>
          <w:szCs w:val="24"/>
        </w:rPr>
        <w:t>3</w:t>
      </w:r>
      <w:r w:rsidR="00A90CC7" w:rsidRPr="00E93259">
        <w:rPr>
          <w:rFonts w:ascii="Times New Roman" w:hAnsi="Times New Roman" w:cs="Times New Roman"/>
          <w:bCs/>
          <w:sz w:val="24"/>
          <w:szCs w:val="24"/>
        </w:rPr>
        <w:t>.</w:t>
      </w:r>
      <w:r w:rsidR="00F82640">
        <w:rPr>
          <w:rFonts w:ascii="Times New Roman" w:hAnsi="Times New Roman" w:cs="Times New Roman"/>
          <w:bCs/>
          <w:sz w:val="24"/>
          <w:szCs w:val="24"/>
        </w:rPr>
        <w:t xml:space="preserve"> un 34.</w:t>
      </w:r>
      <w:r w:rsidR="00A90CC7" w:rsidRPr="00E93259">
        <w:rPr>
          <w:rFonts w:ascii="Times New Roman" w:hAnsi="Times New Roman" w:cs="Times New Roman"/>
          <w:bCs/>
          <w:sz w:val="24"/>
          <w:szCs w:val="24"/>
        </w:rPr>
        <w:t>tabula)</w:t>
      </w:r>
      <w:r w:rsidR="00A7260E" w:rsidRPr="00A90CC7">
        <w:rPr>
          <w:rFonts w:ascii="Times New Roman" w:hAnsi="Times New Roman" w:cs="Times New Roman"/>
          <w:bCs/>
          <w:sz w:val="24"/>
          <w:szCs w:val="24"/>
        </w:rPr>
        <w:t>,</w:t>
      </w:r>
      <w:r w:rsidR="00A7260E" w:rsidRPr="00A7260E">
        <w:rPr>
          <w:rFonts w:ascii="Times New Roman" w:hAnsi="Times New Roman" w:cs="Times New Roman"/>
          <w:bCs/>
          <w:sz w:val="24"/>
          <w:szCs w:val="24"/>
        </w:rPr>
        <w:t xml:space="preserve"> lai nodrošinātu psihoemocionālā atbalsta dienas centra “Spēka avots” izveidi</w:t>
      </w:r>
      <w:r w:rsidR="001E4659">
        <w:rPr>
          <w:rFonts w:ascii="Times New Roman" w:hAnsi="Times New Roman" w:cs="Times New Roman"/>
          <w:bCs/>
          <w:sz w:val="24"/>
          <w:szCs w:val="24"/>
        </w:rPr>
        <w:t xml:space="preserve"> (pilnam gadam nepieciešami 134 336 </w:t>
      </w:r>
      <w:r w:rsidR="001E4659" w:rsidRPr="00E93259">
        <w:rPr>
          <w:rFonts w:ascii="Times New Roman" w:hAnsi="Times New Roman" w:cs="Times New Roman"/>
          <w:bCs/>
          <w:i/>
          <w:sz w:val="24"/>
          <w:szCs w:val="24"/>
        </w:rPr>
        <w:t>euro)</w:t>
      </w:r>
      <w:r w:rsidR="00A7260E" w:rsidRPr="00A7260E">
        <w:rPr>
          <w:rFonts w:ascii="Times New Roman" w:hAnsi="Times New Roman" w:cs="Times New Roman"/>
          <w:bCs/>
          <w:sz w:val="24"/>
          <w:szCs w:val="24"/>
        </w:rPr>
        <w:t>.</w:t>
      </w:r>
    </w:p>
    <w:p w14:paraId="615F9A87" w14:textId="77777777" w:rsidR="009B503F" w:rsidRPr="00E11AFF" w:rsidRDefault="009B503F" w:rsidP="009B503F">
      <w:pPr>
        <w:spacing w:after="120"/>
        <w:jc w:val="both"/>
        <w:rPr>
          <w:rFonts w:ascii="Times New Roman" w:hAnsi="Times New Roman" w:cs="Times New Roman"/>
          <w:bCs/>
          <w:sz w:val="24"/>
          <w:szCs w:val="24"/>
        </w:rPr>
      </w:pPr>
      <w:r w:rsidRPr="00E11AFF">
        <w:rPr>
          <w:rFonts w:ascii="Times New Roman" w:hAnsi="Times New Roman" w:cs="Times New Roman"/>
          <w:bCs/>
          <w:sz w:val="24"/>
          <w:szCs w:val="24"/>
        </w:rPr>
        <w:t>Plānots, ka, ieviešot psihosociālās rehabilitācijas pakalpojumu, tiks:</w:t>
      </w:r>
    </w:p>
    <w:p w14:paraId="60139C20" w14:textId="77777777" w:rsidR="009B503F" w:rsidRPr="00E11AFF" w:rsidRDefault="009B503F" w:rsidP="00E93259">
      <w:pPr>
        <w:pStyle w:val="ListParagraph"/>
        <w:numPr>
          <w:ilvl w:val="0"/>
          <w:numId w:val="40"/>
        </w:numPr>
        <w:spacing w:after="120"/>
        <w:jc w:val="both"/>
        <w:rPr>
          <w:rFonts w:ascii="Times New Roman" w:hAnsi="Times New Roman"/>
          <w:sz w:val="24"/>
          <w:szCs w:val="24"/>
        </w:rPr>
      </w:pPr>
      <w:r w:rsidRPr="00E11AFF">
        <w:rPr>
          <w:rFonts w:ascii="Times New Roman" w:hAnsi="Times New Roman"/>
          <w:sz w:val="24"/>
          <w:szCs w:val="24"/>
          <w:lang w:val="lv-LV"/>
        </w:rPr>
        <w:t>Izveidots kabinets pakalpojuma sniegšanai un apmācīti darbinieki komunikācijai ar pacientiem, tai skaitā par krīžu komunikāciju;</w:t>
      </w:r>
    </w:p>
    <w:p w14:paraId="4EEFDB11" w14:textId="6B1F0864" w:rsidR="008C1293" w:rsidRPr="00E11AFF" w:rsidRDefault="009B503F" w:rsidP="0042613F">
      <w:pPr>
        <w:pStyle w:val="ListParagraph"/>
        <w:numPr>
          <w:ilvl w:val="0"/>
          <w:numId w:val="40"/>
        </w:numPr>
        <w:spacing w:after="120"/>
        <w:jc w:val="both"/>
        <w:rPr>
          <w:rFonts w:ascii="Times New Roman" w:hAnsi="Times New Roman"/>
          <w:bCs/>
          <w:sz w:val="24"/>
          <w:szCs w:val="24"/>
        </w:rPr>
      </w:pPr>
      <w:r w:rsidRPr="00E11AFF">
        <w:rPr>
          <w:rFonts w:ascii="Times New Roman" w:hAnsi="Times New Roman"/>
          <w:bCs/>
          <w:sz w:val="24"/>
          <w:szCs w:val="24"/>
          <w:lang w:val="lv-LV"/>
        </w:rPr>
        <w:t>20% no pacientiem</w:t>
      </w:r>
      <w:r w:rsidR="00DA10C0" w:rsidRPr="00E11AFF">
        <w:rPr>
          <w:rFonts w:ascii="Times New Roman" w:hAnsi="Times New Roman"/>
          <w:bCs/>
          <w:sz w:val="24"/>
          <w:szCs w:val="24"/>
          <w:lang w:val="lv-LV"/>
        </w:rPr>
        <w:t xml:space="preserve"> (apmēram 2352 pacientiem)</w:t>
      </w:r>
      <w:r w:rsidRPr="00E11AFF">
        <w:rPr>
          <w:rFonts w:ascii="Times New Roman" w:hAnsi="Times New Roman"/>
          <w:bCs/>
          <w:sz w:val="24"/>
          <w:szCs w:val="24"/>
          <w:lang w:val="lv-LV"/>
        </w:rPr>
        <w:t>, kuriem pirmo reizi atklāts ļaundabīgais audzējs, sniegts psihosociā</w:t>
      </w:r>
      <w:r w:rsidR="0042613F" w:rsidRPr="00E11AFF">
        <w:rPr>
          <w:rFonts w:ascii="Times New Roman" w:hAnsi="Times New Roman"/>
          <w:bCs/>
          <w:sz w:val="24"/>
          <w:szCs w:val="24"/>
          <w:lang w:val="lv-LV"/>
        </w:rPr>
        <w:t>lās rehabilitācijas pakalpojums.</w:t>
      </w:r>
    </w:p>
    <w:p w14:paraId="7F549B1A" w14:textId="77777777" w:rsidR="00104D43" w:rsidRPr="00CC103A" w:rsidRDefault="00104D43" w:rsidP="00D63888">
      <w:pPr>
        <w:pStyle w:val="PlainText"/>
        <w:spacing w:after="120" w:line="276" w:lineRule="auto"/>
        <w:ind w:firstLine="720"/>
        <w:jc w:val="both"/>
        <w:rPr>
          <w:rFonts w:ascii="Times New Roman" w:hAnsi="Times New Roman" w:cs="Times New Roman"/>
          <w:sz w:val="24"/>
          <w:szCs w:val="24"/>
          <w:lang w:val="lv-LV"/>
        </w:rPr>
      </w:pPr>
    </w:p>
    <w:p w14:paraId="2FDB816D" w14:textId="73952748" w:rsidR="003A5334" w:rsidRDefault="00F62D1D" w:rsidP="64AB90BD">
      <w:pPr>
        <w:pStyle w:val="Heading2"/>
        <w:spacing w:before="0" w:line="240" w:lineRule="auto"/>
        <w:ind w:firstLine="7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2.</w:t>
      </w:r>
      <w:r w:rsidR="007102D1">
        <w:rPr>
          <w:rFonts w:ascii="Times New Roman" w:hAnsi="Times New Roman" w:cs="Times New Roman"/>
          <w:b/>
          <w:bCs/>
          <w:color w:val="auto"/>
          <w:sz w:val="24"/>
          <w:szCs w:val="24"/>
          <w:u w:val="single"/>
        </w:rPr>
        <w:t>5</w:t>
      </w:r>
      <w:r>
        <w:rPr>
          <w:rFonts w:ascii="Times New Roman" w:hAnsi="Times New Roman" w:cs="Times New Roman"/>
          <w:b/>
          <w:bCs/>
          <w:color w:val="auto"/>
          <w:sz w:val="24"/>
          <w:szCs w:val="24"/>
          <w:u w:val="single"/>
        </w:rPr>
        <w:t xml:space="preserve">. </w:t>
      </w:r>
      <w:r w:rsidR="00FC0908">
        <w:rPr>
          <w:rFonts w:ascii="Times New Roman" w:hAnsi="Times New Roman" w:cs="Times New Roman"/>
          <w:b/>
          <w:bCs/>
          <w:color w:val="auto"/>
          <w:sz w:val="24"/>
          <w:szCs w:val="24"/>
          <w:u w:val="single"/>
        </w:rPr>
        <w:t>P</w:t>
      </w:r>
      <w:r w:rsidR="005A4F14" w:rsidRPr="00BD7921">
        <w:rPr>
          <w:rFonts w:ascii="Times New Roman" w:hAnsi="Times New Roman" w:cs="Times New Roman"/>
          <w:b/>
          <w:bCs/>
          <w:color w:val="auto"/>
          <w:sz w:val="24"/>
          <w:szCs w:val="24"/>
          <w:u w:val="single"/>
        </w:rPr>
        <w:t>ozitronu emisijas tomogrāfija/ datortomogrāfija</w:t>
      </w:r>
    </w:p>
    <w:p w14:paraId="1210A5F0" w14:textId="77777777" w:rsidR="001C11A4" w:rsidRPr="001C11A4" w:rsidRDefault="001C11A4" w:rsidP="006E0E27">
      <w:pPr>
        <w:spacing w:after="0"/>
      </w:pPr>
    </w:p>
    <w:p w14:paraId="384149E5" w14:textId="1B2FC3D2" w:rsidR="002B4BD0" w:rsidRPr="00D5228E" w:rsidRDefault="00222EEE" w:rsidP="00BD1903">
      <w:pPr>
        <w:spacing w:after="120"/>
        <w:ind w:firstLine="720"/>
        <w:jc w:val="both"/>
        <w:rPr>
          <w:rFonts w:ascii="Times New Roman" w:hAnsi="Times New Roman" w:cs="Times New Roman"/>
          <w:sz w:val="24"/>
          <w:szCs w:val="24"/>
          <w:lang w:eastAsia="lv-LV"/>
        </w:rPr>
      </w:pPr>
      <w:r w:rsidRPr="003B20A9">
        <w:rPr>
          <w:rFonts w:ascii="Times New Roman" w:hAnsi="Times New Roman" w:cs="Times New Roman"/>
          <w:sz w:val="24"/>
          <w:szCs w:val="24"/>
          <w:lang w:eastAsia="lv-LV"/>
        </w:rPr>
        <w:t xml:space="preserve">2019.gadā </w:t>
      </w:r>
      <w:r w:rsidR="00B13A04" w:rsidRPr="003B20A9">
        <w:rPr>
          <w:rFonts w:ascii="Times New Roman" w:hAnsi="Times New Roman" w:cs="Times New Roman"/>
          <w:sz w:val="24"/>
          <w:szCs w:val="24"/>
          <w:lang w:eastAsia="lv-LV"/>
        </w:rPr>
        <w:t xml:space="preserve">ir nepieciešams </w:t>
      </w:r>
      <w:r w:rsidRPr="003B20A9">
        <w:rPr>
          <w:rFonts w:ascii="Times New Roman" w:hAnsi="Times New Roman" w:cs="Times New Roman"/>
          <w:sz w:val="24"/>
          <w:szCs w:val="24"/>
          <w:lang w:eastAsia="lv-LV"/>
        </w:rPr>
        <w:t xml:space="preserve">turpināt </w:t>
      </w:r>
      <w:r w:rsidR="00215982" w:rsidRPr="00CC103A">
        <w:rPr>
          <w:rFonts w:ascii="Times New Roman" w:hAnsi="Times New Roman" w:cs="Times New Roman"/>
          <w:b/>
          <w:sz w:val="24"/>
          <w:szCs w:val="24"/>
          <w:lang w:eastAsia="lv-LV"/>
        </w:rPr>
        <w:t>558 84</w:t>
      </w:r>
      <w:r w:rsidR="007B34A8" w:rsidRPr="00CC103A">
        <w:rPr>
          <w:rFonts w:ascii="Times New Roman" w:hAnsi="Times New Roman" w:cs="Times New Roman"/>
          <w:b/>
          <w:sz w:val="24"/>
          <w:szCs w:val="24"/>
          <w:lang w:eastAsia="lv-LV"/>
        </w:rPr>
        <w:t>2</w:t>
      </w:r>
      <w:r w:rsidR="003B20A9" w:rsidRPr="00CC103A">
        <w:rPr>
          <w:rFonts w:ascii="Times New Roman" w:hAnsi="Times New Roman" w:cs="Times New Roman"/>
          <w:b/>
          <w:sz w:val="24"/>
          <w:szCs w:val="24"/>
        </w:rPr>
        <w:t xml:space="preserve"> </w:t>
      </w:r>
      <w:r w:rsidRPr="00CC103A">
        <w:rPr>
          <w:rFonts w:ascii="Times New Roman" w:hAnsi="Times New Roman" w:cs="Times New Roman"/>
          <w:b/>
          <w:i/>
          <w:sz w:val="24"/>
          <w:szCs w:val="24"/>
          <w:lang w:eastAsia="lv-LV"/>
        </w:rPr>
        <w:t>euro</w:t>
      </w:r>
      <w:r w:rsidRPr="003B20A9">
        <w:rPr>
          <w:rFonts w:ascii="Times New Roman" w:hAnsi="Times New Roman" w:cs="Times New Roman"/>
          <w:sz w:val="24"/>
          <w:szCs w:val="24"/>
          <w:lang w:eastAsia="lv-LV"/>
        </w:rPr>
        <w:t xml:space="preserve"> apmērā</w:t>
      </w:r>
      <w:r w:rsidR="00F43208" w:rsidRPr="003B20A9">
        <w:rPr>
          <w:rFonts w:ascii="Times New Roman" w:hAnsi="Times New Roman" w:cs="Times New Roman"/>
          <w:sz w:val="24"/>
          <w:szCs w:val="24"/>
          <w:lang w:eastAsia="lv-LV"/>
        </w:rPr>
        <w:t xml:space="preserve"> </w:t>
      </w:r>
      <w:r w:rsidR="0071331A" w:rsidRPr="003B20A9">
        <w:rPr>
          <w:rFonts w:ascii="Times New Roman" w:hAnsi="Times New Roman" w:cs="Times New Roman"/>
          <w:sz w:val="24"/>
          <w:szCs w:val="24"/>
          <w:lang w:eastAsia="lv-LV"/>
        </w:rPr>
        <w:t>apmaksāt</w:t>
      </w:r>
      <w:r w:rsidR="00533CFE">
        <w:rPr>
          <w:rFonts w:ascii="Times New Roman" w:hAnsi="Times New Roman" w:cs="Times New Roman"/>
          <w:sz w:val="24"/>
          <w:szCs w:val="24"/>
          <w:lang w:eastAsia="lv-LV"/>
        </w:rPr>
        <w:t xml:space="preserve"> </w:t>
      </w:r>
      <w:r w:rsidR="00FB4CAD">
        <w:rPr>
          <w:rFonts w:ascii="Times New Roman" w:hAnsi="Times New Roman" w:cs="Times New Roman"/>
          <w:sz w:val="24"/>
          <w:szCs w:val="24"/>
          <w:lang w:eastAsia="lv-LV"/>
        </w:rPr>
        <w:t>515</w:t>
      </w:r>
      <w:r w:rsidR="0071331A" w:rsidRPr="00847710">
        <w:rPr>
          <w:rFonts w:ascii="Times New Roman" w:hAnsi="Times New Roman" w:cs="Times New Roman"/>
          <w:sz w:val="24"/>
          <w:szCs w:val="24"/>
          <w:lang w:eastAsia="lv-LV"/>
        </w:rPr>
        <w:t xml:space="preserve"> PET/DT</w:t>
      </w:r>
      <w:r w:rsidR="0066363A">
        <w:rPr>
          <w:rFonts w:ascii="Times New Roman" w:hAnsi="Times New Roman" w:cs="Times New Roman"/>
          <w:sz w:val="24"/>
          <w:szCs w:val="24"/>
          <w:lang w:eastAsia="lv-LV"/>
        </w:rPr>
        <w:t xml:space="preserve"> (skat. </w:t>
      </w:r>
      <w:r w:rsidR="00882D18">
        <w:rPr>
          <w:rFonts w:ascii="Times New Roman" w:hAnsi="Times New Roman" w:cs="Times New Roman"/>
          <w:sz w:val="24"/>
          <w:szCs w:val="24"/>
          <w:lang w:eastAsia="lv-LV"/>
        </w:rPr>
        <w:t>30</w:t>
      </w:r>
      <w:r w:rsidR="0066363A">
        <w:rPr>
          <w:rFonts w:ascii="Times New Roman" w:hAnsi="Times New Roman" w:cs="Times New Roman"/>
          <w:sz w:val="24"/>
          <w:szCs w:val="24"/>
          <w:lang w:eastAsia="lv-LV"/>
        </w:rPr>
        <w:t>.tabulu)</w:t>
      </w:r>
      <w:r w:rsidR="0071331A" w:rsidRPr="00847710">
        <w:rPr>
          <w:rFonts w:ascii="Times New Roman" w:hAnsi="Times New Roman" w:cs="Times New Roman"/>
          <w:sz w:val="24"/>
          <w:szCs w:val="24"/>
          <w:lang w:eastAsia="lv-LV"/>
        </w:rPr>
        <w:t xml:space="preserve"> izmeklējumus personām ar </w:t>
      </w:r>
      <w:r w:rsidR="006D5577" w:rsidRPr="0094149A">
        <w:rPr>
          <w:rFonts w:ascii="Times New Roman" w:hAnsi="Times New Roman" w:cs="Times New Roman"/>
          <w:sz w:val="24"/>
          <w:szCs w:val="24"/>
        </w:rPr>
        <w:t>aizdomām par ļaundabīgu audzēju, ja tas nepieciešams ārstēšanas taktikas noteikšanai un ja par pakalpojuma nepieciešamību ir lēmis ārstu konsīlijs – ja ir krūts vēzis, plaušu vēzis, resnās un taisnās zarnas vēzis, melanoma, savukārt no 2018.gada 1.septembra</w:t>
      </w:r>
      <w:r w:rsidR="00FA372F">
        <w:rPr>
          <w:rFonts w:ascii="Times New Roman" w:hAnsi="Times New Roman" w:cs="Times New Roman"/>
          <w:sz w:val="24"/>
          <w:szCs w:val="24"/>
        </w:rPr>
        <w:t xml:space="preserve"> tas tiek apmaksāts </w:t>
      </w:r>
      <w:r w:rsidR="006D5577" w:rsidRPr="0094149A">
        <w:rPr>
          <w:rFonts w:ascii="Times New Roman" w:hAnsi="Times New Roman" w:cs="Times New Roman"/>
          <w:sz w:val="24"/>
          <w:szCs w:val="24"/>
        </w:rPr>
        <w:t>ar hematologu konsīlija lēmumu</w:t>
      </w:r>
      <w:r w:rsidR="006D5577">
        <w:rPr>
          <w:rFonts w:ascii="Times New Roman" w:hAnsi="Times New Roman" w:cs="Times New Roman"/>
          <w:sz w:val="24"/>
          <w:szCs w:val="24"/>
        </w:rPr>
        <w:t xml:space="preserve">. </w:t>
      </w:r>
      <w:r w:rsidR="006D5577" w:rsidRPr="0094149A">
        <w:rPr>
          <w:rFonts w:ascii="Times New Roman" w:hAnsi="Times New Roman" w:cs="Times New Roman"/>
          <w:sz w:val="24"/>
          <w:szCs w:val="24"/>
        </w:rPr>
        <w:t>Sākot ar 2018.gada 1.septembri PET/DT izmeklējumus apmaksā bērniem ar ļaundabīgiem audzējiem, ja tādu lēmumu ir pieņēmis bērnu hematoonkologu konsīlijs</w:t>
      </w:r>
      <w:r w:rsidR="00D5228E">
        <w:rPr>
          <w:rFonts w:ascii="Times New Roman" w:hAnsi="Times New Roman" w:cs="Times New Roman"/>
          <w:sz w:val="24"/>
          <w:szCs w:val="24"/>
        </w:rPr>
        <w:t xml:space="preserve">, tādejādi uzlabojot </w:t>
      </w:r>
      <w:r w:rsidR="00D5228E" w:rsidRPr="00D5228E">
        <w:rPr>
          <w:rFonts w:ascii="Times New Roman" w:hAnsi="Times New Roman"/>
          <w:bCs/>
          <w:sz w:val="24"/>
          <w:szCs w:val="24"/>
          <w:lang w:eastAsia="lv-LV"/>
        </w:rPr>
        <w:t>ārstēšanas efektivitāti un finanšu līdzekļi tik</w:t>
      </w:r>
      <w:r w:rsidR="00EB766F">
        <w:rPr>
          <w:rFonts w:ascii="Times New Roman" w:hAnsi="Times New Roman"/>
          <w:bCs/>
          <w:sz w:val="24"/>
          <w:szCs w:val="24"/>
          <w:lang w:eastAsia="lv-LV"/>
        </w:rPr>
        <w:t>tu</w:t>
      </w:r>
      <w:r w:rsidR="00D5228E" w:rsidRPr="00D5228E">
        <w:rPr>
          <w:rFonts w:ascii="Times New Roman" w:hAnsi="Times New Roman"/>
          <w:bCs/>
          <w:sz w:val="24"/>
          <w:szCs w:val="24"/>
          <w:lang w:eastAsia="lv-LV"/>
        </w:rPr>
        <w:t xml:space="preserve"> izmantoti racionālāk, ar lielāku efektivitāti, pagarinot pacientu kvalitatīvu dzīvildzi</w:t>
      </w:r>
      <w:r w:rsidR="006D5577" w:rsidRPr="00D5228E">
        <w:rPr>
          <w:rFonts w:ascii="Times New Roman" w:hAnsi="Times New Roman" w:cs="Times New Roman"/>
          <w:sz w:val="24"/>
          <w:szCs w:val="24"/>
          <w:lang w:eastAsia="lv-LV"/>
        </w:rPr>
        <w:t xml:space="preserve">. </w:t>
      </w:r>
    </w:p>
    <w:p w14:paraId="1819CCF8" w14:textId="77777777" w:rsidR="0084341C" w:rsidRDefault="0084341C" w:rsidP="7672C071">
      <w:pPr>
        <w:ind w:firstLine="720"/>
        <w:jc w:val="right"/>
        <w:rPr>
          <w:rFonts w:ascii="Times New Roman" w:hAnsi="Times New Roman" w:cs="Times New Roman"/>
          <w:i/>
          <w:iCs/>
          <w:sz w:val="24"/>
          <w:szCs w:val="24"/>
        </w:rPr>
        <w:sectPr w:rsidR="0084341C" w:rsidSect="00333B64">
          <w:pgSz w:w="12240" w:h="15840"/>
          <w:pgMar w:top="1440" w:right="1440" w:bottom="1440" w:left="1701" w:header="708" w:footer="708" w:gutter="0"/>
          <w:cols w:space="708"/>
          <w:docGrid w:linePitch="360"/>
        </w:sectPr>
      </w:pPr>
    </w:p>
    <w:p w14:paraId="3BBCB820" w14:textId="146F97A8" w:rsidR="004B129D" w:rsidRPr="00E93259" w:rsidRDefault="00882D18" w:rsidP="7672C071">
      <w:pPr>
        <w:ind w:firstLine="720"/>
        <w:jc w:val="right"/>
        <w:rPr>
          <w:rFonts w:ascii="Times New Roman" w:hAnsi="Times New Roman" w:cs="Times New Roman"/>
          <w:i/>
          <w:iCs/>
          <w:sz w:val="24"/>
          <w:szCs w:val="24"/>
        </w:rPr>
      </w:pPr>
      <w:r w:rsidRPr="7672C071">
        <w:rPr>
          <w:rFonts w:ascii="Times New Roman" w:hAnsi="Times New Roman" w:cs="Times New Roman"/>
          <w:i/>
          <w:iCs/>
          <w:sz w:val="24"/>
          <w:szCs w:val="24"/>
        </w:rPr>
        <w:lastRenderedPageBreak/>
        <w:t>3</w:t>
      </w:r>
      <w:r w:rsidR="00F35994">
        <w:rPr>
          <w:rFonts w:ascii="Times New Roman" w:hAnsi="Times New Roman" w:cs="Times New Roman"/>
          <w:i/>
          <w:iCs/>
          <w:sz w:val="24"/>
          <w:szCs w:val="24"/>
        </w:rPr>
        <w:t>5</w:t>
      </w:r>
      <w:r w:rsidR="0071331A" w:rsidRPr="7672C071">
        <w:rPr>
          <w:rFonts w:ascii="Times New Roman" w:hAnsi="Times New Roman" w:cs="Times New Roman"/>
          <w:i/>
          <w:iCs/>
          <w:sz w:val="24"/>
          <w:szCs w:val="24"/>
        </w:rPr>
        <w:t xml:space="preserve">.tabula </w:t>
      </w:r>
    </w:p>
    <w:p w14:paraId="51F0669C" w14:textId="491ED7B9" w:rsidR="004B129D" w:rsidRPr="00C86312" w:rsidRDefault="0071331A">
      <w:pPr>
        <w:jc w:val="center"/>
        <w:rPr>
          <w:rFonts w:ascii="Times New Roman" w:hAnsi="Times New Roman" w:cs="Times New Roman"/>
          <w:b/>
          <w:bCs/>
          <w:color w:val="000000"/>
          <w:sz w:val="24"/>
          <w:szCs w:val="24"/>
        </w:rPr>
      </w:pPr>
      <w:r w:rsidRPr="0012317D">
        <w:rPr>
          <w:rFonts w:ascii="Times New Roman" w:hAnsi="Times New Roman" w:cs="Times New Roman"/>
          <w:b/>
          <w:bCs/>
          <w:sz w:val="24"/>
          <w:szCs w:val="24"/>
          <w:lang w:eastAsia="lv-LV"/>
        </w:rPr>
        <w:t>PET/DT izmeklējumu</w:t>
      </w:r>
      <w:r w:rsidRPr="0012317D">
        <w:rPr>
          <w:rFonts w:ascii="Times New Roman" w:hAnsi="Times New Roman" w:cs="Times New Roman"/>
          <w:b/>
          <w:bCs/>
          <w:sz w:val="24"/>
          <w:szCs w:val="24"/>
        </w:rPr>
        <w:t xml:space="preserve"> nodrošināšanai nepieciešamais finansējums</w:t>
      </w:r>
      <w:r w:rsidR="008924C4" w:rsidRPr="0012317D">
        <w:rPr>
          <w:rFonts w:ascii="Times New Roman" w:hAnsi="Times New Roman" w:cs="Times New Roman"/>
          <w:b/>
          <w:bCs/>
          <w:sz w:val="24"/>
          <w:szCs w:val="24"/>
        </w:rPr>
        <w:t xml:space="preserve"> </w:t>
      </w:r>
      <w:r w:rsidR="00C641EA">
        <w:rPr>
          <w:rFonts w:ascii="Times New Roman" w:hAnsi="Times New Roman" w:cs="Times New Roman"/>
          <w:b/>
          <w:bCs/>
          <w:sz w:val="24"/>
          <w:szCs w:val="24"/>
        </w:rPr>
        <w:t xml:space="preserve">2017., 2018. un </w:t>
      </w:r>
      <w:r w:rsidR="008924C4" w:rsidRPr="0012317D">
        <w:rPr>
          <w:rFonts w:ascii="Times New Roman" w:hAnsi="Times New Roman" w:cs="Times New Roman"/>
          <w:b/>
          <w:bCs/>
          <w:sz w:val="24"/>
          <w:szCs w:val="24"/>
        </w:rPr>
        <w:t>201</w:t>
      </w:r>
      <w:r w:rsidR="00222EEE">
        <w:rPr>
          <w:rFonts w:ascii="Times New Roman" w:hAnsi="Times New Roman" w:cs="Times New Roman"/>
          <w:b/>
          <w:bCs/>
          <w:sz w:val="24"/>
          <w:szCs w:val="24"/>
        </w:rPr>
        <w:t>9</w:t>
      </w:r>
      <w:r w:rsidR="008924C4" w:rsidRPr="0012317D">
        <w:rPr>
          <w:rFonts w:ascii="Times New Roman" w:hAnsi="Times New Roman" w:cs="Times New Roman"/>
          <w:b/>
          <w:bCs/>
          <w:sz w:val="24"/>
          <w:szCs w:val="24"/>
        </w:rPr>
        <w:t>.gadam</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38"/>
        <w:gridCol w:w="1134"/>
        <w:gridCol w:w="850"/>
        <w:gridCol w:w="853"/>
        <w:gridCol w:w="851"/>
        <w:gridCol w:w="850"/>
        <w:gridCol w:w="993"/>
        <w:gridCol w:w="992"/>
        <w:gridCol w:w="709"/>
        <w:gridCol w:w="708"/>
        <w:gridCol w:w="709"/>
        <w:gridCol w:w="709"/>
        <w:gridCol w:w="709"/>
        <w:gridCol w:w="850"/>
      </w:tblGrid>
      <w:tr w:rsidR="0084341C" w14:paraId="4F1DB5D1" w14:textId="77777777" w:rsidTr="00E11AFF">
        <w:trPr>
          <w:cantSplit/>
          <w:trHeight w:val="1373"/>
          <w:jc w:val="center"/>
        </w:trPr>
        <w:tc>
          <w:tcPr>
            <w:tcW w:w="423" w:type="dxa"/>
            <w:shd w:val="clear" w:color="auto" w:fill="E36C0A" w:themeFill="accent6" w:themeFillShade="BF"/>
            <w:vAlign w:val="center"/>
            <w:hideMark/>
          </w:tcPr>
          <w:p w14:paraId="0E9D575A" w14:textId="77777777" w:rsidR="0084341C" w:rsidRPr="00847710" w:rsidRDefault="0084341C" w:rsidP="00D36B81">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A" w:themeFill="accent6" w:themeFillShade="BF"/>
            <w:vAlign w:val="center"/>
            <w:hideMark/>
          </w:tcPr>
          <w:p w14:paraId="452CC1A8" w14:textId="77777777" w:rsidR="0084341C" w:rsidRPr="00847710" w:rsidRDefault="0084341C" w:rsidP="00D36B81">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610E1914" w14:textId="77777777" w:rsidR="0084341C" w:rsidRPr="00847710" w:rsidRDefault="0084341C"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74E5064E" w14:textId="77777777" w:rsidR="0084341C" w:rsidRPr="00847710" w:rsidRDefault="0084341C"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112FC9B6" w14:textId="77777777" w:rsidR="0084341C" w:rsidRPr="00847710" w:rsidRDefault="0084341C" w:rsidP="00D36B81">
            <w:pPr>
              <w:spacing w:after="0" w:line="240" w:lineRule="auto"/>
              <w:ind w:left="113" w:right="113"/>
              <w:jc w:val="center"/>
              <w:rPr>
                <w:rFonts w:ascii="Times New Roman" w:eastAsia="Times New Roman" w:hAnsi="Times New Roman" w:cs="Times New Roman"/>
                <w:b/>
                <w:bCs/>
                <w:sz w:val="20"/>
                <w:szCs w:val="20"/>
                <w:lang w:eastAsia="lv-LV"/>
              </w:rPr>
            </w:pPr>
          </w:p>
        </w:tc>
        <w:tc>
          <w:tcPr>
            <w:tcW w:w="2554" w:type="dxa"/>
            <w:gridSpan w:val="3"/>
            <w:shd w:val="clear" w:color="auto" w:fill="E36C0A" w:themeFill="accent6" w:themeFillShade="BF"/>
            <w:textDirection w:val="btLr"/>
            <w:vAlign w:val="center"/>
          </w:tcPr>
          <w:p w14:paraId="315DA37D" w14:textId="737ADC60" w:rsidR="0084341C" w:rsidRPr="00847710" w:rsidRDefault="0084341C" w:rsidP="00D36B81">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5" w:type="dxa"/>
            <w:gridSpan w:val="3"/>
            <w:shd w:val="clear" w:color="auto" w:fill="E36C0A" w:themeFill="accent6" w:themeFillShade="BF"/>
            <w:textDirection w:val="btLr"/>
            <w:vAlign w:val="center"/>
          </w:tcPr>
          <w:p w14:paraId="715A09D4" w14:textId="51F146ED" w:rsidR="0084341C" w:rsidRPr="00847710" w:rsidRDefault="0084341C"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6" w:type="dxa"/>
            <w:gridSpan w:val="3"/>
            <w:shd w:val="clear" w:color="auto" w:fill="E36C0A" w:themeFill="accent6" w:themeFillShade="BF"/>
            <w:textDirection w:val="btLr"/>
            <w:vAlign w:val="center"/>
          </w:tcPr>
          <w:p w14:paraId="429264A1" w14:textId="4D2F5CAA" w:rsidR="0084341C" w:rsidRPr="00847710" w:rsidRDefault="0084341C"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268" w:type="dxa"/>
            <w:gridSpan w:val="3"/>
            <w:shd w:val="clear" w:color="auto" w:fill="E36C0A" w:themeFill="accent6" w:themeFillShade="BF"/>
            <w:textDirection w:val="btLr"/>
            <w:vAlign w:val="center"/>
          </w:tcPr>
          <w:p w14:paraId="26380B7E" w14:textId="5C32BBF7" w:rsidR="0084341C" w:rsidRPr="00847710" w:rsidRDefault="0084341C"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E11AFF" w14:paraId="14D9764F" w14:textId="77777777" w:rsidTr="00E11AFF">
        <w:trPr>
          <w:trHeight w:val="640"/>
          <w:jc w:val="center"/>
        </w:trPr>
        <w:tc>
          <w:tcPr>
            <w:tcW w:w="423" w:type="dxa"/>
            <w:shd w:val="clear" w:color="auto" w:fill="FABF8F" w:themeFill="accent6" w:themeFillTint="99"/>
            <w:vAlign w:val="center"/>
          </w:tcPr>
          <w:p w14:paraId="41D4F2FC" w14:textId="77777777" w:rsidR="0084341C" w:rsidRPr="00847710" w:rsidRDefault="0084341C" w:rsidP="0084341C">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BF8F" w:themeFill="accent6" w:themeFillTint="99"/>
            <w:vAlign w:val="center"/>
          </w:tcPr>
          <w:p w14:paraId="217A8225" w14:textId="77777777" w:rsidR="0084341C" w:rsidRPr="00847710" w:rsidRDefault="0084341C" w:rsidP="0084341C">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73DF7BB0" w14:textId="7AE205B1" w:rsidR="0084341C" w:rsidRPr="00847710" w:rsidRDefault="0084341C" w:rsidP="0084341C">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5F98FC42" w14:textId="77777777" w:rsidR="0084341C" w:rsidRPr="00847710" w:rsidRDefault="0084341C" w:rsidP="0084341C">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2C0D61A9" w14:textId="77777777"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600D97BD" w14:textId="47052947"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3" w:type="dxa"/>
            <w:shd w:val="clear" w:color="auto" w:fill="FABF8F" w:themeFill="accent6" w:themeFillTint="99"/>
            <w:vAlign w:val="center"/>
          </w:tcPr>
          <w:p w14:paraId="7C795BF4" w14:textId="77777777"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17C1853B" w14:textId="0EFF8AB8"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5175839D" w14:textId="77777777"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25A94F03" w14:textId="0EF7BF60"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0" w:type="dxa"/>
            <w:shd w:val="clear" w:color="auto" w:fill="FABF8F" w:themeFill="accent6" w:themeFillTint="99"/>
            <w:vAlign w:val="center"/>
          </w:tcPr>
          <w:p w14:paraId="3F1B846E" w14:textId="77777777"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6811F2F5" w14:textId="1DB43F9D"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993" w:type="dxa"/>
            <w:shd w:val="clear" w:color="auto" w:fill="FABF8F" w:themeFill="accent6" w:themeFillTint="99"/>
            <w:vAlign w:val="center"/>
          </w:tcPr>
          <w:p w14:paraId="26F920BC" w14:textId="77777777"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6ECB1303" w14:textId="3E6996B3" w:rsidR="0084341C"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992" w:type="dxa"/>
            <w:shd w:val="clear" w:color="auto" w:fill="FABF8F" w:themeFill="accent6" w:themeFillTint="99"/>
            <w:vAlign w:val="center"/>
          </w:tcPr>
          <w:p w14:paraId="0B124A6B" w14:textId="5A32ED6B" w:rsidR="0084341C" w:rsidRPr="00847710" w:rsidRDefault="0084341C" w:rsidP="0084341C">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57BDA790" w14:textId="77777777" w:rsidR="0084341C" w:rsidRPr="00C86312" w:rsidRDefault="0084341C" w:rsidP="0084341C">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9" w:type="dxa"/>
            <w:shd w:val="clear" w:color="auto" w:fill="FABF8F" w:themeFill="accent6" w:themeFillTint="99"/>
            <w:vAlign w:val="center"/>
          </w:tcPr>
          <w:p w14:paraId="78F4627D" w14:textId="3962D8BA" w:rsidR="0084341C" w:rsidRPr="00847710" w:rsidRDefault="0084341C" w:rsidP="0084341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8" w:type="dxa"/>
            <w:shd w:val="clear" w:color="auto" w:fill="FABF8F" w:themeFill="accent6" w:themeFillTint="99"/>
            <w:vAlign w:val="center"/>
          </w:tcPr>
          <w:p w14:paraId="03BA9B76" w14:textId="67510054" w:rsidR="0084341C" w:rsidRPr="00847710" w:rsidRDefault="0084341C" w:rsidP="0084341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686EA970" w14:textId="761F8BDD" w:rsidR="0084341C" w:rsidRPr="00847710" w:rsidRDefault="0084341C" w:rsidP="0084341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642CDCB0" w14:textId="36B607BB" w:rsidR="0084341C" w:rsidRDefault="0084341C" w:rsidP="0084341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38AD1172" w14:textId="4E1058D6" w:rsidR="0084341C" w:rsidRPr="00847710" w:rsidRDefault="0084341C" w:rsidP="0084341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21D21E19" w14:textId="3F8A535E" w:rsidR="0084341C" w:rsidRPr="00847710" w:rsidRDefault="0084341C" w:rsidP="0084341C">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84341C" w14:paraId="29127BF0" w14:textId="77777777" w:rsidTr="00E11AFF">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C6447" w14:textId="77777777" w:rsidR="0084341C" w:rsidRPr="00847710" w:rsidRDefault="0084341C" w:rsidP="00D36B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FDEBF" w14:textId="77777777" w:rsidR="0084341C" w:rsidRPr="00847710" w:rsidRDefault="0084341C" w:rsidP="00D36B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Pozitronu emisijas tomogrāfija/datortomogrāfija (PET/DT)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10F0A" w14:textId="77777777" w:rsidR="0084341C" w:rsidRPr="00847710" w:rsidRDefault="0084341C" w:rsidP="0051173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1 085,13</w:t>
            </w:r>
          </w:p>
        </w:tc>
        <w:tc>
          <w:tcPr>
            <w:tcW w:w="850" w:type="dxa"/>
            <w:tcBorders>
              <w:top w:val="single" w:sz="4" w:space="0" w:color="auto"/>
              <w:left w:val="single" w:sz="4" w:space="0" w:color="auto"/>
              <w:bottom w:val="single" w:sz="4" w:space="0" w:color="auto"/>
              <w:right w:val="single" w:sz="4" w:space="0" w:color="auto"/>
            </w:tcBorders>
            <w:vAlign w:val="center"/>
          </w:tcPr>
          <w:p w14:paraId="36135983" w14:textId="6DE8FF6A" w:rsidR="0084341C" w:rsidRDefault="0084341C" w:rsidP="00D3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3" w:type="dxa"/>
            <w:tcBorders>
              <w:top w:val="single" w:sz="4" w:space="0" w:color="auto"/>
              <w:left w:val="single" w:sz="4" w:space="0" w:color="auto"/>
              <w:bottom w:val="single" w:sz="4" w:space="0" w:color="auto"/>
              <w:right w:val="single" w:sz="4" w:space="0" w:color="auto"/>
            </w:tcBorders>
            <w:vAlign w:val="center"/>
          </w:tcPr>
          <w:p w14:paraId="651191C8" w14:textId="4AB56C42" w:rsidR="0084341C" w:rsidRDefault="0084341C" w:rsidP="00D3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6EBC908" w14:textId="2D06F0E7" w:rsidR="0084341C" w:rsidRDefault="0084341C" w:rsidP="00366654">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08DE5BE" w14:textId="73C73906" w:rsidR="0084341C" w:rsidRDefault="0084341C" w:rsidP="00D3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015E30D9" w14:textId="03794898" w:rsidR="0084341C" w:rsidRDefault="0084341C" w:rsidP="00D3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235 473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E1AE" w14:textId="7E5487FC" w:rsidR="0084341C" w:rsidRPr="00847710" w:rsidRDefault="0084341C" w:rsidP="00D3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558 842</w:t>
            </w:r>
          </w:p>
        </w:tc>
        <w:tc>
          <w:tcPr>
            <w:tcW w:w="709" w:type="dxa"/>
            <w:tcBorders>
              <w:top w:val="single" w:sz="4" w:space="0" w:color="auto"/>
              <w:left w:val="single" w:sz="4" w:space="0" w:color="auto"/>
              <w:bottom w:val="single" w:sz="4" w:space="0" w:color="auto"/>
              <w:right w:val="single" w:sz="4" w:space="0" w:color="auto"/>
            </w:tcBorders>
            <w:vAlign w:val="center"/>
          </w:tcPr>
          <w:p w14:paraId="2E2C73D6" w14:textId="1E9B6891" w:rsidR="0084341C" w:rsidRPr="00C4284B" w:rsidRDefault="0084341C" w:rsidP="00C86312">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503D5C25" w14:textId="0BF1C5FC" w:rsidR="0084341C" w:rsidRPr="00C4284B" w:rsidRDefault="0084341C" w:rsidP="00C86312">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584219A" w14:textId="55451CB4" w:rsidR="0084341C" w:rsidRPr="00C4284B" w:rsidRDefault="0084341C" w:rsidP="00C86312">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4F52FEC" w14:textId="005370B2" w:rsidR="0084341C" w:rsidRPr="00C4284B" w:rsidRDefault="0084341C" w:rsidP="00C86312">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71CC69C" w14:textId="281B28B3" w:rsidR="0084341C" w:rsidRPr="00C4284B" w:rsidRDefault="0084341C" w:rsidP="00C86312">
            <w:pPr>
              <w:spacing w:after="0" w:line="240" w:lineRule="auto"/>
              <w:jc w:val="center"/>
              <w:rPr>
                <w:rFonts w:ascii="Times New Roman" w:hAnsi="Times New Roman" w:cs="Times New Roman"/>
                <w:bCs/>
                <w:sz w:val="20"/>
                <w:szCs w:val="20"/>
              </w:rPr>
            </w:pPr>
            <w:r w:rsidRPr="00C4284B">
              <w:rPr>
                <w:rFonts w:ascii="Times New Roman" w:hAnsi="Times New Roman" w:cs="Times New Roman"/>
                <w:bCs/>
                <w:sz w:val="20"/>
                <w:szCs w:val="20"/>
              </w:rPr>
              <w:t>217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08B07" w14:textId="62830326" w:rsidR="0084341C" w:rsidRPr="00C4284B" w:rsidRDefault="0084341C" w:rsidP="00C86312">
            <w:pPr>
              <w:spacing w:after="0" w:line="240" w:lineRule="auto"/>
              <w:jc w:val="center"/>
              <w:rPr>
                <w:rFonts w:ascii="Times New Roman" w:hAnsi="Times New Roman" w:cs="Times New Roman"/>
                <w:bCs/>
                <w:sz w:val="20"/>
                <w:szCs w:val="20"/>
              </w:rPr>
            </w:pPr>
            <w:r w:rsidRPr="00C4284B">
              <w:rPr>
                <w:rFonts w:ascii="Times New Roman" w:hAnsi="Times New Roman" w:cs="Times New Roman"/>
                <w:bCs/>
                <w:sz w:val="20"/>
                <w:szCs w:val="20"/>
              </w:rPr>
              <w:t>515</w:t>
            </w:r>
          </w:p>
        </w:tc>
      </w:tr>
      <w:tr w:rsidR="0084341C" w14:paraId="1C4E7D4F" w14:textId="77777777" w:rsidTr="00EA3995">
        <w:trPr>
          <w:trHeight w:val="189"/>
          <w:jc w:val="center"/>
        </w:trPr>
        <w:tc>
          <w:tcPr>
            <w:tcW w:w="423" w:type="dxa"/>
            <w:shd w:val="clear" w:color="auto" w:fill="FBD4B4" w:themeFill="accent6" w:themeFillTint="66"/>
            <w:noWrap/>
            <w:vAlign w:val="bottom"/>
            <w:hideMark/>
          </w:tcPr>
          <w:p w14:paraId="45296B59" w14:textId="77777777" w:rsidR="0084341C" w:rsidRPr="00847710" w:rsidRDefault="0084341C" w:rsidP="00366654">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4B4" w:themeFill="accent6" w:themeFillTint="66"/>
            <w:noWrap/>
            <w:vAlign w:val="bottom"/>
            <w:hideMark/>
          </w:tcPr>
          <w:p w14:paraId="610801E8" w14:textId="77777777" w:rsidR="0084341C" w:rsidRPr="00847710" w:rsidRDefault="0084341C" w:rsidP="00366654">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center"/>
            <w:hideMark/>
          </w:tcPr>
          <w:p w14:paraId="0B3E138D" w14:textId="77777777" w:rsidR="0084341C" w:rsidRPr="00C4284B" w:rsidRDefault="0084341C" w:rsidP="00366654">
            <w:pPr>
              <w:spacing w:after="0" w:line="240" w:lineRule="auto"/>
              <w:jc w:val="center"/>
              <w:rPr>
                <w:rFonts w:ascii="Times New Roman" w:eastAsia="Times New Roman" w:hAnsi="Times New Roman" w:cs="Times New Roman"/>
                <w:b/>
                <w:sz w:val="20"/>
                <w:szCs w:val="20"/>
                <w:lang w:eastAsia="lv-LV"/>
              </w:rPr>
            </w:pPr>
            <w:r w:rsidRPr="00C4284B">
              <w:rPr>
                <w:rFonts w:ascii="Times New Roman" w:hAnsi="Times New Roman" w:cs="Times New Roman"/>
                <w:b/>
                <w:sz w:val="20"/>
                <w:szCs w:val="20"/>
              </w:rPr>
              <w:t>1 085,13</w:t>
            </w:r>
          </w:p>
        </w:tc>
        <w:tc>
          <w:tcPr>
            <w:tcW w:w="850" w:type="dxa"/>
            <w:shd w:val="clear" w:color="auto" w:fill="FBD4B4" w:themeFill="accent6" w:themeFillTint="66"/>
            <w:vAlign w:val="center"/>
          </w:tcPr>
          <w:p w14:paraId="6B90AEF6" w14:textId="576AFC28" w:rsidR="0084341C" w:rsidRPr="00C4284B" w:rsidRDefault="0084341C" w:rsidP="00366654">
            <w:pPr>
              <w:spacing w:after="0" w:line="240" w:lineRule="auto"/>
              <w:jc w:val="center"/>
              <w:rPr>
                <w:rFonts w:ascii="Times New Roman" w:hAnsi="Times New Roman" w:cs="Times New Roman"/>
                <w:b/>
                <w:sz w:val="20"/>
                <w:szCs w:val="20"/>
              </w:rPr>
            </w:pPr>
          </w:p>
        </w:tc>
        <w:tc>
          <w:tcPr>
            <w:tcW w:w="853" w:type="dxa"/>
            <w:shd w:val="clear" w:color="auto" w:fill="FBD4B4" w:themeFill="accent6" w:themeFillTint="66"/>
            <w:vAlign w:val="center"/>
          </w:tcPr>
          <w:p w14:paraId="58C2E503" w14:textId="3E587169" w:rsidR="0084341C" w:rsidRPr="00C4284B" w:rsidRDefault="0084341C" w:rsidP="00366654">
            <w:pPr>
              <w:spacing w:after="0" w:line="240" w:lineRule="auto"/>
              <w:jc w:val="center"/>
              <w:rPr>
                <w:rFonts w:ascii="Times New Roman" w:hAnsi="Times New Roman" w:cs="Times New Roman"/>
                <w:b/>
                <w:sz w:val="20"/>
                <w:szCs w:val="20"/>
              </w:rPr>
            </w:pPr>
          </w:p>
        </w:tc>
        <w:tc>
          <w:tcPr>
            <w:tcW w:w="851" w:type="dxa"/>
            <w:shd w:val="clear" w:color="auto" w:fill="FBD4B4" w:themeFill="accent6" w:themeFillTint="66"/>
            <w:vAlign w:val="center"/>
          </w:tcPr>
          <w:p w14:paraId="6326694B" w14:textId="62038BAE" w:rsidR="0084341C" w:rsidRPr="00C4284B" w:rsidRDefault="0084341C" w:rsidP="00366654">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vAlign w:val="center"/>
          </w:tcPr>
          <w:p w14:paraId="0C90B084" w14:textId="77777777" w:rsidR="0084341C" w:rsidRPr="00C4284B" w:rsidRDefault="0084341C" w:rsidP="00366654">
            <w:pPr>
              <w:spacing w:after="0" w:line="240" w:lineRule="auto"/>
              <w:jc w:val="center"/>
              <w:rPr>
                <w:rFonts w:ascii="Times New Roman" w:hAnsi="Times New Roman" w:cs="Times New Roman"/>
                <w:b/>
                <w:sz w:val="20"/>
                <w:szCs w:val="20"/>
              </w:rPr>
            </w:pPr>
          </w:p>
        </w:tc>
        <w:tc>
          <w:tcPr>
            <w:tcW w:w="993" w:type="dxa"/>
            <w:shd w:val="clear" w:color="auto" w:fill="FBD4B4" w:themeFill="accent6" w:themeFillTint="66"/>
            <w:vAlign w:val="center"/>
          </w:tcPr>
          <w:p w14:paraId="1CC0F5CE" w14:textId="2A4C7C1A" w:rsidR="0084341C" w:rsidRPr="00C4284B" w:rsidRDefault="0084341C" w:rsidP="00366654">
            <w:pPr>
              <w:spacing w:after="0" w:line="240" w:lineRule="auto"/>
              <w:jc w:val="center"/>
              <w:rPr>
                <w:rFonts w:ascii="Times New Roman" w:hAnsi="Times New Roman" w:cs="Times New Roman"/>
                <w:b/>
                <w:sz w:val="20"/>
                <w:szCs w:val="20"/>
              </w:rPr>
            </w:pPr>
            <w:r w:rsidRPr="00C4284B">
              <w:rPr>
                <w:rFonts w:ascii="Times New Roman" w:hAnsi="Times New Roman" w:cs="Times New Roman"/>
                <w:b/>
                <w:sz w:val="20"/>
                <w:szCs w:val="20"/>
              </w:rPr>
              <w:t>235 473</w:t>
            </w:r>
          </w:p>
        </w:tc>
        <w:tc>
          <w:tcPr>
            <w:tcW w:w="992" w:type="dxa"/>
            <w:shd w:val="clear" w:color="auto" w:fill="FBD4B4" w:themeFill="accent6" w:themeFillTint="66"/>
            <w:noWrap/>
            <w:vAlign w:val="center"/>
            <w:hideMark/>
          </w:tcPr>
          <w:p w14:paraId="6780BBC5" w14:textId="3D127771" w:rsidR="0084341C" w:rsidRPr="00C4284B" w:rsidRDefault="0084341C" w:rsidP="00366654">
            <w:pPr>
              <w:spacing w:after="0" w:line="240" w:lineRule="auto"/>
              <w:jc w:val="center"/>
              <w:rPr>
                <w:rFonts w:ascii="Times New Roman" w:hAnsi="Times New Roman" w:cs="Times New Roman"/>
                <w:b/>
                <w:sz w:val="20"/>
                <w:szCs w:val="20"/>
              </w:rPr>
            </w:pPr>
            <w:r w:rsidRPr="00C4284B">
              <w:rPr>
                <w:rFonts w:ascii="Times New Roman" w:hAnsi="Times New Roman" w:cs="Times New Roman"/>
                <w:b/>
                <w:sz w:val="20"/>
                <w:szCs w:val="20"/>
              </w:rPr>
              <w:t>558 842</w:t>
            </w:r>
          </w:p>
        </w:tc>
        <w:tc>
          <w:tcPr>
            <w:tcW w:w="709" w:type="dxa"/>
            <w:shd w:val="clear" w:color="auto" w:fill="FBD4B4" w:themeFill="accent6" w:themeFillTint="66"/>
            <w:vAlign w:val="center"/>
          </w:tcPr>
          <w:p w14:paraId="7FB462E2" w14:textId="087CECBE" w:rsidR="0084341C" w:rsidRPr="00C4284B" w:rsidRDefault="0084341C" w:rsidP="00366654">
            <w:pPr>
              <w:spacing w:after="0" w:line="240" w:lineRule="auto"/>
              <w:jc w:val="center"/>
              <w:rPr>
                <w:rFonts w:ascii="Times New Roman" w:hAnsi="Times New Roman" w:cs="Times New Roman"/>
                <w:b/>
                <w:bCs/>
                <w:sz w:val="20"/>
                <w:szCs w:val="20"/>
              </w:rPr>
            </w:pPr>
          </w:p>
        </w:tc>
        <w:tc>
          <w:tcPr>
            <w:tcW w:w="708" w:type="dxa"/>
            <w:shd w:val="clear" w:color="auto" w:fill="FBD4B4" w:themeFill="accent6" w:themeFillTint="66"/>
            <w:vAlign w:val="center"/>
          </w:tcPr>
          <w:p w14:paraId="20783F51" w14:textId="3B92DB76" w:rsidR="0084341C" w:rsidRPr="00C4284B" w:rsidRDefault="0084341C" w:rsidP="00366654">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6A534BC7" w14:textId="0BFA1EAE" w:rsidR="0084341C" w:rsidRPr="00C4284B" w:rsidRDefault="0084341C" w:rsidP="00366654">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4BDDA865" w14:textId="77777777" w:rsidR="0084341C" w:rsidRPr="00C4284B" w:rsidRDefault="0084341C" w:rsidP="00366654">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35859CF2" w14:textId="2EC4DD9E" w:rsidR="0084341C" w:rsidRPr="00C4284B" w:rsidRDefault="00825312" w:rsidP="00366654">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217</w:t>
            </w:r>
          </w:p>
        </w:tc>
        <w:tc>
          <w:tcPr>
            <w:tcW w:w="850" w:type="dxa"/>
            <w:shd w:val="clear" w:color="auto" w:fill="FBD4B4" w:themeFill="accent6" w:themeFillTint="66"/>
            <w:noWrap/>
            <w:vAlign w:val="center"/>
            <w:hideMark/>
          </w:tcPr>
          <w:p w14:paraId="50B07392" w14:textId="05FC278A" w:rsidR="0084341C" w:rsidRPr="00C4284B" w:rsidRDefault="0084341C" w:rsidP="00366654">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515</w:t>
            </w:r>
          </w:p>
        </w:tc>
      </w:tr>
    </w:tbl>
    <w:p w14:paraId="0F8C2079" w14:textId="77777777" w:rsidR="0084341C" w:rsidRDefault="0084341C" w:rsidP="00821B8B">
      <w:pPr>
        <w:spacing w:after="120"/>
        <w:jc w:val="both"/>
        <w:rPr>
          <w:rFonts w:ascii="Times New Roman" w:hAnsi="Times New Roman" w:cs="Times New Roman"/>
          <w:b/>
          <w:sz w:val="24"/>
          <w:szCs w:val="24"/>
          <w:lang w:eastAsia="lv-LV"/>
        </w:rPr>
        <w:sectPr w:rsidR="0084341C" w:rsidSect="00333B64">
          <w:pgSz w:w="15840" w:h="12240" w:orient="landscape"/>
          <w:pgMar w:top="1701" w:right="1440" w:bottom="1440" w:left="1440" w:header="709" w:footer="709" w:gutter="0"/>
          <w:cols w:space="708"/>
          <w:docGrid w:linePitch="360"/>
        </w:sectPr>
      </w:pPr>
    </w:p>
    <w:p w14:paraId="02FA8CE2" w14:textId="30D8FDC4" w:rsidR="00FA37E8" w:rsidRDefault="00FA37E8" w:rsidP="00821B8B">
      <w:pPr>
        <w:spacing w:after="120"/>
        <w:jc w:val="both"/>
        <w:rPr>
          <w:rFonts w:ascii="Times New Roman" w:hAnsi="Times New Roman" w:cs="Times New Roman"/>
          <w:b/>
          <w:sz w:val="24"/>
          <w:szCs w:val="24"/>
          <w:lang w:eastAsia="lv-LV"/>
        </w:rPr>
      </w:pPr>
    </w:p>
    <w:p w14:paraId="4DCA7DC4" w14:textId="0F8F4B0F" w:rsidR="00982C25" w:rsidRDefault="00533CFE" w:rsidP="00F35994">
      <w:pPr>
        <w:spacing w:after="120"/>
        <w:ind w:firstLine="720"/>
        <w:jc w:val="both"/>
        <w:rPr>
          <w:rFonts w:ascii="Times New Roman" w:hAnsi="Times New Roman" w:cs="Times New Roman"/>
          <w:sz w:val="24"/>
          <w:szCs w:val="24"/>
          <w:lang w:eastAsia="lv-LV"/>
        </w:rPr>
      </w:pPr>
      <w:r w:rsidRPr="003D73C9">
        <w:rPr>
          <w:rFonts w:ascii="Times New Roman" w:hAnsi="Times New Roman" w:cs="Times New Roman"/>
          <w:sz w:val="24"/>
          <w:szCs w:val="24"/>
          <w:lang w:eastAsia="lv-LV"/>
        </w:rPr>
        <w:t>Kopumā</w:t>
      </w:r>
      <w:r w:rsidR="003D73C9" w:rsidRPr="003D73C9">
        <w:rPr>
          <w:rFonts w:ascii="Times New Roman" w:hAnsi="Times New Roman" w:cs="Times New Roman"/>
          <w:sz w:val="24"/>
          <w:szCs w:val="24"/>
          <w:lang w:eastAsia="lv-LV"/>
        </w:rPr>
        <w:t xml:space="preserve"> 2019.gadā</w:t>
      </w:r>
      <w:r w:rsidRPr="003D73C9">
        <w:rPr>
          <w:rFonts w:ascii="Times New Roman" w:hAnsi="Times New Roman" w:cs="Times New Roman"/>
          <w:sz w:val="24"/>
          <w:szCs w:val="24"/>
          <w:lang w:eastAsia="lv-LV"/>
        </w:rPr>
        <w:t xml:space="preserve"> </w:t>
      </w:r>
      <w:r w:rsidR="0066363A">
        <w:rPr>
          <w:rFonts w:ascii="Times New Roman" w:hAnsi="Times New Roman" w:cs="Times New Roman"/>
          <w:sz w:val="24"/>
          <w:szCs w:val="24"/>
          <w:lang w:eastAsia="lv-LV"/>
        </w:rPr>
        <w:t>nodrošinot</w:t>
      </w:r>
      <w:r w:rsidRPr="003D73C9">
        <w:rPr>
          <w:rFonts w:ascii="Times New Roman" w:hAnsi="Times New Roman" w:cs="Times New Roman"/>
          <w:sz w:val="24"/>
          <w:szCs w:val="24"/>
          <w:lang w:eastAsia="lv-LV"/>
        </w:rPr>
        <w:t xml:space="preserve"> </w:t>
      </w:r>
      <w:r w:rsidR="003D73C9" w:rsidRPr="003D73C9">
        <w:rPr>
          <w:rFonts w:ascii="Times New Roman" w:hAnsi="Times New Roman" w:cs="Times New Roman"/>
          <w:sz w:val="24"/>
          <w:szCs w:val="24"/>
          <w:lang w:eastAsia="lv-LV"/>
        </w:rPr>
        <w:t xml:space="preserve">vismaz </w:t>
      </w:r>
      <w:r w:rsidR="00833F61">
        <w:rPr>
          <w:rFonts w:ascii="Times New Roman" w:hAnsi="Times New Roman" w:cs="Times New Roman"/>
          <w:sz w:val="24"/>
          <w:szCs w:val="24"/>
          <w:lang w:eastAsia="lv-LV"/>
        </w:rPr>
        <w:t>4</w:t>
      </w:r>
      <w:r w:rsidR="003D73C9" w:rsidRPr="003D73C9">
        <w:rPr>
          <w:rFonts w:ascii="Times New Roman" w:hAnsi="Times New Roman" w:cs="Times New Roman"/>
          <w:sz w:val="24"/>
          <w:szCs w:val="24"/>
          <w:lang w:eastAsia="lv-LV"/>
        </w:rPr>
        <w:t>0% no nepieciešamajiem izmeklējumiem</w:t>
      </w:r>
      <w:r w:rsidR="00D14505">
        <w:rPr>
          <w:rFonts w:ascii="Times New Roman" w:hAnsi="Times New Roman" w:cs="Times New Roman"/>
          <w:sz w:val="24"/>
          <w:szCs w:val="24"/>
          <w:lang w:eastAsia="lv-LV"/>
        </w:rPr>
        <w:t>, kas sastāda 515 no</w:t>
      </w:r>
      <w:r w:rsidR="005C3995">
        <w:rPr>
          <w:rFonts w:ascii="Times New Roman" w:hAnsi="Times New Roman" w:cs="Times New Roman"/>
          <w:sz w:val="24"/>
          <w:szCs w:val="24"/>
          <w:lang w:eastAsia="lv-LV"/>
        </w:rPr>
        <w:t xml:space="preserve"> vidēji </w:t>
      </w:r>
      <w:r w:rsidR="000F6977">
        <w:rPr>
          <w:rFonts w:ascii="Times New Roman" w:hAnsi="Times New Roman" w:cs="Times New Roman"/>
          <w:sz w:val="24"/>
          <w:szCs w:val="24"/>
          <w:lang w:eastAsia="lv-LV"/>
        </w:rPr>
        <w:t>1 287 pacientiem</w:t>
      </w:r>
      <w:r w:rsidR="005C3995">
        <w:rPr>
          <w:rFonts w:ascii="Times New Roman" w:hAnsi="Times New Roman" w:cs="Times New Roman"/>
          <w:sz w:val="24"/>
          <w:szCs w:val="24"/>
          <w:lang w:eastAsia="lv-LV"/>
        </w:rPr>
        <w:t xml:space="preserve"> gadā</w:t>
      </w:r>
      <w:r w:rsidR="00F35994">
        <w:rPr>
          <w:rFonts w:ascii="Times New Roman" w:hAnsi="Times New Roman" w:cs="Times New Roman"/>
          <w:sz w:val="24"/>
          <w:szCs w:val="24"/>
          <w:lang w:eastAsia="lv-LV"/>
        </w:rPr>
        <w:t>.</w:t>
      </w:r>
    </w:p>
    <w:p w14:paraId="0C51C639" w14:textId="77777777" w:rsidR="00982C25" w:rsidRDefault="00982C25" w:rsidP="00CC103A">
      <w:pPr>
        <w:spacing w:after="120"/>
        <w:jc w:val="both"/>
        <w:rPr>
          <w:rFonts w:ascii="Times New Roman" w:hAnsi="Times New Roman" w:cs="Times New Roman"/>
          <w:sz w:val="24"/>
          <w:szCs w:val="24"/>
          <w:lang w:eastAsia="lv-LV"/>
        </w:rPr>
      </w:pPr>
    </w:p>
    <w:p w14:paraId="47ED7160" w14:textId="5AACEF9C" w:rsidR="00026045" w:rsidRPr="00C86312" w:rsidRDefault="0071331A" w:rsidP="64AB90BD">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6</w:t>
      </w:r>
      <w:r w:rsidRPr="0012317D">
        <w:rPr>
          <w:rFonts w:ascii="Times New Roman" w:hAnsi="Times New Roman" w:cs="Times New Roman"/>
          <w:b/>
          <w:bCs/>
          <w:color w:val="auto"/>
          <w:sz w:val="24"/>
          <w:szCs w:val="24"/>
          <w:u w:val="single"/>
        </w:rPr>
        <w:t xml:space="preserve">. </w:t>
      </w:r>
      <w:r w:rsidR="000424EE">
        <w:rPr>
          <w:rFonts w:ascii="Times New Roman" w:hAnsi="Times New Roman" w:cs="Times New Roman"/>
          <w:b/>
          <w:bCs/>
          <w:color w:val="auto"/>
          <w:sz w:val="24"/>
          <w:szCs w:val="24"/>
          <w:u w:val="single"/>
        </w:rPr>
        <w:t>V</w:t>
      </w:r>
      <w:r w:rsidR="0054595C" w:rsidRPr="0012317D">
        <w:rPr>
          <w:rFonts w:ascii="Times New Roman" w:hAnsi="Times New Roman" w:cs="Times New Roman"/>
          <w:b/>
          <w:bCs/>
          <w:color w:val="auto"/>
          <w:sz w:val="24"/>
          <w:szCs w:val="24"/>
          <w:u w:val="single"/>
        </w:rPr>
        <w:t xml:space="preserve">alsts patoloģijas centra </w:t>
      </w:r>
      <w:r w:rsidR="007070E1" w:rsidRPr="00901A9F">
        <w:rPr>
          <w:rFonts w:ascii="Times New Roman" w:hAnsi="Times New Roman" w:cs="Times New Roman"/>
          <w:b/>
          <w:bCs/>
          <w:color w:val="auto"/>
          <w:sz w:val="24"/>
          <w:szCs w:val="24"/>
          <w:u w:val="single"/>
        </w:rPr>
        <w:t>izveide</w:t>
      </w:r>
    </w:p>
    <w:p w14:paraId="1A6D975E" w14:textId="0F5BA6FC" w:rsidR="006008A7" w:rsidRDefault="00C92433" w:rsidP="00BD1903">
      <w:pPr>
        <w:spacing w:after="120"/>
        <w:ind w:firstLine="720"/>
        <w:jc w:val="both"/>
        <w:rPr>
          <w:rFonts w:ascii="Times New Roman" w:hAnsi="Times New Roman"/>
          <w:bCs/>
          <w:sz w:val="24"/>
          <w:szCs w:val="24"/>
        </w:rPr>
      </w:pPr>
      <w:r w:rsidRPr="00847710">
        <w:rPr>
          <w:rFonts w:ascii="Times New Roman" w:hAnsi="Times New Roman" w:cs="Times New Roman"/>
          <w:sz w:val="24"/>
          <w:szCs w:val="24"/>
        </w:rPr>
        <w:t>R</w:t>
      </w:r>
      <w:r w:rsidR="0071331A" w:rsidRPr="00847710">
        <w:rPr>
          <w:rFonts w:ascii="Times New Roman" w:hAnsi="Times New Roman" w:cs="Times New Roman"/>
          <w:sz w:val="24"/>
          <w:szCs w:val="24"/>
        </w:rPr>
        <w:t>eformas īstenošana</w:t>
      </w:r>
      <w:r w:rsidR="00E924C1">
        <w:rPr>
          <w:rFonts w:ascii="Times New Roman" w:hAnsi="Times New Roman" w:cs="Times New Roman"/>
          <w:sz w:val="24"/>
          <w:szCs w:val="24"/>
        </w:rPr>
        <w:t xml:space="preserve"> turpi</w:t>
      </w:r>
      <w:r w:rsidR="0071331A" w:rsidRPr="00847710">
        <w:rPr>
          <w:rFonts w:ascii="Times New Roman" w:hAnsi="Times New Roman" w:cs="Times New Roman"/>
          <w:sz w:val="24"/>
          <w:szCs w:val="24"/>
        </w:rPr>
        <w:t>nāma arī 2019.gadā</w:t>
      </w:r>
      <w:r w:rsidRPr="00847710">
        <w:rPr>
          <w:rFonts w:ascii="Times New Roman" w:hAnsi="Times New Roman" w:cs="Times New Roman"/>
          <w:sz w:val="24"/>
          <w:szCs w:val="24"/>
        </w:rPr>
        <w:t>,</w:t>
      </w:r>
      <w:r w:rsidR="00E924C1">
        <w:rPr>
          <w:rFonts w:ascii="Times New Roman" w:hAnsi="Times New Roman" w:cs="Times New Roman"/>
          <w:sz w:val="24"/>
          <w:szCs w:val="24"/>
        </w:rPr>
        <w:t xml:space="preserve"> lai jaunajā patoloģijas centrā varētu uzsākt s</w:t>
      </w:r>
      <w:r w:rsidR="00B435BE" w:rsidRPr="00847710">
        <w:rPr>
          <w:rFonts w:ascii="Times New Roman" w:hAnsi="Times New Roman" w:cs="Times New Roman"/>
          <w:sz w:val="24"/>
          <w:szCs w:val="24"/>
        </w:rPr>
        <w:t>nieg</w:t>
      </w:r>
      <w:r w:rsidR="00E924C1">
        <w:rPr>
          <w:rFonts w:ascii="Times New Roman" w:hAnsi="Times New Roman" w:cs="Times New Roman"/>
          <w:sz w:val="24"/>
          <w:szCs w:val="24"/>
        </w:rPr>
        <w:t>t</w:t>
      </w:r>
      <w:r w:rsidR="00B435BE" w:rsidRPr="00847710">
        <w:rPr>
          <w:rFonts w:ascii="Times New Roman" w:hAnsi="Times New Roman" w:cs="Times New Roman"/>
          <w:sz w:val="24"/>
          <w:szCs w:val="24"/>
        </w:rPr>
        <w:t xml:space="preserve"> jaunos pakalpojumus</w:t>
      </w:r>
      <w:r w:rsidR="00E924C1">
        <w:rPr>
          <w:rFonts w:ascii="Times New Roman" w:hAnsi="Times New Roman" w:cs="Times New Roman"/>
          <w:sz w:val="24"/>
          <w:szCs w:val="24"/>
        </w:rPr>
        <w:t>.</w:t>
      </w:r>
      <w:r w:rsidR="0071331A" w:rsidRPr="00847710">
        <w:rPr>
          <w:rFonts w:ascii="Times New Roman" w:hAnsi="Times New Roman" w:cs="Times New Roman"/>
          <w:sz w:val="24"/>
          <w:szCs w:val="24"/>
        </w:rPr>
        <w:t xml:space="preserve"> VPC uzturēšanas izdevumi tiks segti no ieņēmumiem par valsts apmaksāto pakalpojumu sniegšanu, maksas pakalpojumu sniegšanu un pakalpojumu eksporta.</w:t>
      </w:r>
      <w:r w:rsidR="00893C03">
        <w:rPr>
          <w:rFonts w:ascii="Times New Roman" w:hAnsi="Times New Roman" w:cs="Times New Roman"/>
          <w:sz w:val="24"/>
          <w:szCs w:val="24"/>
        </w:rPr>
        <w:t xml:space="preserve"> 2019.gadam papildus nepieciešami </w:t>
      </w:r>
      <w:r w:rsidR="00D3200D" w:rsidRPr="00D3200D">
        <w:rPr>
          <w:rFonts w:ascii="Times New Roman" w:hAnsi="Times New Roman" w:cs="Times New Roman"/>
          <w:b/>
          <w:sz w:val="24"/>
          <w:szCs w:val="24"/>
        </w:rPr>
        <w:t>2 559 3</w:t>
      </w:r>
      <w:r w:rsidR="009A2214">
        <w:rPr>
          <w:rFonts w:ascii="Times New Roman" w:hAnsi="Times New Roman" w:cs="Times New Roman"/>
          <w:b/>
          <w:sz w:val="24"/>
          <w:szCs w:val="24"/>
        </w:rPr>
        <w:t>13</w:t>
      </w:r>
      <w:r w:rsidR="00893C03" w:rsidRPr="00D3200D">
        <w:rPr>
          <w:rFonts w:ascii="Times New Roman" w:hAnsi="Times New Roman" w:cs="Times New Roman"/>
          <w:b/>
          <w:sz w:val="24"/>
          <w:szCs w:val="24"/>
        </w:rPr>
        <w:t xml:space="preserve"> </w:t>
      </w:r>
      <w:r w:rsidR="002A26BA" w:rsidRPr="00D3200D">
        <w:rPr>
          <w:rFonts w:ascii="Times New Roman" w:hAnsi="Times New Roman" w:cs="Times New Roman"/>
          <w:b/>
          <w:i/>
          <w:sz w:val="24"/>
          <w:szCs w:val="24"/>
        </w:rPr>
        <w:t>euro</w:t>
      </w:r>
      <w:r w:rsidR="002A26BA">
        <w:rPr>
          <w:rFonts w:ascii="Times New Roman" w:hAnsi="Times New Roman" w:cs="Times New Roman"/>
          <w:sz w:val="24"/>
          <w:szCs w:val="24"/>
        </w:rPr>
        <w:t>, lai r</w:t>
      </w:r>
      <w:r w:rsidR="00EA169C" w:rsidRPr="00EA169C">
        <w:rPr>
          <w:rFonts w:ascii="Times New Roman" w:hAnsi="Times New Roman"/>
          <w:bCs/>
          <w:sz w:val="24"/>
          <w:szCs w:val="24"/>
        </w:rPr>
        <w:t>ealizēt</w:t>
      </w:r>
      <w:r w:rsidR="00D56226">
        <w:rPr>
          <w:rFonts w:ascii="Times New Roman" w:hAnsi="Times New Roman"/>
          <w:bCs/>
          <w:sz w:val="24"/>
          <w:szCs w:val="24"/>
        </w:rPr>
        <w:t>u</w:t>
      </w:r>
      <w:r w:rsidR="00EA169C" w:rsidRPr="00EA169C">
        <w:rPr>
          <w:rFonts w:ascii="Times New Roman" w:hAnsi="Times New Roman"/>
          <w:bCs/>
          <w:sz w:val="24"/>
          <w:szCs w:val="24"/>
        </w:rPr>
        <w:t xml:space="preserve"> VPC modernizācijas </w:t>
      </w:r>
      <w:r w:rsidR="002A26BA">
        <w:rPr>
          <w:rFonts w:ascii="Times New Roman" w:hAnsi="Times New Roman"/>
          <w:bCs/>
          <w:sz w:val="24"/>
          <w:szCs w:val="24"/>
        </w:rPr>
        <w:t xml:space="preserve">projektu </w:t>
      </w:r>
      <w:r w:rsidR="00EA169C" w:rsidRPr="00EA169C">
        <w:rPr>
          <w:rFonts w:ascii="Times New Roman" w:hAnsi="Times New Roman"/>
          <w:bCs/>
          <w:sz w:val="24"/>
          <w:szCs w:val="24"/>
        </w:rPr>
        <w:t>un ieviešot jaunās izmeklēšanas metodes ļaundabīgo audzēju diagnostikā un personalizētā ārstēšanā, tik</w:t>
      </w:r>
      <w:r w:rsidR="002A26BA">
        <w:rPr>
          <w:rFonts w:ascii="Times New Roman" w:hAnsi="Times New Roman"/>
          <w:bCs/>
          <w:sz w:val="24"/>
          <w:szCs w:val="24"/>
        </w:rPr>
        <w:t>tu</w:t>
      </w:r>
      <w:r w:rsidR="00EA169C" w:rsidRPr="00EA169C">
        <w:rPr>
          <w:rFonts w:ascii="Times New Roman" w:hAnsi="Times New Roman"/>
          <w:bCs/>
          <w:sz w:val="24"/>
          <w:szCs w:val="24"/>
        </w:rPr>
        <w:t xml:space="preserve"> paātrināts diagnozes noteikšanas laiks</w:t>
      </w:r>
      <w:r w:rsidR="002A26BA">
        <w:rPr>
          <w:rFonts w:ascii="Times New Roman" w:hAnsi="Times New Roman"/>
          <w:bCs/>
          <w:sz w:val="24"/>
          <w:szCs w:val="24"/>
        </w:rPr>
        <w:t xml:space="preserve"> un tā</w:t>
      </w:r>
      <w:r w:rsidR="00EA169C" w:rsidRPr="00EA169C">
        <w:rPr>
          <w:rFonts w:ascii="Times New Roman" w:hAnsi="Times New Roman"/>
          <w:bCs/>
          <w:sz w:val="24"/>
          <w:szCs w:val="24"/>
        </w:rPr>
        <w:t xml:space="preserve"> rezultātā ar personalizētās diagnostikas ieviešanu bū</w:t>
      </w:r>
      <w:r w:rsidR="002A26BA">
        <w:rPr>
          <w:rFonts w:ascii="Times New Roman" w:hAnsi="Times New Roman"/>
          <w:bCs/>
          <w:sz w:val="24"/>
          <w:szCs w:val="24"/>
        </w:rPr>
        <w:t>tu</w:t>
      </w:r>
      <w:r w:rsidR="00EA169C" w:rsidRPr="00EA169C">
        <w:rPr>
          <w:rFonts w:ascii="Times New Roman" w:hAnsi="Times New Roman"/>
          <w:bCs/>
          <w:sz w:val="24"/>
          <w:szCs w:val="24"/>
        </w:rPr>
        <w:t xml:space="preserve"> iespēja precīzi noteikt audzēja veidu un piemeklēt efektīvāko ārstēšanas metodi (īpaši medikamentozo terapiju), kas dod būtisku ieguvumu ne tikai pacientu dzīvildzes uzlabošanā, bet arī līdzekļu efektīvā izlietošanā, ārstējot tikai ar mērķtiecīgu terapiju. Attiecīgi prognozējams, ka mirstība no ļaundabīgajiem audzējiem tiks samazināta vidēji par 8%.</w:t>
      </w:r>
    </w:p>
    <w:p w14:paraId="20611CB0" w14:textId="4A986282" w:rsidR="0015656C" w:rsidRPr="008A7272" w:rsidRDefault="0015656C" w:rsidP="00BD1903">
      <w:pPr>
        <w:spacing w:after="120"/>
        <w:ind w:firstLine="720"/>
        <w:jc w:val="both"/>
        <w:rPr>
          <w:rFonts w:ascii="Times New Roman" w:hAnsi="Times New Roman"/>
          <w:sz w:val="24"/>
          <w:szCs w:val="24"/>
        </w:rPr>
      </w:pPr>
      <w:r w:rsidRPr="000D1328">
        <w:rPr>
          <w:rFonts w:ascii="Times New Roman" w:hAnsi="Times New Roman"/>
          <w:sz w:val="24"/>
          <w:szCs w:val="24"/>
        </w:rPr>
        <w:t xml:space="preserve">2018.gadā projekta realizācijas ietvaros </w:t>
      </w:r>
      <w:r w:rsidR="00A41026">
        <w:rPr>
          <w:rFonts w:ascii="Times New Roman" w:hAnsi="Times New Roman"/>
          <w:sz w:val="24"/>
          <w:szCs w:val="24"/>
        </w:rPr>
        <w:t xml:space="preserve">tika </w:t>
      </w:r>
      <w:r w:rsidRPr="000D1328">
        <w:rPr>
          <w:rFonts w:ascii="Times New Roman" w:hAnsi="Times New Roman"/>
          <w:sz w:val="24"/>
          <w:szCs w:val="24"/>
        </w:rPr>
        <w:t>noteikti VPC mērķi, uzdevumi un funkcijas, veikti finanšu aprēķini projekta realizācijai, veikts ēkas tehniskais apsekojums un noteiktas prasības telpām un to renovācijai</w:t>
      </w:r>
      <w:r>
        <w:rPr>
          <w:rFonts w:ascii="Times New Roman" w:hAnsi="Times New Roman"/>
          <w:sz w:val="24"/>
          <w:szCs w:val="24"/>
        </w:rPr>
        <w:t>, izvērtēta esošu metožu modernizācija un jauno metožu ieviešana, precizēts medicīnas tehnoloģiju saraksts un iegādes vērtībā,</w:t>
      </w:r>
      <w:r w:rsidRPr="000D1328">
        <w:rPr>
          <w:rFonts w:ascii="Times New Roman" w:hAnsi="Times New Roman"/>
          <w:sz w:val="24"/>
          <w:szCs w:val="24"/>
        </w:rPr>
        <w:t xml:space="preserve"> kā arī izsludināts iepirkums “Patoloģijas centra ēkas telpu un inženiertehnisko tīklu pielāgošanas remontdarbi Valsts Patoloģijas centra izveidei”</w:t>
      </w:r>
      <w:r w:rsidRPr="000D1328">
        <w:t xml:space="preserve"> </w:t>
      </w:r>
      <w:r w:rsidRPr="000D1328">
        <w:rPr>
          <w:rFonts w:ascii="Times New Roman" w:hAnsi="Times New Roman"/>
          <w:sz w:val="24"/>
          <w:szCs w:val="24"/>
        </w:rPr>
        <w:t>un iepirkums</w:t>
      </w:r>
      <w:r>
        <w:t xml:space="preserve"> </w:t>
      </w:r>
      <w:r w:rsidRPr="000D1328">
        <w:rPr>
          <w:rFonts w:ascii="Times New Roman" w:hAnsi="Times New Roman"/>
          <w:sz w:val="24"/>
          <w:szCs w:val="24"/>
        </w:rPr>
        <w:t>pirmās kārtas iekārtu ieg</w:t>
      </w:r>
      <w:r w:rsidR="00D3336D">
        <w:rPr>
          <w:rFonts w:ascii="Times New Roman" w:hAnsi="Times New Roman"/>
          <w:sz w:val="24"/>
          <w:szCs w:val="24"/>
        </w:rPr>
        <w:t>ādes VPC darbības nodrošināšanai.</w:t>
      </w:r>
    </w:p>
    <w:p w14:paraId="48964D93" w14:textId="0BCD0427" w:rsidR="0015656C" w:rsidRPr="008A7272" w:rsidRDefault="0015656C" w:rsidP="00BD1903">
      <w:pPr>
        <w:spacing w:after="120"/>
        <w:ind w:firstLine="720"/>
        <w:jc w:val="both"/>
        <w:rPr>
          <w:rFonts w:ascii="Times New Roman" w:hAnsi="Times New Roman"/>
          <w:sz w:val="24"/>
          <w:szCs w:val="24"/>
        </w:rPr>
      </w:pPr>
      <w:r w:rsidRPr="008A7272">
        <w:rPr>
          <w:rFonts w:ascii="Times New Roman" w:hAnsi="Times New Roman"/>
          <w:sz w:val="24"/>
          <w:szCs w:val="24"/>
        </w:rPr>
        <w:t>Ņemot vērā piešķirto finansējumu 965 </w:t>
      </w:r>
      <w:r>
        <w:rPr>
          <w:rFonts w:ascii="Times New Roman" w:hAnsi="Times New Roman"/>
          <w:sz w:val="24"/>
          <w:szCs w:val="24"/>
        </w:rPr>
        <w:t>66</w:t>
      </w:r>
      <w:r w:rsidRPr="008A7272">
        <w:rPr>
          <w:rFonts w:ascii="Times New Roman" w:hAnsi="Times New Roman"/>
          <w:sz w:val="24"/>
          <w:szCs w:val="24"/>
        </w:rPr>
        <w:t xml:space="preserve">0 </w:t>
      </w:r>
      <w:r>
        <w:rPr>
          <w:rFonts w:ascii="Times New Roman" w:hAnsi="Times New Roman"/>
          <w:i/>
          <w:sz w:val="24"/>
          <w:szCs w:val="24"/>
        </w:rPr>
        <w:t>euro</w:t>
      </w:r>
      <w:r w:rsidRPr="008A7272">
        <w:rPr>
          <w:rFonts w:ascii="Times New Roman" w:hAnsi="Times New Roman"/>
          <w:sz w:val="24"/>
          <w:szCs w:val="24"/>
        </w:rPr>
        <w:t xml:space="preserve"> </w:t>
      </w:r>
      <w:r>
        <w:rPr>
          <w:rFonts w:ascii="Times New Roman" w:hAnsi="Times New Roman"/>
          <w:sz w:val="24"/>
          <w:szCs w:val="24"/>
        </w:rPr>
        <w:t xml:space="preserve">apmērā </w:t>
      </w:r>
      <w:r w:rsidRPr="008A7272">
        <w:rPr>
          <w:rFonts w:ascii="Times New Roman" w:hAnsi="Times New Roman"/>
          <w:sz w:val="24"/>
          <w:szCs w:val="24"/>
        </w:rPr>
        <w:t>VPC darbības uz</w:t>
      </w:r>
      <w:r>
        <w:rPr>
          <w:rFonts w:ascii="Times New Roman" w:hAnsi="Times New Roman"/>
          <w:sz w:val="24"/>
          <w:szCs w:val="24"/>
        </w:rPr>
        <w:t>sākšanai un 2018. gadā iegā</w:t>
      </w:r>
      <w:r w:rsidRPr="008A7272">
        <w:rPr>
          <w:rFonts w:ascii="Times New Roman" w:hAnsi="Times New Roman"/>
          <w:sz w:val="24"/>
          <w:szCs w:val="24"/>
        </w:rPr>
        <w:t>dāt</w:t>
      </w:r>
      <w:r>
        <w:rPr>
          <w:rFonts w:ascii="Times New Roman" w:hAnsi="Times New Roman"/>
          <w:sz w:val="24"/>
          <w:szCs w:val="24"/>
        </w:rPr>
        <w:t>a</w:t>
      </w:r>
      <w:r w:rsidRPr="008A7272">
        <w:rPr>
          <w:rFonts w:ascii="Times New Roman" w:hAnsi="Times New Roman"/>
          <w:sz w:val="24"/>
          <w:szCs w:val="24"/>
        </w:rPr>
        <w:t>s iekārtas Valsts Patoloģijas Centra izveides projekta ietvaros, SIA „Rīgas Austrumu klīniskā universitātes slimnīca”  kopš 2019. gada 1. janvāra ir gatava ieviest un sniegt Latvijas iedzīvotājiem vienu jaunu pakalpojumu un modernizēt divus esošus pakalpojumus:</w:t>
      </w:r>
    </w:p>
    <w:p w14:paraId="492ADEBD" w14:textId="77777777" w:rsidR="0015656C" w:rsidRPr="0015656C" w:rsidRDefault="0015656C" w:rsidP="00BD1903">
      <w:pPr>
        <w:pStyle w:val="ListParagraph"/>
        <w:numPr>
          <w:ilvl w:val="0"/>
          <w:numId w:val="12"/>
        </w:numPr>
        <w:spacing w:after="120"/>
        <w:ind w:left="714" w:hanging="357"/>
        <w:jc w:val="both"/>
        <w:rPr>
          <w:rFonts w:ascii="Times New Roman" w:hAnsi="Times New Roman"/>
          <w:sz w:val="24"/>
          <w:szCs w:val="24"/>
          <w:lang w:val="lv-LV"/>
        </w:rPr>
      </w:pPr>
      <w:r w:rsidRPr="0015656C">
        <w:rPr>
          <w:rFonts w:ascii="Times New Roman" w:hAnsi="Times New Roman"/>
          <w:sz w:val="24"/>
          <w:szCs w:val="24"/>
          <w:lang w:val="lv-LV"/>
        </w:rPr>
        <w:t>Biopsijas un operācijas materiāla in situ hibridizācijas izmeklējums mutāciju noteikšanai (jauns pakalpojums), (2019. gadā plānots veikt 500 izmeklējumus);</w:t>
      </w:r>
    </w:p>
    <w:p w14:paraId="0CAFC670" w14:textId="0B8534EA" w:rsidR="0015656C" w:rsidRPr="0015656C" w:rsidRDefault="0015656C" w:rsidP="00BD1903">
      <w:pPr>
        <w:pStyle w:val="ListParagraph"/>
        <w:numPr>
          <w:ilvl w:val="0"/>
          <w:numId w:val="12"/>
        </w:numPr>
        <w:spacing w:after="120"/>
        <w:ind w:left="714" w:hanging="357"/>
        <w:jc w:val="both"/>
        <w:rPr>
          <w:rFonts w:ascii="Times New Roman" w:hAnsi="Times New Roman"/>
          <w:sz w:val="24"/>
          <w:szCs w:val="24"/>
          <w:lang w:val="lv-LV"/>
        </w:rPr>
      </w:pPr>
      <w:r w:rsidRPr="0015656C">
        <w:rPr>
          <w:rFonts w:ascii="Times New Roman" w:hAnsi="Times New Roman"/>
          <w:sz w:val="24"/>
          <w:szCs w:val="24"/>
          <w:lang w:val="lv-LV"/>
        </w:rPr>
        <w:t>Biopsijas un operācijas materiāla imūnhistoķīmija limfoproliferatīvo slimību gadījumā (modernizē</w:t>
      </w:r>
      <w:r w:rsidR="002A39D0">
        <w:rPr>
          <w:rFonts w:ascii="Times New Roman" w:hAnsi="Times New Roman"/>
          <w:sz w:val="24"/>
          <w:szCs w:val="24"/>
          <w:lang w:val="lv-LV"/>
        </w:rPr>
        <w:t>ts esošais pakalpojums), (2019.</w:t>
      </w:r>
      <w:r w:rsidRPr="0015656C">
        <w:rPr>
          <w:rFonts w:ascii="Times New Roman" w:hAnsi="Times New Roman"/>
          <w:sz w:val="24"/>
          <w:szCs w:val="24"/>
          <w:lang w:val="lv-LV"/>
        </w:rPr>
        <w:t>gadā plānots veikt 800 izmeklējumus);</w:t>
      </w:r>
    </w:p>
    <w:p w14:paraId="4E5C7EFE" w14:textId="2D0B5D0B" w:rsidR="0015656C" w:rsidRPr="0015656C" w:rsidRDefault="0015656C" w:rsidP="00BD1903">
      <w:pPr>
        <w:pStyle w:val="ListParagraph"/>
        <w:numPr>
          <w:ilvl w:val="0"/>
          <w:numId w:val="12"/>
        </w:numPr>
        <w:spacing w:after="120"/>
        <w:ind w:left="714" w:hanging="357"/>
        <w:jc w:val="both"/>
        <w:rPr>
          <w:rFonts w:ascii="Times New Roman" w:hAnsi="Times New Roman"/>
          <w:sz w:val="24"/>
          <w:szCs w:val="24"/>
          <w:lang w:val="lv-LV"/>
        </w:rPr>
      </w:pPr>
      <w:r w:rsidRPr="0015656C">
        <w:rPr>
          <w:rFonts w:ascii="Times New Roman" w:hAnsi="Times New Roman"/>
          <w:sz w:val="24"/>
          <w:szCs w:val="24"/>
          <w:lang w:val="lv-LV"/>
        </w:rPr>
        <w:t>Biopsijas un operācijas materiāla imūnhistoķīmija piena dziedzera gadījumā (modernizē</w:t>
      </w:r>
      <w:r w:rsidR="00BB38CA">
        <w:rPr>
          <w:rFonts w:ascii="Times New Roman" w:hAnsi="Times New Roman"/>
          <w:sz w:val="24"/>
          <w:szCs w:val="24"/>
          <w:lang w:val="lv-LV"/>
        </w:rPr>
        <w:t>ts esošais pakalpojums), (2019.</w:t>
      </w:r>
      <w:r w:rsidRPr="0015656C">
        <w:rPr>
          <w:rFonts w:ascii="Times New Roman" w:hAnsi="Times New Roman"/>
          <w:sz w:val="24"/>
          <w:szCs w:val="24"/>
          <w:lang w:val="lv-LV"/>
        </w:rPr>
        <w:t>gadā plānots veikt 1000 izmeklējumus).</w:t>
      </w:r>
    </w:p>
    <w:p w14:paraId="4D80BAFA" w14:textId="4F01CDFF" w:rsidR="0015656C" w:rsidRDefault="00BD1903" w:rsidP="00BD1903">
      <w:pPr>
        <w:spacing w:after="120"/>
        <w:ind w:firstLine="720"/>
        <w:jc w:val="both"/>
        <w:rPr>
          <w:rFonts w:ascii="Times New Roman" w:hAnsi="Times New Roman"/>
          <w:sz w:val="24"/>
          <w:szCs w:val="24"/>
        </w:rPr>
      </w:pPr>
      <w:r>
        <w:rPr>
          <w:rFonts w:ascii="Times New Roman" w:hAnsi="Times New Roman"/>
          <w:sz w:val="24"/>
          <w:szCs w:val="24"/>
        </w:rPr>
        <w:t xml:space="preserve">  </w:t>
      </w:r>
      <w:r w:rsidR="0015656C" w:rsidRPr="008A7272">
        <w:rPr>
          <w:rFonts w:ascii="Times New Roman" w:hAnsi="Times New Roman"/>
          <w:sz w:val="24"/>
          <w:szCs w:val="24"/>
        </w:rPr>
        <w:t>Ieviešot jaunu pakalpojumu un pilnveidojot divus esošos pakalpojumus, tiks uzlabota slimību diagnostik</w:t>
      </w:r>
      <w:r w:rsidR="0015656C">
        <w:rPr>
          <w:rFonts w:ascii="Times New Roman" w:hAnsi="Times New Roman"/>
          <w:sz w:val="24"/>
          <w:szCs w:val="24"/>
        </w:rPr>
        <w:t>a</w:t>
      </w:r>
      <w:r w:rsidR="0015656C" w:rsidRPr="008A7272">
        <w:rPr>
          <w:rFonts w:ascii="Times New Roman" w:hAnsi="Times New Roman"/>
          <w:sz w:val="24"/>
          <w:szCs w:val="24"/>
        </w:rPr>
        <w:t xml:space="preserve"> un samazināts diagnosticēšanas laiks, kurā rezultātā palielināsies kvalitatīvo nodzīvotu mūža gadu skaits un samazināsies potenciāli zaudētu mūžu gadu skaits, </w:t>
      </w:r>
      <w:r w:rsidR="0015656C" w:rsidRPr="008A7272">
        <w:rPr>
          <w:rFonts w:ascii="Times New Roman" w:hAnsi="Times New Roman"/>
          <w:sz w:val="24"/>
          <w:szCs w:val="24"/>
        </w:rPr>
        <w:lastRenderedPageBreak/>
        <w:t>kā arī ļaundabīgo audzēju skaits vēlīnajās stadijā. Tajā pašā laikā tiks nodrošināta onkoloģijas zaļā koridora darbība un</w:t>
      </w:r>
      <w:r w:rsidR="0015656C">
        <w:rPr>
          <w:rFonts w:ascii="Times New Roman" w:hAnsi="Times New Roman"/>
          <w:sz w:val="24"/>
          <w:szCs w:val="24"/>
        </w:rPr>
        <w:t xml:space="preserve"> efektīvās ārstēšanas izvēle pacientiem ar ļaundabīgajiem audzējiem.</w:t>
      </w:r>
      <w:r w:rsidR="0015656C" w:rsidRPr="008A7272">
        <w:rPr>
          <w:rFonts w:ascii="Times New Roman" w:hAnsi="Times New Roman"/>
          <w:sz w:val="24"/>
          <w:szCs w:val="24"/>
        </w:rPr>
        <w:t xml:space="preserve"> </w:t>
      </w:r>
    </w:p>
    <w:p w14:paraId="1E6936CB" w14:textId="1162DAA4" w:rsidR="0015656C" w:rsidRDefault="0015656C" w:rsidP="00BD1903">
      <w:pPr>
        <w:spacing w:after="120"/>
        <w:ind w:firstLine="720"/>
        <w:jc w:val="both"/>
        <w:rPr>
          <w:rFonts w:ascii="Times New Roman" w:hAnsi="Times New Roman"/>
          <w:sz w:val="24"/>
          <w:szCs w:val="24"/>
        </w:rPr>
      </w:pPr>
      <w:r>
        <w:rPr>
          <w:rFonts w:ascii="Times New Roman" w:hAnsi="Times New Roman"/>
          <w:sz w:val="24"/>
          <w:szCs w:val="24"/>
        </w:rPr>
        <w:t>Ņemot vērā p</w:t>
      </w:r>
      <w:r w:rsidR="00E751BB">
        <w:rPr>
          <w:rFonts w:ascii="Times New Roman" w:hAnsi="Times New Roman"/>
          <w:sz w:val="24"/>
          <w:szCs w:val="24"/>
        </w:rPr>
        <w:t>rocesa automatizāciju, no 2019.</w:t>
      </w:r>
      <w:r>
        <w:rPr>
          <w:rFonts w:ascii="Times New Roman" w:hAnsi="Times New Roman"/>
          <w:sz w:val="24"/>
          <w:szCs w:val="24"/>
        </w:rPr>
        <w:t xml:space="preserve">gada pieaugs pakalpojumu produktivitāte, kā arī samazināsies diagnozes noteikšanas laiks par 1-2 dienu, kas būtiski ietekmēs pacientu ārstēšanu un plūsmu. </w:t>
      </w:r>
    </w:p>
    <w:p w14:paraId="186A7F0D" w14:textId="1A514D16" w:rsidR="00453422" w:rsidRDefault="00453422" w:rsidP="00453422">
      <w:pPr>
        <w:spacing w:after="120"/>
        <w:ind w:firstLine="720"/>
        <w:jc w:val="both"/>
        <w:rPr>
          <w:rFonts w:ascii="Times New Roman" w:hAnsi="Times New Roman"/>
          <w:sz w:val="24"/>
          <w:szCs w:val="24"/>
        </w:rPr>
      </w:pPr>
      <w:r>
        <w:rPr>
          <w:rFonts w:ascii="Times New Roman" w:hAnsi="Times New Roman"/>
          <w:sz w:val="24"/>
          <w:szCs w:val="24"/>
        </w:rPr>
        <w:t xml:space="preserve">VPC būvdarbi ir plānoti 2019.gadā par kopējo summu </w:t>
      </w:r>
      <w:r w:rsidRPr="001A0155">
        <w:rPr>
          <w:rFonts w:ascii="Times New Roman" w:hAnsi="Times New Roman"/>
          <w:b/>
          <w:sz w:val="24"/>
          <w:szCs w:val="24"/>
        </w:rPr>
        <w:t>1 352 2</w:t>
      </w:r>
      <w:r w:rsidR="00FB0871">
        <w:rPr>
          <w:rFonts w:ascii="Times New Roman" w:hAnsi="Times New Roman"/>
          <w:b/>
          <w:sz w:val="24"/>
          <w:szCs w:val="24"/>
        </w:rPr>
        <w:t>17</w:t>
      </w:r>
      <w:r w:rsidRPr="001A0155">
        <w:rPr>
          <w:rFonts w:ascii="Times New Roman" w:hAnsi="Times New Roman"/>
          <w:b/>
          <w:sz w:val="24"/>
          <w:szCs w:val="24"/>
        </w:rPr>
        <w:t xml:space="preserve"> </w:t>
      </w:r>
      <w:r w:rsidRPr="00982C25">
        <w:rPr>
          <w:rFonts w:ascii="Times New Roman" w:hAnsi="Times New Roman"/>
          <w:b/>
          <w:i/>
          <w:sz w:val="24"/>
          <w:szCs w:val="24"/>
        </w:rPr>
        <w:t xml:space="preserve">euro </w:t>
      </w:r>
      <w:r w:rsidRPr="00982C25">
        <w:rPr>
          <w:rFonts w:ascii="Times New Roman" w:hAnsi="Times New Roman"/>
          <w:sz w:val="24"/>
          <w:szCs w:val="24"/>
        </w:rPr>
        <w:t>(skat.</w:t>
      </w:r>
      <w:r w:rsidR="00702FDC" w:rsidRPr="00982C25">
        <w:rPr>
          <w:rFonts w:ascii="Times New Roman" w:hAnsi="Times New Roman"/>
          <w:sz w:val="24"/>
          <w:szCs w:val="24"/>
        </w:rPr>
        <w:t>3</w:t>
      </w:r>
      <w:r w:rsidR="00607900">
        <w:rPr>
          <w:rFonts w:ascii="Times New Roman" w:hAnsi="Times New Roman"/>
          <w:sz w:val="24"/>
          <w:szCs w:val="24"/>
        </w:rPr>
        <w:t>6</w:t>
      </w:r>
      <w:r w:rsidR="00221A0A" w:rsidRPr="00982C25">
        <w:rPr>
          <w:rFonts w:ascii="Times New Roman" w:hAnsi="Times New Roman"/>
          <w:sz w:val="24"/>
          <w:szCs w:val="24"/>
        </w:rPr>
        <w:t>.</w:t>
      </w:r>
      <w:r w:rsidRPr="00982C25">
        <w:rPr>
          <w:rFonts w:ascii="Times New Roman" w:hAnsi="Times New Roman"/>
          <w:sz w:val="24"/>
          <w:szCs w:val="24"/>
        </w:rPr>
        <w:t>tabulu),</w:t>
      </w:r>
      <w:r>
        <w:rPr>
          <w:rFonts w:ascii="Times New Roman" w:hAnsi="Times New Roman"/>
          <w:sz w:val="24"/>
          <w:szCs w:val="24"/>
        </w:rPr>
        <w:t xml:space="preserve"> arī visas pārējās medicīnas tehnoloģijas VPC darbības nodrošināšanai ir plānots iegādāties 2019.gadā (</w:t>
      </w:r>
      <w:r w:rsidRPr="00142A16">
        <w:rPr>
          <w:rFonts w:ascii="Times New Roman" w:hAnsi="Times New Roman"/>
          <w:sz w:val="24"/>
          <w:szCs w:val="24"/>
        </w:rPr>
        <w:t>iepriekš iekārtas tika pl</w:t>
      </w:r>
      <w:r>
        <w:rPr>
          <w:rFonts w:ascii="Times New Roman" w:hAnsi="Times New Roman"/>
          <w:sz w:val="24"/>
          <w:szCs w:val="24"/>
        </w:rPr>
        <w:t>ānots iegādāties-2019. un 2020.</w:t>
      </w:r>
      <w:r w:rsidRPr="00142A16">
        <w:rPr>
          <w:rFonts w:ascii="Times New Roman" w:hAnsi="Times New Roman"/>
          <w:sz w:val="24"/>
          <w:szCs w:val="24"/>
        </w:rPr>
        <w:t>gadā.)</w:t>
      </w:r>
      <w:r>
        <w:rPr>
          <w:rFonts w:ascii="Times New Roman" w:hAnsi="Times New Roman"/>
          <w:sz w:val="24"/>
          <w:szCs w:val="24"/>
        </w:rPr>
        <w:t>, tādējādi no 2020.gadā VPC varēs sniegt visus plānotos pakalpojumus Latvijas iedzīvotājiem, kā arī eksporta pakalpojumus ar augstu pievienotu vērtību, tā rezultātā būtiski paplašinot pakalpojumu grozu.</w:t>
      </w:r>
    </w:p>
    <w:p w14:paraId="71585A76" w14:textId="16A493D7" w:rsidR="00901A56" w:rsidRPr="00E93259" w:rsidRDefault="00702FDC" w:rsidP="7672C071">
      <w:pPr>
        <w:spacing w:after="0" w:line="240" w:lineRule="auto"/>
        <w:ind w:firstLine="720"/>
        <w:jc w:val="right"/>
        <w:rPr>
          <w:rFonts w:ascii="Times New Roman" w:hAnsi="Times New Roman"/>
          <w:i/>
          <w:iCs/>
          <w:sz w:val="24"/>
          <w:szCs w:val="24"/>
        </w:rPr>
      </w:pPr>
      <w:r w:rsidRPr="7672C071">
        <w:rPr>
          <w:rFonts w:ascii="Times New Roman" w:hAnsi="Times New Roman"/>
          <w:i/>
          <w:iCs/>
          <w:sz w:val="24"/>
          <w:szCs w:val="24"/>
        </w:rPr>
        <w:t>3</w:t>
      </w:r>
      <w:r w:rsidR="00607900">
        <w:rPr>
          <w:rFonts w:ascii="Times New Roman" w:hAnsi="Times New Roman"/>
          <w:i/>
          <w:iCs/>
          <w:sz w:val="24"/>
          <w:szCs w:val="24"/>
        </w:rPr>
        <w:t>6</w:t>
      </w:r>
      <w:r w:rsidR="00221A0A" w:rsidRPr="7672C071">
        <w:rPr>
          <w:rFonts w:ascii="Times New Roman" w:hAnsi="Times New Roman"/>
          <w:i/>
          <w:iCs/>
          <w:sz w:val="24"/>
          <w:szCs w:val="24"/>
        </w:rPr>
        <w:t>.</w:t>
      </w:r>
      <w:r w:rsidR="00DF2294" w:rsidRPr="7672C071">
        <w:rPr>
          <w:rFonts w:ascii="Times New Roman" w:hAnsi="Times New Roman"/>
          <w:i/>
          <w:iCs/>
          <w:sz w:val="24"/>
          <w:szCs w:val="24"/>
        </w:rPr>
        <w:t>tabula</w:t>
      </w:r>
    </w:p>
    <w:p w14:paraId="29B92C6D" w14:textId="23B851E3" w:rsidR="00901A56" w:rsidRPr="00DF2294" w:rsidRDefault="00901A56" w:rsidP="00DF2294">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color w:val="000000" w:themeColor="text1"/>
          <w:sz w:val="24"/>
          <w:szCs w:val="24"/>
        </w:rPr>
        <w:t xml:space="preserve">VPC izveides </w:t>
      </w:r>
      <w:r>
        <w:rPr>
          <w:rFonts w:ascii="Times New Roman" w:hAnsi="Times New Roman" w:cs="Times New Roman"/>
          <w:b/>
          <w:bCs/>
          <w:color w:val="000000" w:themeColor="text1"/>
          <w:sz w:val="24"/>
          <w:szCs w:val="24"/>
        </w:rPr>
        <w:t>turpināšanai</w:t>
      </w:r>
      <w:r w:rsidRPr="0012317D">
        <w:rPr>
          <w:rFonts w:ascii="Times New Roman" w:hAnsi="Times New Roman" w:cs="Times New Roman"/>
          <w:b/>
          <w:bCs/>
          <w:color w:val="000000" w:themeColor="text1"/>
          <w:sz w:val="24"/>
          <w:szCs w:val="24"/>
        </w:rPr>
        <w:t xml:space="preserve"> nepieciešamais finansējums 201</w:t>
      </w:r>
      <w:r>
        <w:rPr>
          <w:rFonts w:ascii="Times New Roman" w:hAnsi="Times New Roman" w:cs="Times New Roman"/>
          <w:b/>
          <w:bCs/>
          <w:color w:val="000000" w:themeColor="text1"/>
          <w:sz w:val="24"/>
          <w:szCs w:val="24"/>
        </w:rPr>
        <w:t>9</w:t>
      </w:r>
      <w:r w:rsidRPr="0012317D">
        <w:rPr>
          <w:rFonts w:ascii="Times New Roman" w:hAnsi="Times New Roman" w:cs="Times New Roman"/>
          <w:b/>
          <w:bCs/>
          <w:color w:val="000000" w:themeColor="text1"/>
          <w:sz w:val="24"/>
          <w:szCs w:val="24"/>
        </w:rPr>
        <w:t>.gadā</w:t>
      </w:r>
    </w:p>
    <w:tbl>
      <w:tblPr>
        <w:tblW w:w="8388" w:type="dxa"/>
        <w:jc w:val="center"/>
        <w:tblLook w:val="04A0" w:firstRow="1" w:lastRow="0" w:firstColumn="1" w:lastColumn="0" w:noHBand="0" w:noVBand="1"/>
      </w:tblPr>
      <w:tblGrid>
        <w:gridCol w:w="4305"/>
        <w:gridCol w:w="1355"/>
        <w:gridCol w:w="1310"/>
        <w:gridCol w:w="1418"/>
      </w:tblGrid>
      <w:tr w:rsidR="00901A56" w14:paraId="5070A223" w14:textId="77777777" w:rsidTr="00E93259">
        <w:trPr>
          <w:trHeight w:val="310"/>
          <w:jc w:val="center"/>
        </w:trPr>
        <w:tc>
          <w:tcPr>
            <w:tcW w:w="4305"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4193FF94" w14:textId="77777777" w:rsidR="00901A56" w:rsidRPr="0035414C" w:rsidRDefault="00901A56" w:rsidP="00D071CB">
            <w:pPr>
              <w:spacing w:after="0" w:line="240" w:lineRule="auto"/>
              <w:jc w:val="center"/>
              <w:rPr>
                <w:rFonts w:ascii="Times New Roman" w:eastAsia="Times New Roman" w:hAnsi="Times New Roman" w:cs="Times New Roman"/>
                <w:b/>
                <w:bCs/>
                <w:color w:val="000000"/>
                <w:sz w:val="20"/>
                <w:szCs w:val="20"/>
                <w:lang w:eastAsia="lv-LV"/>
              </w:rPr>
            </w:pPr>
            <w:r w:rsidRPr="0035414C">
              <w:rPr>
                <w:rFonts w:ascii="Times New Roman" w:eastAsia="Times New Roman" w:hAnsi="Times New Roman" w:cs="Times New Roman"/>
                <w:b/>
                <w:bCs/>
                <w:color w:val="000000"/>
                <w:sz w:val="20"/>
                <w:szCs w:val="20"/>
                <w:lang w:eastAsia="lv-LV"/>
              </w:rPr>
              <w:t>Investīciju pozīcija</w:t>
            </w:r>
          </w:p>
        </w:tc>
        <w:tc>
          <w:tcPr>
            <w:tcW w:w="1355"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65C0A834" w14:textId="77777777" w:rsidR="00901A56" w:rsidRPr="0035414C" w:rsidRDefault="00901A56" w:rsidP="00D071CB">
            <w:pPr>
              <w:spacing w:after="0" w:line="240" w:lineRule="auto"/>
              <w:jc w:val="center"/>
              <w:rPr>
                <w:rFonts w:ascii="Times New Roman" w:eastAsia="Times New Roman" w:hAnsi="Times New Roman" w:cs="Times New Roman"/>
                <w:b/>
                <w:bCs/>
                <w:color w:val="000000"/>
                <w:sz w:val="20"/>
                <w:szCs w:val="20"/>
                <w:lang w:eastAsia="lv-LV"/>
              </w:rPr>
            </w:pPr>
            <w:r w:rsidRPr="0035414C">
              <w:rPr>
                <w:rFonts w:ascii="Times New Roman" w:eastAsia="Times New Roman" w:hAnsi="Times New Roman" w:cs="Times New Roman"/>
                <w:b/>
                <w:bCs/>
                <w:color w:val="000000"/>
                <w:sz w:val="20"/>
                <w:szCs w:val="20"/>
                <w:lang w:eastAsia="lv-LV"/>
              </w:rPr>
              <w:t>Cena</w:t>
            </w:r>
          </w:p>
        </w:tc>
        <w:tc>
          <w:tcPr>
            <w:tcW w:w="1310"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2B01D21F" w14:textId="77777777" w:rsidR="00901A56" w:rsidRPr="0035414C" w:rsidRDefault="00901A56" w:rsidP="00D071CB">
            <w:pPr>
              <w:spacing w:after="0" w:line="240" w:lineRule="auto"/>
              <w:jc w:val="center"/>
              <w:rPr>
                <w:rFonts w:ascii="Times New Roman" w:eastAsia="Times New Roman" w:hAnsi="Times New Roman" w:cs="Times New Roman"/>
                <w:b/>
                <w:bCs/>
                <w:color w:val="000000"/>
                <w:sz w:val="20"/>
                <w:szCs w:val="20"/>
                <w:lang w:eastAsia="lv-LV"/>
              </w:rPr>
            </w:pPr>
            <w:r w:rsidRPr="0035414C">
              <w:rPr>
                <w:rFonts w:ascii="Times New Roman" w:eastAsia="Times New Roman" w:hAnsi="Times New Roman" w:cs="Times New Roman"/>
                <w:b/>
                <w:bCs/>
                <w:color w:val="000000"/>
                <w:sz w:val="20"/>
                <w:szCs w:val="20"/>
                <w:lang w:eastAsia="lv-LV"/>
              </w:rPr>
              <w:t>Daudzums</w:t>
            </w:r>
          </w:p>
        </w:tc>
        <w:tc>
          <w:tcPr>
            <w:tcW w:w="1418"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7FE6B311" w14:textId="50B74A89" w:rsidR="00901A56" w:rsidRPr="0035414C" w:rsidRDefault="00901A56" w:rsidP="00D071CB">
            <w:pPr>
              <w:spacing w:after="0" w:line="240" w:lineRule="auto"/>
              <w:jc w:val="center"/>
              <w:rPr>
                <w:rFonts w:ascii="Times New Roman" w:eastAsia="Times New Roman" w:hAnsi="Times New Roman" w:cs="Times New Roman"/>
                <w:b/>
                <w:bCs/>
                <w:color w:val="000000"/>
                <w:sz w:val="20"/>
                <w:szCs w:val="20"/>
                <w:lang w:eastAsia="lv-LV"/>
              </w:rPr>
            </w:pPr>
            <w:r w:rsidRPr="0035414C">
              <w:rPr>
                <w:rFonts w:ascii="Times New Roman" w:eastAsia="Times New Roman" w:hAnsi="Times New Roman" w:cs="Times New Roman"/>
                <w:b/>
                <w:bCs/>
                <w:color w:val="000000"/>
                <w:sz w:val="20"/>
                <w:szCs w:val="20"/>
                <w:lang w:eastAsia="lv-LV"/>
              </w:rPr>
              <w:t>Summa</w:t>
            </w:r>
            <w:r w:rsidR="00A52214" w:rsidRPr="0035414C">
              <w:rPr>
                <w:rFonts w:ascii="Times New Roman" w:eastAsia="Times New Roman" w:hAnsi="Times New Roman" w:cs="Times New Roman"/>
                <w:b/>
                <w:bCs/>
                <w:color w:val="000000"/>
                <w:sz w:val="20"/>
                <w:szCs w:val="20"/>
                <w:lang w:eastAsia="lv-LV"/>
              </w:rPr>
              <w:t xml:space="preserve"> ar </w:t>
            </w:r>
            <w:r w:rsidR="00E0230B" w:rsidRPr="0035414C">
              <w:rPr>
                <w:rFonts w:ascii="Times New Roman" w:eastAsia="Times New Roman" w:hAnsi="Times New Roman" w:cs="Times New Roman"/>
                <w:b/>
                <w:bCs/>
                <w:color w:val="000000"/>
                <w:sz w:val="20"/>
                <w:szCs w:val="20"/>
                <w:lang w:eastAsia="lv-LV"/>
              </w:rPr>
              <w:t xml:space="preserve">21 % </w:t>
            </w:r>
            <w:r w:rsidR="00A52214" w:rsidRPr="0035414C">
              <w:rPr>
                <w:rFonts w:ascii="Times New Roman" w:eastAsia="Times New Roman" w:hAnsi="Times New Roman" w:cs="Times New Roman"/>
                <w:b/>
                <w:bCs/>
                <w:color w:val="000000"/>
                <w:sz w:val="20"/>
                <w:szCs w:val="20"/>
                <w:lang w:eastAsia="lv-LV"/>
              </w:rPr>
              <w:t>PV</w:t>
            </w:r>
            <w:r w:rsidR="00E0230B" w:rsidRPr="0035414C">
              <w:rPr>
                <w:rFonts w:ascii="Times New Roman" w:eastAsia="Times New Roman" w:hAnsi="Times New Roman" w:cs="Times New Roman"/>
                <w:b/>
                <w:bCs/>
                <w:color w:val="000000"/>
                <w:sz w:val="20"/>
                <w:szCs w:val="20"/>
                <w:lang w:eastAsia="lv-LV"/>
              </w:rPr>
              <w:t>N</w:t>
            </w:r>
          </w:p>
        </w:tc>
      </w:tr>
      <w:tr w:rsidR="00901A56" w14:paraId="056F1E61" w14:textId="77777777" w:rsidTr="00E93259">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C090870" w14:textId="587E4783" w:rsidR="00901A56" w:rsidRPr="0035414C" w:rsidRDefault="00901A56" w:rsidP="00D071CB">
            <w:pPr>
              <w:spacing w:after="0" w:line="240" w:lineRule="auto"/>
              <w:jc w:val="both"/>
              <w:rPr>
                <w:rFonts w:ascii="Times New Roman" w:eastAsia="Times New Roman" w:hAnsi="Times New Roman" w:cs="Times New Roman"/>
                <w:b/>
                <w:bCs/>
                <w:color w:val="000000"/>
                <w:sz w:val="20"/>
                <w:szCs w:val="20"/>
                <w:lang w:eastAsia="lv-LV"/>
              </w:rPr>
            </w:pPr>
            <w:r w:rsidRPr="0035414C">
              <w:rPr>
                <w:rFonts w:ascii="Times New Roman" w:eastAsia="Times New Roman" w:hAnsi="Times New Roman" w:cs="Times New Roman"/>
                <w:b/>
                <w:bCs/>
                <w:color w:val="000000"/>
                <w:sz w:val="20"/>
                <w:szCs w:val="20"/>
                <w:lang w:eastAsia="lv-LV"/>
              </w:rPr>
              <w:t>Ēkas un tās infrastruktūras renovācija</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51955D7E" w14:textId="77777777" w:rsidR="00901A56" w:rsidRPr="0035414C" w:rsidRDefault="00901A56" w:rsidP="00D071CB">
            <w:pPr>
              <w:spacing w:after="0" w:line="240" w:lineRule="auto"/>
              <w:jc w:val="both"/>
              <w:rPr>
                <w:rFonts w:ascii="Times New Roman" w:eastAsia="Times New Roman" w:hAnsi="Times New Roman" w:cs="Times New Roman"/>
                <w:b/>
                <w:bCs/>
                <w:color w:val="000000" w:themeColor="text1"/>
                <w:sz w:val="20"/>
                <w:szCs w:val="20"/>
                <w:lang w:eastAsia="lv-LV"/>
              </w:rPr>
            </w:pPr>
            <w:r w:rsidRPr="0035414C">
              <w:rPr>
                <w:rFonts w:ascii="Times New Roman" w:eastAsia="Times New Roman" w:hAnsi="Times New Roman" w:cs="Times New Roman"/>
                <w:b/>
                <w:bCs/>
                <w:color w:val="000000"/>
                <w:sz w:val="20"/>
                <w:szCs w:val="20"/>
                <w:lang w:eastAsia="lv-LV"/>
              </w:rPr>
              <w:t> </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6A309C70" w14:textId="77777777" w:rsidR="00901A56" w:rsidRPr="0035414C" w:rsidRDefault="00901A56" w:rsidP="00D071CB">
            <w:pPr>
              <w:spacing w:after="0" w:line="240" w:lineRule="auto"/>
              <w:jc w:val="both"/>
              <w:rPr>
                <w:rFonts w:ascii="Times New Roman" w:eastAsia="Times New Roman" w:hAnsi="Times New Roman" w:cs="Times New Roman"/>
                <w:b/>
                <w:bCs/>
                <w:color w:val="000000" w:themeColor="text1"/>
                <w:sz w:val="20"/>
                <w:szCs w:val="20"/>
                <w:lang w:eastAsia="lv-LV"/>
              </w:rPr>
            </w:pPr>
            <w:r w:rsidRPr="0035414C">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14:paraId="65EE6394" w14:textId="330D8A65" w:rsidR="00901A56" w:rsidRPr="0035414C" w:rsidRDefault="00832D92" w:rsidP="00D071CB">
            <w:pPr>
              <w:spacing w:after="0" w:line="240" w:lineRule="auto"/>
              <w:jc w:val="center"/>
              <w:rPr>
                <w:rFonts w:ascii="Times New Roman" w:eastAsia="Times New Roman" w:hAnsi="Times New Roman" w:cs="Times New Roman"/>
                <w:b/>
                <w:bCs/>
                <w:color w:val="000000" w:themeColor="text1"/>
                <w:sz w:val="20"/>
                <w:szCs w:val="20"/>
                <w:lang w:eastAsia="lv-LV"/>
              </w:rPr>
            </w:pPr>
            <w:r w:rsidRPr="0035414C">
              <w:rPr>
                <w:rFonts w:ascii="Times New Roman" w:eastAsia="Times New Roman" w:hAnsi="Times New Roman" w:cs="Times New Roman"/>
                <w:b/>
                <w:bCs/>
                <w:color w:val="000000" w:themeColor="text1"/>
                <w:sz w:val="20"/>
                <w:szCs w:val="20"/>
                <w:lang w:eastAsia="lv-LV"/>
              </w:rPr>
              <w:t>1 352 2</w:t>
            </w:r>
            <w:r w:rsidR="00FB0871" w:rsidRPr="0035414C">
              <w:rPr>
                <w:rFonts w:ascii="Times New Roman" w:eastAsia="Times New Roman" w:hAnsi="Times New Roman" w:cs="Times New Roman"/>
                <w:b/>
                <w:bCs/>
                <w:color w:val="000000" w:themeColor="text1"/>
                <w:sz w:val="20"/>
                <w:szCs w:val="20"/>
                <w:lang w:eastAsia="lv-LV"/>
              </w:rPr>
              <w:t>17</w:t>
            </w:r>
          </w:p>
        </w:tc>
      </w:tr>
      <w:tr w:rsidR="00901A56" w14:paraId="1811AF67" w14:textId="77777777" w:rsidTr="00E93259">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22D8944" w14:textId="77777777" w:rsidR="00901A56" w:rsidRPr="0035414C" w:rsidRDefault="00901A56" w:rsidP="00D071CB">
            <w:pPr>
              <w:spacing w:after="0" w:line="240" w:lineRule="auto"/>
              <w:jc w:val="both"/>
              <w:rPr>
                <w:rFonts w:ascii="Times New Roman" w:eastAsia="Times New Roman" w:hAnsi="Times New Roman" w:cs="Times New Roman"/>
                <w:b/>
                <w:bCs/>
                <w:color w:val="000000"/>
                <w:sz w:val="20"/>
                <w:szCs w:val="20"/>
                <w:lang w:eastAsia="lv-LV"/>
              </w:rPr>
            </w:pPr>
            <w:r w:rsidRPr="0035414C">
              <w:rPr>
                <w:rFonts w:ascii="Times New Roman" w:eastAsia="Times New Roman" w:hAnsi="Times New Roman" w:cs="Times New Roman"/>
                <w:b/>
                <w:bCs/>
                <w:color w:val="000000"/>
                <w:sz w:val="20"/>
                <w:szCs w:val="20"/>
                <w:lang w:eastAsia="lv-LV"/>
              </w:rPr>
              <w:t>Iekārtu iegāde, t.sk.</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27F7B41F" w14:textId="77777777" w:rsidR="00901A56" w:rsidRPr="0035414C" w:rsidRDefault="00901A56" w:rsidP="00D071CB">
            <w:pPr>
              <w:spacing w:after="0" w:line="240" w:lineRule="auto"/>
              <w:jc w:val="both"/>
              <w:rPr>
                <w:rFonts w:ascii="Times New Roman" w:eastAsia="Times New Roman" w:hAnsi="Times New Roman" w:cs="Times New Roman"/>
                <w:b/>
                <w:bCs/>
                <w:color w:val="000000" w:themeColor="text1"/>
                <w:sz w:val="20"/>
                <w:szCs w:val="20"/>
                <w:lang w:eastAsia="lv-LV"/>
              </w:rPr>
            </w:pPr>
            <w:r w:rsidRPr="0035414C">
              <w:rPr>
                <w:rFonts w:ascii="Times New Roman" w:eastAsia="Times New Roman" w:hAnsi="Times New Roman" w:cs="Times New Roman"/>
                <w:b/>
                <w:bCs/>
                <w:color w:val="000000"/>
                <w:sz w:val="20"/>
                <w:szCs w:val="20"/>
                <w:lang w:eastAsia="lv-LV"/>
              </w:rPr>
              <w:t> </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64C5C880" w14:textId="77777777" w:rsidR="00901A56" w:rsidRPr="0035414C" w:rsidRDefault="00901A56" w:rsidP="00D071CB">
            <w:pPr>
              <w:spacing w:after="0" w:line="240" w:lineRule="auto"/>
              <w:jc w:val="both"/>
              <w:rPr>
                <w:rFonts w:ascii="Times New Roman" w:eastAsia="Times New Roman" w:hAnsi="Times New Roman" w:cs="Times New Roman"/>
                <w:b/>
                <w:bCs/>
                <w:color w:val="000000" w:themeColor="text1"/>
                <w:sz w:val="20"/>
                <w:szCs w:val="20"/>
                <w:lang w:eastAsia="lv-LV"/>
              </w:rPr>
            </w:pPr>
            <w:r w:rsidRPr="0035414C">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14:paraId="12A9D309" w14:textId="60A5453F" w:rsidR="00901A56" w:rsidRPr="0035414C" w:rsidRDefault="00832D92" w:rsidP="00D071CB">
            <w:pPr>
              <w:spacing w:after="0" w:line="240" w:lineRule="auto"/>
              <w:jc w:val="center"/>
              <w:rPr>
                <w:rFonts w:ascii="Times New Roman" w:eastAsia="Times New Roman" w:hAnsi="Times New Roman" w:cs="Times New Roman"/>
                <w:b/>
                <w:bCs/>
                <w:color w:val="000000" w:themeColor="text1"/>
                <w:sz w:val="20"/>
                <w:szCs w:val="20"/>
                <w:lang w:eastAsia="lv-LV"/>
              </w:rPr>
            </w:pPr>
            <w:r w:rsidRPr="0035414C">
              <w:rPr>
                <w:rFonts w:ascii="Times New Roman" w:eastAsia="Times New Roman" w:hAnsi="Times New Roman" w:cs="Times New Roman"/>
                <w:b/>
                <w:bCs/>
                <w:color w:val="000000" w:themeColor="text1"/>
                <w:sz w:val="20"/>
                <w:szCs w:val="20"/>
                <w:lang w:eastAsia="lv-LV"/>
              </w:rPr>
              <w:t>1 207 096</w:t>
            </w:r>
          </w:p>
        </w:tc>
      </w:tr>
      <w:tr w:rsidR="00901A56" w14:paraId="57ACE24B" w14:textId="77777777" w:rsidTr="00E93259">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7982BF8E" w14:textId="7DBB2767" w:rsidR="00901A56" w:rsidRPr="0035414C" w:rsidRDefault="00932F0B" w:rsidP="00C93B02">
            <w:pPr>
              <w:spacing w:after="0" w:line="240" w:lineRule="auto"/>
              <w:jc w:val="right"/>
              <w:rPr>
                <w:rFonts w:ascii="Times New Roman" w:hAnsi="Times New Roman" w:cs="Times New Roman"/>
                <w:sz w:val="20"/>
                <w:szCs w:val="20"/>
              </w:rPr>
            </w:pPr>
            <w:r w:rsidRPr="0035414C">
              <w:rPr>
                <w:rFonts w:ascii="Times New Roman" w:hAnsi="Times New Roman" w:cs="Times New Roman"/>
                <w:sz w:val="20"/>
                <w:szCs w:val="20"/>
              </w:rPr>
              <w:t>Automatizēta hematoksilīna-eozīna un histoķīmiskā krāsošanas iekārta (ar histoķīmiskās un citoloģiskās mikropreparātu krāsošanas iespējām)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7FBB32F" w14:textId="298320EE" w:rsidR="00901A56" w:rsidRPr="0035414C" w:rsidRDefault="003A704C" w:rsidP="00C93B02">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5</w:t>
            </w:r>
            <w:r w:rsidR="00932F0B" w:rsidRPr="0035414C">
              <w:rPr>
                <w:rFonts w:ascii="Times New Roman" w:hAnsi="Times New Roman" w:cs="Times New Roman"/>
                <w:color w:val="000000"/>
                <w:sz w:val="20"/>
                <w:szCs w:val="20"/>
              </w:rPr>
              <w:t xml:space="preserve">0 </w:t>
            </w:r>
            <w:r w:rsidRPr="0035414C">
              <w:rPr>
                <w:rFonts w:ascii="Times New Roman" w:hAnsi="Times New Roman" w:cs="Times New Roman"/>
                <w:color w:val="000000"/>
                <w:sz w:val="20"/>
                <w:szCs w:val="20"/>
              </w:rPr>
              <w:t>0</w:t>
            </w:r>
            <w:r w:rsidR="00932F0B" w:rsidRPr="0035414C">
              <w:rPr>
                <w:rFonts w:ascii="Times New Roman" w:hAnsi="Times New Roman" w:cs="Times New Roman"/>
                <w:color w:val="000000"/>
                <w:sz w:val="20"/>
                <w:szCs w:val="20"/>
              </w:rPr>
              <w:t>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E15CAA4" w14:textId="5E4FB753" w:rsidR="00901A56" w:rsidRPr="0035414C" w:rsidRDefault="00932F0B"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eastAsia="Times New Roman" w:hAnsi="Times New Roman" w:cs="Times New Roman"/>
                <w:color w:val="000000"/>
                <w:sz w:val="20"/>
                <w:szCs w:val="20"/>
                <w:lang w:eastAsia="lv-LV"/>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50BFB1A" w14:textId="269314F1" w:rsidR="00901A56" w:rsidRPr="0035414C" w:rsidRDefault="00932F0B" w:rsidP="00C93B02">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60 500</w:t>
            </w:r>
          </w:p>
        </w:tc>
      </w:tr>
      <w:tr w:rsidR="0063173D" w14:paraId="4626598E" w14:textId="77777777" w:rsidTr="00ED2E2F">
        <w:trPr>
          <w:trHeight w:val="197"/>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1E724CE3" w14:textId="45C74B94" w:rsidR="0063173D" w:rsidRPr="0035414C" w:rsidRDefault="0063173D" w:rsidP="00C93B02">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Spektrofotometrs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1FC5AB0" w14:textId="73972A27" w:rsidR="0063173D" w:rsidRPr="0035414C" w:rsidRDefault="003A704C"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92FCA95" w14:textId="60084E5B"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97B9C41" w14:textId="09391AC0"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6 050</w:t>
            </w:r>
          </w:p>
        </w:tc>
      </w:tr>
      <w:tr w:rsidR="0063173D" w14:paraId="2300B0F2" w14:textId="77777777" w:rsidTr="00ED2E2F">
        <w:trPr>
          <w:trHeight w:val="513"/>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484684A9" w14:textId="09AB45C9" w:rsidR="0063173D" w:rsidRPr="0035414C" w:rsidRDefault="0063173D" w:rsidP="00C93B02">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Reālā laika polimerāzes ķēdes reakcijas iekārta amplifikācijai un detekcijas analizators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45C2CB2" w14:textId="6EC3DF89" w:rsidR="0063173D" w:rsidRPr="0035414C" w:rsidRDefault="003A704C"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45 000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F2B98AE" w14:textId="39B2D692"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768D3A40" w14:textId="6B6375EA"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54 450</w:t>
            </w:r>
          </w:p>
        </w:tc>
      </w:tr>
      <w:tr w:rsidR="0063173D" w14:paraId="0D61D331" w14:textId="77777777" w:rsidTr="00E93259">
        <w:trPr>
          <w:trHeight w:val="281"/>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6C910BF4" w14:textId="61AF889E" w:rsidR="0063173D" w:rsidRPr="0035414C" w:rsidRDefault="0063173D" w:rsidP="00C93B02">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Dzēs</w:t>
            </w:r>
            <w:r w:rsidR="00622F71" w:rsidRPr="0035414C">
              <w:rPr>
                <w:rFonts w:ascii="Times New Roman" w:hAnsi="Times New Roman" w:cs="Times New Roman"/>
                <w:sz w:val="20"/>
                <w:szCs w:val="20"/>
              </w:rPr>
              <w:t>ē</w:t>
            </w:r>
            <w:r w:rsidRPr="0035414C">
              <w:rPr>
                <w:rFonts w:ascii="Times New Roman" w:hAnsi="Times New Roman" w:cs="Times New Roman"/>
                <w:sz w:val="20"/>
                <w:szCs w:val="20"/>
              </w:rPr>
              <w:t>jošā centrifūga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38479E4" w14:textId="261903EB" w:rsidR="0063173D" w:rsidRPr="0035414C" w:rsidRDefault="003A704C"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8 000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C44E92E" w14:textId="03BEC4B7"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AB2833E" w14:textId="28B82524"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9 680</w:t>
            </w:r>
          </w:p>
        </w:tc>
      </w:tr>
      <w:tr w:rsidR="0063173D" w14:paraId="59F23C3D" w14:textId="77777777" w:rsidTr="0035414C">
        <w:trPr>
          <w:trHeight w:val="287"/>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7CEFC754" w14:textId="71678956" w:rsidR="0063173D" w:rsidRPr="0035414C" w:rsidRDefault="0063173D" w:rsidP="00C93B02">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Zemās temperatūras saldētava (audu bankai)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5BEDB21" w14:textId="3B759698" w:rsidR="0063173D" w:rsidRPr="0035414C" w:rsidRDefault="003A704C"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5E92CF8" w14:textId="7B11A178"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D6F17D5" w14:textId="291F07C2"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24 200</w:t>
            </w:r>
          </w:p>
        </w:tc>
      </w:tr>
      <w:tr w:rsidR="0063173D" w14:paraId="5C465F18" w14:textId="77777777" w:rsidTr="0035414C">
        <w:trPr>
          <w:trHeight w:val="212"/>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3CFDE5B9" w14:textId="4F803D2B" w:rsidR="0063173D" w:rsidRPr="0035414C" w:rsidRDefault="0063173D" w:rsidP="00C93B02">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 xml:space="preserve">Saldētava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362C3D2" w14:textId="26795C58" w:rsidR="0063173D" w:rsidRPr="0035414C" w:rsidRDefault="003A704C"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EFF326C" w14:textId="69C22720"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F3E18B4" w14:textId="18D85EA8" w:rsidR="0063173D" w:rsidRPr="0035414C" w:rsidRDefault="0063173D" w:rsidP="00C93B02">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1 210</w:t>
            </w:r>
          </w:p>
        </w:tc>
      </w:tr>
      <w:tr w:rsidR="005D368D" w14:paraId="22BC3EBC" w14:textId="77777777" w:rsidTr="0035414C">
        <w:trPr>
          <w:trHeight w:val="145"/>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12BB1448" w14:textId="22C77E7C"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 xml:space="preserve">Centrifūga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E05CB99" w14:textId="3FB41FD5"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F608453" w14:textId="17799A17"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4C13288" w14:textId="7C360F2F"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2 904</w:t>
            </w:r>
          </w:p>
        </w:tc>
      </w:tr>
      <w:tr w:rsidR="005D368D" w14:paraId="586359A0" w14:textId="77777777" w:rsidTr="0035414C">
        <w:trPr>
          <w:trHeight w:val="207"/>
          <w:jc w:val="center"/>
        </w:trPr>
        <w:tc>
          <w:tcPr>
            <w:tcW w:w="4305" w:type="dxa"/>
            <w:tcBorders>
              <w:top w:val="nil"/>
              <w:left w:val="single" w:sz="4" w:space="0" w:color="auto"/>
              <w:bottom w:val="single" w:sz="4" w:space="0" w:color="auto"/>
              <w:right w:val="single" w:sz="4" w:space="0" w:color="auto"/>
            </w:tcBorders>
            <w:shd w:val="clear" w:color="auto" w:fill="auto"/>
          </w:tcPr>
          <w:p w14:paraId="5CA4F47B" w14:textId="5A4C126C"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Hibridizātors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F43F238" w14:textId="40F171FD"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CB01886" w14:textId="2F191ECD"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7AA99FC6" w14:textId="09AED0C1"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2 662</w:t>
            </w:r>
          </w:p>
        </w:tc>
      </w:tr>
      <w:tr w:rsidR="005D368D" w14:paraId="0C8C5D49" w14:textId="77777777" w:rsidTr="0035414C">
        <w:trPr>
          <w:trHeight w:val="240"/>
          <w:jc w:val="center"/>
        </w:trPr>
        <w:tc>
          <w:tcPr>
            <w:tcW w:w="4305" w:type="dxa"/>
            <w:tcBorders>
              <w:top w:val="nil"/>
              <w:left w:val="single" w:sz="4" w:space="0" w:color="auto"/>
              <w:bottom w:val="single" w:sz="4" w:space="0" w:color="auto"/>
              <w:right w:val="single" w:sz="4" w:space="0" w:color="auto"/>
            </w:tcBorders>
            <w:shd w:val="clear" w:color="auto" w:fill="auto"/>
          </w:tcPr>
          <w:p w14:paraId="4E0DF549" w14:textId="336B8CA1"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CELL spin centrifūga ar rotoru (stiklu ielikšanai)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887C2D2" w14:textId="128B276D"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7 600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B49A8D6" w14:textId="71BF6C05"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3DEFC93" w14:textId="7F74339F"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9 196</w:t>
            </w:r>
          </w:p>
        </w:tc>
      </w:tr>
      <w:tr w:rsidR="005D368D" w14:paraId="73B5C71B" w14:textId="77777777" w:rsidTr="00E93259">
        <w:trPr>
          <w:trHeight w:val="259"/>
          <w:jc w:val="center"/>
        </w:trPr>
        <w:tc>
          <w:tcPr>
            <w:tcW w:w="4305" w:type="dxa"/>
            <w:tcBorders>
              <w:top w:val="nil"/>
              <w:left w:val="single" w:sz="4" w:space="0" w:color="auto"/>
              <w:bottom w:val="single" w:sz="4" w:space="0" w:color="auto"/>
              <w:right w:val="single" w:sz="4" w:space="0" w:color="auto"/>
            </w:tcBorders>
            <w:shd w:val="clear" w:color="auto" w:fill="auto"/>
          </w:tcPr>
          <w:p w14:paraId="05D91FF0" w14:textId="3FFEDCB2"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Ūdens dejonizēšanas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5AADEAD" w14:textId="27ED4F5A"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72D7E4C" w14:textId="579FFBF1"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752EF5E" w14:textId="5609FB72"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2 420</w:t>
            </w:r>
          </w:p>
        </w:tc>
      </w:tr>
      <w:tr w:rsidR="005D368D" w14:paraId="3BB16433" w14:textId="77777777" w:rsidTr="00E93259">
        <w:trPr>
          <w:trHeight w:val="546"/>
          <w:jc w:val="center"/>
        </w:trPr>
        <w:tc>
          <w:tcPr>
            <w:tcW w:w="4305" w:type="dxa"/>
            <w:tcBorders>
              <w:top w:val="nil"/>
              <w:left w:val="single" w:sz="4" w:space="0" w:color="auto"/>
              <w:bottom w:val="single" w:sz="4" w:space="0" w:color="auto"/>
              <w:right w:val="single" w:sz="4" w:space="0" w:color="auto"/>
            </w:tcBorders>
            <w:shd w:val="clear" w:color="auto" w:fill="auto"/>
          </w:tcPr>
          <w:p w14:paraId="380A7EC7" w14:textId="2F657B32"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Termostats molekulārās patoloģijas izmeklējumiem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5AE658C" w14:textId="580036C1"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E7A69C1" w14:textId="2F913DC5"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937C5F1" w14:textId="1B416B00"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2 420</w:t>
            </w:r>
          </w:p>
        </w:tc>
      </w:tr>
      <w:tr w:rsidR="005D368D" w14:paraId="7123DCCA" w14:textId="77777777" w:rsidTr="00ED2E2F">
        <w:trPr>
          <w:trHeight w:val="215"/>
          <w:jc w:val="center"/>
        </w:trPr>
        <w:tc>
          <w:tcPr>
            <w:tcW w:w="4305" w:type="dxa"/>
            <w:tcBorders>
              <w:top w:val="nil"/>
              <w:left w:val="single" w:sz="4" w:space="0" w:color="auto"/>
              <w:bottom w:val="single" w:sz="4" w:space="0" w:color="auto"/>
              <w:right w:val="single" w:sz="4" w:space="0" w:color="auto"/>
            </w:tcBorders>
            <w:shd w:val="clear" w:color="auto" w:fill="auto"/>
          </w:tcPr>
          <w:p w14:paraId="17F9D13B" w14:textId="63340188"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Vortekss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5DC7E6D" w14:textId="37B28D28"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800</w:t>
            </w:r>
          </w:p>
        </w:tc>
        <w:tc>
          <w:tcPr>
            <w:tcW w:w="1310" w:type="dxa"/>
            <w:tcBorders>
              <w:top w:val="nil"/>
              <w:left w:val="nil"/>
              <w:bottom w:val="single" w:sz="8" w:space="0" w:color="auto"/>
              <w:right w:val="single" w:sz="8" w:space="0" w:color="auto"/>
            </w:tcBorders>
            <w:shd w:val="clear" w:color="auto" w:fill="FFFFFF" w:themeFill="background1"/>
            <w:noWrap/>
          </w:tcPr>
          <w:p w14:paraId="56EB0C10" w14:textId="71FB73A6"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123AB44E" w14:textId="57DE0D2C"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1 936</w:t>
            </w:r>
          </w:p>
        </w:tc>
      </w:tr>
      <w:tr w:rsidR="005D368D" w14:paraId="565BD579" w14:textId="77777777" w:rsidTr="00E93259">
        <w:trPr>
          <w:trHeight w:val="263"/>
          <w:jc w:val="center"/>
        </w:trPr>
        <w:tc>
          <w:tcPr>
            <w:tcW w:w="4305" w:type="dxa"/>
            <w:tcBorders>
              <w:top w:val="nil"/>
              <w:left w:val="single" w:sz="4" w:space="0" w:color="auto"/>
              <w:bottom w:val="single" w:sz="4" w:space="0" w:color="auto"/>
              <w:right w:val="single" w:sz="4" w:space="0" w:color="auto"/>
            </w:tcBorders>
            <w:shd w:val="clear" w:color="auto" w:fill="auto"/>
          </w:tcPr>
          <w:p w14:paraId="64EF5204" w14:textId="5D2BAC79"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PCR darba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C2A42FC" w14:textId="7CAC426C"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3 000</w:t>
            </w:r>
          </w:p>
        </w:tc>
        <w:tc>
          <w:tcPr>
            <w:tcW w:w="1310" w:type="dxa"/>
            <w:tcBorders>
              <w:top w:val="nil"/>
              <w:left w:val="nil"/>
              <w:bottom w:val="single" w:sz="8" w:space="0" w:color="auto"/>
              <w:right w:val="single" w:sz="8" w:space="0" w:color="auto"/>
            </w:tcBorders>
            <w:shd w:val="clear" w:color="auto" w:fill="FFFFFF" w:themeFill="background1"/>
            <w:noWrap/>
          </w:tcPr>
          <w:p w14:paraId="0C58AE18" w14:textId="56909346"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411B7B74" w14:textId="777D2995"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7 260</w:t>
            </w:r>
          </w:p>
        </w:tc>
      </w:tr>
      <w:tr w:rsidR="005D368D" w14:paraId="719E975E" w14:textId="77777777" w:rsidTr="00E93259">
        <w:trPr>
          <w:trHeight w:val="253"/>
          <w:jc w:val="center"/>
        </w:trPr>
        <w:tc>
          <w:tcPr>
            <w:tcW w:w="4305" w:type="dxa"/>
            <w:tcBorders>
              <w:top w:val="nil"/>
              <w:left w:val="single" w:sz="4" w:space="0" w:color="auto"/>
              <w:bottom w:val="single" w:sz="4" w:space="0" w:color="auto"/>
              <w:right w:val="single" w:sz="4" w:space="0" w:color="auto"/>
            </w:tcBorders>
            <w:shd w:val="clear" w:color="auto" w:fill="auto"/>
          </w:tcPr>
          <w:p w14:paraId="46376E97" w14:textId="6F8497A3"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Kasešu printeris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79A6DD9" w14:textId="17B13F2E"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8 000</w:t>
            </w:r>
          </w:p>
        </w:tc>
        <w:tc>
          <w:tcPr>
            <w:tcW w:w="1310" w:type="dxa"/>
            <w:tcBorders>
              <w:top w:val="nil"/>
              <w:left w:val="nil"/>
              <w:bottom w:val="single" w:sz="8" w:space="0" w:color="auto"/>
              <w:right w:val="single" w:sz="8" w:space="0" w:color="auto"/>
            </w:tcBorders>
            <w:shd w:val="clear" w:color="auto" w:fill="FFFFFF" w:themeFill="background1"/>
            <w:noWrap/>
          </w:tcPr>
          <w:p w14:paraId="5A74F340" w14:textId="036EDAE5"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53A4BAC9" w14:textId="05D1798B"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19 360</w:t>
            </w:r>
          </w:p>
        </w:tc>
      </w:tr>
      <w:tr w:rsidR="005D368D" w14:paraId="37D2DA1F" w14:textId="77777777" w:rsidTr="00E93259">
        <w:trPr>
          <w:trHeight w:val="264"/>
          <w:jc w:val="center"/>
        </w:trPr>
        <w:tc>
          <w:tcPr>
            <w:tcW w:w="4305" w:type="dxa"/>
            <w:tcBorders>
              <w:top w:val="nil"/>
              <w:left w:val="single" w:sz="4" w:space="0" w:color="auto"/>
              <w:bottom w:val="single" w:sz="4" w:space="0" w:color="auto"/>
              <w:right w:val="single" w:sz="4" w:space="0" w:color="auto"/>
            </w:tcBorders>
            <w:shd w:val="clear" w:color="auto" w:fill="auto"/>
          </w:tcPr>
          <w:p w14:paraId="2180AC5D" w14:textId="4CBA47D1"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Mikropreparātu uzlīmju printeris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0613AAF" w14:textId="503074F4"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1 000</w:t>
            </w:r>
          </w:p>
        </w:tc>
        <w:tc>
          <w:tcPr>
            <w:tcW w:w="1310" w:type="dxa"/>
            <w:tcBorders>
              <w:top w:val="nil"/>
              <w:left w:val="nil"/>
              <w:bottom w:val="single" w:sz="8" w:space="0" w:color="auto"/>
              <w:right w:val="single" w:sz="8" w:space="0" w:color="auto"/>
            </w:tcBorders>
            <w:shd w:val="clear" w:color="auto" w:fill="FFFFFF" w:themeFill="background1"/>
            <w:noWrap/>
          </w:tcPr>
          <w:p w14:paraId="0D152FAF" w14:textId="4ED03D56"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10</w:t>
            </w:r>
          </w:p>
        </w:tc>
        <w:tc>
          <w:tcPr>
            <w:tcW w:w="1418" w:type="dxa"/>
            <w:tcBorders>
              <w:top w:val="nil"/>
              <w:left w:val="nil"/>
              <w:bottom w:val="single" w:sz="8" w:space="0" w:color="auto"/>
              <w:right w:val="single" w:sz="8" w:space="0" w:color="auto"/>
            </w:tcBorders>
            <w:shd w:val="clear" w:color="auto" w:fill="FFFFFF" w:themeFill="background1"/>
            <w:noWrap/>
          </w:tcPr>
          <w:p w14:paraId="00D2F377" w14:textId="6E039BF7"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12 100</w:t>
            </w:r>
          </w:p>
        </w:tc>
      </w:tr>
      <w:tr w:rsidR="005D368D" w14:paraId="62509762" w14:textId="77777777" w:rsidTr="00E93259">
        <w:trPr>
          <w:trHeight w:val="219"/>
          <w:jc w:val="center"/>
        </w:trPr>
        <w:tc>
          <w:tcPr>
            <w:tcW w:w="4305" w:type="dxa"/>
            <w:tcBorders>
              <w:top w:val="nil"/>
              <w:left w:val="single" w:sz="4" w:space="0" w:color="auto"/>
              <w:bottom w:val="single" w:sz="4" w:space="0" w:color="auto"/>
              <w:right w:val="single" w:sz="4" w:space="0" w:color="auto"/>
            </w:tcBorders>
            <w:shd w:val="clear" w:color="auto" w:fill="auto"/>
          </w:tcPr>
          <w:p w14:paraId="0CFF7277" w14:textId="216203A8" w:rsidR="005D368D" w:rsidRPr="0035414C" w:rsidRDefault="005D368D" w:rsidP="005D368D">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Svītrkoda lasītājs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ED6E931" w14:textId="1B833F14"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150</w:t>
            </w:r>
          </w:p>
        </w:tc>
        <w:tc>
          <w:tcPr>
            <w:tcW w:w="1310" w:type="dxa"/>
            <w:tcBorders>
              <w:top w:val="nil"/>
              <w:left w:val="nil"/>
              <w:bottom w:val="single" w:sz="8" w:space="0" w:color="auto"/>
              <w:right w:val="single" w:sz="8" w:space="0" w:color="auto"/>
            </w:tcBorders>
            <w:shd w:val="clear" w:color="auto" w:fill="FFFFFF" w:themeFill="background1"/>
            <w:noWrap/>
          </w:tcPr>
          <w:p w14:paraId="55BCCBD9" w14:textId="25CDE449"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30</w:t>
            </w:r>
          </w:p>
        </w:tc>
        <w:tc>
          <w:tcPr>
            <w:tcW w:w="1418" w:type="dxa"/>
            <w:tcBorders>
              <w:top w:val="nil"/>
              <w:left w:val="nil"/>
              <w:bottom w:val="single" w:sz="8" w:space="0" w:color="auto"/>
              <w:right w:val="single" w:sz="8" w:space="0" w:color="auto"/>
            </w:tcBorders>
            <w:shd w:val="clear" w:color="auto" w:fill="FFFFFF" w:themeFill="background1"/>
            <w:noWrap/>
          </w:tcPr>
          <w:p w14:paraId="46E535DF" w14:textId="1517AEEC" w:rsidR="005D368D" w:rsidRPr="0035414C" w:rsidRDefault="005D368D" w:rsidP="005D368D">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5 445</w:t>
            </w:r>
          </w:p>
        </w:tc>
      </w:tr>
      <w:tr w:rsidR="00736A81" w14:paraId="529F9E7E" w14:textId="77777777" w:rsidTr="00ED2E2F">
        <w:trPr>
          <w:trHeight w:val="291"/>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2ABF7609" w14:textId="774190DD" w:rsidR="00736A81" w:rsidRPr="0035414C" w:rsidRDefault="00B046B8" w:rsidP="00ED2E2F">
            <w:pPr>
              <w:spacing w:after="0" w:line="240" w:lineRule="auto"/>
              <w:jc w:val="right"/>
              <w:rPr>
                <w:rFonts w:ascii="Times New Roman" w:hAnsi="Times New Roman" w:cs="Times New Roman"/>
                <w:sz w:val="20"/>
                <w:szCs w:val="20"/>
              </w:rPr>
            </w:pPr>
            <w:r w:rsidRPr="0035414C">
              <w:rPr>
                <w:rFonts w:ascii="Times New Roman" w:hAnsi="Times New Roman" w:cs="Times New Roman"/>
                <w:sz w:val="20"/>
                <w:szCs w:val="20"/>
              </w:rPr>
              <w:t xml:space="preserve">Digitālais multiokulārais mikroskops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E1FF28B" w14:textId="489E403E" w:rsidR="00736A81" w:rsidRPr="0035414C" w:rsidRDefault="00B046B8"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4</w:t>
            </w:r>
            <w:r w:rsidR="00CA2A28" w:rsidRPr="0035414C">
              <w:rPr>
                <w:rFonts w:ascii="Times New Roman" w:hAnsi="Times New Roman" w:cs="Times New Roman"/>
                <w:color w:val="000000"/>
                <w:sz w:val="20"/>
                <w:szCs w:val="20"/>
              </w:rPr>
              <w:t>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AA8659B" w14:textId="4050AED8" w:rsidR="00736A81"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eastAsia="Times New Roman" w:hAnsi="Times New Roman" w:cs="Times New Roman"/>
                <w:color w:val="000000"/>
                <w:sz w:val="20"/>
                <w:szCs w:val="20"/>
                <w:lang w:eastAsia="lv-LV"/>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94EE478" w14:textId="7A136050" w:rsidR="00736A81" w:rsidRPr="0035414C" w:rsidRDefault="00B046B8"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48 400</w:t>
            </w:r>
          </w:p>
        </w:tc>
      </w:tr>
      <w:tr w:rsidR="00C93B02" w14:paraId="7E4E1E21" w14:textId="77777777" w:rsidTr="00ED2E2F">
        <w:trPr>
          <w:trHeight w:val="227"/>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5702AE2D" w14:textId="344A2A1E" w:rsidR="00C93B02" w:rsidRPr="0035414C" w:rsidRDefault="00B046B8" w:rsidP="00ED2E2F">
            <w:pPr>
              <w:spacing w:after="0" w:line="240" w:lineRule="auto"/>
              <w:jc w:val="right"/>
              <w:rPr>
                <w:rFonts w:ascii="Times New Roman" w:hAnsi="Times New Roman" w:cs="Times New Roman"/>
                <w:sz w:val="20"/>
                <w:szCs w:val="20"/>
              </w:rPr>
            </w:pPr>
            <w:r w:rsidRPr="0035414C">
              <w:rPr>
                <w:rFonts w:ascii="Times New Roman" w:hAnsi="Times New Roman" w:cs="Times New Roman"/>
                <w:sz w:val="20"/>
                <w:szCs w:val="20"/>
              </w:rPr>
              <w:t>Mikroskops, citologiem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CE0DE4C" w14:textId="5462DC71" w:rsidR="00C93B02" w:rsidRPr="0035414C" w:rsidRDefault="003E33BD"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4 200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9BCDD4D" w14:textId="38D3D708" w:rsidR="00C93B02"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eastAsia="Times New Roman" w:hAnsi="Times New Roman" w:cs="Times New Roman"/>
                <w:color w:val="000000"/>
                <w:sz w:val="20"/>
                <w:szCs w:val="20"/>
                <w:lang w:eastAsia="lv-LV"/>
              </w:rPr>
              <w:t>7</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D82CF0D" w14:textId="6FAFACCC" w:rsidR="00C93B02" w:rsidRPr="0035414C" w:rsidRDefault="00B046B8"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35 574</w:t>
            </w:r>
          </w:p>
        </w:tc>
      </w:tr>
      <w:tr w:rsidR="00B046B8" w14:paraId="2C9CA8B0" w14:textId="77777777" w:rsidTr="00ED2E2F">
        <w:trPr>
          <w:trHeight w:val="299"/>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3433286" w14:textId="47FB5558" w:rsidR="00B046B8" w:rsidRPr="0035414C" w:rsidRDefault="00B046B8"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Digitālais skeneris ar programmatūru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3F60AA8" w14:textId="4184EE78"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100 000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103AFEB" w14:textId="69EA3A2A"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eastAsia="Times New Roman" w:hAnsi="Times New Roman" w:cs="Times New Roman"/>
                <w:color w:val="000000"/>
                <w:sz w:val="20"/>
                <w:szCs w:val="20"/>
                <w:lang w:eastAsia="lv-LV"/>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5807888" w14:textId="23BD3BDA"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121 000</w:t>
            </w:r>
          </w:p>
        </w:tc>
      </w:tr>
      <w:tr w:rsidR="00B046B8" w14:paraId="6A6EB5FB" w14:textId="77777777" w:rsidTr="00ED2E2F">
        <w:trPr>
          <w:trHeight w:val="27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59110358" w14:textId="1005EC03" w:rsidR="00B046B8" w:rsidRPr="0035414C" w:rsidRDefault="00B046B8"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Velkmes skapis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CBA3DCD" w14:textId="2DADCDE6"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2 400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FE1E4D3" w14:textId="59C6500C"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eastAsia="Times New Roman" w:hAnsi="Times New Roman" w:cs="Times New Roman"/>
                <w:color w:val="000000"/>
                <w:sz w:val="20"/>
                <w:szCs w:val="20"/>
                <w:lang w:eastAsia="lv-LV"/>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8143629" w14:textId="7FC0B0C4"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5 808</w:t>
            </w:r>
          </w:p>
        </w:tc>
      </w:tr>
      <w:tr w:rsidR="00B046B8" w14:paraId="4DFB78D6" w14:textId="77777777" w:rsidTr="00ED2E2F">
        <w:trPr>
          <w:trHeight w:val="251"/>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11704B38" w14:textId="4E3BD6CD" w:rsidR="00B046B8" w:rsidRPr="0035414C" w:rsidRDefault="00B046B8"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Mikropreperātu žāvēšanas skapis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C025506" w14:textId="1E4A4298"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0848B11" w14:textId="27F9C0B1"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eastAsia="Times New Roman" w:hAnsi="Times New Roman" w:cs="Times New Roman"/>
                <w:color w:val="000000"/>
                <w:sz w:val="20"/>
                <w:szCs w:val="20"/>
                <w:lang w:eastAsia="lv-LV"/>
              </w:rPr>
              <w:t>3</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7D7D462" w14:textId="21E99092" w:rsidR="00B046B8"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4 356</w:t>
            </w:r>
          </w:p>
        </w:tc>
      </w:tr>
      <w:tr w:rsidR="00C93B02" w14:paraId="7A5EA83B" w14:textId="77777777" w:rsidTr="00ED2E2F">
        <w:trPr>
          <w:trHeight w:val="264"/>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0F8CE49" w14:textId="1C0C337B" w:rsidR="00C93B02" w:rsidRPr="0035414C" w:rsidRDefault="00B046B8" w:rsidP="00ED2E2F">
            <w:pPr>
              <w:spacing w:after="0" w:line="240" w:lineRule="auto"/>
              <w:jc w:val="right"/>
              <w:rPr>
                <w:rFonts w:ascii="Times New Roman" w:hAnsi="Times New Roman" w:cs="Times New Roman"/>
                <w:sz w:val="20"/>
                <w:szCs w:val="20"/>
              </w:rPr>
            </w:pPr>
            <w:r w:rsidRPr="0035414C">
              <w:rPr>
                <w:rFonts w:ascii="Times New Roman" w:hAnsi="Times New Roman" w:cs="Times New Roman"/>
                <w:sz w:val="20"/>
                <w:szCs w:val="20"/>
              </w:rPr>
              <w:t>Parafīna ieliešanas galds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40E80E3" w14:textId="185BF23B" w:rsidR="00C93B02" w:rsidRPr="0035414C" w:rsidRDefault="00B046B8"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9 000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B737169" w14:textId="2D8C27B1" w:rsidR="00C93B02" w:rsidRPr="0035414C" w:rsidRDefault="00B046B8"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eastAsia="Times New Roman" w:hAnsi="Times New Roman" w:cs="Times New Roman"/>
                <w:color w:val="000000"/>
                <w:sz w:val="20"/>
                <w:szCs w:val="20"/>
                <w:lang w:eastAsia="lv-LV"/>
              </w:rPr>
              <w:t>3</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6D2A708" w14:textId="1A6875F6" w:rsidR="00C93B02" w:rsidRPr="0035414C" w:rsidRDefault="00B046B8"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32 670</w:t>
            </w:r>
          </w:p>
        </w:tc>
      </w:tr>
      <w:tr w:rsidR="00E13EA2" w14:paraId="768EC191" w14:textId="77777777" w:rsidTr="00ED2E2F">
        <w:trPr>
          <w:trHeight w:val="312"/>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7E50DFC6" w14:textId="3796B4DF"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lastRenderedPageBreak/>
              <w:t>Autopsijas ergonomisks galds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FA5A5C3" w14:textId="34821E82"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16 000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0D52D58" w14:textId="464AFD41"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D39340D" w14:textId="7ED92748"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96 800</w:t>
            </w:r>
          </w:p>
        </w:tc>
      </w:tr>
      <w:tr w:rsidR="00E13EA2" w14:paraId="503E19C5" w14:textId="77777777" w:rsidTr="00ED2E2F">
        <w:trPr>
          <w:trHeight w:val="226"/>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7C05CF87" w14:textId="2BA5A541"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Autopsijas ķirurģiskie instrumentu komplekts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5F76A34" w14:textId="6BC4EEFD"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FB1FF9D" w14:textId="45E284DF"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AA8291C" w14:textId="7D11473C"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60 500</w:t>
            </w:r>
          </w:p>
        </w:tc>
      </w:tr>
      <w:tr w:rsidR="00E13EA2" w14:paraId="17E5748F" w14:textId="77777777" w:rsidTr="00ED2E2F">
        <w:trPr>
          <w:trHeight w:val="238"/>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E1EC813" w14:textId="0CC18B14"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Laminārās plūsmas bokss ar apgaismojumu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DEE4443" w14:textId="1AE6B539"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8BDA37D" w14:textId="1E104C2F"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E35FADB" w14:textId="1FC2F8E4"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30 250</w:t>
            </w:r>
          </w:p>
        </w:tc>
      </w:tr>
      <w:tr w:rsidR="00E13EA2" w14:paraId="469B656A" w14:textId="77777777" w:rsidTr="00ED2E2F">
        <w:trPr>
          <w:trHeight w:val="290"/>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B891F22" w14:textId="78013748"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Autopsijas bezvadu zāģis ar asmeņiem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67C3C9D" w14:textId="15D30A9D"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1 500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72DFDD1" w14:textId="72477380"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A6F3043" w14:textId="5C4ADCF6"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3 630</w:t>
            </w:r>
          </w:p>
        </w:tc>
      </w:tr>
      <w:tr w:rsidR="00E13EA2" w14:paraId="4D8E025E" w14:textId="77777777" w:rsidTr="00ED2E2F">
        <w:trPr>
          <w:trHeight w:val="252"/>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AB21CCB" w14:textId="61B2CE20"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Lieljaudas portatīva bahtericīdā lampa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E0782E5" w14:textId="3F0B9E7C"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1 900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1355B4B" w14:textId="3A26D9D4"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4</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6FC0664" w14:textId="3BCBE213"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9 196</w:t>
            </w:r>
          </w:p>
        </w:tc>
      </w:tr>
      <w:tr w:rsidR="00E13EA2" w14:paraId="0E145670" w14:textId="77777777" w:rsidTr="00ED2E2F">
        <w:trPr>
          <w:trHeight w:val="22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1055DEE6" w14:textId="239A7CF7"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Orgānu svari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954D321" w14:textId="17ACC361"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450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6346DF5" w14:textId="7F7F7C3E"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46B2918" w14:textId="59D016DC"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1 089</w:t>
            </w:r>
          </w:p>
        </w:tc>
      </w:tr>
      <w:tr w:rsidR="00E13EA2" w14:paraId="39BCB159" w14:textId="77777777" w:rsidTr="00E93259">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4CCF9BB0" w14:textId="78B8D350"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Saldēšanas kamera nelaiķu uzglabāšanai (15 vietīga)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394954A" w14:textId="1F09DFB9"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40 000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630165F" w14:textId="58CE5BBF"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4</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7DD6EFDB" w14:textId="58D881F7"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193 600</w:t>
            </w:r>
          </w:p>
        </w:tc>
      </w:tr>
      <w:tr w:rsidR="00E13EA2" w14:paraId="134AA58F" w14:textId="77777777" w:rsidTr="00ED2E2F">
        <w:trPr>
          <w:trHeight w:val="199"/>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346712E" w14:textId="658F9E1E"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Pacēlājs nelaiķu ievietošanai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070EC25" w14:textId="04FEBEB2"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6 500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72019A4" w14:textId="7FA286B9"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5846606" w14:textId="3BE65D99"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15 730</w:t>
            </w:r>
          </w:p>
        </w:tc>
      </w:tr>
      <w:tr w:rsidR="00E13EA2" w14:paraId="1D91ABB6" w14:textId="77777777" w:rsidTr="00ED2E2F">
        <w:trPr>
          <w:trHeight w:val="24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0CC44D0E" w14:textId="51B1E10E"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Datora komplekts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1CCD2F9" w14:textId="0FA1937F"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9C67FD7" w14:textId="19176D55"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30</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F23055E" w14:textId="44A42B9B"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36 300</w:t>
            </w:r>
          </w:p>
        </w:tc>
      </w:tr>
      <w:tr w:rsidR="00E13EA2" w14:paraId="3A32DF62" w14:textId="77777777" w:rsidTr="00ED2E2F">
        <w:trPr>
          <w:trHeight w:val="249"/>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47191D79" w14:textId="3013AF1A" w:rsidR="00E13EA2" w:rsidRPr="0035414C" w:rsidRDefault="00E13EA2" w:rsidP="00ED2E2F">
            <w:pPr>
              <w:spacing w:after="0" w:line="240" w:lineRule="auto"/>
              <w:jc w:val="right"/>
              <w:rPr>
                <w:rFonts w:ascii="Times New Roman" w:eastAsia="Times New Roman" w:hAnsi="Times New Roman" w:cs="Times New Roman"/>
                <w:color w:val="000000"/>
                <w:sz w:val="20"/>
                <w:szCs w:val="20"/>
                <w:lang w:eastAsia="lv-LV"/>
              </w:rPr>
            </w:pPr>
            <w:r w:rsidRPr="0035414C">
              <w:rPr>
                <w:rFonts w:ascii="Times New Roman" w:hAnsi="Times New Roman" w:cs="Times New Roman"/>
                <w:sz w:val="20"/>
                <w:szCs w:val="20"/>
              </w:rPr>
              <w:t>Medicīniskās mēbeles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98C94FB" w14:textId="7D664605"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200 000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13C3BDA" w14:textId="32CA0EC0"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ED0C56E" w14:textId="579928FF" w:rsidR="00E13EA2" w:rsidRPr="0035414C" w:rsidRDefault="00E13EA2" w:rsidP="00ED2E2F">
            <w:pPr>
              <w:spacing w:after="0" w:line="240" w:lineRule="auto"/>
              <w:jc w:val="center"/>
              <w:rPr>
                <w:rFonts w:ascii="Times New Roman" w:eastAsia="Times New Roman" w:hAnsi="Times New Roman" w:cs="Times New Roman"/>
                <w:color w:val="000000"/>
                <w:sz w:val="20"/>
                <w:szCs w:val="20"/>
                <w:lang w:eastAsia="lv-LV"/>
              </w:rPr>
            </w:pPr>
            <w:r w:rsidRPr="0035414C">
              <w:rPr>
                <w:rFonts w:ascii="Times New Roman" w:hAnsi="Times New Roman" w:cs="Times New Roman"/>
                <w:color w:val="000000"/>
                <w:sz w:val="20"/>
                <w:szCs w:val="20"/>
              </w:rPr>
              <w:t>242 000</w:t>
            </w:r>
          </w:p>
        </w:tc>
      </w:tr>
      <w:tr w:rsidR="00F457D5" w14:paraId="135C2DDD" w14:textId="77777777" w:rsidTr="00ED2E2F">
        <w:trPr>
          <w:trHeight w:val="2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C649988" w14:textId="15C65D1A" w:rsidR="00F457D5" w:rsidRPr="0035414C" w:rsidRDefault="00622F71" w:rsidP="00ED2E2F">
            <w:pPr>
              <w:spacing w:after="0" w:line="240" w:lineRule="auto"/>
              <w:jc w:val="right"/>
              <w:rPr>
                <w:rFonts w:ascii="Times New Roman" w:hAnsi="Times New Roman" w:cs="Times New Roman"/>
                <w:sz w:val="20"/>
                <w:szCs w:val="20"/>
              </w:rPr>
            </w:pPr>
            <w:r w:rsidRPr="0035414C">
              <w:rPr>
                <w:rFonts w:ascii="Times New Roman" w:hAnsi="Times New Roman" w:cs="Times New Roman"/>
                <w:sz w:val="20"/>
                <w:szCs w:val="20"/>
              </w:rPr>
              <w:t>Laboratorijas informācijas sistēma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A62C7DA" w14:textId="437B9CC8" w:rsidR="00F457D5" w:rsidRPr="0035414C" w:rsidRDefault="00622F71"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40 000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A99E10B" w14:textId="783A6A90" w:rsidR="00F457D5" w:rsidRPr="0035414C" w:rsidRDefault="00622F71"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C5B3DBC" w14:textId="7C0839C3" w:rsidR="00F457D5" w:rsidRPr="0035414C" w:rsidRDefault="00622F71" w:rsidP="00ED2E2F">
            <w:pPr>
              <w:spacing w:after="0" w:line="240" w:lineRule="auto"/>
              <w:jc w:val="center"/>
              <w:rPr>
                <w:rFonts w:ascii="Times New Roman" w:hAnsi="Times New Roman" w:cs="Times New Roman"/>
                <w:color w:val="000000"/>
                <w:sz w:val="20"/>
                <w:szCs w:val="20"/>
              </w:rPr>
            </w:pPr>
            <w:r w:rsidRPr="0035414C">
              <w:rPr>
                <w:rFonts w:ascii="Times New Roman" w:hAnsi="Times New Roman" w:cs="Times New Roman"/>
                <w:color w:val="000000"/>
                <w:sz w:val="20"/>
                <w:szCs w:val="20"/>
              </w:rPr>
              <w:t>48 400</w:t>
            </w:r>
          </w:p>
        </w:tc>
      </w:tr>
      <w:tr w:rsidR="00901A56" w14:paraId="28A1852A" w14:textId="77777777" w:rsidTr="00E93259">
        <w:trPr>
          <w:trHeight w:val="310"/>
          <w:jc w:val="center"/>
        </w:trPr>
        <w:tc>
          <w:tcPr>
            <w:tcW w:w="6970" w:type="dxa"/>
            <w:gridSpan w:val="3"/>
            <w:tcBorders>
              <w:top w:val="single" w:sz="8" w:space="0" w:color="auto"/>
              <w:left w:val="single" w:sz="8" w:space="0" w:color="auto"/>
              <w:bottom w:val="single" w:sz="8" w:space="0" w:color="auto"/>
              <w:right w:val="single" w:sz="8" w:space="0" w:color="000000" w:themeColor="text1"/>
            </w:tcBorders>
            <w:shd w:val="clear" w:color="auto" w:fill="FBD4B4" w:themeFill="accent6" w:themeFillTint="66"/>
            <w:noWrap/>
            <w:vAlign w:val="center"/>
            <w:hideMark/>
          </w:tcPr>
          <w:p w14:paraId="50902BE0" w14:textId="77777777" w:rsidR="00901A56" w:rsidRPr="0035414C" w:rsidRDefault="00901A56" w:rsidP="00D071CB">
            <w:pPr>
              <w:spacing w:after="0" w:line="240" w:lineRule="auto"/>
              <w:jc w:val="right"/>
              <w:rPr>
                <w:rFonts w:ascii="Times New Roman" w:eastAsia="Times New Roman" w:hAnsi="Times New Roman" w:cs="Times New Roman"/>
                <w:b/>
                <w:bCs/>
                <w:color w:val="000000"/>
                <w:sz w:val="20"/>
                <w:szCs w:val="20"/>
                <w:lang w:eastAsia="lv-LV"/>
              </w:rPr>
            </w:pPr>
            <w:r w:rsidRPr="0035414C">
              <w:rPr>
                <w:rFonts w:ascii="Times New Roman" w:eastAsia="Times New Roman" w:hAnsi="Times New Roman" w:cs="Times New Roman"/>
                <w:b/>
                <w:bCs/>
                <w:color w:val="000000"/>
                <w:sz w:val="20"/>
                <w:szCs w:val="20"/>
                <w:lang w:eastAsia="lv-LV"/>
              </w:rPr>
              <w:t>KOPĀ</w:t>
            </w:r>
          </w:p>
        </w:tc>
        <w:tc>
          <w:tcPr>
            <w:tcW w:w="1418" w:type="dxa"/>
            <w:tcBorders>
              <w:top w:val="nil"/>
              <w:left w:val="nil"/>
              <w:bottom w:val="single" w:sz="8" w:space="0" w:color="auto"/>
              <w:right w:val="single" w:sz="8" w:space="0" w:color="auto"/>
            </w:tcBorders>
            <w:shd w:val="clear" w:color="auto" w:fill="FBD4B4" w:themeFill="accent6" w:themeFillTint="66"/>
            <w:noWrap/>
            <w:vAlign w:val="center"/>
            <w:hideMark/>
          </w:tcPr>
          <w:p w14:paraId="45F023FD" w14:textId="3F9A5A69" w:rsidR="00901A56" w:rsidRPr="0035414C" w:rsidRDefault="00E13EA2" w:rsidP="00D071CB">
            <w:pPr>
              <w:spacing w:after="0" w:line="240" w:lineRule="auto"/>
              <w:jc w:val="center"/>
              <w:rPr>
                <w:rFonts w:ascii="Times New Roman" w:eastAsia="Times New Roman" w:hAnsi="Times New Roman" w:cs="Times New Roman"/>
                <w:b/>
                <w:bCs/>
                <w:color w:val="000000"/>
                <w:sz w:val="20"/>
                <w:szCs w:val="20"/>
                <w:lang w:eastAsia="lv-LV"/>
              </w:rPr>
            </w:pPr>
            <w:r w:rsidRPr="0035414C">
              <w:rPr>
                <w:rFonts w:ascii="Times New Roman" w:eastAsia="Times New Roman" w:hAnsi="Times New Roman" w:cs="Times New Roman"/>
                <w:b/>
                <w:bCs/>
                <w:color w:val="000000"/>
                <w:sz w:val="20"/>
                <w:szCs w:val="20"/>
                <w:lang w:eastAsia="lv-LV"/>
              </w:rPr>
              <w:t>2 559 313</w:t>
            </w:r>
          </w:p>
        </w:tc>
      </w:tr>
    </w:tbl>
    <w:p w14:paraId="0B2BE7BC" w14:textId="77777777" w:rsidR="00901A56" w:rsidRDefault="00901A56" w:rsidP="00E2311A">
      <w:pPr>
        <w:spacing w:after="0" w:line="240" w:lineRule="auto"/>
        <w:ind w:firstLine="720"/>
        <w:jc w:val="both"/>
        <w:rPr>
          <w:rFonts w:ascii="Times New Roman" w:hAnsi="Times New Roman"/>
          <w:sz w:val="24"/>
          <w:szCs w:val="24"/>
        </w:rPr>
      </w:pPr>
    </w:p>
    <w:p w14:paraId="3879BDE1" w14:textId="5F820837" w:rsidR="0015656C" w:rsidRDefault="0015656C" w:rsidP="007746BF">
      <w:pPr>
        <w:spacing w:after="120"/>
        <w:ind w:firstLine="720"/>
        <w:jc w:val="both"/>
        <w:rPr>
          <w:rFonts w:ascii="Times New Roman" w:hAnsi="Times New Roman"/>
          <w:b/>
          <w:sz w:val="24"/>
          <w:szCs w:val="24"/>
        </w:rPr>
      </w:pPr>
      <w:r>
        <w:rPr>
          <w:rFonts w:ascii="Times New Roman" w:hAnsi="Times New Roman"/>
          <w:sz w:val="24"/>
          <w:szCs w:val="24"/>
        </w:rPr>
        <w:t xml:space="preserve">2019. gadā plānots iegādāties medicīnas iekārtas par kopēju summu </w:t>
      </w:r>
      <w:r>
        <w:rPr>
          <w:rFonts w:ascii="Times New Roman" w:hAnsi="Times New Roman"/>
          <w:b/>
          <w:sz w:val="24"/>
          <w:szCs w:val="24"/>
        </w:rPr>
        <w:t>1</w:t>
      </w:r>
      <w:r w:rsidR="003345F5">
        <w:rPr>
          <w:rFonts w:ascii="Times New Roman" w:hAnsi="Times New Roman"/>
          <w:b/>
          <w:sz w:val="24"/>
          <w:szCs w:val="24"/>
        </w:rPr>
        <w:t> 207 069</w:t>
      </w:r>
      <w:r w:rsidRPr="000D1328">
        <w:rPr>
          <w:rFonts w:ascii="Times New Roman" w:hAnsi="Times New Roman"/>
          <w:b/>
          <w:sz w:val="24"/>
          <w:szCs w:val="24"/>
        </w:rPr>
        <w:t xml:space="preserve"> </w:t>
      </w:r>
      <w:r w:rsidR="0022336F">
        <w:rPr>
          <w:rFonts w:ascii="Times New Roman" w:hAnsi="Times New Roman"/>
          <w:b/>
          <w:i/>
          <w:sz w:val="24"/>
          <w:szCs w:val="24"/>
        </w:rPr>
        <w:t>euro</w:t>
      </w:r>
      <w:r w:rsidRPr="000D1328">
        <w:rPr>
          <w:rFonts w:ascii="Times New Roman" w:hAnsi="Times New Roman"/>
          <w:b/>
          <w:sz w:val="24"/>
          <w:szCs w:val="24"/>
        </w:rPr>
        <w:t xml:space="preserve"> ar PVN.</w:t>
      </w:r>
    </w:p>
    <w:p w14:paraId="00F87F76" w14:textId="3F7A3137" w:rsidR="0015656C" w:rsidRPr="002A26BA" w:rsidRDefault="0015656C" w:rsidP="002A26BA">
      <w:pPr>
        <w:spacing w:after="0" w:line="240" w:lineRule="auto"/>
        <w:ind w:firstLine="720"/>
        <w:jc w:val="both"/>
        <w:rPr>
          <w:rStyle w:val="Heading1Char"/>
          <w:rFonts w:ascii="Times New Roman" w:eastAsiaTheme="minorHAnsi" w:hAnsi="Times New Roman" w:cs="Times New Roman"/>
          <w:color w:val="auto"/>
          <w:sz w:val="24"/>
          <w:szCs w:val="24"/>
        </w:rPr>
      </w:pPr>
    </w:p>
    <w:p w14:paraId="7F8A4C0D" w14:textId="377126B0" w:rsidR="009C365E" w:rsidRDefault="0071331A" w:rsidP="64AB90BD">
      <w:pPr>
        <w:pStyle w:val="Heading2"/>
        <w:spacing w:before="0" w:after="120"/>
        <w:ind w:left="36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7</w:t>
      </w:r>
      <w:r w:rsidRPr="0012317D">
        <w:rPr>
          <w:rFonts w:ascii="Times New Roman" w:hAnsi="Times New Roman" w:cs="Times New Roman"/>
          <w:b/>
          <w:bCs/>
          <w:color w:val="auto"/>
          <w:sz w:val="24"/>
          <w:szCs w:val="24"/>
          <w:u w:val="single"/>
        </w:rPr>
        <w:t>.</w:t>
      </w:r>
      <w:r w:rsidR="005D79E5">
        <w:rPr>
          <w:rFonts w:ascii="Times New Roman" w:hAnsi="Times New Roman" w:cs="Times New Roman"/>
          <w:b/>
          <w:bCs/>
          <w:color w:val="auto"/>
          <w:sz w:val="24"/>
          <w:szCs w:val="24"/>
          <w:u w:val="single"/>
        </w:rPr>
        <w:t xml:space="preserve"> </w:t>
      </w:r>
      <w:r w:rsidR="009C365E">
        <w:rPr>
          <w:rFonts w:ascii="Times New Roman" w:hAnsi="Times New Roman" w:cs="Times New Roman"/>
          <w:b/>
          <w:bCs/>
          <w:color w:val="auto"/>
          <w:sz w:val="24"/>
          <w:szCs w:val="24"/>
          <w:u w:val="single"/>
        </w:rPr>
        <w:t>Jaunā reformas iniciatīva 2019.gadam - Valsts patoloģijas centrā jaunu manipulāciju izveide</w:t>
      </w:r>
    </w:p>
    <w:p w14:paraId="26437577" w14:textId="341F51FB" w:rsidR="009C365E" w:rsidRDefault="00CD4E64" w:rsidP="009C365E">
      <w:pPr>
        <w:spacing w:after="120"/>
        <w:ind w:firstLine="720"/>
        <w:jc w:val="both"/>
        <w:rPr>
          <w:rFonts w:ascii="Times New Roman" w:hAnsi="Times New Roman"/>
          <w:sz w:val="24"/>
          <w:szCs w:val="24"/>
        </w:rPr>
      </w:pPr>
      <w:r>
        <w:rPr>
          <w:rFonts w:ascii="Times New Roman" w:hAnsi="Times New Roman"/>
          <w:sz w:val="24"/>
          <w:szCs w:val="24"/>
        </w:rPr>
        <w:t>Attīstot patoloģijas centra sniegtos pakalpojumus i</w:t>
      </w:r>
      <w:r w:rsidR="009C365E" w:rsidRPr="00007A5A">
        <w:rPr>
          <w:rFonts w:ascii="Times New Roman" w:hAnsi="Times New Roman"/>
          <w:sz w:val="24"/>
          <w:szCs w:val="24"/>
        </w:rPr>
        <w:t>r paredzēts ieviest</w:t>
      </w:r>
      <w:r w:rsidR="00D501C4">
        <w:rPr>
          <w:rFonts w:ascii="Times New Roman" w:hAnsi="Times New Roman"/>
          <w:sz w:val="24"/>
          <w:szCs w:val="24"/>
        </w:rPr>
        <w:t xml:space="preserve"> jaunu pakalpojumu</w:t>
      </w:r>
      <w:r w:rsidR="00E27164">
        <w:rPr>
          <w:rFonts w:ascii="Times New Roman" w:hAnsi="Times New Roman"/>
          <w:sz w:val="24"/>
          <w:szCs w:val="24"/>
        </w:rPr>
        <w:t>, kas</w:t>
      </w:r>
      <w:r w:rsidR="008A2681">
        <w:rPr>
          <w:rFonts w:ascii="Times New Roman" w:hAnsi="Times New Roman"/>
          <w:sz w:val="24"/>
          <w:szCs w:val="24"/>
        </w:rPr>
        <w:t xml:space="preserve"> paredz</w:t>
      </w:r>
      <w:r w:rsidR="009C365E" w:rsidRPr="00007A5A">
        <w:rPr>
          <w:rFonts w:ascii="Times New Roman" w:hAnsi="Times New Roman"/>
          <w:sz w:val="24"/>
          <w:szCs w:val="24"/>
        </w:rPr>
        <w:t xml:space="preserve"> jaunās metodes slimību diagnostikai un personalizētās ārstēšanas noteikšan</w:t>
      </w:r>
      <w:r w:rsidR="00E27164">
        <w:rPr>
          <w:rFonts w:ascii="Times New Roman" w:hAnsi="Times New Roman"/>
          <w:sz w:val="24"/>
          <w:szCs w:val="24"/>
        </w:rPr>
        <w:t>u</w:t>
      </w:r>
      <w:r w:rsidR="009C365E" w:rsidRPr="00007A5A">
        <w:rPr>
          <w:rFonts w:ascii="Times New Roman" w:hAnsi="Times New Roman"/>
          <w:sz w:val="24"/>
          <w:szCs w:val="24"/>
        </w:rPr>
        <w:t>-</w:t>
      </w:r>
      <w:r w:rsidR="009C365E" w:rsidRPr="00007A5A">
        <w:rPr>
          <w:rFonts w:ascii="Times New Roman" w:hAnsi="Times New Roman"/>
          <w:i/>
          <w:sz w:val="24"/>
          <w:szCs w:val="24"/>
        </w:rPr>
        <w:t>in situ</w:t>
      </w:r>
      <w:r w:rsidR="009C365E" w:rsidRPr="00007A5A">
        <w:rPr>
          <w:rFonts w:ascii="Times New Roman" w:hAnsi="Times New Roman"/>
          <w:sz w:val="24"/>
          <w:szCs w:val="24"/>
        </w:rPr>
        <w:t xml:space="preserve"> hibridizācijas meto</w:t>
      </w:r>
      <w:r w:rsidR="009C365E">
        <w:rPr>
          <w:rFonts w:ascii="Times New Roman" w:hAnsi="Times New Roman"/>
          <w:sz w:val="24"/>
          <w:szCs w:val="24"/>
        </w:rPr>
        <w:t>des, polimerāzes ķē</w:t>
      </w:r>
      <w:r w:rsidR="009C365E" w:rsidRPr="00007A5A">
        <w:rPr>
          <w:rFonts w:ascii="Times New Roman" w:hAnsi="Times New Roman"/>
          <w:sz w:val="24"/>
          <w:szCs w:val="24"/>
        </w:rPr>
        <w:t>des reakcij</w:t>
      </w:r>
      <w:r w:rsidR="00E27164">
        <w:rPr>
          <w:rFonts w:ascii="Times New Roman" w:hAnsi="Times New Roman"/>
          <w:sz w:val="24"/>
          <w:szCs w:val="24"/>
        </w:rPr>
        <w:t>u</w:t>
      </w:r>
      <w:r w:rsidR="009C365E" w:rsidRPr="00007A5A">
        <w:rPr>
          <w:rFonts w:ascii="Times New Roman" w:hAnsi="Times New Roman"/>
          <w:sz w:val="24"/>
          <w:szCs w:val="24"/>
        </w:rPr>
        <w:t>, jaunās paaudzes sekvenēšanu un digitālu patoloģiju</w:t>
      </w:r>
      <w:r w:rsidR="008A2681">
        <w:rPr>
          <w:rFonts w:ascii="Times New Roman" w:hAnsi="Times New Roman"/>
          <w:sz w:val="24"/>
          <w:szCs w:val="24"/>
        </w:rPr>
        <w:t xml:space="preserve"> noteik</w:t>
      </w:r>
      <w:r w:rsidR="00E27164">
        <w:rPr>
          <w:rFonts w:ascii="Times New Roman" w:hAnsi="Times New Roman"/>
          <w:sz w:val="24"/>
          <w:szCs w:val="24"/>
        </w:rPr>
        <w:t>šanu</w:t>
      </w:r>
      <w:r w:rsidR="009C365E" w:rsidRPr="00007A5A">
        <w:rPr>
          <w:rFonts w:ascii="Times New Roman" w:hAnsi="Times New Roman"/>
          <w:sz w:val="24"/>
          <w:szCs w:val="24"/>
        </w:rPr>
        <w:t xml:space="preserve">. Šīs </w:t>
      </w:r>
      <w:r w:rsidR="00CE4EA1">
        <w:rPr>
          <w:rFonts w:ascii="Times New Roman" w:hAnsi="Times New Roman"/>
          <w:sz w:val="24"/>
          <w:szCs w:val="24"/>
        </w:rPr>
        <w:t xml:space="preserve">jaunās </w:t>
      </w:r>
      <w:r w:rsidR="009C365E" w:rsidRPr="00007A5A">
        <w:rPr>
          <w:rFonts w:ascii="Times New Roman" w:hAnsi="Times New Roman"/>
          <w:sz w:val="24"/>
          <w:szCs w:val="24"/>
        </w:rPr>
        <w:t>metodes tiks ieviestas praksē pēc V</w:t>
      </w:r>
      <w:r w:rsidR="00CE4EA1">
        <w:rPr>
          <w:rFonts w:ascii="Times New Roman" w:hAnsi="Times New Roman"/>
          <w:sz w:val="24"/>
          <w:szCs w:val="24"/>
        </w:rPr>
        <w:t>alsts patoloģijas centra</w:t>
      </w:r>
      <w:r w:rsidR="009C365E" w:rsidRPr="00007A5A">
        <w:rPr>
          <w:rFonts w:ascii="Times New Roman" w:hAnsi="Times New Roman"/>
          <w:sz w:val="24"/>
          <w:szCs w:val="24"/>
        </w:rPr>
        <w:t xml:space="preserve"> infrastruktūras modernizācijas</w:t>
      </w:r>
      <w:r w:rsidR="009C365E">
        <w:rPr>
          <w:rFonts w:ascii="Times New Roman" w:hAnsi="Times New Roman"/>
          <w:sz w:val="24"/>
          <w:szCs w:val="24"/>
        </w:rPr>
        <w:t xml:space="preserve">. </w:t>
      </w:r>
      <w:r w:rsidR="00DD19DD">
        <w:rPr>
          <w:rFonts w:ascii="Times New Roman" w:hAnsi="Times New Roman"/>
          <w:sz w:val="24"/>
          <w:szCs w:val="24"/>
        </w:rPr>
        <w:t xml:space="preserve"> No </w:t>
      </w:r>
      <w:r w:rsidR="009C365E">
        <w:rPr>
          <w:rFonts w:ascii="Times New Roman" w:hAnsi="Times New Roman"/>
          <w:sz w:val="24"/>
          <w:szCs w:val="24"/>
        </w:rPr>
        <w:t>2019.gad</w:t>
      </w:r>
      <w:r w:rsidR="00DD19DD">
        <w:rPr>
          <w:rFonts w:ascii="Times New Roman" w:hAnsi="Times New Roman"/>
          <w:sz w:val="24"/>
          <w:szCs w:val="24"/>
        </w:rPr>
        <w:t>a 1.aprīļa</w:t>
      </w:r>
      <w:r w:rsidR="009C365E">
        <w:rPr>
          <w:rFonts w:ascii="Times New Roman" w:hAnsi="Times New Roman"/>
          <w:sz w:val="24"/>
          <w:szCs w:val="24"/>
        </w:rPr>
        <w:t xml:space="preserve"> papildus nepieciešami </w:t>
      </w:r>
      <w:r w:rsidR="00DD19DD" w:rsidRPr="00D23D59">
        <w:rPr>
          <w:rFonts w:ascii="Times New Roman" w:hAnsi="Times New Roman"/>
          <w:b/>
          <w:sz w:val="24"/>
          <w:szCs w:val="24"/>
        </w:rPr>
        <w:t xml:space="preserve">327 585 </w:t>
      </w:r>
      <w:r w:rsidR="00DD19DD" w:rsidRPr="00D23D59">
        <w:rPr>
          <w:rFonts w:ascii="Times New Roman" w:hAnsi="Times New Roman"/>
          <w:b/>
          <w:i/>
          <w:sz w:val="24"/>
          <w:szCs w:val="24"/>
        </w:rPr>
        <w:t>euro</w:t>
      </w:r>
      <w:r w:rsidR="0025615F">
        <w:rPr>
          <w:rFonts w:ascii="Times New Roman" w:hAnsi="Times New Roman"/>
          <w:b/>
          <w:i/>
          <w:sz w:val="24"/>
          <w:szCs w:val="24"/>
        </w:rPr>
        <w:t xml:space="preserve">, </w:t>
      </w:r>
      <w:r w:rsidR="0025615F" w:rsidRPr="00D23D59">
        <w:rPr>
          <w:rFonts w:ascii="Times New Roman" w:hAnsi="Times New Roman"/>
          <w:sz w:val="24"/>
          <w:szCs w:val="24"/>
        </w:rPr>
        <w:t>lai nodrošinātu 1 500</w:t>
      </w:r>
      <w:r w:rsidR="0025615F" w:rsidRPr="00D23D59">
        <w:rPr>
          <w:rFonts w:ascii="Times New Roman" w:hAnsi="Times New Roman"/>
          <w:b/>
          <w:sz w:val="24"/>
          <w:szCs w:val="24"/>
        </w:rPr>
        <w:t xml:space="preserve"> </w:t>
      </w:r>
      <w:r w:rsidR="0025615F">
        <w:rPr>
          <w:rFonts w:ascii="Times New Roman" w:hAnsi="Times New Roman"/>
          <w:b/>
          <w:sz w:val="24"/>
          <w:szCs w:val="24"/>
        </w:rPr>
        <w:t>o</w:t>
      </w:r>
      <w:r w:rsidR="0025615F" w:rsidRPr="00D23D59">
        <w:rPr>
          <w:rFonts w:ascii="Times New Roman" w:hAnsi="Times New Roman" w:cs="Times New Roman"/>
          <w:sz w:val="24"/>
          <w:szCs w:val="24"/>
        </w:rPr>
        <w:t>perācijas</w:t>
      </w:r>
      <w:r w:rsidR="007E28FD" w:rsidRPr="007E28FD">
        <w:rPr>
          <w:rFonts w:ascii="Times New Roman" w:hAnsi="Times New Roman" w:cs="Times New Roman"/>
          <w:sz w:val="24"/>
          <w:szCs w:val="24"/>
        </w:rPr>
        <w:t xml:space="preserve"> un biopsijas materiāl</w:t>
      </w:r>
      <w:r w:rsidR="007E28FD">
        <w:rPr>
          <w:rFonts w:ascii="Times New Roman" w:hAnsi="Times New Roman" w:cs="Times New Roman"/>
          <w:sz w:val="24"/>
          <w:szCs w:val="24"/>
        </w:rPr>
        <w:t>ā</w:t>
      </w:r>
      <w:r w:rsidR="0025615F" w:rsidRPr="00D23D59">
        <w:rPr>
          <w:rFonts w:ascii="Times New Roman" w:hAnsi="Times New Roman" w:cs="Times New Roman"/>
          <w:sz w:val="24"/>
          <w:szCs w:val="24"/>
        </w:rPr>
        <w:t xml:space="preserve"> fluorescences in situ hibridizācijas izmeklējums mutāciju noteikšanai</w:t>
      </w:r>
      <w:r w:rsidR="00DD19DD">
        <w:rPr>
          <w:rFonts w:ascii="Times New Roman" w:hAnsi="Times New Roman"/>
          <w:sz w:val="24"/>
          <w:szCs w:val="24"/>
        </w:rPr>
        <w:t xml:space="preserve"> (</w:t>
      </w:r>
      <w:r w:rsidR="009C365E">
        <w:rPr>
          <w:rFonts w:ascii="Times New Roman" w:hAnsi="Times New Roman"/>
          <w:sz w:val="24"/>
          <w:szCs w:val="24"/>
        </w:rPr>
        <w:t>436</w:t>
      </w:r>
      <w:r w:rsidR="00DD19DD">
        <w:rPr>
          <w:rFonts w:ascii="Times New Roman" w:hAnsi="Times New Roman"/>
          <w:sz w:val="24"/>
          <w:szCs w:val="24"/>
        </w:rPr>
        <w:t> </w:t>
      </w:r>
      <w:r w:rsidR="009C365E">
        <w:rPr>
          <w:rFonts w:ascii="Times New Roman" w:hAnsi="Times New Roman"/>
          <w:sz w:val="24"/>
          <w:szCs w:val="24"/>
        </w:rPr>
        <w:t>780</w:t>
      </w:r>
      <w:r w:rsidR="00DD19DD">
        <w:rPr>
          <w:rFonts w:ascii="Times New Roman" w:hAnsi="Times New Roman"/>
          <w:sz w:val="24"/>
          <w:szCs w:val="24"/>
        </w:rPr>
        <w:t>=2000*218.39; 327 585=1500*218.39)</w:t>
      </w:r>
      <w:r w:rsidR="0025615F">
        <w:rPr>
          <w:rFonts w:ascii="Times New Roman" w:hAnsi="Times New Roman"/>
          <w:sz w:val="24"/>
          <w:szCs w:val="24"/>
        </w:rPr>
        <w:t xml:space="preserve"> (3</w:t>
      </w:r>
      <w:r w:rsidR="00607900">
        <w:rPr>
          <w:rFonts w:ascii="Times New Roman" w:hAnsi="Times New Roman"/>
          <w:sz w:val="24"/>
          <w:szCs w:val="24"/>
        </w:rPr>
        <w:t>7</w:t>
      </w:r>
      <w:r w:rsidR="0025615F">
        <w:rPr>
          <w:rFonts w:ascii="Times New Roman" w:hAnsi="Times New Roman"/>
          <w:sz w:val="24"/>
          <w:szCs w:val="24"/>
        </w:rPr>
        <w:t>.tabula)</w:t>
      </w:r>
      <w:r w:rsidR="009C365E">
        <w:rPr>
          <w:rFonts w:ascii="Times New Roman" w:hAnsi="Times New Roman"/>
          <w:sz w:val="24"/>
          <w:szCs w:val="24"/>
        </w:rPr>
        <w:t>.</w:t>
      </w:r>
    </w:p>
    <w:p w14:paraId="04FE27FB" w14:textId="76ACD4C4" w:rsidR="009C365E" w:rsidRPr="00E93259" w:rsidRDefault="009C365E" w:rsidP="7672C071">
      <w:pPr>
        <w:spacing w:after="0" w:line="240" w:lineRule="auto"/>
        <w:ind w:firstLine="720"/>
        <w:jc w:val="right"/>
        <w:rPr>
          <w:rFonts w:ascii="Times New Roman" w:hAnsi="Times New Roman"/>
          <w:i/>
          <w:iCs/>
          <w:sz w:val="24"/>
          <w:szCs w:val="24"/>
        </w:rPr>
      </w:pPr>
      <w:r w:rsidRPr="7672C071">
        <w:rPr>
          <w:rFonts w:ascii="Times New Roman" w:hAnsi="Times New Roman"/>
          <w:i/>
          <w:iCs/>
          <w:sz w:val="24"/>
          <w:szCs w:val="24"/>
        </w:rPr>
        <w:t>3</w:t>
      </w:r>
      <w:r w:rsidR="00607900">
        <w:rPr>
          <w:rFonts w:ascii="Times New Roman" w:hAnsi="Times New Roman"/>
          <w:i/>
          <w:iCs/>
          <w:sz w:val="24"/>
          <w:szCs w:val="24"/>
        </w:rPr>
        <w:t>7</w:t>
      </w:r>
      <w:r w:rsidRPr="7672C071">
        <w:rPr>
          <w:rFonts w:ascii="Times New Roman" w:hAnsi="Times New Roman"/>
          <w:i/>
          <w:iCs/>
          <w:sz w:val="24"/>
          <w:szCs w:val="24"/>
        </w:rPr>
        <w:t>.tabula</w:t>
      </w:r>
    </w:p>
    <w:p w14:paraId="2550822E" w14:textId="674D469C" w:rsidR="009C365E" w:rsidRDefault="00CE571C" w:rsidP="00133D9D">
      <w:pPr>
        <w:spacing w:after="0" w:line="240" w:lineRule="auto"/>
        <w:jc w:val="center"/>
        <w:rPr>
          <w:rFonts w:ascii="Times New Roman" w:hAnsi="Times New Roman" w:cs="Times New Roman"/>
          <w:b/>
          <w:sz w:val="24"/>
          <w:szCs w:val="24"/>
        </w:rPr>
      </w:pPr>
      <w:r w:rsidRPr="00133D9D">
        <w:rPr>
          <w:rFonts w:ascii="Times New Roman" w:hAnsi="Times New Roman" w:cs="Times New Roman"/>
          <w:b/>
          <w:sz w:val="24"/>
          <w:szCs w:val="24"/>
        </w:rPr>
        <w:t>Operācijas un biopsijas materiālā fluorescences in situ hibridizācijas izmeklējums mutāciju noteikšanai nepieciešamais finansējums</w:t>
      </w:r>
    </w:p>
    <w:p w14:paraId="1A9ABA6C" w14:textId="77777777" w:rsidR="00CE571C" w:rsidRPr="00133D9D" w:rsidRDefault="00CE571C" w:rsidP="00133D9D">
      <w:pPr>
        <w:spacing w:after="0" w:line="240" w:lineRule="auto"/>
        <w:jc w:val="center"/>
        <w:rPr>
          <w:rFonts w:ascii="Times New Roman" w:hAnsi="Times New Roman"/>
          <w:b/>
          <w:sz w:val="24"/>
          <w:szCs w:val="24"/>
        </w:rPr>
      </w:pPr>
    </w:p>
    <w:tbl>
      <w:tblPr>
        <w:tblW w:w="9089" w:type="dxa"/>
        <w:jc w:val="center"/>
        <w:tblLook w:val="04A0" w:firstRow="1" w:lastRow="0" w:firstColumn="1" w:lastColumn="0" w:noHBand="0" w:noVBand="1"/>
      </w:tblPr>
      <w:tblGrid>
        <w:gridCol w:w="791"/>
        <w:gridCol w:w="2004"/>
        <w:gridCol w:w="1261"/>
        <w:gridCol w:w="1261"/>
        <w:gridCol w:w="830"/>
        <w:gridCol w:w="1471"/>
        <w:gridCol w:w="1471"/>
      </w:tblGrid>
      <w:tr w:rsidR="00133D9D" w:rsidRPr="006B327A" w14:paraId="27873D95" w14:textId="77777777" w:rsidTr="00E93259">
        <w:trPr>
          <w:trHeight w:val="1699"/>
          <w:jc w:val="center"/>
        </w:trPr>
        <w:tc>
          <w:tcPr>
            <w:tcW w:w="88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C9EE8D1" w14:textId="77777777"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Kods</w:t>
            </w:r>
          </w:p>
        </w:tc>
        <w:tc>
          <w:tcPr>
            <w:tcW w:w="284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756660E" w14:textId="77777777"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Manipulācijas nosaukums</w:t>
            </w:r>
          </w:p>
        </w:tc>
        <w:tc>
          <w:tcPr>
            <w:tcW w:w="126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895EF8A" w14:textId="60BDD762"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Plānotais manipulāciju skaits 2019.gadam</w:t>
            </w:r>
            <w:r>
              <w:rPr>
                <w:rFonts w:ascii="Times New Roman" w:eastAsia="Times New Roman" w:hAnsi="Times New Roman" w:cs="Times New Roman"/>
                <w:sz w:val="20"/>
                <w:szCs w:val="20"/>
                <w:lang w:eastAsia="lv-LV"/>
              </w:rPr>
              <w:t xml:space="preserve">, </w:t>
            </w:r>
            <w:r w:rsidRPr="00CC103A">
              <w:rPr>
                <w:rFonts w:ascii="Times New Roman" w:eastAsia="Times New Roman" w:hAnsi="Times New Roman" w:cs="Times New Roman"/>
                <w:i/>
                <w:sz w:val="20"/>
                <w:szCs w:val="20"/>
                <w:lang w:eastAsia="lv-LV"/>
              </w:rPr>
              <w:t>euro</w:t>
            </w:r>
          </w:p>
        </w:tc>
        <w:tc>
          <w:tcPr>
            <w:tcW w:w="64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DB199B2" w14:textId="4CD1EC55" w:rsidR="00133D9D" w:rsidRPr="00CC103A" w:rsidRDefault="00133D9D" w:rsidP="003377C1">
            <w:pPr>
              <w:spacing w:after="0" w:line="240" w:lineRule="auto"/>
              <w:jc w:val="center"/>
              <w:rPr>
                <w:rFonts w:ascii="Times New Roman" w:eastAsia="Times New Roman" w:hAnsi="Times New Roman" w:cs="Times New Roman"/>
                <w:i/>
                <w:sz w:val="20"/>
                <w:szCs w:val="20"/>
                <w:lang w:eastAsia="lv-LV"/>
              </w:rPr>
            </w:pPr>
            <w:r w:rsidRPr="00CD68FF">
              <w:rPr>
                <w:rFonts w:ascii="Times New Roman" w:eastAsia="Times New Roman" w:hAnsi="Times New Roman" w:cs="Times New Roman"/>
                <w:sz w:val="20"/>
                <w:szCs w:val="20"/>
                <w:lang w:eastAsia="lv-LV"/>
              </w:rPr>
              <w:t xml:space="preserve">Plānotais manipulāciju skaits </w:t>
            </w:r>
            <w:r>
              <w:rPr>
                <w:rFonts w:ascii="Times New Roman" w:eastAsia="Times New Roman" w:hAnsi="Times New Roman" w:cs="Times New Roman"/>
                <w:sz w:val="20"/>
                <w:szCs w:val="20"/>
                <w:lang w:eastAsia="lv-LV"/>
              </w:rPr>
              <w:t xml:space="preserve">no </w:t>
            </w:r>
            <w:r w:rsidRPr="00CD68FF">
              <w:rPr>
                <w:rFonts w:ascii="Times New Roman" w:eastAsia="Times New Roman" w:hAnsi="Times New Roman" w:cs="Times New Roman"/>
                <w:sz w:val="20"/>
                <w:szCs w:val="20"/>
                <w:lang w:eastAsia="lv-LV"/>
              </w:rPr>
              <w:t>2019.gada</w:t>
            </w:r>
            <w:r>
              <w:rPr>
                <w:rFonts w:ascii="Times New Roman" w:eastAsia="Times New Roman" w:hAnsi="Times New Roman" w:cs="Times New Roman"/>
                <w:sz w:val="20"/>
                <w:szCs w:val="20"/>
                <w:lang w:eastAsia="lv-LV"/>
              </w:rPr>
              <w:t xml:space="preserve"> 1.aprīļa </w:t>
            </w:r>
            <w:r>
              <w:rPr>
                <w:rFonts w:ascii="Times New Roman" w:eastAsia="Times New Roman" w:hAnsi="Times New Roman" w:cs="Times New Roman"/>
                <w:i/>
                <w:sz w:val="20"/>
                <w:szCs w:val="20"/>
                <w:lang w:eastAsia="lv-LV"/>
              </w:rPr>
              <w:t>euro</w:t>
            </w:r>
          </w:p>
        </w:tc>
        <w:tc>
          <w:tcPr>
            <w:tcW w:w="91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B1373C6" w14:textId="5B5B03E7"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 xml:space="preserve">Tarifs, </w:t>
            </w:r>
          </w:p>
          <w:p w14:paraId="144D4953" w14:textId="77777777" w:rsidR="00133D9D" w:rsidRPr="00CD68FF" w:rsidRDefault="00133D9D" w:rsidP="003377C1">
            <w:pPr>
              <w:spacing w:after="0" w:line="240" w:lineRule="auto"/>
              <w:jc w:val="center"/>
              <w:rPr>
                <w:rFonts w:ascii="Times New Roman" w:eastAsia="Times New Roman" w:hAnsi="Times New Roman" w:cs="Times New Roman"/>
                <w:i/>
                <w:sz w:val="20"/>
                <w:szCs w:val="20"/>
                <w:lang w:eastAsia="lv-LV"/>
              </w:rPr>
            </w:pPr>
            <w:r w:rsidRPr="00CD68FF">
              <w:rPr>
                <w:rFonts w:ascii="Times New Roman" w:eastAsia="Times New Roman" w:hAnsi="Times New Roman" w:cs="Times New Roman"/>
                <w:i/>
                <w:sz w:val="20"/>
                <w:szCs w:val="20"/>
                <w:lang w:eastAsia="lv-LV"/>
              </w:rPr>
              <w:t>euro</w:t>
            </w:r>
          </w:p>
        </w:tc>
        <w:tc>
          <w:tcPr>
            <w:tcW w:w="10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DFE9515" w14:textId="74103D5F"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 xml:space="preserve">Nepieciešamais finansējums </w:t>
            </w:r>
            <w:r>
              <w:rPr>
                <w:rFonts w:ascii="Times New Roman" w:eastAsia="Times New Roman" w:hAnsi="Times New Roman" w:cs="Times New Roman"/>
                <w:sz w:val="20"/>
                <w:szCs w:val="20"/>
                <w:lang w:eastAsia="lv-LV"/>
              </w:rPr>
              <w:t xml:space="preserve">no </w:t>
            </w:r>
            <w:r w:rsidRPr="00CD68FF">
              <w:rPr>
                <w:rFonts w:ascii="Times New Roman" w:eastAsia="Times New Roman" w:hAnsi="Times New Roman" w:cs="Times New Roman"/>
                <w:sz w:val="20"/>
                <w:szCs w:val="20"/>
                <w:lang w:eastAsia="lv-LV"/>
              </w:rPr>
              <w:t>2019.gada</w:t>
            </w:r>
            <w:r>
              <w:rPr>
                <w:rFonts w:ascii="Times New Roman" w:eastAsia="Times New Roman" w:hAnsi="Times New Roman" w:cs="Times New Roman"/>
                <w:sz w:val="20"/>
                <w:szCs w:val="20"/>
                <w:lang w:eastAsia="lv-LV"/>
              </w:rPr>
              <w:t xml:space="preserve"> 1.aprīļa</w:t>
            </w:r>
            <w:r w:rsidRPr="00CD68FF">
              <w:rPr>
                <w:rFonts w:ascii="Times New Roman" w:eastAsia="Times New Roman" w:hAnsi="Times New Roman" w:cs="Times New Roman"/>
                <w:i/>
                <w:sz w:val="20"/>
                <w:szCs w:val="20"/>
                <w:lang w:eastAsia="lv-LV"/>
              </w:rPr>
              <w:t xml:space="preserve"> euro</w:t>
            </w:r>
          </w:p>
        </w:tc>
        <w:tc>
          <w:tcPr>
            <w:tcW w:w="147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7402B92F" w14:textId="63CA968D"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 xml:space="preserve">Nepieciešamais finansējums 2019.gadam </w:t>
            </w:r>
            <w:r w:rsidRPr="00CD68FF">
              <w:rPr>
                <w:rFonts w:ascii="Times New Roman" w:eastAsia="Times New Roman" w:hAnsi="Times New Roman" w:cs="Times New Roman"/>
                <w:i/>
                <w:sz w:val="20"/>
                <w:szCs w:val="20"/>
                <w:lang w:eastAsia="lv-LV"/>
              </w:rPr>
              <w:t>euro</w:t>
            </w:r>
          </w:p>
        </w:tc>
      </w:tr>
      <w:tr w:rsidR="00133D9D" w:rsidRPr="006B327A" w14:paraId="5EA03C86" w14:textId="77777777" w:rsidTr="00E93259">
        <w:trPr>
          <w:trHeight w:val="255"/>
          <w:jc w:val="center"/>
        </w:trPr>
        <w:tc>
          <w:tcPr>
            <w:tcW w:w="887"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0A523A33" w14:textId="77777777"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1</w:t>
            </w:r>
          </w:p>
        </w:tc>
        <w:tc>
          <w:tcPr>
            <w:tcW w:w="2844" w:type="dxa"/>
            <w:tcBorders>
              <w:top w:val="nil"/>
              <w:left w:val="nil"/>
              <w:bottom w:val="single" w:sz="4" w:space="0" w:color="auto"/>
              <w:right w:val="single" w:sz="4" w:space="0" w:color="auto"/>
            </w:tcBorders>
            <w:shd w:val="clear" w:color="auto" w:fill="FABF8F" w:themeFill="accent6" w:themeFillTint="99"/>
            <w:vAlign w:val="center"/>
            <w:hideMark/>
          </w:tcPr>
          <w:p w14:paraId="0F8F6B6E" w14:textId="77777777"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2</w:t>
            </w:r>
          </w:p>
        </w:tc>
        <w:tc>
          <w:tcPr>
            <w:tcW w:w="1261"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0C191795" w14:textId="77777777"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3</w:t>
            </w:r>
          </w:p>
        </w:tc>
        <w:tc>
          <w:tcPr>
            <w:tcW w:w="64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D89413C" w14:textId="4D5C4C82" w:rsidR="00133D9D" w:rsidRPr="00CD68FF" w:rsidRDefault="00B95DA2" w:rsidP="003377C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91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9AA6095" w14:textId="7EA1C91C" w:rsidR="00133D9D" w:rsidRPr="00CD68FF" w:rsidRDefault="00B95DA2" w:rsidP="003377C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10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D11D8B" w14:textId="28CE40F5" w:rsidR="00133D9D" w:rsidRPr="00CD68FF" w:rsidRDefault="00B95DA2" w:rsidP="003377C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352388">
              <w:rPr>
                <w:rFonts w:ascii="Times New Roman" w:eastAsia="Times New Roman" w:hAnsi="Times New Roman" w:cs="Times New Roman"/>
                <w:sz w:val="20"/>
                <w:szCs w:val="20"/>
                <w:lang w:eastAsia="lv-LV"/>
              </w:rPr>
              <w:t>=4*5</w:t>
            </w:r>
          </w:p>
        </w:tc>
        <w:tc>
          <w:tcPr>
            <w:tcW w:w="147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480979" w14:textId="1FAD4144" w:rsidR="00133D9D" w:rsidRPr="00CD68FF" w:rsidRDefault="00B95DA2" w:rsidP="003377C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352388">
              <w:rPr>
                <w:rFonts w:ascii="Times New Roman" w:eastAsia="Times New Roman" w:hAnsi="Times New Roman" w:cs="Times New Roman"/>
                <w:sz w:val="20"/>
                <w:szCs w:val="20"/>
                <w:lang w:eastAsia="lv-LV"/>
              </w:rPr>
              <w:t>=</w:t>
            </w:r>
            <w:r w:rsidR="009C5329">
              <w:rPr>
                <w:rFonts w:ascii="Times New Roman" w:eastAsia="Times New Roman" w:hAnsi="Times New Roman" w:cs="Times New Roman"/>
                <w:sz w:val="20"/>
                <w:szCs w:val="20"/>
                <w:lang w:eastAsia="lv-LV"/>
              </w:rPr>
              <w:t>3*5</w:t>
            </w:r>
          </w:p>
        </w:tc>
      </w:tr>
      <w:tr w:rsidR="00133D9D" w:rsidRPr="006B327A" w14:paraId="707C535D" w14:textId="77777777" w:rsidTr="00E93259">
        <w:trPr>
          <w:trHeight w:val="840"/>
          <w:jc w:val="center"/>
        </w:trPr>
        <w:tc>
          <w:tcPr>
            <w:tcW w:w="88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3ECB27" w14:textId="77777777" w:rsidR="00133D9D" w:rsidRPr="00CD68FF" w:rsidRDefault="00133D9D"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54011</w:t>
            </w:r>
          </w:p>
        </w:tc>
        <w:tc>
          <w:tcPr>
            <w:tcW w:w="2844" w:type="dxa"/>
            <w:tcBorders>
              <w:top w:val="nil"/>
              <w:left w:val="nil"/>
              <w:bottom w:val="single" w:sz="4" w:space="0" w:color="auto"/>
              <w:right w:val="single" w:sz="4" w:space="0" w:color="auto"/>
            </w:tcBorders>
            <w:shd w:val="clear" w:color="auto" w:fill="FFFFFF" w:themeFill="background1"/>
            <w:vAlign w:val="center"/>
            <w:hideMark/>
          </w:tcPr>
          <w:p w14:paraId="38047547" w14:textId="1B487B83" w:rsidR="00133D9D" w:rsidRPr="00CD68FF" w:rsidRDefault="00133D9D" w:rsidP="003377C1">
            <w:pPr>
              <w:spacing w:after="0" w:line="240" w:lineRule="auto"/>
              <w:rPr>
                <w:rFonts w:ascii="Times New Roman" w:eastAsia="Times New Roman" w:hAnsi="Times New Roman" w:cs="Times New Roman"/>
                <w:sz w:val="20"/>
                <w:szCs w:val="20"/>
                <w:lang w:eastAsia="lv-LV"/>
              </w:rPr>
            </w:pPr>
            <w:r w:rsidRPr="00CD68FF">
              <w:rPr>
                <w:rFonts w:ascii="Times New Roman" w:hAnsi="Times New Roman" w:cs="Times New Roman"/>
                <w:sz w:val="20"/>
                <w:szCs w:val="20"/>
              </w:rPr>
              <w:t>Operācijas un biopsijas materiālā fluorescences in situ hibridizācijas izmeklējums mutāciju noteikšanai</w:t>
            </w:r>
          </w:p>
        </w:tc>
        <w:tc>
          <w:tcPr>
            <w:tcW w:w="1261" w:type="dxa"/>
            <w:tcBorders>
              <w:top w:val="single" w:sz="4" w:space="0" w:color="auto"/>
              <w:left w:val="nil"/>
              <w:bottom w:val="single" w:sz="4" w:space="0" w:color="auto"/>
              <w:right w:val="single" w:sz="4" w:space="0" w:color="auto"/>
            </w:tcBorders>
            <w:shd w:val="clear" w:color="auto" w:fill="FFFFFF" w:themeFill="background1"/>
            <w:vAlign w:val="center"/>
          </w:tcPr>
          <w:p w14:paraId="1E140407" w14:textId="77777777" w:rsidR="00133D9D" w:rsidRPr="00CD68FF" w:rsidRDefault="00133D9D" w:rsidP="003377C1">
            <w:pPr>
              <w:spacing w:after="0" w:line="240" w:lineRule="auto"/>
              <w:jc w:val="center"/>
              <w:rPr>
                <w:rFonts w:ascii="Times New Roman" w:eastAsia="Times New Roman" w:hAnsi="Times New Roman" w:cs="Times New Roman"/>
                <w:b/>
                <w:bCs/>
                <w:sz w:val="20"/>
                <w:szCs w:val="20"/>
                <w:lang w:eastAsia="lv-LV"/>
              </w:rPr>
            </w:pPr>
            <w:r w:rsidRPr="00CD68FF">
              <w:rPr>
                <w:rFonts w:ascii="Times New Roman" w:eastAsia="Times New Roman" w:hAnsi="Times New Roman" w:cs="Times New Roman"/>
                <w:b/>
                <w:bCs/>
                <w:sz w:val="20"/>
                <w:szCs w:val="20"/>
                <w:lang w:eastAsia="lv-LV"/>
              </w:rPr>
              <w:t>2 000</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4BCF5" w14:textId="18AF13AF" w:rsidR="00133D9D" w:rsidRPr="00CD68FF" w:rsidRDefault="00B95DA2" w:rsidP="003377C1">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1 500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B5537" w14:textId="359852FE" w:rsidR="00133D9D" w:rsidRPr="00CD68FF" w:rsidRDefault="00133D9D" w:rsidP="003377C1">
            <w:pPr>
              <w:spacing w:after="0" w:line="240" w:lineRule="auto"/>
              <w:jc w:val="center"/>
              <w:rPr>
                <w:rFonts w:ascii="Times New Roman" w:eastAsia="Times New Roman" w:hAnsi="Times New Roman" w:cs="Times New Roman"/>
                <w:b/>
                <w:bCs/>
                <w:sz w:val="20"/>
                <w:szCs w:val="20"/>
                <w:lang w:eastAsia="lv-LV"/>
              </w:rPr>
            </w:pPr>
            <w:r w:rsidRPr="00CD68FF">
              <w:rPr>
                <w:rFonts w:ascii="Times New Roman" w:eastAsia="Times New Roman" w:hAnsi="Times New Roman" w:cs="Times New Roman"/>
                <w:b/>
                <w:bCs/>
                <w:sz w:val="20"/>
                <w:szCs w:val="20"/>
                <w:lang w:eastAsia="lv-LV"/>
              </w:rPr>
              <w:t>218.39</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538C4" w14:textId="1EE6D611" w:rsidR="00133D9D" w:rsidRPr="00D23D59" w:rsidRDefault="00B95DA2" w:rsidP="003377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327 585</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DC32" w14:textId="246744C0" w:rsidR="00133D9D" w:rsidRPr="00CD68FF" w:rsidRDefault="00133D9D" w:rsidP="003377C1">
            <w:pPr>
              <w:spacing w:after="0" w:line="240" w:lineRule="auto"/>
              <w:jc w:val="center"/>
              <w:rPr>
                <w:rFonts w:ascii="Times New Roman" w:eastAsia="Times New Roman" w:hAnsi="Times New Roman" w:cs="Times New Roman"/>
                <w:b/>
                <w:bCs/>
                <w:sz w:val="20"/>
                <w:szCs w:val="20"/>
                <w:lang w:eastAsia="lv-LV"/>
              </w:rPr>
            </w:pPr>
            <w:r w:rsidRPr="00D23D59">
              <w:rPr>
                <w:rFonts w:ascii="Times New Roman" w:hAnsi="Times New Roman" w:cs="Times New Roman"/>
                <w:b/>
                <w:sz w:val="20"/>
                <w:szCs w:val="20"/>
              </w:rPr>
              <w:t>436 780</w:t>
            </w:r>
          </w:p>
        </w:tc>
      </w:tr>
    </w:tbl>
    <w:p w14:paraId="6C96FCFC" w14:textId="77777777" w:rsidR="009C365E" w:rsidRDefault="009C365E" w:rsidP="009C365E">
      <w:pPr>
        <w:spacing w:after="0" w:line="240" w:lineRule="auto"/>
        <w:jc w:val="both"/>
        <w:rPr>
          <w:rFonts w:ascii="Times New Roman" w:hAnsi="Times New Roman"/>
          <w:sz w:val="24"/>
          <w:szCs w:val="24"/>
        </w:rPr>
      </w:pPr>
    </w:p>
    <w:p w14:paraId="77744674" w14:textId="48CFF12B" w:rsidR="009C365E" w:rsidRPr="009A7D7B" w:rsidRDefault="009C365E">
      <w:pPr>
        <w:spacing w:after="120"/>
        <w:ind w:firstLine="720"/>
        <w:jc w:val="both"/>
        <w:rPr>
          <w:rFonts w:ascii="Times New Roman" w:hAnsi="Times New Roman" w:cs="Times New Roman"/>
          <w:sz w:val="24"/>
          <w:szCs w:val="24"/>
        </w:rPr>
      </w:pPr>
      <w:r w:rsidRPr="009A7D7B">
        <w:rPr>
          <w:rFonts w:ascii="Times New Roman" w:hAnsi="Times New Roman" w:cs="Times New Roman"/>
          <w:sz w:val="24"/>
          <w:szCs w:val="24"/>
        </w:rPr>
        <w:t>Molekulārās patoloģijas izmeklējumi (fluorescences in situ hibridizācija un tas analogs hromogēnā in situ hibridizācija) ir svarīgi izmeklējumi onkoloģisko slimību diagnostikā un ārstēšanā, it īpaši personalizētajā ārstēšanā, kad katram pacientam ar specifiskām molekulārās patoloģijas metodēm var atrast specifiskās audzēja mutācijas un izvēlēties nepieciešamu</w:t>
      </w:r>
      <w:r w:rsidRPr="009A7D7B">
        <w:rPr>
          <w:rFonts w:ascii="Times New Roman" w:hAnsi="Times New Roman" w:cs="Times New Roman"/>
          <w:b/>
          <w:sz w:val="24"/>
          <w:szCs w:val="24"/>
        </w:rPr>
        <w:t xml:space="preserve"> </w:t>
      </w:r>
      <w:r w:rsidRPr="009A7D7B">
        <w:rPr>
          <w:rFonts w:ascii="Times New Roman" w:hAnsi="Times New Roman" w:cs="Times New Roman"/>
          <w:sz w:val="24"/>
          <w:szCs w:val="24"/>
        </w:rPr>
        <w:t>ārstēšanu un nozīmēt atbilstošu medikamentozu terapiju.</w:t>
      </w:r>
    </w:p>
    <w:p w14:paraId="42BFDA89" w14:textId="77777777" w:rsidR="009C365E" w:rsidRPr="009A7D7B" w:rsidRDefault="009C365E">
      <w:pPr>
        <w:spacing w:after="120"/>
        <w:ind w:firstLine="720"/>
        <w:jc w:val="both"/>
        <w:rPr>
          <w:rFonts w:ascii="Times New Roman" w:hAnsi="Times New Roman" w:cs="Times New Roman"/>
          <w:sz w:val="24"/>
          <w:szCs w:val="24"/>
        </w:rPr>
      </w:pPr>
      <w:r w:rsidRPr="009A7D7B">
        <w:rPr>
          <w:rFonts w:ascii="Times New Roman" w:hAnsi="Times New Roman" w:cs="Times New Roman"/>
          <w:sz w:val="24"/>
          <w:szCs w:val="24"/>
        </w:rPr>
        <w:t>Atbilstoši Eiropas un pasaules vadlīnijām, vairākām slimībām, it īpaši onkoloģijā un bērnu slimībās, lai noteiktu slimības diagnozi ir jāveic fluorescentās in situ hib</w:t>
      </w:r>
      <w:r>
        <w:rPr>
          <w:rFonts w:ascii="Times New Roman" w:hAnsi="Times New Roman" w:cs="Times New Roman"/>
          <w:sz w:val="24"/>
          <w:szCs w:val="24"/>
        </w:rPr>
        <w:t xml:space="preserve">ridizācijas (FISH) izmeklējums. </w:t>
      </w:r>
      <w:r w:rsidRPr="009A7D7B">
        <w:rPr>
          <w:rFonts w:ascii="Times New Roman" w:hAnsi="Times New Roman" w:cs="Times New Roman"/>
          <w:sz w:val="24"/>
          <w:szCs w:val="24"/>
        </w:rPr>
        <w:t>Piemēram, lai nodrošinātu ārstēšanu ar valsts kompensētu medikamentu Herceptin (Trastuzumab), HER-2 amplifikācijas noteikšanai ir nepieciešams veikt FISH izmeklējumus.</w:t>
      </w:r>
      <w:r>
        <w:rPr>
          <w:rFonts w:ascii="Times New Roman" w:hAnsi="Times New Roman" w:cs="Times New Roman"/>
          <w:sz w:val="24"/>
          <w:szCs w:val="24"/>
        </w:rPr>
        <w:t xml:space="preserve"> </w:t>
      </w:r>
      <w:r w:rsidRPr="009A7D7B">
        <w:rPr>
          <w:rFonts w:ascii="Times New Roman" w:hAnsi="Times New Roman" w:cs="Times New Roman"/>
          <w:sz w:val="24"/>
          <w:szCs w:val="24"/>
        </w:rPr>
        <w:t>Līdzīgi, arī pacientiem ar kuņģa audzēju ap 15-20% gadījumos ir novērojama HER-2 amplifikācija un lai šiem pacientiem nodrošinātu ārstēšanu ar valsts kompensētu medikamentu Herceptin (Trastuzumab) HER-2 amplifikācijas noteikšanai, ir nepieciešams veikt FISH izmeklējumus.</w:t>
      </w:r>
      <w:r>
        <w:rPr>
          <w:rFonts w:ascii="Times New Roman" w:hAnsi="Times New Roman" w:cs="Times New Roman"/>
          <w:sz w:val="24"/>
          <w:szCs w:val="24"/>
        </w:rPr>
        <w:t xml:space="preserve"> </w:t>
      </w:r>
      <w:r w:rsidRPr="009A7D7B">
        <w:rPr>
          <w:rFonts w:ascii="Times New Roman" w:hAnsi="Times New Roman" w:cs="Times New Roman"/>
          <w:sz w:val="24"/>
          <w:szCs w:val="24"/>
        </w:rPr>
        <w:t>Tāpat FISH izmeklējumi ir būtiski limfoproliferatīvo slimību, galvas smadzeņu audzēju un sarkomu diagnostikā.</w:t>
      </w:r>
    </w:p>
    <w:p w14:paraId="552F8020" w14:textId="0265FFCA" w:rsidR="009C365E" w:rsidRPr="009A7D7B" w:rsidRDefault="00CD4E6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Pakalpojuma lietošanas mērķis ir </w:t>
      </w:r>
      <w:r w:rsidR="009C365E" w:rsidRPr="009A7D7B">
        <w:rPr>
          <w:rFonts w:ascii="Times New Roman" w:hAnsi="Times New Roman" w:cs="Times New Roman"/>
          <w:sz w:val="24"/>
          <w:szCs w:val="24"/>
        </w:rPr>
        <w:t xml:space="preserve">novērtēt raksturīgās mutācijas šūnās, lai nozīmētu </w:t>
      </w:r>
      <w:r w:rsidR="009C365E">
        <w:rPr>
          <w:rFonts w:ascii="Times New Roman" w:hAnsi="Times New Roman" w:cs="Times New Roman"/>
          <w:sz w:val="24"/>
          <w:szCs w:val="24"/>
        </w:rPr>
        <w:t xml:space="preserve">pacientam specifisku ārstēšanu. </w:t>
      </w:r>
      <w:r w:rsidR="009C365E" w:rsidRPr="009A7D7B">
        <w:rPr>
          <w:rFonts w:ascii="Times New Roman" w:hAnsi="Times New Roman" w:cs="Times New Roman"/>
          <w:sz w:val="24"/>
          <w:szCs w:val="24"/>
        </w:rPr>
        <w:t>Piemēram, LSI HER-2/neu un CEP 17 attiecības noteikšana limfoproliferatīvo slimību, galvas smadzeņu audzēju un sarkomu diagnostikā.</w:t>
      </w:r>
    </w:p>
    <w:p w14:paraId="1A533AF9" w14:textId="77777777" w:rsidR="009C365E" w:rsidRPr="009A7D7B" w:rsidRDefault="009C365E">
      <w:pPr>
        <w:spacing w:after="120"/>
        <w:ind w:firstLine="720"/>
        <w:jc w:val="both"/>
        <w:rPr>
          <w:rFonts w:ascii="Times New Roman" w:hAnsi="Times New Roman" w:cs="Times New Roman"/>
          <w:sz w:val="24"/>
          <w:szCs w:val="24"/>
        </w:rPr>
      </w:pPr>
      <w:r w:rsidRPr="009A7D7B">
        <w:rPr>
          <w:rFonts w:ascii="Times New Roman" w:hAnsi="Times New Roman" w:cs="Times New Roman"/>
          <w:sz w:val="24"/>
          <w:szCs w:val="24"/>
        </w:rPr>
        <w:t xml:space="preserve">Pakalpojuma lietošanas sagaidāmie rezultāti – personalizētas ārstēšanas testēšana (fluorescences in situ hibridizācija un tas analogs hromogēnā in situ hibridizācija), kas sniegs būtisku ieguldījumu veselības aprūpē un Latvijas tautsaimniecībā. </w:t>
      </w:r>
    </w:p>
    <w:p w14:paraId="58C2D07E" w14:textId="4E097F85" w:rsidR="00105C6C" w:rsidRPr="005D79E5" w:rsidRDefault="009C365E" w:rsidP="007C2C36">
      <w:pPr>
        <w:spacing w:after="120"/>
        <w:ind w:firstLine="720"/>
        <w:jc w:val="both"/>
      </w:pPr>
      <w:r w:rsidRPr="009A7D7B">
        <w:rPr>
          <w:rFonts w:ascii="Times New Roman" w:hAnsi="Times New Roman" w:cs="Times New Roman"/>
          <w:sz w:val="24"/>
          <w:szCs w:val="24"/>
        </w:rPr>
        <w:t>Kopējais ekonomiskais ieguvums vei</w:t>
      </w:r>
      <w:r>
        <w:rPr>
          <w:rFonts w:ascii="Times New Roman" w:hAnsi="Times New Roman" w:cs="Times New Roman"/>
          <w:sz w:val="24"/>
          <w:szCs w:val="24"/>
        </w:rPr>
        <w:t xml:space="preserve">dosies no vairākiem aspektiem. </w:t>
      </w:r>
      <w:r w:rsidRPr="009A7D7B">
        <w:rPr>
          <w:rFonts w:ascii="Times New Roman" w:hAnsi="Times New Roman" w:cs="Times New Roman"/>
          <w:sz w:val="24"/>
          <w:szCs w:val="24"/>
        </w:rPr>
        <w:t>Pirmkārt, ieviešot modernās diagnostikas metodes, kas ļaus precīzi izvēlēties individualizētu ārstēšanu katram pacientam, tiks iegūti papildus dzīves gadi. Novērtējot dzīves gadus naudas izteiksmē, rodas ekonomiskais ieguvums valstij no iegūtajiem dzīves gadiem. Turklāt, audzēja ārstēšanas izmaksu samazinājums ir saistīts ar savlaicīgi diagnosticētu slimību, kā rezultātā mainīsies audzēja pacientu sadalījums pa stadijām, palielināsies I un II stadiju pacientu skaits, samazināsies III un IV stadiju slimnieku skaits, kā rezultātā var samazināties ārstēšanas izmaksas</w:t>
      </w:r>
      <w:r>
        <w:rPr>
          <w:rFonts w:ascii="Times New Roman" w:hAnsi="Times New Roman" w:cs="Times New Roman"/>
          <w:sz w:val="24"/>
          <w:szCs w:val="24"/>
        </w:rPr>
        <w:t>.</w:t>
      </w:r>
    </w:p>
    <w:p w14:paraId="20344E53" w14:textId="77777777" w:rsidR="00E24E0D" w:rsidRDefault="00E24E0D" w:rsidP="00DE5471">
      <w:pPr>
        <w:spacing w:after="120"/>
        <w:ind w:firstLine="720"/>
        <w:jc w:val="right"/>
        <w:rPr>
          <w:rStyle w:val="Heading1Char"/>
          <w:rFonts w:ascii="Times New Roman" w:hAnsi="Times New Roman" w:cs="Times New Roman"/>
          <w:i/>
          <w:color w:val="auto"/>
          <w:sz w:val="24"/>
          <w:szCs w:val="24"/>
        </w:rPr>
        <w:sectPr w:rsidR="00E24E0D" w:rsidSect="00333B64">
          <w:pgSz w:w="12240" w:h="15840"/>
          <w:pgMar w:top="1440" w:right="1440" w:bottom="1440" w:left="1701" w:header="708" w:footer="708" w:gutter="0"/>
          <w:cols w:space="708"/>
          <w:docGrid w:linePitch="360"/>
        </w:sectPr>
      </w:pPr>
    </w:p>
    <w:p w14:paraId="2FD97C20" w14:textId="77777777" w:rsidR="001D67CB" w:rsidRPr="0019393F" w:rsidRDefault="001D67CB" w:rsidP="001D67CB">
      <w:pPr>
        <w:pStyle w:val="Heading2"/>
        <w:spacing w:before="0" w:line="240" w:lineRule="auto"/>
        <w:ind w:left="36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lastRenderedPageBreak/>
        <w:t>2.8. V</w:t>
      </w:r>
      <w:r w:rsidRPr="0012317D">
        <w:rPr>
          <w:rFonts w:ascii="Times New Roman" w:hAnsi="Times New Roman" w:cs="Times New Roman"/>
          <w:b/>
          <w:bCs/>
          <w:color w:val="auto"/>
          <w:sz w:val="24"/>
          <w:szCs w:val="24"/>
          <w:u w:val="single"/>
        </w:rPr>
        <w:t>ēža skrīninga programmas reforma</w:t>
      </w:r>
    </w:p>
    <w:p w14:paraId="457B9537" w14:textId="77777777" w:rsidR="001D67CB" w:rsidRDefault="001D67CB" w:rsidP="001D67CB">
      <w:pPr>
        <w:pStyle w:val="justifyfull"/>
        <w:shd w:val="clear" w:color="auto" w:fill="FFFFFF" w:themeFill="background1"/>
        <w:spacing w:before="0" w:beforeAutospacing="0" w:after="0" w:afterAutospacing="0"/>
        <w:ind w:firstLine="720"/>
        <w:jc w:val="both"/>
        <w:textAlignment w:val="baseline"/>
      </w:pPr>
    </w:p>
    <w:p w14:paraId="311844A9" w14:textId="77777777" w:rsidR="001D67CB" w:rsidRPr="00E93259" w:rsidRDefault="001D67CB" w:rsidP="001D67CB">
      <w:pPr>
        <w:pStyle w:val="justifyfull"/>
        <w:shd w:val="clear" w:color="auto" w:fill="FFFFFF" w:themeFill="background1"/>
        <w:spacing w:before="0" w:beforeAutospacing="0" w:after="0" w:afterAutospacing="0"/>
        <w:ind w:firstLine="720"/>
        <w:jc w:val="both"/>
        <w:textAlignment w:val="baseline"/>
        <w:rPr>
          <w:b/>
          <w:bCs/>
        </w:rPr>
      </w:pPr>
      <w:r w:rsidRPr="00E93259">
        <w:rPr>
          <w:b/>
          <w:bCs/>
        </w:rPr>
        <w:t>2.8.1. Esošais pakalpojums</w:t>
      </w:r>
    </w:p>
    <w:p w14:paraId="0B0ECD88" w14:textId="77777777" w:rsidR="001D67CB" w:rsidRDefault="001D67CB" w:rsidP="001D67CB">
      <w:pPr>
        <w:pStyle w:val="justifyfull"/>
        <w:shd w:val="clear" w:color="auto" w:fill="FFFFFF" w:themeFill="background1"/>
        <w:spacing w:before="0" w:beforeAutospacing="0" w:after="0" w:afterAutospacing="0"/>
        <w:ind w:firstLine="720"/>
        <w:jc w:val="both"/>
        <w:textAlignment w:val="baseline"/>
      </w:pPr>
    </w:p>
    <w:p w14:paraId="51EF8E7B" w14:textId="77777777" w:rsidR="001D67CB" w:rsidRPr="00E932D2" w:rsidRDefault="001D67CB" w:rsidP="001D67CB">
      <w:pPr>
        <w:pStyle w:val="justifyfull"/>
        <w:shd w:val="clear" w:color="auto" w:fill="FFFFFF" w:themeFill="background1"/>
        <w:spacing w:before="0" w:beforeAutospacing="0" w:after="120" w:afterAutospacing="0" w:line="276" w:lineRule="auto"/>
        <w:ind w:firstLine="720"/>
        <w:jc w:val="both"/>
        <w:textAlignment w:val="baseline"/>
      </w:pPr>
      <w:r>
        <w:t>Iedzīvotāju atsaucība profilaktisko pārbaužu veikšanai ir palielinājusies, pateicoties šogad uzsāktajam pilotprojektam, kura ietvaros ģimenes ārstu prakses aktīvāk mudina iedzīvotājus veikt profilaktiskos izmeklējumus. Dalība pilotprojektā ģimenes ārstu praksēm sniedz iespēju īstenot maksimāli efektīvu pacientu veselības profilaksi un saņemt piemaksu papildus prakses darbības nodrošināšanai paredzētajam valsts finansējumam.</w:t>
      </w:r>
    </w:p>
    <w:p w14:paraId="46390722" w14:textId="3F7BAA8E" w:rsidR="001D67CB" w:rsidRDefault="001D67CB" w:rsidP="001D67CB">
      <w:pPr>
        <w:spacing w:after="120"/>
        <w:ind w:firstLine="720"/>
        <w:jc w:val="both"/>
        <w:rPr>
          <w:rStyle w:val="Heading1Char"/>
          <w:rFonts w:ascii="Times New Roman" w:hAnsi="Times New Roman" w:cs="Times New Roman"/>
          <w:i/>
          <w:color w:val="auto"/>
          <w:sz w:val="24"/>
          <w:szCs w:val="24"/>
        </w:rPr>
      </w:pPr>
      <w:r w:rsidRPr="003B72C3">
        <w:rPr>
          <w:rFonts w:ascii="Times New Roman" w:hAnsi="Times New Roman" w:cs="Times New Roman"/>
          <w:sz w:val="24"/>
          <w:szCs w:val="24"/>
        </w:rPr>
        <w:t>Šobrīd pilotprojektā iesaistījušās 424 ģimenes ārstu prakses, no kurām vairāk nekā puse pirmajos sešos mēnešos jau 60% apmērā izpildījušas noteiktos kritērijus krūts vēža profilaktisko pārbaužu īstenošanā un 50% - dzemdes kakla vēža pārbaužu īstenošanā</w:t>
      </w:r>
      <w:r>
        <w:rPr>
          <w:rFonts w:ascii="Times New Roman" w:hAnsi="Times New Roman" w:cs="Times New Roman"/>
          <w:sz w:val="24"/>
          <w:szCs w:val="24"/>
        </w:rPr>
        <w:t xml:space="preserve">. </w:t>
      </w:r>
      <w:r w:rsidRPr="00847710">
        <w:rPr>
          <w:rStyle w:val="Heading1Char"/>
          <w:rFonts w:ascii="Times New Roman" w:hAnsi="Times New Roman" w:cs="Times New Roman"/>
          <w:color w:val="auto"/>
          <w:sz w:val="24"/>
          <w:szCs w:val="24"/>
        </w:rPr>
        <w:t>Lai uzlabotu valsts organizētā vēža skrīninga atsaucību</w:t>
      </w:r>
      <w:r>
        <w:rPr>
          <w:rStyle w:val="Heading1Char"/>
          <w:rFonts w:ascii="Times New Roman" w:hAnsi="Times New Roman" w:cs="Times New Roman"/>
          <w:color w:val="auto"/>
          <w:sz w:val="24"/>
          <w:szCs w:val="24"/>
        </w:rPr>
        <w:t xml:space="preserve"> 2019.gadā tiks turpināts </w:t>
      </w:r>
      <w:r w:rsidRPr="00847710">
        <w:rPr>
          <w:rStyle w:val="Heading1Char"/>
          <w:rFonts w:ascii="Times New Roman" w:hAnsi="Times New Roman" w:cs="Times New Roman"/>
          <w:color w:val="auto"/>
          <w:sz w:val="24"/>
          <w:szCs w:val="24"/>
        </w:rPr>
        <w:t>sekmēt vēža agrīnu diagnostiku, pilotprojekta ietvaros paredzot papildus maksājumu par vēža skrīninga atsaucības palielināšanu pie ģimenes ārsta reģistrēto pacientu vidū</w:t>
      </w:r>
      <w:r>
        <w:rPr>
          <w:rStyle w:val="Heading1Char"/>
          <w:rFonts w:ascii="Times New Roman" w:hAnsi="Times New Roman" w:cs="Times New Roman"/>
          <w:color w:val="auto"/>
          <w:sz w:val="24"/>
          <w:szCs w:val="24"/>
        </w:rPr>
        <w:t>.</w:t>
      </w:r>
    </w:p>
    <w:p w14:paraId="3113DCE7" w14:textId="3E5461CF" w:rsidR="00DE5471" w:rsidRDefault="00DE5471" w:rsidP="00DE5471">
      <w:pPr>
        <w:spacing w:after="120"/>
        <w:ind w:firstLine="720"/>
        <w:jc w:val="right"/>
        <w:rPr>
          <w:rStyle w:val="Heading1Char"/>
          <w:rFonts w:ascii="Times New Roman" w:hAnsi="Times New Roman" w:cs="Times New Roman"/>
          <w:i/>
          <w:color w:val="auto"/>
          <w:sz w:val="24"/>
          <w:szCs w:val="24"/>
        </w:rPr>
      </w:pPr>
      <w:r w:rsidRPr="00DE5471">
        <w:rPr>
          <w:rStyle w:val="Heading1Char"/>
          <w:rFonts w:ascii="Times New Roman" w:hAnsi="Times New Roman" w:cs="Times New Roman"/>
          <w:i/>
          <w:color w:val="auto"/>
          <w:sz w:val="24"/>
          <w:szCs w:val="24"/>
        </w:rPr>
        <w:t>38.tabula</w:t>
      </w:r>
    </w:p>
    <w:p w14:paraId="39781D91" w14:textId="7E140FBE" w:rsidR="00DE5471" w:rsidRDefault="00DE5471" w:rsidP="00C641EA">
      <w:pPr>
        <w:spacing w:after="120"/>
        <w:ind w:firstLine="720"/>
        <w:jc w:val="center"/>
        <w:rPr>
          <w:rStyle w:val="Heading1Char"/>
          <w:rFonts w:ascii="Times New Roman" w:hAnsi="Times New Roman" w:cs="Times New Roman"/>
          <w:b/>
          <w:color w:val="auto"/>
          <w:sz w:val="24"/>
          <w:szCs w:val="24"/>
        </w:rPr>
      </w:pPr>
      <w:r w:rsidRPr="00DE5471">
        <w:rPr>
          <w:rStyle w:val="Heading1Char"/>
          <w:rFonts w:ascii="Times New Roman" w:hAnsi="Times New Roman" w:cs="Times New Roman"/>
          <w:b/>
          <w:color w:val="auto"/>
          <w:sz w:val="24"/>
          <w:szCs w:val="24"/>
        </w:rPr>
        <w:t>Vēža skrīninga reformai nepieciešamais finansējums 2017., 2018. un 2019.gadā</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415"/>
        <w:gridCol w:w="1276"/>
        <w:gridCol w:w="992"/>
        <w:gridCol w:w="992"/>
        <w:gridCol w:w="851"/>
        <w:gridCol w:w="850"/>
        <w:gridCol w:w="993"/>
        <w:gridCol w:w="992"/>
        <w:gridCol w:w="709"/>
        <w:gridCol w:w="708"/>
        <w:gridCol w:w="709"/>
        <w:gridCol w:w="992"/>
        <w:gridCol w:w="1134"/>
        <w:gridCol w:w="992"/>
        <w:gridCol w:w="7"/>
      </w:tblGrid>
      <w:tr w:rsidR="00E24E0D" w14:paraId="7335D97C" w14:textId="77777777" w:rsidTr="00D36F30">
        <w:trPr>
          <w:cantSplit/>
          <w:trHeight w:val="1373"/>
          <w:jc w:val="center"/>
        </w:trPr>
        <w:tc>
          <w:tcPr>
            <w:tcW w:w="423" w:type="dxa"/>
            <w:shd w:val="clear" w:color="auto" w:fill="E36C0A" w:themeFill="accent6" w:themeFillShade="BF"/>
            <w:vAlign w:val="center"/>
            <w:hideMark/>
          </w:tcPr>
          <w:p w14:paraId="0351A73F" w14:textId="77777777" w:rsidR="00E24E0D" w:rsidRPr="00847710" w:rsidRDefault="00E24E0D" w:rsidP="0090538F">
            <w:pPr>
              <w:spacing w:after="0" w:line="240" w:lineRule="auto"/>
              <w:jc w:val="center"/>
              <w:rPr>
                <w:rFonts w:ascii="Times New Roman" w:eastAsia="Times New Roman" w:hAnsi="Times New Roman" w:cs="Times New Roman"/>
                <w:b/>
                <w:bCs/>
                <w:sz w:val="20"/>
                <w:szCs w:val="20"/>
                <w:lang w:eastAsia="lv-LV"/>
              </w:rPr>
            </w:pPr>
          </w:p>
        </w:tc>
        <w:tc>
          <w:tcPr>
            <w:tcW w:w="1415" w:type="dxa"/>
            <w:shd w:val="clear" w:color="auto" w:fill="E36C0A" w:themeFill="accent6" w:themeFillShade="BF"/>
            <w:vAlign w:val="center"/>
            <w:hideMark/>
          </w:tcPr>
          <w:p w14:paraId="6E89CADD" w14:textId="77777777" w:rsidR="00E24E0D" w:rsidRPr="00847710" w:rsidRDefault="00E24E0D" w:rsidP="0090538F">
            <w:pPr>
              <w:spacing w:after="0" w:line="240" w:lineRule="auto"/>
              <w:rPr>
                <w:rFonts w:ascii="Times New Roman" w:eastAsia="Times New Roman" w:hAnsi="Times New Roman" w:cs="Times New Roman"/>
                <w:b/>
                <w:sz w:val="20"/>
                <w:szCs w:val="20"/>
                <w:lang w:eastAsia="lv-LV"/>
              </w:rPr>
            </w:pPr>
          </w:p>
        </w:tc>
        <w:tc>
          <w:tcPr>
            <w:tcW w:w="1276" w:type="dxa"/>
            <w:shd w:val="clear" w:color="auto" w:fill="E36C0A" w:themeFill="accent6" w:themeFillShade="BF"/>
            <w:textDirection w:val="btLr"/>
            <w:vAlign w:val="center"/>
            <w:hideMark/>
          </w:tcPr>
          <w:p w14:paraId="37387C38" w14:textId="634DE577" w:rsidR="00E24E0D" w:rsidRPr="00847710" w:rsidRDefault="00E24E0D"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sidR="00637B89">
              <w:rPr>
                <w:rFonts w:ascii="Times New Roman" w:eastAsia="Times New Roman" w:hAnsi="Times New Roman" w:cs="Times New Roman"/>
                <w:b/>
                <w:bCs/>
                <w:sz w:val="20"/>
                <w:szCs w:val="20"/>
                <w:lang w:eastAsia="lv-LV"/>
              </w:rPr>
              <w:t xml:space="preserve">skrīninga </w:t>
            </w:r>
            <w:r w:rsidRPr="00847710">
              <w:rPr>
                <w:rFonts w:ascii="Times New Roman" w:eastAsia="Times New Roman" w:hAnsi="Times New Roman" w:cs="Times New Roman"/>
                <w:b/>
                <w:bCs/>
                <w:sz w:val="20"/>
                <w:szCs w:val="20"/>
                <w:lang w:eastAsia="lv-LV"/>
              </w:rPr>
              <w:t>vidējās</w:t>
            </w:r>
          </w:p>
          <w:p w14:paraId="0D024B89" w14:textId="77777777" w:rsidR="00E24E0D" w:rsidRPr="00847710" w:rsidRDefault="00E24E0D"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2C187C6B" w14:textId="77777777" w:rsidR="00E24E0D" w:rsidRPr="00847710" w:rsidRDefault="00E24E0D" w:rsidP="0090538F">
            <w:pPr>
              <w:spacing w:after="0" w:line="240" w:lineRule="auto"/>
              <w:ind w:left="113" w:right="113"/>
              <w:jc w:val="center"/>
              <w:rPr>
                <w:rFonts w:ascii="Times New Roman" w:eastAsia="Times New Roman" w:hAnsi="Times New Roman" w:cs="Times New Roman"/>
                <w:b/>
                <w:bCs/>
                <w:sz w:val="20"/>
                <w:szCs w:val="20"/>
                <w:lang w:eastAsia="lv-LV"/>
              </w:rPr>
            </w:pPr>
          </w:p>
        </w:tc>
        <w:tc>
          <w:tcPr>
            <w:tcW w:w="2835" w:type="dxa"/>
            <w:gridSpan w:val="3"/>
            <w:shd w:val="clear" w:color="auto" w:fill="E36C0A" w:themeFill="accent6" w:themeFillShade="BF"/>
            <w:textDirection w:val="btLr"/>
            <w:vAlign w:val="center"/>
          </w:tcPr>
          <w:p w14:paraId="4269F0CF" w14:textId="77777777" w:rsidR="00E24E0D" w:rsidRPr="00847710" w:rsidRDefault="00E24E0D" w:rsidP="0090538F">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5" w:type="dxa"/>
            <w:gridSpan w:val="3"/>
            <w:shd w:val="clear" w:color="auto" w:fill="E36C0A" w:themeFill="accent6" w:themeFillShade="BF"/>
            <w:textDirection w:val="btLr"/>
            <w:vAlign w:val="center"/>
          </w:tcPr>
          <w:p w14:paraId="75480A2A" w14:textId="77777777" w:rsidR="00E24E0D" w:rsidRPr="00847710" w:rsidRDefault="00E24E0D"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6" w:type="dxa"/>
            <w:gridSpan w:val="3"/>
            <w:shd w:val="clear" w:color="auto" w:fill="E36C0A" w:themeFill="accent6" w:themeFillShade="BF"/>
            <w:textDirection w:val="btLr"/>
            <w:vAlign w:val="center"/>
          </w:tcPr>
          <w:p w14:paraId="67BAECB5" w14:textId="77777777" w:rsidR="00E24E0D" w:rsidRPr="00847710" w:rsidRDefault="00E24E0D"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3125" w:type="dxa"/>
            <w:gridSpan w:val="4"/>
            <w:shd w:val="clear" w:color="auto" w:fill="E36C0A" w:themeFill="accent6" w:themeFillShade="BF"/>
            <w:textDirection w:val="btLr"/>
            <w:vAlign w:val="center"/>
          </w:tcPr>
          <w:p w14:paraId="0917DAE9" w14:textId="27185E32" w:rsidR="00E24E0D" w:rsidRPr="00847710" w:rsidRDefault="00E24E0D" w:rsidP="0090538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9E0E6C">
              <w:rPr>
                <w:rFonts w:ascii="Times New Roman" w:eastAsia="Times New Roman" w:hAnsi="Times New Roman" w:cs="Times New Roman"/>
                <w:b/>
                <w:bCs/>
                <w:sz w:val="20"/>
                <w:szCs w:val="20"/>
                <w:lang w:eastAsia="lv-LV"/>
              </w:rPr>
              <w:t xml:space="preserve">skrīninga </w:t>
            </w:r>
            <w:r w:rsidR="00EA3995">
              <w:rPr>
                <w:rFonts w:ascii="Times New Roman" w:eastAsia="Times New Roman" w:hAnsi="Times New Roman" w:cs="Times New Roman"/>
                <w:b/>
                <w:bCs/>
                <w:sz w:val="20"/>
                <w:szCs w:val="20"/>
                <w:lang w:eastAsia="lv-LV"/>
              </w:rPr>
              <w:t>izmeklējumu</w:t>
            </w:r>
            <w:r w:rsidRPr="00847710">
              <w:rPr>
                <w:rFonts w:ascii="Times New Roman" w:eastAsia="Times New Roman" w:hAnsi="Times New Roman" w:cs="Times New Roman"/>
                <w:b/>
                <w:bCs/>
                <w:sz w:val="20"/>
                <w:szCs w:val="20"/>
                <w:lang w:eastAsia="lv-LV"/>
              </w:rPr>
              <w:t xml:space="preserve"> skaits pēc finansējuma piešķīruma</w:t>
            </w:r>
          </w:p>
        </w:tc>
      </w:tr>
      <w:tr w:rsidR="00E24E0D" w14:paraId="6C032CB2" w14:textId="77777777" w:rsidTr="00D36F30">
        <w:trPr>
          <w:gridAfter w:val="1"/>
          <w:wAfter w:w="7" w:type="dxa"/>
          <w:trHeight w:val="640"/>
          <w:jc w:val="center"/>
        </w:trPr>
        <w:tc>
          <w:tcPr>
            <w:tcW w:w="423" w:type="dxa"/>
            <w:shd w:val="clear" w:color="auto" w:fill="FABF8F" w:themeFill="accent6" w:themeFillTint="99"/>
            <w:vAlign w:val="center"/>
          </w:tcPr>
          <w:p w14:paraId="73E556C4" w14:textId="77777777" w:rsidR="00E24E0D" w:rsidRPr="00847710" w:rsidRDefault="00E24E0D" w:rsidP="0090538F">
            <w:pPr>
              <w:spacing w:after="0" w:line="240" w:lineRule="auto"/>
              <w:jc w:val="center"/>
              <w:rPr>
                <w:rFonts w:ascii="Times New Roman" w:eastAsia="Times New Roman" w:hAnsi="Times New Roman" w:cs="Times New Roman"/>
                <w:b/>
                <w:bCs/>
                <w:sz w:val="20"/>
                <w:szCs w:val="20"/>
                <w:lang w:eastAsia="lv-LV"/>
              </w:rPr>
            </w:pPr>
          </w:p>
        </w:tc>
        <w:tc>
          <w:tcPr>
            <w:tcW w:w="1415" w:type="dxa"/>
            <w:shd w:val="clear" w:color="auto" w:fill="FABF8F" w:themeFill="accent6" w:themeFillTint="99"/>
            <w:vAlign w:val="center"/>
          </w:tcPr>
          <w:p w14:paraId="403E8C9F" w14:textId="77777777" w:rsidR="00E24E0D" w:rsidRPr="00847710" w:rsidRDefault="00E24E0D" w:rsidP="0090538F">
            <w:pPr>
              <w:spacing w:after="0" w:line="240" w:lineRule="auto"/>
              <w:jc w:val="center"/>
              <w:rPr>
                <w:rFonts w:ascii="Times New Roman" w:eastAsia="Times New Roman" w:hAnsi="Times New Roman" w:cs="Times New Roman"/>
                <w:b/>
                <w:sz w:val="20"/>
                <w:szCs w:val="20"/>
                <w:lang w:eastAsia="lv-LV"/>
              </w:rPr>
            </w:pPr>
          </w:p>
        </w:tc>
        <w:tc>
          <w:tcPr>
            <w:tcW w:w="1276" w:type="dxa"/>
            <w:shd w:val="clear" w:color="auto" w:fill="FABF8F" w:themeFill="accent6" w:themeFillTint="99"/>
            <w:vAlign w:val="center"/>
          </w:tcPr>
          <w:p w14:paraId="3AA58D7F" w14:textId="77777777" w:rsidR="00E24E0D" w:rsidRPr="00847710" w:rsidRDefault="00E24E0D" w:rsidP="0090538F">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7C3223E4" w14:textId="77777777" w:rsidR="00E24E0D" w:rsidRPr="00847710" w:rsidRDefault="00E24E0D" w:rsidP="0090538F">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BF8F" w:themeFill="accent6" w:themeFillTint="99"/>
            <w:vAlign w:val="center"/>
          </w:tcPr>
          <w:p w14:paraId="2A97CB1B"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1C57863B"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992" w:type="dxa"/>
            <w:shd w:val="clear" w:color="auto" w:fill="FABF8F" w:themeFill="accent6" w:themeFillTint="99"/>
            <w:vAlign w:val="center"/>
          </w:tcPr>
          <w:p w14:paraId="64C53A7B"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7D617199"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1E4FF086"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7BCAF48E"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0" w:type="dxa"/>
            <w:shd w:val="clear" w:color="auto" w:fill="FABF8F" w:themeFill="accent6" w:themeFillTint="99"/>
            <w:vAlign w:val="center"/>
          </w:tcPr>
          <w:p w14:paraId="3414EE69"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220B11AE"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993" w:type="dxa"/>
            <w:shd w:val="clear" w:color="auto" w:fill="FABF8F" w:themeFill="accent6" w:themeFillTint="99"/>
            <w:vAlign w:val="center"/>
          </w:tcPr>
          <w:p w14:paraId="1DB20A64"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5245716C" w14:textId="77777777" w:rsidR="00E24E0D"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992" w:type="dxa"/>
            <w:shd w:val="clear" w:color="auto" w:fill="FABF8F" w:themeFill="accent6" w:themeFillTint="99"/>
            <w:vAlign w:val="center"/>
          </w:tcPr>
          <w:p w14:paraId="4D1D26EF" w14:textId="77777777" w:rsidR="00E24E0D" w:rsidRPr="00847710" w:rsidRDefault="00E24E0D" w:rsidP="0090538F">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726B6B79" w14:textId="77777777" w:rsidR="00E24E0D" w:rsidRPr="00C86312" w:rsidRDefault="00E24E0D" w:rsidP="0090538F">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9" w:type="dxa"/>
            <w:shd w:val="clear" w:color="auto" w:fill="FABF8F" w:themeFill="accent6" w:themeFillTint="99"/>
            <w:vAlign w:val="center"/>
          </w:tcPr>
          <w:p w14:paraId="1E06FA32" w14:textId="77777777" w:rsidR="00E24E0D" w:rsidRPr="00847710" w:rsidRDefault="00E24E0D"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8" w:type="dxa"/>
            <w:shd w:val="clear" w:color="auto" w:fill="FABF8F" w:themeFill="accent6" w:themeFillTint="99"/>
            <w:vAlign w:val="center"/>
          </w:tcPr>
          <w:p w14:paraId="0CB8FFBF" w14:textId="77777777" w:rsidR="00E24E0D" w:rsidRPr="00847710" w:rsidRDefault="00E24E0D"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303802FA" w14:textId="77777777" w:rsidR="00E24E0D" w:rsidRPr="00847710" w:rsidRDefault="00E24E0D"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992" w:type="dxa"/>
            <w:shd w:val="clear" w:color="auto" w:fill="FABF8F" w:themeFill="accent6" w:themeFillTint="99"/>
            <w:vAlign w:val="center"/>
          </w:tcPr>
          <w:p w14:paraId="6FD6FA53" w14:textId="77777777" w:rsidR="00E24E0D" w:rsidRDefault="00E24E0D"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1134" w:type="dxa"/>
            <w:shd w:val="clear" w:color="auto" w:fill="FABF8F" w:themeFill="accent6" w:themeFillTint="99"/>
            <w:vAlign w:val="center"/>
          </w:tcPr>
          <w:p w14:paraId="254E2343" w14:textId="77777777" w:rsidR="00E24E0D" w:rsidRPr="00847710" w:rsidRDefault="00E24E0D" w:rsidP="0090538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992" w:type="dxa"/>
            <w:shd w:val="clear" w:color="auto" w:fill="FABF8F" w:themeFill="accent6" w:themeFillTint="99"/>
            <w:vAlign w:val="center"/>
          </w:tcPr>
          <w:p w14:paraId="41AB8467" w14:textId="77777777" w:rsidR="00E24E0D" w:rsidRPr="00847710" w:rsidRDefault="00E24E0D" w:rsidP="0090538F">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E11AFF" w14:paraId="4E8F0BBB" w14:textId="77777777" w:rsidTr="001D67CB">
        <w:trPr>
          <w:gridAfter w:val="1"/>
          <w:wAfter w:w="7" w:type="dxa"/>
          <w:trHeight w:val="418"/>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69B3B" w14:textId="77777777" w:rsidR="00E24E0D" w:rsidRPr="00847710" w:rsidRDefault="00E24E0D" w:rsidP="0090538F">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DF5EE" w14:textId="2962C3AE" w:rsidR="00E24E0D" w:rsidRPr="00847710" w:rsidRDefault="00E24E0D" w:rsidP="0090538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Vēža skrīnings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0A0F3" w14:textId="785C0CE5" w:rsidR="00E24E0D" w:rsidRPr="00847710" w:rsidRDefault="00E24E0D" w:rsidP="0090538F">
            <w:pPr>
              <w:spacing w:after="0" w:line="240" w:lineRule="auto"/>
              <w:jc w:val="center"/>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4B4B5CEC" w14:textId="77777777" w:rsidR="00E24E0D" w:rsidRDefault="00E24E0D"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538B0FD" w14:textId="77777777" w:rsidR="00E24E0D" w:rsidRDefault="00E24E0D"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AEA98EE" w14:textId="77777777" w:rsidR="00E24E0D" w:rsidRDefault="00E24E0D" w:rsidP="0090538F">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4F98CB8" w14:textId="77777777" w:rsidR="00E24E0D" w:rsidRDefault="00E24E0D"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549859C4" w14:textId="47CFCDBF" w:rsidR="00E24E0D" w:rsidRDefault="00E24E0D"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95C2" w14:textId="47009AEE" w:rsidR="00E24E0D" w:rsidRPr="00847710" w:rsidRDefault="00E24E0D"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520 000</w:t>
            </w:r>
          </w:p>
        </w:tc>
        <w:tc>
          <w:tcPr>
            <w:tcW w:w="709" w:type="dxa"/>
            <w:tcBorders>
              <w:top w:val="single" w:sz="4" w:space="0" w:color="auto"/>
              <w:left w:val="single" w:sz="4" w:space="0" w:color="auto"/>
              <w:bottom w:val="single" w:sz="4" w:space="0" w:color="auto"/>
              <w:right w:val="single" w:sz="4" w:space="0" w:color="auto"/>
            </w:tcBorders>
            <w:vAlign w:val="center"/>
          </w:tcPr>
          <w:p w14:paraId="0B56205A" w14:textId="77777777" w:rsidR="00E24E0D" w:rsidRPr="00C4284B" w:rsidRDefault="00E24E0D" w:rsidP="0090538F">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0223CD54" w14:textId="77777777" w:rsidR="00E24E0D" w:rsidRPr="00C4284B" w:rsidRDefault="00E24E0D" w:rsidP="0090538F">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288BE92" w14:textId="77777777" w:rsidR="00E24E0D" w:rsidRPr="00C4284B" w:rsidRDefault="00E24E0D" w:rsidP="0090538F">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303C394" w14:textId="4FAC81A0" w:rsidR="00E24E0D" w:rsidRPr="00C4284B" w:rsidRDefault="00665ADD" w:rsidP="0090538F">
            <w:pPr>
              <w:spacing w:after="0" w:line="240" w:lineRule="auto"/>
              <w:jc w:val="center"/>
              <w:rPr>
                <w:rFonts w:ascii="Times New Roman" w:hAnsi="Times New Roman" w:cs="Times New Roman"/>
                <w:bCs/>
                <w:sz w:val="20"/>
                <w:szCs w:val="20"/>
              </w:rPr>
            </w:pPr>
            <w:r w:rsidRPr="00C4284B">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272DBC3" w14:textId="165F333E" w:rsidR="00E24E0D" w:rsidRPr="00645EE9" w:rsidRDefault="00665ADD" w:rsidP="009053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576E6" w14:textId="5B06848B" w:rsidR="00E24E0D" w:rsidRPr="00645EE9" w:rsidRDefault="000844FF" w:rsidP="009053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104 818</w:t>
            </w:r>
          </w:p>
        </w:tc>
      </w:tr>
      <w:tr w:rsidR="00441C07" w14:paraId="55CD58A1" w14:textId="77777777" w:rsidTr="001D67CB">
        <w:trPr>
          <w:gridAfter w:val="1"/>
          <w:wAfter w:w="7" w:type="dxa"/>
          <w:trHeight w:val="423"/>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1611D" w14:textId="1834C265" w:rsidR="00441C07" w:rsidRPr="00847710" w:rsidRDefault="00441C07" w:rsidP="0090538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611753F3" w14:textId="45DFACC0" w:rsidR="00441C07" w:rsidRDefault="00441C07" w:rsidP="0090538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Zarnu vēža skrīnings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C76E1" w14:textId="77777777" w:rsidR="00441C07" w:rsidRPr="00847710" w:rsidRDefault="00441C07" w:rsidP="0090538F">
            <w:pPr>
              <w:spacing w:after="0" w:line="240" w:lineRule="auto"/>
              <w:jc w:val="center"/>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E697B44" w14:textId="30F3179E" w:rsidR="00441C07" w:rsidRDefault="00441C07"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FAABE44" w14:textId="78DDE861" w:rsidR="00441C07" w:rsidRDefault="00441C07"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451F304" w14:textId="7428C539" w:rsidR="00441C07" w:rsidRDefault="00441C07" w:rsidP="0090538F">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6E4E920" w14:textId="5B2322CD" w:rsidR="00441C07" w:rsidRDefault="00441C07"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6D03018" w14:textId="6DFAFF7E" w:rsidR="00441C07" w:rsidRDefault="00441C07"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B66D" w14:textId="28066AC8" w:rsidR="00441C07" w:rsidRDefault="007B66FE" w:rsidP="00905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305 283</w:t>
            </w:r>
          </w:p>
        </w:tc>
        <w:tc>
          <w:tcPr>
            <w:tcW w:w="709" w:type="dxa"/>
            <w:tcBorders>
              <w:top w:val="single" w:sz="4" w:space="0" w:color="auto"/>
              <w:left w:val="single" w:sz="4" w:space="0" w:color="auto"/>
              <w:bottom w:val="single" w:sz="4" w:space="0" w:color="auto"/>
              <w:right w:val="single" w:sz="4" w:space="0" w:color="auto"/>
            </w:tcBorders>
            <w:vAlign w:val="center"/>
          </w:tcPr>
          <w:p w14:paraId="475045CB" w14:textId="56F84CD0" w:rsidR="00441C07" w:rsidRPr="00C4284B" w:rsidRDefault="00441C07" w:rsidP="0090538F">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6D92608C" w14:textId="0EA79E42" w:rsidR="00441C07" w:rsidRPr="00C4284B" w:rsidRDefault="00441C07" w:rsidP="0090538F">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38ED8F7" w14:textId="4F6F0385" w:rsidR="00441C07" w:rsidRPr="00C4284B" w:rsidRDefault="00441C07" w:rsidP="0090538F">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A264A2E" w14:textId="70E6F256" w:rsidR="00441C07" w:rsidRPr="00C4284B" w:rsidRDefault="00441C07" w:rsidP="0090538F">
            <w:pPr>
              <w:spacing w:after="0" w:line="240" w:lineRule="auto"/>
              <w:jc w:val="center"/>
              <w:rPr>
                <w:rFonts w:ascii="Times New Roman" w:hAnsi="Times New Roman" w:cs="Times New Roman"/>
                <w:bCs/>
                <w:sz w:val="20"/>
                <w:szCs w:val="20"/>
              </w:rPr>
            </w:pPr>
            <w:r w:rsidRPr="00C4284B">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9F8A75E" w14:textId="66EBB218" w:rsidR="00441C07" w:rsidRPr="00645EE9" w:rsidRDefault="00441C07" w:rsidP="0090538F">
            <w:pPr>
              <w:spacing w:after="0" w:line="240" w:lineRule="auto"/>
              <w:jc w:val="center"/>
              <w:rPr>
                <w:rFonts w:ascii="Times New Roman" w:hAnsi="Times New Roman" w:cs="Times New Roman"/>
                <w:bCs/>
                <w:sz w:val="20"/>
                <w:szCs w:val="20"/>
              </w:rPr>
            </w:pPr>
            <w:r w:rsidRPr="00645EE9">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9A721" w14:textId="6868305D" w:rsidR="00441C07" w:rsidRPr="00645EE9" w:rsidRDefault="00D36F30" w:rsidP="0090538F">
            <w:pPr>
              <w:spacing w:after="0" w:line="240" w:lineRule="auto"/>
              <w:jc w:val="center"/>
              <w:rPr>
                <w:rFonts w:ascii="Times New Roman" w:hAnsi="Times New Roman" w:cs="Times New Roman"/>
                <w:bCs/>
                <w:sz w:val="20"/>
                <w:szCs w:val="20"/>
              </w:rPr>
            </w:pPr>
            <w:r w:rsidRPr="00645EE9">
              <w:rPr>
                <w:rFonts w:ascii="Times New Roman" w:hAnsi="Times New Roman" w:cs="Times New Roman"/>
                <w:bCs/>
                <w:sz w:val="20"/>
                <w:szCs w:val="20"/>
              </w:rPr>
              <w:t>103 121</w:t>
            </w:r>
          </w:p>
        </w:tc>
      </w:tr>
      <w:tr w:rsidR="00524D1E" w14:paraId="54434E40" w14:textId="77777777" w:rsidTr="00025DB7">
        <w:trPr>
          <w:gridAfter w:val="1"/>
          <w:wAfter w:w="7" w:type="dxa"/>
          <w:trHeight w:val="189"/>
          <w:jc w:val="center"/>
        </w:trPr>
        <w:tc>
          <w:tcPr>
            <w:tcW w:w="423" w:type="dxa"/>
            <w:shd w:val="clear" w:color="auto" w:fill="FBD4B4" w:themeFill="accent6" w:themeFillTint="66"/>
            <w:noWrap/>
            <w:vAlign w:val="bottom"/>
            <w:hideMark/>
          </w:tcPr>
          <w:p w14:paraId="60C1DBEA" w14:textId="77777777" w:rsidR="00645EE9" w:rsidRPr="00847710" w:rsidRDefault="00645EE9" w:rsidP="00645EE9">
            <w:pPr>
              <w:spacing w:after="0" w:line="240" w:lineRule="auto"/>
              <w:jc w:val="right"/>
              <w:rPr>
                <w:rFonts w:ascii="Times New Roman" w:eastAsia="Times New Roman" w:hAnsi="Times New Roman" w:cs="Times New Roman"/>
                <w:sz w:val="20"/>
                <w:szCs w:val="20"/>
                <w:lang w:eastAsia="lv-LV"/>
              </w:rPr>
            </w:pPr>
          </w:p>
        </w:tc>
        <w:tc>
          <w:tcPr>
            <w:tcW w:w="1415" w:type="dxa"/>
            <w:shd w:val="clear" w:color="auto" w:fill="FBD4B4" w:themeFill="accent6" w:themeFillTint="66"/>
            <w:noWrap/>
            <w:vAlign w:val="bottom"/>
            <w:hideMark/>
          </w:tcPr>
          <w:p w14:paraId="081E8C82" w14:textId="77777777" w:rsidR="00645EE9" w:rsidRPr="00847710" w:rsidRDefault="00645EE9" w:rsidP="00645EE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276" w:type="dxa"/>
            <w:shd w:val="clear" w:color="auto" w:fill="FBD4B4" w:themeFill="accent6" w:themeFillTint="66"/>
            <w:noWrap/>
            <w:vAlign w:val="center"/>
          </w:tcPr>
          <w:p w14:paraId="17010B4E" w14:textId="7E679A35" w:rsidR="00645EE9" w:rsidRPr="00833F61" w:rsidRDefault="00645EE9" w:rsidP="00645EE9">
            <w:pPr>
              <w:spacing w:after="0" w:line="240" w:lineRule="auto"/>
              <w:jc w:val="center"/>
              <w:rPr>
                <w:rFonts w:ascii="Times New Roman" w:eastAsia="Times New Roman" w:hAnsi="Times New Roman" w:cs="Times New Roman"/>
                <w:b/>
                <w:sz w:val="20"/>
                <w:szCs w:val="20"/>
                <w:lang w:eastAsia="lv-LV"/>
              </w:rPr>
            </w:pPr>
          </w:p>
        </w:tc>
        <w:tc>
          <w:tcPr>
            <w:tcW w:w="992" w:type="dxa"/>
            <w:shd w:val="clear" w:color="auto" w:fill="FBD4B4" w:themeFill="accent6" w:themeFillTint="66"/>
          </w:tcPr>
          <w:p w14:paraId="1E1B6C08" w14:textId="77777777" w:rsidR="00645EE9" w:rsidRPr="00833F61" w:rsidRDefault="00645EE9" w:rsidP="00645EE9">
            <w:pPr>
              <w:spacing w:after="0" w:line="240" w:lineRule="auto"/>
              <w:jc w:val="center"/>
              <w:rPr>
                <w:rFonts w:ascii="Times New Roman" w:hAnsi="Times New Roman" w:cs="Times New Roman"/>
                <w:b/>
                <w:sz w:val="20"/>
                <w:szCs w:val="20"/>
              </w:rPr>
            </w:pPr>
          </w:p>
        </w:tc>
        <w:tc>
          <w:tcPr>
            <w:tcW w:w="992" w:type="dxa"/>
            <w:shd w:val="clear" w:color="auto" w:fill="FBD4B4" w:themeFill="accent6" w:themeFillTint="66"/>
          </w:tcPr>
          <w:p w14:paraId="1D0C2754" w14:textId="77777777" w:rsidR="00645EE9" w:rsidRPr="00833F61" w:rsidRDefault="00645EE9" w:rsidP="00645EE9">
            <w:pPr>
              <w:spacing w:after="0" w:line="240" w:lineRule="auto"/>
              <w:jc w:val="center"/>
              <w:rPr>
                <w:rFonts w:ascii="Times New Roman" w:hAnsi="Times New Roman" w:cs="Times New Roman"/>
                <w:b/>
                <w:sz w:val="20"/>
                <w:szCs w:val="20"/>
              </w:rPr>
            </w:pPr>
          </w:p>
        </w:tc>
        <w:tc>
          <w:tcPr>
            <w:tcW w:w="851" w:type="dxa"/>
            <w:shd w:val="clear" w:color="auto" w:fill="FBD4B4" w:themeFill="accent6" w:themeFillTint="66"/>
          </w:tcPr>
          <w:p w14:paraId="764D92BC" w14:textId="77777777" w:rsidR="00645EE9" w:rsidRPr="00833F61" w:rsidRDefault="00645EE9" w:rsidP="00645EE9">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tcPr>
          <w:p w14:paraId="1903329B" w14:textId="77777777" w:rsidR="00645EE9" w:rsidRDefault="00645EE9" w:rsidP="00645EE9">
            <w:pPr>
              <w:spacing w:after="0" w:line="240" w:lineRule="auto"/>
              <w:jc w:val="center"/>
              <w:rPr>
                <w:rFonts w:ascii="Times New Roman" w:hAnsi="Times New Roman" w:cs="Times New Roman"/>
                <w:sz w:val="20"/>
                <w:szCs w:val="20"/>
              </w:rPr>
            </w:pPr>
          </w:p>
        </w:tc>
        <w:tc>
          <w:tcPr>
            <w:tcW w:w="993" w:type="dxa"/>
            <w:shd w:val="clear" w:color="auto" w:fill="FBD4B4" w:themeFill="accent6" w:themeFillTint="66"/>
            <w:vAlign w:val="center"/>
          </w:tcPr>
          <w:p w14:paraId="2AB924F9" w14:textId="3CEACBF4" w:rsidR="00645EE9" w:rsidRPr="000854D6" w:rsidRDefault="00645EE9" w:rsidP="00645EE9">
            <w:pPr>
              <w:spacing w:after="0" w:line="240" w:lineRule="auto"/>
              <w:jc w:val="center"/>
              <w:rPr>
                <w:rFonts w:ascii="Times New Roman" w:hAnsi="Times New Roman" w:cs="Times New Roman"/>
                <w:b/>
                <w:sz w:val="20"/>
                <w:szCs w:val="20"/>
              </w:rPr>
            </w:pPr>
            <w:r w:rsidRPr="000854D6">
              <w:rPr>
                <w:rFonts w:ascii="Times New Roman" w:hAnsi="Times New Roman" w:cs="Times New Roman"/>
                <w:b/>
                <w:sz w:val="20"/>
                <w:szCs w:val="20"/>
              </w:rPr>
              <w:t>390 000</w:t>
            </w:r>
          </w:p>
        </w:tc>
        <w:tc>
          <w:tcPr>
            <w:tcW w:w="992" w:type="dxa"/>
            <w:shd w:val="clear" w:color="auto" w:fill="FBD4B4" w:themeFill="accent6" w:themeFillTint="66"/>
            <w:noWrap/>
            <w:vAlign w:val="center"/>
            <w:hideMark/>
          </w:tcPr>
          <w:p w14:paraId="1BCC34EF" w14:textId="04E17678" w:rsidR="00645EE9" w:rsidRPr="000854D6" w:rsidRDefault="00645EE9" w:rsidP="00645EE9">
            <w:pPr>
              <w:spacing w:after="0" w:line="240" w:lineRule="auto"/>
              <w:jc w:val="center"/>
              <w:rPr>
                <w:rFonts w:ascii="Times New Roman" w:hAnsi="Times New Roman" w:cs="Times New Roman"/>
                <w:b/>
                <w:sz w:val="20"/>
                <w:szCs w:val="20"/>
              </w:rPr>
            </w:pPr>
            <w:r w:rsidRPr="000854D6">
              <w:rPr>
                <w:rFonts w:ascii="Times New Roman" w:hAnsi="Times New Roman" w:cs="Times New Roman"/>
                <w:b/>
                <w:sz w:val="20"/>
                <w:szCs w:val="20"/>
              </w:rPr>
              <w:t>825 283</w:t>
            </w:r>
          </w:p>
        </w:tc>
        <w:tc>
          <w:tcPr>
            <w:tcW w:w="709" w:type="dxa"/>
            <w:shd w:val="clear" w:color="auto" w:fill="FBD4B4" w:themeFill="accent6" w:themeFillTint="66"/>
          </w:tcPr>
          <w:p w14:paraId="04176B73" w14:textId="77777777" w:rsidR="00645EE9" w:rsidRPr="00833F61" w:rsidRDefault="00645EE9" w:rsidP="00645EE9">
            <w:pPr>
              <w:spacing w:after="0" w:line="240" w:lineRule="auto"/>
              <w:jc w:val="center"/>
              <w:rPr>
                <w:rFonts w:ascii="Times New Roman" w:hAnsi="Times New Roman" w:cs="Times New Roman"/>
                <w:b/>
                <w:bCs/>
                <w:color w:val="FF0000"/>
                <w:sz w:val="20"/>
                <w:szCs w:val="20"/>
              </w:rPr>
            </w:pPr>
          </w:p>
        </w:tc>
        <w:tc>
          <w:tcPr>
            <w:tcW w:w="708" w:type="dxa"/>
            <w:shd w:val="clear" w:color="auto" w:fill="FBD4B4" w:themeFill="accent6" w:themeFillTint="66"/>
            <w:vAlign w:val="center"/>
          </w:tcPr>
          <w:p w14:paraId="1181DE37" w14:textId="77777777" w:rsidR="00645EE9" w:rsidRPr="00833F61" w:rsidRDefault="00645EE9" w:rsidP="00645EE9">
            <w:pPr>
              <w:spacing w:after="0" w:line="240" w:lineRule="auto"/>
              <w:jc w:val="center"/>
              <w:rPr>
                <w:rFonts w:ascii="Times New Roman" w:hAnsi="Times New Roman" w:cs="Times New Roman"/>
                <w:b/>
                <w:bCs/>
                <w:color w:val="FF0000"/>
                <w:sz w:val="20"/>
                <w:szCs w:val="20"/>
              </w:rPr>
            </w:pPr>
          </w:p>
        </w:tc>
        <w:tc>
          <w:tcPr>
            <w:tcW w:w="709" w:type="dxa"/>
            <w:shd w:val="clear" w:color="auto" w:fill="FBD4B4" w:themeFill="accent6" w:themeFillTint="66"/>
            <w:vAlign w:val="center"/>
          </w:tcPr>
          <w:p w14:paraId="3E36A9BD" w14:textId="77777777" w:rsidR="00645EE9" w:rsidRPr="00833F61" w:rsidRDefault="00645EE9" w:rsidP="00645EE9">
            <w:pPr>
              <w:spacing w:after="0" w:line="240" w:lineRule="auto"/>
              <w:jc w:val="center"/>
              <w:rPr>
                <w:rFonts w:ascii="Times New Roman" w:hAnsi="Times New Roman" w:cs="Times New Roman"/>
                <w:b/>
                <w:bCs/>
                <w:color w:val="FF0000"/>
                <w:sz w:val="20"/>
                <w:szCs w:val="20"/>
              </w:rPr>
            </w:pPr>
          </w:p>
        </w:tc>
        <w:tc>
          <w:tcPr>
            <w:tcW w:w="992" w:type="dxa"/>
            <w:shd w:val="clear" w:color="auto" w:fill="FBD4B4" w:themeFill="accent6" w:themeFillTint="66"/>
            <w:vAlign w:val="center"/>
          </w:tcPr>
          <w:p w14:paraId="521A959F" w14:textId="4EFB939A" w:rsidR="00645EE9" w:rsidRPr="00833F61" w:rsidRDefault="00645EE9" w:rsidP="00645EE9">
            <w:pPr>
              <w:spacing w:after="0" w:line="240" w:lineRule="auto"/>
              <w:jc w:val="center"/>
              <w:rPr>
                <w:rFonts w:ascii="Times New Roman" w:hAnsi="Times New Roman" w:cs="Times New Roman"/>
                <w:b/>
                <w:bCs/>
                <w:color w:val="FF0000"/>
                <w:sz w:val="20"/>
                <w:szCs w:val="20"/>
              </w:rPr>
            </w:pPr>
          </w:p>
        </w:tc>
        <w:tc>
          <w:tcPr>
            <w:tcW w:w="1134" w:type="dxa"/>
            <w:shd w:val="clear" w:color="auto" w:fill="FBD4B4" w:themeFill="accent6" w:themeFillTint="66"/>
            <w:vAlign w:val="center"/>
          </w:tcPr>
          <w:p w14:paraId="60EAC60F" w14:textId="5991F1F1" w:rsidR="00645EE9" w:rsidRPr="00833F61" w:rsidRDefault="00645EE9" w:rsidP="00645EE9">
            <w:pPr>
              <w:spacing w:after="0" w:line="240" w:lineRule="auto"/>
              <w:jc w:val="center"/>
              <w:rPr>
                <w:rFonts w:ascii="Times New Roman" w:hAnsi="Times New Roman" w:cs="Times New Roman"/>
                <w:b/>
                <w:bCs/>
                <w:color w:val="FF0000"/>
                <w:sz w:val="20"/>
                <w:szCs w:val="20"/>
              </w:rPr>
            </w:pPr>
          </w:p>
        </w:tc>
        <w:tc>
          <w:tcPr>
            <w:tcW w:w="992" w:type="dxa"/>
            <w:shd w:val="clear" w:color="auto" w:fill="FBD4B4" w:themeFill="accent6" w:themeFillTint="66"/>
            <w:noWrap/>
            <w:vAlign w:val="center"/>
          </w:tcPr>
          <w:p w14:paraId="29BD0A5D" w14:textId="33262624" w:rsidR="00645EE9" w:rsidRPr="00645EE9" w:rsidRDefault="00753510" w:rsidP="00645EE9">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sz w:val="20"/>
                <w:szCs w:val="20"/>
              </w:rPr>
              <w:t>207 939</w:t>
            </w:r>
          </w:p>
        </w:tc>
      </w:tr>
    </w:tbl>
    <w:p w14:paraId="14BF9C64" w14:textId="77777777" w:rsidR="001D67CB" w:rsidRDefault="001D67CB" w:rsidP="001D67CB">
      <w:pPr>
        <w:tabs>
          <w:tab w:val="left" w:pos="1230"/>
        </w:tabs>
        <w:spacing w:after="120"/>
        <w:ind w:firstLine="720"/>
        <w:jc w:val="both"/>
        <w:rPr>
          <w:rStyle w:val="Heading1Char"/>
          <w:rFonts w:ascii="Times New Roman" w:hAnsi="Times New Roman" w:cs="Times New Roman"/>
          <w:color w:val="auto"/>
          <w:sz w:val="24"/>
          <w:szCs w:val="24"/>
        </w:rPr>
      </w:pPr>
    </w:p>
    <w:p w14:paraId="7B91FAD1" w14:textId="3960A5C4" w:rsidR="00E24E0D" w:rsidRPr="001D67CB" w:rsidRDefault="001D67CB" w:rsidP="001D67CB">
      <w:pPr>
        <w:tabs>
          <w:tab w:val="left" w:pos="1230"/>
        </w:tabs>
        <w:spacing w:after="120"/>
        <w:ind w:firstLine="720"/>
        <w:jc w:val="both"/>
        <w:rPr>
          <w:rFonts w:ascii="Times New Roman" w:eastAsiaTheme="majorEastAsia" w:hAnsi="Times New Roman" w:cs="Times New Roman"/>
          <w:b/>
          <w:sz w:val="24"/>
          <w:szCs w:val="24"/>
        </w:rPr>
        <w:sectPr w:rsidR="00E24E0D" w:rsidRPr="001D67CB" w:rsidSect="001D67CB">
          <w:pgSz w:w="15840" w:h="12240" w:orient="landscape"/>
          <w:pgMar w:top="1701" w:right="1440" w:bottom="1440" w:left="1440" w:header="709" w:footer="709" w:gutter="0"/>
          <w:cols w:space="708"/>
          <w:docGrid w:linePitch="360"/>
        </w:sectPr>
      </w:pPr>
      <w:r w:rsidRPr="00847710">
        <w:rPr>
          <w:rStyle w:val="Heading1Char"/>
          <w:rFonts w:ascii="Times New Roman" w:hAnsi="Times New Roman" w:cs="Times New Roman"/>
          <w:color w:val="auto"/>
          <w:sz w:val="24"/>
          <w:szCs w:val="24"/>
        </w:rPr>
        <w:t>201</w:t>
      </w:r>
      <w:r>
        <w:rPr>
          <w:rStyle w:val="Heading1Char"/>
          <w:rFonts w:ascii="Times New Roman" w:hAnsi="Times New Roman" w:cs="Times New Roman"/>
          <w:color w:val="auto"/>
          <w:sz w:val="24"/>
          <w:szCs w:val="24"/>
        </w:rPr>
        <w:t>9</w:t>
      </w:r>
      <w:r w:rsidRPr="00847710">
        <w:rPr>
          <w:rStyle w:val="Heading1Char"/>
          <w:rFonts w:ascii="Times New Roman" w:hAnsi="Times New Roman" w:cs="Times New Roman"/>
          <w:color w:val="auto"/>
          <w:sz w:val="24"/>
          <w:szCs w:val="24"/>
        </w:rPr>
        <w:t xml:space="preserve">.gadā </w:t>
      </w:r>
      <w:r>
        <w:rPr>
          <w:rStyle w:val="Heading1Char"/>
          <w:rFonts w:ascii="Times New Roman" w:hAnsi="Times New Roman" w:cs="Times New Roman"/>
          <w:color w:val="auto"/>
          <w:sz w:val="24"/>
          <w:szCs w:val="24"/>
        </w:rPr>
        <w:t xml:space="preserve">nepieciešami 500 </w:t>
      </w:r>
      <w:r w:rsidRPr="00850CDC">
        <w:rPr>
          <w:rStyle w:val="Heading1Char"/>
          <w:rFonts w:ascii="Times New Roman" w:hAnsi="Times New Roman" w:cs="Times New Roman"/>
          <w:i/>
          <w:color w:val="auto"/>
          <w:sz w:val="24"/>
          <w:szCs w:val="24"/>
        </w:rPr>
        <w:t>euro</w:t>
      </w:r>
      <w:r>
        <w:rPr>
          <w:rStyle w:val="Heading1Char"/>
          <w:rFonts w:ascii="Times New Roman" w:hAnsi="Times New Roman" w:cs="Times New Roman"/>
          <w:color w:val="auto"/>
          <w:sz w:val="24"/>
          <w:szCs w:val="24"/>
        </w:rPr>
        <w:t xml:space="preserve"> ceturksnī * 260 prakses * 4 ceturkšņi = </w:t>
      </w:r>
      <w:r w:rsidRPr="00E617E6">
        <w:rPr>
          <w:rStyle w:val="Heading1Char"/>
          <w:rFonts w:ascii="Times New Roman" w:hAnsi="Times New Roman" w:cs="Times New Roman"/>
          <w:b/>
          <w:color w:val="auto"/>
          <w:sz w:val="24"/>
          <w:szCs w:val="24"/>
        </w:rPr>
        <w:t xml:space="preserve">520 000 </w:t>
      </w:r>
      <w:r w:rsidRPr="00E617E6">
        <w:rPr>
          <w:rStyle w:val="Heading1Char"/>
          <w:rFonts w:ascii="Times New Roman" w:hAnsi="Times New Roman" w:cs="Times New Roman"/>
          <w:b/>
          <w:i/>
          <w:color w:val="auto"/>
          <w:sz w:val="24"/>
          <w:szCs w:val="24"/>
        </w:rPr>
        <w:t>euro</w:t>
      </w:r>
      <w:r>
        <w:rPr>
          <w:rStyle w:val="Heading1Char"/>
          <w:rFonts w:ascii="Times New Roman" w:hAnsi="Times New Roman" w:cs="Times New Roman"/>
          <w:color w:val="auto"/>
          <w:sz w:val="24"/>
          <w:szCs w:val="24"/>
        </w:rPr>
        <w:t xml:space="preserve">, lai turpinātu </w:t>
      </w:r>
      <w:r w:rsidRPr="00D625FE">
        <w:rPr>
          <w:rFonts w:ascii="Times New Roman" w:hAnsi="Times New Roman"/>
          <w:bCs/>
          <w:sz w:val="24"/>
          <w:szCs w:val="24"/>
        </w:rPr>
        <w:t>nodrošināt krūts un dzemdes kakla vēža agrīna diagnostiku un savlaicīgu ārstē</w:t>
      </w:r>
      <w:r w:rsidR="006127C7">
        <w:rPr>
          <w:rFonts w:ascii="Times New Roman" w:hAnsi="Times New Roman"/>
          <w:bCs/>
          <w:sz w:val="24"/>
          <w:szCs w:val="24"/>
        </w:rPr>
        <w:t>šanas uzsākšanu.</w:t>
      </w:r>
    </w:p>
    <w:p w14:paraId="2F98BD79" w14:textId="26303C9B" w:rsidR="00E45858" w:rsidRPr="00D625FE" w:rsidRDefault="00E45858" w:rsidP="001D67CB">
      <w:pPr>
        <w:spacing w:after="120"/>
        <w:jc w:val="both"/>
        <w:rPr>
          <w:rFonts w:ascii="Times New Roman" w:eastAsiaTheme="majorEastAsia" w:hAnsi="Times New Roman" w:cs="Times New Roman"/>
          <w:sz w:val="24"/>
          <w:szCs w:val="24"/>
        </w:rPr>
      </w:pPr>
    </w:p>
    <w:p w14:paraId="50071236" w14:textId="0D921522" w:rsidR="00E16C6D" w:rsidRDefault="00F553AD" w:rsidP="00D23D59">
      <w:pPr>
        <w:pStyle w:val="Heading2"/>
        <w:spacing w:before="0" w:after="120"/>
        <w:ind w:left="360"/>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2.</w:t>
      </w:r>
      <w:r w:rsidR="007C2C36">
        <w:rPr>
          <w:rFonts w:ascii="Times New Roman" w:hAnsi="Times New Roman" w:cs="Times New Roman"/>
          <w:b/>
          <w:bCs/>
          <w:color w:val="auto"/>
          <w:sz w:val="24"/>
          <w:szCs w:val="24"/>
          <w:u w:val="single"/>
        </w:rPr>
        <w:t>8</w:t>
      </w:r>
      <w:r>
        <w:rPr>
          <w:rFonts w:ascii="Times New Roman" w:hAnsi="Times New Roman" w:cs="Times New Roman"/>
          <w:b/>
          <w:bCs/>
          <w:color w:val="auto"/>
          <w:sz w:val="24"/>
          <w:szCs w:val="24"/>
          <w:u w:val="single"/>
        </w:rPr>
        <w:t>.</w:t>
      </w:r>
      <w:r w:rsidR="001C2228">
        <w:rPr>
          <w:rFonts w:ascii="Times New Roman" w:hAnsi="Times New Roman" w:cs="Times New Roman"/>
          <w:b/>
          <w:bCs/>
          <w:color w:val="auto"/>
          <w:sz w:val="24"/>
          <w:szCs w:val="24"/>
          <w:u w:val="single"/>
        </w:rPr>
        <w:t>2</w:t>
      </w:r>
      <w:r>
        <w:rPr>
          <w:rFonts w:ascii="Times New Roman" w:hAnsi="Times New Roman" w:cs="Times New Roman"/>
          <w:b/>
          <w:bCs/>
          <w:color w:val="auto"/>
          <w:sz w:val="24"/>
          <w:szCs w:val="24"/>
          <w:u w:val="single"/>
        </w:rPr>
        <w:t>.</w:t>
      </w:r>
      <w:r w:rsidR="008F67CC">
        <w:rPr>
          <w:rFonts w:ascii="Times New Roman" w:hAnsi="Times New Roman" w:cs="Times New Roman"/>
          <w:b/>
          <w:bCs/>
          <w:color w:val="auto"/>
          <w:sz w:val="24"/>
          <w:szCs w:val="24"/>
          <w:u w:val="single"/>
        </w:rPr>
        <w:t xml:space="preserve"> </w:t>
      </w:r>
      <w:r w:rsidR="00B4240F">
        <w:rPr>
          <w:rFonts w:ascii="Times New Roman" w:hAnsi="Times New Roman" w:cs="Times New Roman"/>
          <w:b/>
          <w:bCs/>
          <w:color w:val="auto"/>
          <w:sz w:val="24"/>
          <w:szCs w:val="24"/>
          <w:u w:val="single"/>
        </w:rPr>
        <w:t xml:space="preserve">Jauns reformas pasākums 2019.gadā - </w:t>
      </w:r>
      <w:r w:rsidR="00E16C6D">
        <w:rPr>
          <w:rFonts w:ascii="Times New Roman" w:hAnsi="Times New Roman" w:cs="Times New Roman"/>
          <w:b/>
          <w:bCs/>
          <w:color w:val="auto"/>
          <w:sz w:val="24"/>
          <w:szCs w:val="24"/>
          <w:u w:val="single"/>
        </w:rPr>
        <w:t>Kolorekt</w:t>
      </w:r>
      <w:r w:rsidR="003F5359">
        <w:rPr>
          <w:rFonts w:ascii="Times New Roman" w:hAnsi="Times New Roman" w:cs="Times New Roman"/>
          <w:b/>
          <w:bCs/>
          <w:color w:val="auto"/>
          <w:sz w:val="24"/>
          <w:szCs w:val="24"/>
          <w:u w:val="single"/>
        </w:rPr>
        <w:t>āl</w:t>
      </w:r>
      <w:r w:rsidR="00E16C6D">
        <w:rPr>
          <w:rFonts w:ascii="Times New Roman" w:hAnsi="Times New Roman" w:cs="Times New Roman"/>
          <w:b/>
          <w:bCs/>
          <w:color w:val="auto"/>
          <w:sz w:val="24"/>
          <w:szCs w:val="24"/>
          <w:u w:val="single"/>
        </w:rPr>
        <w:t>ā zarnu vēža skrīnings</w:t>
      </w:r>
    </w:p>
    <w:p w14:paraId="0A7F9118" w14:textId="43FA3B6D" w:rsidR="00982C25" w:rsidRPr="00CD3A5D" w:rsidRDefault="00E16C6D" w:rsidP="00CD3A5D">
      <w:pPr>
        <w:pStyle w:val="CommentText"/>
        <w:spacing w:after="120" w:line="276" w:lineRule="auto"/>
        <w:ind w:firstLine="720"/>
        <w:jc w:val="both"/>
        <w:rPr>
          <w:rFonts w:ascii="Times New Roman" w:hAnsi="Times New Roman" w:cs="Times New Roman"/>
          <w:sz w:val="24"/>
          <w:szCs w:val="24"/>
        </w:rPr>
      </w:pPr>
      <w:r w:rsidRPr="00E16C6D">
        <w:rPr>
          <w:rFonts w:ascii="Times New Roman" w:hAnsi="Times New Roman"/>
          <w:sz w:val="24"/>
          <w:szCs w:val="24"/>
        </w:rPr>
        <w:t xml:space="preserve">Pēdējos 10 gados Latvijā saslimstība ar kolorektālo vēzi turpina nedaudz palielināties (ik gadu diagnosticē vairāk kā 1000 cilvēku), kas krasi neatšķiras no ES valstu vidējiem rādītājiem. Turpretī mirstības rādītāji no ļaundabīgajiem audzējiem joprojām ir salīdzinoši augsti un ļaundabīgie audzēji ir otrs biežākais nāves cēlonis. Ap 70% Latvijas pacientu, kas saslimuši ar kolorektālo vēzi, slimības izraisīto komplikāciju dēļ mirst priekšlaicīgi. 2016.gadā nemainīgi saglabājās augsta mirstība no kolorektālās daļas ļaundabīgiem audzējiem 673 (34,3 uz 100 000 iedzīvotāju) gadījumu (kolorektālā vēža mirstība ir trešā vieta aiz bronhu un plaušu vēža mirstības) un tas ir viens no sliktākajiem rādītājiem pasaulē. Savukārt, Rietumeiropas valstīs (piemēram, Vācijā, Čehijā) šis rādītājs ir ap 45%, jo šajās valstīs ir ieviests veiksmīgs skrīnings. Galvenais iemesls priekšlaicīgai mirstībai no kolorektālā zarnas vēža ir vēlīna slimības diagnostika. </w:t>
      </w:r>
      <w:r w:rsidR="00F83219" w:rsidRPr="00F83219">
        <w:rPr>
          <w:rFonts w:ascii="Times New Roman" w:hAnsi="Times New Roman" w:cs="Times New Roman"/>
          <w:sz w:val="24"/>
          <w:szCs w:val="24"/>
        </w:rPr>
        <w:t>Zarnu vēzis ir trešais visbiežāk diagnosticētais vēža veids gan vīriešiem, gan sievietēm. Onkologi vērš uzmanību, ka parādās jauna tendence ar zarnu vēzi saslimt arvien gados jaunākiem cilvēkiem, kas var būtiski ietekmēt un ierobežot viņu turpmāko dzīvi, neļaujot realizēties gan personīgajā dzīvē, gan darba tirgū. 2017.gadā uzskaitē bija 6</w:t>
      </w:r>
      <w:r w:rsidR="00F83219">
        <w:rPr>
          <w:rFonts w:ascii="Times New Roman" w:hAnsi="Times New Roman" w:cs="Times New Roman"/>
          <w:sz w:val="24"/>
          <w:szCs w:val="24"/>
        </w:rPr>
        <w:t xml:space="preserve"> </w:t>
      </w:r>
      <w:r w:rsidR="00F83219" w:rsidRPr="00F83219">
        <w:rPr>
          <w:rFonts w:ascii="Times New Roman" w:hAnsi="Times New Roman" w:cs="Times New Roman"/>
          <w:sz w:val="24"/>
          <w:szCs w:val="24"/>
        </w:rPr>
        <w:t>686 kolorektālo zarnu vēža pacientu. Ik gadu no jauna diagnosticē vairāk nekā 1000 cilvēku (2017.gadā – 1131)</w:t>
      </w:r>
      <w:r w:rsidR="00CE6264">
        <w:rPr>
          <w:rFonts w:ascii="Times New Roman" w:hAnsi="Times New Roman" w:cs="Times New Roman"/>
          <w:sz w:val="24"/>
          <w:szCs w:val="24"/>
        </w:rPr>
        <w:t xml:space="preserve"> </w:t>
      </w:r>
      <w:r w:rsidR="00CE6264" w:rsidRPr="00982C25">
        <w:rPr>
          <w:rFonts w:ascii="Times New Roman" w:hAnsi="Times New Roman" w:cs="Times New Roman"/>
          <w:sz w:val="24"/>
          <w:szCs w:val="24"/>
        </w:rPr>
        <w:t xml:space="preserve">(skat. </w:t>
      </w:r>
      <w:r w:rsidR="004E74D9" w:rsidRPr="00982C25">
        <w:rPr>
          <w:rFonts w:ascii="Times New Roman" w:hAnsi="Times New Roman" w:cs="Times New Roman"/>
          <w:sz w:val="24"/>
          <w:szCs w:val="24"/>
        </w:rPr>
        <w:t>3</w:t>
      </w:r>
      <w:r w:rsidR="00CD3A5D">
        <w:rPr>
          <w:rFonts w:ascii="Times New Roman" w:hAnsi="Times New Roman" w:cs="Times New Roman"/>
          <w:sz w:val="24"/>
          <w:szCs w:val="24"/>
        </w:rPr>
        <w:t>9</w:t>
      </w:r>
      <w:r w:rsidR="009858AE" w:rsidRPr="00982C25">
        <w:rPr>
          <w:rFonts w:ascii="Times New Roman" w:hAnsi="Times New Roman" w:cs="Times New Roman"/>
          <w:sz w:val="24"/>
          <w:szCs w:val="24"/>
        </w:rPr>
        <w:t>.</w:t>
      </w:r>
      <w:r w:rsidR="00CE6264" w:rsidRPr="00982C25">
        <w:rPr>
          <w:rFonts w:ascii="Times New Roman" w:hAnsi="Times New Roman" w:cs="Times New Roman"/>
          <w:sz w:val="24"/>
          <w:szCs w:val="24"/>
        </w:rPr>
        <w:t>tabulu)</w:t>
      </w:r>
      <w:r w:rsidR="00F83219" w:rsidRPr="00982C25">
        <w:rPr>
          <w:rFonts w:ascii="Times New Roman" w:hAnsi="Times New Roman" w:cs="Times New Roman"/>
          <w:sz w:val="24"/>
          <w:szCs w:val="24"/>
        </w:rPr>
        <w:t>.</w:t>
      </w:r>
      <w:r w:rsidR="00F83219" w:rsidRPr="00F83219">
        <w:rPr>
          <w:rFonts w:ascii="Times New Roman" w:hAnsi="Times New Roman" w:cs="Times New Roman"/>
          <w:sz w:val="24"/>
          <w:szCs w:val="24"/>
        </w:rPr>
        <w:t xml:space="preserve"> </w:t>
      </w:r>
    </w:p>
    <w:p w14:paraId="148A1014" w14:textId="5C0A4F8A" w:rsidR="009858AE" w:rsidRPr="00E93259" w:rsidRDefault="004E74D9" w:rsidP="2749705C">
      <w:pPr>
        <w:pStyle w:val="CommentText"/>
        <w:spacing w:after="120" w:line="276" w:lineRule="auto"/>
        <w:ind w:firstLine="720"/>
        <w:jc w:val="right"/>
        <w:rPr>
          <w:rFonts w:ascii="Times New Roman" w:hAnsi="Times New Roman" w:cs="Times New Roman"/>
          <w:i/>
          <w:iCs/>
          <w:sz w:val="24"/>
          <w:szCs w:val="24"/>
        </w:rPr>
      </w:pPr>
      <w:r w:rsidRPr="2749705C">
        <w:rPr>
          <w:rFonts w:ascii="Times New Roman" w:hAnsi="Times New Roman" w:cs="Times New Roman"/>
          <w:i/>
          <w:iCs/>
          <w:sz w:val="24"/>
          <w:szCs w:val="24"/>
        </w:rPr>
        <w:t>3</w:t>
      </w:r>
      <w:r w:rsidR="00CD3A5D">
        <w:rPr>
          <w:rFonts w:ascii="Times New Roman" w:hAnsi="Times New Roman" w:cs="Times New Roman"/>
          <w:i/>
          <w:iCs/>
          <w:sz w:val="24"/>
          <w:szCs w:val="24"/>
        </w:rPr>
        <w:t>9</w:t>
      </w:r>
      <w:r w:rsidR="009858AE" w:rsidRPr="2749705C">
        <w:rPr>
          <w:rFonts w:ascii="Times New Roman" w:hAnsi="Times New Roman" w:cs="Times New Roman"/>
          <w:i/>
          <w:iCs/>
          <w:sz w:val="24"/>
          <w:szCs w:val="24"/>
        </w:rPr>
        <w:t>.tabula</w:t>
      </w:r>
    </w:p>
    <w:p w14:paraId="26B5C7EB" w14:textId="77777777" w:rsidR="00CE6264" w:rsidRPr="00321105" w:rsidRDefault="00CE6264" w:rsidP="00CE6264">
      <w:pPr>
        <w:jc w:val="center"/>
        <w:rPr>
          <w:rFonts w:ascii="Times New Roman" w:hAnsi="Times New Roman" w:cs="Times New Roman"/>
          <w:sz w:val="24"/>
        </w:rPr>
      </w:pPr>
      <w:r w:rsidRPr="007E3DAA">
        <w:rPr>
          <w:rFonts w:ascii="Times New Roman" w:hAnsi="Times New Roman" w:cs="Times New Roman"/>
          <w:b/>
          <w:bCs/>
          <w:sz w:val="24"/>
        </w:rPr>
        <w:t>Kolorektālā vēža pacientu skaits</w:t>
      </w:r>
      <w:r>
        <w:rPr>
          <w:rFonts w:ascii="Times New Roman" w:hAnsi="Times New Roman" w:cs="Times New Roman"/>
          <w:b/>
          <w:bCs/>
          <w:sz w:val="24"/>
        </w:rPr>
        <w:t xml:space="preserve"> (C18-C21 pēc SSK-10 klasifikācijas)</w:t>
      </w:r>
      <w:r w:rsidRPr="007E3DAA">
        <w:rPr>
          <w:rFonts w:ascii="Times New Roman" w:hAnsi="Times New Roman" w:cs="Times New Roman"/>
          <w:b/>
          <w:bCs/>
          <w:sz w:val="24"/>
        </w:rPr>
        <w:t>, kuriem diagnoze atklāta valsts organizētajā skrīningā 2012.-2017. gadā*</w:t>
      </w:r>
    </w:p>
    <w:tbl>
      <w:tblPr>
        <w:tblW w:w="7720" w:type="dxa"/>
        <w:jc w:val="center"/>
        <w:tblLook w:val="04A0" w:firstRow="1" w:lastRow="0" w:firstColumn="1" w:lastColumn="0" w:noHBand="0" w:noVBand="1"/>
      </w:tblPr>
      <w:tblGrid>
        <w:gridCol w:w="1960"/>
        <w:gridCol w:w="960"/>
        <w:gridCol w:w="960"/>
        <w:gridCol w:w="960"/>
        <w:gridCol w:w="960"/>
        <w:gridCol w:w="960"/>
        <w:gridCol w:w="960"/>
      </w:tblGrid>
      <w:tr w:rsidR="00CE6264" w:rsidRPr="007E3DAA" w14:paraId="715B3CC0" w14:textId="77777777" w:rsidTr="00D63888">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26C349C8" w14:textId="77777777" w:rsidR="00CE6264" w:rsidRPr="007E3DAA" w:rsidRDefault="00CE6264" w:rsidP="003377C1">
            <w:pPr>
              <w:spacing w:after="0" w:line="240" w:lineRule="auto"/>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b/>
                <w:color w:val="000000"/>
                <w:sz w:val="24"/>
                <w:szCs w:val="24"/>
                <w:lang w:eastAsia="lv-LV"/>
              </w:rPr>
              <w:t> </w:t>
            </w:r>
            <w:r w:rsidRPr="007E3DAA">
              <w:rPr>
                <w:rFonts w:ascii="Times New Roman" w:eastAsia="Times New Roman" w:hAnsi="Times New Roman" w:cs="Times New Roman"/>
                <w:color w:val="000000"/>
                <w:sz w:val="24"/>
                <w:szCs w:val="24"/>
                <w:lang w:eastAsia="lv-LV"/>
              </w:rPr>
              <w:t>Gads</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2CF2351B"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2012</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62EC102B"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2013</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153526C7"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2014</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331D5C03"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2015</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085FB004"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2016</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59F04385"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2017</w:t>
            </w:r>
          </w:p>
        </w:tc>
      </w:tr>
      <w:tr w:rsidR="00CE6264" w:rsidRPr="007E3DAA" w14:paraId="59F66EE0" w14:textId="77777777" w:rsidTr="003377C1">
        <w:trPr>
          <w:trHeight w:val="945"/>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436801E" w14:textId="77777777" w:rsidR="00CE6264" w:rsidRPr="007E3DAA" w:rsidRDefault="00CE6264" w:rsidP="003377C1">
            <w:pPr>
              <w:spacing w:after="0" w:line="240" w:lineRule="auto"/>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Atklāto gadījumu skaits kopā (absolūtos skaitļos)</w:t>
            </w:r>
          </w:p>
        </w:tc>
        <w:tc>
          <w:tcPr>
            <w:tcW w:w="960" w:type="dxa"/>
            <w:tcBorders>
              <w:top w:val="nil"/>
              <w:left w:val="nil"/>
              <w:bottom w:val="single" w:sz="4" w:space="0" w:color="auto"/>
              <w:right w:val="single" w:sz="4" w:space="0" w:color="auto"/>
            </w:tcBorders>
            <w:shd w:val="clear" w:color="auto" w:fill="auto"/>
            <w:noWrap/>
            <w:vAlign w:val="center"/>
            <w:hideMark/>
          </w:tcPr>
          <w:p w14:paraId="49DDEE2B"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1269</w:t>
            </w:r>
          </w:p>
        </w:tc>
        <w:tc>
          <w:tcPr>
            <w:tcW w:w="960" w:type="dxa"/>
            <w:tcBorders>
              <w:top w:val="nil"/>
              <w:left w:val="nil"/>
              <w:bottom w:val="single" w:sz="4" w:space="0" w:color="auto"/>
              <w:right w:val="single" w:sz="4" w:space="0" w:color="auto"/>
            </w:tcBorders>
            <w:shd w:val="clear" w:color="auto" w:fill="auto"/>
            <w:noWrap/>
            <w:vAlign w:val="center"/>
            <w:hideMark/>
          </w:tcPr>
          <w:p w14:paraId="6206B75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1130</w:t>
            </w:r>
          </w:p>
        </w:tc>
        <w:tc>
          <w:tcPr>
            <w:tcW w:w="960" w:type="dxa"/>
            <w:tcBorders>
              <w:top w:val="nil"/>
              <w:left w:val="nil"/>
              <w:bottom w:val="single" w:sz="4" w:space="0" w:color="auto"/>
              <w:right w:val="single" w:sz="4" w:space="0" w:color="auto"/>
            </w:tcBorders>
            <w:shd w:val="clear" w:color="auto" w:fill="auto"/>
            <w:noWrap/>
            <w:vAlign w:val="center"/>
            <w:hideMark/>
          </w:tcPr>
          <w:p w14:paraId="36B48F00"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1154</w:t>
            </w:r>
          </w:p>
        </w:tc>
        <w:tc>
          <w:tcPr>
            <w:tcW w:w="960" w:type="dxa"/>
            <w:tcBorders>
              <w:top w:val="nil"/>
              <w:left w:val="nil"/>
              <w:bottom w:val="single" w:sz="4" w:space="0" w:color="auto"/>
              <w:right w:val="single" w:sz="4" w:space="0" w:color="auto"/>
            </w:tcBorders>
            <w:shd w:val="clear" w:color="auto" w:fill="auto"/>
            <w:noWrap/>
            <w:vAlign w:val="center"/>
            <w:hideMark/>
          </w:tcPr>
          <w:p w14:paraId="47DEB94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1107</w:t>
            </w:r>
          </w:p>
        </w:tc>
        <w:tc>
          <w:tcPr>
            <w:tcW w:w="960" w:type="dxa"/>
            <w:tcBorders>
              <w:top w:val="nil"/>
              <w:left w:val="nil"/>
              <w:bottom w:val="single" w:sz="4" w:space="0" w:color="auto"/>
              <w:right w:val="single" w:sz="4" w:space="0" w:color="auto"/>
            </w:tcBorders>
            <w:shd w:val="clear" w:color="auto" w:fill="auto"/>
            <w:noWrap/>
            <w:vAlign w:val="center"/>
            <w:hideMark/>
          </w:tcPr>
          <w:p w14:paraId="4676E78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1081</w:t>
            </w:r>
          </w:p>
        </w:tc>
        <w:tc>
          <w:tcPr>
            <w:tcW w:w="960" w:type="dxa"/>
            <w:tcBorders>
              <w:top w:val="nil"/>
              <w:left w:val="nil"/>
              <w:bottom w:val="single" w:sz="4" w:space="0" w:color="auto"/>
              <w:right w:val="single" w:sz="4" w:space="0" w:color="auto"/>
            </w:tcBorders>
            <w:shd w:val="clear" w:color="auto" w:fill="auto"/>
            <w:noWrap/>
            <w:vAlign w:val="center"/>
            <w:hideMark/>
          </w:tcPr>
          <w:p w14:paraId="5A9D273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1131</w:t>
            </w:r>
          </w:p>
        </w:tc>
      </w:tr>
      <w:tr w:rsidR="00CE6264" w:rsidRPr="007E3DAA" w14:paraId="6BFA1BD1" w14:textId="77777777" w:rsidTr="003377C1">
        <w:trPr>
          <w:trHeight w:val="63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E0877EA" w14:textId="77777777" w:rsidR="00CE6264" w:rsidRPr="007E3DAA" w:rsidRDefault="00CE6264" w:rsidP="003377C1">
            <w:pPr>
              <w:spacing w:after="0" w:line="240" w:lineRule="auto"/>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Skrīningā atklāto gadījumu skaits</w:t>
            </w:r>
          </w:p>
        </w:tc>
        <w:tc>
          <w:tcPr>
            <w:tcW w:w="960" w:type="dxa"/>
            <w:tcBorders>
              <w:top w:val="nil"/>
              <w:left w:val="nil"/>
              <w:bottom w:val="single" w:sz="4" w:space="0" w:color="auto"/>
              <w:right w:val="single" w:sz="4" w:space="0" w:color="auto"/>
            </w:tcBorders>
            <w:shd w:val="clear" w:color="auto" w:fill="auto"/>
            <w:noWrap/>
            <w:vAlign w:val="center"/>
            <w:hideMark/>
          </w:tcPr>
          <w:p w14:paraId="05ED457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74</w:t>
            </w:r>
          </w:p>
        </w:tc>
        <w:tc>
          <w:tcPr>
            <w:tcW w:w="960" w:type="dxa"/>
            <w:tcBorders>
              <w:top w:val="nil"/>
              <w:left w:val="nil"/>
              <w:bottom w:val="single" w:sz="4" w:space="0" w:color="auto"/>
              <w:right w:val="single" w:sz="4" w:space="0" w:color="auto"/>
            </w:tcBorders>
            <w:shd w:val="clear" w:color="auto" w:fill="auto"/>
            <w:noWrap/>
            <w:vAlign w:val="center"/>
            <w:hideMark/>
          </w:tcPr>
          <w:p w14:paraId="7A8ED0ED"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74</w:t>
            </w:r>
          </w:p>
        </w:tc>
        <w:tc>
          <w:tcPr>
            <w:tcW w:w="960" w:type="dxa"/>
            <w:tcBorders>
              <w:top w:val="nil"/>
              <w:left w:val="nil"/>
              <w:bottom w:val="single" w:sz="4" w:space="0" w:color="auto"/>
              <w:right w:val="single" w:sz="4" w:space="0" w:color="auto"/>
            </w:tcBorders>
            <w:shd w:val="clear" w:color="auto" w:fill="auto"/>
            <w:noWrap/>
            <w:vAlign w:val="center"/>
            <w:hideMark/>
          </w:tcPr>
          <w:p w14:paraId="53F2071D"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75</w:t>
            </w:r>
          </w:p>
        </w:tc>
        <w:tc>
          <w:tcPr>
            <w:tcW w:w="960" w:type="dxa"/>
            <w:tcBorders>
              <w:top w:val="nil"/>
              <w:left w:val="nil"/>
              <w:bottom w:val="single" w:sz="4" w:space="0" w:color="auto"/>
              <w:right w:val="single" w:sz="4" w:space="0" w:color="auto"/>
            </w:tcBorders>
            <w:shd w:val="clear" w:color="auto" w:fill="auto"/>
            <w:noWrap/>
            <w:vAlign w:val="center"/>
            <w:hideMark/>
          </w:tcPr>
          <w:p w14:paraId="0707B67C"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104</w:t>
            </w:r>
          </w:p>
        </w:tc>
        <w:tc>
          <w:tcPr>
            <w:tcW w:w="960" w:type="dxa"/>
            <w:tcBorders>
              <w:top w:val="nil"/>
              <w:left w:val="nil"/>
              <w:bottom w:val="single" w:sz="4" w:space="0" w:color="auto"/>
              <w:right w:val="single" w:sz="4" w:space="0" w:color="auto"/>
            </w:tcBorders>
            <w:shd w:val="clear" w:color="auto" w:fill="auto"/>
            <w:noWrap/>
            <w:vAlign w:val="center"/>
            <w:hideMark/>
          </w:tcPr>
          <w:p w14:paraId="4DF06972"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77</w:t>
            </w:r>
          </w:p>
        </w:tc>
        <w:tc>
          <w:tcPr>
            <w:tcW w:w="960" w:type="dxa"/>
            <w:tcBorders>
              <w:top w:val="nil"/>
              <w:left w:val="nil"/>
              <w:bottom w:val="single" w:sz="4" w:space="0" w:color="auto"/>
              <w:right w:val="single" w:sz="4" w:space="0" w:color="auto"/>
            </w:tcBorders>
            <w:shd w:val="clear" w:color="auto" w:fill="auto"/>
            <w:noWrap/>
            <w:vAlign w:val="center"/>
            <w:hideMark/>
          </w:tcPr>
          <w:p w14:paraId="1B0A0F4F"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86</w:t>
            </w:r>
          </w:p>
        </w:tc>
      </w:tr>
    </w:tbl>
    <w:p w14:paraId="750A241F" w14:textId="77777777" w:rsidR="00CE6264" w:rsidRPr="00427E2F" w:rsidRDefault="00CE6264" w:rsidP="00CE6264">
      <w:pPr>
        <w:pStyle w:val="NormalWeb"/>
        <w:kinsoku w:val="0"/>
        <w:overflowPunct w:val="0"/>
        <w:spacing w:before="0" w:beforeAutospacing="0" w:after="0" w:afterAutospacing="0"/>
        <w:textAlignment w:val="baseline"/>
        <w:rPr>
          <w:i/>
          <w:sz w:val="32"/>
        </w:rPr>
      </w:pPr>
      <w:r w:rsidRPr="00427E2F">
        <w:rPr>
          <w:rFonts w:eastAsia="Verdana"/>
          <w:i/>
          <w:color w:val="000000" w:themeColor="text1"/>
          <w:kern w:val="24"/>
          <w:sz w:val="20"/>
          <w:szCs w:val="16"/>
        </w:rPr>
        <w:t>Datu avots: SPKC Ar noteiktām slimībām slimojošu pacientu reģistrs par pacientiem, kuriem diagnosticēta onkoloģiska slimība un NVD dati</w:t>
      </w:r>
    </w:p>
    <w:p w14:paraId="2118BB90" w14:textId="77777777" w:rsidR="00CE6264" w:rsidRPr="00427E2F" w:rsidRDefault="00CE6264" w:rsidP="00CE6264">
      <w:pPr>
        <w:pStyle w:val="NormalWeb"/>
        <w:kinsoku w:val="0"/>
        <w:overflowPunct w:val="0"/>
        <w:spacing w:before="0" w:beforeAutospacing="0" w:after="0" w:afterAutospacing="0"/>
        <w:textAlignment w:val="baseline"/>
        <w:rPr>
          <w:i/>
          <w:sz w:val="32"/>
        </w:rPr>
      </w:pPr>
      <w:r w:rsidRPr="00427E2F">
        <w:rPr>
          <w:rFonts w:eastAsia="Verdana"/>
          <w:i/>
          <w:color w:val="000000" w:themeColor="text1"/>
          <w:kern w:val="24"/>
          <w:sz w:val="20"/>
          <w:szCs w:val="16"/>
        </w:rPr>
        <w:t xml:space="preserve">*neieskaitot profilaktiskajās apskatēs atklāto kolorektālā vēža gadījumu skaitu </w:t>
      </w:r>
    </w:p>
    <w:p w14:paraId="68552D3F" w14:textId="77777777" w:rsidR="00CE6264" w:rsidRDefault="00CE6264" w:rsidP="00F83219">
      <w:pPr>
        <w:pStyle w:val="CommentText"/>
        <w:spacing w:after="120" w:line="276" w:lineRule="auto"/>
        <w:ind w:firstLine="720"/>
        <w:jc w:val="both"/>
        <w:rPr>
          <w:rFonts w:ascii="Times New Roman" w:hAnsi="Times New Roman" w:cs="Times New Roman"/>
          <w:sz w:val="24"/>
          <w:szCs w:val="24"/>
        </w:rPr>
      </w:pPr>
    </w:p>
    <w:p w14:paraId="53E62CD2" w14:textId="7CF31F67" w:rsidR="00F83219" w:rsidRPr="00F83219" w:rsidRDefault="00F83219" w:rsidP="00F83219">
      <w:pPr>
        <w:pStyle w:val="CommentText"/>
        <w:spacing w:after="120" w:line="276" w:lineRule="auto"/>
        <w:ind w:firstLine="720"/>
        <w:jc w:val="both"/>
        <w:rPr>
          <w:rFonts w:ascii="Times New Roman" w:hAnsi="Times New Roman" w:cs="Times New Roman"/>
          <w:sz w:val="24"/>
          <w:szCs w:val="24"/>
        </w:rPr>
      </w:pPr>
      <w:r w:rsidRPr="00F83219">
        <w:rPr>
          <w:rFonts w:ascii="Times New Roman" w:hAnsi="Times New Roman" w:cs="Times New Roman"/>
          <w:sz w:val="24"/>
          <w:szCs w:val="24"/>
        </w:rPr>
        <w:t xml:space="preserve">Neskaitot mirstību no citām onkoloģiskām slimībām, katru gadu tikai no zarnu vēža vien nomirst vairāk kā 645 cilvēku. Ļoti kritisks ir vēlīni atklāto pacientu skaits 3. un 4.stadijā (2017.gadā – 52%), kas ir vairāk nekā puse no atklātajiem slimības gadījumiem. Vēlīni atklāto audzēju skaits būtiski apgrūtina sekmīgu pacienta ārstēšanas procesu un palielina kopējās veselības aprūpes budžeta izmaksas. </w:t>
      </w:r>
    </w:p>
    <w:p w14:paraId="405252EC" w14:textId="77777777" w:rsidR="00F83219" w:rsidRPr="00F83219" w:rsidRDefault="00F83219" w:rsidP="00F83219">
      <w:pPr>
        <w:pStyle w:val="CommentText"/>
        <w:spacing w:after="120" w:line="276" w:lineRule="auto"/>
        <w:ind w:firstLine="720"/>
        <w:jc w:val="both"/>
        <w:rPr>
          <w:rFonts w:ascii="Times New Roman" w:hAnsi="Times New Roman" w:cs="Times New Roman"/>
          <w:sz w:val="24"/>
          <w:szCs w:val="24"/>
        </w:rPr>
      </w:pPr>
      <w:r w:rsidRPr="00F83219">
        <w:rPr>
          <w:rFonts w:ascii="Times New Roman" w:hAnsi="Times New Roman" w:cs="Times New Roman"/>
          <w:sz w:val="24"/>
          <w:szCs w:val="24"/>
        </w:rPr>
        <w:t xml:space="preserve">Diemžēl, 0., 1. un 2. stadijā atklāti tikai – 115 gadījumi jeb 32%. Atklājot zarnu vēzi savlaicīgi – ārstēšana var sniegt vislabākos rezultātus, kā arī samazināt nepieciešamās ārstēšanās </w:t>
      </w:r>
      <w:r w:rsidRPr="00F83219">
        <w:rPr>
          <w:rFonts w:ascii="Times New Roman" w:hAnsi="Times New Roman" w:cs="Times New Roman"/>
          <w:sz w:val="24"/>
          <w:szCs w:val="24"/>
        </w:rPr>
        <w:lastRenderedPageBreak/>
        <w:t xml:space="preserve">izmaksas, tādējādi novirzot finansējumu veselības veicināšanai un slimību profilaksei, nodrošinot kvalitatīvu dzīvildzi. </w:t>
      </w:r>
    </w:p>
    <w:p w14:paraId="0669DC8A" w14:textId="786BB519" w:rsidR="0075014B" w:rsidRDefault="00F83219" w:rsidP="00F83219">
      <w:pPr>
        <w:pStyle w:val="CommentText"/>
        <w:spacing w:after="120" w:line="276" w:lineRule="auto"/>
        <w:ind w:firstLine="720"/>
        <w:jc w:val="both"/>
        <w:rPr>
          <w:rFonts w:ascii="Times New Roman" w:hAnsi="Times New Roman" w:cs="Times New Roman"/>
          <w:sz w:val="24"/>
          <w:szCs w:val="24"/>
        </w:rPr>
      </w:pPr>
      <w:r w:rsidRPr="00F83219">
        <w:rPr>
          <w:rFonts w:ascii="Times New Roman" w:hAnsi="Times New Roman" w:cs="Times New Roman"/>
          <w:sz w:val="24"/>
          <w:szCs w:val="24"/>
        </w:rPr>
        <w:t>Novērst slimības ielaistību, mazināt kopējo mirstību, tajā skaitā onkoloģisko slimības radīto slogu un būtiski pagarināt dzīvildzi iespējams vien tikai savlaicīgi un regulāri veicot vēža skrīningdiagnostiskos izmeklējumus. Tādēļ būtiskākā prioritāte ir nodrošināt valsts apmaksātu kolorektālā vēža skrīningu – mērķtiecīgu agrīnas slimības vai vēždraudes patoloģijas noteikšanu.</w:t>
      </w:r>
    </w:p>
    <w:p w14:paraId="570F8035" w14:textId="57EC810A" w:rsidR="0072177F" w:rsidRPr="000053D5" w:rsidRDefault="0072177F" w:rsidP="00F83219">
      <w:pPr>
        <w:pStyle w:val="CommentText"/>
        <w:spacing w:after="120" w:line="276" w:lineRule="auto"/>
        <w:ind w:firstLine="720"/>
        <w:jc w:val="both"/>
        <w:rPr>
          <w:rFonts w:ascii="Times New Roman" w:hAnsi="Times New Roman" w:cs="Times New Roman"/>
          <w:sz w:val="24"/>
          <w:szCs w:val="24"/>
        </w:rPr>
      </w:pPr>
      <w:r w:rsidRPr="00E93259">
        <w:rPr>
          <w:rFonts w:ascii="Times New Roman" w:hAnsi="Times New Roman" w:cs="Times New Roman"/>
          <w:sz w:val="24"/>
          <w:szCs w:val="24"/>
        </w:rPr>
        <w:t>Savlaicīgi identificējot kolorektālā zarnu vēža pacientus, tiks novērsta augstā mirstība no zarnu vēža, samazinātas ilgtermiņa veselības problēmas (jo agrīnāk tiks uzsākta slimības mērķtiecīga ārstēšana, nesagaidot slimības smagāku stadiju un tās izraisītās komplikācijas, tādējādi samazinot kopējās izmaksas no valsts budžeta) un vienlaicīgi nodrošināta darbspējīgā indivīda turpmākā attīstība darba tirgū.</w:t>
      </w:r>
    </w:p>
    <w:p w14:paraId="7AEBD5C0" w14:textId="3FFAF4C1" w:rsidR="00982C25" w:rsidRPr="006127C7" w:rsidRDefault="000133F7" w:rsidP="006127C7">
      <w:pPr>
        <w:spacing w:after="120"/>
        <w:ind w:firstLine="720"/>
        <w:jc w:val="both"/>
        <w:rPr>
          <w:rFonts w:ascii="Times New Roman" w:hAnsi="Times New Roman" w:cs="Times New Roman"/>
          <w:sz w:val="24"/>
          <w:szCs w:val="24"/>
        </w:rPr>
      </w:pPr>
      <w:r w:rsidRPr="00E16C6D">
        <w:rPr>
          <w:rFonts w:ascii="Times New Roman" w:hAnsi="Times New Roman"/>
          <w:sz w:val="24"/>
          <w:szCs w:val="24"/>
        </w:rPr>
        <w:t>Jāvērš uzmanību, ka agrīnā stadijā kolorektālo vēzi iespējams izārstēt, līdz ar to pat tad, ja nemainītos saslimušo skaits gadā, laikus diagnosticējot slimību un uzsākot atbilstošu ārstēšanu, samazinātos ilgstoši slimojošu personu skaits darbspējīgā vecuma, prognozējamā invaliditāte un mirstība. Agrīna kolorektālā vēža diagnostiska, savlaicīga un efektīva ārstēšana un atbilstoša dinamiskā novērošana ir pamatprincipi, kas mazina slimības negatīvo ietekmi uz indivīda veselību un dzīves kvalitāti, mazinot komplikāciju risku un novēršot priekšlaicīgu nāvi</w:t>
      </w:r>
      <w:r>
        <w:rPr>
          <w:rFonts w:ascii="Times New Roman" w:hAnsi="Times New Roman"/>
          <w:sz w:val="24"/>
          <w:szCs w:val="24"/>
        </w:rPr>
        <w:t>.</w:t>
      </w:r>
      <w:r w:rsidR="00D4186C">
        <w:rPr>
          <w:rFonts w:ascii="Times New Roman" w:hAnsi="Times New Roman"/>
          <w:sz w:val="24"/>
          <w:szCs w:val="24"/>
        </w:rPr>
        <w:t xml:space="preserve"> Līdz ar to 2019.gadam</w:t>
      </w:r>
      <w:r w:rsidR="003117C3">
        <w:rPr>
          <w:rFonts w:ascii="Times New Roman" w:hAnsi="Times New Roman"/>
          <w:sz w:val="24"/>
          <w:szCs w:val="24"/>
        </w:rPr>
        <w:t xml:space="preserve"> kolorektālā zarnu vēža skrīninga pasākumu īstenošanai</w:t>
      </w:r>
      <w:r w:rsidR="00D4186C">
        <w:rPr>
          <w:rFonts w:ascii="Times New Roman" w:hAnsi="Times New Roman"/>
          <w:sz w:val="24"/>
          <w:szCs w:val="24"/>
        </w:rPr>
        <w:t xml:space="preserve"> nepieciešami </w:t>
      </w:r>
      <w:r w:rsidR="00D4186C" w:rsidRPr="00C35C67">
        <w:rPr>
          <w:rFonts w:ascii="Times New Roman" w:hAnsi="Times New Roman" w:cs="Times New Roman"/>
          <w:b/>
          <w:sz w:val="24"/>
          <w:szCs w:val="24"/>
        </w:rPr>
        <w:t>305</w:t>
      </w:r>
      <w:r w:rsidR="00D4186C">
        <w:rPr>
          <w:rFonts w:ascii="Times New Roman" w:hAnsi="Times New Roman" w:cs="Times New Roman"/>
          <w:b/>
          <w:sz w:val="24"/>
          <w:szCs w:val="24"/>
        </w:rPr>
        <w:t> 2</w:t>
      </w:r>
      <w:r w:rsidR="00A65841">
        <w:rPr>
          <w:rFonts w:ascii="Times New Roman" w:hAnsi="Times New Roman" w:cs="Times New Roman"/>
          <w:b/>
          <w:sz w:val="24"/>
          <w:szCs w:val="24"/>
        </w:rPr>
        <w:t>83</w:t>
      </w:r>
      <w:r w:rsidR="00D4186C">
        <w:rPr>
          <w:rFonts w:ascii="Times New Roman" w:hAnsi="Times New Roman" w:cs="Times New Roman"/>
          <w:b/>
          <w:sz w:val="24"/>
          <w:szCs w:val="24"/>
        </w:rPr>
        <w:t xml:space="preserve"> </w:t>
      </w:r>
      <w:r w:rsidR="00D4186C" w:rsidRPr="00982C25">
        <w:rPr>
          <w:rFonts w:ascii="Times New Roman" w:hAnsi="Times New Roman" w:cs="Times New Roman"/>
          <w:b/>
          <w:i/>
          <w:sz w:val="24"/>
          <w:szCs w:val="24"/>
        </w:rPr>
        <w:t xml:space="preserve">euro </w:t>
      </w:r>
      <w:r w:rsidR="00D4186C" w:rsidRPr="00982C25">
        <w:rPr>
          <w:rFonts w:ascii="Times New Roman" w:hAnsi="Times New Roman" w:cs="Times New Roman"/>
          <w:sz w:val="24"/>
          <w:szCs w:val="24"/>
        </w:rPr>
        <w:t xml:space="preserve">(skat. </w:t>
      </w:r>
      <w:r w:rsidR="007C2C36">
        <w:rPr>
          <w:rFonts w:ascii="Times New Roman" w:hAnsi="Times New Roman" w:cs="Times New Roman"/>
          <w:sz w:val="24"/>
          <w:szCs w:val="24"/>
        </w:rPr>
        <w:t>4</w:t>
      </w:r>
      <w:r w:rsidR="00261EE2">
        <w:rPr>
          <w:rFonts w:ascii="Times New Roman" w:hAnsi="Times New Roman" w:cs="Times New Roman"/>
          <w:sz w:val="24"/>
          <w:szCs w:val="24"/>
        </w:rPr>
        <w:t>0</w:t>
      </w:r>
      <w:r w:rsidR="00921153" w:rsidRPr="00982C25">
        <w:rPr>
          <w:rFonts w:ascii="Times New Roman" w:hAnsi="Times New Roman" w:cs="Times New Roman"/>
          <w:sz w:val="24"/>
          <w:szCs w:val="24"/>
        </w:rPr>
        <w:t xml:space="preserve">., </w:t>
      </w:r>
      <w:r w:rsidR="00261EE2">
        <w:rPr>
          <w:rFonts w:ascii="Times New Roman" w:hAnsi="Times New Roman" w:cs="Times New Roman"/>
          <w:sz w:val="24"/>
          <w:szCs w:val="24"/>
        </w:rPr>
        <w:t>41</w:t>
      </w:r>
      <w:r w:rsidR="00921153" w:rsidRPr="00982C25">
        <w:rPr>
          <w:rFonts w:ascii="Times New Roman" w:hAnsi="Times New Roman" w:cs="Times New Roman"/>
          <w:sz w:val="24"/>
          <w:szCs w:val="24"/>
        </w:rPr>
        <w:t xml:space="preserve">., </w:t>
      </w:r>
      <w:r w:rsidR="00261EE2">
        <w:rPr>
          <w:rFonts w:ascii="Times New Roman" w:hAnsi="Times New Roman" w:cs="Times New Roman"/>
          <w:sz w:val="24"/>
          <w:szCs w:val="24"/>
        </w:rPr>
        <w:t>42</w:t>
      </w:r>
      <w:r w:rsidR="00921153" w:rsidRPr="00982C25">
        <w:rPr>
          <w:rFonts w:ascii="Times New Roman" w:hAnsi="Times New Roman" w:cs="Times New Roman"/>
          <w:sz w:val="24"/>
          <w:szCs w:val="24"/>
        </w:rPr>
        <w:t>.</w:t>
      </w:r>
      <w:r w:rsidR="00D4186C" w:rsidRPr="00982C25">
        <w:rPr>
          <w:rFonts w:ascii="Times New Roman" w:hAnsi="Times New Roman" w:cs="Times New Roman"/>
          <w:sz w:val="24"/>
          <w:szCs w:val="24"/>
        </w:rPr>
        <w:t>tabul</w:t>
      </w:r>
      <w:r w:rsidR="000409A8" w:rsidRPr="00982C25">
        <w:rPr>
          <w:rFonts w:ascii="Times New Roman" w:hAnsi="Times New Roman" w:cs="Times New Roman"/>
          <w:sz w:val="24"/>
          <w:szCs w:val="24"/>
        </w:rPr>
        <w:t>u</w:t>
      </w:r>
      <w:r w:rsidR="00D4186C" w:rsidRPr="00982C25">
        <w:rPr>
          <w:rFonts w:ascii="Times New Roman" w:hAnsi="Times New Roman" w:cs="Times New Roman"/>
          <w:sz w:val="24"/>
          <w:szCs w:val="24"/>
        </w:rPr>
        <w:t>).</w:t>
      </w:r>
    </w:p>
    <w:p w14:paraId="16A6BEDF" w14:textId="28BD446C" w:rsidR="00745E3A" w:rsidRPr="00E93259" w:rsidRDefault="007C2C36" w:rsidP="00261EE2">
      <w:pPr>
        <w:spacing w:after="120"/>
        <w:ind w:firstLine="720"/>
        <w:jc w:val="right"/>
        <w:rPr>
          <w:rFonts w:ascii="Times New Roman" w:hAnsi="Times New Roman"/>
          <w:b/>
          <w:bCs/>
          <w:i/>
          <w:iCs/>
          <w:sz w:val="24"/>
          <w:szCs w:val="24"/>
        </w:rPr>
      </w:pPr>
      <w:r w:rsidRPr="001E4659">
        <w:rPr>
          <w:rFonts w:ascii="Times New Roman" w:hAnsi="Times New Roman" w:cs="Times New Roman"/>
          <w:b/>
          <w:bCs/>
          <w:i/>
          <w:iCs/>
          <w:sz w:val="24"/>
          <w:szCs w:val="24"/>
        </w:rPr>
        <w:t>4</w:t>
      </w:r>
      <w:r w:rsidR="00261EE2">
        <w:rPr>
          <w:rFonts w:ascii="Times New Roman" w:hAnsi="Times New Roman" w:cs="Times New Roman"/>
          <w:b/>
          <w:bCs/>
          <w:i/>
          <w:iCs/>
          <w:sz w:val="24"/>
          <w:szCs w:val="24"/>
        </w:rPr>
        <w:t>0</w:t>
      </w:r>
      <w:r w:rsidR="00221A0A" w:rsidRPr="2749705C">
        <w:rPr>
          <w:rFonts w:ascii="Times New Roman" w:hAnsi="Times New Roman" w:cs="Times New Roman"/>
          <w:b/>
          <w:bCs/>
          <w:i/>
          <w:iCs/>
          <w:sz w:val="24"/>
          <w:szCs w:val="24"/>
        </w:rPr>
        <w:t>.</w:t>
      </w:r>
      <w:r w:rsidR="00745E3A" w:rsidRPr="2749705C">
        <w:rPr>
          <w:rFonts w:ascii="Times New Roman" w:hAnsi="Times New Roman" w:cs="Times New Roman"/>
          <w:b/>
          <w:bCs/>
          <w:i/>
          <w:iCs/>
          <w:sz w:val="24"/>
          <w:szCs w:val="24"/>
        </w:rPr>
        <w:t>tabula</w:t>
      </w:r>
    </w:p>
    <w:p w14:paraId="2B9F3C5D" w14:textId="0425FF70" w:rsidR="00760902" w:rsidRPr="0075014B" w:rsidRDefault="0075014B" w:rsidP="0075014B">
      <w:pPr>
        <w:spacing w:after="0" w:line="240" w:lineRule="auto"/>
        <w:ind w:firstLine="720"/>
        <w:jc w:val="center"/>
        <w:rPr>
          <w:rFonts w:ascii="Times New Roman" w:hAnsi="Times New Roman"/>
          <w:b/>
          <w:sz w:val="24"/>
          <w:szCs w:val="24"/>
        </w:rPr>
      </w:pPr>
      <w:r w:rsidRPr="0075014B">
        <w:rPr>
          <w:rFonts w:ascii="Times New Roman" w:hAnsi="Times New Roman"/>
          <w:b/>
          <w:sz w:val="24"/>
          <w:szCs w:val="24"/>
        </w:rPr>
        <w:t>Zarnu vēža skrīnings</w:t>
      </w:r>
      <w:r w:rsidR="00416239">
        <w:rPr>
          <w:rFonts w:ascii="Times New Roman" w:hAnsi="Times New Roman"/>
          <w:b/>
          <w:sz w:val="24"/>
          <w:szCs w:val="24"/>
        </w:rPr>
        <w:t xml:space="preserve"> 2019.gadā</w:t>
      </w:r>
    </w:p>
    <w:tbl>
      <w:tblPr>
        <w:tblW w:w="9100" w:type="dxa"/>
        <w:jc w:val="center"/>
        <w:tblLook w:val="04A0" w:firstRow="1" w:lastRow="0" w:firstColumn="1" w:lastColumn="0" w:noHBand="0" w:noVBand="1"/>
      </w:tblPr>
      <w:tblGrid>
        <w:gridCol w:w="960"/>
        <w:gridCol w:w="960"/>
        <w:gridCol w:w="1560"/>
        <w:gridCol w:w="2460"/>
        <w:gridCol w:w="1240"/>
        <w:gridCol w:w="1920"/>
      </w:tblGrid>
      <w:tr w:rsidR="00760902" w:rsidRPr="00760902" w14:paraId="6C9F3821" w14:textId="77777777" w:rsidTr="00760902">
        <w:trPr>
          <w:trHeight w:val="1008"/>
          <w:jc w:val="center"/>
        </w:trPr>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53FF50B7" w14:textId="77777777" w:rsidR="00760902" w:rsidRPr="00760902" w:rsidRDefault="00760902" w:rsidP="00760902">
            <w:pPr>
              <w:spacing w:after="0" w:line="240" w:lineRule="auto"/>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Nr.p.k.</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C85367" w14:textId="77777777"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 xml:space="preserve">Gads </w:t>
            </w:r>
          </w:p>
        </w:tc>
        <w:tc>
          <w:tcPr>
            <w:tcW w:w="15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4343E82" w14:textId="77777777"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Atsaucība</w:t>
            </w:r>
          </w:p>
        </w:tc>
        <w:tc>
          <w:tcPr>
            <w:tcW w:w="24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34EBB86" w14:textId="77777777"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Mērķa grupas lielums zarnu vēža skrīningam (2016. gada 9 mēneši)</w:t>
            </w:r>
          </w:p>
        </w:tc>
        <w:tc>
          <w:tcPr>
            <w:tcW w:w="124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05FE591" w14:textId="77777777"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 xml:space="preserve">Starpība starp testu izmaksām </w:t>
            </w:r>
          </w:p>
        </w:tc>
        <w:tc>
          <w:tcPr>
            <w:tcW w:w="192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9F6D03A" w14:textId="48968225"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Kopā nepieciešamais finansējums</w:t>
            </w:r>
            <w:r>
              <w:rPr>
                <w:rFonts w:ascii="Times New Roman" w:eastAsia="Times New Roman" w:hAnsi="Times New Roman" w:cs="Times New Roman"/>
                <w:b/>
                <w:bCs/>
                <w:color w:val="000000"/>
                <w:sz w:val="20"/>
                <w:szCs w:val="20"/>
                <w:lang w:eastAsia="lv-LV"/>
              </w:rPr>
              <w:t xml:space="preserve"> 2019.gadam </w:t>
            </w:r>
            <w:r w:rsidRPr="00760902">
              <w:rPr>
                <w:rFonts w:ascii="Times New Roman" w:eastAsia="Times New Roman" w:hAnsi="Times New Roman" w:cs="Times New Roman"/>
                <w:b/>
                <w:bCs/>
                <w:i/>
                <w:color w:val="000000"/>
                <w:sz w:val="20"/>
                <w:szCs w:val="20"/>
                <w:lang w:eastAsia="lv-LV"/>
              </w:rPr>
              <w:t>euro</w:t>
            </w:r>
          </w:p>
        </w:tc>
      </w:tr>
      <w:tr w:rsidR="00760902" w:rsidRPr="00760902" w14:paraId="28805419" w14:textId="77777777" w:rsidTr="00127DC4">
        <w:trPr>
          <w:trHeight w:val="300"/>
          <w:jc w:val="center"/>
        </w:trPr>
        <w:tc>
          <w:tcPr>
            <w:tcW w:w="9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6ED7C3AE" w14:textId="4D816B45"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1.</w:t>
            </w:r>
          </w:p>
        </w:tc>
        <w:tc>
          <w:tcPr>
            <w:tcW w:w="960" w:type="dxa"/>
            <w:tcBorders>
              <w:top w:val="nil"/>
              <w:left w:val="nil"/>
              <w:bottom w:val="single" w:sz="4" w:space="0" w:color="auto"/>
              <w:right w:val="single" w:sz="4" w:space="0" w:color="auto"/>
            </w:tcBorders>
            <w:shd w:val="clear" w:color="auto" w:fill="FBD4B4" w:themeFill="accent6" w:themeFillTint="66"/>
            <w:noWrap/>
            <w:vAlign w:val="bottom"/>
            <w:hideMark/>
          </w:tcPr>
          <w:p w14:paraId="667AE7F0" w14:textId="0C7A5E54"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2019</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14:paraId="1420DA9A" w14:textId="17DD0184" w:rsidR="00760902" w:rsidRPr="00760902" w:rsidRDefault="0075014B" w:rsidP="00760902">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0.125</w:t>
            </w:r>
          </w:p>
        </w:tc>
        <w:tc>
          <w:tcPr>
            <w:tcW w:w="2460" w:type="dxa"/>
            <w:tcBorders>
              <w:top w:val="nil"/>
              <w:left w:val="nil"/>
              <w:bottom w:val="single" w:sz="4" w:space="0" w:color="auto"/>
              <w:right w:val="single" w:sz="4" w:space="0" w:color="auto"/>
            </w:tcBorders>
            <w:shd w:val="clear" w:color="auto" w:fill="FBD4B4" w:themeFill="accent6" w:themeFillTint="66"/>
            <w:noWrap/>
            <w:vAlign w:val="bottom"/>
            <w:hideMark/>
          </w:tcPr>
          <w:p w14:paraId="4B6EF573" w14:textId="37A5A1E4"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824</w:t>
            </w:r>
            <w:r w:rsidR="00B72196">
              <w:rPr>
                <w:rFonts w:ascii="Times New Roman" w:eastAsia="Times New Roman" w:hAnsi="Times New Roman" w:cs="Times New Roman"/>
                <w:color w:val="000000"/>
                <w:sz w:val="20"/>
                <w:szCs w:val="20"/>
                <w:lang w:eastAsia="lv-LV"/>
              </w:rPr>
              <w:t xml:space="preserve"> </w:t>
            </w:r>
            <w:r w:rsidRPr="00760902">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uto"/>
              <w:right w:val="single" w:sz="4" w:space="0" w:color="auto"/>
            </w:tcBorders>
            <w:shd w:val="clear" w:color="auto" w:fill="FBD4B4" w:themeFill="accent6" w:themeFillTint="66"/>
            <w:noWrap/>
            <w:vAlign w:val="bottom"/>
            <w:hideMark/>
          </w:tcPr>
          <w:p w14:paraId="776BDFF6" w14:textId="77777777"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1.9</w:t>
            </w:r>
          </w:p>
        </w:tc>
        <w:tc>
          <w:tcPr>
            <w:tcW w:w="1920" w:type="dxa"/>
            <w:tcBorders>
              <w:top w:val="nil"/>
              <w:left w:val="nil"/>
              <w:bottom w:val="single" w:sz="4" w:space="0" w:color="auto"/>
              <w:right w:val="single" w:sz="4" w:space="0" w:color="auto"/>
            </w:tcBorders>
            <w:shd w:val="clear" w:color="auto" w:fill="FBD4B4" w:themeFill="accent6" w:themeFillTint="66"/>
            <w:noWrap/>
            <w:vAlign w:val="bottom"/>
            <w:hideMark/>
          </w:tcPr>
          <w:p w14:paraId="007BCD51" w14:textId="5D706161"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195 930</w:t>
            </w:r>
          </w:p>
        </w:tc>
      </w:tr>
    </w:tbl>
    <w:p w14:paraId="4F16A9DD" w14:textId="2E7EE3A2" w:rsidR="00906A97" w:rsidRDefault="00906A97" w:rsidP="006127C7">
      <w:pPr>
        <w:spacing w:after="0" w:line="240" w:lineRule="auto"/>
        <w:rPr>
          <w:rFonts w:ascii="Times New Roman" w:hAnsi="Times New Roman"/>
          <w:b/>
          <w:bCs/>
          <w:i/>
          <w:iCs/>
          <w:sz w:val="24"/>
          <w:szCs w:val="24"/>
        </w:rPr>
      </w:pPr>
    </w:p>
    <w:p w14:paraId="1E3C7920" w14:textId="468DF5AC" w:rsidR="00745E3A" w:rsidRPr="00E93259" w:rsidRDefault="00261EE2" w:rsidP="2749705C">
      <w:pPr>
        <w:spacing w:after="0" w:line="240" w:lineRule="auto"/>
        <w:ind w:firstLine="720"/>
        <w:jc w:val="right"/>
        <w:rPr>
          <w:rFonts w:ascii="Times New Roman" w:hAnsi="Times New Roman"/>
          <w:b/>
          <w:bCs/>
          <w:i/>
          <w:iCs/>
          <w:sz w:val="24"/>
          <w:szCs w:val="24"/>
        </w:rPr>
      </w:pPr>
      <w:r>
        <w:rPr>
          <w:rFonts w:ascii="Times New Roman" w:hAnsi="Times New Roman"/>
          <w:b/>
          <w:bCs/>
          <w:i/>
          <w:iCs/>
          <w:sz w:val="24"/>
          <w:szCs w:val="24"/>
        </w:rPr>
        <w:t>41</w:t>
      </w:r>
      <w:r w:rsidR="00221A0A" w:rsidRPr="2749705C">
        <w:rPr>
          <w:rFonts w:ascii="Times New Roman" w:hAnsi="Times New Roman"/>
          <w:b/>
          <w:bCs/>
          <w:i/>
          <w:iCs/>
          <w:sz w:val="24"/>
          <w:szCs w:val="24"/>
        </w:rPr>
        <w:t>.</w:t>
      </w:r>
      <w:r w:rsidR="00745E3A" w:rsidRPr="2749705C">
        <w:rPr>
          <w:rFonts w:ascii="Times New Roman" w:hAnsi="Times New Roman"/>
          <w:b/>
          <w:bCs/>
          <w:i/>
          <w:iCs/>
          <w:sz w:val="24"/>
          <w:szCs w:val="24"/>
        </w:rPr>
        <w:t>tabula</w:t>
      </w:r>
    </w:p>
    <w:p w14:paraId="323F18D4" w14:textId="535BF9F4" w:rsidR="00AB6B2C" w:rsidRPr="0075014B" w:rsidRDefault="0075014B" w:rsidP="0075014B">
      <w:pPr>
        <w:spacing w:after="0" w:line="240" w:lineRule="auto"/>
        <w:ind w:firstLine="720"/>
        <w:jc w:val="center"/>
        <w:rPr>
          <w:rFonts w:ascii="Times New Roman" w:hAnsi="Times New Roman"/>
          <w:b/>
          <w:sz w:val="24"/>
          <w:szCs w:val="24"/>
        </w:rPr>
      </w:pPr>
      <w:r w:rsidRPr="0075014B">
        <w:rPr>
          <w:rFonts w:ascii="Times New Roman" w:hAnsi="Times New Roman"/>
          <w:b/>
          <w:sz w:val="24"/>
          <w:szCs w:val="24"/>
        </w:rPr>
        <w:t>Bukleti pacientiem pirms kolonoskopijas</w:t>
      </w:r>
      <w:r w:rsidR="00416239">
        <w:rPr>
          <w:rFonts w:ascii="Times New Roman" w:hAnsi="Times New Roman"/>
          <w:b/>
          <w:sz w:val="24"/>
          <w:szCs w:val="24"/>
        </w:rPr>
        <w:t xml:space="preserve"> 2019.gadā</w:t>
      </w:r>
    </w:p>
    <w:tbl>
      <w:tblPr>
        <w:tblW w:w="9067" w:type="dxa"/>
        <w:jc w:val="center"/>
        <w:tblLook w:val="04A0" w:firstRow="1" w:lastRow="0" w:firstColumn="1" w:lastColumn="0" w:noHBand="0" w:noVBand="1"/>
      </w:tblPr>
      <w:tblGrid>
        <w:gridCol w:w="960"/>
        <w:gridCol w:w="960"/>
        <w:gridCol w:w="1113"/>
        <w:gridCol w:w="1924"/>
        <w:gridCol w:w="1701"/>
        <w:gridCol w:w="2409"/>
      </w:tblGrid>
      <w:tr w:rsidR="00B72196" w:rsidRPr="00B72196" w14:paraId="2CFAE517" w14:textId="77777777" w:rsidTr="00B72196">
        <w:trPr>
          <w:trHeight w:val="1663"/>
          <w:jc w:val="center"/>
        </w:trPr>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3EF45D2B" w14:textId="77777777" w:rsidR="00B72196" w:rsidRPr="00B72196" w:rsidRDefault="00B72196" w:rsidP="00B72196">
            <w:pPr>
              <w:spacing w:after="0" w:line="240" w:lineRule="auto"/>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Nr.p.k.</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FA72099"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 xml:space="preserve">Gads </w:t>
            </w:r>
          </w:p>
        </w:tc>
        <w:tc>
          <w:tcPr>
            <w:tcW w:w="111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99A6F98"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Atsaucība</w:t>
            </w:r>
          </w:p>
        </w:tc>
        <w:tc>
          <w:tcPr>
            <w:tcW w:w="192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B7BDD0"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Mērķa grupas lielums zarnu vēža skrīninga izmeklējumiem (2016. gada 9 mēneši)</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7F992C1"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Nepieciešama kolonoskopija</w:t>
            </w:r>
          </w:p>
        </w:tc>
        <w:tc>
          <w:tcPr>
            <w:tcW w:w="240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E3ECC08"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 xml:space="preserve">Finansējums informatīvi izglītojošam materiālam (bukletam) pacientam  par kolonoskopijas izmeklējumu </w:t>
            </w:r>
          </w:p>
          <w:p w14:paraId="5C7FC6CF" w14:textId="7558E464"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 xml:space="preserve">(0.15 </w:t>
            </w:r>
            <w:r w:rsidRPr="00B72196">
              <w:rPr>
                <w:rFonts w:ascii="Times New Roman" w:eastAsia="Times New Roman" w:hAnsi="Times New Roman" w:cs="Times New Roman"/>
                <w:b/>
                <w:bCs/>
                <w:i/>
                <w:color w:val="000000"/>
                <w:sz w:val="20"/>
                <w:szCs w:val="20"/>
                <w:lang w:eastAsia="lv-LV"/>
              </w:rPr>
              <w:t>euro</w:t>
            </w:r>
            <w:r w:rsidRPr="00B72196">
              <w:rPr>
                <w:rFonts w:ascii="Times New Roman" w:eastAsia="Times New Roman" w:hAnsi="Times New Roman" w:cs="Times New Roman"/>
                <w:b/>
                <w:bCs/>
                <w:color w:val="000000"/>
                <w:sz w:val="20"/>
                <w:szCs w:val="20"/>
                <w:lang w:eastAsia="lv-LV"/>
              </w:rPr>
              <w:t>)</w:t>
            </w:r>
          </w:p>
        </w:tc>
      </w:tr>
      <w:tr w:rsidR="00127DC4" w:rsidRPr="00B72196" w14:paraId="5B49C269" w14:textId="77777777" w:rsidTr="00127DC4">
        <w:trPr>
          <w:trHeight w:val="300"/>
          <w:jc w:val="center"/>
        </w:trPr>
        <w:tc>
          <w:tcPr>
            <w:tcW w:w="9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325C631E" w14:textId="626D6763"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1.</w:t>
            </w:r>
          </w:p>
        </w:tc>
        <w:tc>
          <w:tcPr>
            <w:tcW w:w="960" w:type="dxa"/>
            <w:tcBorders>
              <w:top w:val="nil"/>
              <w:left w:val="nil"/>
              <w:bottom w:val="single" w:sz="4" w:space="0" w:color="auto"/>
              <w:right w:val="single" w:sz="4" w:space="0" w:color="auto"/>
            </w:tcBorders>
            <w:shd w:val="clear" w:color="auto" w:fill="FBD4B4" w:themeFill="accent6" w:themeFillTint="66"/>
            <w:noWrap/>
            <w:vAlign w:val="bottom"/>
            <w:hideMark/>
          </w:tcPr>
          <w:p w14:paraId="1D533690" w14:textId="2E23DD9E"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201</w:t>
            </w:r>
            <w:r w:rsidR="00BE4423">
              <w:rPr>
                <w:rFonts w:ascii="Times New Roman" w:eastAsia="Times New Roman" w:hAnsi="Times New Roman" w:cs="Times New Roman"/>
                <w:color w:val="000000"/>
                <w:sz w:val="20"/>
                <w:szCs w:val="20"/>
                <w:lang w:eastAsia="lv-LV"/>
              </w:rPr>
              <w:t>9</w:t>
            </w:r>
          </w:p>
        </w:tc>
        <w:tc>
          <w:tcPr>
            <w:tcW w:w="1113" w:type="dxa"/>
            <w:tcBorders>
              <w:top w:val="nil"/>
              <w:left w:val="nil"/>
              <w:bottom w:val="single" w:sz="4" w:space="0" w:color="auto"/>
              <w:right w:val="single" w:sz="4" w:space="0" w:color="auto"/>
            </w:tcBorders>
            <w:shd w:val="clear" w:color="auto" w:fill="FBD4B4" w:themeFill="accent6" w:themeFillTint="66"/>
            <w:noWrap/>
            <w:vAlign w:val="bottom"/>
            <w:hideMark/>
          </w:tcPr>
          <w:p w14:paraId="1C6102CA" w14:textId="77777777"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0.125</w:t>
            </w:r>
          </w:p>
        </w:tc>
        <w:tc>
          <w:tcPr>
            <w:tcW w:w="1924" w:type="dxa"/>
            <w:tcBorders>
              <w:top w:val="nil"/>
              <w:left w:val="nil"/>
              <w:bottom w:val="single" w:sz="4" w:space="0" w:color="auto"/>
              <w:right w:val="single" w:sz="4" w:space="0" w:color="auto"/>
            </w:tcBorders>
            <w:shd w:val="clear" w:color="auto" w:fill="FBD4B4" w:themeFill="accent6" w:themeFillTint="66"/>
            <w:noWrap/>
            <w:vAlign w:val="bottom"/>
            <w:hideMark/>
          </w:tcPr>
          <w:p w14:paraId="50B4B601" w14:textId="1A241E7A"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824 968</w:t>
            </w:r>
          </w:p>
        </w:tc>
        <w:tc>
          <w:tcPr>
            <w:tcW w:w="1701" w:type="dxa"/>
            <w:tcBorders>
              <w:top w:val="nil"/>
              <w:left w:val="nil"/>
              <w:bottom w:val="single" w:sz="4" w:space="0" w:color="auto"/>
              <w:right w:val="single" w:sz="4" w:space="0" w:color="auto"/>
            </w:tcBorders>
            <w:shd w:val="clear" w:color="auto" w:fill="FBD4B4" w:themeFill="accent6" w:themeFillTint="66"/>
            <w:noWrap/>
            <w:vAlign w:val="bottom"/>
            <w:hideMark/>
          </w:tcPr>
          <w:p w14:paraId="3FB72E2A" w14:textId="766758F4"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7</w:t>
            </w:r>
            <w:r w:rsidR="00F461DF">
              <w:rPr>
                <w:rFonts w:ascii="Times New Roman" w:eastAsia="Times New Roman" w:hAnsi="Times New Roman" w:cs="Times New Roman"/>
                <w:color w:val="000000"/>
                <w:sz w:val="20"/>
                <w:szCs w:val="20"/>
                <w:lang w:eastAsia="lv-LV"/>
              </w:rPr>
              <w:t> </w:t>
            </w:r>
            <w:r w:rsidRPr="00B72196">
              <w:rPr>
                <w:rFonts w:ascii="Times New Roman" w:eastAsia="Times New Roman" w:hAnsi="Times New Roman" w:cs="Times New Roman"/>
                <w:color w:val="000000"/>
                <w:sz w:val="20"/>
                <w:szCs w:val="20"/>
                <w:lang w:eastAsia="lv-LV"/>
              </w:rPr>
              <w:t>218</w:t>
            </w:r>
          </w:p>
        </w:tc>
        <w:tc>
          <w:tcPr>
            <w:tcW w:w="2409" w:type="dxa"/>
            <w:tcBorders>
              <w:top w:val="nil"/>
              <w:left w:val="nil"/>
              <w:bottom w:val="single" w:sz="4" w:space="0" w:color="auto"/>
              <w:right w:val="single" w:sz="4" w:space="0" w:color="auto"/>
            </w:tcBorders>
            <w:shd w:val="clear" w:color="auto" w:fill="FBD4B4" w:themeFill="accent6" w:themeFillTint="66"/>
            <w:noWrap/>
            <w:vAlign w:val="bottom"/>
            <w:hideMark/>
          </w:tcPr>
          <w:p w14:paraId="7172C703" w14:textId="30F9C693"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1</w:t>
            </w:r>
            <w:r w:rsidR="00BE4423">
              <w:rPr>
                <w:rFonts w:ascii="Times New Roman" w:eastAsia="Times New Roman" w:hAnsi="Times New Roman" w:cs="Times New Roman"/>
                <w:color w:val="000000"/>
                <w:sz w:val="20"/>
                <w:szCs w:val="20"/>
                <w:lang w:eastAsia="lv-LV"/>
              </w:rPr>
              <w:t xml:space="preserve"> </w:t>
            </w:r>
            <w:r w:rsidRPr="00B72196">
              <w:rPr>
                <w:rFonts w:ascii="Times New Roman" w:eastAsia="Times New Roman" w:hAnsi="Times New Roman" w:cs="Times New Roman"/>
                <w:color w:val="000000"/>
                <w:sz w:val="20"/>
                <w:szCs w:val="20"/>
                <w:lang w:eastAsia="lv-LV"/>
              </w:rPr>
              <w:t>083</w:t>
            </w:r>
          </w:p>
        </w:tc>
      </w:tr>
    </w:tbl>
    <w:p w14:paraId="36985746" w14:textId="00808634" w:rsidR="005B4FF0" w:rsidRDefault="005B4FF0" w:rsidP="00745E3A">
      <w:pPr>
        <w:spacing w:after="0" w:line="240" w:lineRule="auto"/>
        <w:ind w:firstLine="720"/>
        <w:jc w:val="right"/>
        <w:rPr>
          <w:rFonts w:ascii="Times New Roman" w:hAnsi="Times New Roman" w:cs="Times New Roman"/>
          <w:b/>
          <w:sz w:val="24"/>
          <w:szCs w:val="24"/>
        </w:rPr>
      </w:pPr>
    </w:p>
    <w:p w14:paraId="06D4B064" w14:textId="77777777" w:rsidR="006127C7" w:rsidRDefault="006127C7" w:rsidP="2749705C">
      <w:pPr>
        <w:spacing w:after="0" w:line="240" w:lineRule="auto"/>
        <w:ind w:firstLine="720"/>
        <w:jc w:val="right"/>
        <w:rPr>
          <w:rFonts w:ascii="Times New Roman" w:hAnsi="Times New Roman" w:cs="Times New Roman"/>
          <w:b/>
          <w:bCs/>
          <w:i/>
          <w:iCs/>
          <w:sz w:val="24"/>
          <w:szCs w:val="24"/>
        </w:rPr>
      </w:pPr>
    </w:p>
    <w:p w14:paraId="4236BE1D" w14:textId="77777777" w:rsidR="006127C7" w:rsidRDefault="006127C7" w:rsidP="2749705C">
      <w:pPr>
        <w:spacing w:after="0" w:line="240" w:lineRule="auto"/>
        <w:ind w:firstLine="720"/>
        <w:jc w:val="right"/>
        <w:rPr>
          <w:rFonts w:ascii="Times New Roman" w:hAnsi="Times New Roman" w:cs="Times New Roman"/>
          <w:b/>
          <w:bCs/>
          <w:i/>
          <w:iCs/>
          <w:sz w:val="24"/>
          <w:szCs w:val="24"/>
        </w:rPr>
      </w:pPr>
    </w:p>
    <w:p w14:paraId="25DC9A00" w14:textId="77777777" w:rsidR="006127C7" w:rsidRDefault="006127C7" w:rsidP="2749705C">
      <w:pPr>
        <w:spacing w:after="0" w:line="240" w:lineRule="auto"/>
        <w:ind w:firstLine="720"/>
        <w:jc w:val="right"/>
        <w:rPr>
          <w:rFonts w:ascii="Times New Roman" w:hAnsi="Times New Roman" w:cs="Times New Roman"/>
          <w:b/>
          <w:bCs/>
          <w:i/>
          <w:iCs/>
          <w:sz w:val="24"/>
          <w:szCs w:val="24"/>
        </w:rPr>
      </w:pPr>
    </w:p>
    <w:p w14:paraId="5DA925D9" w14:textId="49283095" w:rsidR="00745E3A" w:rsidRPr="00E93259" w:rsidRDefault="00261EE2" w:rsidP="2749705C">
      <w:pPr>
        <w:spacing w:after="0" w:line="240" w:lineRule="auto"/>
        <w:ind w:firstLine="720"/>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42</w:t>
      </w:r>
      <w:r w:rsidR="00221A0A" w:rsidRPr="2749705C">
        <w:rPr>
          <w:rFonts w:ascii="Times New Roman" w:hAnsi="Times New Roman" w:cs="Times New Roman"/>
          <w:b/>
          <w:bCs/>
          <w:i/>
          <w:iCs/>
          <w:sz w:val="24"/>
          <w:szCs w:val="24"/>
        </w:rPr>
        <w:t>.</w:t>
      </w:r>
      <w:r w:rsidR="00745E3A" w:rsidRPr="2749705C">
        <w:rPr>
          <w:rFonts w:ascii="Times New Roman" w:hAnsi="Times New Roman" w:cs="Times New Roman"/>
          <w:b/>
          <w:bCs/>
          <w:i/>
          <w:iCs/>
          <w:sz w:val="24"/>
          <w:szCs w:val="24"/>
        </w:rPr>
        <w:t>tabula</w:t>
      </w:r>
    </w:p>
    <w:p w14:paraId="05A3B494" w14:textId="06E9ADE5" w:rsidR="00AB6B2C" w:rsidRPr="005B4FF0" w:rsidRDefault="005B4FF0" w:rsidP="005B4FF0">
      <w:pPr>
        <w:spacing w:after="0" w:line="240" w:lineRule="auto"/>
        <w:ind w:firstLine="720"/>
        <w:jc w:val="center"/>
        <w:rPr>
          <w:rFonts w:ascii="Times New Roman" w:hAnsi="Times New Roman" w:cs="Times New Roman"/>
          <w:b/>
          <w:sz w:val="24"/>
          <w:szCs w:val="24"/>
        </w:rPr>
      </w:pPr>
      <w:r w:rsidRPr="005B4FF0">
        <w:rPr>
          <w:rFonts w:ascii="Times New Roman" w:hAnsi="Times New Roman" w:cs="Times New Roman"/>
          <w:b/>
          <w:sz w:val="24"/>
          <w:szCs w:val="24"/>
        </w:rPr>
        <w:t>Kolonoskopija 7% no aptveres</w:t>
      </w:r>
      <w:r w:rsidR="00416239">
        <w:rPr>
          <w:rFonts w:ascii="Times New Roman" w:hAnsi="Times New Roman" w:cs="Times New Roman"/>
          <w:b/>
          <w:sz w:val="24"/>
          <w:szCs w:val="24"/>
        </w:rPr>
        <w:t xml:space="preserve"> 2019.gadā</w:t>
      </w:r>
    </w:p>
    <w:tbl>
      <w:tblPr>
        <w:tblW w:w="5940" w:type="dxa"/>
        <w:jc w:val="center"/>
        <w:tblLook w:val="04A0" w:firstRow="1" w:lastRow="0" w:firstColumn="1" w:lastColumn="0" w:noHBand="0" w:noVBand="1"/>
      </w:tblPr>
      <w:tblGrid>
        <w:gridCol w:w="960"/>
        <w:gridCol w:w="960"/>
        <w:gridCol w:w="1560"/>
        <w:gridCol w:w="2460"/>
      </w:tblGrid>
      <w:tr w:rsidR="0049155E" w:rsidRPr="0049155E" w14:paraId="66254B4F" w14:textId="77777777" w:rsidTr="00127DC4">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503960E7" w14:textId="77777777"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Nr.p.k.</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4475B0E" w14:textId="1D3A6415" w:rsidR="0049155E" w:rsidRPr="0049155E" w:rsidRDefault="0049155E" w:rsidP="00127DC4">
            <w:pPr>
              <w:spacing w:after="0" w:line="240" w:lineRule="auto"/>
              <w:jc w:val="center"/>
              <w:rPr>
                <w:rFonts w:ascii="Times New Roman" w:eastAsia="Times New Roman" w:hAnsi="Times New Roman" w:cs="Times New Roman"/>
                <w:b/>
                <w:bCs/>
                <w:color w:val="000000"/>
                <w:sz w:val="20"/>
                <w:szCs w:val="20"/>
                <w:lang w:eastAsia="lv-LV"/>
              </w:rPr>
            </w:pPr>
            <w:r w:rsidRPr="0049155E">
              <w:rPr>
                <w:rFonts w:ascii="Times New Roman" w:eastAsia="Times New Roman" w:hAnsi="Times New Roman" w:cs="Times New Roman"/>
                <w:b/>
                <w:bCs/>
                <w:color w:val="000000"/>
                <w:sz w:val="20"/>
                <w:szCs w:val="20"/>
                <w:lang w:eastAsia="lv-LV"/>
              </w:rPr>
              <w:t>Gads</w:t>
            </w:r>
          </w:p>
        </w:tc>
        <w:tc>
          <w:tcPr>
            <w:tcW w:w="15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07CF976" w14:textId="77777777"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 xml:space="preserve">Medikamenta izmaksas </w:t>
            </w:r>
            <w:r w:rsidRPr="0049155E">
              <w:rPr>
                <w:rFonts w:ascii="Times New Roman" w:eastAsia="Times New Roman" w:hAnsi="Times New Roman" w:cs="Times New Roman"/>
                <w:i/>
                <w:color w:val="000000"/>
                <w:sz w:val="20"/>
                <w:szCs w:val="20"/>
                <w:lang w:eastAsia="lv-LV"/>
              </w:rPr>
              <w:t>euro</w:t>
            </w:r>
          </w:p>
        </w:tc>
        <w:tc>
          <w:tcPr>
            <w:tcW w:w="246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557AE162" w14:textId="795DC423"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Finansējums</w:t>
            </w:r>
            <w:r w:rsidR="00127DC4">
              <w:rPr>
                <w:rFonts w:ascii="Times New Roman" w:eastAsia="Times New Roman" w:hAnsi="Times New Roman" w:cs="Times New Roman"/>
                <w:color w:val="000000"/>
                <w:sz w:val="20"/>
                <w:szCs w:val="20"/>
                <w:lang w:eastAsia="lv-LV"/>
              </w:rPr>
              <w:t xml:space="preserve"> 2019.gadam</w:t>
            </w:r>
            <w:r w:rsidRPr="0049155E">
              <w:rPr>
                <w:rFonts w:ascii="Times New Roman" w:eastAsia="Times New Roman" w:hAnsi="Times New Roman" w:cs="Times New Roman"/>
                <w:color w:val="000000"/>
                <w:sz w:val="20"/>
                <w:szCs w:val="20"/>
                <w:lang w:eastAsia="lv-LV"/>
              </w:rPr>
              <w:t xml:space="preserve"> </w:t>
            </w:r>
            <w:r w:rsidRPr="0049155E">
              <w:rPr>
                <w:rFonts w:ascii="Times New Roman" w:eastAsia="Times New Roman" w:hAnsi="Times New Roman" w:cs="Times New Roman"/>
                <w:i/>
                <w:color w:val="000000"/>
                <w:sz w:val="20"/>
                <w:szCs w:val="20"/>
                <w:lang w:eastAsia="lv-LV"/>
              </w:rPr>
              <w:t>euro</w:t>
            </w:r>
          </w:p>
        </w:tc>
      </w:tr>
      <w:tr w:rsidR="0049155E" w:rsidRPr="0049155E" w14:paraId="62E12B92" w14:textId="77777777" w:rsidTr="00127DC4">
        <w:trPr>
          <w:trHeight w:val="300"/>
          <w:jc w:val="center"/>
        </w:trPr>
        <w:tc>
          <w:tcPr>
            <w:tcW w:w="9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35356C3F" w14:textId="215DA1BC"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p>
        </w:tc>
        <w:tc>
          <w:tcPr>
            <w:tcW w:w="960" w:type="dxa"/>
            <w:tcBorders>
              <w:top w:val="nil"/>
              <w:left w:val="nil"/>
              <w:bottom w:val="single" w:sz="4" w:space="0" w:color="auto"/>
              <w:right w:val="single" w:sz="4" w:space="0" w:color="auto"/>
            </w:tcBorders>
            <w:shd w:val="clear" w:color="auto" w:fill="FBD4B4" w:themeFill="accent6" w:themeFillTint="66"/>
            <w:noWrap/>
            <w:vAlign w:val="bottom"/>
            <w:hideMark/>
          </w:tcPr>
          <w:p w14:paraId="5D867A49" w14:textId="77777777"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2019</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14:paraId="0B0E34B7" w14:textId="77777777"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15</w:t>
            </w:r>
          </w:p>
        </w:tc>
        <w:tc>
          <w:tcPr>
            <w:tcW w:w="2460" w:type="dxa"/>
            <w:tcBorders>
              <w:top w:val="nil"/>
              <w:left w:val="nil"/>
              <w:bottom w:val="single" w:sz="4" w:space="0" w:color="auto"/>
              <w:right w:val="single" w:sz="4" w:space="0" w:color="auto"/>
            </w:tcBorders>
            <w:shd w:val="clear" w:color="auto" w:fill="FBD4B4" w:themeFill="accent6" w:themeFillTint="66"/>
            <w:noWrap/>
            <w:vAlign w:val="bottom"/>
            <w:hideMark/>
          </w:tcPr>
          <w:p w14:paraId="3B08FD10" w14:textId="4A908AA2"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0053D5">
              <w:rPr>
                <w:rFonts w:ascii="Times New Roman" w:eastAsia="Times New Roman" w:hAnsi="Times New Roman" w:cs="Times New Roman"/>
                <w:color w:val="000000"/>
                <w:sz w:val="20"/>
                <w:szCs w:val="20"/>
                <w:lang w:eastAsia="lv-LV"/>
              </w:rPr>
              <w:t>108</w:t>
            </w:r>
            <w:r w:rsidR="00127DC4" w:rsidRPr="000053D5">
              <w:rPr>
                <w:rFonts w:ascii="Times New Roman" w:eastAsia="Times New Roman" w:hAnsi="Times New Roman" w:cs="Times New Roman"/>
                <w:color w:val="000000"/>
                <w:sz w:val="20"/>
                <w:szCs w:val="20"/>
                <w:lang w:eastAsia="lv-LV"/>
              </w:rPr>
              <w:t xml:space="preserve"> </w:t>
            </w:r>
            <w:r w:rsidRPr="000053D5">
              <w:rPr>
                <w:rFonts w:ascii="Times New Roman" w:eastAsia="Times New Roman" w:hAnsi="Times New Roman" w:cs="Times New Roman"/>
                <w:color w:val="000000"/>
                <w:sz w:val="20"/>
                <w:szCs w:val="20"/>
                <w:lang w:eastAsia="lv-LV"/>
              </w:rPr>
              <w:t>27</w:t>
            </w:r>
            <w:r w:rsidR="00A65841" w:rsidRPr="00E93259">
              <w:rPr>
                <w:rFonts w:ascii="Times New Roman" w:eastAsia="Times New Roman" w:hAnsi="Times New Roman" w:cs="Times New Roman"/>
                <w:color w:val="000000"/>
                <w:sz w:val="20"/>
                <w:szCs w:val="20"/>
                <w:lang w:eastAsia="lv-LV"/>
              </w:rPr>
              <w:t>0</w:t>
            </w:r>
          </w:p>
        </w:tc>
      </w:tr>
    </w:tbl>
    <w:p w14:paraId="71EB470C" w14:textId="77777777" w:rsidR="00D4186C" w:rsidRDefault="00D4186C" w:rsidP="002015DB">
      <w:pPr>
        <w:spacing w:after="120"/>
        <w:ind w:firstLine="720"/>
        <w:jc w:val="both"/>
        <w:rPr>
          <w:rFonts w:ascii="Times New Roman" w:hAnsi="Times New Roman"/>
          <w:sz w:val="24"/>
          <w:szCs w:val="24"/>
        </w:rPr>
      </w:pPr>
    </w:p>
    <w:tbl>
      <w:tblPr>
        <w:tblStyle w:val="TableGrid"/>
        <w:tblW w:w="0" w:type="auto"/>
        <w:tblLook w:val="04A0" w:firstRow="1" w:lastRow="0" w:firstColumn="1" w:lastColumn="0" w:noHBand="0" w:noVBand="1"/>
      </w:tblPr>
      <w:tblGrid>
        <w:gridCol w:w="9089"/>
      </w:tblGrid>
      <w:tr w:rsidR="000C29E1" w14:paraId="007CFAA8" w14:textId="77777777" w:rsidTr="000C29E1">
        <w:tc>
          <w:tcPr>
            <w:tcW w:w="9089" w:type="dxa"/>
          </w:tcPr>
          <w:p w14:paraId="7E7F9B7D" w14:textId="49B922E4" w:rsidR="000C29E1" w:rsidRPr="00EA2B59" w:rsidRDefault="000C29E1" w:rsidP="00D23D59">
            <w:pPr>
              <w:spacing w:after="120"/>
              <w:jc w:val="both"/>
              <w:rPr>
                <w:rFonts w:ascii="Times New Roman" w:hAnsi="Times New Roman"/>
                <w:b/>
                <w:sz w:val="24"/>
                <w:szCs w:val="24"/>
              </w:rPr>
            </w:pPr>
            <w:r w:rsidRPr="00EA2B59">
              <w:rPr>
                <w:rFonts w:ascii="Times New Roman" w:hAnsi="Times New Roman"/>
                <w:b/>
                <w:sz w:val="24"/>
                <w:szCs w:val="24"/>
              </w:rPr>
              <w:t>Reformas rezultāts - efektīva valsts organizēta skrīningdiagnostikas programma var būtiski mazināt kolorektālās zarnas vēža slimības radīto slogu, mazinot kopējo slimības aktīvas terapijas ilgumu un intensitāti,  uzlabojot dzīvildzi un dzīves kvalitāti.</w:t>
            </w:r>
          </w:p>
        </w:tc>
      </w:tr>
    </w:tbl>
    <w:p w14:paraId="28F247B4" w14:textId="77777777" w:rsidR="004F2CFF" w:rsidRPr="004F2CFF" w:rsidRDefault="004F2CFF" w:rsidP="00D23D59">
      <w:pPr>
        <w:spacing w:after="0" w:line="240" w:lineRule="auto"/>
        <w:jc w:val="both"/>
        <w:rPr>
          <w:rFonts w:ascii="Times New Roman" w:hAnsi="Times New Roman"/>
          <w:sz w:val="24"/>
          <w:szCs w:val="24"/>
        </w:rPr>
      </w:pPr>
    </w:p>
    <w:p w14:paraId="6AB32DEA" w14:textId="49E6C4EE" w:rsidR="00FC40BF" w:rsidRDefault="000535FA">
      <w:pPr>
        <w:pStyle w:val="Heading2"/>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2</w:t>
      </w:r>
      <w:r w:rsidR="000F60F8">
        <w:rPr>
          <w:rFonts w:ascii="Times New Roman" w:hAnsi="Times New Roman" w:cs="Times New Roman"/>
          <w:b/>
          <w:bCs/>
          <w:color w:val="auto"/>
          <w:sz w:val="24"/>
          <w:szCs w:val="24"/>
          <w:u w:val="single"/>
        </w:rPr>
        <w:t>.</w:t>
      </w:r>
      <w:r w:rsidR="007C25A0">
        <w:rPr>
          <w:rFonts w:ascii="Times New Roman" w:hAnsi="Times New Roman" w:cs="Times New Roman"/>
          <w:b/>
          <w:bCs/>
          <w:color w:val="auto"/>
          <w:sz w:val="24"/>
          <w:szCs w:val="24"/>
          <w:u w:val="single"/>
        </w:rPr>
        <w:t>9</w:t>
      </w:r>
      <w:r w:rsidR="009F1BA0">
        <w:rPr>
          <w:rFonts w:ascii="Times New Roman" w:hAnsi="Times New Roman" w:cs="Times New Roman"/>
          <w:b/>
          <w:bCs/>
          <w:color w:val="auto"/>
          <w:sz w:val="24"/>
          <w:szCs w:val="24"/>
          <w:u w:val="single"/>
        </w:rPr>
        <w:t xml:space="preserve">. </w:t>
      </w:r>
      <w:r w:rsidR="00FC40BF">
        <w:rPr>
          <w:rFonts w:ascii="Times New Roman" w:hAnsi="Times New Roman" w:cs="Times New Roman"/>
          <w:b/>
          <w:bCs/>
          <w:color w:val="auto"/>
          <w:sz w:val="24"/>
          <w:szCs w:val="24"/>
          <w:u w:val="single"/>
        </w:rPr>
        <w:t xml:space="preserve">Jaunā reformas iniciatīva 2019.gadam - Jaunu manipulāciju izveide urīnpūšļa un prostatas vēža diagnostikai un ārstēšanai </w:t>
      </w:r>
    </w:p>
    <w:p w14:paraId="1D1E10DD" w14:textId="4A491EF6" w:rsidR="00D765A5" w:rsidRPr="003F0F03" w:rsidRDefault="00FC40BF" w:rsidP="00FC40BF">
      <w:pPr>
        <w:pStyle w:val="Heading2"/>
        <w:spacing w:before="0" w:after="120"/>
        <w:jc w:val="center"/>
        <w:rPr>
          <w:rFonts w:ascii="Times New Roman" w:hAnsi="Times New Roman" w:cs="Times New Roman"/>
          <w:bCs/>
          <w:color w:val="auto"/>
          <w:sz w:val="24"/>
          <w:szCs w:val="24"/>
        </w:rPr>
      </w:pPr>
      <w:r w:rsidRPr="003F0F03">
        <w:rPr>
          <w:rFonts w:ascii="Times New Roman" w:hAnsi="Times New Roman" w:cs="Times New Roman"/>
          <w:bCs/>
          <w:color w:val="auto"/>
          <w:sz w:val="24"/>
          <w:szCs w:val="24"/>
        </w:rPr>
        <w:t>2.</w:t>
      </w:r>
      <w:r w:rsidR="007C25A0">
        <w:rPr>
          <w:rFonts w:ascii="Times New Roman" w:hAnsi="Times New Roman" w:cs="Times New Roman"/>
          <w:bCs/>
          <w:color w:val="auto"/>
          <w:sz w:val="24"/>
          <w:szCs w:val="24"/>
        </w:rPr>
        <w:t>9</w:t>
      </w:r>
      <w:r w:rsidRPr="003F0F03">
        <w:rPr>
          <w:rFonts w:ascii="Times New Roman" w:hAnsi="Times New Roman" w:cs="Times New Roman"/>
          <w:bCs/>
          <w:color w:val="auto"/>
          <w:sz w:val="24"/>
          <w:szCs w:val="24"/>
        </w:rPr>
        <w:t xml:space="preserve">.1. </w:t>
      </w:r>
      <w:r w:rsidR="00D765A5" w:rsidRPr="003F0F03">
        <w:rPr>
          <w:rFonts w:ascii="Times New Roman" w:eastAsia="Times New Roman" w:hAnsi="Times New Roman" w:cs="Times New Roman"/>
          <w:color w:val="000000"/>
          <w:sz w:val="24"/>
          <w:szCs w:val="24"/>
          <w:lang w:eastAsia="lv-LV"/>
        </w:rPr>
        <w:t xml:space="preserve">Jauns tarifs manipulācijai par urīnpūšļa fotodinamisku diagnostiku (FDD) </w:t>
      </w:r>
    </w:p>
    <w:p w14:paraId="6BBF26B7" w14:textId="77777777" w:rsidR="00712AFA" w:rsidRDefault="00712AFA" w:rsidP="00B212FA">
      <w:pPr>
        <w:spacing w:after="0" w:line="240" w:lineRule="auto"/>
        <w:rPr>
          <w:rFonts w:ascii="Times New Roman" w:eastAsia="Times New Roman" w:hAnsi="Times New Roman" w:cs="Times New Roman"/>
          <w:sz w:val="18"/>
          <w:szCs w:val="18"/>
          <w:lang w:eastAsia="lv-LV"/>
        </w:rPr>
      </w:pPr>
    </w:p>
    <w:p w14:paraId="5C2C59A5" w14:textId="2188FE18" w:rsidR="00A71A0D" w:rsidRDefault="00B212FA" w:rsidP="00A7214B">
      <w:pPr>
        <w:spacing w:after="120"/>
        <w:ind w:firstLine="720"/>
        <w:jc w:val="both"/>
        <w:rPr>
          <w:rFonts w:ascii="Times New Roman" w:eastAsia="Times New Roman" w:hAnsi="Times New Roman" w:cs="Times New Roman"/>
          <w:sz w:val="24"/>
          <w:szCs w:val="24"/>
          <w:lang w:eastAsia="lv-LV"/>
        </w:rPr>
      </w:pPr>
      <w:r w:rsidRPr="00007A5A">
        <w:rPr>
          <w:rFonts w:ascii="Times New Roman" w:eastAsia="Times New Roman" w:hAnsi="Times New Roman" w:cs="Times New Roman"/>
          <w:sz w:val="24"/>
          <w:szCs w:val="24"/>
          <w:lang w:eastAsia="lv-LV"/>
        </w:rPr>
        <w:t>Precīzāka urīnpūšļa vēža šūnu sakopojumu, īpaši cancer in situ (CIS), vizuāla detektēšana endoskopiskas izmeklēšanas un/vai operācijas laikā, izmantojot heksaminolevulēnskābes (HAL) radīto atipisko šūnu fluorescenci, kuru redz, apgaismojot šūnas ar violetās gaismas avotu un apskatot caur speciālu zilās gaismas filtru fotodinamiskā diagnostika - FDD. Šāda šūnu iekrāsošana in vivo ļauj saskatīt vairāk ļaundabīgi izmainīto šūnu, nekā izmantojot konvencionālu apskati baltā gaismā, kas ir pierādījies gan pacientu līmenī – 92% pret 71%, gan biopsiju līmenī – attiecīgi 93% pret 65%.</w:t>
      </w:r>
    </w:p>
    <w:p w14:paraId="2CFEDE98" w14:textId="6C625F59" w:rsidR="00533E54" w:rsidRDefault="00A96AAC" w:rsidP="00A7214B">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Urīnpūšļa fotodinamiskā diagnostika nepieciešama p</w:t>
      </w:r>
      <w:r w:rsidR="00533E54" w:rsidRPr="00007A5A">
        <w:rPr>
          <w:rFonts w:ascii="Times New Roman" w:eastAsia="Times New Roman" w:hAnsi="Times New Roman" w:cs="Times New Roman"/>
          <w:sz w:val="24"/>
          <w:szCs w:val="24"/>
          <w:lang w:eastAsia="lv-LV"/>
        </w:rPr>
        <w:t>acienti</w:t>
      </w:r>
      <w:r>
        <w:rPr>
          <w:rFonts w:ascii="Times New Roman" w:eastAsia="Times New Roman" w:hAnsi="Times New Roman" w:cs="Times New Roman"/>
          <w:sz w:val="24"/>
          <w:szCs w:val="24"/>
          <w:lang w:eastAsia="lv-LV"/>
        </w:rPr>
        <w:t>em</w:t>
      </w:r>
      <w:r w:rsidR="00533E54" w:rsidRPr="00007A5A">
        <w:rPr>
          <w:rFonts w:ascii="Times New Roman" w:eastAsia="Times New Roman" w:hAnsi="Times New Roman" w:cs="Times New Roman"/>
          <w:sz w:val="24"/>
          <w:szCs w:val="24"/>
          <w:lang w:eastAsia="lv-LV"/>
        </w:rPr>
        <w:t xml:space="preserve"> ar urīnpūšļa vēža cancer in situ formu, pacienti ar urīnpūšļa audzēja recidīvu, augstu malignitātes pakāpi iepriekš veiktajā rezekcijā iegūtajā materiālā</w:t>
      </w:r>
      <w:r>
        <w:rPr>
          <w:rFonts w:ascii="Times New Roman" w:eastAsia="Times New Roman" w:hAnsi="Times New Roman" w:cs="Times New Roman"/>
          <w:sz w:val="24"/>
          <w:szCs w:val="24"/>
          <w:lang w:eastAsia="lv-LV"/>
        </w:rPr>
        <w:t xml:space="preserve"> (</w:t>
      </w:r>
      <w:r w:rsidRPr="00007A5A">
        <w:rPr>
          <w:rFonts w:ascii="Times New Roman" w:eastAsia="Times New Roman" w:hAnsi="Times New Roman" w:cs="Times New Roman"/>
          <w:sz w:val="24"/>
          <w:szCs w:val="24"/>
          <w:lang w:eastAsia="lv-LV"/>
        </w:rPr>
        <w:t>Manipulācija- 19071</w:t>
      </w:r>
      <w:r>
        <w:rPr>
          <w:rFonts w:ascii="Times New Roman" w:eastAsia="Times New Roman" w:hAnsi="Times New Roman" w:cs="Times New Roman"/>
          <w:sz w:val="24"/>
          <w:szCs w:val="24"/>
          <w:lang w:eastAsia="lv-LV"/>
        </w:rPr>
        <w:t>)</w:t>
      </w:r>
      <w:r w:rsidR="00533E54" w:rsidRPr="00007A5A">
        <w:rPr>
          <w:rFonts w:ascii="Times New Roman" w:eastAsia="Times New Roman" w:hAnsi="Times New Roman" w:cs="Times New Roman"/>
          <w:sz w:val="24"/>
          <w:szCs w:val="24"/>
          <w:lang w:eastAsia="lv-LV"/>
        </w:rPr>
        <w:t>.</w:t>
      </w:r>
    </w:p>
    <w:p w14:paraId="641F240F" w14:textId="2D5563CB" w:rsidR="00F4200E" w:rsidRDefault="00B212FA" w:rsidP="00A7214B">
      <w:pPr>
        <w:spacing w:after="120"/>
        <w:ind w:firstLine="720"/>
        <w:jc w:val="both"/>
        <w:rPr>
          <w:rFonts w:ascii="Times New Roman" w:eastAsia="Times New Roman" w:hAnsi="Times New Roman" w:cs="Times New Roman"/>
          <w:sz w:val="24"/>
          <w:szCs w:val="24"/>
          <w:lang w:eastAsia="lv-LV"/>
        </w:rPr>
      </w:pPr>
      <w:r w:rsidRPr="00007A5A">
        <w:rPr>
          <w:rFonts w:ascii="Times New Roman" w:eastAsia="Times New Roman" w:hAnsi="Times New Roman" w:cs="Times New Roman"/>
          <w:sz w:val="24"/>
          <w:szCs w:val="24"/>
          <w:lang w:eastAsia="lv-LV"/>
        </w:rPr>
        <w:t>HAL pielietošanas labvēlīgā ietekme uz vēža recidīvu biežumu pēc transuretrālas rezekcijas ir apstiprināta multicentriskos prospektīvos nejaušinātos klīniskajos pētījumos un kontrolētu klīnisko pētījumu neapstrādāto datu met</w:t>
      </w:r>
      <w:r w:rsidR="00A71A0D" w:rsidRPr="00A71A0D">
        <w:rPr>
          <w:rFonts w:ascii="Times New Roman" w:eastAsia="Times New Roman" w:hAnsi="Times New Roman" w:cs="Times New Roman"/>
          <w:sz w:val="24"/>
          <w:szCs w:val="24"/>
          <w:lang w:eastAsia="lv-LV"/>
        </w:rPr>
        <w:t>a</w:t>
      </w:r>
      <w:r w:rsidR="00F21BDD">
        <w:rPr>
          <w:rFonts w:ascii="Times New Roman" w:eastAsia="Times New Roman" w:hAnsi="Times New Roman" w:cs="Times New Roman"/>
          <w:sz w:val="24"/>
          <w:szCs w:val="24"/>
          <w:lang w:eastAsia="lv-LV"/>
        </w:rPr>
        <w:t xml:space="preserve"> </w:t>
      </w:r>
      <w:r w:rsidR="00A71A0D" w:rsidRPr="00A71A0D">
        <w:rPr>
          <w:rFonts w:ascii="Times New Roman" w:eastAsia="Times New Roman" w:hAnsi="Times New Roman" w:cs="Times New Roman"/>
          <w:sz w:val="24"/>
          <w:szCs w:val="24"/>
          <w:lang w:eastAsia="lv-LV"/>
        </w:rPr>
        <w:t>analīzēs. 2017.</w:t>
      </w:r>
      <w:r w:rsidRPr="00007A5A">
        <w:rPr>
          <w:rFonts w:ascii="Times New Roman" w:eastAsia="Times New Roman" w:hAnsi="Times New Roman" w:cs="Times New Roman"/>
          <w:sz w:val="24"/>
          <w:szCs w:val="24"/>
          <w:lang w:eastAsia="lv-LV"/>
        </w:rPr>
        <w:t>gadā publicēta 14 nejaušinātu vadītu klīnisko pētījumu datu metaanalīze apstiprināja vēža recidīvu samazināšanos pacientiem, kuriem transuretrāla rezekcija veikta FDD.</w:t>
      </w:r>
    </w:p>
    <w:p w14:paraId="4C4A2394" w14:textId="192E8408" w:rsidR="00B212FA" w:rsidRDefault="00F4200E" w:rsidP="000C1361">
      <w:pPr>
        <w:spacing w:after="120"/>
        <w:ind w:firstLine="720"/>
        <w:jc w:val="both"/>
        <w:rPr>
          <w:rFonts w:ascii="Times New Roman" w:eastAsia="Times New Roman" w:hAnsi="Times New Roman" w:cs="Times New Roman"/>
          <w:sz w:val="24"/>
          <w:szCs w:val="24"/>
          <w:lang w:eastAsia="lv-LV"/>
        </w:rPr>
      </w:pPr>
      <w:r w:rsidRPr="00F4200E">
        <w:rPr>
          <w:rFonts w:ascii="Times New Roman" w:eastAsia="Times New Roman" w:hAnsi="Times New Roman" w:cs="Times New Roman"/>
          <w:sz w:val="24"/>
          <w:szCs w:val="24"/>
          <w:lang w:eastAsia="lv-LV"/>
        </w:rPr>
        <w:t xml:space="preserve">  </w:t>
      </w:r>
      <w:r w:rsidR="00B212FA" w:rsidRPr="00007A5A">
        <w:rPr>
          <w:rFonts w:ascii="Times New Roman" w:eastAsia="Times New Roman" w:hAnsi="Times New Roman" w:cs="Times New Roman"/>
          <w:sz w:val="24"/>
          <w:szCs w:val="24"/>
          <w:lang w:eastAsia="lv-LV"/>
        </w:rPr>
        <w:t xml:space="preserve">Pakalpojuma </w:t>
      </w:r>
      <w:r w:rsidR="00342B4B">
        <w:rPr>
          <w:rFonts w:ascii="Times New Roman" w:eastAsia="Times New Roman" w:hAnsi="Times New Roman" w:cs="Times New Roman"/>
          <w:sz w:val="24"/>
          <w:szCs w:val="24"/>
          <w:lang w:eastAsia="lv-LV"/>
        </w:rPr>
        <w:t>sniegšanas</w:t>
      </w:r>
      <w:r w:rsidR="00342B4B" w:rsidRPr="00342B4B">
        <w:rPr>
          <w:rFonts w:ascii="Times New Roman" w:eastAsia="Times New Roman" w:hAnsi="Times New Roman" w:cs="Times New Roman"/>
          <w:sz w:val="24"/>
          <w:szCs w:val="24"/>
          <w:lang w:eastAsia="lv-LV"/>
        </w:rPr>
        <w:t xml:space="preserve"> mērķis ir</w:t>
      </w:r>
      <w:r w:rsidR="00B212FA" w:rsidRPr="00007A5A">
        <w:rPr>
          <w:rFonts w:ascii="Times New Roman" w:eastAsia="Times New Roman" w:hAnsi="Times New Roman" w:cs="Times New Roman"/>
          <w:sz w:val="24"/>
          <w:szCs w:val="24"/>
          <w:lang w:eastAsia="lv-LV"/>
        </w:rPr>
        <w:t xml:space="preserve"> uzlabot urīnpūšļa vēža diagnostiku un operāciju efektivitāti, samazinot atkārtotu operāciju nepieciešamību, gan uzlabotas diagnostikas precizitātes, gan paaugstinātas operāciju radikalitātes rezultātā.</w:t>
      </w:r>
    </w:p>
    <w:p w14:paraId="3383AE63" w14:textId="310A3F02" w:rsidR="009A7F62" w:rsidRDefault="009A7F62" w:rsidP="00E11AFF">
      <w:pPr>
        <w:spacing w:after="120"/>
        <w:rPr>
          <w:rFonts w:ascii="Times New Roman" w:eastAsia="Times New Roman" w:hAnsi="Times New Roman" w:cs="Times New Roman"/>
          <w:i/>
          <w:sz w:val="24"/>
          <w:szCs w:val="24"/>
          <w:lang w:eastAsia="lv-LV"/>
        </w:rPr>
        <w:sectPr w:rsidR="009A7F62" w:rsidSect="006138D3">
          <w:pgSz w:w="12240" w:h="15840"/>
          <w:pgMar w:top="1440" w:right="1440" w:bottom="1440" w:left="1701" w:header="708" w:footer="708" w:gutter="0"/>
          <w:cols w:space="708"/>
          <w:titlePg/>
          <w:docGrid w:linePitch="360"/>
        </w:sectPr>
      </w:pPr>
    </w:p>
    <w:p w14:paraId="412D95B1" w14:textId="71A0B970" w:rsidR="009A7F62" w:rsidRDefault="009A7F62" w:rsidP="00E11AFF">
      <w:pPr>
        <w:spacing w:after="120"/>
        <w:ind w:firstLine="720"/>
        <w:jc w:val="right"/>
        <w:rPr>
          <w:rFonts w:ascii="Times New Roman" w:eastAsia="Times New Roman" w:hAnsi="Times New Roman" w:cs="Times New Roman"/>
          <w:i/>
          <w:sz w:val="24"/>
          <w:szCs w:val="24"/>
          <w:lang w:eastAsia="lv-LV"/>
        </w:rPr>
      </w:pPr>
      <w:r w:rsidRPr="00E11AFF">
        <w:rPr>
          <w:rFonts w:ascii="Times New Roman" w:eastAsia="Times New Roman" w:hAnsi="Times New Roman" w:cs="Times New Roman"/>
          <w:i/>
          <w:sz w:val="24"/>
          <w:szCs w:val="24"/>
          <w:lang w:eastAsia="lv-LV"/>
        </w:rPr>
        <w:lastRenderedPageBreak/>
        <w:t>43.tabula</w:t>
      </w:r>
    </w:p>
    <w:p w14:paraId="3DF6E29E" w14:textId="3265CFED" w:rsidR="009A7F62" w:rsidRPr="00E11AFF" w:rsidRDefault="009A7F62" w:rsidP="00E11AFF">
      <w:pPr>
        <w:ind w:firstLine="720"/>
        <w:jc w:val="center"/>
        <w:rPr>
          <w:rFonts w:ascii="Times New Roman" w:hAnsi="Times New Roman" w:cs="Times New Roman"/>
          <w:b/>
          <w:iCs/>
          <w:sz w:val="24"/>
          <w:szCs w:val="24"/>
        </w:rPr>
      </w:pPr>
      <w:r>
        <w:rPr>
          <w:rFonts w:ascii="Times New Roman" w:eastAsia="Times New Roman" w:hAnsi="Times New Roman" w:cs="Times New Roman"/>
          <w:b/>
          <w:color w:val="000000"/>
          <w:sz w:val="24"/>
          <w:szCs w:val="24"/>
          <w:lang w:eastAsia="lv-LV"/>
        </w:rPr>
        <w:t>U</w:t>
      </w:r>
      <w:r w:rsidRPr="005F6E29">
        <w:rPr>
          <w:rFonts w:ascii="Times New Roman" w:eastAsia="Times New Roman" w:hAnsi="Times New Roman" w:cs="Times New Roman"/>
          <w:b/>
          <w:color w:val="000000"/>
          <w:sz w:val="24"/>
          <w:szCs w:val="24"/>
          <w:lang w:eastAsia="lv-LV"/>
        </w:rPr>
        <w:t>rīnpūšļa fotodinamisk</w:t>
      </w:r>
      <w:r>
        <w:rPr>
          <w:rFonts w:ascii="Times New Roman" w:eastAsia="Times New Roman" w:hAnsi="Times New Roman" w:cs="Times New Roman"/>
          <w:b/>
          <w:color w:val="000000"/>
          <w:sz w:val="24"/>
          <w:szCs w:val="24"/>
          <w:lang w:eastAsia="lv-LV"/>
        </w:rPr>
        <w:t>ai</w:t>
      </w:r>
      <w:r w:rsidRPr="005F6E29">
        <w:rPr>
          <w:rFonts w:ascii="Times New Roman" w:eastAsia="Times New Roman" w:hAnsi="Times New Roman" w:cs="Times New Roman"/>
          <w:b/>
          <w:color w:val="000000"/>
          <w:sz w:val="24"/>
          <w:szCs w:val="24"/>
          <w:lang w:eastAsia="lv-LV"/>
        </w:rPr>
        <w:t xml:space="preserve"> diagnostik</w:t>
      </w:r>
      <w:r>
        <w:rPr>
          <w:rFonts w:ascii="Times New Roman" w:eastAsia="Times New Roman" w:hAnsi="Times New Roman" w:cs="Times New Roman"/>
          <w:b/>
          <w:color w:val="000000"/>
          <w:sz w:val="24"/>
          <w:szCs w:val="24"/>
          <w:lang w:eastAsia="lv-LV"/>
        </w:rPr>
        <w:t xml:space="preserve">ai </w:t>
      </w:r>
      <w:r w:rsidRPr="005F6E29">
        <w:rPr>
          <w:rFonts w:ascii="Times New Roman" w:eastAsia="Times New Roman" w:hAnsi="Times New Roman" w:cs="Times New Roman"/>
          <w:b/>
          <w:color w:val="000000"/>
          <w:sz w:val="24"/>
          <w:szCs w:val="24"/>
          <w:lang w:eastAsia="lv-LV"/>
        </w:rPr>
        <w:t>nepieciešamais finansējums</w:t>
      </w:r>
      <w:r>
        <w:rPr>
          <w:rFonts w:ascii="Times New Roman" w:eastAsia="Times New Roman" w:hAnsi="Times New Roman" w:cs="Times New Roman"/>
          <w:b/>
          <w:color w:val="000000"/>
          <w:sz w:val="24"/>
          <w:szCs w:val="24"/>
          <w:lang w:eastAsia="lv-LV"/>
        </w:rPr>
        <w:t xml:space="preserve"> 2017., 2018. un 2019.gadam</w:t>
      </w: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38"/>
        <w:gridCol w:w="1134"/>
        <w:gridCol w:w="850"/>
        <w:gridCol w:w="853"/>
        <w:gridCol w:w="851"/>
        <w:gridCol w:w="850"/>
        <w:gridCol w:w="851"/>
        <w:gridCol w:w="850"/>
        <w:gridCol w:w="709"/>
        <w:gridCol w:w="709"/>
        <w:gridCol w:w="709"/>
        <w:gridCol w:w="708"/>
        <w:gridCol w:w="709"/>
        <w:gridCol w:w="709"/>
      </w:tblGrid>
      <w:tr w:rsidR="009A7F62" w14:paraId="0448B5A7" w14:textId="77777777" w:rsidTr="00E96B74">
        <w:trPr>
          <w:cantSplit/>
          <w:trHeight w:val="1373"/>
          <w:jc w:val="center"/>
        </w:trPr>
        <w:tc>
          <w:tcPr>
            <w:tcW w:w="423" w:type="dxa"/>
            <w:shd w:val="clear" w:color="auto" w:fill="E36C0A" w:themeFill="accent6" w:themeFillShade="BF"/>
            <w:vAlign w:val="center"/>
            <w:hideMark/>
          </w:tcPr>
          <w:p w14:paraId="682D717B"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A" w:themeFill="accent6" w:themeFillShade="BF"/>
            <w:vAlign w:val="center"/>
            <w:hideMark/>
          </w:tcPr>
          <w:p w14:paraId="32676183" w14:textId="77777777" w:rsidR="009A7F62" w:rsidRPr="00847710" w:rsidRDefault="009A7F62" w:rsidP="005115DB">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4314B2A9" w14:textId="77777777" w:rsidR="009A7F62" w:rsidRPr="00847710" w:rsidRDefault="009A7F62"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0C16CF98" w14:textId="77777777" w:rsidR="009A7F62" w:rsidRPr="00847710" w:rsidRDefault="009A7F62"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6226B7A8" w14:textId="77777777" w:rsidR="009A7F62" w:rsidRPr="00847710" w:rsidRDefault="009A7F62" w:rsidP="005115DB">
            <w:pPr>
              <w:spacing w:after="0" w:line="240" w:lineRule="auto"/>
              <w:ind w:left="113" w:right="113"/>
              <w:jc w:val="center"/>
              <w:rPr>
                <w:rFonts w:ascii="Times New Roman" w:eastAsia="Times New Roman" w:hAnsi="Times New Roman" w:cs="Times New Roman"/>
                <w:b/>
                <w:bCs/>
                <w:sz w:val="20"/>
                <w:szCs w:val="20"/>
                <w:lang w:eastAsia="lv-LV"/>
              </w:rPr>
            </w:pPr>
          </w:p>
        </w:tc>
        <w:tc>
          <w:tcPr>
            <w:tcW w:w="2554" w:type="dxa"/>
            <w:gridSpan w:val="3"/>
            <w:shd w:val="clear" w:color="auto" w:fill="E36C0A" w:themeFill="accent6" w:themeFillShade="BF"/>
            <w:textDirection w:val="btLr"/>
            <w:vAlign w:val="center"/>
          </w:tcPr>
          <w:p w14:paraId="0260A624" w14:textId="77777777" w:rsidR="009A7F62" w:rsidRPr="00847710" w:rsidRDefault="009A7F62" w:rsidP="005115DB">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551" w:type="dxa"/>
            <w:gridSpan w:val="3"/>
            <w:shd w:val="clear" w:color="auto" w:fill="E36C0A" w:themeFill="accent6" w:themeFillShade="BF"/>
            <w:textDirection w:val="btLr"/>
            <w:vAlign w:val="center"/>
          </w:tcPr>
          <w:p w14:paraId="50D25B17" w14:textId="77777777" w:rsidR="009A7F62" w:rsidRPr="00847710" w:rsidRDefault="009A7F62"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7" w:type="dxa"/>
            <w:gridSpan w:val="3"/>
            <w:shd w:val="clear" w:color="auto" w:fill="E36C0A" w:themeFill="accent6" w:themeFillShade="BF"/>
            <w:textDirection w:val="btLr"/>
            <w:vAlign w:val="center"/>
          </w:tcPr>
          <w:p w14:paraId="30FD5B0C" w14:textId="77777777" w:rsidR="009A7F62" w:rsidRPr="00847710" w:rsidRDefault="009A7F62"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126" w:type="dxa"/>
            <w:gridSpan w:val="3"/>
            <w:shd w:val="clear" w:color="auto" w:fill="E36C0A" w:themeFill="accent6" w:themeFillShade="BF"/>
            <w:textDirection w:val="btLr"/>
            <w:vAlign w:val="center"/>
          </w:tcPr>
          <w:p w14:paraId="029AB61A" w14:textId="77777777" w:rsidR="009A7F62" w:rsidRPr="00847710" w:rsidRDefault="009A7F62"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9A7F62" w14:paraId="6E9E758B" w14:textId="77777777" w:rsidTr="00E96B74">
        <w:trPr>
          <w:trHeight w:val="640"/>
          <w:jc w:val="center"/>
        </w:trPr>
        <w:tc>
          <w:tcPr>
            <w:tcW w:w="423" w:type="dxa"/>
            <w:shd w:val="clear" w:color="auto" w:fill="FABF8F" w:themeFill="accent6" w:themeFillTint="99"/>
            <w:vAlign w:val="center"/>
          </w:tcPr>
          <w:p w14:paraId="746D6F9B"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BF8F" w:themeFill="accent6" w:themeFillTint="99"/>
            <w:vAlign w:val="center"/>
          </w:tcPr>
          <w:p w14:paraId="255F7706" w14:textId="77777777" w:rsidR="009A7F62" w:rsidRPr="00847710" w:rsidRDefault="009A7F62" w:rsidP="005115DB">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5A65F71F" w14:textId="6D65326A" w:rsidR="009A7F62" w:rsidRPr="00847710" w:rsidRDefault="00C4284B" w:rsidP="005115DB">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14C64737"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15A6D27D" w14:textId="77777777" w:rsidR="009A7F62" w:rsidRPr="00C4284B" w:rsidRDefault="009A7F62" w:rsidP="005115DB">
            <w:pPr>
              <w:spacing w:after="0" w:line="240" w:lineRule="auto"/>
              <w:jc w:val="center"/>
              <w:rPr>
                <w:rFonts w:ascii="Times New Roman" w:eastAsia="Times New Roman" w:hAnsi="Times New Roman" w:cs="Times New Roman"/>
                <w:b/>
                <w:bCs/>
                <w:iCs/>
                <w:sz w:val="20"/>
                <w:szCs w:val="20"/>
                <w:lang w:eastAsia="lv-LV"/>
              </w:rPr>
            </w:pPr>
            <w:r w:rsidRPr="00C4284B">
              <w:rPr>
                <w:rFonts w:ascii="Times New Roman" w:eastAsia="Times New Roman" w:hAnsi="Times New Roman" w:cs="Times New Roman"/>
                <w:b/>
                <w:bCs/>
                <w:iCs/>
                <w:sz w:val="20"/>
                <w:szCs w:val="20"/>
                <w:lang w:eastAsia="lv-LV"/>
              </w:rPr>
              <w:t>2017</w:t>
            </w:r>
          </w:p>
          <w:p w14:paraId="3BE5C028" w14:textId="77777777" w:rsidR="009A7F62" w:rsidRDefault="009A7F62"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3" w:type="dxa"/>
            <w:shd w:val="clear" w:color="auto" w:fill="FABF8F" w:themeFill="accent6" w:themeFillTint="99"/>
            <w:vAlign w:val="center"/>
          </w:tcPr>
          <w:p w14:paraId="78098197" w14:textId="77777777" w:rsidR="009A7F62" w:rsidRPr="00C4284B" w:rsidRDefault="009A7F62" w:rsidP="005115DB">
            <w:pPr>
              <w:spacing w:after="0" w:line="240" w:lineRule="auto"/>
              <w:jc w:val="center"/>
              <w:rPr>
                <w:rFonts w:ascii="Times New Roman" w:eastAsia="Times New Roman" w:hAnsi="Times New Roman" w:cs="Times New Roman"/>
                <w:b/>
                <w:bCs/>
                <w:iCs/>
                <w:sz w:val="20"/>
                <w:szCs w:val="20"/>
                <w:lang w:eastAsia="lv-LV"/>
              </w:rPr>
            </w:pPr>
            <w:r w:rsidRPr="00C4284B">
              <w:rPr>
                <w:rFonts w:ascii="Times New Roman" w:eastAsia="Times New Roman" w:hAnsi="Times New Roman" w:cs="Times New Roman"/>
                <w:b/>
                <w:bCs/>
                <w:iCs/>
                <w:sz w:val="20"/>
                <w:szCs w:val="20"/>
                <w:lang w:eastAsia="lv-LV"/>
              </w:rPr>
              <w:t>2018</w:t>
            </w:r>
          </w:p>
          <w:p w14:paraId="1FBD6D80" w14:textId="77777777" w:rsidR="009A7F62" w:rsidRDefault="009A7F62"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411E93DA" w14:textId="77777777" w:rsidR="009A7F62" w:rsidRPr="00C4284B" w:rsidRDefault="009A7F62" w:rsidP="005115DB">
            <w:pPr>
              <w:spacing w:after="0" w:line="240" w:lineRule="auto"/>
              <w:jc w:val="center"/>
              <w:rPr>
                <w:rFonts w:ascii="Times New Roman" w:eastAsia="Times New Roman" w:hAnsi="Times New Roman" w:cs="Times New Roman"/>
                <w:b/>
                <w:bCs/>
                <w:iCs/>
                <w:sz w:val="20"/>
                <w:szCs w:val="20"/>
                <w:lang w:eastAsia="lv-LV"/>
              </w:rPr>
            </w:pPr>
            <w:r w:rsidRPr="00C4284B">
              <w:rPr>
                <w:rFonts w:ascii="Times New Roman" w:eastAsia="Times New Roman" w:hAnsi="Times New Roman" w:cs="Times New Roman"/>
                <w:b/>
                <w:bCs/>
                <w:iCs/>
                <w:sz w:val="20"/>
                <w:szCs w:val="20"/>
                <w:lang w:eastAsia="lv-LV"/>
              </w:rPr>
              <w:t>2019</w:t>
            </w:r>
          </w:p>
          <w:p w14:paraId="4D1AEF8E" w14:textId="77777777" w:rsidR="009A7F62" w:rsidRDefault="009A7F62"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0" w:type="dxa"/>
            <w:shd w:val="clear" w:color="auto" w:fill="FABF8F" w:themeFill="accent6" w:themeFillTint="99"/>
            <w:vAlign w:val="center"/>
          </w:tcPr>
          <w:p w14:paraId="1D6500DE" w14:textId="77777777" w:rsidR="009A7F62" w:rsidRPr="00C4284B" w:rsidRDefault="009A7F62" w:rsidP="005115DB">
            <w:pPr>
              <w:spacing w:after="0" w:line="240" w:lineRule="auto"/>
              <w:jc w:val="center"/>
              <w:rPr>
                <w:rFonts w:ascii="Times New Roman" w:eastAsia="Times New Roman" w:hAnsi="Times New Roman" w:cs="Times New Roman"/>
                <w:b/>
                <w:bCs/>
                <w:iCs/>
                <w:sz w:val="20"/>
                <w:szCs w:val="20"/>
                <w:lang w:eastAsia="lv-LV"/>
              </w:rPr>
            </w:pPr>
            <w:r w:rsidRPr="00C4284B">
              <w:rPr>
                <w:rFonts w:ascii="Times New Roman" w:eastAsia="Times New Roman" w:hAnsi="Times New Roman" w:cs="Times New Roman"/>
                <w:b/>
                <w:bCs/>
                <w:iCs/>
                <w:sz w:val="20"/>
                <w:szCs w:val="20"/>
                <w:lang w:eastAsia="lv-LV"/>
              </w:rPr>
              <w:t>2017</w:t>
            </w:r>
          </w:p>
          <w:p w14:paraId="46DEF5CD" w14:textId="77777777" w:rsidR="009A7F62" w:rsidRDefault="009A7F62"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7288994E" w14:textId="77777777" w:rsidR="009A7F62" w:rsidRPr="00C4284B" w:rsidRDefault="009A7F62" w:rsidP="005115DB">
            <w:pPr>
              <w:spacing w:after="0" w:line="240" w:lineRule="auto"/>
              <w:jc w:val="center"/>
              <w:rPr>
                <w:rFonts w:ascii="Times New Roman" w:eastAsia="Times New Roman" w:hAnsi="Times New Roman" w:cs="Times New Roman"/>
                <w:b/>
                <w:bCs/>
                <w:iCs/>
                <w:sz w:val="20"/>
                <w:szCs w:val="20"/>
                <w:lang w:eastAsia="lv-LV"/>
              </w:rPr>
            </w:pPr>
            <w:r w:rsidRPr="00C4284B">
              <w:rPr>
                <w:rFonts w:ascii="Times New Roman" w:eastAsia="Times New Roman" w:hAnsi="Times New Roman" w:cs="Times New Roman"/>
                <w:b/>
                <w:bCs/>
                <w:iCs/>
                <w:sz w:val="20"/>
                <w:szCs w:val="20"/>
                <w:lang w:eastAsia="lv-LV"/>
              </w:rPr>
              <w:t>2018</w:t>
            </w:r>
          </w:p>
          <w:p w14:paraId="7D6E2B63" w14:textId="77777777" w:rsidR="009A7F62" w:rsidRDefault="009A7F62"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0" w:type="dxa"/>
            <w:shd w:val="clear" w:color="auto" w:fill="FABF8F" w:themeFill="accent6" w:themeFillTint="99"/>
            <w:vAlign w:val="center"/>
          </w:tcPr>
          <w:p w14:paraId="06835E18" w14:textId="77777777" w:rsidR="009A7F62" w:rsidRPr="00C4284B" w:rsidRDefault="009A7F62" w:rsidP="005115DB">
            <w:pPr>
              <w:spacing w:after="0" w:line="240" w:lineRule="auto"/>
              <w:jc w:val="center"/>
              <w:rPr>
                <w:rFonts w:ascii="Times New Roman" w:eastAsia="Times New Roman" w:hAnsi="Times New Roman" w:cs="Times New Roman"/>
                <w:b/>
                <w:bCs/>
                <w:iCs/>
                <w:sz w:val="20"/>
                <w:szCs w:val="20"/>
                <w:lang w:eastAsia="lv-LV"/>
              </w:rPr>
            </w:pPr>
            <w:r w:rsidRPr="00C4284B">
              <w:rPr>
                <w:rFonts w:ascii="Times New Roman" w:eastAsia="Times New Roman" w:hAnsi="Times New Roman" w:cs="Times New Roman"/>
                <w:b/>
                <w:bCs/>
                <w:iCs/>
                <w:sz w:val="20"/>
                <w:szCs w:val="20"/>
                <w:lang w:eastAsia="lv-LV"/>
              </w:rPr>
              <w:t>2019</w:t>
            </w:r>
          </w:p>
          <w:p w14:paraId="78BD6C32" w14:textId="77777777" w:rsidR="009A7F62" w:rsidRPr="00C86312" w:rsidRDefault="009A7F62" w:rsidP="005115DB">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9" w:type="dxa"/>
            <w:shd w:val="clear" w:color="auto" w:fill="FABF8F" w:themeFill="accent6" w:themeFillTint="99"/>
            <w:vAlign w:val="center"/>
          </w:tcPr>
          <w:p w14:paraId="15ECC42F"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372F0908"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227A3619"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8" w:type="dxa"/>
            <w:shd w:val="clear" w:color="auto" w:fill="FABF8F" w:themeFill="accent6" w:themeFillTint="99"/>
            <w:vAlign w:val="center"/>
          </w:tcPr>
          <w:p w14:paraId="457A2DC8"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7B3B1D2E"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25DB7183" w14:textId="77777777" w:rsidR="009A7F62" w:rsidRPr="00847710" w:rsidRDefault="009A7F62" w:rsidP="005115D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925BA9" w14:paraId="77FE884B" w14:textId="77777777" w:rsidTr="00E96B74">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5639" w14:textId="77777777" w:rsidR="00925BA9" w:rsidRPr="00847710" w:rsidRDefault="00925BA9" w:rsidP="00925BA9">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A4F2" w14:textId="5DA6A4D1" w:rsidR="00925BA9" w:rsidRPr="00847710" w:rsidRDefault="00925BA9" w:rsidP="00925BA9">
            <w:pPr>
              <w:spacing w:after="0" w:line="240" w:lineRule="auto"/>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Piemaksa manipulācijām 19059 un 19075 par urīnpūšļa fotodinamisku diagnostiku (FDD). Iekļautas medikamenta Hexvix 85 mg izmaksas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CA265" w14:textId="31005B51" w:rsidR="00925BA9" w:rsidRPr="00847710" w:rsidRDefault="00925BA9" w:rsidP="00925BA9">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b/>
                <w:bCs/>
                <w:sz w:val="20"/>
                <w:szCs w:val="20"/>
                <w:lang w:eastAsia="lv-LV"/>
              </w:rPr>
              <w:t>607.36</w:t>
            </w:r>
          </w:p>
        </w:tc>
        <w:tc>
          <w:tcPr>
            <w:tcW w:w="850" w:type="dxa"/>
            <w:tcBorders>
              <w:top w:val="single" w:sz="4" w:space="0" w:color="auto"/>
              <w:left w:val="single" w:sz="4" w:space="0" w:color="auto"/>
              <w:bottom w:val="single" w:sz="4" w:space="0" w:color="auto"/>
              <w:right w:val="single" w:sz="4" w:space="0" w:color="auto"/>
            </w:tcBorders>
            <w:vAlign w:val="center"/>
          </w:tcPr>
          <w:p w14:paraId="239EC54D" w14:textId="77777777" w:rsidR="00925BA9" w:rsidRDefault="00925BA9" w:rsidP="00925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3" w:type="dxa"/>
            <w:tcBorders>
              <w:top w:val="single" w:sz="4" w:space="0" w:color="auto"/>
              <w:left w:val="single" w:sz="4" w:space="0" w:color="auto"/>
              <w:bottom w:val="single" w:sz="4" w:space="0" w:color="auto"/>
              <w:right w:val="single" w:sz="4" w:space="0" w:color="auto"/>
            </w:tcBorders>
            <w:vAlign w:val="center"/>
          </w:tcPr>
          <w:p w14:paraId="1D03CED3" w14:textId="77777777" w:rsidR="00925BA9" w:rsidRDefault="00925BA9" w:rsidP="00925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62242CE" w14:textId="77777777" w:rsidR="00925BA9" w:rsidRDefault="00925BA9" w:rsidP="00925BA9">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B699D9E" w14:textId="77777777" w:rsidR="00925BA9" w:rsidRDefault="00925BA9" w:rsidP="00925BA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7DD0ACDB" w14:textId="77777777" w:rsidR="00925BA9" w:rsidRDefault="00925BA9" w:rsidP="00925BA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4546E" w14:textId="6CFCB059" w:rsidR="00925BA9" w:rsidRPr="00847710" w:rsidRDefault="00925BA9" w:rsidP="00925BA9">
            <w:pPr>
              <w:spacing w:after="0" w:line="240" w:lineRule="auto"/>
              <w:jc w:val="center"/>
              <w:rPr>
                <w:rFonts w:ascii="Times New Roman" w:hAnsi="Times New Roman" w:cs="Times New Roman"/>
                <w:sz w:val="20"/>
                <w:szCs w:val="20"/>
              </w:rPr>
            </w:pPr>
            <w:r w:rsidRPr="00C109ED">
              <w:rPr>
                <w:rFonts w:ascii="Times New Roman" w:eastAsia="Times New Roman" w:hAnsi="Times New Roman" w:cs="Times New Roman"/>
                <w:b/>
                <w:bCs/>
                <w:sz w:val="20"/>
                <w:szCs w:val="20"/>
                <w:lang w:eastAsia="lv-LV"/>
              </w:rPr>
              <w:t>54 662</w:t>
            </w:r>
          </w:p>
        </w:tc>
        <w:tc>
          <w:tcPr>
            <w:tcW w:w="709" w:type="dxa"/>
            <w:tcBorders>
              <w:top w:val="single" w:sz="4" w:space="0" w:color="auto"/>
              <w:left w:val="single" w:sz="4" w:space="0" w:color="auto"/>
              <w:bottom w:val="single" w:sz="4" w:space="0" w:color="auto"/>
              <w:right w:val="single" w:sz="4" w:space="0" w:color="auto"/>
            </w:tcBorders>
            <w:vAlign w:val="center"/>
          </w:tcPr>
          <w:p w14:paraId="74A7D800" w14:textId="77777777" w:rsidR="00925BA9" w:rsidRPr="00C4284B" w:rsidRDefault="00925BA9" w:rsidP="00925BA9">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616623F" w14:textId="77777777" w:rsidR="00925BA9" w:rsidRPr="00C4284B" w:rsidRDefault="00925BA9" w:rsidP="00925BA9">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3C3FA9C" w14:textId="77777777" w:rsidR="00925BA9" w:rsidRPr="00C4284B" w:rsidRDefault="00925BA9" w:rsidP="00925BA9">
            <w:pPr>
              <w:spacing w:after="0" w:line="240" w:lineRule="auto"/>
              <w:jc w:val="center"/>
              <w:rPr>
                <w:rFonts w:ascii="Times New Roman" w:hAnsi="Times New Roman" w:cs="Times New Roman"/>
                <w:b/>
                <w:bCs/>
                <w:sz w:val="20"/>
                <w:szCs w:val="20"/>
              </w:rPr>
            </w:pPr>
            <w:r w:rsidRPr="00C4284B">
              <w:rPr>
                <w:rFonts w:ascii="Times New Roman" w:hAnsi="Times New Roman" w:cs="Times New Roman"/>
                <w:b/>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071DF7B" w14:textId="77777777" w:rsidR="00925BA9" w:rsidRPr="00C4284B" w:rsidRDefault="00925BA9" w:rsidP="00925BA9">
            <w:pPr>
              <w:spacing w:after="0" w:line="240" w:lineRule="auto"/>
              <w:jc w:val="center"/>
              <w:rPr>
                <w:rFonts w:ascii="Times New Roman" w:eastAsia="Times New Roman" w:hAnsi="Times New Roman" w:cs="Times New Roman"/>
                <w:sz w:val="20"/>
                <w:szCs w:val="20"/>
                <w:lang w:eastAsia="lv-LV"/>
              </w:rPr>
            </w:pPr>
            <w:r w:rsidRPr="00C4284B">
              <w:rPr>
                <w:rFonts w:ascii="Times New Roman" w:eastAsia="Times New Roman" w:hAnsi="Times New Roman" w:cs="Times New Roman"/>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B973CFC" w14:textId="77777777" w:rsidR="00925BA9" w:rsidRPr="00C4284B" w:rsidRDefault="00925BA9" w:rsidP="00925BA9">
            <w:pPr>
              <w:spacing w:after="0" w:line="240" w:lineRule="auto"/>
              <w:jc w:val="center"/>
              <w:rPr>
                <w:rFonts w:ascii="Times New Roman" w:eastAsia="Times New Roman" w:hAnsi="Times New Roman" w:cs="Times New Roman"/>
                <w:sz w:val="20"/>
                <w:szCs w:val="20"/>
                <w:lang w:eastAsia="lv-LV"/>
              </w:rPr>
            </w:pPr>
            <w:r w:rsidRPr="00C4284B">
              <w:rPr>
                <w:rFonts w:ascii="Times New Roman" w:eastAsia="Times New Roman" w:hAnsi="Times New Roman" w:cs="Times New Roman"/>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B7E70" w14:textId="07D9485A" w:rsidR="00925BA9" w:rsidRPr="00C86312" w:rsidRDefault="00925BA9" w:rsidP="00925BA9">
            <w:pPr>
              <w:spacing w:after="0" w:line="240" w:lineRule="auto"/>
              <w:jc w:val="center"/>
              <w:rPr>
                <w:rFonts w:ascii="Times New Roman" w:hAnsi="Times New Roman" w:cs="Times New Roman"/>
                <w:b/>
                <w:bCs/>
                <w:color w:val="FF0000"/>
                <w:sz w:val="20"/>
                <w:szCs w:val="20"/>
              </w:rPr>
            </w:pPr>
            <w:r>
              <w:rPr>
                <w:rFonts w:ascii="Times New Roman" w:eastAsia="Times New Roman" w:hAnsi="Times New Roman" w:cs="Times New Roman"/>
                <w:color w:val="000000"/>
                <w:sz w:val="20"/>
                <w:szCs w:val="20"/>
                <w:lang w:eastAsia="lv-LV"/>
              </w:rPr>
              <w:t>90</w:t>
            </w:r>
          </w:p>
        </w:tc>
      </w:tr>
      <w:tr w:rsidR="00E11AFF" w14:paraId="47322030" w14:textId="77777777" w:rsidTr="00E96B74">
        <w:trPr>
          <w:trHeight w:val="189"/>
          <w:jc w:val="center"/>
        </w:trPr>
        <w:tc>
          <w:tcPr>
            <w:tcW w:w="423" w:type="dxa"/>
            <w:shd w:val="clear" w:color="auto" w:fill="FBD4B4" w:themeFill="accent6" w:themeFillTint="66"/>
            <w:noWrap/>
            <w:vAlign w:val="bottom"/>
            <w:hideMark/>
          </w:tcPr>
          <w:p w14:paraId="3D999226" w14:textId="77777777" w:rsidR="00925BA9" w:rsidRPr="00847710" w:rsidRDefault="00925BA9" w:rsidP="00925BA9">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4B4" w:themeFill="accent6" w:themeFillTint="66"/>
            <w:noWrap/>
            <w:vAlign w:val="bottom"/>
            <w:hideMark/>
          </w:tcPr>
          <w:p w14:paraId="47888A08" w14:textId="77777777" w:rsidR="00925BA9" w:rsidRPr="00847710" w:rsidRDefault="00925BA9" w:rsidP="00925BA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center"/>
            <w:hideMark/>
          </w:tcPr>
          <w:p w14:paraId="5C2420A8" w14:textId="77777777" w:rsidR="00925BA9" w:rsidRPr="00833F61" w:rsidRDefault="00925BA9" w:rsidP="00925BA9">
            <w:pPr>
              <w:spacing w:after="0" w:line="240" w:lineRule="auto"/>
              <w:rPr>
                <w:rFonts w:ascii="Times New Roman" w:eastAsia="Times New Roman" w:hAnsi="Times New Roman" w:cs="Times New Roman"/>
                <w:b/>
                <w:sz w:val="20"/>
                <w:szCs w:val="20"/>
                <w:lang w:eastAsia="lv-LV"/>
              </w:rPr>
            </w:pPr>
          </w:p>
        </w:tc>
        <w:tc>
          <w:tcPr>
            <w:tcW w:w="850" w:type="dxa"/>
            <w:shd w:val="clear" w:color="auto" w:fill="FBD4B4" w:themeFill="accent6" w:themeFillTint="66"/>
          </w:tcPr>
          <w:p w14:paraId="7105BF5F" w14:textId="77777777" w:rsidR="00925BA9" w:rsidRPr="00833F61" w:rsidRDefault="00925BA9" w:rsidP="00925BA9">
            <w:pPr>
              <w:spacing w:after="0" w:line="240" w:lineRule="auto"/>
              <w:jc w:val="center"/>
              <w:rPr>
                <w:rFonts w:ascii="Times New Roman" w:hAnsi="Times New Roman" w:cs="Times New Roman"/>
                <w:b/>
                <w:sz w:val="20"/>
                <w:szCs w:val="20"/>
              </w:rPr>
            </w:pPr>
          </w:p>
        </w:tc>
        <w:tc>
          <w:tcPr>
            <w:tcW w:w="853" w:type="dxa"/>
            <w:shd w:val="clear" w:color="auto" w:fill="FBD4B4" w:themeFill="accent6" w:themeFillTint="66"/>
          </w:tcPr>
          <w:p w14:paraId="048B8066" w14:textId="77777777" w:rsidR="00925BA9" w:rsidRPr="00833F61" w:rsidRDefault="00925BA9" w:rsidP="00925BA9">
            <w:pPr>
              <w:spacing w:after="0" w:line="240" w:lineRule="auto"/>
              <w:jc w:val="center"/>
              <w:rPr>
                <w:rFonts w:ascii="Times New Roman" w:hAnsi="Times New Roman" w:cs="Times New Roman"/>
                <w:b/>
                <w:sz w:val="20"/>
                <w:szCs w:val="20"/>
              </w:rPr>
            </w:pPr>
          </w:p>
        </w:tc>
        <w:tc>
          <w:tcPr>
            <w:tcW w:w="851" w:type="dxa"/>
            <w:shd w:val="clear" w:color="auto" w:fill="FBD4B4" w:themeFill="accent6" w:themeFillTint="66"/>
          </w:tcPr>
          <w:p w14:paraId="76C97748" w14:textId="77777777" w:rsidR="00925BA9" w:rsidRPr="00833F61" w:rsidRDefault="00925BA9" w:rsidP="00925BA9">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tcPr>
          <w:p w14:paraId="29F20822" w14:textId="77777777" w:rsidR="00925BA9" w:rsidRDefault="00925BA9" w:rsidP="00925BA9">
            <w:pPr>
              <w:spacing w:after="0" w:line="240" w:lineRule="auto"/>
              <w:jc w:val="center"/>
              <w:rPr>
                <w:rFonts w:ascii="Times New Roman" w:eastAsia="Times New Roman" w:hAnsi="Times New Roman" w:cs="Times New Roman"/>
                <w:b/>
                <w:sz w:val="20"/>
                <w:szCs w:val="20"/>
                <w:lang w:eastAsia="lv-LV"/>
              </w:rPr>
            </w:pPr>
          </w:p>
        </w:tc>
        <w:tc>
          <w:tcPr>
            <w:tcW w:w="851" w:type="dxa"/>
            <w:shd w:val="clear" w:color="auto" w:fill="FBD4B4" w:themeFill="accent6" w:themeFillTint="66"/>
          </w:tcPr>
          <w:p w14:paraId="452EC74F" w14:textId="77777777" w:rsidR="00925BA9" w:rsidRDefault="00925BA9" w:rsidP="00925BA9">
            <w:pPr>
              <w:spacing w:after="0" w:line="240" w:lineRule="auto"/>
              <w:jc w:val="center"/>
              <w:rPr>
                <w:rFonts w:ascii="Times New Roman" w:eastAsia="Times New Roman" w:hAnsi="Times New Roman" w:cs="Times New Roman"/>
                <w:b/>
                <w:sz w:val="20"/>
                <w:szCs w:val="20"/>
                <w:lang w:eastAsia="lv-LV"/>
              </w:rPr>
            </w:pPr>
          </w:p>
        </w:tc>
        <w:tc>
          <w:tcPr>
            <w:tcW w:w="850" w:type="dxa"/>
            <w:shd w:val="clear" w:color="auto" w:fill="FBD4B4" w:themeFill="accent6" w:themeFillTint="66"/>
            <w:noWrap/>
            <w:vAlign w:val="center"/>
          </w:tcPr>
          <w:p w14:paraId="2EA0FC10" w14:textId="4C00B0A0" w:rsidR="00925BA9" w:rsidRPr="00833F61" w:rsidRDefault="00925BA9" w:rsidP="00925BA9">
            <w:pPr>
              <w:spacing w:after="0" w:line="240" w:lineRule="auto"/>
              <w:jc w:val="center"/>
              <w:rPr>
                <w:rFonts w:ascii="Times New Roman" w:hAnsi="Times New Roman" w:cs="Times New Roman"/>
                <w:b/>
                <w:sz w:val="20"/>
                <w:szCs w:val="20"/>
              </w:rPr>
            </w:pPr>
            <w:r w:rsidRPr="00C109ED">
              <w:rPr>
                <w:rFonts w:ascii="Times New Roman" w:eastAsia="Times New Roman" w:hAnsi="Times New Roman" w:cs="Times New Roman"/>
                <w:b/>
                <w:bCs/>
                <w:sz w:val="20"/>
                <w:szCs w:val="20"/>
                <w:lang w:eastAsia="lv-LV"/>
              </w:rPr>
              <w:t>54 662</w:t>
            </w:r>
          </w:p>
        </w:tc>
        <w:tc>
          <w:tcPr>
            <w:tcW w:w="709" w:type="dxa"/>
            <w:shd w:val="clear" w:color="auto" w:fill="FBD4B4" w:themeFill="accent6" w:themeFillTint="66"/>
          </w:tcPr>
          <w:p w14:paraId="70F2CDE6" w14:textId="77777777" w:rsidR="00925BA9" w:rsidRPr="00833F61" w:rsidRDefault="00925BA9" w:rsidP="00925BA9">
            <w:pPr>
              <w:spacing w:after="0" w:line="240" w:lineRule="auto"/>
              <w:jc w:val="center"/>
              <w:rPr>
                <w:rFonts w:ascii="Times New Roman" w:hAnsi="Times New Roman" w:cs="Times New Roman"/>
                <w:b/>
                <w:bCs/>
                <w:color w:val="FF0000"/>
                <w:sz w:val="20"/>
                <w:szCs w:val="20"/>
              </w:rPr>
            </w:pPr>
          </w:p>
        </w:tc>
        <w:tc>
          <w:tcPr>
            <w:tcW w:w="709" w:type="dxa"/>
            <w:shd w:val="clear" w:color="auto" w:fill="FBD4B4" w:themeFill="accent6" w:themeFillTint="66"/>
            <w:vAlign w:val="center"/>
          </w:tcPr>
          <w:p w14:paraId="2DD1D376" w14:textId="77777777" w:rsidR="00925BA9" w:rsidRPr="00833F61" w:rsidRDefault="00925BA9" w:rsidP="00925BA9">
            <w:pPr>
              <w:spacing w:after="0" w:line="240" w:lineRule="auto"/>
              <w:jc w:val="center"/>
              <w:rPr>
                <w:rFonts w:ascii="Times New Roman" w:hAnsi="Times New Roman" w:cs="Times New Roman"/>
                <w:b/>
                <w:bCs/>
                <w:color w:val="FF0000"/>
                <w:sz w:val="20"/>
                <w:szCs w:val="20"/>
              </w:rPr>
            </w:pPr>
          </w:p>
        </w:tc>
        <w:tc>
          <w:tcPr>
            <w:tcW w:w="709" w:type="dxa"/>
            <w:shd w:val="clear" w:color="auto" w:fill="FBD4B4" w:themeFill="accent6" w:themeFillTint="66"/>
            <w:vAlign w:val="center"/>
          </w:tcPr>
          <w:p w14:paraId="65AA26B6" w14:textId="77777777" w:rsidR="00925BA9" w:rsidRPr="00833F61" w:rsidRDefault="00925BA9" w:rsidP="00925BA9">
            <w:pPr>
              <w:spacing w:after="0" w:line="240" w:lineRule="auto"/>
              <w:jc w:val="center"/>
              <w:rPr>
                <w:rFonts w:ascii="Times New Roman" w:hAnsi="Times New Roman" w:cs="Times New Roman"/>
                <w:b/>
                <w:bCs/>
                <w:color w:val="FF0000"/>
                <w:sz w:val="20"/>
                <w:szCs w:val="20"/>
              </w:rPr>
            </w:pPr>
          </w:p>
        </w:tc>
        <w:tc>
          <w:tcPr>
            <w:tcW w:w="708" w:type="dxa"/>
            <w:shd w:val="clear" w:color="auto" w:fill="FBD4B4" w:themeFill="accent6" w:themeFillTint="66"/>
          </w:tcPr>
          <w:p w14:paraId="4B9C13F2" w14:textId="77777777" w:rsidR="00925BA9" w:rsidRDefault="00925BA9" w:rsidP="00925BA9">
            <w:pPr>
              <w:spacing w:after="0" w:line="240" w:lineRule="auto"/>
              <w:jc w:val="center"/>
              <w:rPr>
                <w:rFonts w:ascii="Times New Roman" w:eastAsia="Times New Roman" w:hAnsi="Times New Roman" w:cs="Times New Roman"/>
                <w:color w:val="000000"/>
                <w:sz w:val="20"/>
                <w:szCs w:val="20"/>
                <w:lang w:eastAsia="lv-LV"/>
              </w:rPr>
            </w:pPr>
          </w:p>
        </w:tc>
        <w:tc>
          <w:tcPr>
            <w:tcW w:w="709" w:type="dxa"/>
            <w:shd w:val="clear" w:color="auto" w:fill="FBD4B4" w:themeFill="accent6" w:themeFillTint="66"/>
          </w:tcPr>
          <w:p w14:paraId="3DB6001C" w14:textId="77777777" w:rsidR="00925BA9" w:rsidRDefault="00925BA9" w:rsidP="00925BA9">
            <w:pPr>
              <w:spacing w:after="0" w:line="240" w:lineRule="auto"/>
              <w:jc w:val="center"/>
              <w:rPr>
                <w:rFonts w:ascii="Times New Roman" w:eastAsia="Times New Roman" w:hAnsi="Times New Roman" w:cs="Times New Roman"/>
                <w:color w:val="000000"/>
                <w:sz w:val="20"/>
                <w:szCs w:val="20"/>
                <w:lang w:eastAsia="lv-LV"/>
              </w:rPr>
            </w:pPr>
          </w:p>
        </w:tc>
        <w:tc>
          <w:tcPr>
            <w:tcW w:w="709" w:type="dxa"/>
            <w:shd w:val="clear" w:color="auto" w:fill="FBD4B4" w:themeFill="accent6" w:themeFillTint="66"/>
            <w:noWrap/>
            <w:vAlign w:val="center"/>
          </w:tcPr>
          <w:p w14:paraId="0A2EF9CF" w14:textId="075F481C" w:rsidR="00925BA9" w:rsidRPr="00C4284B" w:rsidRDefault="00925BA9" w:rsidP="00925BA9">
            <w:pPr>
              <w:spacing w:after="0" w:line="240" w:lineRule="auto"/>
              <w:jc w:val="center"/>
              <w:rPr>
                <w:rFonts w:ascii="Times New Roman" w:hAnsi="Times New Roman" w:cs="Times New Roman"/>
                <w:b/>
                <w:bCs/>
                <w:color w:val="FF0000"/>
                <w:sz w:val="20"/>
                <w:szCs w:val="20"/>
              </w:rPr>
            </w:pPr>
            <w:r w:rsidRPr="00C4284B">
              <w:rPr>
                <w:rFonts w:ascii="Times New Roman" w:eastAsia="Times New Roman" w:hAnsi="Times New Roman" w:cs="Times New Roman"/>
                <w:b/>
                <w:color w:val="000000"/>
                <w:sz w:val="20"/>
                <w:szCs w:val="20"/>
                <w:lang w:eastAsia="lv-LV"/>
              </w:rPr>
              <w:t>90</w:t>
            </w:r>
          </w:p>
        </w:tc>
      </w:tr>
    </w:tbl>
    <w:p w14:paraId="0BB4C585" w14:textId="77777777" w:rsidR="009A7F62" w:rsidRDefault="009A7F62" w:rsidP="009A7F62">
      <w:pPr>
        <w:spacing w:after="120"/>
        <w:ind w:firstLine="720"/>
        <w:jc w:val="center"/>
        <w:rPr>
          <w:rFonts w:ascii="Times New Roman" w:eastAsia="Times New Roman" w:hAnsi="Times New Roman" w:cs="Times New Roman"/>
          <w:i/>
          <w:sz w:val="24"/>
          <w:szCs w:val="24"/>
          <w:lang w:eastAsia="lv-LV"/>
        </w:rPr>
        <w:sectPr w:rsidR="009A7F62" w:rsidSect="00E11AFF">
          <w:pgSz w:w="15840" w:h="12240" w:orient="landscape"/>
          <w:pgMar w:top="1701" w:right="1440" w:bottom="1440" w:left="1440" w:header="709" w:footer="709" w:gutter="0"/>
          <w:cols w:space="708"/>
          <w:docGrid w:linePitch="360"/>
        </w:sectPr>
      </w:pPr>
    </w:p>
    <w:p w14:paraId="3870AD59" w14:textId="5DC5E37B" w:rsidR="009A7F62" w:rsidRPr="00E11AFF" w:rsidRDefault="009A7F62" w:rsidP="00E11AFF">
      <w:pPr>
        <w:spacing w:after="120"/>
        <w:ind w:firstLine="720"/>
        <w:jc w:val="center"/>
        <w:rPr>
          <w:rFonts w:ascii="Times New Roman" w:eastAsia="Times New Roman" w:hAnsi="Times New Roman" w:cs="Times New Roman"/>
          <w:i/>
          <w:sz w:val="24"/>
          <w:szCs w:val="24"/>
          <w:lang w:eastAsia="lv-LV"/>
        </w:rPr>
      </w:pPr>
    </w:p>
    <w:p w14:paraId="41546FB2" w14:textId="3C9584FE" w:rsidR="00BE328A" w:rsidRDefault="00B5509A" w:rsidP="00E93259">
      <w:pPr>
        <w:spacing w:after="120"/>
        <w:ind w:firstLine="720"/>
        <w:jc w:val="both"/>
        <w:rPr>
          <w:rFonts w:ascii="Times New Roman" w:hAnsi="Times New Roman" w:cs="Times New Roman"/>
          <w:i/>
          <w:iCs/>
          <w:sz w:val="24"/>
          <w:szCs w:val="24"/>
        </w:rPr>
      </w:pPr>
      <w:r w:rsidRPr="005555EE">
        <w:rPr>
          <w:rFonts w:ascii="Times New Roman" w:eastAsia="Times New Roman" w:hAnsi="Times New Roman" w:cs="Times New Roman"/>
          <w:sz w:val="24"/>
          <w:szCs w:val="24"/>
          <w:lang w:eastAsia="lv-LV"/>
        </w:rPr>
        <w:t>No 2019.gada 1.apr</w:t>
      </w:r>
      <w:r w:rsidRPr="00AA4CDC">
        <w:rPr>
          <w:rFonts w:ascii="Times New Roman" w:eastAsia="Times New Roman" w:hAnsi="Times New Roman" w:cs="Times New Roman"/>
          <w:sz w:val="24"/>
          <w:szCs w:val="24"/>
          <w:lang w:eastAsia="lv-LV"/>
        </w:rPr>
        <w:t xml:space="preserve">īļa nepieciešami </w:t>
      </w:r>
      <w:r w:rsidRPr="00E93259">
        <w:rPr>
          <w:rFonts w:ascii="Times New Roman" w:eastAsia="Times New Roman" w:hAnsi="Times New Roman" w:cs="Times New Roman"/>
          <w:b/>
          <w:sz w:val="24"/>
          <w:szCs w:val="24"/>
          <w:lang w:eastAsia="lv-LV"/>
        </w:rPr>
        <w:t>5</w:t>
      </w:r>
      <w:r w:rsidR="000F60F8" w:rsidRPr="00E93259">
        <w:rPr>
          <w:rFonts w:ascii="Times New Roman" w:eastAsia="Times New Roman" w:hAnsi="Times New Roman" w:cs="Times New Roman"/>
          <w:b/>
          <w:sz w:val="24"/>
          <w:szCs w:val="24"/>
          <w:lang w:eastAsia="lv-LV"/>
        </w:rPr>
        <w:t>4</w:t>
      </w:r>
      <w:r w:rsidRPr="00E93259">
        <w:rPr>
          <w:rFonts w:ascii="Times New Roman" w:eastAsia="Times New Roman" w:hAnsi="Times New Roman" w:cs="Times New Roman"/>
          <w:b/>
          <w:sz w:val="24"/>
          <w:szCs w:val="24"/>
          <w:lang w:eastAsia="lv-LV"/>
        </w:rPr>
        <w:t xml:space="preserve"> 662 </w:t>
      </w:r>
      <w:r w:rsidRPr="00E93259">
        <w:rPr>
          <w:rFonts w:ascii="Times New Roman" w:eastAsia="Times New Roman" w:hAnsi="Times New Roman" w:cs="Times New Roman"/>
          <w:b/>
          <w:i/>
          <w:sz w:val="24"/>
          <w:szCs w:val="24"/>
          <w:lang w:eastAsia="lv-LV"/>
        </w:rPr>
        <w:t>euro</w:t>
      </w:r>
      <w:r w:rsidR="00ED376A" w:rsidRPr="005555EE">
        <w:rPr>
          <w:rFonts w:ascii="Times New Roman" w:eastAsia="Times New Roman" w:hAnsi="Times New Roman" w:cs="Times New Roman"/>
          <w:i/>
          <w:sz w:val="24"/>
          <w:szCs w:val="24"/>
          <w:lang w:eastAsia="lv-LV"/>
        </w:rPr>
        <w:t xml:space="preserve"> </w:t>
      </w:r>
      <w:r w:rsidR="00ED376A" w:rsidRPr="00D23D59">
        <w:rPr>
          <w:rFonts w:ascii="Times New Roman" w:eastAsia="Times New Roman" w:hAnsi="Times New Roman" w:cs="Times New Roman"/>
          <w:sz w:val="24"/>
          <w:szCs w:val="24"/>
          <w:lang w:eastAsia="lv-LV"/>
        </w:rPr>
        <w:t>(</w:t>
      </w:r>
      <w:r w:rsidR="007B6B8F" w:rsidRPr="005555EE">
        <w:rPr>
          <w:rFonts w:ascii="Times New Roman" w:eastAsia="Times New Roman" w:hAnsi="Times New Roman" w:cs="Times New Roman"/>
          <w:sz w:val="24"/>
          <w:szCs w:val="24"/>
          <w:lang w:eastAsia="lv-LV"/>
        </w:rPr>
        <w:t>gadam nepieciešami 72</w:t>
      </w:r>
      <w:r w:rsidR="007B6B8F" w:rsidRPr="00AA4CDC">
        <w:rPr>
          <w:rFonts w:ascii="Times New Roman" w:eastAsia="Times New Roman" w:hAnsi="Times New Roman" w:cs="Times New Roman"/>
          <w:sz w:val="24"/>
          <w:szCs w:val="24"/>
          <w:lang w:eastAsia="lv-LV"/>
        </w:rPr>
        <w:t xml:space="preserve"> 833 = 120*607.36 </w:t>
      </w:r>
      <w:r w:rsidR="007B6B8F" w:rsidRPr="00D23D59">
        <w:rPr>
          <w:rFonts w:ascii="Times New Roman" w:eastAsia="Times New Roman" w:hAnsi="Times New Roman" w:cs="Times New Roman"/>
          <w:i/>
          <w:sz w:val="24"/>
          <w:szCs w:val="24"/>
          <w:lang w:eastAsia="lv-LV"/>
        </w:rPr>
        <w:t>euro</w:t>
      </w:r>
      <w:r w:rsidR="00ED376A" w:rsidRPr="00D23D59">
        <w:rPr>
          <w:rFonts w:ascii="Times New Roman" w:eastAsia="Times New Roman" w:hAnsi="Times New Roman" w:cs="Times New Roman"/>
          <w:sz w:val="24"/>
          <w:szCs w:val="24"/>
          <w:lang w:eastAsia="lv-LV"/>
        </w:rPr>
        <w:t>)</w:t>
      </w:r>
      <w:r w:rsidRPr="005555EE">
        <w:rPr>
          <w:rFonts w:ascii="Times New Roman" w:eastAsia="Times New Roman" w:hAnsi="Times New Roman" w:cs="Times New Roman"/>
          <w:sz w:val="24"/>
          <w:szCs w:val="24"/>
          <w:lang w:eastAsia="lv-LV"/>
        </w:rPr>
        <w:t xml:space="preserve">, lai sniegtu </w:t>
      </w:r>
      <w:r w:rsidR="005410BA" w:rsidRPr="00AA4CDC">
        <w:rPr>
          <w:rFonts w:ascii="Times New Roman" w:eastAsia="Times New Roman" w:hAnsi="Times New Roman" w:cs="Times New Roman"/>
          <w:sz w:val="24"/>
          <w:szCs w:val="24"/>
          <w:lang w:eastAsia="lv-LV"/>
        </w:rPr>
        <w:t xml:space="preserve">90 manipulācijām </w:t>
      </w:r>
      <w:r w:rsidR="005410BA" w:rsidRPr="00D23D59">
        <w:rPr>
          <w:rFonts w:ascii="Times New Roman" w:eastAsia="Times New Roman" w:hAnsi="Times New Roman" w:cs="Times New Roman"/>
          <w:sz w:val="24"/>
          <w:szCs w:val="24"/>
          <w:lang w:eastAsia="lv-LV"/>
        </w:rPr>
        <w:t>p</w:t>
      </w:r>
      <w:r w:rsidRPr="00D23D59">
        <w:rPr>
          <w:rFonts w:ascii="Times New Roman" w:eastAsia="Times New Roman" w:hAnsi="Times New Roman" w:cs="Times New Roman"/>
          <w:sz w:val="24"/>
          <w:szCs w:val="24"/>
          <w:lang w:eastAsia="lv-LV"/>
        </w:rPr>
        <w:t>iemaks</w:t>
      </w:r>
      <w:r w:rsidR="005410BA" w:rsidRPr="00D23D59">
        <w:rPr>
          <w:rFonts w:ascii="Times New Roman" w:eastAsia="Times New Roman" w:hAnsi="Times New Roman" w:cs="Times New Roman"/>
          <w:sz w:val="24"/>
          <w:szCs w:val="24"/>
          <w:lang w:eastAsia="lv-LV"/>
        </w:rPr>
        <w:t>u</w:t>
      </w:r>
      <w:r w:rsidRPr="00D23D59">
        <w:rPr>
          <w:rFonts w:ascii="Times New Roman" w:eastAsia="Times New Roman" w:hAnsi="Times New Roman" w:cs="Times New Roman"/>
          <w:sz w:val="24"/>
          <w:szCs w:val="24"/>
          <w:lang w:eastAsia="lv-LV"/>
        </w:rPr>
        <w:t xml:space="preserve"> manipulācijām 19059 un 19075 par urīnpūšļa fotodinamisku diagnostiku (FDD). Iekļautas medikamenta Hexvix 85 mg izmaksas</w:t>
      </w:r>
      <w:r w:rsidRPr="005555EE">
        <w:rPr>
          <w:rFonts w:ascii="Times New Roman" w:eastAsia="Times New Roman" w:hAnsi="Times New Roman" w:cs="Times New Roman"/>
          <w:sz w:val="24"/>
          <w:szCs w:val="24"/>
          <w:lang w:eastAsia="lv-LV"/>
        </w:rPr>
        <w:t xml:space="preserve">  </w:t>
      </w:r>
      <w:r w:rsidRPr="00982C25">
        <w:rPr>
          <w:rFonts w:ascii="Times New Roman" w:eastAsia="Times New Roman" w:hAnsi="Times New Roman" w:cs="Times New Roman"/>
          <w:sz w:val="24"/>
          <w:szCs w:val="24"/>
          <w:lang w:eastAsia="lv-LV"/>
        </w:rPr>
        <w:t>(</w:t>
      </w:r>
      <w:r w:rsidR="00261EE2">
        <w:rPr>
          <w:rFonts w:ascii="Times New Roman" w:eastAsia="Times New Roman" w:hAnsi="Times New Roman" w:cs="Times New Roman"/>
          <w:sz w:val="24"/>
          <w:szCs w:val="24"/>
          <w:lang w:eastAsia="lv-LV"/>
        </w:rPr>
        <w:t>4</w:t>
      </w:r>
      <w:r w:rsidR="000678A1">
        <w:rPr>
          <w:rFonts w:ascii="Times New Roman" w:eastAsia="Times New Roman" w:hAnsi="Times New Roman" w:cs="Times New Roman"/>
          <w:sz w:val="24"/>
          <w:szCs w:val="24"/>
          <w:lang w:eastAsia="lv-LV"/>
        </w:rPr>
        <w:t>4</w:t>
      </w:r>
      <w:r w:rsidRPr="00982C25">
        <w:rPr>
          <w:rFonts w:ascii="Times New Roman" w:eastAsia="Times New Roman" w:hAnsi="Times New Roman" w:cs="Times New Roman"/>
          <w:sz w:val="24"/>
          <w:szCs w:val="24"/>
          <w:lang w:eastAsia="lv-LV"/>
        </w:rPr>
        <w:t>.tabula).</w:t>
      </w:r>
    </w:p>
    <w:p w14:paraId="0D9A076C" w14:textId="6F8ADF97" w:rsidR="0065281C" w:rsidRPr="00E93259" w:rsidRDefault="00261EE2" w:rsidP="2749705C">
      <w:pPr>
        <w:ind w:firstLine="720"/>
        <w:jc w:val="right"/>
        <w:rPr>
          <w:rFonts w:ascii="Times New Roman" w:hAnsi="Times New Roman" w:cs="Times New Roman"/>
          <w:i/>
          <w:iCs/>
          <w:sz w:val="24"/>
          <w:szCs w:val="24"/>
        </w:rPr>
      </w:pPr>
      <w:r>
        <w:rPr>
          <w:rFonts w:ascii="Times New Roman" w:hAnsi="Times New Roman" w:cs="Times New Roman"/>
          <w:i/>
          <w:iCs/>
          <w:sz w:val="24"/>
          <w:szCs w:val="24"/>
        </w:rPr>
        <w:t>4</w:t>
      </w:r>
      <w:r w:rsidR="000678A1">
        <w:rPr>
          <w:rFonts w:ascii="Times New Roman" w:hAnsi="Times New Roman" w:cs="Times New Roman"/>
          <w:i/>
          <w:iCs/>
          <w:sz w:val="24"/>
          <w:szCs w:val="24"/>
        </w:rPr>
        <w:t>4</w:t>
      </w:r>
      <w:r w:rsidR="00AA5E60" w:rsidRPr="2749705C">
        <w:rPr>
          <w:rFonts w:ascii="Times New Roman" w:hAnsi="Times New Roman" w:cs="Times New Roman"/>
          <w:i/>
          <w:iCs/>
          <w:sz w:val="24"/>
          <w:szCs w:val="24"/>
        </w:rPr>
        <w:t xml:space="preserve">.tabula </w:t>
      </w:r>
    </w:p>
    <w:p w14:paraId="55F506EE" w14:textId="5DC9E1D7" w:rsidR="009B4FC3" w:rsidRPr="005F6E29" w:rsidRDefault="00A949D4" w:rsidP="009B4FC3">
      <w:pPr>
        <w:ind w:firstLine="720"/>
        <w:jc w:val="center"/>
        <w:rPr>
          <w:rFonts w:ascii="Times New Roman" w:hAnsi="Times New Roman" w:cs="Times New Roman"/>
          <w:b/>
          <w:iCs/>
          <w:sz w:val="24"/>
          <w:szCs w:val="24"/>
        </w:rPr>
      </w:pPr>
      <w:r>
        <w:rPr>
          <w:rFonts w:ascii="Times New Roman" w:eastAsia="Times New Roman" w:hAnsi="Times New Roman" w:cs="Times New Roman"/>
          <w:b/>
          <w:color w:val="000000"/>
          <w:sz w:val="24"/>
          <w:szCs w:val="24"/>
          <w:lang w:eastAsia="lv-LV"/>
        </w:rPr>
        <w:t>U</w:t>
      </w:r>
      <w:r w:rsidR="009B4FC3" w:rsidRPr="005F6E29">
        <w:rPr>
          <w:rFonts w:ascii="Times New Roman" w:eastAsia="Times New Roman" w:hAnsi="Times New Roman" w:cs="Times New Roman"/>
          <w:b/>
          <w:color w:val="000000"/>
          <w:sz w:val="24"/>
          <w:szCs w:val="24"/>
          <w:lang w:eastAsia="lv-LV"/>
        </w:rPr>
        <w:t>rīnpūšļa fotodinamisk</w:t>
      </w:r>
      <w:r>
        <w:rPr>
          <w:rFonts w:ascii="Times New Roman" w:eastAsia="Times New Roman" w:hAnsi="Times New Roman" w:cs="Times New Roman"/>
          <w:b/>
          <w:color w:val="000000"/>
          <w:sz w:val="24"/>
          <w:szCs w:val="24"/>
          <w:lang w:eastAsia="lv-LV"/>
        </w:rPr>
        <w:t>ai</w:t>
      </w:r>
      <w:r w:rsidR="009B4FC3" w:rsidRPr="005F6E29">
        <w:rPr>
          <w:rFonts w:ascii="Times New Roman" w:eastAsia="Times New Roman" w:hAnsi="Times New Roman" w:cs="Times New Roman"/>
          <w:b/>
          <w:color w:val="000000"/>
          <w:sz w:val="24"/>
          <w:szCs w:val="24"/>
          <w:lang w:eastAsia="lv-LV"/>
        </w:rPr>
        <w:t xml:space="preserve"> diagnostik</w:t>
      </w:r>
      <w:r>
        <w:rPr>
          <w:rFonts w:ascii="Times New Roman" w:eastAsia="Times New Roman" w:hAnsi="Times New Roman" w:cs="Times New Roman"/>
          <w:b/>
          <w:color w:val="000000"/>
          <w:sz w:val="24"/>
          <w:szCs w:val="24"/>
          <w:lang w:eastAsia="lv-LV"/>
        </w:rPr>
        <w:t>ai</w:t>
      </w:r>
      <w:r w:rsidR="00D23D59">
        <w:rPr>
          <w:rFonts w:ascii="Times New Roman" w:eastAsia="Times New Roman" w:hAnsi="Times New Roman" w:cs="Times New Roman"/>
          <w:b/>
          <w:color w:val="000000"/>
          <w:sz w:val="24"/>
          <w:szCs w:val="24"/>
          <w:lang w:eastAsia="lv-LV"/>
        </w:rPr>
        <w:t xml:space="preserve"> </w:t>
      </w:r>
      <w:r w:rsidR="009B4FC3" w:rsidRPr="005F6E29">
        <w:rPr>
          <w:rFonts w:ascii="Times New Roman" w:eastAsia="Times New Roman" w:hAnsi="Times New Roman" w:cs="Times New Roman"/>
          <w:b/>
          <w:color w:val="000000"/>
          <w:sz w:val="24"/>
          <w:szCs w:val="24"/>
          <w:lang w:eastAsia="lv-LV"/>
        </w:rPr>
        <w:t>nepieciešamais finansējums</w:t>
      </w:r>
    </w:p>
    <w:tbl>
      <w:tblPr>
        <w:tblW w:w="9089" w:type="dxa"/>
        <w:jc w:val="center"/>
        <w:tblLook w:val="04A0" w:firstRow="1" w:lastRow="0" w:firstColumn="1" w:lastColumn="0" w:noHBand="0" w:noVBand="1"/>
      </w:tblPr>
      <w:tblGrid>
        <w:gridCol w:w="757"/>
        <w:gridCol w:w="1790"/>
        <w:gridCol w:w="1261"/>
        <w:gridCol w:w="1339"/>
        <w:gridCol w:w="810"/>
        <w:gridCol w:w="1566"/>
        <w:gridCol w:w="1566"/>
      </w:tblGrid>
      <w:tr w:rsidR="00852948" w:rsidRPr="007F2269" w14:paraId="576EF3DC" w14:textId="0FD3C8E8" w:rsidTr="00E93259">
        <w:trPr>
          <w:trHeight w:val="964"/>
          <w:jc w:val="center"/>
        </w:trPr>
        <w:tc>
          <w:tcPr>
            <w:tcW w:w="77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8A66874" w14:textId="77777777"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Kods</w:t>
            </w:r>
          </w:p>
        </w:tc>
        <w:tc>
          <w:tcPr>
            <w:tcW w:w="191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301F238" w14:textId="77777777"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Manipulācijas nosaukums</w:t>
            </w:r>
          </w:p>
        </w:tc>
        <w:tc>
          <w:tcPr>
            <w:tcW w:w="101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4D34C3D" w14:textId="3949D822"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Plānotais manipulāciju skaits 2019.gadam</w:t>
            </w:r>
          </w:p>
        </w:tc>
        <w:tc>
          <w:tcPr>
            <w:tcW w:w="136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7082067" w14:textId="10E6B4F5"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Plānotais manipulāciju skaits no 2019.gada 1.aprīļa</w:t>
            </w:r>
          </w:p>
        </w:tc>
        <w:tc>
          <w:tcPr>
            <w:tcW w:w="82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25CE937" w14:textId="38C48AA8"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 xml:space="preserve">Tarifs, </w:t>
            </w:r>
          </w:p>
          <w:p w14:paraId="5CB64481" w14:textId="25F5D0ED" w:rsidR="00852948" w:rsidRPr="00E93259" w:rsidRDefault="00852948" w:rsidP="00852948">
            <w:pPr>
              <w:spacing w:after="0" w:line="240" w:lineRule="auto"/>
              <w:jc w:val="center"/>
              <w:rPr>
                <w:rFonts w:ascii="Times New Roman" w:eastAsia="Times New Roman" w:hAnsi="Times New Roman" w:cs="Times New Roman"/>
                <w:i/>
                <w:sz w:val="20"/>
                <w:szCs w:val="20"/>
                <w:lang w:eastAsia="lv-LV"/>
              </w:rPr>
            </w:pPr>
            <w:r w:rsidRPr="00E93259">
              <w:rPr>
                <w:rFonts w:ascii="Times New Roman" w:eastAsia="Times New Roman" w:hAnsi="Times New Roman" w:cs="Times New Roman"/>
                <w:i/>
                <w:sz w:val="20"/>
                <w:szCs w:val="20"/>
                <w:lang w:eastAsia="lv-LV"/>
              </w:rPr>
              <w:t>euro</w:t>
            </w:r>
          </w:p>
        </w:tc>
        <w:tc>
          <w:tcPr>
            <w:tcW w:w="159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89A31C3" w14:textId="74C7C41D"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 xml:space="preserve">Nepieciešamais finansējums no 2019.gada 1.aprīļa, </w:t>
            </w:r>
            <w:r w:rsidRPr="00E93259">
              <w:rPr>
                <w:rFonts w:ascii="Times New Roman" w:eastAsia="Times New Roman" w:hAnsi="Times New Roman" w:cs="Times New Roman"/>
                <w:i/>
                <w:sz w:val="20"/>
                <w:szCs w:val="20"/>
                <w:lang w:eastAsia="lv-LV"/>
              </w:rPr>
              <w:t>euro</w:t>
            </w:r>
          </w:p>
        </w:tc>
        <w:tc>
          <w:tcPr>
            <w:tcW w:w="159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ACF12CC" w14:textId="5994B2BF"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 xml:space="preserve">Nepieciešamais finansējums 2019.gadam </w:t>
            </w:r>
            <w:r w:rsidRPr="00E93259">
              <w:rPr>
                <w:rFonts w:ascii="Times New Roman" w:eastAsia="Times New Roman" w:hAnsi="Times New Roman" w:cs="Times New Roman"/>
                <w:i/>
                <w:sz w:val="20"/>
                <w:szCs w:val="20"/>
                <w:lang w:eastAsia="lv-LV"/>
              </w:rPr>
              <w:t>euro</w:t>
            </w:r>
          </w:p>
        </w:tc>
      </w:tr>
      <w:tr w:rsidR="00852948" w:rsidRPr="007F2269" w14:paraId="2F87F2B8" w14:textId="0510E907" w:rsidTr="00E93259">
        <w:trPr>
          <w:trHeight w:val="255"/>
          <w:jc w:val="center"/>
        </w:trPr>
        <w:tc>
          <w:tcPr>
            <w:tcW w:w="7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37CF70" w14:textId="77777777"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1</w:t>
            </w:r>
          </w:p>
        </w:tc>
        <w:tc>
          <w:tcPr>
            <w:tcW w:w="1918" w:type="dxa"/>
            <w:tcBorders>
              <w:top w:val="nil"/>
              <w:left w:val="nil"/>
              <w:bottom w:val="single" w:sz="4" w:space="0" w:color="auto"/>
              <w:right w:val="single" w:sz="4" w:space="0" w:color="auto"/>
            </w:tcBorders>
            <w:shd w:val="clear" w:color="auto" w:fill="FFFFFF" w:themeFill="background1"/>
            <w:vAlign w:val="center"/>
            <w:hideMark/>
          </w:tcPr>
          <w:p w14:paraId="521DC112" w14:textId="77777777"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2</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14:paraId="5831B083" w14:textId="24AED121"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3</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6DB58951" w14:textId="2EBB76B6"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4</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4B105" w14:textId="5ED5CAD8"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5</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E4634" w14:textId="514334B7"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6</w:t>
            </w:r>
            <w:r w:rsidR="00B00EDF" w:rsidRPr="00E93259">
              <w:rPr>
                <w:rFonts w:ascii="Times New Roman" w:eastAsia="Times New Roman" w:hAnsi="Times New Roman" w:cs="Times New Roman"/>
                <w:sz w:val="20"/>
                <w:szCs w:val="20"/>
                <w:lang w:eastAsia="lv-LV"/>
              </w:rPr>
              <w:t>=4*5</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8634B" w14:textId="4AD3A0FA"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7</w:t>
            </w:r>
            <w:r w:rsidR="00B00EDF" w:rsidRPr="00E93259">
              <w:rPr>
                <w:rFonts w:ascii="Times New Roman" w:eastAsia="Times New Roman" w:hAnsi="Times New Roman" w:cs="Times New Roman"/>
                <w:sz w:val="20"/>
                <w:szCs w:val="20"/>
                <w:lang w:eastAsia="lv-LV"/>
              </w:rPr>
              <w:t>=3*5</w:t>
            </w:r>
          </w:p>
        </w:tc>
      </w:tr>
      <w:tr w:rsidR="00852948" w:rsidRPr="007F2269" w14:paraId="303CA843" w14:textId="46962576" w:rsidTr="00E93259">
        <w:trPr>
          <w:trHeight w:val="558"/>
          <w:jc w:val="center"/>
        </w:trPr>
        <w:tc>
          <w:tcPr>
            <w:tcW w:w="7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7757E3" w14:textId="77777777" w:rsidR="00852948" w:rsidRPr="00E93259" w:rsidRDefault="00852948" w:rsidP="00852948">
            <w:pPr>
              <w:spacing w:after="0" w:line="240" w:lineRule="auto"/>
              <w:jc w:val="center"/>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19071</w:t>
            </w:r>
          </w:p>
        </w:tc>
        <w:tc>
          <w:tcPr>
            <w:tcW w:w="1918" w:type="dxa"/>
            <w:tcBorders>
              <w:top w:val="nil"/>
              <w:left w:val="nil"/>
              <w:bottom w:val="single" w:sz="4" w:space="0" w:color="auto"/>
              <w:right w:val="single" w:sz="4" w:space="0" w:color="auto"/>
            </w:tcBorders>
            <w:shd w:val="clear" w:color="auto" w:fill="FFFFFF" w:themeFill="background1"/>
            <w:vAlign w:val="center"/>
            <w:hideMark/>
          </w:tcPr>
          <w:p w14:paraId="3673472E" w14:textId="77777777" w:rsidR="00852948" w:rsidRPr="00E93259" w:rsidRDefault="00852948" w:rsidP="00852948">
            <w:pPr>
              <w:spacing w:after="0" w:line="240" w:lineRule="auto"/>
              <w:rPr>
                <w:rFonts w:ascii="Times New Roman" w:eastAsia="Times New Roman" w:hAnsi="Times New Roman" w:cs="Times New Roman"/>
                <w:sz w:val="20"/>
                <w:szCs w:val="20"/>
                <w:lang w:eastAsia="lv-LV"/>
              </w:rPr>
            </w:pPr>
            <w:r w:rsidRPr="00E93259">
              <w:rPr>
                <w:rFonts w:ascii="Times New Roman" w:eastAsia="Times New Roman" w:hAnsi="Times New Roman" w:cs="Times New Roman"/>
                <w:sz w:val="20"/>
                <w:szCs w:val="20"/>
                <w:lang w:eastAsia="lv-LV"/>
              </w:rPr>
              <w:t>Piemaksa manipulācijām 19059 un 19075 par urīnpūšļa fotodinamisku diagnostiku (FDD). Iekļautas medikamenta Hexvix 85 mg izmaksas</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14:paraId="05223804" w14:textId="26AC1407" w:rsidR="00852948" w:rsidRPr="00E93259" w:rsidRDefault="00852948" w:rsidP="00852948">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120</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5523" w14:textId="7A5534AB" w:rsidR="00852948" w:rsidRPr="00E93259" w:rsidRDefault="00852948" w:rsidP="00852948">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90</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E6D86" w14:textId="6861D90A" w:rsidR="00852948" w:rsidRPr="00E93259" w:rsidRDefault="00852948" w:rsidP="00852948">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607.36</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9CA2" w14:textId="780D925A" w:rsidR="00852948" w:rsidRPr="00E93259" w:rsidRDefault="00852948" w:rsidP="00852948">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54 662</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80B65" w14:textId="1D580312" w:rsidR="00852948" w:rsidRPr="00E93259" w:rsidRDefault="00852948" w:rsidP="00852948">
            <w:pPr>
              <w:spacing w:after="0" w:line="240" w:lineRule="auto"/>
              <w:jc w:val="center"/>
              <w:rPr>
                <w:rFonts w:ascii="Times New Roman" w:eastAsia="Times New Roman" w:hAnsi="Times New Roman" w:cs="Times New Roman"/>
                <w:b/>
                <w:bCs/>
                <w:sz w:val="20"/>
                <w:szCs w:val="20"/>
                <w:lang w:eastAsia="lv-LV"/>
              </w:rPr>
            </w:pPr>
            <w:r w:rsidRPr="00E93259">
              <w:rPr>
                <w:rFonts w:ascii="Times New Roman" w:eastAsia="Times New Roman" w:hAnsi="Times New Roman" w:cs="Times New Roman"/>
                <w:b/>
                <w:bCs/>
                <w:sz w:val="20"/>
                <w:szCs w:val="20"/>
                <w:lang w:eastAsia="lv-LV"/>
              </w:rPr>
              <w:t>72 883</w:t>
            </w:r>
          </w:p>
        </w:tc>
      </w:tr>
    </w:tbl>
    <w:p w14:paraId="0F296842" w14:textId="77777777" w:rsidR="00994244" w:rsidRDefault="00994244" w:rsidP="00994244">
      <w:pPr>
        <w:spacing w:after="0" w:line="264" w:lineRule="auto"/>
        <w:jc w:val="right"/>
        <w:rPr>
          <w:rFonts w:ascii="Times New Roman" w:eastAsia="Times New Roman" w:hAnsi="Times New Roman" w:cs="Times New Roman"/>
          <w:sz w:val="24"/>
          <w:szCs w:val="24"/>
          <w:lang w:eastAsia="lv-LV"/>
        </w:rPr>
      </w:pPr>
    </w:p>
    <w:p w14:paraId="217B09F3" w14:textId="511F17B5" w:rsidR="00071625" w:rsidRDefault="00071625" w:rsidP="000C29E1">
      <w:pPr>
        <w:spacing w:after="120"/>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89"/>
      </w:tblGrid>
      <w:tr w:rsidR="00AD5166" w14:paraId="0385255B" w14:textId="77777777" w:rsidTr="6494A521">
        <w:tc>
          <w:tcPr>
            <w:tcW w:w="9089" w:type="dxa"/>
          </w:tcPr>
          <w:p w14:paraId="6D417728" w14:textId="7A6D991B" w:rsidR="00AD5166" w:rsidRPr="00EA2B59" w:rsidRDefault="00AD5166" w:rsidP="000C29E1">
            <w:pPr>
              <w:spacing w:after="120"/>
              <w:jc w:val="both"/>
              <w:rPr>
                <w:rFonts w:ascii="Times New Roman" w:hAnsi="Times New Roman"/>
                <w:b/>
                <w:sz w:val="24"/>
                <w:szCs w:val="24"/>
              </w:rPr>
            </w:pPr>
            <w:r w:rsidRPr="00E12849">
              <w:rPr>
                <w:rFonts w:ascii="Times New Roman" w:eastAsia="Times New Roman" w:hAnsi="Times New Roman"/>
                <w:b/>
                <w:bCs/>
                <w:sz w:val="24"/>
                <w:szCs w:val="24"/>
                <w:lang w:eastAsia="lv-LV"/>
              </w:rPr>
              <w:t>Reformas rezultāts - tiks samazināts atkārtotu urīnpūšļa biopsiju skaits un samazināts par 30%</w:t>
            </w:r>
            <w:r w:rsidR="00A77DD4" w:rsidRPr="00E12849">
              <w:rPr>
                <w:rStyle w:val="FootnoteReference"/>
                <w:rFonts w:ascii="Times New Roman" w:eastAsia="Times New Roman" w:hAnsi="Times New Roman"/>
                <w:b/>
                <w:bCs/>
                <w:sz w:val="24"/>
                <w:szCs w:val="24"/>
                <w:lang w:eastAsia="lv-LV"/>
              </w:rPr>
              <w:footnoteReference w:id="21"/>
            </w:r>
            <w:r w:rsidRPr="00E12849">
              <w:rPr>
                <w:rFonts w:ascii="Times New Roman" w:eastAsia="Times New Roman" w:hAnsi="Times New Roman"/>
                <w:b/>
                <w:bCs/>
                <w:sz w:val="24"/>
                <w:szCs w:val="24"/>
                <w:lang w:eastAsia="lv-LV"/>
              </w:rPr>
              <w:t xml:space="preserve"> atkārtotu urīnpūšļa transuretrālo rezekciju- operāciju (manipulācijas kods 19075) skaits, kā arī pagarināta pacientu dzīvildze un </w:t>
            </w:r>
            <w:r w:rsidR="00A26FAD" w:rsidRPr="00E12849">
              <w:rPr>
                <w:rFonts w:ascii="Times New Roman" w:eastAsia="Times New Roman" w:hAnsi="Times New Roman"/>
                <w:b/>
                <w:bCs/>
                <w:sz w:val="24"/>
                <w:szCs w:val="24"/>
                <w:lang w:eastAsia="lv-LV"/>
              </w:rPr>
              <w:t>uzlabota dzīves kvalitāte.</w:t>
            </w:r>
          </w:p>
        </w:tc>
      </w:tr>
    </w:tbl>
    <w:p w14:paraId="619D102D" w14:textId="779F6099" w:rsidR="00AD5166" w:rsidRPr="000C29E1" w:rsidRDefault="00AD5166" w:rsidP="001F05A4">
      <w:pPr>
        <w:spacing w:after="120"/>
        <w:rPr>
          <w:rFonts w:ascii="Times New Roman" w:hAnsi="Times New Roman" w:cs="Times New Roman"/>
          <w:sz w:val="24"/>
          <w:szCs w:val="24"/>
        </w:rPr>
      </w:pPr>
    </w:p>
    <w:p w14:paraId="5C3B7190" w14:textId="18194EA3" w:rsidR="0065281C" w:rsidRDefault="00D765A5" w:rsidP="00FF4B38">
      <w:pPr>
        <w:spacing w:after="0" w:line="240" w:lineRule="auto"/>
        <w:jc w:val="center"/>
        <w:rPr>
          <w:rFonts w:ascii="Times New Roman" w:eastAsia="Times New Roman" w:hAnsi="Times New Roman" w:cs="Times New Roman"/>
          <w:b/>
          <w:color w:val="000000"/>
          <w:sz w:val="24"/>
          <w:szCs w:val="24"/>
          <w:u w:val="single"/>
          <w:lang w:eastAsia="lv-LV"/>
        </w:rPr>
      </w:pPr>
      <w:r w:rsidRPr="00A62D31">
        <w:rPr>
          <w:rFonts w:ascii="Times New Roman" w:eastAsia="Times New Roman" w:hAnsi="Times New Roman" w:cs="Times New Roman"/>
          <w:b/>
          <w:color w:val="000000"/>
          <w:sz w:val="24"/>
          <w:szCs w:val="24"/>
          <w:u w:val="single"/>
          <w:lang w:eastAsia="lv-LV"/>
        </w:rPr>
        <w:t>2.</w:t>
      </w:r>
      <w:r w:rsidR="007C25A0">
        <w:rPr>
          <w:rFonts w:ascii="Times New Roman" w:eastAsia="Times New Roman" w:hAnsi="Times New Roman" w:cs="Times New Roman"/>
          <w:b/>
          <w:color w:val="000000"/>
          <w:sz w:val="24"/>
          <w:szCs w:val="24"/>
          <w:u w:val="single"/>
          <w:lang w:eastAsia="lv-LV"/>
        </w:rPr>
        <w:t>9</w:t>
      </w:r>
      <w:r w:rsidRPr="00A62D31">
        <w:rPr>
          <w:rFonts w:ascii="Times New Roman" w:eastAsia="Times New Roman" w:hAnsi="Times New Roman" w:cs="Times New Roman"/>
          <w:b/>
          <w:color w:val="000000"/>
          <w:sz w:val="24"/>
          <w:szCs w:val="24"/>
          <w:u w:val="single"/>
          <w:lang w:eastAsia="lv-LV"/>
        </w:rPr>
        <w:t>.2. Jauns tarifs prostatas vēža diagnostikai un ārstēšanai (divi tarifi biopsijām un viens priekšdziedzera vēža minimāli invazīvas ārstēša</w:t>
      </w:r>
      <w:r w:rsidR="00FF4B38">
        <w:rPr>
          <w:rFonts w:ascii="Times New Roman" w:eastAsia="Times New Roman" w:hAnsi="Times New Roman" w:cs="Times New Roman"/>
          <w:b/>
          <w:color w:val="000000"/>
          <w:sz w:val="24"/>
          <w:szCs w:val="24"/>
          <w:u w:val="single"/>
          <w:lang w:eastAsia="lv-LV"/>
        </w:rPr>
        <w:t>nas procedūrai ar AIFU iekārtu)</w:t>
      </w:r>
    </w:p>
    <w:p w14:paraId="06D5498F" w14:textId="77777777" w:rsidR="00FF4B38" w:rsidRPr="00FF4B38" w:rsidRDefault="00FF4B38" w:rsidP="00FF4B38">
      <w:pPr>
        <w:spacing w:after="0" w:line="240" w:lineRule="auto"/>
        <w:jc w:val="center"/>
        <w:rPr>
          <w:rFonts w:ascii="Times New Roman" w:eastAsia="Times New Roman" w:hAnsi="Times New Roman" w:cs="Times New Roman"/>
          <w:b/>
          <w:color w:val="000000"/>
          <w:sz w:val="24"/>
          <w:szCs w:val="24"/>
          <w:u w:val="single"/>
          <w:lang w:eastAsia="lv-LV"/>
        </w:rPr>
      </w:pPr>
    </w:p>
    <w:p w14:paraId="2293A14E" w14:textId="57A32A8A" w:rsidR="008228A7" w:rsidRPr="00007A5A" w:rsidRDefault="003A734F" w:rsidP="00A7214B">
      <w:pPr>
        <w:spacing w:after="120"/>
        <w:ind w:firstLine="720"/>
        <w:jc w:val="both"/>
        <w:rPr>
          <w:rFonts w:ascii="Times New Roman" w:eastAsia="Times New Roman" w:hAnsi="Times New Roman" w:cs="Times New Roman"/>
          <w:sz w:val="24"/>
          <w:szCs w:val="24"/>
          <w:lang w:eastAsia="lv-LV"/>
        </w:rPr>
      </w:pPr>
      <w:r w:rsidRPr="00AA4CDC">
        <w:rPr>
          <w:rFonts w:ascii="Times New Roman" w:eastAsia="Times New Roman" w:hAnsi="Times New Roman" w:cs="Times New Roman"/>
          <w:color w:val="000000"/>
          <w:sz w:val="24"/>
          <w:szCs w:val="24"/>
          <w:lang w:eastAsia="lv-LV"/>
        </w:rPr>
        <w:t>Transp</w:t>
      </w:r>
      <w:r>
        <w:rPr>
          <w:rFonts w:ascii="Times New Roman" w:eastAsia="Times New Roman" w:hAnsi="Times New Roman" w:cs="Times New Roman"/>
          <w:color w:val="000000"/>
          <w:sz w:val="24"/>
          <w:szCs w:val="24"/>
          <w:lang w:eastAsia="lv-LV"/>
        </w:rPr>
        <w:t>erineālu tēmētu</w:t>
      </w:r>
      <w:r w:rsidRPr="00AA4CDC">
        <w:rPr>
          <w:rFonts w:ascii="Times New Roman" w:eastAsia="Times New Roman" w:hAnsi="Times New Roman" w:cs="Times New Roman"/>
          <w:color w:val="000000"/>
          <w:sz w:val="24"/>
          <w:szCs w:val="24"/>
          <w:lang w:eastAsia="lv-LV"/>
        </w:rPr>
        <w:t xml:space="preserve"> prostatas biopsij</w:t>
      </w:r>
      <w:r>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sz w:val="24"/>
          <w:szCs w:val="24"/>
          <w:lang w:eastAsia="lv-LV"/>
        </w:rPr>
        <w:t xml:space="preserve"> </w:t>
      </w:r>
      <w:r w:rsidR="007B6B8F">
        <w:rPr>
          <w:rFonts w:ascii="Times New Roman" w:eastAsia="Times New Roman" w:hAnsi="Times New Roman" w:cs="Times New Roman"/>
          <w:sz w:val="24"/>
          <w:szCs w:val="24"/>
          <w:lang w:eastAsia="lv-LV"/>
        </w:rPr>
        <w:t xml:space="preserve">no 2019.gada 1.aprīļa </w:t>
      </w:r>
      <w:r w:rsidR="002629DA">
        <w:rPr>
          <w:rFonts w:ascii="Times New Roman" w:eastAsia="Times New Roman" w:hAnsi="Times New Roman" w:cs="Times New Roman"/>
          <w:sz w:val="24"/>
          <w:szCs w:val="24"/>
          <w:lang w:eastAsia="lv-LV"/>
        </w:rPr>
        <w:t xml:space="preserve"> plānots</w:t>
      </w:r>
      <w:r>
        <w:rPr>
          <w:rFonts w:ascii="Times New Roman" w:eastAsia="Times New Roman" w:hAnsi="Times New Roman" w:cs="Times New Roman"/>
          <w:sz w:val="24"/>
          <w:szCs w:val="24"/>
          <w:lang w:eastAsia="lv-LV"/>
        </w:rPr>
        <w:t xml:space="preserve"> veikt pacien</w:t>
      </w:r>
      <w:r w:rsidR="002B4AC2">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iem, kuriem nepieciešama</w:t>
      </w:r>
      <w:r w:rsidR="002629DA">
        <w:rPr>
          <w:rFonts w:ascii="Times New Roman" w:eastAsia="Times New Roman" w:hAnsi="Times New Roman" w:cs="Times New Roman"/>
          <w:sz w:val="24"/>
          <w:szCs w:val="24"/>
          <w:lang w:eastAsia="lv-LV"/>
        </w:rPr>
        <w:t xml:space="preserve"> d</w:t>
      </w:r>
      <w:r w:rsidR="00611047" w:rsidRPr="00007A5A">
        <w:rPr>
          <w:rFonts w:ascii="Times New Roman" w:eastAsia="Times New Roman" w:hAnsi="Times New Roman" w:cs="Times New Roman"/>
          <w:sz w:val="24"/>
          <w:szCs w:val="24"/>
          <w:lang w:eastAsia="lv-LV"/>
        </w:rPr>
        <w:t>iagnozes precizēšana un slimības stadijas noteikšana</w:t>
      </w:r>
      <w:r>
        <w:rPr>
          <w:rFonts w:ascii="Times New Roman" w:eastAsia="Times New Roman" w:hAnsi="Times New Roman" w:cs="Times New Roman"/>
          <w:sz w:val="24"/>
          <w:szCs w:val="24"/>
          <w:lang w:eastAsia="lv-LV"/>
        </w:rPr>
        <w:t>.</w:t>
      </w:r>
      <w:r w:rsidR="00611047" w:rsidRPr="00007A5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tiem, </w:t>
      </w:r>
      <w:r w:rsidR="00611047" w:rsidRPr="00007A5A">
        <w:rPr>
          <w:rFonts w:ascii="Times New Roman" w:eastAsia="Times New Roman" w:hAnsi="Times New Roman" w:cs="Times New Roman"/>
          <w:sz w:val="24"/>
          <w:szCs w:val="24"/>
          <w:lang w:eastAsia="lv-LV"/>
        </w:rPr>
        <w:t xml:space="preserve">kuriem ir aizdomas par prostatas vēzi, un ir veikta prostatas magnētiskās rezonanses izmeklēšana, kurā iegūto attēlu sapludina ar ultraskaņas izmeklējumā iegūto attēlu, precīzāk nosakot aizdomīgās vietas, no kurām jāpaņem bioptāts morfoloģiskai izmeklēšanai. </w:t>
      </w:r>
      <w:r w:rsidR="001D5969">
        <w:rPr>
          <w:rFonts w:ascii="Times New Roman" w:eastAsia="Times New Roman" w:hAnsi="Times New Roman" w:cs="Times New Roman"/>
          <w:sz w:val="24"/>
          <w:szCs w:val="24"/>
          <w:lang w:eastAsia="lv-LV"/>
        </w:rPr>
        <w:t>P</w:t>
      </w:r>
      <w:r w:rsidR="0077214F" w:rsidRPr="00007A5A">
        <w:rPr>
          <w:rFonts w:ascii="Times New Roman" w:eastAsia="Times New Roman" w:hAnsi="Times New Roman" w:cs="Times New Roman"/>
          <w:sz w:val="24"/>
          <w:szCs w:val="24"/>
          <w:lang w:eastAsia="lv-LV"/>
        </w:rPr>
        <w:t xml:space="preserve">lānotais pacientu skaits </w:t>
      </w:r>
      <w:r w:rsidR="00256E62">
        <w:rPr>
          <w:rFonts w:ascii="Times New Roman" w:eastAsia="Times New Roman" w:hAnsi="Times New Roman" w:cs="Times New Roman"/>
          <w:sz w:val="24"/>
          <w:szCs w:val="24"/>
          <w:lang w:eastAsia="lv-LV"/>
        </w:rPr>
        <w:t>2019.</w:t>
      </w:r>
      <w:r w:rsidR="0077214F" w:rsidRPr="00007A5A">
        <w:rPr>
          <w:rFonts w:ascii="Times New Roman" w:eastAsia="Times New Roman" w:hAnsi="Times New Roman" w:cs="Times New Roman"/>
          <w:sz w:val="24"/>
          <w:szCs w:val="24"/>
          <w:lang w:eastAsia="lv-LV"/>
        </w:rPr>
        <w:t xml:space="preserve">gadā </w:t>
      </w:r>
      <w:r w:rsidR="00256E62">
        <w:rPr>
          <w:rFonts w:ascii="Times New Roman" w:eastAsia="Times New Roman" w:hAnsi="Times New Roman" w:cs="Times New Roman"/>
          <w:sz w:val="24"/>
          <w:szCs w:val="24"/>
          <w:lang w:eastAsia="lv-LV"/>
        </w:rPr>
        <w:t>ir</w:t>
      </w:r>
      <w:r w:rsidR="0077214F" w:rsidRPr="00007A5A">
        <w:rPr>
          <w:rFonts w:ascii="Times New Roman" w:eastAsia="Times New Roman" w:hAnsi="Times New Roman" w:cs="Times New Roman"/>
          <w:sz w:val="24"/>
          <w:szCs w:val="24"/>
          <w:lang w:eastAsia="lv-LV"/>
        </w:rPr>
        <w:t xml:space="preserve"> 20</w:t>
      </w:r>
      <w:r w:rsidR="00C774A0">
        <w:rPr>
          <w:rFonts w:ascii="Times New Roman" w:eastAsia="Times New Roman" w:hAnsi="Times New Roman" w:cs="Times New Roman"/>
          <w:sz w:val="24"/>
          <w:szCs w:val="24"/>
          <w:lang w:eastAsia="lv-LV"/>
        </w:rPr>
        <w:t>0</w:t>
      </w:r>
      <w:r w:rsidR="0077214F" w:rsidRPr="00007A5A">
        <w:rPr>
          <w:rFonts w:ascii="Times New Roman" w:eastAsia="Times New Roman" w:hAnsi="Times New Roman" w:cs="Times New Roman"/>
          <w:sz w:val="24"/>
          <w:szCs w:val="24"/>
          <w:lang w:eastAsia="lv-LV"/>
        </w:rPr>
        <w:t>. Diagnostikas izmeklējum</w:t>
      </w:r>
      <w:r w:rsidR="00256E62">
        <w:rPr>
          <w:rFonts w:ascii="Times New Roman" w:eastAsia="Times New Roman" w:hAnsi="Times New Roman" w:cs="Times New Roman"/>
          <w:sz w:val="24"/>
          <w:szCs w:val="24"/>
          <w:lang w:eastAsia="lv-LV"/>
        </w:rPr>
        <w:t xml:space="preserve">u veiks </w:t>
      </w:r>
      <w:r w:rsidR="00256E62" w:rsidRPr="00007A5A">
        <w:rPr>
          <w:rFonts w:ascii="Times New Roman" w:eastAsia="Times New Roman" w:hAnsi="Times New Roman" w:cs="Times New Roman"/>
          <w:sz w:val="24"/>
          <w:szCs w:val="24"/>
          <w:lang w:eastAsia="lv-LV"/>
        </w:rPr>
        <w:t>Uroloģijas nodaļas "Gaiļezers" dienas stacionāra nodaļā, operāciju blokā "Gaiļezers" vai "Latvijas Onkoloģijas centrs" operāciju zālē</w:t>
      </w:r>
      <w:r w:rsidR="00256E62">
        <w:rPr>
          <w:rFonts w:ascii="Times New Roman" w:eastAsia="Times New Roman" w:hAnsi="Times New Roman" w:cs="Times New Roman"/>
          <w:sz w:val="24"/>
          <w:szCs w:val="24"/>
          <w:lang w:eastAsia="lv-LV"/>
        </w:rPr>
        <w:t>.</w:t>
      </w:r>
      <w:r w:rsidR="0077214F" w:rsidRPr="00007A5A">
        <w:rPr>
          <w:rFonts w:ascii="Times New Roman" w:eastAsia="Times New Roman" w:hAnsi="Times New Roman" w:cs="Times New Roman"/>
          <w:sz w:val="24"/>
          <w:szCs w:val="24"/>
          <w:lang w:eastAsia="lv-LV"/>
        </w:rPr>
        <w:t xml:space="preserve"> Patērētais laiks - 50 min. </w:t>
      </w:r>
      <w:r w:rsidR="00747AEF">
        <w:rPr>
          <w:rFonts w:ascii="Times New Roman" w:eastAsia="Times New Roman" w:hAnsi="Times New Roman" w:cs="Times New Roman"/>
          <w:sz w:val="24"/>
          <w:szCs w:val="24"/>
          <w:lang w:eastAsia="lv-LV"/>
        </w:rPr>
        <w:t>Viena izmeklējuma vidējais t</w:t>
      </w:r>
      <w:r w:rsidR="0077214F" w:rsidRPr="00007A5A">
        <w:rPr>
          <w:rFonts w:ascii="Times New Roman" w:eastAsia="Times New Roman" w:hAnsi="Times New Roman" w:cs="Times New Roman"/>
          <w:sz w:val="24"/>
          <w:szCs w:val="24"/>
          <w:lang w:eastAsia="lv-LV"/>
        </w:rPr>
        <w:t xml:space="preserve">arifs </w:t>
      </w:r>
      <w:r w:rsidR="00747AEF">
        <w:rPr>
          <w:rFonts w:ascii="Times New Roman" w:eastAsia="Times New Roman" w:hAnsi="Times New Roman" w:cs="Times New Roman"/>
          <w:sz w:val="24"/>
          <w:szCs w:val="24"/>
          <w:lang w:eastAsia="lv-LV"/>
        </w:rPr>
        <w:t>sastāda</w:t>
      </w:r>
      <w:r w:rsidR="0077214F" w:rsidRPr="00007A5A">
        <w:rPr>
          <w:rFonts w:ascii="Times New Roman" w:eastAsia="Times New Roman" w:hAnsi="Times New Roman" w:cs="Times New Roman"/>
          <w:sz w:val="24"/>
          <w:szCs w:val="24"/>
          <w:lang w:eastAsia="lv-LV"/>
        </w:rPr>
        <w:t xml:space="preserve"> </w:t>
      </w:r>
      <w:r w:rsidR="00F41B60">
        <w:rPr>
          <w:rFonts w:ascii="Times New Roman" w:eastAsia="Times New Roman" w:hAnsi="Times New Roman" w:cs="Times New Roman"/>
          <w:sz w:val="24"/>
          <w:szCs w:val="24"/>
          <w:lang w:eastAsia="lv-LV"/>
        </w:rPr>
        <w:lastRenderedPageBreak/>
        <w:t>199.96</w:t>
      </w:r>
      <w:r w:rsidR="0077214F" w:rsidRPr="00007A5A">
        <w:rPr>
          <w:rFonts w:ascii="Times New Roman" w:eastAsia="Times New Roman" w:hAnsi="Times New Roman" w:cs="Times New Roman"/>
          <w:sz w:val="24"/>
          <w:szCs w:val="24"/>
          <w:lang w:eastAsia="lv-LV"/>
        </w:rPr>
        <w:t xml:space="preserve"> </w:t>
      </w:r>
      <w:r w:rsidR="0077214F" w:rsidRPr="00BB4113">
        <w:rPr>
          <w:rFonts w:ascii="Times New Roman" w:eastAsia="Times New Roman" w:hAnsi="Times New Roman" w:cs="Times New Roman"/>
          <w:i/>
          <w:sz w:val="24"/>
          <w:szCs w:val="24"/>
          <w:lang w:eastAsia="lv-LV"/>
        </w:rPr>
        <w:t>euro</w:t>
      </w:r>
      <w:r w:rsidR="0077214F" w:rsidRPr="00007A5A">
        <w:rPr>
          <w:rFonts w:ascii="Times New Roman" w:eastAsia="Times New Roman" w:hAnsi="Times New Roman" w:cs="Times New Roman"/>
          <w:sz w:val="24"/>
          <w:szCs w:val="24"/>
          <w:lang w:eastAsia="lv-LV"/>
        </w:rPr>
        <w:t xml:space="preserve">. </w:t>
      </w:r>
      <w:r w:rsidR="00C90834">
        <w:rPr>
          <w:rFonts w:ascii="Times New Roman" w:eastAsia="Times New Roman" w:hAnsi="Times New Roman" w:cs="Times New Roman"/>
          <w:sz w:val="24"/>
          <w:szCs w:val="24"/>
          <w:lang w:eastAsia="lv-LV"/>
        </w:rPr>
        <w:t xml:space="preserve">Kopā </w:t>
      </w:r>
      <w:r w:rsidR="007B6B8F">
        <w:rPr>
          <w:rFonts w:ascii="Times New Roman" w:eastAsia="Times New Roman" w:hAnsi="Times New Roman" w:cs="Times New Roman"/>
          <w:sz w:val="24"/>
          <w:szCs w:val="24"/>
          <w:lang w:eastAsia="lv-LV"/>
        </w:rPr>
        <w:t xml:space="preserve">no </w:t>
      </w:r>
      <w:r w:rsidR="00C90834">
        <w:rPr>
          <w:rFonts w:ascii="Times New Roman" w:eastAsia="Times New Roman" w:hAnsi="Times New Roman" w:cs="Times New Roman"/>
          <w:sz w:val="24"/>
          <w:szCs w:val="24"/>
          <w:lang w:eastAsia="lv-LV"/>
        </w:rPr>
        <w:t>2019.gada</w:t>
      </w:r>
      <w:r w:rsidR="007B6B8F">
        <w:rPr>
          <w:rFonts w:ascii="Times New Roman" w:eastAsia="Times New Roman" w:hAnsi="Times New Roman" w:cs="Times New Roman"/>
          <w:sz w:val="24"/>
          <w:szCs w:val="24"/>
          <w:lang w:eastAsia="lv-LV"/>
        </w:rPr>
        <w:t xml:space="preserve"> 1.aprīļa</w:t>
      </w:r>
      <w:r w:rsidR="00C90834">
        <w:rPr>
          <w:rFonts w:ascii="Times New Roman" w:eastAsia="Times New Roman" w:hAnsi="Times New Roman" w:cs="Times New Roman"/>
          <w:sz w:val="24"/>
          <w:szCs w:val="24"/>
          <w:lang w:eastAsia="lv-LV"/>
        </w:rPr>
        <w:t xml:space="preserve"> nepieciešami </w:t>
      </w:r>
      <w:r w:rsidR="007B6B8F" w:rsidRPr="00265C7E">
        <w:rPr>
          <w:rFonts w:ascii="Times New Roman" w:eastAsia="Times New Roman" w:hAnsi="Times New Roman" w:cs="Times New Roman"/>
          <w:b/>
          <w:sz w:val="24"/>
          <w:szCs w:val="24"/>
          <w:lang w:eastAsia="lv-LV"/>
        </w:rPr>
        <w:t xml:space="preserve">29 994 </w:t>
      </w:r>
      <w:r w:rsidR="007B6B8F" w:rsidRPr="00265C7E">
        <w:rPr>
          <w:rFonts w:ascii="Times New Roman" w:eastAsia="Times New Roman" w:hAnsi="Times New Roman" w:cs="Times New Roman"/>
          <w:b/>
          <w:i/>
          <w:sz w:val="24"/>
          <w:szCs w:val="24"/>
          <w:lang w:eastAsia="lv-LV"/>
        </w:rPr>
        <w:t>euro</w:t>
      </w:r>
      <w:r w:rsidR="007B6B8F">
        <w:rPr>
          <w:rFonts w:ascii="Times New Roman" w:eastAsia="Times New Roman" w:hAnsi="Times New Roman" w:cs="Times New Roman"/>
          <w:sz w:val="24"/>
          <w:szCs w:val="24"/>
          <w:lang w:eastAsia="lv-LV"/>
        </w:rPr>
        <w:t xml:space="preserve">, lai sniegtu </w:t>
      </w:r>
      <w:r w:rsidR="007B6B8F">
        <w:rPr>
          <w:rFonts w:ascii="Times New Roman" w:eastAsia="Times New Roman" w:hAnsi="Times New Roman" w:cs="Times New Roman"/>
          <w:color w:val="000000"/>
          <w:sz w:val="24"/>
          <w:szCs w:val="24"/>
          <w:lang w:eastAsia="lv-LV"/>
        </w:rPr>
        <w:t>t</w:t>
      </w:r>
      <w:r w:rsidR="007B6B8F" w:rsidRPr="007B6B8F">
        <w:rPr>
          <w:rFonts w:ascii="Times New Roman" w:eastAsia="Times New Roman" w:hAnsi="Times New Roman" w:cs="Times New Roman"/>
          <w:color w:val="000000"/>
          <w:sz w:val="24"/>
          <w:szCs w:val="24"/>
          <w:lang w:eastAsia="lv-LV"/>
        </w:rPr>
        <w:t>ransper</w:t>
      </w:r>
      <w:r w:rsidR="007B6B8F">
        <w:rPr>
          <w:rFonts w:ascii="Times New Roman" w:eastAsia="Times New Roman" w:hAnsi="Times New Roman" w:cs="Times New Roman"/>
          <w:color w:val="000000"/>
          <w:sz w:val="24"/>
          <w:szCs w:val="24"/>
          <w:lang w:eastAsia="lv-LV"/>
        </w:rPr>
        <w:t xml:space="preserve">ineāla tēmētu prostatas 150 pacientiem ar tarifu 199.96 </w:t>
      </w:r>
      <w:r w:rsidR="007B6B8F" w:rsidRPr="007B6B8F">
        <w:rPr>
          <w:rFonts w:ascii="Times New Roman" w:eastAsia="Times New Roman" w:hAnsi="Times New Roman" w:cs="Times New Roman"/>
          <w:i/>
          <w:color w:val="000000"/>
          <w:sz w:val="24"/>
          <w:szCs w:val="24"/>
          <w:lang w:eastAsia="lv-LV"/>
        </w:rPr>
        <w:t>euro</w:t>
      </w:r>
      <w:r w:rsidR="007B6B8F">
        <w:rPr>
          <w:rFonts w:ascii="Times New Roman" w:eastAsia="Times New Roman" w:hAnsi="Times New Roman" w:cs="Times New Roman"/>
          <w:color w:val="000000"/>
          <w:sz w:val="24"/>
          <w:szCs w:val="24"/>
          <w:lang w:eastAsia="lv-LV"/>
        </w:rPr>
        <w:t xml:space="preserve"> (gadam nepieciešami</w:t>
      </w:r>
      <w:r w:rsidR="007B6B8F" w:rsidRPr="00983D97">
        <w:rPr>
          <w:rFonts w:ascii="Times New Roman" w:eastAsia="Times New Roman" w:hAnsi="Times New Roman" w:cs="Times New Roman"/>
          <w:b/>
          <w:sz w:val="24"/>
          <w:szCs w:val="24"/>
          <w:lang w:eastAsia="lv-LV"/>
        </w:rPr>
        <w:t xml:space="preserve"> </w:t>
      </w:r>
      <w:r w:rsidR="00F41B60" w:rsidRPr="00265C7E">
        <w:rPr>
          <w:rFonts w:ascii="Times New Roman" w:eastAsia="Times New Roman" w:hAnsi="Times New Roman" w:cs="Times New Roman"/>
          <w:sz w:val="24"/>
          <w:szCs w:val="24"/>
          <w:lang w:eastAsia="lv-LV"/>
        </w:rPr>
        <w:t>39 992</w:t>
      </w:r>
      <w:r w:rsidR="00C90834" w:rsidRPr="00265C7E">
        <w:rPr>
          <w:rFonts w:ascii="Times New Roman" w:eastAsia="Times New Roman" w:hAnsi="Times New Roman" w:cs="Times New Roman"/>
          <w:sz w:val="24"/>
          <w:szCs w:val="24"/>
          <w:lang w:eastAsia="lv-LV"/>
        </w:rPr>
        <w:t xml:space="preserve"> </w:t>
      </w:r>
      <w:r w:rsidR="00C90834" w:rsidRPr="00265C7E">
        <w:rPr>
          <w:rFonts w:ascii="Times New Roman" w:eastAsia="Times New Roman" w:hAnsi="Times New Roman" w:cs="Times New Roman"/>
          <w:i/>
          <w:sz w:val="24"/>
          <w:szCs w:val="24"/>
          <w:lang w:eastAsia="lv-LV"/>
        </w:rPr>
        <w:t>euro</w:t>
      </w:r>
      <w:r w:rsidR="001614EA" w:rsidRPr="001614EA">
        <w:rPr>
          <w:rFonts w:ascii="Times New Roman" w:eastAsia="Times New Roman" w:hAnsi="Times New Roman" w:cs="Times New Roman"/>
          <w:sz w:val="24"/>
          <w:szCs w:val="24"/>
          <w:lang w:eastAsia="lv-LV"/>
        </w:rPr>
        <w:t>)</w:t>
      </w:r>
      <w:r w:rsidR="00C90834">
        <w:rPr>
          <w:rFonts w:ascii="Times New Roman" w:eastAsia="Times New Roman" w:hAnsi="Times New Roman" w:cs="Times New Roman"/>
          <w:sz w:val="24"/>
          <w:szCs w:val="24"/>
          <w:lang w:eastAsia="lv-LV"/>
        </w:rPr>
        <w:t>.</w:t>
      </w:r>
      <w:r w:rsidR="0077214F" w:rsidRPr="00007A5A">
        <w:rPr>
          <w:rFonts w:ascii="Times New Roman" w:eastAsia="Times New Roman" w:hAnsi="Times New Roman" w:cs="Times New Roman"/>
          <w:sz w:val="24"/>
          <w:szCs w:val="24"/>
          <w:lang w:eastAsia="lv-LV"/>
        </w:rPr>
        <w:t xml:space="preserve"> </w:t>
      </w:r>
    </w:p>
    <w:p w14:paraId="212ABE48" w14:textId="5298B589" w:rsidR="008228A7" w:rsidRPr="00007A5A" w:rsidRDefault="00E8764D" w:rsidP="00A7214B">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Transrektālu tēmētu</w:t>
      </w:r>
      <w:r w:rsidRPr="00AA4CDC">
        <w:rPr>
          <w:rFonts w:ascii="Times New Roman" w:eastAsia="Times New Roman" w:hAnsi="Times New Roman" w:cs="Times New Roman"/>
          <w:color w:val="000000"/>
          <w:sz w:val="24"/>
          <w:szCs w:val="24"/>
          <w:lang w:eastAsia="lv-LV"/>
        </w:rPr>
        <w:t xml:space="preserve"> prostatas biopsij</w:t>
      </w:r>
      <w:r>
        <w:rPr>
          <w:rFonts w:ascii="Times New Roman" w:eastAsia="Times New Roman" w:hAnsi="Times New Roman" w:cs="Times New Roman"/>
          <w:color w:val="000000"/>
          <w:sz w:val="24"/>
          <w:szCs w:val="24"/>
          <w:lang w:eastAsia="lv-LV"/>
        </w:rPr>
        <w:t>u veiks</w:t>
      </w:r>
      <w:r w:rsidRPr="003B72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005A19B6" w:rsidRPr="003B72C3">
        <w:rPr>
          <w:rFonts w:ascii="Times New Roman" w:eastAsia="Times New Roman" w:hAnsi="Times New Roman" w:cs="Times New Roman"/>
          <w:sz w:val="24"/>
          <w:szCs w:val="24"/>
          <w:lang w:eastAsia="lv-LV"/>
        </w:rPr>
        <w:t>iagnozes precizēšanai un slimības stadijas noteikšanai pacientiem, kuriem ir aizdomas par prostatas vēzi, un ir veikta prostatas magnētiskās rezonanses izmeklēšana, kurā iegūto attēlu sapludina ar ultraskaņas izmeklējumā iegūto attēlu, precīzāk nosakot aizdomīgās vietas, no kurām jāpaņem bioptāts morfoloģiskai izmeklēšanai</w:t>
      </w:r>
      <w:r w:rsidR="005A19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Izmeklējumu s</w:t>
      </w:r>
      <w:r w:rsidR="005A19B6" w:rsidRPr="003B72C3">
        <w:rPr>
          <w:rFonts w:ascii="Times New Roman" w:eastAsia="Times New Roman" w:hAnsi="Times New Roman" w:cs="Times New Roman"/>
          <w:sz w:val="24"/>
          <w:szCs w:val="24"/>
          <w:lang w:eastAsia="lv-LV"/>
        </w:rPr>
        <w:t xml:space="preserve">niegs </w:t>
      </w:r>
      <w:r>
        <w:rPr>
          <w:rFonts w:ascii="Times New Roman" w:eastAsia="Times New Roman" w:hAnsi="Times New Roman" w:cs="Times New Roman"/>
          <w:sz w:val="24"/>
          <w:szCs w:val="24"/>
          <w:lang w:eastAsia="lv-LV"/>
        </w:rPr>
        <w:t>SIA “Rīgas Austrumu klīniskā universitātes slimnīca”</w:t>
      </w:r>
      <w:r w:rsidR="005A19B6" w:rsidRPr="003B72C3">
        <w:rPr>
          <w:rFonts w:ascii="Times New Roman" w:eastAsia="Times New Roman" w:hAnsi="Times New Roman" w:cs="Times New Roman"/>
          <w:sz w:val="24"/>
          <w:szCs w:val="24"/>
          <w:lang w:eastAsia="lv-LV"/>
        </w:rPr>
        <w:t xml:space="preserve">, Uroloģijas klīnikā - uroloģijas nodaļas "Gaiļezers" dienas stacionāra nodaļa, procedūru kabinets, </w:t>
      </w:r>
      <w:r>
        <w:rPr>
          <w:rFonts w:ascii="Times New Roman" w:eastAsia="Times New Roman" w:hAnsi="Times New Roman" w:cs="Times New Roman"/>
          <w:sz w:val="24"/>
          <w:szCs w:val="24"/>
          <w:lang w:eastAsia="lv-LV"/>
        </w:rPr>
        <w:t>VSIA “</w:t>
      </w:r>
      <w:r w:rsidR="005A19B6" w:rsidRPr="003B72C3">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aula </w:t>
      </w:r>
      <w:r w:rsidR="005A19B6" w:rsidRPr="003B72C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tradiņa klīniskā universitātes slimnīca”</w:t>
      </w:r>
      <w:r w:rsidR="005A19B6" w:rsidRPr="003B72C3">
        <w:rPr>
          <w:rFonts w:ascii="Times New Roman" w:eastAsia="Times New Roman" w:hAnsi="Times New Roman" w:cs="Times New Roman"/>
          <w:sz w:val="24"/>
          <w:szCs w:val="24"/>
          <w:lang w:eastAsia="lv-LV"/>
        </w:rPr>
        <w:t>, uroloģijas nodaļā</w:t>
      </w:r>
      <w:r w:rsidR="005A19B6" w:rsidRPr="001D5969">
        <w:rPr>
          <w:rFonts w:ascii="Times New Roman" w:eastAsia="Times New Roman" w:hAnsi="Times New Roman" w:cs="Times New Roman"/>
          <w:sz w:val="24"/>
          <w:szCs w:val="24"/>
          <w:lang w:eastAsia="lv-LV"/>
        </w:rPr>
        <w:t xml:space="preserve"> </w:t>
      </w:r>
      <w:r w:rsidR="005A19B6">
        <w:rPr>
          <w:rFonts w:ascii="Times New Roman" w:eastAsia="Times New Roman" w:hAnsi="Times New Roman" w:cs="Times New Roman"/>
          <w:sz w:val="24"/>
          <w:szCs w:val="24"/>
          <w:lang w:eastAsia="lv-LV"/>
        </w:rPr>
        <w:t xml:space="preserve"> </w:t>
      </w:r>
      <w:r w:rsidR="001D5969" w:rsidRPr="001D5969">
        <w:rPr>
          <w:rFonts w:ascii="Times New Roman" w:eastAsia="Times New Roman" w:hAnsi="Times New Roman" w:cs="Times New Roman"/>
          <w:sz w:val="24"/>
          <w:szCs w:val="24"/>
          <w:lang w:eastAsia="lv-LV"/>
        </w:rPr>
        <w:t>P</w:t>
      </w:r>
      <w:r w:rsidR="008228A7" w:rsidRPr="00007A5A">
        <w:rPr>
          <w:rFonts w:ascii="Times New Roman" w:eastAsia="Times New Roman" w:hAnsi="Times New Roman" w:cs="Times New Roman"/>
          <w:sz w:val="24"/>
          <w:szCs w:val="24"/>
          <w:lang w:eastAsia="lv-LV"/>
        </w:rPr>
        <w:t xml:space="preserve">lānotais pacientu skaits </w:t>
      </w:r>
      <w:r w:rsidR="000A65C1">
        <w:rPr>
          <w:rFonts w:ascii="Times New Roman" w:eastAsia="Times New Roman" w:hAnsi="Times New Roman" w:cs="Times New Roman"/>
          <w:sz w:val="24"/>
          <w:szCs w:val="24"/>
          <w:lang w:eastAsia="lv-LV"/>
        </w:rPr>
        <w:t xml:space="preserve">2019.gadā </w:t>
      </w:r>
      <w:r w:rsidR="008228A7" w:rsidRPr="00007A5A">
        <w:rPr>
          <w:rFonts w:ascii="Times New Roman" w:eastAsia="Times New Roman" w:hAnsi="Times New Roman" w:cs="Times New Roman"/>
          <w:sz w:val="24"/>
          <w:szCs w:val="24"/>
          <w:lang w:eastAsia="lv-LV"/>
        </w:rPr>
        <w:t xml:space="preserve">- </w:t>
      </w:r>
      <w:r w:rsidR="00917A6F">
        <w:rPr>
          <w:rFonts w:ascii="Times New Roman" w:eastAsia="Times New Roman" w:hAnsi="Times New Roman" w:cs="Times New Roman"/>
          <w:sz w:val="24"/>
          <w:szCs w:val="24"/>
          <w:lang w:eastAsia="lv-LV"/>
        </w:rPr>
        <w:t>12</w:t>
      </w:r>
      <w:r w:rsidR="008228A7" w:rsidRPr="00007A5A">
        <w:rPr>
          <w:rFonts w:ascii="Times New Roman" w:eastAsia="Times New Roman" w:hAnsi="Times New Roman" w:cs="Times New Roman"/>
          <w:sz w:val="24"/>
          <w:szCs w:val="24"/>
          <w:lang w:eastAsia="lv-LV"/>
        </w:rPr>
        <w:t>0. Patērētais laiks</w:t>
      </w:r>
      <w:r w:rsidR="000A65C1">
        <w:rPr>
          <w:rFonts w:ascii="Times New Roman" w:eastAsia="Times New Roman" w:hAnsi="Times New Roman" w:cs="Times New Roman"/>
          <w:sz w:val="24"/>
          <w:szCs w:val="24"/>
          <w:lang w:eastAsia="lv-LV"/>
        </w:rPr>
        <w:t xml:space="preserve"> vienam diagnostiskajam izmeklējumam sastāda</w:t>
      </w:r>
      <w:r w:rsidR="008228A7" w:rsidRPr="00007A5A">
        <w:rPr>
          <w:rFonts w:ascii="Times New Roman" w:eastAsia="Times New Roman" w:hAnsi="Times New Roman" w:cs="Times New Roman"/>
          <w:sz w:val="24"/>
          <w:szCs w:val="24"/>
          <w:lang w:eastAsia="lv-LV"/>
        </w:rPr>
        <w:t xml:space="preserve"> - 50 min. </w:t>
      </w:r>
      <w:r w:rsidR="00747AEF">
        <w:rPr>
          <w:rFonts w:ascii="Times New Roman" w:eastAsia="Times New Roman" w:hAnsi="Times New Roman" w:cs="Times New Roman"/>
          <w:sz w:val="24"/>
          <w:szCs w:val="24"/>
          <w:lang w:eastAsia="lv-LV"/>
        </w:rPr>
        <w:t>Viena izmeklējuma vidējais t</w:t>
      </w:r>
      <w:r w:rsidR="00747AEF" w:rsidRPr="003B72C3">
        <w:rPr>
          <w:rFonts w:ascii="Times New Roman" w:eastAsia="Times New Roman" w:hAnsi="Times New Roman" w:cs="Times New Roman"/>
          <w:sz w:val="24"/>
          <w:szCs w:val="24"/>
          <w:lang w:eastAsia="lv-LV"/>
        </w:rPr>
        <w:t xml:space="preserve">arifs </w:t>
      </w:r>
      <w:r w:rsidR="00747AEF">
        <w:rPr>
          <w:rFonts w:ascii="Times New Roman" w:eastAsia="Times New Roman" w:hAnsi="Times New Roman" w:cs="Times New Roman"/>
          <w:sz w:val="24"/>
          <w:szCs w:val="24"/>
          <w:lang w:eastAsia="lv-LV"/>
        </w:rPr>
        <w:t>sastāda</w:t>
      </w:r>
      <w:r w:rsidR="00747AEF" w:rsidRPr="003B72C3">
        <w:rPr>
          <w:rFonts w:ascii="Times New Roman" w:eastAsia="Times New Roman" w:hAnsi="Times New Roman" w:cs="Times New Roman"/>
          <w:sz w:val="24"/>
          <w:szCs w:val="24"/>
          <w:lang w:eastAsia="lv-LV"/>
        </w:rPr>
        <w:t xml:space="preserve"> </w:t>
      </w:r>
      <w:r w:rsidR="00F41B60">
        <w:rPr>
          <w:rFonts w:ascii="Times New Roman" w:eastAsia="Times New Roman" w:hAnsi="Times New Roman" w:cs="Times New Roman"/>
          <w:sz w:val="24"/>
          <w:szCs w:val="24"/>
          <w:lang w:eastAsia="lv-LV"/>
        </w:rPr>
        <w:t>260.80</w:t>
      </w:r>
      <w:r w:rsidR="008228A7" w:rsidRPr="00007A5A">
        <w:rPr>
          <w:rFonts w:ascii="Times New Roman" w:eastAsia="Times New Roman" w:hAnsi="Times New Roman" w:cs="Times New Roman"/>
          <w:sz w:val="24"/>
          <w:szCs w:val="24"/>
          <w:lang w:eastAsia="lv-LV"/>
        </w:rPr>
        <w:t xml:space="preserve"> </w:t>
      </w:r>
      <w:r w:rsidR="008228A7" w:rsidRPr="00BB4113">
        <w:rPr>
          <w:rFonts w:ascii="Times New Roman" w:eastAsia="Times New Roman" w:hAnsi="Times New Roman" w:cs="Times New Roman"/>
          <w:i/>
          <w:sz w:val="24"/>
          <w:szCs w:val="24"/>
          <w:lang w:eastAsia="lv-LV"/>
        </w:rPr>
        <w:t>euro</w:t>
      </w:r>
      <w:r w:rsidR="008228A7" w:rsidRPr="00007A5A">
        <w:rPr>
          <w:rFonts w:ascii="Times New Roman" w:eastAsia="Times New Roman" w:hAnsi="Times New Roman" w:cs="Times New Roman"/>
          <w:sz w:val="24"/>
          <w:szCs w:val="24"/>
          <w:lang w:eastAsia="lv-LV"/>
        </w:rPr>
        <w:t xml:space="preserve">. </w:t>
      </w:r>
      <w:r w:rsidR="000A65C1">
        <w:rPr>
          <w:rFonts w:ascii="Times New Roman" w:eastAsia="Times New Roman" w:hAnsi="Times New Roman" w:cs="Times New Roman"/>
          <w:sz w:val="24"/>
          <w:szCs w:val="24"/>
          <w:lang w:eastAsia="lv-LV"/>
        </w:rPr>
        <w:t xml:space="preserve">Kopā </w:t>
      </w:r>
      <w:r w:rsidR="00DA7F4E">
        <w:rPr>
          <w:rFonts w:ascii="Times New Roman" w:eastAsia="Times New Roman" w:hAnsi="Times New Roman" w:cs="Times New Roman"/>
          <w:sz w:val="24"/>
          <w:szCs w:val="24"/>
          <w:lang w:eastAsia="lv-LV"/>
        </w:rPr>
        <w:t xml:space="preserve">no 2019.gada 1.aprīļa </w:t>
      </w:r>
      <w:r w:rsidR="000A65C1">
        <w:rPr>
          <w:rFonts w:ascii="Times New Roman" w:eastAsia="Times New Roman" w:hAnsi="Times New Roman" w:cs="Times New Roman"/>
          <w:sz w:val="24"/>
          <w:szCs w:val="24"/>
          <w:lang w:eastAsia="lv-LV"/>
        </w:rPr>
        <w:t xml:space="preserve">nepieciešami </w:t>
      </w:r>
      <w:r w:rsidR="00DA7F4E" w:rsidRPr="00265C7E">
        <w:rPr>
          <w:rFonts w:ascii="Times New Roman" w:eastAsia="Times New Roman" w:hAnsi="Times New Roman" w:cs="Times New Roman"/>
          <w:b/>
          <w:sz w:val="24"/>
          <w:szCs w:val="24"/>
          <w:lang w:eastAsia="lv-LV"/>
        </w:rPr>
        <w:t xml:space="preserve">23 472 </w:t>
      </w:r>
      <w:r w:rsidR="00DA7F4E" w:rsidRPr="00265C7E">
        <w:rPr>
          <w:rFonts w:ascii="Times New Roman" w:eastAsia="Times New Roman" w:hAnsi="Times New Roman" w:cs="Times New Roman"/>
          <w:b/>
          <w:i/>
          <w:sz w:val="24"/>
          <w:szCs w:val="24"/>
          <w:lang w:eastAsia="lv-LV"/>
        </w:rPr>
        <w:t>euro</w:t>
      </w:r>
      <w:r w:rsidR="00DA7F4E">
        <w:rPr>
          <w:rFonts w:ascii="Times New Roman" w:eastAsia="Times New Roman" w:hAnsi="Times New Roman" w:cs="Times New Roman"/>
          <w:sz w:val="24"/>
          <w:szCs w:val="24"/>
          <w:lang w:eastAsia="lv-LV"/>
        </w:rPr>
        <w:t xml:space="preserve">, lai sniegtu </w:t>
      </w:r>
      <w:r w:rsidR="00DA7F4E" w:rsidRPr="00DA7F4E">
        <w:rPr>
          <w:rFonts w:ascii="Times New Roman" w:eastAsia="Times New Roman" w:hAnsi="Times New Roman" w:cs="Times New Roman"/>
          <w:color w:val="000000"/>
          <w:sz w:val="24"/>
          <w:szCs w:val="24"/>
          <w:lang w:eastAsia="lv-LV"/>
        </w:rPr>
        <w:t>transrektālu tēmētu</w:t>
      </w:r>
      <w:r w:rsidR="00DA7F4E">
        <w:rPr>
          <w:rFonts w:ascii="Times New Roman" w:eastAsia="Times New Roman" w:hAnsi="Times New Roman" w:cs="Times New Roman"/>
          <w:color w:val="000000"/>
          <w:sz w:val="24"/>
          <w:szCs w:val="24"/>
          <w:lang w:eastAsia="lv-LV"/>
        </w:rPr>
        <w:t xml:space="preserve"> prostatas biopsiju 90 pacientiem</w:t>
      </w:r>
      <w:r w:rsidR="00DA7F4E" w:rsidRPr="00C90834">
        <w:rPr>
          <w:rFonts w:ascii="Times New Roman" w:eastAsia="Times New Roman" w:hAnsi="Times New Roman" w:cs="Times New Roman"/>
          <w:b/>
          <w:sz w:val="24"/>
          <w:szCs w:val="24"/>
          <w:lang w:eastAsia="lv-LV"/>
        </w:rPr>
        <w:t xml:space="preserve"> </w:t>
      </w:r>
      <w:r w:rsidR="00DA7F4E">
        <w:rPr>
          <w:rFonts w:ascii="Times New Roman" w:eastAsia="Times New Roman" w:hAnsi="Times New Roman" w:cs="Times New Roman"/>
          <w:b/>
          <w:sz w:val="24"/>
          <w:szCs w:val="24"/>
          <w:lang w:eastAsia="lv-LV"/>
        </w:rPr>
        <w:t>(</w:t>
      </w:r>
      <w:r w:rsidR="00DA7F4E" w:rsidRPr="00DA7F4E">
        <w:rPr>
          <w:rFonts w:ascii="Times New Roman" w:eastAsia="Times New Roman" w:hAnsi="Times New Roman" w:cs="Times New Roman"/>
          <w:sz w:val="24"/>
          <w:szCs w:val="24"/>
          <w:lang w:eastAsia="lv-LV"/>
        </w:rPr>
        <w:t xml:space="preserve">gadam nepieciešami </w:t>
      </w:r>
      <w:r w:rsidR="000A65C1" w:rsidRPr="00DA7F4E">
        <w:rPr>
          <w:rFonts w:ascii="Times New Roman" w:eastAsia="Times New Roman" w:hAnsi="Times New Roman" w:cs="Times New Roman"/>
          <w:sz w:val="24"/>
          <w:szCs w:val="24"/>
          <w:lang w:eastAsia="lv-LV"/>
        </w:rPr>
        <w:t>3</w:t>
      </w:r>
      <w:r w:rsidR="00F41B60" w:rsidRPr="00DA7F4E">
        <w:rPr>
          <w:rFonts w:ascii="Times New Roman" w:eastAsia="Times New Roman" w:hAnsi="Times New Roman" w:cs="Times New Roman"/>
          <w:sz w:val="24"/>
          <w:szCs w:val="24"/>
          <w:lang w:eastAsia="lv-LV"/>
        </w:rPr>
        <w:t>1</w:t>
      </w:r>
      <w:r w:rsidR="000A65C1" w:rsidRPr="00DA7F4E">
        <w:rPr>
          <w:rFonts w:ascii="Times New Roman" w:eastAsia="Times New Roman" w:hAnsi="Times New Roman" w:cs="Times New Roman"/>
          <w:sz w:val="24"/>
          <w:szCs w:val="24"/>
          <w:lang w:eastAsia="lv-LV"/>
        </w:rPr>
        <w:t> </w:t>
      </w:r>
      <w:r w:rsidR="00F41B60" w:rsidRPr="00DA7F4E">
        <w:rPr>
          <w:rFonts w:ascii="Times New Roman" w:eastAsia="Times New Roman" w:hAnsi="Times New Roman" w:cs="Times New Roman"/>
          <w:sz w:val="24"/>
          <w:szCs w:val="24"/>
          <w:lang w:eastAsia="lv-LV"/>
        </w:rPr>
        <w:t>296</w:t>
      </w:r>
      <w:r w:rsidR="000A65C1" w:rsidRPr="00DA7F4E">
        <w:rPr>
          <w:rFonts w:ascii="Times New Roman" w:eastAsia="Times New Roman" w:hAnsi="Times New Roman" w:cs="Times New Roman"/>
          <w:sz w:val="24"/>
          <w:szCs w:val="24"/>
          <w:lang w:eastAsia="lv-LV"/>
        </w:rPr>
        <w:t xml:space="preserve"> </w:t>
      </w:r>
      <w:r w:rsidR="000A65C1" w:rsidRPr="00DA7F4E">
        <w:rPr>
          <w:rFonts w:ascii="Times New Roman" w:eastAsia="Times New Roman" w:hAnsi="Times New Roman" w:cs="Times New Roman"/>
          <w:i/>
          <w:sz w:val="24"/>
          <w:szCs w:val="24"/>
          <w:lang w:eastAsia="lv-LV"/>
        </w:rPr>
        <w:t>euro</w:t>
      </w:r>
      <w:r w:rsidR="00DA7F4E" w:rsidRPr="00DA7F4E">
        <w:rPr>
          <w:rFonts w:ascii="Times New Roman" w:eastAsia="Times New Roman" w:hAnsi="Times New Roman" w:cs="Times New Roman"/>
          <w:sz w:val="24"/>
          <w:szCs w:val="24"/>
          <w:lang w:eastAsia="lv-LV"/>
        </w:rPr>
        <w:t>)</w:t>
      </w:r>
      <w:r w:rsidR="00A7214B">
        <w:rPr>
          <w:rFonts w:ascii="Times New Roman" w:eastAsia="Times New Roman" w:hAnsi="Times New Roman" w:cs="Times New Roman"/>
          <w:sz w:val="24"/>
          <w:szCs w:val="24"/>
          <w:lang w:eastAsia="lv-LV"/>
        </w:rPr>
        <w:t>.</w:t>
      </w:r>
    </w:p>
    <w:p w14:paraId="5B91568E" w14:textId="02A23E3C" w:rsidR="00F26930" w:rsidRDefault="00E8764D" w:rsidP="00051136">
      <w:pPr>
        <w:spacing w:after="120"/>
        <w:ind w:firstLine="720"/>
        <w:jc w:val="both"/>
        <w:rPr>
          <w:rFonts w:ascii="Times New Roman" w:eastAsia="Times New Roman" w:hAnsi="Times New Roman" w:cs="Times New Roman"/>
          <w:sz w:val="24"/>
          <w:szCs w:val="24"/>
          <w:lang w:eastAsia="lv-LV"/>
        </w:rPr>
      </w:pPr>
      <w:r w:rsidRPr="00AA4CDC">
        <w:rPr>
          <w:rFonts w:ascii="Times New Roman" w:eastAsia="Times New Roman" w:hAnsi="Times New Roman" w:cs="Times New Roman"/>
          <w:color w:val="000000"/>
          <w:sz w:val="24"/>
          <w:szCs w:val="24"/>
          <w:lang w:eastAsia="lv-LV"/>
        </w:rPr>
        <w:t>Priekšdziedzera vēža minimāli invazīvas ārstēšanas procedūra ar AIFU (augstas intensitātes fokusēta ultraskaņa) iekārtu</w:t>
      </w:r>
      <w:r>
        <w:rPr>
          <w:rFonts w:ascii="Times New Roman" w:eastAsia="Times New Roman" w:hAnsi="Times New Roman" w:cs="Times New Roman"/>
          <w:sz w:val="24"/>
          <w:szCs w:val="24"/>
          <w:lang w:eastAsia="lv-LV"/>
        </w:rPr>
        <w:t xml:space="preserve"> </w:t>
      </w:r>
      <w:r w:rsidR="00E86385">
        <w:rPr>
          <w:rFonts w:ascii="Times New Roman" w:eastAsia="Times New Roman" w:hAnsi="Times New Roman" w:cs="Times New Roman"/>
          <w:sz w:val="24"/>
          <w:szCs w:val="24"/>
          <w:lang w:eastAsia="lv-LV"/>
        </w:rPr>
        <w:t xml:space="preserve">2019.gadā tiek plānots sniegt </w:t>
      </w:r>
      <w:r w:rsidR="000E0F94">
        <w:rPr>
          <w:rFonts w:ascii="Times New Roman" w:eastAsia="Times New Roman" w:hAnsi="Times New Roman" w:cs="Times New Roman"/>
          <w:sz w:val="24"/>
          <w:szCs w:val="24"/>
          <w:lang w:eastAsia="lv-LV"/>
        </w:rPr>
        <w:t>40</w:t>
      </w:r>
      <w:r w:rsidR="00E86385">
        <w:rPr>
          <w:rFonts w:ascii="Times New Roman" w:eastAsia="Times New Roman" w:hAnsi="Times New Roman" w:cs="Times New Roman"/>
          <w:sz w:val="24"/>
          <w:szCs w:val="24"/>
          <w:lang w:eastAsia="lv-LV"/>
        </w:rPr>
        <w:t xml:space="preserve"> pacientiem </w:t>
      </w:r>
      <w:r w:rsidR="00E86385">
        <w:rPr>
          <w:rFonts w:ascii="Times New Roman" w:eastAsia="Times New Roman" w:hAnsi="Times New Roman" w:cs="Times New Roman"/>
          <w:color w:val="000000"/>
          <w:sz w:val="24"/>
          <w:szCs w:val="24"/>
          <w:lang w:eastAsia="lv-LV"/>
        </w:rPr>
        <w:t>p</w:t>
      </w:r>
      <w:r w:rsidR="00E86385" w:rsidRPr="00E86385">
        <w:rPr>
          <w:rFonts w:ascii="Times New Roman" w:eastAsia="Times New Roman" w:hAnsi="Times New Roman" w:cs="Times New Roman"/>
          <w:color w:val="000000"/>
          <w:sz w:val="24"/>
          <w:szCs w:val="24"/>
          <w:lang w:eastAsia="lv-LV"/>
        </w:rPr>
        <w:t>riekšdziedzera vēža minimāl</w:t>
      </w:r>
      <w:r w:rsidR="00E86385">
        <w:rPr>
          <w:rFonts w:ascii="Times New Roman" w:eastAsia="Times New Roman" w:hAnsi="Times New Roman" w:cs="Times New Roman"/>
          <w:color w:val="000000"/>
          <w:sz w:val="24"/>
          <w:szCs w:val="24"/>
          <w:lang w:eastAsia="lv-LV"/>
        </w:rPr>
        <w:t>i invazīvas ārstēšanas procedūru</w:t>
      </w:r>
      <w:r w:rsidR="00E86385" w:rsidRPr="00E86385">
        <w:rPr>
          <w:rFonts w:ascii="Times New Roman" w:eastAsia="Times New Roman" w:hAnsi="Times New Roman" w:cs="Times New Roman"/>
          <w:color w:val="000000"/>
          <w:sz w:val="24"/>
          <w:szCs w:val="24"/>
          <w:lang w:eastAsia="lv-LV"/>
        </w:rPr>
        <w:t xml:space="preserve"> ar AIFU (augstas intensitātes fokusēta ultraskaņa) iekārtu</w:t>
      </w:r>
      <w:r w:rsidR="00E86385">
        <w:rPr>
          <w:rFonts w:ascii="Times New Roman" w:eastAsia="Times New Roman" w:hAnsi="Times New Roman" w:cs="Times New Roman"/>
          <w:sz w:val="24"/>
          <w:szCs w:val="24"/>
          <w:lang w:eastAsia="lv-LV"/>
        </w:rPr>
        <w:t xml:space="preserve"> </w:t>
      </w:r>
      <w:r w:rsidR="008228A7" w:rsidRPr="00007A5A">
        <w:rPr>
          <w:rFonts w:ascii="Times New Roman" w:eastAsia="Times New Roman" w:hAnsi="Times New Roman" w:cs="Times New Roman"/>
          <w:sz w:val="24"/>
          <w:szCs w:val="24"/>
          <w:lang w:eastAsia="lv-LV"/>
        </w:rPr>
        <w:t>Uroloģijas klīnikā - uroloģijas nodaļas "Gaiļezers" dienas stacionāra nodaļa, operāciju blokā "Gaiļezers", "Latvijas Onkoloģijas centrs" operāciju zālē</w:t>
      </w:r>
      <w:r w:rsidR="00E86385">
        <w:rPr>
          <w:rFonts w:ascii="Times New Roman" w:eastAsia="Times New Roman" w:hAnsi="Times New Roman" w:cs="Times New Roman"/>
          <w:sz w:val="24"/>
          <w:szCs w:val="24"/>
          <w:lang w:eastAsia="lv-LV"/>
        </w:rPr>
        <w:t>, kur viena pakalpojuma vidējais t</w:t>
      </w:r>
      <w:r w:rsidR="00E86385" w:rsidRPr="003B72C3">
        <w:rPr>
          <w:rFonts w:ascii="Times New Roman" w:eastAsia="Times New Roman" w:hAnsi="Times New Roman" w:cs="Times New Roman"/>
          <w:sz w:val="24"/>
          <w:szCs w:val="24"/>
          <w:lang w:eastAsia="lv-LV"/>
        </w:rPr>
        <w:t xml:space="preserve">arifs </w:t>
      </w:r>
      <w:r w:rsidR="00E86385">
        <w:rPr>
          <w:rFonts w:ascii="Times New Roman" w:eastAsia="Times New Roman" w:hAnsi="Times New Roman" w:cs="Times New Roman"/>
          <w:sz w:val="24"/>
          <w:szCs w:val="24"/>
          <w:lang w:eastAsia="lv-LV"/>
        </w:rPr>
        <w:t>sastāda</w:t>
      </w:r>
      <w:r w:rsidR="00E86385" w:rsidRPr="003B72C3">
        <w:rPr>
          <w:rFonts w:ascii="Times New Roman" w:eastAsia="Times New Roman" w:hAnsi="Times New Roman" w:cs="Times New Roman"/>
          <w:sz w:val="24"/>
          <w:szCs w:val="24"/>
          <w:lang w:eastAsia="lv-LV"/>
        </w:rPr>
        <w:t xml:space="preserve"> </w:t>
      </w:r>
      <w:r w:rsidR="000E0F94">
        <w:rPr>
          <w:rFonts w:ascii="Times New Roman" w:eastAsia="Times New Roman" w:hAnsi="Times New Roman" w:cs="Times New Roman"/>
          <w:sz w:val="24"/>
          <w:szCs w:val="24"/>
          <w:lang w:eastAsia="lv-LV"/>
        </w:rPr>
        <w:t>1 924.85</w:t>
      </w:r>
      <w:r w:rsidR="00E86385">
        <w:rPr>
          <w:rFonts w:ascii="Times New Roman" w:eastAsia="Times New Roman" w:hAnsi="Times New Roman" w:cs="Times New Roman"/>
          <w:sz w:val="24"/>
          <w:szCs w:val="24"/>
          <w:lang w:eastAsia="lv-LV"/>
        </w:rPr>
        <w:t> </w:t>
      </w:r>
      <w:r w:rsidR="00E86385" w:rsidRPr="00BB4113">
        <w:rPr>
          <w:rFonts w:ascii="Times New Roman" w:eastAsia="Times New Roman" w:hAnsi="Times New Roman" w:cs="Times New Roman"/>
          <w:i/>
          <w:sz w:val="24"/>
          <w:szCs w:val="24"/>
          <w:lang w:eastAsia="lv-LV"/>
        </w:rPr>
        <w:t>euro</w:t>
      </w:r>
      <w:r w:rsidR="008228A7" w:rsidRPr="00007A5A">
        <w:rPr>
          <w:rFonts w:ascii="Times New Roman" w:eastAsia="Times New Roman" w:hAnsi="Times New Roman" w:cs="Times New Roman"/>
          <w:sz w:val="24"/>
          <w:szCs w:val="24"/>
          <w:lang w:eastAsia="lv-LV"/>
        </w:rPr>
        <w:t>.</w:t>
      </w:r>
      <w:r w:rsidR="00E86385">
        <w:rPr>
          <w:rFonts w:ascii="Times New Roman" w:eastAsia="Times New Roman" w:hAnsi="Times New Roman" w:cs="Times New Roman"/>
          <w:sz w:val="24"/>
          <w:szCs w:val="24"/>
          <w:lang w:eastAsia="lv-LV"/>
        </w:rPr>
        <w:t xml:space="preserve"> </w:t>
      </w:r>
      <w:r w:rsidR="00DA7F4E">
        <w:rPr>
          <w:rFonts w:ascii="Times New Roman" w:eastAsia="Times New Roman" w:hAnsi="Times New Roman" w:cs="Times New Roman"/>
          <w:sz w:val="24"/>
          <w:szCs w:val="24"/>
          <w:lang w:eastAsia="lv-LV"/>
        </w:rPr>
        <w:t xml:space="preserve">No </w:t>
      </w:r>
      <w:r w:rsidR="00E86385">
        <w:rPr>
          <w:rFonts w:ascii="Times New Roman" w:eastAsia="Times New Roman" w:hAnsi="Times New Roman" w:cs="Times New Roman"/>
          <w:sz w:val="24"/>
          <w:szCs w:val="24"/>
          <w:lang w:eastAsia="lv-LV"/>
        </w:rPr>
        <w:t>2019.gada</w:t>
      </w:r>
      <w:r w:rsidR="00DA7F4E">
        <w:rPr>
          <w:rFonts w:ascii="Times New Roman" w:eastAsia="Times New Roman" w:hAnsi="Times New Roman" w:cs="Times New Roman"/>
          <w:sz w:val="24"/>
          <w:szCs w:val="24"/>
          <w:lang w:eastAsia="lv-LV"/>
        </w:rPr>
        <w:t xml:space="preserve"> 1.aprīļa</w:t>
      </w:r>
      <w:r w:rsidR="00E86385">
        <w:rPr>
          <w:rFonts w:ascii="Times New Roman" w:eastAsia="Times New Roman" w:hAnsi="Times New Roman" w:cs="Times New Roman"/>
          <w:sz w:val="24"/>
          <w:szCs w:val="24"/>
          <w:lang w:eastAsia="lv-LV"/>
        </w:rPr>
        <w:t xml:space="preserve">  nepieciešami</w:t>
      </w:r>
      <w:r w:rsidR="00DA7F4E">
        <w:rPr>
          <w:rFonts w:ascii="Times New Roman" w:eastAsia="Times New Roman" w:hAnsi="Times New Roman" w:cs="Times New Roman"/>
          <w:sz w:val="24"/>
          <w:szCs w:val="24"/>
          <w:lang w:eastAsia="lv-LV"/>
        </w:rPr>
        <w:t xml:space="preserve"> </w:t>
      </w:r>
      <w:r w:rsidR="00DA7F4E" w:rsidRPr="00265C7E">
        <w:rPr>
          <w:rFonts w:ascii="Times New Roman" w:eastAsia="Times New Roman" w:hAnsi="Times New Roman" w:cs="Times New Roman"/>
          <w:b/>
          <w:sz w:val="24"/>
          <w:szCs w:val="24"/>
          <w:lang w:eastAsia="lv-LV"/>
        </w:rPr>
        <w:t xml:space="preserve">57 746 </w:t>
      </w:r>
      <w:r w:rsidR="00DA7F4E" w:rsidRPr="00265C7E">
        <w:rPr>
          <w:rFonts w:ascii="Times New Roman" w:eastAsia="Times New Roman" w:hAnsi="Times New Roman" w:cs="Times New Roman"/>
          <w:b/>
          <w:i/>
          <w:sz w:val="24"/>
          <w:szCs w:val="24"/>
          <w:lang w:eastAsia="lv-LV"/>
        </w:rPr>
        <w:t>euro</w:t>
      </w:r>
      <w:r w:rsidR="00DA7F4E">
        <w:rPr>
          <w:rFonts w:ascii="Times New Roman" w:eastAsia="Times New Roman" w:hAnsi="Times New Roman" w:cs="Times New Roman"/>
          <w:sz w:val="24"/>
          <w:szCs w:val="24"/>
          <w:lang w:eastAsia="lv-LV"/>
        </w:rPr>
        <w:t>, lai veiktu</w:t>
      </w:r>
      <w:r w:rsidR="00E86385">
        <w:rPr>
          <w:rFonts w:ascii="Times New Roman" w:eastAsia="Times New Roman" w:hAnsi="Times New Roman" w:cs="Times New Roman"/>
          <w:sz w:val="24"/>
          <w:szCs w:val="24"/>
          <w:lang w:eastAsia="lv-LV"/>
        </w:rPr>
        <w:t xml:space="preserve"> </w:t>
      </w:r>
      <w:r w:rsidR="00DA7F4E" w:rsidRPr="00DA7F4E">
        <w:rPr>
          <w:rFonts w:ascii="Times New Roman" w:eastAsia="Times New Roman" w:hAnsi="Times New Roman" w:cs="Times New Roman"/>
          <w:color w:val="000000"/>
          <w:sz w:val="24"/>
          <w:szCs w:val="24"/>
          <w:lang w:eastAsia="lv-LV"/>
        </w:rPr>
        <w:t>priekšdziedzera vēža minimāl</w:t>
      </w:r>
      <w:r w:rsidR="00DA7F4E">
        <w:rPr>
          <w:rFonts w:ascii="Times New Roman" w:eastAsia="Times New Roman" w:hAnsi="Times New Roman" w:cs="Times New Roman"/>
          <w:color w:val="000000"/>
          <w:sz w:val="24"/>
          <w:szCs w:val="24"/>
          <w:lang w:eastAsia="lv-LV"/>
        </w:rPr>
        <w:t>i invazīvas ārstēšanas procedūru</w:t>
      </w:r>
      <w:r w:rsidR="00DA7F4E" w:rsidRPr="00DA7F4E">
        <w:rPr>
          <w:rFonts w:ascii="Times New Roman" w:eastAsia="Times New Roman" w:hAnsi="Times New Roman" w:cs="Times New Roman"/>
          <w:color w:val="000000"/>
          <w:sz w:val="24"/>
          <w:szCs w:val="24"/>
          <w:lang w:eastAsia="lv-LV"/>
        </w:rPr>
        <w:t xml:space="preserve"> ar AIFU (augstas intensitātes fokusēta ultraskaņa) iekārtu</w:t>
      </w:r>
      <w:r w:rsidR="00DA7F4E" w:rsidRPr="00C90834">
        <w:rPr>
          <w:rFonts w:ascii="Times New Roman" w:eastAsia="Times New Roman" w:hAnsi="Times New Roman" w:cs="Times New Roman"/>
          <w:b/>
          <w:sz w:val="24"/>
          <w:szCs w:val="24"/>
          <w:lang w:eastAsia="lv-LV"/>
        </w:rPr>
        <w:t xml:space="preserve"> </w:t>
      </w:r>
      <w:r w:rsidR="00DA7F4E" w:rsidRPr="00DA7F4E">
        <w:rPr>
          <w:rFonts w:ascii="Times New Roman" w:eastAsia="Times New Roman" w:hAnsi="Times New Roman" w:cs="Times New Roman"/>
          <w:sz w:val="24"/>
          <w:szCs w:val="24"/>
          <w:lang w:eastAsia="lv-LV"/>
        </w:rPr>
        <w:t xml:space="preserve">30 pacientiem (gadam nepieciešami </w:t>
      </w:r>
      <w:r w:rsidR="00E86385" w:rsidRPr="00265C7E">
        <w:rPr>
          <w:rFonts w:ascii="Times New Roman" w:eastAsia="Times New Roman" w:hAnsi="Times New Roman" w:cs="Times New Roman"/>
          <w:sz w:val="24"/>
          <w:szCs w:val="24"/>
          <w:lang w:eastAsia="lv-LV"/>
        </w:rPr>
        <w:t>7</w:t>
      </w:r>
      <w:r w:rsidR="000E0F94" w:rsidRPr="00265C7E">
        <w:rPr>
          <w:rFonts w:ascii="Times New Roman" w:eastAsia="Times New Roman" w:hAnsi="Times New Roman" w:cs="Times New Roman"/>
          <w:sz w:val="24"/>
          <w:szCs w:val="24"/>
          <w:lang w:eastAsia="lv-LV"/>
        </w:rPr>
        <w:t>6 994</w:t>
      </w:r>
      <w:r w:rsidR="00E86385" w:rsidRPr="00265C7E">
        <w:rPr>
          <w:rFonts w:ascii="Times New Roman" w:eastAsia="Times New Roman" w:hAnsi="Times New Roman" w:cs="Times New Roman"/>
          <w:sz w:val="24"/>
          <w:szCs w:val="24"/>
          <w:lang w:eastAsia="lv-LV"/>
        </w:rPr>
        <w:t xml:space="preserve"> </w:t>
      </w:r>
      <w:r w:rsidR="00E86385" w:rsidRPr="00265C7E">
        <w:rPr>
          <w:rFonts w:ascii="Times New Roman" w:eastAsia="Times New Roman" w:hAnsi="Times New Roman" w:cs="Times New Roman"/>
          <w:i/>
          <w:sz w:val="24"/>
          <w:szCs w:val="24"/>
          <w:lang w:eastAsia="lv-LV"/>
        </w:rPr>
        <w:t>euro</w:t>
      </w:r>
      <w:r w:rsidR="00DA7F4E">
        <w:rPr>
          <w:rFonts w:ascii="Times New Roman" w:eastAsia="Times New Roman" w:hAnsi="Times New Roman" w:cs="Times New Roman"/>
          <w:sz w:val="24"/>
          <w:szCs w:val="24"/>
          <w:lang w:eastAsia="lv-LV"/>
        </w:rPr>
        <w:t>)</w:t>
      </w:r>
      <w:r w:rsidR="00E86385">
        <w:rPr>
          <w:rFonts w:ascii="Times New Roman" w:eastAsia="Times New Roman" w:hAnsi="Times New Roman" w:cs="Times New Roman"/>
          <w:sz w:val="24"/>
          <w:szCs w:val="24"/>
          <w:lang w:eastAsia="lv-LV"/>
        </w:rPr>
        <w:t>.</w:t>
      </w:r>
      <w:r w:rsidR="008228A7" w:rsidRPr="00007A5A">
        <w:rPr>
          <w:rFonts w:ascii="Times New Roman" w:eastAsia="Times New Roman" w:hAnsi="Times New Roman" w:cs="Times New Roman"/>
          <w:sz w:val="24"/>
          <w:szCs w:val="24"/>
          <w:lang w:eastAsia="lv-LV"/>
        </w:rPr>
        <w:t xml:space="preserve"> </w:t>
      </w:r>
      <w:r w:rsidR="00F26930" w:rsidRPr="001D5969">
        <w:rPr>
          <w:rFonts w:ascii="Times New Roman" w:eastAsia="Times New Roman" w:hAnsi="Times New Roman" w:cs="Times New Roman"/>
          <w:sz w:val="24"/>
          <w:szCs w:val="24"/>
          <w:lang w:eastAsia="lv-LV"/>
        </w:rPr>
        <w:t>P</w:t>
      </w:r>
      <w:r w:rsidR="00F26930" w:rsidRPr="00007A5A">
        <w:rPr>
          <w:rFonts w:ascii="Times New Roman" w:eastAsia="Times New Roman" w:hAnsi="Times New Roman" w:cs="Times New Roman"/>
          <w:sz w:val="24"/>
          <w:szCs w:val="24"/>
          <w:lang w:eastAsia="lv-LV"/>
        </w:rPr>
        <w:t xml:space="preserve">lānotais pacientu skaits gadā - </w:t>
      </w:r>
      <w:r w:rsidR="00F26930">
        <w:rPr>
          <w:rFonts w:ascii="Times New Roman" w:eastAsia="Times New Roman" w:hAnsi="Times New Roman" w:cs="Times New Roman"/>
          <w:sz w:val="24"/>
          <w:szCs w:val="24"/>
          <w:lang w:eastAsia="lv-LV"/>
        </w:rPr>
        <w:t>2019</w:t>
      </w:r>
      <w:r w:rsidR="00F26930" w:rsidRPr="00007A5A">
        <w:rPr>
          <w:rFonts w:ascii="Times New Roman" w:eastAsia="Times New Roman" w:hAnsi="Times New Roman" w:cs="Times New Roman"/>
          <w:sz w:val="24"/>
          <w:szCs w:val="24"/>
          <w:lang w:eastAsia="lv-LV"/>
        </w:rPr>
        <w:t xml:space="preserve">.gadā - </w:t>
      </w:r>
      <w:r w:rsidR="000E0F94">
        <w:rPr>
          <w:rFonts w:ascii="Times New Roman" w:eastAsia="Times New Roman" w:hAnsi="Times New Roman" w:cs="Times New Roman"/>
          <w:sz w:val="24"/>
          <w:szCs w:val="24"/>
          <w:lang w:eastAsia="lv-LV"/>
        </w:rPr>
        <w:t>40</w:t>
      </w:r>
      <w:r w:rsidR="00F26930" w:rsidRPr="00007A5A">
        <w:rPr>
          <w:rFonts w:ascii="Times New Roman" w:eastAsia="Times New Roman" w:hAnsi="Times New Roman" w:cs="Times New Roman"/>
          <w:sz w:val="24"/>
          <w:szCs w:val="24"/>
          <w:lang w:eastAsia="lv-LV"/>
        </w:rPr>
        <w:t xml:space="preserve"> pacienti</w:t>
      </w:r>
      <w:r w:rsidR="00397790">
        <w:rPr>
          <w:rFonts w:ascii="Times New Roman" w:eastAsia="Times New Roman" w:hAnsi="Times New Roman" w:cs="Times New Roman"/>
          <w:sz w:val="24"/>
          <w:szCs w:val="24"/>
          <w:lang w:eastAsia="lv-LV"/>
        </w:rPr>
        <w:t xml:space="preserve">, 2020.gadā </w:t>
      </w:r>
      <w:r w:rsidR="000E0F94">
        <w:rPr>
          <w:rFonts w:ascii="Times New Roman" w:eastAsia="Times New Roman" w:hAnsi="Times New Roman" w:cs="Times New Roman"/>
          <w:sz w:val="24"/>
          <w:szCs w:val="24"/>
          <w:lang w:eastAsia="lv-LV"/>
        </w:rPr>
        <w:t>–</w:t>
      </w:r>
      <w:r w:rsidR="00397790">
        <w:rPr>
          <w:rFonts w:ascii="Times New Roman" w:eastAsia="Times New Roman" w:hAnsi="Times New Roman" w:cs="Times New Roman"/>
          <w:sz w:val="24"/>
          <w:szCs w:val="24"/>
          <w:lang w:eastAsia="lv-LV"/>
        </w:rPr>
        <w:t xml:space="preserve"> </w:t>
      </w:r>
      <w:r w:rsidR="000E0F94">
        <w:rPr>
          <w:rFonts w:ascii="Times New Roman" w:eastAsia="Times New Roman" w:hAnsi="Times New Roman" w:cs="Times New Roman"/>
          <w:sz w:val="24"/>
          <w:szCs w:val="24"/>
          <w:lang w:eastAsia="lv-LV"/>
        </w:rPr>
        <w:t>80 pacienti un 2021.gadā – 100 pacienti.</w:t>
      </w:r>
    </w:p>
    <w:p w14:paraId="253A3267" w14:textId="07E2B65C" w:rsidR="00CB4CBC" w:rsidRPr="00982C25" w:rsidRDefault="00CB4CBC" w:rsidP="00051136">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realizētu iepriekšminētos izmeklējumus no 2019.gada 1.aprīļa nepieciešami </w:t>
      </w:r>
      <w:r w:rsidRPr="000C29E1">
        <w:rPr>
          <w:rFonts w:ascii="Times New Roman" w:eastAsia="Times New Roman" w:hAnsi="Times New Roman" w:cs="Times New Roman"/>
          <w:b/>
          <w:sz w:val="24"/>
          <w:szCs w:val="24"/>
          <w:lang w:eastAsia="lv-LV"/>
        </w:rPr>
        <w:t>111</w:t>
      </w:r>
      <w:r w:rsidR="00CE1AEE" w:rsidRPr="000C29E1">
        <w:rPr>
          <w:rFonts w:ascii="Times New Roman" w:eastAsia="Times New Roman" w:hAnsi="Times New Roman" w:cs="Times New Roman"/>
          <w:b/>
          <w:sz w:val="24"/>
          <w:szCs w:val="24"/>
          <w:lang w:eastAsia="lv-LV"/>
        </w:rPr>
        <w:t> 212 </w:t>
      </w:r>
      <w:r w:rsidRPr="00AA325B">
        <w:rPr>
          <w:rFonts w:ascii="Times New Roman" w:eastAsia="Times New Roman" w:hAnsi="Times New Roman" w:cs="Times New Roman"/>
          <w:b/>
          <w:i/>
          <w:sz w:val="24"/>
          <w:szCs w:val="24"/>
          <w:lang w:eastAsia="lv-LV"/>
        </w:rPr>
        <w:t>euro</w:t>
      </w:r>
      <w:r w:rsidR="003E7389">
        <w:rPr>
          <w:rFonts w:ascii="Times New Roman" w:eastAsia="Times New Roman" w:hAnsi="Times New Roman" w:cs="Times New Roman"/>
          <w:b/>
          <w:i/>
          <w:sz w:val="24"/>
          <w:szCs w:val="24"/>
          <w:lang w:eastAsia="lv-LV"/>
        </w:rPr>
        <w:t xml:space="preserve"> </w:t>
      </w:r>
      <w:r w:rsidR="003E7389" w:rsidRPr="00982C25">
        <w:rPr>
          <w:rFonts w:ascii="Times New Roman" w:eastAsia="Times New Roman" w:hAnsi="Times New Roman" w:cs="Times New Roman"/>
          <w:sz w:val="24"/>
          <w:szCs w:val="24"/>
          <w:lang w:eastAsia="lv-LV"/>
        </w:rPr>
        <w:t>(</w:t>
      </w:r>
      <w:r w:rsidR="002B593B">
        <w:rPr>
          <w:rFonts w:ascii="Times New Roman" w:eastAsia="Times New Roman" w:hAnsi="Times New Roman" w:cs="Times New Roman"/>
          <w:sz w:val="24"/>
          <w:szCs w:val="24"/>
          <w:lang w:eastAsia="lv-LV"/>
        </w:rPr>
        <w:t>4</w:t>
      </w:r>
      <w:r w:rsidR="000678A1">
        <w:rPr>
          <w:rFonts w:ascii="Times New Roman" w:eastAsia="Times New Roman" w:hAnsi="Times New Roman" w:cs="Times New Roman"/>
          <w:sz w:val="24"/>
          <w:szCs w:val="24"/>
          <w:lang w:eastAsia="lv-LV"/>
        </w:rPr>
        <w:t>5</w:t>
      </w:r>
      <w:r w:rsidR="003E7389" w:rsidRPr="00982C25">
        <w:rPr>
          <w:rFonts w:ascii="Times New Roman" w:eastAsia="Times New Roman" w:hAnsi="Times New Roman" w:cs="Times New Roman"/>
          <w:sz w:val="24"/>
          <w:szCs w:val="24"/>
          <w:lang w:eastAsia="lv-LV"/>
        </w:rPr>
        <w:t>.</w:t>
      </w:r>
      <w:r w:rsidR="000678A1">
        <w:rPr>
          <w:rFonts w:ascii="Times New Roman" w:eastAsia="Times New Roman" w:hAnsi="Times New Roman" w:cs="Times New Roman"/>
          <w:sz w:val="24"/>
          <w:szCs w:val="24"/>
          <w:lang w:eastAsia="lv-LV"/>
        </w:rPr>
        <w:t xml:space="preserve"> un 46</w:t>
      </w:r>
      <w:r w:rsidR="002B593B">
        <w:rPr>
          <w:rFonts w:ascii="Times New Roman" w:eastAsia="Times New Roman" w:hAnsi="Times New Roman" w:cs="Times New Roman"/>
          <w:sz w:val="24"/>
          <w:szCs w:val="24"/>
          <w:lang w:eastAsia="lv-LV"/>
        </w:rPr>
        <w:t>.</w:t>
      </w:r>
      <w:r w:rsidR="003E7389" w:rsidRPr="00982C25">
        <w:rPr>
          <w:rFonts w:ascii="Times New Roman" w:eastAsia="Times New Roman" w:hAnsi="Times New Roman" w:cs="Times New Roman"/>
          <w:sz w:val="24"/>
          <w:szCs w:val="24"/>
          <w:lang w:eastAsia="lv-LV"/>
        </w:rPr>
        <w:t>tabula)</w:t>
      </w:r>
      <w:r w:rsidRPr="00982C25">
        <w:rPr>
          <w:rFonts w:ascii="Times New Roman" w:eastAsia="Times New Roman" w:hAnsi="Times New Roman" w:cs="Times New Roman"/>
          <w:sz w:val="24"/>
          <w:szCs w:val="24"/>
          <w:lang w:eastAsia="lv-LV"/>
        </w:rPr>
        <w:t>.</w:t>
      </w:r>
    </w:p>
    <w:p w14:paraId="66165AA0" w14:textId="77777777" w:rsidR="009A7F62" w:rsidRDefault="009A7F62" w:rsidP="2749705C">
      <w:pPr>
        <w:ind w:firstLine="720"/>
        <w:jc w:val="right"/>
        <w:rPr>
          <w:rFonts w:ascii="Times New Roman" w:hAnsi="Times New Roman" w:cs="Times New Roman"/>
          <w:i/>
          <w:iCs/>
          <w:sz w:val="24"/>
          <w:szCs w:val="24"/>
        </w:rPr>
        <w:sectPr w:rsidR="009A7F62" w:rsidSect="00333B64">
          <w:pgSz w:w="12240" w:h="15840"/>
          <w:pgMar w:top="1440" w:right="1440" w:bottom="1440" w:left="1701" w:header="708" w:footer="708" w:gutter="0"/>
          <w:cols w:space="708"/>
          <w:docGrid w:linePitch="360"/>
        </w:sectPr>
      </w:pPr>
    </w:p>
    <w:p w14:paraId="76C23BF3" w14:textId="078D1F51" w:rsidR="00522737" w:rsidRDefault="000678A1" w:rsidP="2749705C">
      <w:pPr>
        <w:ind w:firstLine="720"/>
        <w:jc w:val="right"/>
        <w:rPr>
          <w:rFonts w:ascii="Times New Roman" w:hAnsi="Times New Roman" w:cs="Times New Roman"/>
          <w:i/>
          <w:iCs/>
          <w:sz w:val="24"/>
          <w:szCs w:val="24"/>
        </w:rPr>
      </w:pPr>
      <w:r>
        <w:rPr>
          <w:rFonts w:ascii="Times New Roman" w:hAnsi="Times New Roman" w:cs="Times New Roman"/>
          <w:i/>
          <w:iCs/>
          <w:sz w:val="24"/>
          <w:szCs w:val="24"/>
        </w:rPr>
        <w:lastRenderedPageBreak/>
        <w:t>45</w:t>
      </w:r>
      <w:r w:rsidR="00AA5E60" w:rsidRPr="2749705C">
        <w:rPr>
          <w:rFonts w:ascii="Times New Roman" w:hAnsi="Times New Roman" w:cs="Times New Roman"/>
          <w:i/>
          <w:iCs/>
          <w:sz w:val="24"/>
          <w:szCs w:val="24"/>
        </w:rPr>
        <w:t xml:space="preserve">.tabula </w:t>
      </w:r>
    </w:p>
    <w:p w14:paraId="6CA62AF1" w14:textId="081D4A12" w:rsidR="0077569F" w:rsidRPr="009044FE" w:rsidRDefault="0077569F" w:rsidP="0077569F">
      <w:pPr>
        <w:jc w:val="center"/>
        <w:rPr>
          <w:rFonts w:ascii="Times New Roman" w:hAnsi="Times New Roman" w:cs="Times New Roman"/>
          <w:b/>
          <w:sz w:val="24"/>
          <w:szCs w:val="24"/>
        </w:rPr>
      </w:pPr>
      <w:r w:rsidRPr="009044FE">
        <w:rPr>
          <w:rFonts w:ascii="Times New Roman" w:hAnsi="Times New Roman" w:cs="Times New Roman"/>
          <w:b/>
          <w:sz w:val="24"/>
          <w:szCs w:val="24"/>
        </w:rPr>
        <w:t>Prostatas vēža diagnostikas un ārstēšanas (divi tarifi biopsijām un viens priekšdziedzera vēža minimāli invazīvas ārstēšanas procedūrai ar AIFU iekārtu) tarifam nepieciešamais finansējums</w:t>
      </w:r>
      <w:r>
        <w:rPr>
          <w:rFonts w:ascii="Times New Roman" w:hAnsi="Times New Roman" w:cs="Times New Roman"/>
          <w:b/>
          <w:sz w:val="24"/>
          <w:szCs w:val="24"/>
        </w:rPr>
        <w:t xml:space="preserve"> 2017., 2018. un 2019.gadā</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38"/>
        <w:gridCol w:w="1134"/>
        <w:gridCol w:w="850"/>
        <w:gridCol w:w="853"/>
        <w:gridCol w:w="851"/>
        <w:gridCol w:w="850"/>
        <w:gridCol w:w="851"/>
        <w:gridCol w:w="992"/>
        <w:gridCol w:w="851"/>
        <w:gridCol w:w="708"/>
        <w:gridCol w:w="851"/>
        <w:gridCol w:w="709"/>
        <w:gridCol w:w="708"/>
        <w:gridCol w:w="851"/>
      </w:tblGrid>
      <w:tr w:rsidR="009A7F62" w14:paraId="686454F5" w14:textId="77777777" w:rsidTr="00E96B74">
        <w:trPr>
          <w:cantSplit/>
          <w:trHeight w:val="1373"/>
          <w:jc w:val="center"/>
        </w:trPr>
        <w:tc>
          <w:tcPr>
            <w:tcW w:w="423" w:type="dxa"/>
            <w:shd w:val="clear" w:color="auto" w:fill="E36C0A" w:themeFill="accent6" w:themeFillShade="BF"/>
            <w:vAlign w:val="center"/>
            <w:hideMark/>
          </w:tcPr>
          <w:p w14:paraId="13D4AF86" w14:textId="77777777" w:rsidR="009A7F62" w:rsidRPr="00847710" w:rsidRDefault="009A7F62" w:rsidP="00A842CF">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A" w:themeFill="accent6" w:themeFillShade="BF"/>
            <w:vAlign w:val="center"/>
            <w:hideMark/>
          </w:tcPr>
          <w:p w14:paraId="615E723B" w14:textId="77777777" w:rsidR="009A7F62" w:rsidRPr="00847710" w:rsidRDefault="009A7F62" w:rsidP="00A842CF">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7F51375E" w14:textId="77777777" w:rsidR="009A7F62" w:rsidRPr="00847710" w:rsidRDefault="009A7F62" w:rsidP="00A842C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69C60D9A" w14:textId="77777777" w:rsidR="009A7F62" w:rsidRPr="00847710" w:rsidRDefault="009A7F62" w:rsidP="00A842C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6E04C1E8" w14:textId="77777777" w:rsidR="009A7F62" w:rsidRPr="00847710" w:rsidRDefault="009A7F62" w:rsidP="00A842CF">
            <w:pPr>
              <w:spacing w:after="0" w:line="240" w:lineRule="auto"/>
              <w:ind w:left="113" w:right="113"/>
              <w:jc w:val="center"/>
              <w:rPr>
                <w:rFonts w:ascii="Times New Roman" w:eastAsia="Times New Roman" w:hAnsi="Times New Roman" w:cs="Times New Roman"/>
                <w:b/>
                <w:bCs/>
                <w:sz w:val="20"/>
                <w:szCs w:val="20"/>
                <w:lang w:eastAsia="lv-LV"/>
              </w:rPr>
            </w:pPr>
          </w:p>
        </w:tc>
        <w:tc>
          <w:tcPr>
            <w:tcW w:w="2554" w:type="dxa"/>
            <w:gridSpan w:val="3"/>
            <w:shd w:val="clear" w:color="auto" w:fill="E36C0A" w:themeFill="accent6" w:themeFillShade="BF"/>
            <w:textDirection w:val="btLr"/>
            <w:vAlign w:val="center"/>
          </w:tcPr>
          <w:p w14:paraId="478FCFE0" w14:textId="77777777" w:rsidR="009A7F62" w:rsidRPr="00847710" w:rsidRDefault="009A7F62" w:rsidP="00A842CF">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693" w:type="dxa"/>
            <w:gridSpan w:val="3"/>
            <w:shd w:val="clear" w:color="auto" w:fill="E36C0A" w:themeFill="accent6" w:themeFillShade="BF"/>
            <w:textDirection w:val="btLr"/>
            <w:vAlign w:val="center"/>
          </w:tcPr>
          <w:p w14:paraId="7326A21C" w14:textId="6353A415" w:rsidR="009A7F62" w:rsidRPr="00847710" w:rsidRDefault="009A7F62" w:rsidP="00A842C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410" w:type="dxa"/>
            <w:gridSpan w:val="3"/>
            <w:shd w:val="clear" w:color="auto" w:fill="E36C0A" w:themeFill="accent6" w:themeFillShade="BF"/>
            <w:textDirection w:val="btLr"/>
            <w:vAlign w:val="center"/>
          </w:tcPr>
          <w:p w14:paraId="2C25EEEE" w14:textId="77777777" w:rsidR="009A7F62" w:rsidRPr="00847710" w:rsidRDefault="009A7F62" w:rsidP="00A842C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268" w:type="dxa"/>
            <w:gridSpan w:val="3"/>
            <w:shd w:val="clear" w:color="auto" w:fill="E36C0A" w:themeFill="accent6" w:themeFillShade="BF"/>
            <w:textDirection w:val="btLr"/>
            <w:vAlign w:val="center"/>
          </w:tcPr>
          <w:p w14:paraId="464BE386" w14:textId="4D41E0CF" w:rsidR="009A7F62" w:rsidRPr="00847710" w:rsidRDefault="009A7F62" w:rsidP="00A842C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9A7F62" w14:paraId="380B47D6" w14:textId="77777777" w:rsidTr="00E96B74">
        <w:trPr>
          <w:trHeight w:val="640"/>
          <w:jc w:val="center"/>
        </w:trPr>
        <w:tc>
          <w:tcPr>
            <w:tcW w:w="423" w:type="dxa"/>
            <w:shd w:val="clear" w:color="auto" w:fill="FABF8F" w:themeFill="accent6" w:themeFillTint="99"/>
            <w:vAlign w:val="center"/>
          </w:tcPr>
          <w:p w14:paraId="6C1C2D91" w14:textId="77777777" w:rsidR="009A7F62" w:rsidRPr="00847710" w:rsidRDefault="009A7F62" w:rsidP="009A7F62">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BF8F" w:themeFill="accent6" w:themeFillTint="99"/>
            <w:vAlign w:val="center"/>
          </w:tcPr>
          <w:p w14:paraId="100D0977" w14:textId="77777777" w:rsidR="009A7F62" w:rsidRPr="00847710" w:rsidRDefault="009A7F62" w:rsidP="009A7F62">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5F30E263" w14:textId="2D0092BF" w:rsidR="009A7F62" w:rsidRPr="00847710" w:rsidRDefault="00E96B74" w:rsidP="009A7F62">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7169C6BB" w14:textId="77777777" w:rsidR="009A7F62" w:rsidRPr="00847710" w:rsidRDefault="009A7F62" w:rsidP="009A7F62">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01F9DAD0" w14:textId="77777777"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694C202C" w14:textId="77777777"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3" w:type="dxa"/>
            <w:shd w:val="clear" w:color="auto" w:fill="FABF8F" w:themeFill="accent6" w:themeFillTint="99"/>
            <w:vAlign w:val="center"/>
          </w:tcPr>
          <w:p w14:paraId="287B242F" w14:textId="77777777"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1727F4A5" w14:textId="77777777"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72E1220C" w14:textId="77777777"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41E42AD5" w14:textId="77777777"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0" w:type="dxa"/>
            <w:shd w:val="clear" w:color="auto" w:fill="FABF8F" w:themeFill="accent6" w:themeFillTint="99"/>
            <w:vAlign w:val="center"/>
          </w:tcPr>
          <w:p w14:paraId="2D2A5336" w14:textId="77777777"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6F8E43DA" w14:textId="4BC7002E"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2C5EBC14" w14:textId="77777777"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34401A42" w14:textId="49621D29" w:rsidR="009A7F62"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992" w:type="dxa"/>
            <w:shd w:val="clear" w:color="auto" w:fill="FABF8F" w:themeFill="accent6" w:themeFillTint="99"/>
            <w:vAlign w:val="center"/>
          </w:tcPr>
          <w:p w14:paraId="694C0C9C" w14:textId="6AFAD812" w:rsidR="009A7F62" w:rsidRPr="00847710" w:rsidRDefault="009A7F62" w:rsidP="009A7F62">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258CB7B5" w14:textId="77777777" w:rsidR="009A7F62" w:rsidRPr="00C86312" w:rsidRDefault="009A7F62" w:rsidP="009A7F6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227057F9" w14:textId="77777777" w:rsidR="009A7F62" w:rsidRPr="00847710" w:rsidRDefault="009A7F62" w:rsidP="009A7F62">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8" w:type="dxa"/>
            <w:shd w:val="clear" w:color="auto" w:fill="FABF8F" w:themeFill="accent6" w:themeFillTint="99"/>
            <w:vAlign w:val="center"/>
          </w:tcPr>
          <w:p w14:paraId="4AEBAE4B" w14:textId="77777777" w:rsidR="009A7F62" w:rsidRPr="00847710" w:rsidRDefault="009A7F62" w:rsidP="009A7F62">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4E8A4DFC" w14:textId="77777777" w:rsidR="009A7F62" w:rsidRPr="00847710" w:rsidRDefault="009A7F62" w:rsidP="009A7F62">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7E66F021" w14:textId="7829A6F0" w:rsidR="009A7F62" w:rsidRPr="00847710" w:rsidRDefault="009A7F62" w:rsidP="009A7F62">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8" w:type="dxa"/>
            <w:shd w:val="clear" w:color="auto" w:fill="FABF8F" w:themeFill="accent6" w:themeFillTint="99"/>
            <w:vAlign w:val="center"/>
          </w:tcPr>
          <w:p w14:paraId="0F2C5553" w14:textId="70F63A00" w:rsidR="009A7F62" w:rsidRPr="00847710" w:rsidRDefault="009A7F62" w:rsidP="009A7F62">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2ADE951D" w14:textId="6A16FE72" w:rsidR="009A7F62" w:rsidRPr="00847710" w:rsidRDefault="009A7F62" w:rsidP="009A7F62">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E11AFF" w14:paraId="27BED458" w14:textId="77777777" w:rsidTr="00E96B74">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AF77" w14:textId="77777777" w:rsidR="009A7F62" w:rsidRPr="00847710" w:rsidRDefault="009A7F62" w:rsidP="004A7840">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B3016" w14:textId="41512BBA" w:rsidR="009A7F62" w:rsidRPr="00847710" w:rsidRDefault="009A7F62" w:rsidP="004A7840">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color w:val="000000"/>
                <w:sz w:val="20"/>
                <w:szCs w:val="20"/>
                <w:lang w:eastAsia="lv-LV"/>
              </w:rPr>
              <w:t>Transperineāla tēmēta prostatas biopsija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09D41" w14:textId="6200EB12" w:rsidR="009A7F62" w:rsidRPr="00847710" w:rsidRDefault="009A7F62" w:rsidP="004A78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z w:val="20"/>
                <w:szCs w:val="20"/>
                <w:lang w:eastAsia="lv-LV"/>
              </w:rPr>
              <w:t>199.96</w:t>
            </w:r>
          </w:p>
        </w:tc>
        <w:tc>
          <w:tcPr>
            <w:tcW w:w="850" w:type="dxa"/>
            <w:tcBorders>
              <w:top w:val="single" w:sz="4" w:space="0" w:color="auto"/>
              <w:left w:val="single" w:sz="4" w:space="0" w:color="auto"/>
              <w:bottom w:val="single" w:sz="4" w:space="0" w:color="auto"/>
              <w:right w:val="single" w:sz="4" w:space="0" w:color="auto"/>
            </w:tcBorders>
            <w:vAlign w:val="center"/>
          </w:tcPr>
          <w:p w14:paraId="0F5D7167" w14:textId="047BB0D8" w:rsidR="009A7F62" w:rsidRDefault="009A7F62" w:rsidP="004A78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3" w:type="dxa"/>
            <w:tcBorders>
              <w:top w:val="single" w:sz="4" w:space="0" w:color="auto"/>
              <w:left w:val="single" w:sz="4" w:space="0" w:color="auto"/>
              <w:bottom w:val="single" w:sz="4" w:space="0" w:color="auto"/>
              <w:right w:val="single" w:sz="4" w:space="0" w:color="auto"/>
            </w:tcBorders>
            <w:vAlign w:val="center"/>
          </w:tcPr>
          <w:p w14:paraId="0ED42508" w14:textId="5AB4F989" w:rsidR="009A7F62" w:rsidRDefault="009A7F62" w:rsidP="004A78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B9D689D" w14:textId="462FAE97" w:rsidR="009A7F62" w:rsidRDefault="009A7F62" w:rsidP="004A7840">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9B83D69" w14:textId="0CA02D83" w:rsidR="009A7F62" w:rsidRDefault="009A7F62" w:rsidP="004A78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110641FB" w14:textId="77FEBE9F" w:rsidR="009A7F62" w:rsidRDefault="009A7F62" w:rsidP="004A78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33E87" w14:textId="1A3C2939" w:rsidR="009A7F62" w:rsidRPr="00847710" w:rsidRDefault="009A7F62" w:rsidP="004A7840">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29 994</w:t>
            </w:r>
          </w:p>
        </w:tc>
        <w:tc>
          <w:tcPr>
            <w:tcW w:w="851" w:type="dxa"/>
            <w:tcBorders>
              <w:top w:val="single" w:sz="4" w:space="0" w:color="auto"/>
              <w:left w:val="single" w:sz="4" w:space="0" w:color="auto"/>
              <w:bottom w:val="single" w:sz="4" w:space="0" w:color="auto"/>
              <w:right w:val="single" w:sz="4" w:space="0" w:color="auto"/>
            </w:tcBorders>
            <w:vAlign w:val="center"/>
          </w:tcPr>
          <w:p w14:paraId="3D42A5AC" w14:textId="1C72BDD4"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40DA8F27" w14:textId="3BAFF96C"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BB29294" w14:textId="3488BEDC"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9EED34E" w14:textId="28261C27" w:rsidR="009A7F62" w:rsidRPr="00E96B74" w:rsidRDefault="009A7F62" w:rsidP="004A7840">
            <w:pPr>
              <w:spacing w:after="0" w:line="240" w:lineRule="auto"/>
              <w:jc w:val="center"/>
              <w:rPr>
                <w:rFonts w:ascii="Times New Roman" w:eastAsia="Times New Roman" w:hAnsi="Times New Roman" w:cs="Times New Roman"/>
                <w:sz w:val="20"/>
                <w:szCs w:val="20"/>
                <w:lang w:eastAsia="lv-LV"/>
              </w:rPr>
            </w:pPr>
            <w:r w:rsidRPr="00E96B74">
              <w:rPr>
                <w:rFonts w:ascii="Times New Roman" w:eastAsia="Times New Roman" w:hAnsi="Times New Roman" w:cs="Times New Roman"/>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4113631D" w14:textId="5912BE89" w:rsidR="009A7F62" w:rsidRPr="00E96B74" w:rsidRDefault="009A7F62" w:rsidP="004A7840">
            <w:pPr>
              <w:spacing w:after="0" w:line="240" w:lineRule="auto"/>
              <w:jc w:val="center"/>
              <w:rPr>
                <w:rFonts w:ascii="Times New Roman" w:eastAsia="Times New Roman" w:hAnsi="Times New Roman" w:cs="Times New Roman"/>
                <w:sz w:val="20"/>
                <w:szCs w:val="20"/>
                <w:lang w:eastAsia="lv-LV"/>
              </w:rPr>
            </w:pPr>
            <w:r w:rsidRPr="00E96B74">
              <w:rPr>
                <w:rFonts w:ascii="Times New Roman" w:eastAsia="Times New Roman" w:hAnsi="Times New Roman" w:cs="Times New Roman"/>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DEF37" w14:textId="32D218EF" w:rsidR="009A7F62" w:rsidRPr="00C86312" w:rsidRDefault="009A7F62" w:rsidP="004A7840">
            <w:pPr>
              <w:spacing w:after="0" w:line="240" w:lineRule="auto"/>
              <w:jc w:val="center"/>
              <w:rPr>
                <w:rFonts w:ascii="Times New Roman" w:hAnsi="Times New Roman" w:cs="Times New Roman"/>
                <w:b/>
                <w:bCs/>
                <w:color w:val="FF0000"/>
                <w:sz w:val="20"/>
                <w:szCs w:val="20"/>
              </w:rPr>
            </w:pPr>
            <w:r>
              <w:rPr>
                <w:rFonts w:ascii="Times New Roman" w:eastAsia="Times New Roman" w:hAnsi="Times New Roman" w:cs="Times New Roman"/>
                <w:color w:val="000000"/>
                <w:sz w:val="20"/>
                <w:szCs w:val="20"/>
                <w:lang w:eastAsia="lv-LV"/>
              </w:rPr>
              <w:t>200</w:t>
            </w:r>
          </w:p>
        </w:tc>
      </w:tr>
      <w:tr w:rsidR="009A7F62" w14:paraId="51CA642C" w14:textId="77777777" w:rsidTr="00E96B74">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5ABE8" w14:textId="2B0B9C66" w:rsidR="009A7F62" w:rsidRPr="00847710" w:rsidRDefault="009A7F62" w:rsidP="004A7840">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E7087B2" w14:textId="62074C1F" w:rsidR="009A7F62" w:rsidRDefault="009A7F62" w:rsidP="004A7840">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color w:val="000000"/>
                <w:sz w:val="20"/>
                <w:szCs w:val="20"/>
                <w:lang w:eastAsia="lv-LV"/>
              </w:rPr>
              <w:t>Transrektāla tēmēta prostatas biopsija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29C24" w14:textId="58470D78" w:rsidR="009A7F62" w:rsidRDefault="009A7F62" w:rsidP="004A7840">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260.80</w:t>
            </w:r>
          </w:p>
        </w:tc>
        <w:tc>
          <w:tcPr>
            <w:tcW w:w="850" w:type="dxa"/>
            <w:tcBorders>
              <w:top w:val="single" w:sz="4" w:space="0" w:color="auto"/>
              <w:left w:val="single" w:sz="4" w:space="0" w:color="auto"/>
              <w:bottom w:val="single" w:sz="4" w:space="0" w:color="auto"/>
              <w:right w:val="single" w:sz="4" w:space="0" w:color="auto"/>
            </w:tcBorders>
            <w:vAlign w:val="center"/>
          </w:tcPr>
          <w:p w14:paraId="3AFD012C" w14:textId="183C126E" w:rsidR="009A7F62" w:rsidRDefault="009A7F62" w:rsidP="004A78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3" w:type="dxa"/>
            <w:tcBorders>
              <w:top w:val="single" w:sz="4" w:space="0" w:color="auto"/>
              <w:left w:val="single" w:sz="4" w:space="0" w:color="auto"/>
              <w:bottom w:val="single" w:sz="4" w:space="0" w:color="auto"/>
              <w:right w:val="single" w:sz="4" w:space="0" w:color="auto"/>
            </w:tcBorders>
            <w:vAlign w:val="center"/>
          </w:tcPr>
          <w:p w14:paraId="1722C4A3" w14:textId="6BD5DABA" w:rsidR="009A7F62" w:rsidRDefault="009A7F62" w:rsidP="004A78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BDE57EA" w14:textId="2E49AC93" w:rsidR="009A7F62" w:rsidRDefault="009A7F62" w:rsidP="004A7840">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BD101D1" w14:textId="79C62F21" w:rsidR="009A7F62" w:rsidRDefault="009A7F62" w:rsidP="004A78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71BCE0D6" w14:textId="02E3D745" w:rsidR="009A7F62" w:rsidRDefault="009A7F62" w:rsidP="004A78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F766A" w14:textId="381DFE98" w:rsidR="009A7F62" w:rsidRDefault="009A7F62" w:rsidP="004A7840">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23 472</w:t>
            </w:r>
          </w:p>
        </w:tc>
        <w:tc>
          <w:tcPr>
            <w:tcW w:w="851" w:type="dxa"/>
            <w:tcBorders>
              <w:top w:val="single" w:sz="4" w:space="0" w:color="auto"/>
              <w:left w:val="single" w:sz="4" w:space="0" w:color="auto"/>
              <w:bottom w:val="single" w:sz="4" w:space="0" w:color="auto"/>
              <w:right w:val="single" w:sz="4" w:space="0" w:color="auto"/>
            </w:tcBorders>
            <w:vAlign w:val="center"/>
          </w:tcPr>
          <w:p w14:paraId="16CE8226" w14:textId="78E941EF"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0B63A3C8" w14:textId="690067AB"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88ED712" w14:textId="7D0ECD31"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5FD57E8" w14:textId="57C7D43D" w:rsidR="009A7F62" w:rsidRPr="00E96B74" w:rsidRDefault="009A7F62" w:rsidP="004A7840">
            <w:pPr>
              <w:spacing w:after="0" w:line="240" w:lineRule="auto"/>
              <w:jc w:val="center"/>
              <w:rPr>
                <w:rFonts w:ascii="Times New Roman" w:eastAsia="Times New Roman" w:hAnsi="Times New Roman" w:cs="Times New Roman"/>
                <w:sz w:val="20"/>
                <w:szCs w:val="20"/>
                <w:lang w:eastAsia="lv-LV"/>
              </w:rPr>
            </w:pPr>
            <w:r w:rsidRPr="00E96B74">
              <w:rPr>
                <w:rFonts w:ascii="Times New Roman" w:eastAsia="Times New Roman" w:hAnsi="Times New Roman" w:cs="Times New Roman"/>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426101B2" w14:textId="17CABD2B" w:rsidR="009A7F62" w:rsidRPr="00E96B74" w:rsidRDefault="009A7F62" w:rsidP="004A7840">
            <w:pPr>
              <w:spacing w:after="0" w:line="240" w:lineRule="auto"/>
              <w:jc w:val="center"/>
              <w:rPr>
                <w:rFonts w:ascii="Times New Roman" w:eastAsia="Times New Roman" w:hAnsi="Times New Roman" w:cs="Times New Roman"/>
                <w:sz w:val="20"/>
                <w:szCs w:val="20"/>
                <w:lang w:eastAsia="lv-LV"/>
              </w:rPr>
            </w:pPr>
            <w:r w:rsidRPr="00E96B74">
              <w:rPr>
                <w:rFonts w:ascii="Times New Roman" w:eastAsia="Times New Roman" w:hAnsi="Times New Roman" w:cs="Times New Roman"/>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D95D8" w14:textId="1FCE24A8" w:rsidR="009A7F62" w:rsidRPr="00C86312" w:rsidRDefault="009A7F62" w:rsidP="004A7840">
            <w:pPr>
              <w:spacing w:after="0" w:line="240" w:lineRule="auto"/>
              <w:jc w:val="center"/>
              <w:rPr>
                <w:rFonts w:ascii="Times New Roman" w:hAnsi="Times New Roman" w:cs="Times New Roman"/>
                <w:b/>
                <w:bCs/>
                <w:color w:val="FF0000"/>
                <w:sz w:val="20"/>
                <w:szCs w:val="20"/>
              </w:rPr>
            </w:pPr>
            <w:r>
              <w:rPr>
                <w:rFonts w:ascii="Times New Roman" w:eastAsia="Times New Roman" w:hAnsi="Times New Roman" w:cs="Times New Roman"/>
                <w:color w:val="000000"/>
                <w:sz w:val="20"/>
                <w:szCs w:val="20"/>
                <w:lang w:eastAsia="lv-LV"/>
              </w:rPr>
              <w:t>120</w:t>
            </w:r>
          </w:p>
        </w:tc>
      </w:tr>
      <w:tr w:rsidR="009A7F62" w14:paraId="79108D12" w14:textId="77777777" w:rsidTr="00E96B74">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91373" w14:textId="61F10D8E" w:rsidR="009A7F62" w:rsidRPr="00847710" w:rsidRDefault="009A7F62" w:rsidP="004A7840">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ACBDD4C" w14:textId="4D001B06" w:rsidR="009A7F62" w:rsidRDefault="009A7F62" w:rsidP="004A7840">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color w:val="000000"/>
                <w:sz w:val="20"/>
                <w:szCs w:val="20"/>
                <w:lang w:eastAsia="lv-LV"/>
              </w:rPr>
              <w:t>Priekšdziedzera vēža minimāli invazīvas ārstēšanas procedūra ar AIFU (augstas intensitātes fokusēta ultraskaņa) iekārtu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58120" w14:textId="38DC9F11" w:rsidR="009A7F62" w:rsidRDefault="009A7F62" w:rsidP="004A7840">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1 924.85</w:t>
            </w:r>
          </w:p>
        </w:tc>
        <w:tc>
          <w:tcPr>
            <w:tcW w:w="850" w:type="dxa"/>
            <w:tcBorders>
              <w:top w:val="single" w:sz="4" w:space="0" w:color="auto"/>
              <w:left w:val="single" w:sz="4" w:space="0" w:color="auto"/>
              <w:bottom w:val="single" w:sz="4" w:space="0" w:color="auto"/>
              <w:right w:val="single" w:sz="4" w:space="0" w:color="auto"/>
            </w:tcBorders>
            <w:vAlign w:val="center"/>
          </w:tcPr>
          <w:p w14:paraId="0A67A4A3" w14:textId="539BD622" w:rsidR="009A7F62" w:rsidRDefault="009A7F62" w:rsidP="004A78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3" w:type="dxa"/>
            <w:tcBorders>
              <w:top w:val="single" w:sz="4" w:space="0" w:color="auto"/>
              <w:left w:val="single" w:sz="4" w:space="0" w:color="auto"/>
              <w:bottom w:val="single" w:sz="4" w:space="0" w:color="auto"/>
              <w:right w:val="single" w:sz="4" w:space="0" w:color="auto"/>
            </w:tcBorders>
            <w:vAlign w:val="center"/>
          </w:tcPr>
          <w:p w14:paraId="4523A5EE" w14:textId="0635093C" w:rsidR="009A7F62" w:rsidRDefault="009A7F62" w:rsidP="004A78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3A17574" w14:textId="5B6E60E9" w:rsidR="009A7F62" w:rsidRDefault="009A7F62" w:rsidP="004A7840">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95DDC2E" w14:textId="430B069E" w:rsidR="009A7F62" w:rsidRDefault="009A7F62" w:rsidP="004A78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0818B5CE" w14:textId="1909AF19" w:rsidR="009A7F62" w:rsidRDefault="009A7F62" w:rsidP="004A78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39C62" w14:textId="760A66DA" w:rsidR="009A7F62" w:rsidRDefault="009A7F62" w:rsidP="004A7840">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57 746</w:t>
            </w:r>
          </w:p>
        </w:tc>
        <w:tc>
          <w:tcPr>
            <w:tcW w:w="851" w:type="dxa"/>
            <w:tcBorders>
              <w:top w:val="single" w:sz="4" w:space="0" w:color="auto"/>
              <w:left w:val="single" w:sz="4" w:space="0" w:color="auto"/>
              <w:bottom w:val="single" w:sz="4" w:space="0" w:color="auto"/>
              <w:right w:val="single" w:sz="4" w:space="0" w:color="auto"/>
            </w:tcBorders>
            <w:vAlign w:val="center"/>
          </w:tcPr>
          <w:p w14:paraId="4533531D" w14:textId="27935873"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5D084E82" w14:textId="4F95F73E"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2B8BC4D" w14:textId="3BE2D7BF" w:rsidR="009A7F62" w:rsidRPr="00E96B74" w:rsidRDefault="009A7F62" w:rsidP="004A7840">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E1F43AD" w14:textId="238F0170" w:rsidR="009A7F62" w:rsidRPr="00E96B74" w:rsidRDefault="009A7F62" w:rsidP="004A7840">
            <w:pPr>
              <w:spacing w:after="0" w:line="240" w:lineRule="auto"/>
              <w:jc w:val="center"/>
              <w:rPr>
                <w:rFonts w:ascii="Times New Roman" w:eastAsia="Times New Roman" w:hAnsi="Times New Roman" w:cs="Times New Roman"/>
                <w:sz w:val="20"/>
                <w:szCs w:val="20"/>
                <w:lang w:eastAsia="lv-LV"/>
              </w:rPr>
            </w:pPr>
            <w:r w:rsidRPr="00E96B74">
              <w:rPr>
                <w:rFonts w:ascii="Times New Roman" w:eastAsia="Times New Roman" w:hAnsi="Times New Roman" w:cs="Times New Roman"/>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4FDF4DB3" w14:textId="4036F7BC" w:rsidR="009A7F62" w:rsidRPr="00E96B74" w:rsidRDefault="009A7F62" w:rsidP="004A7840">
            <w:pPr>
              <w:spacing w:after="0" w:line="240" w:lineRule="auto"/>
              <w:jc w:val="center"/>
              <w:rPr>
                <w:rFonts w:ascii="Times New Roman" w:eastAsia="Times New Roman" w:hAnsi="Times New Roman" w:cs="Times New Roman"/>
                <w:sz w:val="20"/>
                <w:szCs w:val="20"/>
                <w:lang w:eastAsia="lv-LV"/>
              </w:rPr>
            </w:pPr>
            <w:r w:rsidRPr="00E96B74">
              <w:rPr>
                <w:rFonts w:ascii="Times New Roman" w:eastAsia="Times New Roman" w:hAnsi="Times New Roman" w:cs="Times New Roman"/>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C9F1B" w14:textId="1E8ADA24" w:rsidR="009A7F62" w:rsidRPr="00C86312" w:rsidRDefault="009A7F62" w:rsidP="004A7840">
            <w:pPr>
              <w:spacing w:after="0" w:line="240" w:lineRule="auto"/>
              <w:jc w:val="center"/>
              <w:rPr>
                <w:rFonts w:ascii="Times New Roman" w:hAnsi="Times New Roman" w:cs="Times New Roman"/>
                <w:b/>
                <w:bCs/>
                <w:color w:val="FF0000"/>
                <w:sz w:val="20"/>
                <w:szCs w:val="20"/>
              </w:rPr>
            </w:pPr>
            <w:r>
              <w:rPr>
                <w:rFonts w:ascii="Times New Roman" w:eastAsia="Times New Roman" w:hAnsi="Times New Roman" w:cs="Times New Roman"/>
                <w:color w:val="000000"/>
                <w:sz w:val="20"/>
                <w:szCs w:val="20"/>
                <w:lang w:eastAsia="lv-LV"/>
              </w:rPr>
              <w:t>40</w:t>
            </w:r>
          </w:p>
        </w:tc>
      </w:tr>
      <w:tr w:rsidR="009A7F62" w14:paraId="4DA196A4" w14:textId="77777777" w:rsidTr="00E96B74">
        <w:trPr>
          <w:trHeight w:val="189"/>
          <w:jc w:val="center"/>
        </w:trPr>
        <w:tc>
          <w:tcPr>
            <w:tcW w:w="423" w:type="dxa"/>
            <w:shd w:val="clear" w:color="auto" w:fill="FBD4B4" w:themeFill="accent6" w:themeFillTint="66"/>
            <w:noWrap/>
            <w:vAlign w:val="bottom"/>
            <w:hideMark/>
          </w:tcPr>
          <w:p w14:paraId="5EE4F2C2" w14:textId="77777777" w:rsidR="009A7F62" w:rsidRPr="00847710" w:rsidRDefault="009A7F62" w:rsidP="004A7840">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4B4" w:themeFill="accent6" w:themeFillTint="66"/>
            <w:noWrap/>
            <w:vAlign w:val="bottom"/>
            <w:hideMark/>
          </w:tcPr>
          <w:p w14:paraId="1041DE90" w14:textId="77777777" w:rsidR="009A7F62" w:rsidRPr="00847710" w:rsidRDefault="009A7F62" w:rsidP="004A784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center"/>
            <w:hideMark/>
          </w:tcPr>
          <w:p w14:paraId="4A03E4DF" w14:textId="15661B11" w:rsidR="009A7F62" w:rsidRPr="00833F61" w:rsidRDefault="009A7F62" w:rsidP="004A7840">
            <w:pPr>
              <w:spacing w:after="0" w:line="240" w:lineRule="auto"/>
              <w:rPr>
                <w:rFonts w:ascii="Times New Roman" w:eastAsia="Times New Roman" w:hAnsi="Times New Roman" w:cs="Times New Roman"/>
                <w:b/>
                <w:sz w:val="20"/>
                <w:szCs w:val="20"/>
                <w:lang w:eastAsia="lv-LV"/>
              </w:rPr>
            </w:pPr>
          </w:p>
        </w:tc>
        <w:tc>
          <w:tcPr>
            <w:tcW w:w="850" w:type="dxa"/>
            <w:shd w:val="clear" w:color="auto" w:fill="FBD4B4" w:themeFill="accent6" w:themeFillTint="66"/>
          </w:tcPr>
          <w:p w14:paraId="12701F73" w14:textId="78E13B87" w:rsidR="009A7F62" w:rsidRPr="00833F61" w:rsidRDefault="009A7F62" w:rsidP="004A7840">
            <w:pPr>
              <w:spacing w:after="0" w:line="240" w:lineRule="auto"/>
              <w:jc w:val="center"/>
              <w:rPr>
                <w:rFonts w:ascii="Times New Roman" w:hAnsi="Times New Roman" w:cs="Times New Roman"/>
                <w:b/>
                <w:sz w:val="20"/>
                <w:szCs w:val="20"/>
              </w:rPr>
            </w:pPr>
          </w:p>
        </w:tc>
        <w:tc>
          <w:tcPr>
            <w:tcW w:w="853" w:type="dxa"/>
            <w:shd w:val="clear" w:color="auto" w:fill="FBD4B4" w:themeFill="accent6" w:themeFillTint="66"/>
          </w:tcPr>
          <w:p w14:paraId="7273297C" w14:textId="4C33C389" w:rsidR="009A7F62" w:rsidRPr="00833F61" w:rsidRDefault="009A7F62" w:rsidP="004A7840">
            <w:pPr>
              <w:spacing w:after="0" w:line="240" w:lineRule="auto"/>
              <w:jc w:val="center"/>
              <w:rPr>
                <w:rFonts w:ascii="Times New Roman" w:hAnsi="Times New Roman" w:cs="Times New Roman"/>
                <w:b/>
                <w:sz w:val="20"/>
                <w:szCs w:val="20"/>
              </w:rPr>
            </w:pPr>
          </w:p>
        </w:tc>
        <w:tc>
          <w:tcPr>
            <w:tcW w:w="851" w:type="dxa"/>
            <w:shd w:val="clear" w:color="auto" w:fill="FBD4B4" w:themeFill="accent6" w:themeFillTint="66"/>
          </w:tcPr>
          <w:p w14:paraId="470B686B" w14:textId="11AD9B84" w:rsidR="009A7F62" w:rsidRPr="00833F61" w:rsidRDefault="009A7F62" w:rsidP="004A7840">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tcPr>
          <w:p w14:paraId="1B6E8013" w14:textId="77777777" w:rsidR="009A7F62" w:rsidRDefault="009A7F62" w:rsidP="004A7840">
            <w:pPr>
              <w:spacing w:after="0" w:line="240" w:lineRule="auto"/>
              <w:jc w:val="center"/>
              <w:rPr>
                <w:rFonts w:ascii="Times New Roman" w:eastAsia="Times New Roman" w:hAnsi="Times New Roman" w:cs="Times New Roman"/>
                <w:b/>
                <w:sz w:val="20"/>
                <w:szCs w:val="20"/>
                <w:lang w:eastAsia="lv-LV"/>
              </w:rPr>
            </w:pPr>
          </w:p>
        </w:tc>
        <w:tc>
          <w:tcPr>
            <w:tcW w:w="851" w:type="dxa"/>
            <w:shd w:val="clear" w:color="auto" w:fill="FBD4B4" w:themeFill="accent6" w:themeFillTint="66"/>
          </w:tcPr>
          <w:p w14:paraId="16077115" w14:textId="20D4B69E" w:rsidR="009A7F62" w:rsidRDefault="009A7F62" w:rsidP="004A7840">
            <w:pPr>
              <w:spacing w:after="0" w:line="240" w:lineRule="auto"/>
              <w:jc w:val="center"/>
              <w:rPr>
                <w:rFonts w:ascii="Times New Roman" w:eastAsia="Times New Roman" w:hAnsi="Times New Roman" w:cs="Times New Roman"/>
                <w:b/>
                <w:sz w:val="20"/>
                <w:szCs w:val="20"/>
                <w:lang w:eastAsia="lv-LV"/>
              </w:rPr>
            </w:pPr>
          </w:p>
        </w:tc>
        <w:tc>
          <w:tcPr>
            <w:tcW w:w="992" w:type="dxa"/>
            <w:shd w:val="clear" w:color="auto" w:fill="FBD4B4" w:themeFill="accent6" w:themeFillTint="66"/>
            <w:noWrap/>
          </w:tcPr>
          <w:p w14:paraId="1BB199C7" w14:textId="37035603" w:rsidR="009A7F62" w:rsidRPr="00582B36" w:rsidRDefault="009A7F62" w:rsidP="004A7840">
            <w:pPr>
              <w:spacing w:after="0" w:line="240" w:lineRule="auto"/>
              <w:jc w:val="center"/>
              <w:rPr>
                <w:rFonts w:ascii="Times New Roman" w:hAnsi="Times New Roman" w:cs="Times New Roman"/>
                <w:b/>
                <w:sz w:val="20"/>
                <w:szCs w:val="20"/>
              </w:rPr>
            </w:pPr>
            <w:r w:rsidRPr="00582B36">
              <w:rPr>
                <w:rFonts w:ascii="Times New Roman" w:eastAsia="Times New Roman" w:hAnsi="Times New Roman" w:cs="Times New Roman"/>
                <w:b/>
                <w:sz w:val="20"/>
                <w:szCs w:val="20"/>
                <w:lang w:eastAsia="lv-LV"/>
              </w:rPr>
              <w:t>111 212</w:t>
            </w:r>
          </w:p>
        </w:tc>
        <w:tc>
          <w:tcPr>
            <w:tcW w:w="851" w:type="dxa"/>
            <w:shd w:val="clear" w:color="auto" w:fill="FBD4B4" w:themeFill="accent6" w:themeFillTint="66"/>
          </w:tcPr>
          <w:p w14:paraId="07653705" w14:textId="1523FF24" w:rsidR="009A7F62" w:rsidRPr="00582B36" w:rsidRDefault="009A7F62" w:rsidP="004A7840">
            <w:pPr>
              <w:spacing w:after="0" w:line="240" w:lineRule="auto"/>
              <w:jc w:val="center"/>
              <w:rPr>
                <w:rFonts w:ascii="Times New Roman" w:hAnsi="Times New Roman" w:cs="Times New Roman"/>
                <w:b/>
                <w:bCs/>
                <w:color w:val="FF0000"/>
                <w:sz w:val="20"/>
                <w:szCs w:val="20"/>
              </w:rPr>
            </w:pPr>
          </w:p>
        </w:tc>
        <w:tc>
          <w:tcPr>
            <w:tcW w:w="708" w:type="dxa"/>
            <w:shd w:val="clear" w:color="auto" w:fill="FBD4B4" w:themeFill="accent6" w:themeFillTint="66"/>
            <w:vAlign w:val="center"/>
          </w:tcPr>
          <w:p w14:paraId="50FC787B" w14:textId="77777777" w:rsidR="009A7F62" w:rsidRPr="00582B36" w:rsidRDefault="009A7F62" w:rsidP="004A7840">
            <w:pPr>
              <w:spacing w:after="0" w:line="240" w:lineRule="auto"/>
              <w:jc w:val="center"/>
              <w:rPr>
                <w:rFonts w:ascii="Times New Roman" w:hAnsi="Times New Roman" w:cs="Times New Roman"/>
                <w:b/>
                <w:bCs/>
                <w:color w:val="FF0000"/>
                <w:sz w:val="20"/>
                <w:szCs w:val="20"/>
              </w:rPr>
            </w:pPr>
          </w:p>
        </w:tc>
        <w:tc>
          <w:tcPr>
            <w:tcW w:w="851" w:type="dxa"/>
            <w:shd w:val="clear" w:color="auto" w:fill="FBD4B4" w:themeFill="accent6" w:themeFillTint="66"/>
            <w:vAlign w:val="center"/>
          </w:tcPr>
          <w:p w14:paraId="00A6F355" w14:textId="77777777" w:rsidR="009A7F62" w:rsidRPr="00582B36" w:rsidRDefault="009A7F62" w:rsidP="004A7840">
            <w:pPr>
              <w:spacing w:after="0" w:line="240" w:lineRule="auto"/>
              <w:jc w:val="center"/>
              <w:rPr>
                <w:rFonts w:ascii="Times New Roman" w:hAnsi="Times New Roman" w:cs="Times New Roman"/>
                <w:b/>
                <w:bCs/>
                <w:color w:val="FF0000"/>
                <w:sz w:val="20"/>
                <w:szCs w:val="20"/>
              </w:rPr>
            </w:pPr>
          </w:p>
        </w:tc>
        <w:tc>
          <w:tcPr>
            <w:tcW w:w="709" w:type="dxa"/>
            <w:shd w:val="clear" w:color="auto" w:fill="FBD4B4" w:themeFill="accent6" w:themeFillTint="66"/>
          </w:tcPr>
          <w:p w14:paraId="7D8A89CF" w14:textId="77777777" w:rsidR="009A7F62" w:rsidRPr="00582B36" w:rsidRDefault="009A7F62" w:rsidP="004A7840">
            <w:pPr>
              <w:spacing w:after="0" w:line="240" w:lineRule="auto"/>
              <w:jc w:val="center"/>
              <w:rPr>
                <w:rFonts w:ascii="Times New Roman" w:eastAsia="Times New Roman" w:hAnsi="Times New Roman" w:cs="Times New Roman"/>
                <w:b/>
                <w:color w:val="000000"/>
                <w:sz w:val="20"/>
                <w:szCs w:val="20"/>
                <w:lang w:eastAsia="lv-LV"/>
              </w:rPr>
            </w:pPr>
          </w:p>
        </w:tc>
        <w:tc>
          <w:tcPr>
            <w:tcW w:w="708" w:type="dxa"/>
            <w:shd w:val="clear" w:color="auto" w:fill="FBD4B4" w:themeFill="accent6" w:themeFillTint="66"/>
          </w:tcPr>
          <w:p w14:paraId="63B04BC6" w14:textId="00740258" w:rsidR="009A7F62" w:rsidRPr="00582B36" w:rsidRDefault="009A7F62" w:rsidP="004A7840">
            <w:pPr>
              <w:spacing w:after="0" w:line="240" w:lineRule="auto"/>
              <w:jc w:val="center"/>
              <w:rPr>
                <w:rFonts w:ascii="Times New Roman" w:eastAsia="Times New Roman" w:hAnsi="Times New Roman" w:cs="Times New Roman"/>
                <w:b/>
                <w:color w:val="000000"/>
                <w:sz w:val="20"/>
                <w:szCs w:val="20"/>
                <w:lang w:eastAsia="lv-LV"/>
              </w:rPr>
            </w:pPr>
          </w:p>
        </w:tc>
        <w:tc>
          <w:tcPr>
            <w:tcW w:w="851" w:type="dxa"/>
            <w:shd w:val="clear" w:color="auto" w:fill="FBD4B4" w:themeFill="accent6" w:themeFillTint="66"/>
            <w:noWrap/>
            <w:vAlign w:val="center"/>
          </w:tcPr>
          <w:p w14:paraId="1FD1C5E5" w14:textId="44B4B5D3" w:rsidR="009A7F62" w:rsidRPr="00582B36" w:rsidRDefault="009A7F62" w:rsidP="004A7840">
            <w:pPr>
              <w:spacing w:after="0" w:line="240" w:lineRule="auto"/>
              <w:jc w:val="center"/>
              <w:rPr>
                <w:rFonts w:ascii="Times New Roman" w:hAnsi="Times New Roman" w:cs="Times New Roman"/>
                <w:b/>
                <w:bCs/>
                <w:color w:val="FF0000"/>
                <w:sz w:val="20"/>
                <w:szCs w:val="20"/>
              </w:rPr>
            </w:pPr>
            <w:r w:rsidRPr="00582B36">
              <w:rPr>
                <w:rFonts w:ascii="Times New Roman" w:eastAsia="Times New Roman" w:hAnsi="Times New Roman" w:cs="Times New Roman"/>
                <w:b/>
                <w:color w:val="000000"/>
                <w:sz w:val="20"/>
                <w:szCs w:val="20"/>
                <w:lang w:eastAsia="lv-LV"/>
              </w:rPr>
              <w:t>360</w:t>
            </w:r>
          </w:p>
        </w:tc>
      </w:tr>
    </w:tbl>
    <w:p w14:paraId="3FD44485" w14:textId="77777777" w:rsidR="009A7F62" w:rsidRDefault="009A7F62" w:rsidP="001F05A4">
      <w:pPr>
        <w:rPr>
          <w:rFonts w:ascii="Times New Roman" w:hAnsi="Times New Roman" w:cs="Times New Roman"/>
          <w:i/>
          <w:iCs/>
          <w:sz w:val="24"/>
          <w:szCs w:val="24"/>
        </w:rPr>
        <w:sectPr w:rsidR="009A7F62" w:rsidSect="00333B64">
          <w:pgSz w:w="15840" w:h="12240" w:orient="landscape"/>
          <w:pgMar w:top="1701" w:right="1440" w:bottom="1440" w:left="1440" w:header="709" w:footer="709" w:gutter="0"/>
          <w:cols w:space="708"/>
          <w:docGrid w:linePitch="360"/>
        </w:sectPr>
      </w:pPr>
    </w:p>
    <w:p w14:paraId="72D1037A" w14:textId="35D64199" w:rsidR="00A842CF" w:rsidRDefault="00A842CF" w:rsidP="001F05A4">
      <w:pPr>
        <w:rPr>
          <w:rFonts w:ascii="Times New Roman" w:hAnsi="Times New Roman" w:cs="Times New Roman"/>
          <w:i/>
          <w:iCs/>
          <w:sz w:val="24"/>
          <w:szCs w:val="24"/>
        </w:rPr>
      </w:pPr>
    </w:p>
    <w:p w14:paraId="0302C55B" w14:textId="4188247A" w:rsidR="0077569F" w:rsidRPr="00E93259" w:rsidRDefault="000678A1" w:rsidP="2749705C">
      <w:pPr>
        <w:ind w:firstLine="720"/>
        <w:jc w:val="right"/>
        <w:rPr>
          <w:rFonts w:ascii="Times New Roman" w:hAnsi="Times New Roman" w:cs="Times New Roman"/>
          <w:i/>
          <w:iCs/>
          <w:sz w:val="24"/>
          <w:szCs w:val="24"/>
        </w:rPr>
      </w:pPr>
      <w:r>
        <w:rPr>
          <w:rFonts w:ascii="Times New Roman" w:hAnsi="Times New Roman" w:cs="Times New Roman"/>
          <w:i/>
          <w:iCs/>
          <w:sz w:val="24"/>
          <w:szCs w:val="24"/>
        </w:rPr>
        <w:t>46</w:t>
      </w:r>
      <w:r w:rsidR="0077569F">
        <w:rPr>
          <w:rFonts w:ascii="Times New Roman" w:hAnsi="Times New Roman" w:cs="Times New Roman"/>
          <w:i/>
          <w:iCs/>
          <w:sz w:val="24"/>
          <w:szCs w:val="24"/>
        </w:rPr>
        <w:t>.tabula</w:t>
      </w:r>
    </w:p>
    <w:p w14:paraId="588AB308" w14:textId="0250C054" w:rsidR="008228A7" w:rsidRPr="009044FE" w:rsidRDefault="00A949D4" w:rsidP="00007A5A">
      <w:pPr>
        <w:jc w:val="center"/>
        <w:rPr>
          <w:rFonts w:ascii="Times New Roman" w:hAnsi="Times New Roman" w:cs="Times New Roman"/>
          <w:b/>
          <w:sz w:val="24"/>
          <w:szCs w:val="24"/>
        </w:rPr>
      </w:pPr>
      <w:r w:rsidRPr="009044FE">
        <w:rPr>
          <w:rFonts w:ascii="Times New Roman" w:hAnsi="Times New Roman" w:cs="Times New Roman"/>
          <w:b/>
          <w:sz w:val="24"/>
          <w:szCs w:val="24"/>
        </w:rPr>
        <w:t>P</w:t>
      </w:r>
      <w:r w:rsidR="008228A7" w:rsidRPr="009044FE">
        <w:rPr>
          <w:rFonts w:ascii="Times New Roman" w:hAnsi="Times New Roman" w:cs="Times New Roman"/>
          <w:b/>
          <w:sz w:val="24"/>
          <w:szCs w:val="24"/>
        </w:rPr>
        <w:t>rostat</w:t>
      </w:r>
      <w:r w:rsidR="00B427B8" w:rsidRPr="009044FE">
        <w:rPr>
          <w:rFonts w:ascii="Times New Roman" w:hAnsi="Times New Roman" w:cs="Times New Roman"/>
          <w:b/>
          <w:sz w:val="24"/>
          <w:szCs w:val="24"/>
        </w:rPr>
        <w:t>a</w:t>
      </w:r>
      <w:r w:rsidR="008228A7" w:rsidRPr="009044FE">
        <w:rPr>
          <w:rFonts w:ascii="Times New Roman" w:hAnsi="Times New Roman" w:cs="Times New Roman"/>
          <w:b/>
          <w:sz w:val="24"/>
          <w:szCs w:val="24"/>
        </w:rPr>
        <w:t>s vēža diagnostika</w:t>
      </w:r>
      <w:r w:rsidRPr="009044FE">
        <w:rPr>
          <w:rFonts w:ascii="Times New Roman" w:hAnsi="Times New Roman" w:cs="Times New Roman"/>
          <w:b/>
          <w:sz w:val="24"/>
          <w:szCs w:val="24"/>
        </w:rPr>
        <w:t>s</w:t>
      </w:r>
      <w:r w:rsidR="008228A7" w:rsidRPr="009044FE">
        <w:rPr>
          <w:rFonts w:ascii="Times New Roman" w:hAnsi="Times New Roman" w:cs="Times New Roman"/>
          <w:b/>
          <w:sz w:val="24"/>
          <w:szCs w:val="24"/>
        </w:rPr>
        <w:t xml:space="preserve"> un ārstēšana</w:t>
      </w:r>
      <w:r w:rsidRPr="009044FE">
        <w:rPr>
          <w:rFonts w:ascii="Times New Roman" w:hAnsi="Times New Roman" w:cs="Times New Roman"/>
          <w:b/>
          <w:sz w:val="24"/>
          <w:szCs w:val="24"/>
        </w:rPr>
        <w:t>s</w:t>
      </w:r>
      <w:r w:rsidR="008228A7" w:rsidRPr="009044FE">
        <w:rPr>
          <w:rFonts w:ascii="Times New Roman" w:hAnsi="Times New Roman" w:cs="Times New Roman"/>
          <w:b/>
          <w:sz w:val="24"/>
          <w:szCs w:val="24"/>
        </w:rPr>
        <w:t xml:space="preserve"> (divi tarifi biopsijām un viens priekšdziedzera vēža minimāli invazīvas ārstēšanas procedūrai ar AIFU iekārtu)</w:t>
      </w:r>
      <w:r w:rsidRPr="009044FE">
        <w:rPr>
          <w:rFonts w:ascii="Times New Roman" w:hAnsi="Times New Roman" w:cs="Times New Roman"/>
          <w:b/>
          <w:sz w:val="24"/>
          <w:szCs w:val="24"/>
        </w:rPr>
        <w:t xml:space="preserve"> tarifam nepieciešamais finansējums</w:t>
      </w:r>
      <w:r w:rsidR="0077569F">
        <w:rPr>
          <w:rFonts w:ascii="Times New Roman" w:hAnsi="Times New Roman" w:cs="Times New Roman"/>
          <w:b/>
          <w:sz w:val="24"/>
          <w:szCs w:val="24"/>
        </w:rPr>
        <w:t xml:space="preserve"> no 2019.gada 1.aprīļa</w:t>
      </w:r>
    </w:p>
    <w:tbl>
      <w:tblPr>
        <w:tblW w:w="11189" w:type="dxa"/>
        <w:tblLayout w:type="fixed"/>
        <w:tblLook w:val="04A0" w:firstRow="1" w:lastRow="0" w:firstColumn="1" w:lastColumn="0" w:noHBand="0" w:noVBand="1"/>
      </w:tblPr>
      <w:tblGrid>
        <w:gridCol w:w="3683"/>
        <w:gridCol w:w="1285"/>
        <w:gridCol w:w="1559"/>
        <w:gridCol w:w="1554"/>
        <w:gridCol w:w="1554"/>
        <w:gridCol w:w="1554"/>
      </w:tblGrid>
      <w:tr w:rsidR="00E0230B" w:rsidRPr="008228A7" w14:paraId="41AE1432" w14:textId="090892B2" w:rsidTr="00E93259">
        <w:trPr>
          <w:trHeight w:val="480"/>
        </w:trPr>
        <w:tc>
          <w:tcPr>
            <w:tcW w:w="368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0B998C7" w14:textId="77777777" w:rsidR="00E0230B" w:rsidRPr="00007A5A" w:rsidRDefault="00E0230B" w:rsidP="00701473">
            <w:pPr>
              <w:spacing w:after="0" w:line="240" w:lineRule="auto"/>
              <w:jc w:val="center"/>
              <w:rPr>
                <w:rFonts w:ascii="Times New Roman" w:eastAsia="Times New Roman" w:hAnsi="Times New Roman" w:cs="Times New Roman"/>
                <w:b/>
                <w:bCs/>
                <w:color w:val="000000"/>
                <w:sz w:val="20"/>
                <w:szCs w:val="20"/>
                <w:lang w:eastAsia="lv-LV"/>
              </w:rPr>
            </w:pPr>
            <w:r w:rsidRPr="00007A5A">
              <w:rPr>
                <w:rFonts w:ascii="Times New Roman" w:eastAsia="Times New Roman" w:hAnsi="Times New Roman" w:cs="Times New Roman"/>
                <w:b/>
                <w:bCs/>
                <w:color w:val="000000"/>
                <w:sz w:val="20"/>
                <w:szCs w:val="20"/>
                <w:lang w:eastAsia="lv-LV"/>
              </w:rPr>
              <w:t>Pasākums</w:t>
            </w:r>
          </w:p>
        </w:tc>
        <w:tc>
          <w:tcPr>
            <w:tcW w:w="1285" w:type="dxa"/>
            <w:tcBorders>
              <w:top w:val="single" w:sz="4" w:space="0" w:color="auto"/>
              <w:left w:val="nil"/>
              <w:bottom w:val="single" w:sz="4" w:space="0" w:color="auto"/>
              <w:right w:val="single" w:sz="4" w:space="0" w:color="auto"/>
            </w:tcBorders>
            <w:shd w:val="clear" w:color="auto" w:fill="E36C0A" w:themeFill="accent6" w:themeFillShade="BF"/>
          </w:tcPr>
          <w:p w14:paraId="3BE9034F" w14:textId="1C19495F" w:rsidR="00E0230B" w:rsidRPr="008228A7" w:rsidRDefault="00E0230B" w:rsidP="00E0230B">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Pacientu skaits 2019.gadā</w:t>
            </w:r>
          </w:p>
        </w:tc>
        <w:tc>
          <w:tcPr>
            <w:tcW w:w="15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88D9E09" w14:textId="59CBCA78" w:rsidR="00E0230B" w:rsidRDefault="00E0230B" w:rsidP="00E0230B">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Viena pacienta vidējās izmaksas 2019.gadā </w:t>
            </w:r>
            <w:r w:rsidRPr="00BB4113">
              <w:rPr>
                <w:rFonts w:ascii="Times New Roman" w:eastAsia="Times New Roman" w:hAnsi="Times New Roman" w:cs="Times New Roman"/>
                <w:b/>
                <w:bCs/>
                <w:i/>
                <w:color w:val="000000"/>
                <w:sz w:val="20"/>
                <w:szCs w:val="20"/>
                <w:lang w:eastAsia="lv-LV"/>
              </w:rPr>
              <w:t>euro</w:t>
            </w:r>
          </w:p>
        </w:tc>
        <w:tc>
          <w:tcPr>
            <w:tcW w:w="1554"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0F496C3D" w14:textId="1BE8AEFB" w:rsidR="00E0230B" w:rsidRDefault="00E0230B" w:rsidP="00E0230B">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Plānotais finansējums</w:t>
            </w:r>
          </w:p>
          <w:p w14:paraId="1B26FC69" w14:textId="3810F63D" w:rsidR="00E0230B" w:rsidRPr="00007A5A" w:rsidRDefault="00E0230B" w:rsidP="00E0230B">
            <w:pPr>
              <w:spacing w:after="0" w:line="240" w:lineRule="auto"/>
              <w:jc w:val="center"/>
              <w:rPr>
                <w:rFonts w:ascii="Times New Roman" w:eastAsia="Times New Roman" w:hAnsi="Times New Roman" w:cs="Times New Roman"/>
                <w:b/>
                <w:bCs/>
                <w:color w:val="000000"/>
                <w:sz w:val="20"/>
                <w:szCs w:val="20"/>
                <w:lang w:eastAsia="lv-LV"/>
              </w:rPr>
            </w:pPr>
            <w:r w:rsidRPr="009F133C">
              <w:rPr>
                <w:rFonts w:ascii="Times New Roman" w:eastAsia="Times New Roman" w:hAnsi="Times New Roman" w:cs="Times New Roman"/>
                <w:b/>
                <w:bCs/>
                <w:color w:val="000000"/>
                <w:sz w:val="20"/>
                <w:szCs w:val="20"/>
                <w:lang w:eastAsia="lv-LV"/>
              </w:rPr>
              <w:t>2019.gad</w:t>
            </w:r>
            <w:r>
              <w:rPr>
                <w:rFonts w:ascii="Times New Roman" w:eastAsia="Times New Roman" w:hAnsi="Times New Roman" w:cs="Times New Roman"/>
                <w:b/>
                <w:bCs/>
                <w:color w:val="000000"/>
                <w:sz w:val="20"/>
                <w:szCs w:val="20"/>
                <w:lang w:eastAsia="lv-LV"/>
              </w:rPr>
              <w:t xml:space="preserve">ā </w:t>
            </w:r>
            <w:r w:rsidRPr="00BB4113">
              <w:rPr>
                <w:rFonts w:ascii="Times New Roman" w:eastAsia="Times New Roman" w:hAnsi="Times New Roman" w:cs="Times New Roman"/>
                <w:b/>
                <w:bCs/>
                <w:i/>
                <w:color w:val="000000"/>
                <w:sz w:val="20"/>
                <w:szCs w:val="20"/>
                <w:lang w:eastAsia="lv-LV"/>
              </w:rPr>
              <w:t>euro</w:t>
            </w:r>
          </w:p>
        </w:tc>
        <w:tc>
          <w:tcPr>
            <w:tcW w:w="155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9E85B78" w14:textId="0DA16241" w:rsidR="00E0230B" w:rsidRDefault="00E0230B" w:rsidP="00E0230B">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Plānotais finansējums no </w:t>
            </w:r>
          </w:p>
          <w:p w14:paraId="0286706D" w14:textId="38ACA8E0" w:rsidR="00E0230B" w:rsidRDefault="00E0230B" w:rsidP="00E0230B">
            <w:pPr>
              <w:spacing w:after="0" w:line="240" w:lineRule="auto"/>
              <w:jc w:val="center"/>
              <w:rPr>
                <w:rFonts w:ascii="Times New Roman" w:eastAsia="Times New Roman" w:hAnsi="Times New Roman" w:cs="Times New Roman"/>
                <w:b/>
                <w:bCs/>
                <w:color w:val="000000"/>
                <w:sz w:val="20"/>
                <w:szCs w:val="20"/>
                <w:lang w:eastAsia="lv-LV"/>
              </w:rPr>
            </w:pPr>
            <w:r w:rsidRPr="009F133C">
              <w:rPr>
                <w:rFonts w:ascii="Times New Roman" w:eastAsia="Times New Roman" w:hAnsi="Times New Roman" w:cs="Times New Roman"/>
                <w:b/>
                <w:bCs/>
                <w:color w:val="000000"/>
                <w:sz w:val="20"/>
                <w:szCs w:val="20"/>
                <w:lang w:eastAsia="lv-LV"/>
              </w:rPr>
              <w:t>2019.gad</w:t>
            </w:r>
            <w:r>
              <w:rPr>
                <w:rFonts w:ascii="Times New Roman" w:eastAsia="Times New Roman" w:hAnsi="Times New Roman" w:cs="Times New Roman"/>
                <w:b/>
                <w:bCs/>
                <w:color w:val="000000"/>
                <w:sz w:val="20"/>
                <w:szCs w:val="20"/>
                <w:lang w:eastAsia="lv-LV"/>
              </w:rPr>
              <w:t xml:space="preserve">a 1.aprīļa </w:t>
            </w:r>
            <w:r w:rsidRPr="00BB4113">
              <w:rPr>
                <w:rFonts w:ascii="Times New Roman" w:eastAsia="Times New Roman" w:hAnsi="Times New Roman" w:cs="Times New Roman"/>
                <w:b/>
                <w:bCs/>
                <w:i/>
                <w:color w:val="000000"/>
                <w:sz w:val="20"/>
                <w:szCs w:val="20"/>
                <w:lang w:eastAsia="lv-LV"/>
              </w:rPr>
              <w:t>euro</w:t>
            </w:r>
          </w:p>
        </w:tc>
        <w:tc>
          <w:tcPr>
            <w:tcW w:w="1554" w:type="dxa"/>
          </w:tcPr>
          <w:p w14:paraId="28F06891" w14:textId="77777777" w:rsidR="00E0230B" w:rsidRPr="008228A7" w:rsidRDefault="00E0230B" w:rsidP="00E0230B"/>
        </w:tc>
      </w:tr>
      <w:tr w:rsidR="00E0230B" w:rsidRPr="008228A7" w14:paraId="1CFB2037" w14:textId="7B9D5350" w:rsidTr="00E93259">
        <w:trPr>
          <w:gridAfter w:val="1"/>
          <w:wAfter w:w="1554" w:type="dxa"/>
          <w:trHeight w:val="316"/>
        </w:trPr>
        <w:tc>
          <w:tcPr>
            <w:tcW w:w="3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49AA04" w14:textId="77777777" w:rsidR="00E0230B" w:rsidRPr="00007A5A" w:rsidRDefault="00E0230B" w:rsidP="00E0230B">
            <w:pPr>
              <w:spacing w:after="0" w:line="240" w:lineRule="auto"/>
              <w:ind w:firstLineChars="100" w:firstLine="200"/>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Transperineāla tēmēta prostatas biopsija</w:t>
            </w:r>
          </w:p>
        </w:tc>
        <w:tc>
          <w:tcPr>
            <w:tcW w:w="1285" w:type="dxa"/>
            <w:tcBorders>
              <w:top w:val="single" w:sz="4" w:space="0" w:color="auto"/>
              <w:left w:val="nil"/>
              <w:bottom w:val="single" w:sz="4" w:space="0" w:color="auto"/>
              <w:right w:val="single" w:sz="4" w:space="0" w:color="auto"/>
            </w:tcBorders>
            <w:shd w:val="clear" w:color="auto" w:fill="FFFFFF" w:themeFill="background1"/>
            <w:vAlign w:val="center"/>
          </w:tcPr>
          <w:p w14:paraId="6CB41BAC" w14:textId="028CA2D9" w:rsidR="00E0230B" w:rsidRPr="008228A7" w:rsidRDefault="00E0230B"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61A73" w14:textId="06560B1E" w:rsidR="00E0230B" w:rsidRPr="008228A7" w:rsidRDefault="00E0230B"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199.96</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C2BD9" w14:textId="5F5CF240" w:rsidR="00E0230B" w:rsidRPr="00007A5A" w:rsidRDefault="00E0230B"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39 992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2162D" w14:textId="21C03CDA" w:rsidR="00E0230B" w:rsidRDefault="00701473"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29 994</w:t>
            </w:r>
          </w:p>
        </w:tc>
      </w:tr>
      <w:tr w:rsidR="00E0230B" w:rsidRPr="008228A7" w14:paraId="1272FD70" w14:textId="6CA494B2" w:rsidTr="00E93259">
        <w:trPr>
          <w:gridAfter w:val="1"/>
          <w:wAfter w:w="1554" w:type="dxa"/>
          <w:trHeight w:val="267"/>
        </w:trPr>
        <w:tc>
          <w:tcPr>
            <w:tcW w:w="3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0FA589" w14:textId="77777777" w:rsidR="00E0230B" w:rsidRPr="00007A5A" w:rsidRDefault="00E0230B" w:rsidP="00E0230B">
            <w:pPr>
              <w:spacing w:after="0" w:line="240" w:lineRule="auto"/>
              <w:ind w:firstLineChars="100" w:firstLine="200"/>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Transrektāla tēmēta prostatas biopsija</w:t>
            </w:r>
          </w:p>
        </w:tc>
        <w:tc>
          <w:tcPr>
            <w:tcW w:w="1285" w:type="dxa"/>
            <w:tcBorders>
              <w:top w:val="single" w:sz="4" w:space="0" w:color="auto"/>
              <w:left w:val="nil"/>
              <w:bottom w:val="single" w:sz="4" w:space="0" w:color="auto"/>
              <w:right w:val="single" w:sz="4" w:space="0" w:color="auto"/>
            </w:tcBorders>
            <w:shd w:val="clear" w:color="auto" w:fill="FFFFFF" w:themeFill="background1"/>
            <w:vAlign w:val="center"/>
          </w:tcPr>
          <w:p w14:paraId="2CA678F7" w14:textId="272F2862" w:rsidR="00E0230B" w:rsidRPr="008228A7" w:rsidRDefault="00E0230B"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698BE" w14:textId="76700853" w:rsidR="00E0230B" w:rsidRPr="008228A7" w:rsidRDefault="00E0230B"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260.80</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E6485" w14:textId="5B14C420" w:rsidR="00E0230B" w:rsidRPr="00007A5A" w:rsidRDefault="00E0230B" w:rsidP="00E0230B">
            <w:pPr>
              <w:spacing w:after="0" w:line="240" w:lineRule="auto"/>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1 296</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96D0D" w14:textId="70376B5E" w:rsidR="00E0230B" w:rsidRPr="00007A5A" w:rsidRDefault="00701473"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23 472</w:t>
            </w:r>
          </w:p>
        </w:tc>
      </w:tr>
      <w:tr w:rsidR="00E0230B" w:rsidRPr="008228A7" w14:paraId="6D2B953F" w14:textId="01AFF11A" w:rsidTr="00E93259">
        <w:trPr>
          <w:gridAfter w:val="1"/>
          <w:wAfter w:w="1554" w:type="dxa"/>
          <w:trHeight w:val="841"/>
        </w:trPr>
        <w:tc>
          <w:tcPr>
            <w:tcW w:w="3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71713A" w14:textId="77777777" w:rsidR="00E0230B" w:rsidRPr="00007A5A" w:rsidRDefault="00E0230B" w:rsidP="00E0230B">
            <w:pPr>
              <w:spacing w:after="0" w:line="240" w:lineRule="auto"/>
              <w:ind w:firstLineChars="100" w:firstLine="200"/>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Priekšdziedzera vēža minimāli invazīvas ārstēšanas procedūra ar AIFU (augstas intensitātes fokusēta ultraskaņa) iekārtu</w:t>
            </w:r>
          </w:p>
        </w:tc>
        <w:tc>
          <w:tcPr>
            <w:tcW w:w="1285" w:type="dxa"/>
            <w:tcBorders>
              <w:top w:val="single" w:sz="4" w:space="0" w:color="auto"/>
              <w:left w:val="nil"/>
              <w:bottom w:val="single" w:sz="4" w:space="0" w:color="auto"/>
              <w:right w:val="single" w:sz="4" w:space="0" w:color="auto"/>
            </w:tcBorders>
            <w:shd w:val="clear" w:color="auto" w:fill="FFFFFF" w:themeFill="background1"/>
            <w:vAlign w:val="center"/>
          </w:tcPr>
          <w:p w14:paraId="602955E8" w14:textId="3E925B47" w:rsidR="00E0230B" w:rsidRPr="008228A7" w:rsidRDefault="00E0230B"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6908" w14:textId="693767F6" w:rsidR="00E0230B" w:rsidRPr="008228A7" w:rsidRDefault="00E0230B"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1 924.85</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1991B" w14:textId="076CEC24" w:rsidR="00E0230B" w:rsidRPr="00007A5A" w:rsidRDefault="00E0230B" w:rsidP="00E0230B">
            <w:pPr>
              <w:spacing w:after="0" w:line="240" w:lineRule="auto"/>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7</w:t>
            </w:r>
            <w:r>
              <w:rPr>
                <w:rFonts w:ascii="Times New Roman" w:eastAsia="Times New Roman" w:hAnsi="Times New Roman" w:cs="Times New Roman"/>
                <w:color w:val="000000"/>
                <w:sz w:val="20"/>
                <w:szCs w:val="20"/>
                <w:lang w:eastAsia="lv-LV"/>
              </w:rPr>
              <w:t>6 994</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11A62" w14:textId="370DE60D" w:rsidR="00E0230B" w:rsidRPr="00007A5A" w:rsidRDefault="00701473" w:rsidP="00E0230B">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57 746</w:t>
            </w:r>
          </w:p>
        </w:tc>
      </w:tr>
      <w:tr w:rsidR="00E0230B" w:rsidRPr="008228A7" w14:paraId="3E0D3C7A" w14:textId="41A1926E" w:rsidTr="00E93259">
        <w:trPr>
          <w:gridAfter w:val="1"/>
          <w:wAfter w:w="1554" w:type="dxa"/>
          <w:trHeight w:val="255"/>
        </w:trPr>
        <w:tc>
          <w:tcPr>
            <w:tcW w:w="652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40AB37E8" w14:textId="43EDA8D8" w:rsidR="00E0230B" w:rsidRPr="008228A7" w:rsidRDefault="00E0230B" w:rsidP="00E0230B">
            <w:pPr>
              <w:spacing w:after="0" w:line="240" w:lineRule="auto"/>
              <w:jc w:val="right"/>
              <w:rPr>
                <w:rFonts w:ascii="Times New Roman" w:eastAsia="Times New Roman" w:hAnsi="Times New Roman" w:cs="Times New Roman"/>
                <w:sz w:val="20"/>
                <w:szCs w:val="20"/>
                <w:lang w:eastAsia="lv-LV"/>
              </w:rPr>
            </w:pPr>
            <w:r w:rsidRPr="00007A5A">
              <w:rPr>
                <w:rFonts w:ascii="Times New Roman" w:eastAsia="Times New Roman" w:hAnsi="Times New Roman" w:cs="Times New Roman"/>
                <w:b/>
                <w:color w:val="000000"/>
                <w:sz w:val="20"/>
                <w:szCs w:val="20"/>
                <w:lang w:eastAsia="lv-LV"/>
              </w:rPr>
              <w:t>Kopā:</w:t>
            </w:r>
          </w:p>
        </w:tc>
        <w:tc>
          <w:tcPr>
            <w:tcW w:w="155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208FE36" w14:textId="1C8499C9" w:rsidR="00E0230B" w:rsidRPr="00007A5A" w:rsidRDefault="00E0230B" w:rsidP="00E0230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148 282</w:t>
            </w:r>
          </w:p>
        </w:tc>
        <w:tc>
          <w:tcPr>
            <w:tcW w:w="15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E7B65B7" w14:textId="7E99249E" w:rsidR="00E0230B" w:rsidRDefault="00701473" w:rsidP="00E0230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111 212</w:t>
            </w:r>
          </w:p>
        </w:tc>
      </w:tr>
    </w:tbl>
    <w:p w14:paraId="132777E8" w14:textId="69917A31" w:rsidR="00924B39" w:rsidRDefault="00924B39" w:rsidP="000C29E1">
      <w:pPr>
        <w:spacing w:after="0"/>
        <w:rPr>
          <w:rFonts w:ascii="Times New Roman" w:hAnsi="Times New Roman" w:cs="Times New Roman"/>
          <w:b/>
          <w:sz w:val="24"/>
          <w:szCs w:val="24"/>
        </w:rPr>
      </w:pPr>
    </w:p>
    <w:p w14:paraId="4211907B" w14:textId="3820EE24" w:rsidR="007D5210" w:rsidRDefault="007D5210" w:rsidP="007D5210">
      <w:pPr>
        <w:spacing w:after="120"/>
        <w:ind w:firstLine="720"/>
        <w:rPr>
          <w:rFonts w:ascii="Times New Roman" w:hAnsi="Times New Roman" w:cs="Times New Roman"/>
          <w:sz w:val="24"/>
          <w:szCs w:val="24"/>
        </w:rPr>
      </w:pPr>
      <w:r w:rsidRPr="000C29E1">
        <w:rPr>
          <w:rFonts w:ascii="Times New Roman" w:hAnsi="Times New Roman" w:cs="Times New Roman"/>
          <w:sz w:val="24"/>
          <w:szCs w:val="24"/>
        </w:rPr>
        <w:t xml:space="preserve">Kopā  no 2019.gada 1.aprīļa nepieciešami </w:t>
      </w:r>
      <w:r w:rsidRPr="009044FE">
        <w:rPr>
          <w:rFonts w:ascii="Times New Roman" w:hAnsi="Times New Roman" w:cs="Times New Roman"/>
          <w:b/>
          <w:sz w:val="24"/>
          <w:szCs w:val="24"/>
        </w:rPr>
        <w:t>165 874</w:t>
      </w:r>
      <w:r w:rsidRPr="007D5210">
        <w:rPr>
          <w:rFonts w:ascii="Times New Roman" w:hAnsi="Times New Roman" w:cs="Times New Roman"/>
          <w:b/>
          <w:sz w:val="24"/>
          <w:szCs w:val="24"/>
        </w:rPr>
        <w:t xml:space="preserve"> </w:t>
      </w:r>
      <w:r w:rsidRPr="00617A06">
        <w:rPr>
          <w:rFonts w:ascii="Times New Roman" w:hAnsi="Times New Roman" w:cs="Times New Roman"/>
          <w:b/>
          <w:i/>
          <w:sz w:val="24"/>
          <w:szCs w:val="24"/>
        </w:rPr>
        <w:t>euro</w:t>
      </w:r>
      <w:r w:rsidR="001E4D04">
        <w:rPr>
          <w:rFonts w:ascii="Times New Roman" w:hAnsi="Times New Roman" w:cs="Times New Roman"/>
          <w:b/>
          <w:i/>
          <w:sz w:val="24"/>
          <w:szCs w:val="24"/>
        </w:rPr>
        <w:t xml:space="preserve"> </w:t>
      </w:r>
      <w:r w:rsidR="001E4D04" w:rsidRPr="00E93259">
        <w:rPr>
          <w:rFonts w:ascii="Times New Roman" w:hAnsi="Times New Roman" w:cs="Times New Roman"/>
          <w:b/>
          <w:sz w:val="24"/>
          <w:szCs w:val="24"/>
        </w:rPr>
        <w:t>(</w:t>
      </w:r>
      <w:r w:rsidR="002946AF" w:rsidRPr="00E11AFF">
        <w:rPr>
          <w:rFonts w:ascii="Times New Roman" w:hAnsi="Times New Roman" w:cs="Times New Roman"/>
          <w:sz w:val="24"/>
          <w:szCs w:val="24"/>
        </w:rPr>
        <w:t xml:space="preserve">54 662 </w:t>
      </w:r>
      <w:r w:rsidR="002946AF" w:rsidRPr="00E11AFF">
        <w:rPr>
          <w:rFonts w:ascii="Times New Roman" w:hAnsi="Times New Roman" w:cs="Times New Roman"/>
          <w:i/>
          <w:sz w:val="24"/>
          <w:szCs w:val="24"/>
        </w:rPr>
        <w:t>euro</w:t>
      </w:r>
      <w:r w:rsidR="002946AF" w:rsidRPr="00E11AFF">
        <w:rPr>
          <w:rFonts w:ascii="Times New Roman" w:hAnsi="Times New Roman" w:cs="Times New Roman"/>
          <w:sz w:val="24"/>
          <w:szCs w:val="24"/>
        </w:rPr>
        <w:t xml:space="preserve">+111 212 </w:t>
      </w:r>
      <w:r w:rsidR="002946AF" w:rsidRPr="00E11AFF">
        <w:rPr>
          <w:rFonts w:ascii="Times New Roman" w:hAnsi="Times New Roman" w:cs="Times New Roman"/>
          <w:i/>
          <w:sz w:val="24"/>
          <w:szCs w:val="24"/>
        </w:rPr>
        <w:t>euro</w:t>
      </w:r>
      <w:r w:rsidR="001E4D04" w:rsidRPr="00E93259">
        <w:rPr>
          <w:rFonts w:ascii="Times New Roman" w:hAnsi="Times New Roman" w:cs="Times New Roman"/>
          <w:b/>
          <w:sz w:val="24"/>
          <w:szCs w:val="24"/>
        </w:rPr>
        <w:t>)</w:t>
      </w:r>
      <w:r w:rsidRPr="002946AF">
        <w:rPr>
          <w:rFonts w:ascii="Times New Roman" w:hAnsi="Times New Roman" w:cs="Times New Roman"/>
          <w:sz w:val="24"/>
          <w:szCs w:val="24"/>
        </w:rPr>
        <w:t>.</w:t>
      </w:r>
    </w:p>
    <w:p w14:paraId="0D098A76" w14:textId="77777777" w:rsidR="007D5210" w:rsidRDefault="007D5210" w:rsidP="000C29E1">
      <w:pPr>
        <w:spacing w:after="0"/>
        <w:rPr>
          <w:rFonts w:ascii="Times New Roman" w:hAnsi="Times New Roman" w:cs="Times New Roman"/>
          <w:b/>
          <w:sz w:val="24"/>
          <w:szCs w:val="24"/>
        </w:rPr>
      </w:pPr>
    </w:p>
    <w:p w14:paraId="6ACA41EA" w14:textId="4964B89E" w:rsidR="009B7AD9" w:rsidRPr="00C86312" w:rsidRDefault="009B7AD9" w:rsidP="009B7AD9">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Pr>
          <w:rFonts w:ascii="Times New Roman" w:hAnsi="Times New Roman" w:cs="Times New Roman"/>
          <w:b/>
          <w:bCs/>
          <w:color w:val="auto"/>
          <w:sz w:val="24"/>
          <w:szCs w:val="24"/>
          <w:u w:val="single"/>
        </w:rPr>
        <w:t>1</w:t>
      </w:r>
      <w:r w:rsidR="007C25A0">
        <w:rPr>
          <w:rFonts w:ascii="Times New Roman" w:hAnsi="Times New Roman" w:cs="Times New Roman"/>
          <w:b/>
          <w:bCs/>
          <w:color w:val="auto"/>
          <w:sz w:val="24"/>
          <w:szCs w:val="24"/>
          <w:u w:val="single"/>
        </w:rPr>
        <w:t>0</w:t>
      </w:r>
      <w:r w:rsidRPr="0012317D">
        <w:rPr>
          <w:rFonts w:ascii="Times New Roman" w:hAnsi="Times New Roman" w:cs="Times New Roman"/>
          <w:b/>
          <w:bCs/>
          <w:color w:val="auto"/>
          <w:sz w:val="24"/>
          <w:szCs w:val="24"/>
          <w:u w:val="single"/>
        </w:rPr>
        <w:t xml:space="preserve">. </w:t>
      </w:r>
      <w:r w:rsidR="003A0607">
        <w:rPr>
          <w:rFonts w:ascii="Times New Roman" w:hAnsi="Times New Roman" w:cs="Times New Roman"/>
          <w:b/>
          <w:bCs/>
          <w:color w:val="auto"/>
          <w:sz w:val="24"/>
          <w:szCs w:val="24"/>
          <w:u w:val="single"/>
        </w:rPr>
        <w:t>Onkoloģijas jomas medicīnas tehnoloģiju</w:t>
      </w:r>
      <w:r w:rsidRPr="00901A9F">
        <w:rPr>
          <w:rFonts w:ascii="Times New Roman" w:hAnsi="Times New Roman" w:cs="Times New Roman"/>
          <w:b/>
          <w:bCs/>
          <w:color w:val="auto"/>
          <w:sz w:val="24"/>
          <w:szCs w:val="24"/>
          <w:u w:val="single"/>
        </w:rPr>
        <w:t xml:space="preserve"> </w:t>
      </w:r>
      <w:r w:rsidRPr="00BD7921">
        <w:rPr>
          <w:rFonts w:ascii="Times New Roman" w:hAnsi="Times New Roman" w:cs="Times New Roman"/>
          <w:b/>
          <w:bCs/>
          <w:color w:val="auto"/>
          <w:sz w:val="24"/>
          <w:szCs w:val="24"/>
          <w:u w:val="single"/>
        </w:rPr>
        <w:t>efektivitātes uzlabošana</w:t>
      </w:r>
    </w:p>
    <w:p w14:paraId="70518D2B" w14:textId="77777777" w:rsidR="009B7AD9" w:rsidRDefault="009B7AD9" w:rsidP="009B7AD9">
      <w:pPr>
        <w:spacing w:after="0"/>
        <w:ind w:firstLine="709"/>
        <w:jc w:val="both"/>
        <w:rPr>
          <w:rFonts w:ascii="Times New Roman" w:hAnsi="Times New Roman" w:cs="Times New Roman"/>
          <w:sz w:val="24"/>
          <w:szCs w:val="24"/>
        </w:rPr>
      </w:pPr>
    </w:p>
    <w:p w14:paraId="3ECAF2B0" w14:textId="77777777" w:rsidR="009C6C2E" w:rsidRDefault="009B7AD9" w:rsidP="00E11AFF">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Staru terapija ir viena no trim pamata ārstēšanas metodēm onkoloģijā. Pēc starptautiskiem onkoloģisko pacientu ārstēšanas protokoliem, staru terapiju saņem ne mazāk kā 60% no primāri ārstētiem pacientiem. Staru terapija var tikt pielietota gan kā vienīgā radikālā neinvazīvā ārstēšanas metode vēža agrīno stadiju gadījumā (priekšdziedzera, plaušu, aknu vēzis), gan kā kombinētas ārstēšanas sastāvdaļa (krūts, kuņģa zarnu trakta, ausu kakla, deguna, plaušu, nervu sistēmas, uroloģisko un citu lokalizāciju audzējiem), gan kā paliatīva un simptomātiska ārstēšana vēlīno stadiju pacientiem. Ar katru gadu palielinās ielaisto onkoloģisko saslimšanu skaits, kuru ārstēšanā staru terapija arvien biežāk tiek pielietota, ir efektīva un salīdzinoši lēta, bet ārstēšanas procesā jāievēro rekomendētie staru terapijas gaidīšanas un uzsākšanas laiki.</w:t>
      </w:r>
    </w:p>
    <w:p w14:paraId="726BEF0C" w14:textId="31918086" w:rsidR="00BA6075" w:rsidRDefault="003D119B" w:rsidP="00E11AFF">
      <w:pPr>
        <w:spacing w:after="120"/>
        <w:ind w:firstLine="720"/>
        <w:jc w:val="both"/>
        <w:rPr>
          <w:rFonts w:ascii="Times New Roman" w:hAnsi="Times New Roman" w:cs="Times New Roman"/>
          <w:i/>
          <w:iCs/>
          <w:sz w:val="24"/>
          <w:szCs w:val="24"/>
        </w:rPr>
        <w:sectPr w:rsidR="00BA6075" w:rsidSect="00333B64">
          <w:pgSz w:w="12240" w:h="15840"/>
          <w:pgMar w:top="1440" w:right="1440" w:bottom="1440" w:left="1701" w:header="708" w:footer="708" w:gutter="0"/>
          <w:cols w:space="708"/>
          <w:docGrid w:linePitch="360"/>
        </w:sectPr>
      </w:pPr>
      <w:r>
        <w:rPr>
          <w:rFonts w:ascii="Times New Roman" w:hAnsi="Times New Roman" w:cs="Times New Roman"/>
          <w:sz w:val="24"/>
          <w:szCs w:val="24"/>
        </w:rPr>
        <w:t xml:space="preserve">Ņemot vērā to, ka esošie aparāti nenosedz </w:t>
      </w:r>
      <w:r w:rsidR="00964412">
        <w:rPr>
          <w:rFonts w:ascii="Times New Roman" w:hAnsi="Times New Roman" w:cs="Times New Roman"/>
          <w:sz w:val="24"/>
          <w:szCs w:val="24"/>
        </w:rPr>
        <w:t xml:space="preserve">visu </w:t>
      </w:r>
      <w:r>
        <w:rPr>
          <w:rFonts w:ascii="Times New Roman" w:hAnsi="Times New Roman" w:cs="Times New Roman"/>
          <w:sz w:val="24"/>
          <w:szCs w:val="24"/>
        </w:rPr>
        <w:t>veselības aprūpes pakalpojuma vajadzību</w:t>
      </w:r>
      <w:r w:rsidR="009B7AD9">
        <w:rPr>
          <w:rFonts w:ascii="Times New Roman" w:hAnsi="Times New Roman" w:cs="Times New Roman"/>
          <w:sz w:val="24"/>
          <w:szCs w:val="24"/>
        </w:rPr>
        <w:t xml:space="preserve">2018.gadā sekmīgi </w:t>
      </w:r>
      <w:r w:rsidR="003E48BB">
        <w:rPr>
          <w:rFonts w:ascii="Times New Roman" w:hAnsi="Times New Roman" w:cs="Times New Roman"/>
          <w:sz w:val="24"/>
          <w:szCs w:val="24"/>
        </w:rPr>
        <w:t>tika</w:t>
      </w:r>
      <w:r w:rsidR="009B7AD9">
        <w:rPr>
          <w:rFonts w:ascii="Times New Roman" w:hAnsi="Times New Roman" w:cs="Times New Roman"/>
          <w:sz w:val="24"/>
          <w:szCs w:val="24"/>
        </w:rPr>
        <w:t xml:space="preserve"> uzsākta staru terapijas efektivitātes uzlabošana SIA</w:t>
      </w:r>
      <w:r w:rsidR="0056009F">
        <w:rPr>
          <w:rFonts w:ascii="Times New Roman" w:hAnsi="Times New Roman" w:cs="Times New Roman"/>
          <w:sz w:val="24"/>
          <w:szCs w:val="24"/>
        </w:rPr>
        <w:t> </w:t>
      </w:r>
      <w:r w:rsidR="009B7AD9">
        <w:rPr>
          <w:rFonts w:ascii="Times New Roman" w:hAnsi="Times New Roman" w:cs="Times New Roman"/>
          <w:sz w:val="24"/>
          <w:szCs w:val="24"/>
        </w:rPr>
        <w:t>“Rīgas Austrumu klīniskā universitātes slimnīca”, iegādājoties jaunus lineāros paātrinātājus, kas turpmāk nodrošinās efektīvāku pakalpojumu sniegšanu staru terapijas jomā un 2019.gadā ļaus palieli</w:t>
      </w:r>
      <w:r w:rsidR="00A45E4E">
        <w:rPr>
          <w:rFonts w:ascii="Times New Roman" w:hAnsi="Times New Roman" w:cs="Times New Roman"/>
          <w:sz w:val="24"/>
          <w:szCs w:val="24"/>
        </w:rPr>
        <w:t xml:space="preserve">nāt sniegto pakalpojumu apjomu. </w:t>
      </w:r>
      <w:r w:rsidR="003E48BB">
        <w:rPr>
          <w:rFonts w:ascii="Times New Roman" w:hAnsi="Times New Roman" w:cs="Times New Roman"/>
          <w:sz w:val="24"/>
          <w:szCs w:val="24"/>
        </w:rPr>
        <w:t>2019.gadā ir nepieciešams t</w:t>
      </w:r>
      <w:r w:rsidR="00A45E4E">
        <w:rPr>
          <w:rFonts w:ascii="Times New Roman" w:hAnsi="Times New Roman" w:cs="Times New Roman"/>
          <w:sz w:val="24"/>
          <w:szCs w:val="24"/>
        </w:rPr>
        <w:t>urpin</w:t>
      </w:r>
      <w:r w:rsidR="003E48BB">
        <w:rPr>
          <w:rFonts w:ascii="Times New Roman" w:hAnsi="Times New Roman" w:cs="Times New Roman"/>
          <w:sz w:val="24"/>
          <w:szCs w:val="24"/>
        </w:rPr>
        <w:t>ā</w:t>
      </w:r>
      <w:r w:rsidR="00A45E4E">
        <w:rPr>
          <w:rFonts w:ascii="Times New Roman" w:hAnsi="Times New Roman" w:cs="Times New Roman"/>
          <w:sz w:val="24"/>
          <w:szCs w:val="24"/>
        </w:rPr>
        <w:t>t lineāro paātrinātāju nomaiņu, iegād</w:t>
      </w:r>
      <w:r w:rsidR="003E48BB">
        <w:rPr>
          <w:rFonts w:ascii="Times New Roman" w:hAnsi="Times New Roman" w:cs="Times New Roman"/>
          <w:sz w:val="24"/>
          <w:szCs w:val="24"/>
        </w:rPr>
        <w:t>ājoties</w:t>
      </w:r>
      <w:r w:rsidR="00A45E4E">
        <w:rPr>
          <w:rFonts w:ascii="Times New Roman" w:hAnsi="Times New Roman" w:cs="Times New Roman"/>
          <w:sz w:val="24"/>
          <w:szCs w:val="24"/>
        </w:rPr>
        <w:t xml:space="preserve"> VSIA “Paula Stradiņa klīniskā universitātes slimnīca</w:t>
      </w:r>
      <w:r w:rsidR="003A0607">
        <w:rPr>
          <w:rFonts w:ascii="Times New Roman" w:hAnsi="Times New Roman" w:cs="Times New Roman"/>
          <w:sz w:val="24"/>
          <w:szCs w:val="24"/>
        </w:rPr>
        <w:t>”</w:t>
      </w:r>
      <w:r w:rsidR="001A1492">
        <w:rPr>
          <w:rFonts w:ascii="Times New Roman" w:hAnsi="Times New Roman" w:cs="Times New Roman"/>
          <w:sz w:val="24"/>
          <w:szCs w:val="24"/>
        </w:rPr>
        <w:t xml:space="preserve"> (</w:t>
      </w:r>
      <w:r w:rsidR="00A842CF">
        <w:rPr>
          <w:rFonts w:ascii="Times New Roman" w:hAnsi="Times New Roman" w:cs="Times New Roman"/>
          <w:sz w:val="24"/>
          <w:szCs w:val="24"/>
        </w:rPr>
        <w:t>4</w:t>
      </w:r>
      <w:r w:rsidR="001D4A55">
        <w:rPr>
          <w:rFonts w:ascii="Times New Roman" w:hAnsi="Times New Roman" w:cs="Times New Roman"/>
          <w:sz w:val="24"/>
          <w:szCs w:val="24"/>
        </w:rPr>
        <w:t>7</w:t>
      </w:r>
      <w:r w:rsidR="001A1492">
        <w:rPr>
          <w:rFonts w:ascii="Times New Roman" w:hAnsi="Times New Roman" w:cs="Times New Roman"/>
          <w:sz w:val="24"/>
          <w:szCs w:val="24"/>
        </w:rPr>
        <w:t>.tabula)</w:t>
      </w:r>
      <w:r w:rsidR="00BA6075">
        <w:rPr>
          <w:rFonts w:ascii="Times New Roman" w:hAnsi="Times New Roman" w:cs="Times New Roman"/>
          <w:i/>
          <w:iCs/>
          <w:sz w:val="24"/>
          <w:szCs w:val="24"/>
        </w:rPr>
        <w:t>.</w:t>
      </w:r>
    </w:p>
    <w:p w14:paraId="7A782E5D" w14:textId="3EF9AB31" w:rsidR="00A45E4E" w:rsidRPr="00E93259" w:rsidRDefault="00A842CF" w:rsidP="2749705C">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lastRenderedPageBreak/>
        <w:t>4</w:t>
      </w:r>
      <w:r w:rsidR="000678A1">
        <w:rPr>
          <w:rFonts w:ascii="Times New Roman" w:hAnsi="Times New Roman" w:cs="Times New Roman"/>
          <w:i/>
          <w:iCs/>
          <w:sz w:val="24"/>
          <w:szCs w:val="24"/>
        </w:rPr>
        <w:t>7</w:t>
      </w:r>
      <w:r w:rsidR="00A45E4E" w:rsidRPr="2749705C">
        <w:rPr>
          <w:rFonts w:ascii="Times New Roman" w:hAnsi="Times New Roman" w:cs="Times New Roman"/>
          <w:i/>
          <w:iCs/>
          <w:sz w:val="24"/>
          <w:szCs w:val="24"/>
        </w:rPr>
        <w:t>.tabula</w:t>
      </w:r>
    </w:p>
    <w:p w14:paraId="6F979E7E" w14:textId="7F64CE47" w:rsidR="00A45E4E" w:rsidRDefault="00A45E4E" w:rsidP="00A45E4E">
      <w:pPr>
        <w:spacing w:after="120" w:line="240" w:lineRule="auto"/>
        <w:ind w:firstLine="709"/>
        <w:jc w:val="center"/>
        <w:rPr>
          <w:rFonts w:ascii="Times New Roman" w:hAnsi="Times New Roman" w:cs="Times New Roman"/>
          <w:b/>
          <w:bCs/>
          <w:color w:val="000000" w:themeColor="text1"/>
          <w:sz w:val="24"/>
          <w:szCs w:val="24"/>
        </w:rPr>
      </w:pPr>
      <w:r w:rsidRPr="0012317D">
        <w:rPr>
          <w:rFonts w:ascii="Times New Roman" w:hAnsi="Times New Roman" w:cs="Times New Roman"/>
          <w:b/>
          <w:bCs/>
          <w:color w:val="000000" w:themeColor="text1"/>
          <w:sz w:val="24"/>
          <w:szCs w:val="24"/>
        </w:rPr>
        <w:t xml:space="preserve">Staru terapijas </w:t>
      </w:r>
      <w:r>
        <w:rPr>
          <w:rFonts w:ascii="Times New Roman" w:hAnsi="Times New Roman" w:cs="Times New Roman"/>
          <w:b/>
          <w:bCs/>
          <w:color w:val="000000" w:themeColor="text1"/>
          <w:sz w:val="24"/>
          <w:szCs w:val="24"/>
        </w:rPr>
        <w:t>e</w:t>
      </w:r>
      <w:r w:rsidRPr="0012317D">
        <w:rPr>
          <w:rFonts w:ascii="Times New Roman" w:hAnsi="Times New Roman" w:cs="Times New Roman"/>
          <w:b/>
          <w:bCs/>
          <w:color w:val="000000" w:themeColor="text1"/>
          <w:sz w:val="24"/>
          <w:szCs w:val="24"/>
        </w:rPr>
        <w:t>fektivitāte</w:t>
      </w:r>
      <w:r>
        <w:rPr>
          <w:rFonts w:ascii="Times New Roman" w:hAnsi="Times New Roman" w:cs="Times New Roman"/>
          <w:b/>
          <w:bCs/>
          <w:color w:val="000000" w:themeColor="text1"/>
          <w:sz w:val="24"/>
          <w:szCs w:val="24"/>
        </w:rPr>
        <w:t>s</w:t>
      </w:r>
      <w:r w:rsidRPr="0012317D">
        <w:rPr>
          <w:rFonts w:ascii="Times New Roman" w:hAnsi="Times New Roman" w:cs="Times New Roman"/>
          <w:b/>
          <w:bCs/>
          <w:color w:val="000000" w:themeColor="text1"/>
          <w:sz w:val="24"/>
          <w:szCs w:val="24"/>
        </w:rPr>
        <w:t xml:space="preserve"> uzlabošanai nepieciešamo iekārtu finansējums</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38"/>
        <w:gridCol w:w="995"/>
        <w:gridCol w:w="850"/>
        <w:gridCol w:w="851"/>
        <w:gridCol w:w="850"/>
        <w:gridCol w:w="851"/>
        <w:gridCol w:w="1134"/>
        <w:gridCol w:w="1134"/>
        <w:gridCol w:w="708"/>
        <w:gridCol w:w="851"/>
        <w:gridCol w:w="709"/>
        <w:gridCol w:w="850"/>
        <w:gridCol w:w="709"/>
        <w:gridCol w:w="709"/>
      </w:tblGrid>
      <w:tr w:rsidR="00E11AFF" w14:paraId="3F8BC475" w14:textId="77777777" w:rsidTr="00E96B74">
        <w:trPr>
          <w:cantSplit/>
          <w:trHeight w:val="1373"/>
          <w:jc w:val="center"/>
        </w:trPr>
        <w:tc>
          <w:tcPr>
            <w:tcW w:w="423" w:type="dxa"/>
            <w:shd w:val="clear" w:color="auto" w:fill="E36C0A" w:themeFill="accent6" w:themeFillShade="BF"/>
            <w:vAlign w:val="center"/>
            <w:hideMark/>
          </w:tcPr>
          <w:p w14:paraId="2E37478C"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A" w:themeFill="accent6" w:themeFillShade="BF"/>
            <w:vAlign w:val="center"/>
            <w:hideMark/>
          </w:tcPr>
          <w:p w14:paraId="19C08B8C" w14:textId="77777777" w:rsidR="00BA6075" w:rsidRPr="00847710" w:rsidRDefault="00BA6075" w:rsidP="005115DB">
            <w:pPr>
              <w:spacing w:after="0" w:line="240" w:lineRule="auto"/>
              <w:rPr>
                <w:rFonts w:ascii="Times New Roman" w:eastAsia="Times New Roman" w:hAnsi="Times New Roman" w:cs="Times New Roman"/>
                <w:b/>
                <w:sz w:val="20"/>
                <w:szCs w:val="20"/>
                <w:lang w:eastAsia="lv-LV"/>
              </w:rPr>
            </w:pPr>
          </w:p>
        </w:tc>
        <w:tc>
          <w:tcPr>
            <w:tcW w:w="995" w:type="dxa"/>
            <w:shd w:val="clear" w:color="auto" w:fill="E36C0A" w:themeFill="accent6" w:themeFillShade="BF"/>
            <w:textDirection w:val="btLr"/>
            <w:vAlign w:val="center"/>
            <w:hideMark/>
          </w:tcPr>
          <w:p w14:paraId="0AB62A7E" w14:textId="5862422E" w:rsidR="00BA6075" w:rsidRPr="00847710" w:rsidRDefault="00BA6075"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iekārtas</w:t>
            </w:r>
          </w:p>
          <w:p w14:paraId="0988D2D5" w14:textId="77777777" w:rsidR="00BA6075" w:rsidRPr="00847710" w:rsidRDefault="00BA6075"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610CEB8D" w14:textId="77777777" w:rsidR="00BA6075" w:rsidRPr="00847710" w:rsidRDefault="00BA6075" w:rsidP="005115DB">
            <w:pPr>
              <w:spacing w:after="0" w:line="240" w:lineRule="auto"/>
              <w:ind w:left="113" w:right="113"/>
              <w:jc w:val="center"/>
              <w:rPr>
                <w:rFonts w:ascii="Times New Roman" w:eastAsia="Times New Roman" w:hAnsi="Times New Roman" w:cs="Times New Roman"/>
                <w:b/>
                <w:bCs/>
                <w:sz w:val="20"/>
                <w:szCs w:val="20"/>
                <w:lang w:eastAsia="lv-LV"/>
              </w:rPr>
            </w:pPr>
          </w:p>
        </w:tc>
        <w:tc>
          <w:tcPr>
            <w:tcW w:w="2551" w:type="dxa"/>
            <w:gridSpan w:val="3"/>
            <w:shd w:val="clear" w:color="auto" w:fill="E36C0A" w:themeFill="accent6" w:themeFillShade="BF"/>
            <w:textDirection w:val="btLr"/>
            <w:vAlign w:val="center"/>
          </w:tcPr>
          <w:p w14:paraId="47B56693" w14:textId="77777777" w:rsidR="00BA6075" w:rsidRPr="00847710" w:rsidRDefault="00BA6075" w:rsidP="005115DB">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3119" w:type="dxa"/>
            <w:gridSpan w:val="3"/>
            <w:shd w:val="clear" w:color="auto" w:fill="E36C0A" w:themeFill="accent6" w:themeFillShade="BF"/>
            <w:textDirection w:val="btLr"/>
            <w:vAlign w:val="center"/>
          </w:tcPr>
          <w:p w14:paraId="152CF3E4" w14:textId="77777777" w:rsidR="00BA6075" w:rsidRPr="00847710" w:rsidRDefault="00BA6075"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268" w:type="dxa"/>
            <w:gridSpan w:val="3"/>
            <w:shd w:val="clear" w:color="auto" w:fill="E36C0A" w:themeFill="accent6" w:themeFillShade="BF"/>
            <w:textDirection w:val="btLr"/>
            <w:vAlign w:val="center"/>
          </w:tcPr>
          <w:p w14:paraId="7895272D" w14:textId="7829567C" w:rsidR="00BA6075" w:rsidRPr="00847710" w:rsidRDefault="00BA6075" w:rsidP="005115DB">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 </w:t>
            </w:r>
            <w:r w:rsidRPr="00847710">
              <w:rPr>
                <w:rFonts w:ascii="Times New Roman" w:eastAsia="Times New Roman" w:hAnsi="Times New Roman" w:cs="Times New Roman"/>
                <w:b/>
                <w:bCs/>
                <w:sz w:val="20"/>
                <w:szCs w:val="20"/>
                <w:lang w:eastAsia="lv-LV"/>
              </w:rPr>
              <w:t xml:space="preserve">Plānotais </w:t>
            </w:r>
            <w:r>
              <w:rPr>
                <w:rFonts w:ascii="Times New Roman" w:eastAsia="Times New Roman" w:hAnsi="Times New Roman" w:cs="Times New Roman"/>
                <w:b/>
                <w:bCs/>
                <w:sz w:val="20"/>
                <w:szCs w:val="20"/>
                <w:lang w:eastAsia="lv-LV"/>
              </w:rPr>
              <w:t>iekārtu s</w:t>
            </w:r>
            <w:r w:rsidRPr="00847710">
              <w:rPr>
                <w:rFonts w:ascii="Times New Roman" w:eastAsia="Times New Roman" w:hAnsi="Times New Roman" w:cs="Times New Roman"/>
                <w:b/>
                <w:bCs/>
                <w:sz w:val="20"/>
                <w:szCs w:val="20"/>
                <w:lang w:eastAsia="lv-LV"/>
              </w:rPr>
              <w:t>kaits</w:t>
            </w:r>
          </w:p>
        </w:tc>
        <w:tc>
          <w:tcPr>
            <w:tcW w:w="2268" w:type="dxa"/>
            <w:gridSpan w:val="3"/>
            <w:shd w:val="clear" w:color="auto" w:fill="E36C0A" w:themeFill="accent6" w:themeFillShade="BF"/>
            <w:textDirection w:val="btLr"/>
            <w:vAlign w:val="center"/>
          </w:tcPr>
          <w:p w14:paraId="0D0CCFC7" w14:textId="3C9FC79C" w:rsidR="00BA6075" w:rsidRPr="00847710" w:rsidRDefault="00BA6075"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A05DFE">
              <w:rPr>
                <w:rFonts w:ascii="Times New Roman" w:eastAsia="Times New Roman" w:hAnsi="Times New Roman" w:cs="Times New Roman"/>
                <w:b/>
                <w:bCs/>
                <w:sz w:val="20"/>
                <w:szCs w:val="20"/>
                <w:lang w:eastAsia="lv-LV"/>
              </w:rPr>
              <w:t xml:space="preserve"> iekārtu</w:t>
            </w:r>
            <w:r w:rsidRPr="00847710">
              <w:rPr>
                <w:rFonts w:ascii="Times New Roman" w:eastAsia="Times New Roman" w:hAnsi="Times New Roman" w:cs="Times New Roman"/>
                <w:b/>
                <w:bCs/>
                <w:sz w:val="20"/>
                <w:szCs w:val="20"/>
                <w:lang w:eastAsia="lv-LV"/>
              </w:rPr>
              <w:t xml:space="preserve"> skaits pēc finansējuma piešķīruma</w:t>
            </w:r>
          </w:p>
        </w:tc>
      </w:tr>
      <w:tr w:rsidR="00BA6075" w14:paraId="39C8ACD4" w14:textId="77777777" w:rsidTr="00E96B74">
        <w:trPr>
          <w:trHeight w:val="640"/>
          <w:jc w:val="center"/>
        </w:trPr>
        <w:tc>
          <w:tcPr>
            <w:tcW w:w="423" w:type="dxa"/>
            <w:shd w:val="clear" w:color="auto" w:fill="FABF8F" w:themeFill="accent6" w:themeFillTint="99"/>
            <w:vAlign w:val="center"/>
          </w:tcPr>
          <w:p w14:paraId="6FFC9B10"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BF8F" w:themeFill="accent6" w:themeFillTint="99"/>
            <w:vAlign w:val="center"/>
          </w:tcPr>
          <w:p w14:paraId="48D5977E" w14:textId="77777777" w:rsidR="00BA6075" w:rsidRPr="00847710" w:rsidRDefault="00BA6075" w:rsidP="005115DB">
            <w:pPr>
              <w:spacing w:after="0" w:line="240" w:lineRule="auto"/>
              <w:jc w:val="center"/>
              <w:rPr>
                <w:rFonts w:ascii="Times New Roman" w:eastAsia="Times New Roman" w:hAnsi="Times New Roman" w:cs="Times New Roman"/>
                <w:b/>
                <w:sz w:val="20"/>
                <w:szCs w:val="20"/>
                <w:lang w:eastAsia="lv-LV"/>
              </w:rPr>
            </w:pPr>
          </w:p>
        </w:tc>
        <w:tc>
          <w:tcPr>
            <w:tcW w:w="995" w:type="dxa"/>
            <w:shd w:val="clear" w:color="auto" w:fill="FABF8F" w:themeFill="accent6" w:themeFillTint="99"/>
            <w:vAlign w:val="center"/>
          </w:tcPr>
          <w:p w14:paraId="45219F27" w14:textId="6D440E93" w:rsidR="00BA6075" w:rsidRPr="00847710" w:rsidRDefault="00BA6075" w:rsidP="005115DB">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35E387F7"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74E3DEAD"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64E28BC8"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62195816"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01553B6F"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0" w:type="dxa"/>
            <w:shd w:val="clear" w:color="auto" w:fill="FABF8F" w:themeFill="accent6" w:themeFillTint="99"/>
            <w:vAlign w:val="center"/>
          </w:tcPr>
          <w:p w14:paraId="3DD5B2F8"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4A3F9CED"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05740452"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4ED6778F"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1134" w:type="dxa"/>
            <w:shd w:val="clear" w:color="auto" w:fill="FABF8F" w:themeFill="accent6" w:themeFillTint="99"/>
            <w:vAlign w:val="center"/>
          </w:tcPr>
          <w:p w14:paraId="14B58484"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12A96E15" w14:textId="77777777" w:rsidR="00BA6075"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1134" w:type="dxa"/>
            <w:shd w:val="clear" w:color="auto" w:fill="FABF8F" w:themeFill="accent6" w:themeFillTint="99"/>
            <w:vAlign w:val="center"/>
          </w:tcPr>
          <w:p w14:paraId="08F0E2F7" w14:textId="77777777" w:rsidR="00BA6075" w:rsidRPr="00847710" w:rsidRDefault="00BA6075"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1C3FCE36" w14:textId="77777777" w:rsidR="00BA6075" w:rsidRPr="00C86312" w:rsidRDefault="00BA6075" w:rsidP="005115DB">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8" w:type="dxa"/>
            <w:shd w:val="clear" w:color="auto" w:fill="FABF8F" w:themeFill="accent6" w:themeFillTint="99"/>
            <w:vAlign w:val="center"/>
          </w:tcPr>
          <w:p w14:paraId="56D6B519"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05EE64DD"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25A03187"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0" w:type="dxa"/>
            <w:shd w:val="clear" w:color="auto" w:fill="FABF8F" w:themeFill="accent6" w:themeFillTint="99"/>
            <w:vAlign w:val="center"/>
          </w:tcPr>
          <w:p w14:paraId="0D98C736"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391F1AD0"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7954803D" w14:textId="77777777" w:rsidR="00BA6075" w:rsidRPr="00847710" w:rsidRDefault="00BA6075" w:rsidP="005115D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E11AFF" w14:paraId="0EE25C93" w14:textId="77777777" w:rsidTr="00E96B74">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B26D7" w14:textId="77777777" w:rsidR="00BA6075" w:rsidRPr="00847710" w:rsidRDefault="00BA6075" w:rsidP="00BA6075">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E0089" w14:textId="787CC03A" w:rsidR="00BA6075" w:rsidRPr="00847710" w:rsidRDefault="00BA6075" w:rsidP="00BA607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Lineārā</w:t>
            </w:r>
            <w:r w:rsidRPr="00847710">
              <w:rPr>
                <w:rFonts w:ascii="Times New Roman" w:eastAsia="Times New Roman" w:hAnsi="Times New Roman" w:cs="Times New Roman"/>
                <w:sz w:val="20"/>
                <w:szCs w:val="20"/>
                <w:lang w:eastAsia="lv-LV"/>
              </w:rPr>
              <w:t xml:space="preserve"> paātrinātāj</w:t>
            </w:r>
            <w:r>
              <w:rPr>
                <w:rFonts w:ascii="Times New Roman" w:eastAsia="Times New Roman" w:hAnsi="Times New Roman" w:cs="Times New Roman"/>
                <w:sz w:val="20"/>
                <w:szCs w:val="20"/>
                <w:lang w:eastAsia="lv-LV"/>
              </w:rPr>
              <w:t>a</w:t>
            </w:r>
            <w:r w:rsidRPr="00847710">
              <w:rPr>
                <w:rFonts w:ascii="Times New Roman" w:eastAsia="Times New Roman" w:hAnsi="Times New Roman" w:cs="Times New Roman"/>
                <w:sz w:val="20"/>
                <w:szCs w:val="20"/>
                <w:lang w:eastAsia="lv-LV"/>
              </w:rPr>
              <w:t xml:space="preserve"> iegāde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8055" w14:textId="0AA7D792" w:rsidR="00BA6075" w:rsidRPr="00847710" w:rsidRDefault="00BA6075" w:rsidP="00BA6075">
            <w:pPr>
              <w:spacing w:after="0" w:line="240" w:lineRule="auto"/>
              <w:jc w:val="center"/>
              <w:rPr>
                <w:rFonts w:ascii="Times New Roman" w:eastAsia="Times New Roman" w:hAnsi="Times New Roman" w:cs="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6662FA65" w14:textId="77777777" w:rsidR="00BA6075" w:rsidRDefault="00BA6075" w:rsidP="00BA60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E2CD366" w14:textId="77777777" w:rsidR="00BA6075" w:rsidRDefault="00BA6075" w:rsidP="00BA60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8B6EC23" w14:textId="77777777" w:rsidR="00BA6075" w:rsidRDefault="00BA6075" w:rsidP="00BA6075">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C8DCCC3" w14:textId="77777777" w:rsidR="00BA6075" w:rsidRDefault="00BA6075" w:rsidP="00BA6075">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vAlign w:val="center"/>
          </w:tcPr>
          <w:p w14:paraId="26F52AB6" w14:textId="3FC08A3E" w:rsidR="00BA6075" w:rsidRDefault="00BA6075" w:rsidP="00BA6075">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6 654 999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441BD" w14:textId="69ACB71A" w:rsidR="00BA6075" w:rsidRPr="00847710" w:rsidRDefault="00BA6075" w:rsidP="00BA6075">
            <w:pPr>
              <w:spacing w:after="0" w:line="240" w:lineRule="auto"/>
              <w:jc w:val="center"/>
              <w:rPr>
                <w:rFonts w:ascii="Times New Roman" w:hAnsi="Times New Roman" w:cs="Times New Roman"/>
                <w:sz w:val="20"/>
                <w:szCs w:val="20"/>
              </w:rPr>
            </w:pPr>
            <w:r w:rsidRPr="00E31BB2">
              <w:rPr>
                <w:rFonts w:ascii="Times New Roman" w:hAnsi="Times New Roman" w:cs="Times New Roman"/>
                <w:sz w:val="20"/>
                <w:szCs w:val="20"/>
              </w:rPr>
              <w:t xml:space="preserve">2 500 000 </w:t>
            </w:r>
          </w:p>
        </w:tc>
        <w:tc>
          <w:tcPr>
            <w:tcW w:w="708" w:type="dxa"/>
            <w:tcBorders>
              <w:top w:val="single" w:sz="4" w:space="0" w:color="auto"/>
              <w:left w:val="single" w:sz="4" w:space="0" w:color="auto"/>
              <w:bottom w:val="single" w:sz="4" w:space="0" w:color="auto"/>
              <w:right w:val="single" w:sz="4" w:space="0" w:color="auto"/>
            </w:tcBorders>
            <w:vAlign w:val="center"/>
          </w:tcPr>
          <w:p w14:paraId="550ABD49" w14:textId="77777777" w:rsidR="00BA6075" w:rsidRPr="00E96B74" w:rsidRDefault="00BA6075" w:rsidP="00BA6075">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80C7A41" w14:textId="77777777" w:rsidR="00BA6075" w:rsidRPr="00E96B74" w:rsidRDefault="00BA6075" w:rsidP="00BA6075">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1BAD632" w14:textId="77777777" w:rsidR="00BA6075" w:rsidRPr="00E96B74" w:rsidRDefault="00BA6075" w:rsidP="00BA6075">
            <w:pPr>
              <w:spacing w:after="0" w:line="240" w:lineRule="auto"/>
              <w:jc w:val="center"/>
              <w:rPr>
                <w:rFonts w:ascii="Times New Roman" w:hAnsi="Times New Roman" w:cs="Times New Roman"/>
                <w:b/>
                <w:bCs/>
                <w:sz w:val="20"/>
                <w:szCs w:val="20"/>
              </w:rPr>
            </w:pPr>
            <w:r w:rsidRPr="00E96B74">
              <w:rPr>
                <w:rFonts w:ascii="Times New Roman" w:hAnsi="Times New Roman" w:cs="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7B81A0C" w14:textId="77777777" w:rsidR="00BA6075" w:rsidRPr="00E96B74" w:rsidRDefault="00BA6075" w:rsidP="00BA6075">
            <w:pPr>
              <w:spacing w:after="0" w:line="240" w:lineRule="auto"/>
              <w:jc w:val="center"/>
              <w:rPr>
                <w:rFonts w:ascii="Times New Roman" w:eastAsia="Times New Roman" w:hAnsi="Times New Roman" w:cs="Times New Roman"/>
                <w:sz w:val="20"/>
                <w:szCs w:val="20"/>
                <w:lang w:eastAsia="lv-LV"/>
              </w:rPr>
            </w:pPr>
            <w:r w:rsidRPr="00E96B74">
              <w:rPr>
                <w:rFonts w:ascii="Times New Roman" w:eastAsia="Times New Roman" w:hAnsi="Times New Roman" w:cs="Times New Roman"/>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1CCC2F0E" w14:textId="28E5BAEF" w:rsidR="00BA6075" w:rsidRPr="00D67B7D" w:rsidRDefault="00BA6075" w:rsidP="00BA6075">
            <w:pPr>
              <w:spacing w:after="0" w:line="240" w:lineRule="auto"/>
              <w:jc w:val="center"/>
              <w:rPr>
                <w:rFonts w:ascii="Times New Roman" w:eastAsia="Times New Roman" w:hAnsi="Times New Roman" w:cs="Times New Roman"/>
                <w:sz w:val="20"/>
                <w:szCs w:val="20"/>
                <w:lang w:eastAsia="lv-LV"/>
              </w:rPr>
            </w:pPr>
            <w:r w:rsidRPr="00D67B7D">
              <w:rPr>
                <w:rFonts w:ascii="Times New Roman" w:eastAsia="Times New Roman" w:hAnsi="Times New Roman" w:cs="Times New Roman"/>
                <w:sz w:val="20"/>
                <w:szCs w:val="20"/>
                <w:lang w:eastAsia="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E6C1" w14:textId="7E9F99AF" w:rsidR="00BA6075" w:rsidRPr="00D67B7D" w:rsidRDefault="00BA6075" w:rsidP="00BA6075">
            <w:pPr>
              <w:spacing w:after="0" w:line="240" w:lineRule="auto"/>
              <w:jc w:val="center"/>
              <w:rPr>
                <w:rFonts w:ascii="Times New Roman" w:hAnsi="Times New Roman" w:cs="Times New Roman"/>
                <w:bCs/>
                <w:color w:val="FF0000"/>
                <w:sz w:val="20"/>
                <w:szCs w:val="20"/>
              </w:rPr>
            </w:pPr>
            <w:r w:rsidRPr="00D67B7D">
              <w:rPr>
                <w:rFonts w:ascii="Times New Roman" w:hAnsi="Times New Roman" w:cs="Times New Roman"/>
                <w:bCs/>
                <w:sz w:val="20"/>
                <w:szCs w:val="20"/>
              </w:rPr>
              <w:t>1</w:t>
            </w:r>
          </w:p>
        </w:tc>
      </w:tr>
      <w:tr w:rsidR="00BA6075" w14:paraId="382114F4" w14:textId="77777777" w:rsidTr="00E96B74">
        <w:trPr>
          <w:trHeight w:val="189"/>
          <w:jc w:val="center"/>
        </w:trPr>
        <w:tc>
          <w:tcPr>
            <w:tcW w:w="423" w:type="dxa"/>
            <w:shd w:val="clear" w:color="auto" w:fill="FBD4B4" w:themeFill="accent6" w:themeFillTint="66"/>
            <w:noWrap/>
            <w:vAlign w:val="bottom"/>
            <w:hideMark/>
          </w:tcPr>
          <w:p w14:paraId="62AB8AEA" w14:textId="77777777" w:rsidR="00BA6075" w:rsidRPr="00847710" w:rsidRDefault="00BA6075" w:rsidP="00BA6075">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4B4" w:themeFill="accent6" w:themeFillTint="66"/>
            <w:noWrap/>
            <w:vAlign w:val="bottom"/>
            <w:hideMark/>
          </w:tcPr>
          <w:p w14:paraId="69FD1829" w14:textId="77777777" w:rsidR="00BA6075" w:rsidRPr="00847710" w:rsidRDefault="00BA6075" w:rsidP="00BA6075">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5" w:type="dxa"/>
            <w:shd w:val="clear" w:color="auto" w:fill="FBD4B4" w:themeFill="accent6" w:themeFillTint="66"/>
            <w:noWrap/>
            <w:vAlign w:val="center"/>
            <w:hideMark/>
          </w:tcPr>
          <w:p w14:paraId="2D94BEFA" w14:textId="77777777" w:rsidR="00BA6075" w:rsidRPr="00833F61" w:rsidRDefault="00BA6075" w:rsidP="00BA6075">
            <w:pPr>
              <w:spacing w:after="0" w:line="240" w:lineRule="auto"/>
              <w:rPr>
                <w:rFonts w:ascii="Times New Roman" w:eastAsia="Times New Roman" w:hAnsi="Times New Roman" w:cs="Times New Roman"/>
                <w:b/>
                <w:sz w:val="20"/>
                <w:szCs w:val="20"/>
                <w:lang w:eastAsia="lv-LV"/>
              </w:rPr>
            </w:pPr>
          </w:p>
        </w:tc>
        <w:tc>
          <w:tcPr>
            <w:tcW w:w="850" w:type="dxa"/>
            <w:shd w:val="clear" w:color="auto" w:fill="FBD4B4" w:themeFill="accent6" w:themeFillTint="66"/>
          </w:tcPr>
          <w:p w14:paraId="3E6F4DBE" w14:textId="77777777" w:rsidR="00BA6075" w:rsidRPr="00833F61" w:rsidRDefault="00BA6075" w:rsidP="00BA6075">
            <w:pPr>
              <w:spacing w:after="0" w:line="240" w:lineRule="auto"/>
              <w:jc w:val="center"/>
              <w:rPr>
                <w:rFonts w:ascii="Times New Roman" w:hAnsi="Times New Roman" w:cs="Times New Roman"/>
                <w:b/>
                <w:sz w:val="20"/>
                <w:szCs w:val="20"/>
              </w:rPr>
            </w:pPr>
          </w:p>
        </w:tc>
        <w:tc>
          <w:tcPr>
            <w:tcW w:w="851" w:type="dxa"/>
            <w:shd w:val="clear" w:color="auto" w:fill="FBD4B4" w:themeFill="accent6" w:themeFillTint="66"/>
          </w:tcPr>
          <w:p w14:paraId="4F065275" w14:textId="77777777" w:rsidR="00BA6075" w:rsidRPr="00833F61" w:rsidRDefault="00BA6075" w:rsidP="00BA6075">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tcPr>
          <w:p w14:paraId="40962394" w14:textId="77777777" w:rsidR="00BA6075" w:rsidRPr="00833F61" w:rsidRDefault="00BA6075" w:rsidP="00BA6075">
            <w:pPr>
              <w:spacing w:after="0" w:line="240" w:lineRule="auto"/>
              <w:jc w:val="center"/>
              <w:rPr>
                <w:rFonts w:ascii="Times New Roman" w:hAnsi="Times New Roman" w:cs="Times New Roman"/>
                <w:b/>
                <w:sz w:val="20"/>
                <w:szCs w:val="20"/>
              </w:rPr>
            </w:pPr>
          </w:p>
        </w:tc>
        <w:tc>
          <w:tcPr>
            <w:tcW w:w="851" w:type="dxa"/>
            <w:shd w:val="clear" w:color="auto" w:fill="FBD4B4" w:themeFill="accent6" w:themeFillTint="66"/>
          </w:tcPr>
          <w:p w14:paraId="5ADFACC5" w14:textId="77777777" w:rsidR="00BA6075" w:rsidRDefault="00BA6075" w:rsidP="00BA6075">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BD4B4" w:themeFill="accent6" w:themeFillTint="66"/>
            <w:vAlign w:val="center"/>
          </w:tcPr>
          <w:p w14:paraId="51F3F0C2" w14:textId="588447B6" w:rsidR="00BA6075" w:rsidRPr="003D05E5" w:rsidRDefault="00BA6075" w:rsidP="00BA6075">
            <w:pPr>
              <w:spacing w:after="0" w:line="240" w:lineRule="auto"/>
              <w:jc w:val="center"/>
              <w:rPr>
                <w:rFonts w:ascii="Times New Roman" w:eastAsia="Times New Roman" w:hAnsi="Times New Roman" w:cs="Times New Roman"/>
                <w:b/>
                <w:sz w:val="20"/>
                <w:szCs w:val="20"/>
                <w:lang w:eastAsia="lv-LV"/>
              </w:rPr>
            </w:pPr>
            <w:r w:rsidRPr="003D05E5">
              <w:rPr>
                <w:rFonts w:ascii="Times New Roman" w:eastAsia="Times New Roman" w:hAnsi="Times New Roman" w:cs="Times New Roman"/>
                <w:b/>
                <w:sz w:val="20"/>
                <w:szCs w:val="20"/>
                <w:lang w:eastAsia="lv-LV"/>
              </w:rPr>
              <w:t>6 654 999</w:t>
            </w:r>
          </w:p>
        </w:tc>
        <w:tc>
          <w:tcPr>
            <w:tcW w:w="1134" w:type="dxa"/>
            <w:shd w:val="clear" w:color="auto" w:fill="FBD4B4" w:themeFill="accent6" w:themeFillTint="66"/>
            <w:noWrap/>
            <w:vAlign w:val="center"/>
          </w:tcPr>
          <w:p w14:paraId="16683199" w14:textId="7265E6DE" w:rsidR="00BA6075" w:rsidRPr="003D05E5" w:rsidRDefault="00BA6075" w:rsidP="00BA6075">
            <w:pPr>
              <w:spacing w:after="0" w:line="240" w:lineRule="auto"/>
              <w:jc w:val="center"/>
              <w:rPr>
                <w:rFonts w:ascii="Times New Roman" w:hAnsi="Times New Roman" w:cs="Times New Roman"/>
                <w:b/>
                <w:sz w:val="20"/>
                <w:szCs w:val="20"/>
              </w:rPr>
            </w:pPr>
            <w:r w:rsidRPr="003D05E5">
              <w:rPr>
                <w:rFonts w:ascii="Times New Roman" w:hAnsi="Times New Roman" w:cs="Times New Roman"/>
                <w:b/>
                <w:sz w:val="20"/>
                <w:szCs w:val="20"/>
              </w:rPr>
              <w:t xml:space="preserve">2 500 000 </w:t>
            </w:r>
          </w:p>
        </w:tc>
        <w:tc>
          <w:tcPr>
            <w:tcW w:w="708" w:type="dxa"/>
            <w:shd w:val="clear" w:color="auto" w:fill="FBD4B4" w:themeFill="accent6" w:themeFillTint="66"/>
          </w:tcPr>
          <w:p w14:paraId="36437C5F" w14:textId="77777777" w:rsidR="00BA6075" w:rsidRPr="003D05E5" w:rsidRDefault="00BA6075" w:rsidP="00BA6075">
            <w:pPr>
              <w:spacing w:after="0" w:line="240" w:lineRule="auto"/>
              <w:jc w:val="center"/>
              <w:rPr>
                <w:rFonts w:ascii="Times New Roman" w:hAnsi="Times New Roman" w:cs="Times New Roman"/>
                <w:b/>
                <w:bCs/>
                <w:color w:val="FF0000"/>
                <w:sz w:val="20"/>
                <w:szCs w:val="20"/>
              </w:rPr>
            </w:pPr>
          </w:p>
        </w:tc>
        <w:tc>
          <w:tcPr>
            <w:tcW w:w="851" w:type="dxa"/>
            <w:shd w:val="clear" w:color="auto" w:fill="FBD4B4" w:themeFill="accent6" w:themeFillTint="66"/>
            <w:vAlign w:val="center"/>
          </w:tcPr>
          <w:p w14:paraId="56070E6B" w14:textId="77777777" w:rsidR="00BA6075" w:rsidRPr="003D05E5" w:rsidRDefault="00BA6075" w:rsidP="00BA6075">
            <w:pPr>
              <w:spacing w:after="0" w:line="240" w:lineRule="auto"/>
              <w:jc w:val="center"/>
              <w:rPr>
                <w:rFonts w:ascii="Times New Roman" w:hAnsi="Times New Roman" w:cs="Times New Roman"/>
                <w:b/>
                <w:bCs/>
                <w:color w:val="FF0000"/>
                <w:sz w:val="20"/>
                <w:szCs w:val="20"/>
              </w:rPr>
            </w:pPr>
          </w:p>
        </w:tc>
        <w:tc>
          <w:tcPr>
            <w:tcW w:w="709" w:type="dxa"/>
            <w:shd w:val="clear" w:color="auto" w:fill="FBD4B4" w:themeFill="accent6" w:themeFillTint="66"/>
            <w:vAlign w:val="center"/>
          </w:tcPr>
          <w:p w14:paraId="67C10AC4" w14:textId="77777777" w:rsidR="00BA6075" w:rsidRPr="003D05E5" w:rsidRDefault="00BA6075" w:rsidP="00BA6075">
            <w:pPr>
              <w:spacing w:after="0" w:line="240" w:lineRule="auto"/>
              <w:jc w:val="center"/>
              <w:rPr>
                <w:rFonts w:ascii="Times New Roman" w:hAnsi="Times New Roman" w:cs="Times New Roman"/>
                <w:b/>
                <w:bCs/>
                <w:color w:val="FF0000"/>
                <w:sz w:val="20"/>
                <w:szCs w:val="20"/>
              </w:rPr>
            </w:pPr>
          </w:p>
        </w:tc>
        <w:tc>
          <w:tcPr>
            <w:tcW w:w="850" w:type="dxa"/>
            <w:shd w:val="clear" w:color="auto" w:fill="FBD4B4" w:themeFill="accent6" w:themeFillTint="66"/>
          </w:tcPr>
          <w:p w14:paraId="73C6F09E" w14:textId="77777777" w:rsidR="00BA6075" w:rsidRPr="003D05E5" w:rsidRDefault="00BA6075" w:rsidP="00BA6075">
            <w:pPr>
              <w:spacing w:after="0" w:line="240" w:lineRule="auto"/>
              <w:jc w:val="center"/>
              <w:rPr>
                <w:rFonts w:ascii="Times New Roman" w:eastAsia="Times New Roman" w:hAnsi="Times New Roman" w:cs="Times New Roman"/>
                <w:b/>
                <w:color w:val="000000"/>
                <w:sz w:val="20"/>
                <w:szCs w:val="20"/>
                <w:lang w:eastAsia="lv-LV"/>
              </w:rPr>
            </w:pPr>
          </w:p>
        </w:tc>
        <w:tc>
          <w:tcPr>
            <w:tcW w:w="709" w:type="dxa"/>
            <w:shd w:val="clear" w:color="auto" w:fill="FBD4B4" w:themeFill="accent6" w:themeFillTint="66"/>
          </w:tcPr>
          <w:p w14:paraId="3209E16C" w14:textId="7412AE02" w:rsidR="00BA6075" w:rsidRPr="003D05E5" w:rsidRDefault="00BA6075" w:rsidP="00BA6075">
            <w:pPr>
              <w:spacing w:after="0" w:line="240" w:lineRule="auto"/>
              <w:jc w:val="center"/>
              <w:rPr>
                <w:rFonts w:ascii="Times New Roman" w:eastAsia="Times New Roman" w:hAnsi="Times New Roman" w:cs="Times New Roman"/>
                <w:b/>
                <w:color w:val="000000"/>
                <w:sz w:val="20"/>
                <w:szCs w:val="20"/>
                <w:lang w:eastAsia="lv-LV"/>
              </w:rPr>
            </w:pPr>
            <w:r w:rsidRPr="003D05E5">
              <w:rPr>
                <w:rFonts w:ascii="Times New Roman" w:eastAsia="Times New Roman" w:hAnsi="Times New Roman" w:cs="Times New Roman"/>
                <w:b/>
                <w:color w:val="000000"/>
                <w:sz w:val="20"/>
                <w:szCs w:val="20"/>
                <w:lang w:eastAsia="lv-LV"/>
              </w:rPr>
              <w:t>3</w:t>
            </w:r>
          </w:p>
        </w:tc>
        <w:tc>
          <w:tcPr>
            <w:tcW w:w="709" w:type="dxa"/>
            <w:shd w:val="clear" w:color="auto" w:fill="FBD4B4" w:themeFill="accent6" w:themeFillTint="66"/>
            <w:noWrap/>
            <w:vAlign w:val="center"/>
          </w:tcPr>
          <w:p w14:paraId="4019C82C" w14:textId="4F1BAEEE" w:rsidR="00BA6075" w:rsidRPr="003D05E5" w:rsidRDefault="00BA6075" w:rsidP="00BA6075">
            <w:pPr>
              <w:spacing w:after="0" w:line="240" w:lineRule="auto"/>
              <w:jc w:val="center"/>
              <w:rPr>
                <w:rFonts w:ascii="Times New Roman" w:hAnsi="Times New Roman" w:cs="Times New Roman"/>
                <w:b/>
                <w:bCs/>
                <w:color w:val="FF0000"/>
                <w:sz w:val="20"/>
                <w:szCs w:val="20"/>
              </w:rPr>
            </w:pPr>
            <w:r w:rsidRPr="003D05E5">
              <w:rPr>
                <w:rFonts w:ascii="Times New Roman" w:eastAsia="Times New Roman" w:hAnsi="Times New Roman" w:cs="Times New Roman"/>
                <w:b/>
                <w:color w:val="000000"/>
                <w:sz w:val="20"/>
                <w:szCs w:val="20"/>
                <w:lang w:eastAsia="lv-LV"/>
              </w:rPr>
              <w:t>1</w:t>
            </w:r>
          </w:p>
        </w:tc>
      </w:tr>
    </w:tbl>
    <w:p w14:paraId="594A7127" w14:textId="17E3CCA6" w:rsidR="00BA6075" w:rsidRDefault="00BA6075" w:rsidP="00A45E4E">
      <w:pPr>
        <w:spacing w:after="120" w:line="240" w:lineRule="auto"/>
        <w:ind w:firstLine="709"/>
        <w:jc w:val="center"/>
        <w:rPr>
          <w:rFonts w:ascii="Times New Roman" w:hAnsi="Times New Roman" w:cs="Times New Roman"/>
          <w:b/>
          <w:bCs/>
          <w:color w:val="000000" w:themeColor="text1"/>
          <w:sz w:val="24"/>
          <w:szCs w:val="24"/>
        </w:rPr>
      </w:pPr>
    </w:p>
    <w:p w14:paraId="2E2289C6" w14:textId="77777777" w:rsidR="00E264F6" w:rsidRDefault="00E264F6" w:rsidP="00E264F6">
      <w:pPr>
        <w:ind w:firstLine="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Papildus </w:t>
      </w:r>
      <w:r>
        <w:rPr>
          <w:rFonts w:ascii="Times New Roman" w:hAnsi="Times New Roman"/>
          <w:sz w:val="24"/>
          <w:szCs w:val="24"/>
        </w:rPr>
        <w:t xml:space="preserve">SIA “Rīgas Austrumu klīniskā universitātes slimnīca” </w:t>
      </w:r>
      <w:r w:rsidRPr="00B56DBF">
        <w:rPr>
          <w:rFonts w:ascii="Times New Roman" w:eastAsia="Times New Roman" w:hAnsi="Times New Roman"/>
          <w:sz w:val="24"/>
          <w:szCs w:val="24"/>
          <w:lang w:eastAsia="lv-LV" w:bidi="lo-LA"/>
        </w:rPr>
        <w:t>Diagnostiskās radioloģijas centr</w:t>
      </w:r>
      <w:r>
        <w:rPr>
          <w:rFonts w:ascii="Times New Roman" w:eastAsia="Times New Roman" w:hAnsi="Times New Roman"/>
          <w:sz w:val="24"/>
          <w:szCs w:val="24"/>
          <w:lang w:eastAsia="lv-LV" w:bidi="lo-LA"/>
        </w:rPr>
        <w:t>ā</w:t>
      </w:r>
      <w:r w:rsidRPr="00B56DBF">
        <w:rPr>
          <w:rFonts w:ascii="Times New Roman" w:eastAsia="Times New Roman" w:hAnsi="Times New Roman"/>
          <w:sz w:val="24"/>
          <w:szCs w:val="24"/>
          <w:lang w:eastAsia="lv-LV" w:bidi="lo-LA"/>
        </w:rPr>
        <w:t xml:space="preserve"> nodaļā „Latvijas Onkoloģijas centrs” ir nepieciešama jauna mamogrāfijas iekārta ar stereotakses aprīkojumu vakuuma biopsijas veikšanai. Esošā mamogrāfijas iekārtas ražotājs Siemens „Mammomat 3000”, i/n 1004806, ražota 1998.gadā tehnisku defektu un morāli novecojošu tehnoloģiju dēļ atrodas glabāšanā kopš 2015.gada. Šobrīd </w:t>
      </w:r>
      <w:r>
        <w:rPr>
          <w:rFonts w:ascii="Times New Roman" w:hAnsi="Times New Roman"/>
          <w:sz w:val="24"/>
          <w:szCs w:val="24"/>
        </w:rPr>
        <w:t>SIA “Rīgas Austrumu klīniskā universitātes slimnīca”</w:t>
      </w:r>
      <w:r w:rsidRPr="00B56DBF">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kā lielākajā krūts vēža ārstniecības iestādē </w:t>
      </w:r>
      <w:r w:rsidRPr="00B56DBF">
        <w:rPr>
          <w:rFonts w:ascii="Times New Roman" w:eastAsia="Times New Roman" w:hAnsi="Times New Roman"/>
          <w:sz w:val="24"/>
          <w:szCs w:val="24"/>
          <w:lang w:eastAsia="lv-LV" w:bidi="lo-LA"/>
        </w:rPr>
        <w:t>nav iespējams veikt stereotakses mamogrāfiju vakuuma biopsijas izmeklējumu.</w:t>
      </w:r>
      <w:r>
        <w:rPr>
          <w:rFonts w:ascii="Times New Roman" w:eastAsia="Times New Roman" w:hAnsi="Times New Roman"/>
          <w:sz w:val="24"/>
          <w:szCs w:val="24"/>
          <w:lang w:eastAsia="lv-LV" w:bidi="lo-LA"/>
        </w:rPr>
        <w:t xml:space="preserve"> </w:t>
      </w:r>
      <w:r w:rsidRPr="00B56DBF">
        <w:rPr>
          <w:rFonts w:ascii="Times New Roman" w:eastAsia="Times New Roman" w:hAnsi="Times New Roman"/>
          <w:sz w:val="24"/>
          <w:szCs w:val="24"/>
          <w:lang w:eastAsia="lv-LV" w:bidi="lo-LA"/>
        </w:rPr>
        <w:t>Lai uzlabotu onkoloģijas slimniekiem pieejamu precīzas diagnostiskās procedūras veikšanu, lai pēc tam varētu veikt orgāna saudzējošu operāciju</w:t>
      </w:r>
      <w:r>
        <w:rPr>
          <w:rFonts w:ascii="Times New Roman" w:eastAsia="Times New Roman" w:hAnsi="Times New Roman"/>
          <w:sz w:val="24"/>
          <w:szCs w:val="24"/>
          <w:lang w:eastAsia="lv-LV" w:bidi="lo-LA"/>
        </w:rPr>
        <w:t>.</w:t>
      </w:r>
    </w:p>
    <w:p w14:paraId="766706CD" w14:textId="5ABF09EA" w:rsidR="00BA6075" w:rsidRPr="00E264F6" w:rsidRDefault="00E264F6" w:rsidP="00E264F6">
      <w:pPr>
        <w:spacing w:after="120"/>
        <w:ind w:firstLine="720"/>
        <w:jc w:val="both"/>
        <w:rPr>
          <w:rFonts w:ascii="Times New Roman" w:hAnsi="Times New Roman" w:cs="Times New Roman"/>
          <w:b/>
          <w:bCs/>
          <w:sz w:val="24"/>
          <w:szCs w:val="24"/>
        </w:rPr>
        <w:sectPr w:rsidR="00BA6075" w:rsidRPr="00E264F6" w:rsidSect="00333B64">
          <w:pgSz w:w="15840" w:h="12240" w:orient="landscape"/>
          <w:pgMar w:top="1701" w:right="1440" w:bottom="1440" w:left="1440" w:header="709" w:footer="709" w:gutter="0"/>
          <w:cols w:space="708"/>
          <w:docGrid w:linePitch="360"/>
        </w:sectPr>
      </w:pPr>
      <w:r>
        <w:rPr>
          <w:rFonts w:ascii="Times New Roman" w:eastAsia="Times New Roman" w:hAnsi="Times New Roman"/>
          <w:sz w:val="24"/>
          <w:szCs w:val="24"/>
          <w:lang w:eastAsia="lv-LV" w:bidi="lo-LA"/>
        </w:rPr>
        <w:t xml:space="preserve">Savukārt, lai </w:t>
      </w:r>
      <w:r w:rsidRPr="00605C2B">
        <w:rPr>
          <w:rFonts w:ascii="Times New Roman" w:eastAsia="Times New Roman" w:hAnsi="Times New Roman"/>
          <w:sz w:val="24"/>
          <w:szCs w:val="24"/>
          <w:lang w:eastAsia="lv-LV" w:bidi="lo-LA"/>
        </w:rPr>
        <w:t>uzlabotu uroloģisko, tostarp priekšdziedzera un urīnpūšļa vēža slimību diagnostiku un ārstēšanu</w:t>
      </w:r>
      <w:r>
        <w:rPr>
          <w:rFonts w:ascii="Times New Roman" w:eastAsia="Times New Roman" w:hAnsi="Times New Roman"/>
          <w:sz w:val="24"/>
          <w:szCs w:val="24"/>
          <w:lang w:eastAsia="lv-LV" w:bidi="lo-LA"/>
        </w:rPr>
        <w:t xml:space="preserve">, </w:t>
      </w:r>
      <w:r w:rsidRPr="00410950">
        <w:rPr>
          <w:rFonts w:ascii="Times New Roman" w:eastAsia="Times New Roman" w:hAnsi="Times New Roman"/>
          <w:sz w:val="24"/>
          <w:szCs w:val="24"/>
          <w:lang w:eastAsia="lv-LV" w:bidi="lo-LA"/>
        </w:rPr>
        <w:t>nodrošinātu uroloģisko pacientu izmeklējumus</w:t>
      </w:r>
      <w:r>
        <w:rPr>
          <w:rFonts w:ascii="Times New Roman" w:eastAsia="Times New Roman" w:hAnsi="Times New Roman"/>
          <w:sz w:val="24"/>
          <w:szCs w:val="24"/>
          <w:lang w:eastAsia="lv-LV" w:bidi="lo-LA"/>
        </w:rPr>
        <w:t xml:space="preserve"> un</w:t>
      </w:r>
      <w:r w:rsidRPr="00410950">
        <w:rPr>
          <w:rFonts w:ascii="Times New Roman" w:eastAsia="Times New Roman" w:hAnsi="Times New Roman"/>
          <w:sz w:val="24"/>
          <w:szCs w:val="24"/>
          <w:lang w:eastAsia="lv-LV" w:bidi="lo-LA"/>
        </w:rPr>
        <w:t xml:space="preserve"> augstas kvalitātes uroloģiskos pakalpojumus</w:t>
      </w:r>
      <w:r>
        <w:rPr>
          <w:rFonts w:ascii="Times New Roman" w:eastAsia="Times New Roman" w:hAnsi="Times New Roman"/>
          <w:sz w:val="24"/>
          <w:szCs w:val="24"/>
          <w:lang w:eastAsia="lv-LV" w:bidi="lo-LA"/>
        </w:rPr>
        <w:t>, n</w:t>
      </w:r>
      <w:r w:rsidRPr="00410950">
        <w:rPr>
          <w:rFonts w:ascii="Times New Roman" w:eastAsia="Times New Roman" w:hAnsi="Times New Roman"/>
          <w:sz w:val="24"/>
          <w:szCs w:val="24"/>
          <w:lang w:eastAsia="lv-LV" w:bidi="lo-LA"/>
        </w:rPr>
        <w:t>odrošin</w:t>
      </w:r>
      <w:r>
        <w:rPr>
          <w:rFonts w:ascii="Times New Roman" w:eastAsia="Times New Roman" w:hAnsi="Times New Roman"/>
          <w:sz w:val="24"/>
          <w:szCs w:val="24"/>
          <w:lang w:eastAsia="lv-LV" w:bidi="lo-LA"/>
        </w:rPr>
        <w:t>o</w:t>
      </w:r>
      <w:r w:rsidRPr="00410950">
        <w:rPr>
          <w:rFonts w:ascii="Times New Roman" w:eastAsia="Times New Roman" w:hAnsi="Times New Roman"/>
          <w:sz w:val="24"/>
          <w:szCs w:val="24"/>
          <w:lang w:eastAsia="lv-LV" w:bidi="lo-LA"/>
        </w:rPr>
        <w:t>t konsultācijas un pamata ārstnieciskās manipulācijas pacientiem ar neatliekamām uroloģiskām situācijām</w:t>
      </w:r>
      <w:r>
        <w:rPr>
          <w:rFonts w:ascii="Times New Roman" w:eastAsia="Times New Roman" w:hAnsi="Times New Roman"/>
          <w:sz w:val="24"/>
          <w:szCs w:val="24"/>
          <w:lang w:eastAsia="lv-LV" w:bidi="lo-LA"/>
        </w:rPr>
        <w:t xml:space="preserve">, papildus nepieciešams iegādāties </w:t>
      </w:r>
      <w:r w:rsidRPr="00605C2B">
        <w:rPr>
          <w:rFonts w:ascii="Times New Roman" w:eastAsia="Times New Roman" w:hAnsi="Times New Roman"/>
          <w:sz w:val="24"/>
          <w:szCs w:val="24"/>
          <w:lang w:eastAsia="lv-LV" w:bidi="lo-LA"/>
        </w:rPr>
        <w:t>Videocistoskopijas sistēmas komplekt</w:t>
      </w:r>
      <w:r>
        <w:rPr>
          <w:rFonts w:ascii="Times New Roman" w:eastAsia="Times New Roman" w:hAnsi="Times New Roman"/>
          <w:sz w:val="24"/>
          <w:szCs w:val="24"/>
          <w:lang w:eastAsia="lv-LV" w:bidi="lo-LA"/>
        </w:rPr>
        <w:t>u (48.tabula).</w:t>
      </w:r>
    </w:p>
    <w:p w14:paraId="4ADA1705" w14:textId="0CC7B87B" w:rsidR="00B56DBF" w:rsidRDefault="00B56DBF" w:rsidP="00E93259">
      <w:pPr>
        <w:jc w:val="both"/>
        <w:rPr>
          <w:rFonts w:ascii="Times New Roman" w:hAnsi="Times New Roman" w:cs="Times New Roman"/>
          <w:sz w:val="24"/>
          <w:szCs w:val="24"/>
        </w:rPr>
      </w:pPr>
    </w:p>
    <w:p w14:paraId="77419BB6" w14:textId="3D67A03A" w:rsidR="00346FDF" w:rsidRPr="00E93259" w:rsidRDefault="00AE3965" w:rsidP="2749705C">
      <w:pPr>
        <w:spacing w:after="120" w:line="240" w:lineRule="auto"/>
        <w:ind w:firstLine="709"/>
        <w:jc w:val="right"/>
        <w:rPr>
          <w:rFonts w:ascii="Times New Roman" w:hAnsi="Times New Roman" w:cs="Times New Roman"/>
          <w:i/>
          <w:iCs/>
          <w:sz w:val="24"/>
          <w:szCs w:val="24"/>
        </w:rPr>
      </w:pPr>
      <w:r w:rsidRPr="2749705C">
        <w:rPr>
          <w:rFonts w:ascii="Times New Roman" w:hAnsi="Times New Roman" w:cs="Times New Roman"/>
          <w:i/>
          <w:iCs/>
          <w:sz w:val="24"/>
          <w:szCs w:val="24"/>
        </w:rPr>
        <w:t>4</w:t>
      </w:r>
      <w:r w:rsidR="000678A1">
        <w:rPr>
          <w:rFonts w:ascii="Times New Roman" w:hAnsi="Times New Roman" w:cs="Times New Roman"/>
          <w:i/>
          <w:iCs/>
          <w:sz w:val="24"/>
          <w:szCs w:val="24"/>
        </w:rPr>
        <w:t>8</w:t>
      </w:r>
      <w:r w:rsidR="00346FDF" w:rsidRPr="2749705C">
        <w:rPr>
          <w:rFonts w:ascii="Times New Roman" w:hAnsi="Times New Roman" w:cs="Times New Roman"/>
          <w:i/>
          <w:iCs/>
          <w:sz w:val="24"/>
          <w:szCs w:val="24"/>
        </w:rPr>
        <w:t>.tabula</w:t>
      </w:r>
    </w:p>
    <w:p w14:paraId="2AFF7F5E" w14:textId="4881B02C" w:rsidR="00346FDF" w:rsidRDefault="00346FDF" w:rsidP="00346FDF">
      <w:pPr>
        <w:spacing w:after="120" w:line="240" w:lineRule="auto"/>
        <w:ind w:firstLine="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Onkoloģiskās diagnostikas</w:t>
      </w:r>
      <w:r w:rsidRPr="0012317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e</w:t>
      </w:r>
      <w:r w:rsidRPr="0012317D">
        <w:rPr>
          <w:rFonts w:ascii="Times New Roman" w:hAnsi="Times New Roman" w:cs="Times New Roman"/>
          <w:b/>
          <w:bCs/>
          <w:color w:val="000000" w:themeColor="text1"/>
          <w:sz w:val="24"/>
          <w:szCs w:val="24"/>
        </w:rPr>
        <w:t>fektivitāte</w:t>
      </w:r>
      <w:r>
        <w:rPr>
          <w:rFonts w:ascii="Times New Roman" w:hAnsi="Times New Roman" w:cs="Times New Roman"/>
          <w:b/>
          <w:bCs/>
          <w:color w:val="000000" w:themeColor="text1"/>
          <w:sz w:val="24"/>
          <w:szCs w:val="24"/>
        </w:rPr>
        <w:t>s</w:t>
      </w:r>
      <w:r w:rsidRPr="0012317D">
        <w:rPr>
          <w:rFonts w:ascii="Times New Roman" w:hAnsi="Times New Roman" w:cs="Times New Roman"/>
          <w:b/>
          <w:bCs/>
          <w:color w:val="000000" w:themeColor="text1"/>
          <w:sz w:val="24"/>
          <w:szCs w:val="24"/>
        </w:rPr>
        <w:t xml:space="preserve"> uzlabošanai nepieciešamo iekārtu finansējums</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982"/>
        <w:gridCol w:w="990"/>
        <w:gridCol w:w="850"/>
        <w:gridCol w:w="853"/>
        <w:gridCol w:w="851"/>
        <w:gridCol w:w="850"/>
        <w:gridCol w:w="851"/>
        <w:gridCol w:w="992"/>
        <w:gridCol w:w="709"/>
        <w:gridCol w:w="709"/>
        <w:gridCol w:w="708"/>
        <w:gridCol w:w="709"/>
        <w:gridCol w:w="709"/>
        <w:gridCol w:w="709"/>
      </w:tblGrid>
      <w:tr w:rsidR="00463E27" w14:paraId="683B33B2" w14:textId="77777777" w:rsidTr="00D67B7D">
        <w:trPr>
          <w:cantSplit/>
          <w:trHeight w:val="1373"/>
          <w:jc w:val="center"/>
        </w:trPr>
        <w:tc>
          <w:tcPr>
            <w:tcW w:w="423" w:type="dxa"/>
            <w:shd w:val="clear" w:color="auto" w:fill="E36C0A" w:themeFill="accent6" w:themeFillShade="BF"/>
            <w:vAlign w:val="center"/>
            <w:hideMark/>
          </w:tcPr>
          <w:p w14:paraId="4A639978"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p>
        </w:tc>
        <w:tc>
          <w:tcPr>
            <w:tcW w:w="1982" w:type="dxa"/>
            <w:shd w:val="clear" w:color="auto" w:fill="E36C0A" w:themeFill="accent6" w:themeFillShade="BF"/>
            <w:vAlign w:val="center"/>
            <w:hideMark/>
          </w:tcPr>
          <w:p w14:paraId="6A03699B" w14:textId="77777777" w:rsidR="00463E27" w:rsidRPr="00847710" w:rsidRDefault="00463E27" w:rsidP="005115DB">
            <w:pPr>
              <w:spacing w:after="0" w:line="240" w:lineRule="auto"/>
              <w:rPr>
                <w:rFonts w:ascii="Times New Roman" w:eastAsia="Times New Roman" w:hAnsi="Times New Roman" w:cs="Times New Roman"/>
                <w:b/>
                <w:sz w:val="20"/>
                <w:szCs w:val="20"/>
                <w:lang w:eastAsia="lv-LV"/>
              </w:rPr>
            </w:pPr>
          </w:p>
        </w:tc>
        <w:tc>
          <w:tcPr>
            <w:tcW w:w="990" w:type="dxa"/>
            <w:shd w:val="clear" w:color="auto" w:fill="E36C0A" w:themeFill="accent6" w:themeFillShade="BF"/>
            <w:textDirection w:val="btLr"/>
            <w:vAlign w:val="center"/>
            <w:hideMark/>
          </w:tcPr>
          <w:p w14:paraId="1FF7576C" w14:textId="77777777" w:rsidR="00463E27" w:rsidRPr="00847710" w:rsidRDefault="00463E27"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iekārtas</w:t>
            </w:r>
          </w:p>
          <w:p w14:paraId="6EE1843A" w14:textId="77777777" w:rsidR="00463E27" w:rsidRPr="00847710" w:rsidRDefault="00463E27"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C9A9589" w14:textId="77777777" w:rsidR="00463E27" w:rsidRPr="00847710" w:rsidRDefault="00463E27" w:rsidP="005115DB">
            <w:pPr>
              <w:spacing w:after="0" w:line="240" w:lineRule="auto"/>
              <w:ind w:left="113" w:right="113"/>
              <w:jc w:val="center"/>
              <w:rPr>
                <w:rFonts w:ascii="Times New Roman" w:eastAsia="Times New Roman" w:hAnsi="Times New Roman" w:cs="Times New Roman"/>
                <w:b/>
                <w:bCs/>
                <w:sz w:val="20"/>
                <w:szCs w:val="20"/>
                <w:lang w:eastAsia="lv-LV"/>
              </w:rPr>
            </w:pPr>
          </w:p>
        </w:tc>
        <w:tc>
          <w:tcPr>
            <w:tcW w:w="2554" w:type="dxa"/>
            <w:gridSpan w:val="3"/>
            <w:shd w:val="clear" w:color="auto" w:fill="E36C0A" w:themeFill="accent6" w:themeFillShade="BF"/>
            <w:textDirection w:val="btLr"/>
            <w:vAlign w:val="center"/>
          </w:tcPr>
          <w:p w14:paraId="31679B56" w14:textId="77777777" w:rsidR="00463E27" w:rsidRPr="00847710" w:rsidRDefault="00463E27" w:rsidP="005115DB">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693" w:type="dxa"/>
            <w:gridSpan w:val="3"/>
            <w:shd w:val="clear" w:color="auto" w:fill="E36C0A" w:themeFill="accent6" w:themeFillShade="BF"/>
            <w:textDirection w:val="btLr"/>
            <w:vAlign w:val="center"/>
          </w:tcPr>
          <w:p w14:paraId="6EBF01AA" w14:textId="77777777" w:rsidR="00463E27" w:rsidRPr="00847710" w:rsidRDefault="00463E27"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6" w:type="dxa"/>
            <w:gridSpan w:val="3"/>
            <w:shd w:val="clear" w:color="auto" w:fill="E36C0A" w:themeFill="accent6" w:themeFillShade="BF"/>
            <w:textDirection w:val="btLr"/>
            <w:vAlign w:val="center"/>
          </w:tcPr>
          <w:p w14:paraId="30AFC547" w14:textId="77777777" w:rsidR="00463E27" w:rsidRPr="00847710" w:rsidRDefault="00463E27" w:rsidP="005115DB">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 </w:t>
            </w:r>
            <w:r w:rsidRPr="00847710">
              <w:rPr>
                <w:rFonts w:ascii="Times New Roman" w:eastAsia="Times New Roman" w:hAnsi="Times New Roman" w:cs="Times New Roman"/>
                <w:b/>
                <w:bCs/>
                <w:sz w:val="20"/>
                <w:szCs w:val="20"/>
                <w:lang w:eastAsia="lv-LV"/>
              </w:rPr>
              <w:t xml:space="preserve">Plānotais </w:t>
            </w:r>
            <w:r>
              <w:rPr>
                <w:rFonts w:ascii="Times New Roman" w:eastAsia="Times New Roman" w:hAnsi="Times New Roman" w:cs="Times New Roman"/>
                <w:b/>
                <w:bCs/>
                <w:sz w:val="20"/>
                <w:szCs w:val="20"/>
                <w:lang w:eastAsia="lv-LV"/>
              </w:rPr>
              <w:t>iekārtu s</w:t>
            </w:r>
            <w:r w:rsidRPr="00847710">
              <w:rPr>
                <w:rFonts w:ascii="Times New Roman" w:eastAsia="Times New Roman" w:hAnsi="Times New Roman" w:cs="Times New Roman"/>
                <w:b/>
                <w:bCs/>
                <w:sz w:val="20"/>
                <w:szCs w:val="20"/>
                <w:lang w:eastAsia="lv-LV"/>
              </w:rPr>
              <w:t>kaits</w:t>
            </w:r>
          </w:p>
        </w:tc>
        <w:tc>
          <w:tcPr>
            <w:tcW w:w="2127" w:type="dxa"/>
            <w:gridSpan w:val="3"/>
            <w:shd w:val="clear" w:color="auto" w:fill="E36C0A" w:themeFill="accent6" w:themeFillShade="BF"/>
            <w:textDirection w:val="btLr"/>
            <w:vAlign w:val="center"/>
          </w:tcPr>
          <w:p w14:paraId="62300BA2" w14:textId="4ECEC6F0" w:rsidR="00463E27" w:rsidRPr="00847710" w:rsidRDefault="00463E27"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A05DFE">
              <w:rPr>
                <w:rFonts w:ascii="Times New Roman" w:eastAsia="Times New Roman" w:hAnsi="Times New Roman" w:cs="Times New Roman"/>
                <w:b/>
                <w:bCs/>
                <w:sz w:val="20"/>
                <w:szCs w:val="20"/>
                <w:lang w:eastAsia="lv-LV"/>
              </w:rPr>
              <w:t xml:space="preserve">iekārtu </w:t>
            </w:r>
            <w:r w:rsidRPr="00847710">
              <w:rPr>
                <w:rFonts w:ascii="Times New Roman" w:eastAsia="Times New Roman" w:hAnsi="Times New Roman" w:cs="Times New Roman"/>
                <w:b/>
                <w:bCs/>
                <w:sz w:val="20"/>
                <w:szCs w:val="20"/>
                <w:lang w:eastAsia="lv-LV"/>
              </w:rPr>
              <w:t>skaits pēc finansējuma piešķīruma</w:t>
            </w:r>
          </w:p>
        </w:tc>
      </w:tr>
      <w:tr w:rsidR="00463E27" w14:paraId="0F8F27BD" w14:textId="77777777" w:rsidTr="00D67B7D">
        <w:trPr>
          <w:trHeight w:val="640"/>
          <w:jc w:val="center"/>
        </w:trPr>
        <w:tc>
          <w:tcPr>
            <w:tcW w:w="423" w:type="dxa"/>
            <w:shd w:val="clear" w:color="auto" w:fill="FABF8F" w:themeFill="accent6" w:themeFillTint="99"/>
            <w:vAlign w:val="center"/>
          </w:tcPr>
          <w:p w14:paraId="423B1871"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p>
        </w:tc>
        <w:tc>
          <w:tcPr>
            <w:tcW w:w="1982" w:type="dxa"/>
            <w:shd w:val="clear" w:color="auto" w:fill="FABF8F" w:themeFill="accent6" w:themeFillTint="99"/>
            <w:vAlign w:val="center"/>
          </w:tcPr>
          <w:p w14:paraId="70258CA7" w14:textId="77777777" w:rsidR="00463E27" w:rsidRPr="00847710" w:rsidRDefault="00463E27" w:rsidP="005115DB">
            <w:pPr>
              <w:spacing w:after="0" w:line="240" w:lineRule="auto"/>
              <w:jc w:val="center"/>
              <w:rPr>
                <w:rFonts w:ascii="Times New Roman" w:eastAsia="Times New Roman" w:hAnsi="Times New Roman" w:cs="Times New Roman"/>
                <w:b/>
                <w:sz w:val="20"/>
                <w:szCs w:val="20"/>
                <w:lang w:eastAsia="lv-LV"/>
              </w:rPr>
            </w:pPr>
          </w:p>
        </w:tc>
        <w:tc>
          <w:tcPr>
            <w:tcW w:w="990" w:type="dxa"/>
            <w:shd w:val="clear" w:color="auto" w:fill="FABF8F" w:themeFill="accent6" w:themeFillTint="99"/>
            <w:vAlign w:val="center"/>
          </w:tcPr>
          <w:p w14:paraId="6B91C832" w14:textId="77777777" w:rsidR="00463E27" w:rsidRPr="00847710" w:rsidRDefault="00463E27" w:rsidP="005115DB">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52BA04CC"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4556EFD5"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333BA389"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3" w:type="dxa"/>
            <w:shd w:val="clear" w:color="auto" w:fill="FABF8F" w:themeFill="accent6" w:themeFillTint="99"/>
            <w:vAlign w:val="center"/>
          </w:tcPr>
          <w:p w14:paraId="11FD7A7E"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4450DE55"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6D6E434F"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3A192523"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0" w:type="dxa"/>
            <w:shd w:val="clear" w:color="auto" w:fill="FABF8F" w:themeFill="accent6" w:themeFillTint="99"/>
            <w:vAlign w:val="center"/>
          </w:tcPr>
          <w:p w14:paraId="71B277DE"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2017</w:t>
            </w:r>
          </w:p>
          <w:p w14:paraId="66AD7CC7"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851" w:type="dxa"/>
            <w:shd w:val="clear" w:color="auto" w:fill="FABF8F" w:themeFill="accent6" w:themeFillTint="99"/>
            <w:vAlign w:val="center"/>
          </w:tcPr>
          <w:p w14:paraId="2898C552"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2018</w:t>
            </w:r>
          </w:p>
          <w:p w14:paraId="07D6AB44" w14:textId="77777777" w:rsidR="00463E27"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(euro)</w:t>
            </w:r>
          </w:p>
        </w:tc>
        <w:tc>
          <w:tcPr>
            <w:tcW w:w="992" w:type="dxa"/>
            <w:shd w:val="clear" w:color="auto" w:fill="FABF8F" w:themeFill="accent6" w:themeFillTint="99"/>
            <w:vAlign w:val="center"/>
          </w:tcPr>
          <w:p w14:paraId="51750653" w14:textId="77777777" w:rsidR="00463E27" w:rsidRPr="00847710" w:rsidRDefault="00463E27" w:rsidP="005115D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118087F4" w14:textId="77777777" w:rsidR="00463E27" w:rsidRPr="00C86312" w:rsidRDefault="00463E27" w:rsidP="005115DB">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9" w:type="dxa"/>
            <w:shd w:val="clear" w:color="auto" w:fill="FABF8F" w:themeFill="accent6" w:themeFillTint="99"/>
            <w:vAlign w:val="center"/>
          </w:tcPr>
          <w:p w14:paraId="0AEC6167"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29616404"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8" w:type="dxa"/>
            <w:shd w:val="clear" w:color="auto" w:fill="FABF8F" w:themeFill="accent6" w:themeFillTint="99"/>
            <w:vAlign w:val="center"/>
          </w:tcPr>
          <w:p w14:paraId="1846BEC1"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6D10A8A9"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33233E3A"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6A170106" w14:textId="77777777" w:rsidR="00463E27" w:rsidRPr="00847710" w:rsidRDefault="00463E27" w:rsidP="005115D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463E27" w14:paraId="42A920CC" w14:textId="77777777" w:rsidTr="00D67B7D">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42800" w14:textId="77777777" w:rsidR="00463E27" w:rsidRPr="00847710" w:rsidRDefault="00463E27" w:rsidP="00463E2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F2D2B" w14:textId="2F8F1536" w:rsidR="00463E27" w:rsidRPr="00847710" w:rsidRDefault="00463E27" w:rsidP="00463E27">
            <w:pPr>
              <w:spacing w:after="0" w:line="240" w:lineRule="auto"/>
              <w:rPr>
                <w:rFonts w:ascii="Times New Roman" w:eastAsia="Times New Roman" w:hAnsi="Times New Roman" w:cs="Times New Roman"/>
                <w:sz w:val="20"/>
                <w:szCs w:val="20"/>
                <w:lang w:eastAsia="lv-LV"/>
              </w:rPr>
            </w:pPr>
            <w:r w:rsidRPr="00830C84">
              <w:rPr>
                <w:rFonts w:ascii="Times New Roman" w:eastAsia="Times New Roman" w:hAnsi="Times New Roman" w:cs="Times New Roman"/>
                <w:sz w:val="20"/>
                <w:szCs w:val="20"/>
                <w:lang w:eastAsia="lv-LV"/>
              </w:rPr>
              <w:t>Mamogrāfijas iekārtas (ar stereotaktisko aprīkojumu vakuuma biopsijas veikšanu)</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481B1" w14:textId="64FCAD80" w:rsidR="00463E27" w:rsidRPr="00847710" w:rsidRDefault="00463E27" w:rsidP="00463E27">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250 000</w:t>
            </w:r>
          </w:p>
        </w:tc>
        <w:tc>
          <w:tcPr>
            <w:tcW w:w="850" w:type="dxa"/>
            <w:tcBorders>
              <w:top w:val="single" w:sz="4" w:space="0" w:color="auto"/>
              <w:left w:val="single" w:sz="4" w:space="0" w:color="auto"/>
              <w:bottom w:val="single" w:sz="4" w:space="0" w:color="auto"/>
              <w:right w:val="single" w:sz="4" w:space="0" w:color="auto"/>
            </w:tcBorders>
            <w:vAlign w:val="center"/>
          </w:tcPr>
          <w:p w14:paraId="37D0678D" w14:textId="77777777" w:rsidR="00463E27" w:rsidRDefault="00463E27" w:rsidP="00463E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3" w:type="dxa"/>
            <w:tcBorders>
              <w:top w:val="single" w:sz="4" w:space="0" w:color="auto"/>
              <w:left w:val="single" w:sz="4" w:space="0" w:color="auto"/>
              <w:bottom w:val="single" w:sz="4" w:space="0" w:color="auto"/>
              <w:right w:val="single" w:sz="4" w:space="0" w:color="auto"/>
            </w:tcBorders>
            <w:vAlign w:val="center"/>
          </w:tcPr>
          <w:p w14:paraId="512156A0" w14:textId="77777777" w:rsidR="00463E27" w:rsidRDefault="00463E27" w:rsidP="00463E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7052021" w14:textId="77777777" w:rsidR="00463E27" w:rsidRDefault="00463E27" w:rsidP="00463E27">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AAE49F5" w14:textId="77777777" w:rsidR="00463E27" w:rsidRDefault="00463E27" w:rsidP="00463E2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3B583025" w14:textId="6FBC6BF5" w:rsidR="00463E27" w:rsidRDefault="00463E27" w:rsidP="00463E2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BC3BF" w14:textId="0BA11F44" w:rsidR="00463E27" w:rsidRPr="00847710" w:rsidRDefault="00463E27" w:rsidP="00463E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w:t>
            </w:r>
          </w:p>
        </w:tc>
        <w:tc>
          <w:tcPr>
            <w:tcW w:w="709" w:type="dxa"/>
            <w:tcBorders>
              <w:top w:val="single" w:sz="4" w:space="0" w:color="auto"/>
              <w:left w:val="single" w:sz="4" w:space="0" w:color="auto"/>
              <w:bottom w:val="single" w:sz="4" w:space="0" w:color="auto"/>
              <w:right w:val="single" w:sz="4" w:space="0" w:color="auto"/>
            </w:tcBorders>
            <w:vAlign w:val="center"/>
          </w:tcPr>
          <w:p w14:paraId="2CD15B18" w14:textId="77777777" w:rsidR="00463E27" w:rsidRDefault="00463E27" w:rsidP="00463E27">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6A05FFD" w14:textId="77777777" w:rsidR="00463E27" w:rsidRDefault="00463E27" w:rsidP="00463E27">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018F5690" w14:textId="77777777" w:rsidR="00463E27" w:rsidRDefault="00463E27" w:rsidP="00463E27">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2F88A48" w14:textId="77777777" w:rsidR="00463E27" w:rsidRDefault="00463E27" w:rsidP="00463E2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3DDE04C" w14:textId="794B9B94" w:rsidR="00463E27" w:rsidRDefault="00463E27" w:rsidP="00463E2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9775" w14:textId="77777777" w:rsidR="00463E27" w:rsidRPr="005A31E0" w:rsidRDefault="00463E27" w:rsidP="00463E27">
            <w:pPr>
              <w:spacing w:after="0" w:line="240" w:lineRule="auto"/>
              <w:jc w:val="center"/>
              <w:rPr>
                <w:rFonts w:ascii="Times New Roman" w:hAnsi="Times New Roman" w:cs="Times New Roman"/>
                <w:bCs/>
                <w:sz w:val="20"/>
                <w:szCs w:val="20"/>
              </w:rPr>
            </w:pPr>
            <w:r w:rsidRPr="005A31E0">
              <w:rPr>
                <w:rFonts w:ascii="Times New Roman" w:hAnsi="Times New Roman" w:cs="Times New Roman"/>
                <w:bCs/>
                <w:sz w:val="20"/>
                <w:szCs w:val="20"/>
              </w:rPr>
              <w:t>1</w:t>
            </w:r>
          </w:p>
        </w:tc>
      </w:tr>
      <w:tr w:rsidR="00463E27" w14:paraId="1D826D39" w14:textId="77777777" w:rsidTr="00D67B7D">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7A89E" w14:textId="668BC1F2" w:rsidR="00463E27" w:rsidRPr="00847710" w:rsidRDefault="00463E27" w:rsidP="00463E2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14:paraId="1D6CAD36" w14:textId="1F2D87D2" w:rsidR="00463E27" w:rsidRDefault="00463E27" w:rsidP="00463E27">
            <w:pPr>
              <w:spacing w:after="0" w:line="240" w:lineRule="auto"/>
              <w:rPr>
                <w:rFonts w:ascii="Times New Roman" w:eastAsia="Times New Roman" w:hAnsi="Times New Roman" w:cs="Times New Roman"/>
                <w:sz w:val="20"/>
                <w:szCs w:val="20"/>
                <w:lang w:eastAsia="lv-LV"/>
              </w:rPr>
            </w:pPr>
            <w:r w:rsidRPr="00410950">
              <w:rPr>
                <w:rFonts w:ascii="Times New Roman" w:eastAsia="Times New Roman" w:hAnsi="Times New Roman" w:cs="Times New Roman"/>
                <w:sz w:val="20"/>
                <w:szCs w:val="20"/>
                <w:lang w:eastAsia="lv-LV"/>
              </w:rPr>
              <w:t>Videocistoskopijas sistēmas komplekts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B519" w14:textId="4C98F3EC" w:rsidR="00463E27" w:rsidRPr="00847710" w:rsidRDefault="00463E27" w:rsidP="00463E27">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110 000</w:t>
            </w:r>
          </w:p>
        </w:tc>
        <w:tc>
          <w:tcPr>
            <w:tcW w:w="850" w:type="dxa"/>
            <w:tcBorders>
              <w:top w:val="single" w:sz="4" w:space="0" w:color="auto"/>
              <w:left w:val="single" w:sz="4" w:space="0" w:color="auto"/>
              <w:bottom w:val="single" w:sz="4" w:space="0" w:color="auto"/>
              <w:right w:val="single" w:sz="4" w:space="0" w:color="auto"/>
            </w:tcBorders>
            <w:vAlign w:val="center"/>
          </w:tcPr>
          <w:p w14:paraId="73598108" w14:textId="2A86983B" w:rsidR="00463E27" w:rsidRDefault="00463E27" w:rsidP="00463E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3" w:type="dxa"/>
            <w:tcBorders>
              <w:top w:val="single" w:sz="4" w:space="0" w:color="auto"/>
              <w:left w:val="single" w:sz="4" w:space="0" w:color="auto"/>
              <w:bottom w:val="single" w:sz="4" w:space="0" w:color="auto"/>
              <w:right w:val="single" w:sz="4" w:space="0" w:color="auto"/>
            </w:tcBorders>
            <w:vAlign w:val="center"/>
          </w:tcPr>
          <w:p w14:paraId="4BB800F9" w14:textId="088ADD96" w:rsidR="00463E27" w:rsidRDefault="00463E27" w:rsidP="00463E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D0A2E0A" w14:textId="52638847" w:rsidR="00463E27" w:rsidRDefault="00463E27" w:rsidP="00463E27">
            <w:pPr>
              <w:spacing w:after="0" w:line="240" w:lineRule="auto"/>
              <w:ind w:right="-111"/>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A9530D1" w14:textId="4F6FDBE4" w:rsidR="00463E27" w:rsidRDefault="00463E27" w:rsidP="00463E2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087E8D15" w14:textId="11539A57" w:rsidR="00463E27" w:rsidRDefault="00463E27" w:rsidP="00463E2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71938" w14:textId="3F392A40" w:rsidR="00463E27" w:rsidRPr="00E31BB2" w:rsidRDefault="00463E27" w:rsidP="00463E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110 000 </w:t>
            </w:r>
          </w:p>
        </w:tc>
        <w:tc>
          <w:tcPr>
            <w:tcW w:w="709" w:type="dxa"/>
            <w:tcBorders>
              <w:top w:val="single" w:sz="4" w:space="0" w:color="auto"/>
              <w:left w:val="single" w:sz="4" w:space="0" w:color="auto"/>
              <w:bottom w:val="single" w:sz="4" w:space="0" w:color="auto"/>
              <w:right w:val="single" w:sz="4" w:space="0" w:color="auto"/>
            </w:tcBorders>
            <w:vAlign w:val="center"/>
          </w:tcPr>
          <w:p w14:paraId="178F7B33" w14:textId="4F54AD48" w:rsidR="00463E27" w:rsidRDefault="00463E27" w:rsidP="00463E27">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675FEC2" w14:textId="7E888D67" w:rsidR="00463E27" w:rsidRDefault="00463E27" w:rsidP="00463E27">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27BB5143" w14:textId="57A597FC" w:rsidR="00463E27" w:rsidRDefault="00463E27" w:rsidP="00463E27">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82949AF" w14:textId="06C48A39" w:rsidR="00463E27" w:rsidRDefault="00463E27" w:rsidP="00463E2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2FCB051" w14:textId="64DFFEA1" w:rsidR="00463E27" w:rsidRDefault="00463E27" w:rsidP="00463E2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4E2EC" w14:textId="649C7DCA" w:rsidR="00463E27" w:rsidRPr="005A31E0" w:rsidRDefault="00463E27" w:rsidP="00463E27">
            <w:pPr>
              <w:spacing w:after="0" w:line="240" w:lineRule="auto"/>
              <w:jc w:val="center"/>
              <w:rPr>
                <w:rFonts w:ascii="Times New Roman" w:hAnsi="Times New Roman" w:cs="Times New Roman"/>
                <w:bCs/>
                <w:sz w:val="20"/>
                <w:szCs w:val="20"/>
              </w:rPr>
            </w:pPr>
            <w:r w:rsidRPr="005A31E0">
              <w:rPr>
                <w:rFonts w:ascii="Times New Roman" w:hAnsi="Times New Roman" w:cs="Times New Roman"/>
                <w:bCs/>
                <w:sz w:val="20"/>
                <w:szCs w:val="20"/>
              </w:rPr>
              <w:t>1</w:t>
            </w:r>
          </w:p>
        </w:tc>
      </w:tr>
      <w:tr w:rsidR="00E11AFF" w14:paraId="3EE882DB" w14:textId="77777777" w:rsidTr="00D67B7D">
        <w:trPr>
          <w:trHeight w:val="189"/>
          <w:jc w:val="center"/>
        </w:trPr>
        <w:tc>
          <w:tcPr>
            <w:tcW w:w="423" w:type="dxa"/>
            <w:shd w:val="clear" w:color="auto" w:fill="FBD4B4" w:themeFill="accent6" w:themeFillTint="66"/>
            <w:noWrap/>
            <w:vAlign w:val="bottom"/>
            <w:hideMark/>
          </w:tcPr>
          <w:p w14:paraId="6D5BFBE9" w14:textId="77777777" w:rsidR="00463E27" w:rsidRPr="00847710" w:rsidRDefault="00463E27" w:rsidP="00463E27">
            <w:pPr>
              <w:spacing w:after="0" w:line="240" w:lineRule="auto"/>
              <w:jc w:val="right"/>
              <w:rPr>
                <w:rFonts w:ascii="Times New Roman" w:eastAsia="Times New Roman" w:hAnsi="Times New Roman" w:cs="Times New Roman"/>
                <w:sz w:val="20"/>
                <w:szCs w:val="20"/>
                <w:lang w:eastAsia="lv-LV"/>
              </w:rPr>
            </w:pPr>
          </w:p>
        </w:tc>
        <w:tc>
          <w:tcPr>
            <w:tcW w:w="1982" w:type="dxa"/>
            <w:shd w:val="clear" w:color="auto" w:fill="FBD4B4" w:themeFill="accent6" w:themeFillTint="66"/>
            <w:noWrap/>
            <w:vAlign w:val="bottom"/>
            <w:hideMark/>
          </w:tcPr>
          <w:p w14:paraId="7CDC169F" w14:textId="77777777" w:rsidR="00463E27" w:rsidRPr="00847710" w:rsidRDefault="00463E27" w:rsidP="00463E2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0" w:type="dxa"/>
            <w:shd w:val="clear" w:color="auto" w:fill="FBD4B4" w:themeFill="accent6" w:themeFillTint="66"/>
            <w:noWrap/>
            <w:vAlign w:val="center"/>
            <w:hideMark/>
          </w:tcPr>
          <w:p w14:paraId="225CD111" w14:textId="77777777" w:rsidR="00463E27" w:rsidRPr="00833F61" w:rsidRDefault="00463E27" w:rsidP="00463E27">
            <w:pPr>
              <w:spacing w:after="0" w:line="240" w:lineRule="auto"/>
              <w:rPr>
                <w:rFonts w:ascii="Times New Roman" w:eastAsia="Times New Roman" w:hAnsi="Times New Roman" w:cs="Times New Roman"/>
                <w:b/>
                <w:sz w:val="20"/>
                <w:szCs w:val="20"/>
                <w:lang w:eastAsia="lv-LV"/>
              </w:rPr>
            </w:pPr>
          </w:p>
        </w:tc>
        <w:tc>
          <w:tcPr>
            <w:tcW w:w="850" w:type="dxa"/>
            <w:shd w:val="clear" w:color="auto" w:fill="FBD4B4" w:themeFill="accent6" w:themeFillTint="66"/>
          </w:tcPr>
          <w:p w14:paraId="5DCD4407" w14:textId="77777777" w:rsidR="00463E27" w:rsidRPr="00833F61" w:rsidRDefault="00463E27" w:rsidP="00463E27">
            <w:pPr>
              <w:spacing w:after="0" w:line="240" w:lineRule="auto"/>
              <w:jc w:val="center"/>
              <w:rPr>
                <w:rFonts w:ascii="Times New Roman" w:hAnsi="Times New Roman" w:cs="Times New Roman"/>
                <w:b/>
                <w:sz w:val="20"/>
                <w:szCs w:val="20"/>
              </w:rPr>
            </w:pPr>
          </w:p>
        </w:tc>
        <w:tc>
          <w:tcPr>
            <w:tcW w:w="853" w:type="dxa"/>
            <w:shd w:val="clear" w:color="auto" w:fill="FBD4B4" w:themeFill="accent6" w:themeFillTint="66"/>
          </w:tcPr>
          <w:p w14:paraId="26B7ABFE" w14:textId="77777777" w:rsidR="00463E27" w:rsidRPr="00833F61" w:rsidRDefault="00463E27" w:rsidP="00463E27">
            <w:pPr>
              <w:spacing w:after="0" w:line="240" w:lineRule="auto"/>
              <w:jc w:val="center"/>
              <w:rPr>
                <w:rFonts w:ascii="Times New Roman" w:hAnsi="Times New Roman" w:cs="Times New Roman"/>
                <w:b/>
                <w:sz w:val="20"/>
                <w:szCs w:val="20"/>
              </w:rPr>
            </w:pPr>
          </w:p>
        </w:tc>
        <w:tc>
          <w:tcPr>
            <w:tcW w:w="851" w:type="dxa"/>
            <w:shd w:val="clear" w:color="auto" w:fill="FBD4B4" w:themeFill="accent6" w:themeFillTint="66"/>
          </w:tcPr>
          <w:p w14:paraId="6F4DF4E1" w14:textId="77777777" w:rsidR="00463E27" w:rsidRPr="00833F61" w:rsidRDefault="00463E27" w:rsidP="00463E27">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tcPr>
          <w:p w14:paraId="1CB85221" w14:textId="77777777" w:rsidR="00463E27" w:rsidRDefault="00463E27" w:rsidP="00463E27">
            <w:pPr>
              <w:spacing w:after="0" w:line="240" w:lineRule="auto"/>
              <w:jc w:val="center"/>
              <w:rPr>
                <w:rFonts w:ascii="Times New Roman" w:eastAsia="Times New Roman" w:hAnsi="Times New Roman" w:cs="Times New Roman"/>
                <w:b/>
                <w:sz w:val="20"/>
                <w:szCs w:val="20"/>
                <w:lang w:eastAsia="lv-LV"/>
              </w:rPr>
            </w:pPr>
          </w:p>
        </w:tc>
        <w:tc>
          <w:tcPr>
            <w:tcW w:w="851" w:type="dxa"/>
            <w:shd w:val="clear" w:color="auto" w:fill="FBD4B4" w:themeFill="accent6" w:themeFillTint="66"/>
            <w:vAlign w:val="center"/>
          </w:tcPr>
          <w:p w14:paraId="66336F2A" w14:textId="45B299A0" w:rsidR="00463E27" w:rsidRDefault="00463E27" w:rsidP="00463E27">
            <w:pPr>
              <w:spacing w:after="0" w:line="240" w:lineRule="auto"/>
              <w:jc w:val="center"/>
              <w:rPr>
                <w:rFonts w:ascii="Times New Roman" w:eastAsia="Times New Roman" w:hAnsi="Times New Roman" w:cs="Times New Roman"/>
                <w:b/>
                <w:sz w:val="20"/>
                <w:szCs w:val="20"/>
                <w:lang w:eastAsia="lv-LV"/>
              </w:rPr>
            </w:pPr>
          </w:p>
        </w:tc>
        <w:tc>
          <w:tcPr>
            <w:tcW w:w="992" w:type="dxa"/>
            <w:shd w:val="clear" w:color="auto" w:fill="FBD4B4" w:themeFill="accent6" w:themeFillTint="66"/>
            <w:noWrap/>
            <w:vAlign w:val="center"/>
          </w:tcPr>
          <w:p w14:paraId="5E3C7A6B" w14:textId="3309C7D0" w:rsidR="00463E27" w:rsidRPr="005A31E0" w:rsidRDefault="00463E27" w:rsidP="00463E27">
            <w:pPr>
              <w:spacing w:after="0" w:line="240" w:lineRule="auto"/>
              <w:jc w:val="center"/>
              <w:rPr>
                <w:rFonts w:ascii="Times New Roman" w:hAnsi="Times New Roman" w:cs="Times New Roman"/>
                <w:b/>
                <w:sz w:val="20"/>
                <w:szCs w:val="20"/>
              </w:rPr>
            </w:pPr>
            <w:r w:rsidRPr="005A31E0">
              <w:rPr>
                <w:rFonts w:ascii="Times New Roman" w:hAnsi="Times New Roman" w:cs="Times New Roman"/>
                <w:b/>
                <w:sz w:val="20"/>
                <w:szCs w:val="20"/>
              </w:rPr>
              <w:t>360 000</w:t>
            </w:r>
          </w:p>
        </w:tc>
        <w:tc>
          <w:tcPr>
            <w:tcW w:w="709" w:type="dxa"/>
            <w:shd w:val="clear" w:color="auto" w:fill="FBD4B4" w:themeFill="accent6" w:themeFillTint="66"/>
          </w:tcPr>
          <w:p w14:paraId="513144BE" w14:textId="77777777" w:rsidR="00463E27" w:rsidRPr="005A31E0" w:rsidRDefault="00463E27" w:rsidP="00463E27">
            <w:pPr>
              <w:spacing w:after="0" w:line="240" w:lineRule="auto"/>
              <w:jc w:val="center"/>
              <w:rPr>
                <w:rFonts w:ascii="Times New Roman" w:hAnsi="Times New Roman" w:cs="Times New Roman"/>
                <w:b/>
                <w:bCs/>
                <w:color w:val="FF0000"/>
                <w:sz w:val="20"/>
                <w:szCs w:val="20"/>
              </w:rPr>
            </w:pPr>
          </w:p>
        </w:tc>
        <w:tc>
          <w:tcPr>
            <w:tcW w:w="709" w:type="dxa"/>
            <w:shd w:val="clear" w:color="auto" w:fill="FBD4B4" w:themeFill="accent6" w:themeFillTint="66"/>
            <w:vAlign w:val="center"/>
          </w:tcPr>
          <w:p w14:paraId="6A27201C" w14:textId="77777777" w:rsidR="00463E27" w:rsidRPr="005A31E0" w:rsidRDefault="00463E27" w:rsidP="00463E27">
            <w:pPr>
              <w:spacing w:after="0" w:line="240" w:lineRule="auto"/>
              <w:jc w:val="center"/>
              <w:rPr>
                <w:rFonts w:ascii="Times New Roman" w:hAnsi="Times New Roman" w:cs="Times New Roman"/>
                <w:b/>
                <w:bCs/>
                <w:color w:val="FF0000"/>
                <w:sz w:val="20"/>
                <w:szCs w:val="20"/>
              </w:rPr>
            </w:pPr>
          </w:p>
        </w:tc>
        <w:tc>
          <w:tcPr>
            <w:tcW w:w="708" w:type="dxa"/>
            <w:shd w:val="clear" w:color="auto" w:fill="FBD4B4" w:themeFill="accent6" w:themeFillTint="66"/>
            <w:vAlign w:val="center"/>
          </w:tcPr>
          <w:p w14:paraId="7A07D25F" w14:textId="77777777" w:rsidR="00463E27" w:rsidRPr="005A31E0" w:rsidRDefault="00463E27" w:rsidP="00463E27">
            <w:pPr>
              <w:spacing w:after="0" w:line="240" w:lineRule="auto"/>
              <w:jc w:val="center"/>
              <w:rPr>
                <w:rFonts w:ascii="Times New Roman" w:hAnsi="Times New Roman" w:cs="Times New Roman"/>
                <w:b/>
                <w:bCs/>
                <w:color w:val="FF0000"/>
                <w:sz w:val="20"/>
                <w:szCs w:val="20"/>
              </w:rPr>
            </w:pPr>
          </w:p>
        </w:tc>
        <w:tc>
          <w:tcPr>
            <w:tcW w:w="709" w:type="dxa"/>
            <w:shd w:val="clear" w:color="auto" w:fill="FBD4B4" w:themeFill="accent6" w:themeFillTint="66"/>
          </w:tcPr>
          <w:p w14:paraId="191E7E8D" w14:textId="77777777" w:rsidR="00463E27" w:rsidRPr="005A31E0" w:rsidRDefault="00463E27" w:rsidP="00463E27">
            <w:pPr>
              <w:spacing w:after="0" w:line="240" w:lineRule="auto"/>
              <w:jc w:val="center"/>
              <w:rPr>
                <w:rFonts w:ascii="Times New Roman" w:eastAsia="Times New Roman" w:hAnsi="Times New Roman" w:cs="Times New Roman"/>
                <w:b/>
                <w:color w:val="000000"/>
                <w:sz w:val="20"/>
                <w:szCs w:val="20"/>
                <w:lang w:eastAsia="lv-LV"/>
              </w:rPr>
            </w:pPr>
          </w:p>
        </w:tc>
        <w:tc>
          <w:tcPr>
            <w:tcW w:w="709" w:type="dxa"/>
            <w:shd w:val="clear" w:color="auto" w:fill="FBD4B4" w:themeFill="accent6" w:themeFillTint="66"/>
          </w:tcPr>
          <w:p w14:paraId="41E99A66" w14:textId="00385550" w:rsidR="00463E27" w:rsidRPr="005A31E0" w:rsidRDefault="00463E27" w:rsidP="00463E27">
            <w:pPr>
              <w:spacing w:after="0" w:line="240" w:lineRule="auto"/>
              <w:jc w:val="center"/>
              <w:rPr>
                <w:rFonts w:ascii="Times New Roman" w:eastAsia="Times New Roman" w:hAnsi="Times New Roman" w:cs="Times New Roman"/>
                <w:b/>
                <w:color w:val="000000"/>
                <w:sz w:val="20"/>
                <w:szCs w:val="20"/>
                <w:lang w:eastAsia="lv-LV"/>
              </w:rPr>
            </w:pPr>
          </w:p>
        </w:tc>
        <w:tc>
          <w:tcPr>
            <w:tcW w:w="709" w:type="dxa"/>
            <w:shd w:val="clear" w:color="auto" w:fill="FBD4B4" w:themeFill="accent6" w:themeFillTint="66"/>
            <w:noWrap/>
            <w:vAlign w:val="center"/>
          </w:tcPr>
          <w:p w14:paraId="39D51738" w14:textId="3019B275" w:rsidR="00463E27" w:rsidRPr="005A31E0" w:rsidRDefault="00463E27" w:rsidP="00463E27">
            <w:pPr>
              <w:spacing w:after="0" w:line="240" w:lineRule="auto"/>
              <w:jc w:val="center"/>
              <w:rPr>
                <w:rFonts w:ascii="Times New Roman" w:hAnsi="Times New Roman" w:cs="Times New Roman"/>
                <w:b/>
                <w:bCs/>
                <w:color w:val="FF0000"/>
                <w:sz w:val="20"/>
                <w:szCs w:val="20"/>
              </w:rPr>
            </w:pPr>
            <w:r w:rsidRPr="005A31E0">
              <w:rPr>
                <w:rFonts w:ascii="Times New Roman" w:eastAsia="Times New Roman" w:hAnsi="Times New Roman" w:cs="Times New Roman"/>
                <w:b/>
                <w:color w:val="000000"/>
                <w:sz w:val="20"/>
                <w:szCs w:val="20"/>
                <w:lang w:eastAsia="lv-LV"/>
              </w:rPr>
              <w:t>2</w:t>
            </w:r>
          </w:p>
        </w:tc>
      </w:tr>
    </w:tbl>
    <w:p w14:paraId="32506738" w14:textId="5194A403" w:rsidR="00463E27" w:rsidRDefault="00463E27" w:rsidP="00346FDF">
      <w:pPr>
        <w:spacing w:after="120" w:line="240" w:lineRule="auto"/>
        <w:ind w:firstLine="709"/>
        <w:jc w:val="center"/>
        <w:rPr>
          <w:rFonts w:ascii="Times New Roman" w:hAnsi="Times New Roman" w:cs="Times New Roman"/>
          <w:b/>
          <w:bCs/>
          <w:color w:val="000000" w:themeColor="text1"/>
          <w:sz w:val="24"/>
          <w:szCs w:val="24"/>
        </w:rPr>
      </w:pPr>
    </w:p>
    <w:p w14:paraId="4E64EAAB" w14:textId="77777777" w:rsidR="00463E27" w:rsidRPr="00C86312" w:rsidRDefault="00463E27" w:rsidP="00346FDF">
      <w:pPr>
        <w:spacing w:after="120" w:line="240" w:lineRule="auto"/>
        <w:ind w:firstLine="709"/>
        <w:jc w:val="center"/>
        <w:rPr>
          <w:rFonts w:ascii="Times New Roman" w:hAnsi="Times New Roman" w:cs="Times New Roman"/>
          <w:b/>
          <w:bCs/>
          <w:sz w:val="24"/>
          <w:szCs w:val="24"/>
        </w:rPr>
      </w:pPr>
    </w:p>
    <w:p w14:paraId="5365F5E2" w14:textId="003F02DB" w:rsidR="00346FDF" w:rsidRDefault="00346FDF" w:rsidP="003A0607">
      <w:pPr>
        <w:ind w:firstLine="709"/>
        <w:jc w:val="both"/>
        <w:rPr>
          <w:rFonts w:ascii="Times New Roman" w:eastAsia="Times New Roman" w:hAnsi="Times New Roman"/>
          <w:sz w:val="24"/>
          <w:szCs w:val="24"/>
          <w:lang w:eastAsia="lv-LV" w:bidi="lo-LA"/>
        </w:rPr>
      </w:pPr>
    </w:p>
    <w:p w14:paraId="2A34D951" w14:textId="77777777" w:rsidR="00463E27" w:rsidRDefault="00463E27" w:rsidP="003A0607">
      <w:pPr>
        <w:ind w:firstLine="709"/>
        <w:jc w:val="both"/>
        <w:rPr>
          <w:rFonts w:ascii="Times New Roman" w:eastAsia="Times New Roman" w:hAnsi="Times New Roman"/>
          <w:sz w:val="24"/>
          <w:szCs w:val="24"/>
          <w:lang w:eastAsia="lv-LV" w:bidi="lo-LA"/>
        </w:rPr>
        <w:sectPr w:rsidR="00463E27" w:rsidSect="00333B64">
          <w:pgSz w:w="15840" w:h="12240" w:orient="landscape"/>
          <w:pgMar w:top="1701" w:right="1440" w:bottom="1440" w:left="1440" w:header="709" w:footer="709" w:gutter="0"/>
          <w:cols w:space="708"/>
          <w:docGrid w:linePitch="360"/>
        </w:sectPr>
      </w:pPr>
    </w:p>
    <w:p w14:paraId="2E4EC191" w14:textId="505A39BF" w:rsidR="00B24429" w:rsidRPr="00C86312" w:rsidRDefault="00B24429" w:rsidP="00B24429">
      <w:pPr>
        <w:pStyle w:val="Heading2"/>
        <w:spacing w:before="0" w:after="200"/>
        <w:jc w:val="center"/>
        <w:rPr>
          <w:rFonts w:ascii="Times New Roman" w:hAnsi="Times New Roman" w:cs="Times New Roman"/>
          <w:b/>
          <w:bCs/>
          <w:color w:val="auto"/>
          <w:sz w:val="24"/>
          <w:szCs w:val="24"/>
        </w:rPr>
      </w:pPr>
      <w:r>
        <w:rPr>
          <w:rStyle w:val="Heading1Char"/>
          <w:rFonts w:ascii="Times New Roman" w:hAnsi="Times New Roman" w:cs="Times New Roman"/>
          <w:b/>
          <w:bCs/>
          <w:color w:val="auto"/>
          <w:sz w:val="24"/>
          <w:szCs w:val="24"/>
        </w:rPr>
        <w:lastRenderedPageBreak/>
        <w:t>3.</w:t>
      </w:r>
      <w:r w:rsidRPr="0012317D">
        <w:rPr>
          <w:rStyle w:val="Heading1Char"/>
          <w:rFonts w:ascii="Times New Roman" w:hAnsi="Times New Roman" w:cs="Times New Roman"/>
          <w:b/>
          <w:bCs/>
          <w:color w:val="auto"/>
          <w:sz w:val="24"/>
          <w:szCs w:val="24"/>
        </w:rPr>
        <w:t>Infekcijas slimību izplatības mazināšana</w:t>
      </w:r>
    </w:p>
    <w:p w14:paraId="1E64A049" w14:textId="77777777" w:rsidR="00B24429" w:rsidRPr="00C86312" w:rsidRDefault="00B24429" w:rsidP="00B24429">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3.1. </w:t>
      </w:r>
      <w:r>
        <w:rPr>
          <w:rFonts w:ascii="Times New Roman" w:hAnsi="Times New Roman" w:cs="Times New Roman"/>
          <w:b/>
          <w:bCs/>
          <w:color w:val="auto"/>
          <w:sz w:val="24"/>
          <w:szCs w:val="24"/>
          <w:u w:val="single"/>
        </w:rPr>
        <w:t>V</w:t>
      </w:r>
      <w:r w:rsidRPr="0078794A">
        <w:rPr>
          <w:rFonts w:ascii="Times New Roman" w:hAnsi="Times New Roman" w:cs="Times New Roman"/>
          <w:b/>
          <w:bCs/>
          <w:color w:val="auto"/>
          <w:sz w:val="24"/>
          <w:szCs w:val="24"/>
          <w:u w:val="single"/>
        </w:rPr>
        <w:t>alsts kompensējamo medikamentu nodrošinājum</w:t>
      </w:r>
      <w:r>
        <w:rPr>
          <w:rFonts w:ascii="Times New Roman" w:hAnsi="Times New Roman" w:cs="Times New Roman"/>
          <w:b/>
          <w:bCs/>
          <w:color w:val="auto"/>
          <w:sz w:val="24"/>
          <w:szCs w:val="24"/>
          <w:u w:val="single"/>
        </w:rPr>
        <w:t>s</w:t>
      </w:r>
      <w:r w:rsidRPr="0078794A">
        <w:rPr>
          <w:rFonts w:ascii="Times New Roman" w:hAnsi="Times New Roman" w:cs="Times New Roman"/>
          <w:b/>
          <w:bCs/>
          <w:color w:val="auto"/>
          <w:sz w:val="24"/>
          <w:szCs w:val="24"/>
          <w:u w:val="single"/>
        </w:rPr>
        <w:t xml:space="preserve"> VHC pacientiem </w:t>
      </w:r>
    </w:p>
    <w:p w14:paraId="0D7A3772" w14:textId="2DD802C2" w:rsidR="00B24429" w:rsidRDefault="00B24429" w:rsidP="003D05E5">
      <w:pPr>
        <w:spacing w:after="0"/>
        <w:ind w:firstLine="720"/>
        <w:jc w:val="both"/>
        <w:rPr>
          <w:rFonts w:ascii="Times New Roman" w:hAnsi="Times New Roman" w:cs="Times New Roman"/>
          <w:i/>
          <w:iCs/>
          <w:sz w:val="24"/>
          <w:szCs w:val="24"/>
        </w:rPr>
      </w:pPr>
      <w:r w:rsidRPr="00007A5A">
        <w:rPr>
          <w:rFonts w:ascii="Times New Roman" w:hAnsi="Times New Roman" w:cs="Times New Roman"/>
          <w:sz w:val="24"/>
          <w:szCs w:val="24"/>
        </w:rPr>
        <w:t>Veselības reformas pasākumu ietvarā 2018.gadā valsts zāļu kompensācijas sistēmas ietvarā pretvīrusu zāles papildus saņēma 684 personas ar VHC, no šīm personām pirmajā pusgadā ārstēšanu ir pabeigušas 163 personas un 150 personām uzreiz pēc ārstēšanas VHC vīrus nebija nosakāms (ārstēšanas efektivitāte ir 95,8%). Dinamisko novērošanu pēc ārstēšanas ir pabeigusi 1 persona, bet pārējie pacienti turpina izmeklējumus VHC vīrusa uzraudzībai atbilstoši  Eiropas hepatologu asociācijas vadlīnijām</w:t>
      </w:r>
      <w:r w:rsidRPr="00007A5A">
        <w:rPr>
          <w:rStyle w:val="FootnoteReference"/>
          <w:rFonts w:ascii="Times New Roman" w:hAnsi="Times New Roman" w:cs="Times New Roman"/>
          <w:sz w:val="24"/>
          <w:szCs w:val="24"/>
        </w:rPr>
        <w:footnoteReference w:id="22"/>
      </w:r>
      <w:r w:rsidRPr="00007A5A">
        <w:rPr>
          <w:rFonts w:ascii="Times New Roman" w:hAnsi="Times New Roman" w:cs="Times New Roman"/>
          <w:sz w:val="24"/>
          <w:szCs w:val="24"/>
        </w:rPr>
        <w:t xml:space="preserve"> un zāļu lietošanas instrukcijām pēc shēmas 3 mēneši pēc ārstēšanas pabeigšanas, 6 mēneši pēc ārstēšanas pabeigšanas un 12 mēn</w:t>
      </w:r>
      <w:r>
        <w:rPr>
          <w:rFonts w:ascii="Times New Roman" w:hAnsi="Times New Roman" w:cs="Times New Roman"/>
          <w:sz w:val="24"/>
          <w:szCs w:val="24"/>
        </w:rPr>
        <w:t xml:space="preserve">eši pēc ārstēšanas pabeigšanas. </w:t>
      </w:r>
      <w:r w:rsidRPr="00847710">
        <w:rPr>
          <w:rFonts w:ascii="Times New Roman" w:hAnsi="Times New Roman" w:cs="Times New Roman"/>
          <w:sz w:val="24"/>
          <w:szCs w:val="24"/>
        </w:rPr>
        <w:t xml:space="preserve">2017.gadā </w:t>
      </w:r>
      <w:r>
        <w:rPr>
          <w:rFonts w:ascii="Times New Roman" w:hAnsi="Times New Roman" w:cs="Times New Roman"/>
          <w:sz w:val="24"/>
          <w:szCs w:val="24"/>
        </w:rPr>
        <w:t>tika</w:t>
      </w:r>
      <w:r w:rsidRPr="00847710">
        <w:rPr>
          <w:rFonts w:ascii="Times New Roman" w:hAnsi="Times New Roman" w:cs="Times New Roman"/>
          <w:sz w:val="24"/>
          <w:szCs w:val="24"/>
        </w:rPr>
        <w:t xml:space="preserve"> uzsākta reforma VHC kompensējamo medikamentu jomā, kuras ietvaros nodrošinā</w:t>
      </w:r>
      <w:r>
        <w:rPr>
          <w:rFonts w:ascii="Times New Roman" w:hAnsi="Times New Roman" w:cs="Times New Roman"/>
          <w:sz w:val="24"/>
          <w:szCs w:val="24"/>
        </w:rPr>
        <w:t>ja</w:t>
      </w:r>
      <w:r w:rsidRPr="00847710">
        <w:rPr>
          <w:rFonts w:ascii="Times New Roman" w:hAnsi="Times New Roman" w:cs="Times New Roman"/>
          <w:sz w:val="24"/>
          <w:szCs w:val="24"/>
        </w:rPr>
        <w:t xml:space="preserve"> papildus ārstēšanu 203 pacientiem. Minētajā apjomā reforma t</w:t>
      </w:r>
      <w:r>
        <w:rPr>
          <w:rFonts w:ascii="Times New Roman" w:hAnsi="Times New Roman" w:cs="Times New Roman"/>
          <w:sz w:val="24"/>
          <w:szCs w:val="24"/>
        </w:rPr>
        <w:t>iek</w:t>
      </w:r>
      <w:r w:rsidRPr="00847710">
        <w:rPr>
          <w:rFonts w:ascii="Times New Roman" w:hAnsi="Times New Roman" w:cs="Times New Roman"/>
          <w:sz w:val="24"/>
          <w:szCs w:val="24"/>
        </w:rPr>
        <w:t xml:space="preserve"> turpināta arī 2018.gadā.</w:t>
      </w:r>
      <w:r>
        <w:rPr>
          <w:rFonts w:ascii="Times New Roman" w:hAnsi="Times New Roman" w:cs="Times New Roman"/>
          <w:sz w:val="24"/>
          <w:szCs w:val="24"/>
        </w:rPr>
        <w:t xml:space="preserve"> Savukārt 2019.gadā tiek plānota 400 pacientu ārstēšana par kopējo summu </w:t>
      </w:r>
      <w:r w:rsidRPr="006576BB">
        <w:rPr>
          <w:rFonts w:ascii="Times New Roman" w:hAnsi="Times New Roman" w:cs="Times New Roman"/>
          <w:b/>
          <w:sz w:val="24"/>
          <w:szCs w:val="24"/>
        </w:rPr>
        <w:t xml:space="preserve">10 450 784 </w:t>
      </w:r>
      <w:r w:rsidRPr="006576BB">
        <w:rPr>
          <w:rFonts w:ascii="Times New Roman" w:hAnsi="Times New Roman" w:cs="Times New Roman"/>
          <w:b/>
          <w:i/>
          <w:sz w:val="24"/>
          <w:szCs w:val="24"/>
        </w:rPr>
        <w:t>euro</w:t>
      </w:r>
      <w:r>
        <w:rPr>
          <w:rFonts w:ascii="Times New Roman" w:hAnsi="Times New Roman" w:cs="Times New Roman"/>
          <w:i/>
          <w:sz w:val="24"/>
          <w:szCs w:val="24"/>
        </w:rPr>
        <w:t xml:space="preserve"> </w:t>
      </w:r>
      <w:r w:rsidRPr="00ED653E">
        <w:rPr>
          <w:rFonts w:ascii="Times New Roman" w:hAnsi="Times New Roman" w:cs="Times New Roman"/>
          <w:sz w:val="24"/>
          <w:szCs w:val="24"/>
        </w:rPr>
        <w:t>(4</w:t>
      </w:r>
      <w:r>
        <w:rPr>
          <w:rFonts w:ascii="Times New Roman" w:hAnsi="Times New Roman" w:cs="Times New Roman"/>
          <w:sz w:val="24"/>
          <w:szCs w:val="24"/>
        </w:rPr>
        <w:t>8</w:t>
      </w:r>
      <w:r w:rsidRPr="00ED653E">
        <w:rPr>
          <w:rFonts w:ascii="Times New Roman" w:hAnsi="Times New Roman" w:cs="Times New Roman"/>
          <w:sz w:val="24"/>
          <w:szCs w:val="24"/>
        </w:rPr>
        <w:t>.tabula)</w:t>
      </w:r>
      <w:r w:rsidRPr="003E7389">
        <w:rPr>
          <w:rFonts w:ascii="Times New Roman" w:hAnsi="Times New Roman" w:cs="Times New Roman"/>
          <w:sz w:val="24"/>
          <w:szCs w:val="24"/>
        </w:rPr>
        <w:t>,</w:t>
      </w:r>
      <w:r w:rsidRPr="006618BE">
        <w:rPr>
          <w:rFonts w:ascii="Times New Roman" w:hAnsi="Times New Roman" w:cs="Times New Roman"/>
          <w:sz w:val="24"/>
          <w:szCs w:val="24"/>
        </w:rPr>
        <w:t xml:space="preserve">  </w:t>
      </w:r>
      <w:r w:rsidRPr="006618BE">
        <w:rPr>
          <w:rFonts w:ascii="Times New Roman" w:hAnsi="Times New Roman"/>
          <w:bCs/>
          <w:sz w:val="24"/>
          <w:szCs w:val="24"/>
        </w:rPr>
        <w:t>tādejādi samazinot saslimšanas radītos epidemioloģiskos draudus valstī un pakāpeniski paplašinot pacientu aptveri uzsākot ārstēšanu jau F</w:t>
      </w:r>
      <w:r>
        <w:rPr>
          <w:rFonts w:ascii="Times New Roman" w:hAnsi="Times New Roman"/>
          <w:bCs/>
          <w:sz w:val="24"/>
          <w:szCs w:val="24"/>
        </w:rPr>
        <w:t>1</w:t>
      </w:r>
      <w:r w:rsidRPr="006618BE">
        <w:rPr>
          <w:rFonts w:ascii="Times New Roman" w:hAnsi="Times New Roman"/>
          <w:bCs/>
          <w:sz w:val="24"/>
          <w:szCs w:val="24"/>
        </w:rPr>
        <w:t xml:space="preserve"> aknu bojājuma </w:t>
      </w:r>
      <w:r w:rsidRPr="00B53E62">
        <w:rPr>
          <w:rFonts w:ascii="Times New Roman" w:hAnsi="Times New Roman" w:cs="Times New Roman"/>
          <w:bCs/>
          <w:sz w:val="24"/>
          <w:szCs w:val="24"/>
        </w:rPr>
        <w:t>stadijā, kas nodrošina pamatā darbaspējīgā vecuma cilvēku pilnīgu izveseļošanos un atgriešanos sabiedrībā un darba tirgū</w:t>
      </w:r>
      <w:r>
        <w:rPr>
          <w:rFonts w:ascii="Times New Roman" w:hAnsi="Times New Roman" w:cs="Times New Roman"/>
          <w:bCs/>
          <w:sz w:val="24"/>
          <w:szCs w:val="24"/>
        </w:rPr>
        <w:t>.</w:t>
      </w:r>
    </w:p>
    <w:p w14:paraId="1CFF12A9" w14:textId="73292B97" w:rsidR="007D1420" w:rsidRPr="00E93259" w:rsidRDefault="004E74D9" w:rsidP="2749705C">
      <w:pPr>
        <w:spacing w:after="0" w:line="240" w:lineRule="auto"/>
        <w:ind w:firstLine="720"/>
        <w:jc w:val="right"/>
        <w:rPr>
          <w:rFonts w:ascii="Times New Roman" w:hAnsi="Times New Roman" w:cs="Times New Roman"/>
          <w:i/>
          <w:iCs/>
          <w:sz w:val="24"/>
          <w:szCs w:val="24"/>
        </w:rPr>
      </w:pPr>
      <w:r w:rsidRPr="2749705C">
        <w:rPr>
          <w:rFonts w:ascii="Times New Roman" w:hAnsi="Times New Roman" w:cs="Times New Roman"/>
          <w:i/>
          <w:iCs/>
          <w:sz w:val="24"/>
          <w:szCs w:val="24"/>
        </w:rPr>
        <w:t>4</w:t>
      </w:r>
      <w:r w:rsidR="000678A1">
        <w:rPr>
          <w:rFonts w:ascii="Times New Roman" w:hAnsi="Times New Roman" w:cs="Times New Roman"/>
          <w:i/>
          <w:iCs/>
          <w:sz w:val="24"/>
          <w:szCs w:val="24"/>
        </w:rPr>
        <w:t>9</w:t>
      </w:r>
      <w:r w:rsidR="0071331A" w:rsidRPr="2749705C">
        <w:rPr>
          <w:rFonts w:ascii="Times New Roman" w:hAnsi="Times New Roman" w:cs="Times New Roman"/>
          <w:i/>
          <w:iCs/>
          <w:sz w:val="24"/>
          <w:szCs w:val="24"/>
        </w:rPr>
        <w:t>.tabula</w:t>
      </w:r>
    </w:p>
    <w:p w14:paraId="1FBC4953" w14:textId="226EE38B" w:rsidR="007D1420" w:rsidRPr="00AE0E68" w:rsidRDefault="0071331A" w:rsidP="00AE0E68">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valsts kompensējamo medikamentu izlietojums VHC ārstēšanai </w:t>
      </w:r>
      <w:r w:rsidR="00C571C6">
        <w:rPr>
          <w:rFonts w:ascii="Times New Roman" w:hAnsi="Times New Roman" w:cs="Times New Roman"/>
          <w:b/>
          <w:bCs/>
          <w:sz w:val="24"/>
          <w:szCs w:val="24"/>
        </w:rPr>
        <w:t>2017., 2018. un 2019.gadā</w:t>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11"/>
        <w:gridCol w:w="1139"/>
        <w:gridCol w:w="992"/>
        <w:gridCol w:w="1134"/>
        <w:gridCol w:w="1134"/>
        <w:gridCol w:w="1134"/>
        <w:gridCol w:w="992"/>
        <w:gridCol w:w="992"/>
        <w:gridCol w:w="851"/>
        <w:gridCol w:w="850"/>
        <w:gridCol w:w="851"/>
        <w:gridCol w:w="709"/>
        <w:gridCol w:w="850"/>
        <w:gridCol w:w="851"/>
      </w:tblGrid>
      <w:tr w:rsidR="00E11AFF" w14:paraId="0821489C" w14:textId="3C6B9CFE" w:rsidTr="00D67B7D">
        <w:trPr>
          <w:cantSplit/>
          <w:trHeight w:val="1419"/>
          <w:jc w:val="center"/>
        </w:trPr>
        <w:tc>
          <w:tcPr>
            <w:tcW w:w="421" w:type="dxa"/>
            <w:shd w:val="clear" w:color="auto" w:fill="E36C0A" w:themeFill="accent6" w:themeFillShade="BF"/>
            <w:vAlign w:val="center"/>
            <w:hideMark/>
          </w:tcPr>
          <w:p w14:paraId="1555B020" w14:textId="77777777" w:rsidR="00E24E0D" w:rsidRPr="00847710" w:rsidRDefault="00E24E0D" w:rsidP="00C01ED4">
            <w:pPr>
              <w:spacing w:after="0" w:line="240" w:lineRule="auto"/>
              <w:rPr>
                <w:rFonts w:ascii="Times New Roman" w:eastAsia="Times New Roman" w:hAnsi="Times New Roman" w:cs="Times New Roman"/>
                <w:b/>
                <w:bCs/>
                <w:sz w:val="20"/>
                <w:szCs w:val="20"/>
                <w:lang w:eastAsia="lv-LV"/>
              </w:rPr>
            </w:pPr>
          </w:p>
        </w:tc>
        <w:tc>
          <w:tcPr>
            <w:tcW w:w="1711" w:type="dxa"/>
            <w:shd w:val="clear" w:color="auto" w:fill="E36C0A" w:themeFill="accent6" w:themeFillShade="BF"/>
            <w:textDirection w:val="btLr"/>
            <w:vAlign w:val="center"/>
            <w:hideMark/>
          </w:tcPr>
          <w:p w14:paraId="135278BB" w14:textId="77777777" w:rsidR="00E24E0D" w:rsidRPr="00847710" w:rsidRDefault="00E24E0D"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1139" w:type="dxa"/>
            <w:shd w:val="clear" w:color="auto" w:fill="E36C0A" w:themeFill="accent6" w:themeFillShade="BF"/>
            <w:textDirection w:val="btLr"/>
            <w:vAlign w:val="center"/>
            <w:hideMark/>
          </w:tcPr>
          <w:p w14:paraId="5DEE697F" w14:textId="50828B8F" w:rsidR="00E24E0D" w:rsidRPr="00847710" w:rsidRDefault="00E24E0D"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pakalpojuma vidējās izmaksas </w:t>
            </w:r>
            <w:r w:rsidR="00AE0E68">
              <w:rPr>
                <w:rFonts w:ascii="Times New Roman" w:eastAsia="Times New Roman" w:hAnsi="Times New Roman" w:cs="Times New Roman"/>
                <w:b/>
                <w:bCs/>
                <w:sz w:val="20"/>
                <w:szCs w:val="20"/>
                <w:lang w:eastAsia="lv-LV"/>
              </w:rPr>
              <w:t>*</w:t>
            </w:r>
            <w:r w:rsidRPr="00847710">
              <w:rPr>
                <w:rFonts w:ascii="Times New Roman" w:eastAsia="Times New Roman" w:hAnsi="Times New Roman" w:cs="Times New Roman"/>
                <w:b/>
                <w:bCs/>
                <w:sz w:val="20"/>
                <w:szCs w:val="20"/>
                <w:lang w:eastAsia="lv-LV"/>
              </w:rPr>
              <w:t>*</w:t>
            </w:r>
          </w:p>
        </w:tc>
        <w:tc>
          <w:tcPr>
            <w:tcW w:w="3260" w:type="dxa"/>
            <w:gridSpan w:val="3"/>
            <w:shd w:val="clear" w:color="auto" w:fill="E36C0A" w:themeFill="accent6" w:themeFillShade="BF"/>
            <w:textDirection w:val="btLr"/>
            <w:vAlign w:val="center"/>
          </w:tcPr>
          <w:p w14:paraId="1E52213E" w14:textId="29D41B48" w:rsidR="00E24E0D" w:rsidRPr="00847710" w:rsidRDefault="00E24E0D" w:rsidP="00C01ED4">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w:t>
            </w:r>
            <w:r w:rsidRPr="00847710">
              <w:rPr>
                <w:rFonts w:ascii="Times New Roman" w:eastAsia="Times New Roman" w:hAnsi="Times New Roman" w:cs="Times New Roman"/>
                <w:b/>
                <w:bCs/>
                <w:sz w:val="20"/>
                <w:szCs w:val="20"/>
                <w:lang w:eastAsia="lv-LV"/>
              </w:rPr>
              <w:t xml:space="preserve"> piešķiramais finansējums</w:t>
            </w:r>
          </w:p>
          <w:p w14:paraId="4FD1F920" w14:textId="77777777" w:rsidR="00E24E0D" w:rsidRPr="00847710" w:rsidRDefault="00E24E0D"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3"/>
            <w:shd w:val="clear" w:color="auto" w:fill="E36C0A" w:themeFill="accent6" w:themeFillShade="BF"/>
            <w:textDirection w:val="btLr"/>
            <w:vAlign w:val="center"/>
          </w:tcPr>
          <w:p w14:paraId="65928BF0" w14:textId="1F7E04E3" w:rsidR="00E24E0D" w:rsidRPr="00847710" w:rsidRDefault="00E24E0D" w:rsidP="008416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5D46417B" w14:textId="77777777" w:rsidR="00E24E0D" w:rsidRPr="00847710" w:rsidRDefault="00E24E0D"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2552" w:type="dxa"/>
            <w:gridSpan w:val="3"/>
            <w:shd w:val="clear" w:color="auto" w:fill="E36C0A" w:themeFill="accent6" w:themeFillShade="BF"/>
            <w:textDirection w:val="btLr"/>
            <w:vAlign w:val="center"/>
          </w:tcPr>
          <w:p w14:paraId="454F23E8" w14:textId="1FECDF7B" w:rsidR="00E24E0D" w:rsidRPr="00847710" w:rsidRDefault="00E24E0D"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2410" w:type="dxa"/>
            <w:gridSpan w:val="3"/>
            <w:shd w:val="clear" w:color="auto" w:fill="E36C0A" w:themeFill="accent6" w:themeFillShade="BF"/>
            <w:textDirection w:val="btLr"/>
            <w:vAlign w:val="center"/>
          </w:tcPr>
          <w:p w14:paraId="07727EAA" w14:textId="1CA29DC7" w:rsidR="00E24E0D" w:rsidRPr="00847710" w:rsidRDefault="00E24E0D"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r>
              <w:rPr>
                <w:rFonts w:ascii="Times New Roman" w:eastAsia="Times New Roman" w:hAnsi="Times New Roman" w:cs="Times New Roman"/>
                <w:b/>
                <w:bCs/>
                <w:sz w:val="20"/>
                <w:szCs w:val="20"/>
                <w:lang w:eastAsia="lv-LV"/>
              </w:rPr>
              <w:t xml:space="preserve"> pēc finansējuma piešķīruma</w:t>
            </w:r>
            <w:r w:rsidR="00E31158">
              <w:rPr>
                <w:rFonts w:ascii="Times New Roman" w:eastAsia="Times New Roman" w:hAnsi="Times New Roman" w:cs="Times New Roman"/>
                <w:b/>
                <w:bCs/>
                <w:sz w:val="20"/>
                <w:szCs w:val="20"/>
                <w:lang w:eastAsia="lv-LV"/>
              </w:rPr>
              <w:t>*</w:t>
            </w:r>
          </w:p>
        </w:tc>
      </w:tr>
      <w:tr w:rsidR="002F0167" w14:paraId="695948C1" w14:textId="4E71F0AF" w:rsidTr="00D67B7D">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7FEB4D87" w14:textId="77777777" w:rsidR="00E24E0D" w:rsidRPr="00847710" w:rsidRDefault="00E24E0D" w:rsidP="00E24E0D">
            <w:pPr>
              <w:spacing w:after="0" w:line="240" w:lineRule="auto"/>
              <w:jc w:val="center"/>
              <w:rPr>
                <w:rFonts w:ascii="Times New Roman" w:eastAsia="Times New Roman" w:hAnsi="Times New Roman" w:cs="Times New Roman"/>
                <w:color w:val="000000"/>
                <w:sz w:val="20"/>
                <w:szCs w:val="20"/>
                <w:lang w:eastAsia="lv-LV"/>
              </w:rPr>
            </w:pPr>
          </w:p>
        </w:tc>
        <w:tc>
          <w:tcPr>
            <w:tcW w:w="1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0A317A" w14:textId="77777777" w:rsidR="00E24E0D" w:rsidRPr="00847710" w:rsidRDefault="00E24E0D" w:rsidP="00E24E0D">
            <w:pPr>
              <w:spacing w:after="0" w:line="240" w:lineRule="auto"/>
              <w:jc w:val="center"/>
              <w:rPr>
                <w:rFonts w:ascii="Times New Roman" w:eastAsia="Times New Roman" w:hAnsi="Times New Roman" w:cs="Times New Roman"/>
                <w:color w:val="000000"/>
                <w:sz w:val="20"/>
                <w:szCs w:val="20"/>
                <w:lang w:eastAsia="lv-LV"/>
              </w:rPr>
            </w:pPr>
          </w:p>
        </w:tc>
        <w:tc>
          <w:tcPr>
            <w:tcW w:w="113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7F18CB7D" w14:textId="60157906" w:rsidR="00E24E0D" w:rsidRPr="00C86312" w:rsidRDefault="002308C0" w:rsidP="00E24E0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 xml:space="preserve">2019 </w:t>
            </w:r>
            <w:r w:rsidR="00E24E0D" w:rsidRPr="57326167">
              <w:rPr>
                <w:rFonts w:ascii="Times New Roman" w:eastAsia="Times New Roman" w:hAnsi="Times New Roman" w:cs="Times New Roman"/>
                <w:i/>
                <w:iCs/>
                <w:sz w:val="20"/>
                <w:szCs w:val="20"/>
                <w:lang w:eastAsia="lv-LV"/>
              </w:rPr>
              <w:t>(euro)</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9C7E07" w14:textId="77777777" w:rsidR="00E24E0D" w:rsidRDefault="00E24E0D" w:rsidP="00E24E0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1D010E09" w14:textId="3432EC35" w:rsidR="00E24E0D" w:rsidRPr="0012317D" w:rsidRDefault="00E24E0D" w:rsidP="00E24E0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41749F3" w14:textId="77777777" w:rsidR="00E24E0D" w:rsidRDefault="00E24E0D" w:rsidP="00E24E0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799997F7" w14:textId="2E9BA50A" w:rsidR="00E24E0D" w:rsidRPr="0012317D" w:rsidRDefault="00E24E0D" w:rsidP="00E24E0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438720" w14:textId="2D178016" w:rsidR="00E24E0D" w:rsidRPr="00C86312" w:rsidRDefault="00E24E0D" w:rsidP="00E24E0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3AA3C0A6" w14:textId="77777777" w:rsidR="00E24E0D" w:rsidRPr="00C86312" w:rsidRDefault="00E24E0D" w:rsidP="00E24E0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A8E988" w14:textId="77777777" w:rsidR="00E24E0D" w:rsidRDefault="00E24E0D" w:rsidP="00E24E0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14F002FA" w14:textId="3C13C113" w:rsidR="00E24E0D" w:rsidRDefault="00E24E0D" w:rsidP="00E24E0D">
            <w:pPr>
              <w:spacing w:after="0" w:line="240" w:lineRule="auto"/>
              <w:jc w:val="center"/>
              <w:rPr>
                <w:rFonts w:ascii="Times New Roman" w:eastAsia="Times New Roman" w:hAnsi="Times New Roman" w:cs="Times New Roman"/>
                <w:b/>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E2D85B" w14:textId="77777777" w:rsidR="00E24E0D" w:rsidRDefault="00E24E0D" w:rsidP="00E24E0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074370C3" w14:textId="05930ED4" w:rsidR="00E24E0D" w:rsidRDefault="00E24E0D" w:rsidP="00E24E0D">
            <w:pPr>
              <w:spacing w:after="0" w:line="240" w:lineRule="auto"/>
              <w:jc w:val="center"/>
              <w:rPr>
                <w:rFonts w:ascii="Times New Roman" w:eastAsia="Times New Roman" w:hAnsi="Times New Roman" w:cs="Times New Roman"/>
                <w:b/>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E659BD" w14:textId="2A973E72" w:rsidR="00E24E0D" w:rsidRDefault="00E24E0D" w:rsidP="00E24E0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2019 </w:t>
            </w:r>
            <w:r w:rsidRPr="005B18F9">
              <w:rPr>
                <w:rFonts w:ascii="Times New Roman" w:eastAsia="Times New Roman" w:hAnsi="Times New Roman" w:cs="Times New Roman"/>
                <w:i/>
                <w:sz w:val="20"/>
                <w:szCs w:val="20"/>
                <w:lang w:eastAsia="lv-LV"/>
              </w:rPr>
              <w:t>(euro)</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2BA48F" w14:textId="6B4AF6AE" w:rsidR="00E24E0D" w:rsidRPr="00847710" w:rsidRDefault="00E24E0D" w:rsidP="00E24E0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C05269" w14:textId="57325024" w:rsidR="00E24E0D" w:rsidRPr="00847710" w:rsidRDefault="00E24E0D" w:rsidP="00E24E0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2018</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227B0B" w14:textId="4EB73D87" w:rsidR="00E24E0D" w:rsidRPr="00847710" w:rsidRDefault="00E24E0D" w:rsidP="00E24E0D">
            <w:pPr>
              <w:spacing w:after="0" w:line="240" w:lineRule="auto"/>
              <w:jc w:val="center"/>
              <w:rPr>
                <w:rFonts w:ascii="Times New Roman" w:eastAsia="Times New Roman" w:hAnsi="Times New Roman" w:cs="Times New Roman"/>
                <w:b/>
                <w:sz w:val="20"/>
                <w:szCs w:val="20"/>
                <w:lang w:eastAsia="lv-LV"/>
              </w:rPr>
            </w:pPr>
          </w:p>
          <w:p w14:paraId="40D72D90" w14:textId="5611B624" w:rsidR="00E24E0D" w:rsidRPr="00C86312" w:rsidRDefault="00E24E0D" w:rsidP="00E24E0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9FBBB9D" w14:textId="77777777" w:rsidR="00E24E0D" w:rsidRPr="00847710" w:rsidRDefault="00E24E0D" w:rsidP="00E24E0D">
            <w:pPr>
              <w:spacing w:after="0" w:line="240" w:lineRule="auto"/>
              <w:jc w:val="center"/>
              <w:rPr>
                <w:rFonts w:ascii="Times New Roman" w:eastAsia="Times New Roman" w:hAnsi="Times New Roman" w:cs="Times New Roman"/>
                <w:b/>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C720F59" w14:textId="4B37D89C" w:rsidR="00E24E0D" w:rsidRDefault="00E24E0D" w:rsidP="00E24E0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D37A0F" w14:textId="387DA83F" w:rsidR="00E24E0D" w:rsidRDefault="00E24E0D" w:rsidP="00E24E0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2018</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2B5ADF" w14:textId="1E41D6A0" w:rsidR="00E24E0D" w:rsidRPr="00847710" w:rsidRDefault="00E24E0D" w:rsidP="00E24E0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2019</w:t>
            </w:r>
          </w:p>
        </w:tc>
      </w:tr>
      <w:tr w:rsidR="002F0167" w14:paraId="591E8672" w14:textId="0E49C2B4" w:rsidTr="00D67B7D">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0256" w14:textId="77777777" w:rsidR="002F0167" w:rsidRPr="00847710" w:rsidRDefault="002F0167" w:rsidP="002F016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B5824" w14:textId="77777777" w:rsidR="002F0167" w:rsidRPr="00847710" w:rsidRDefault="002F0167" w:rsidP="002F016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Kompensējamie medikamenti C hepatīta ārstēšanai</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07B6" w14:textId="1C63EA4E" w:rsidR="002F0167" w:rsidRPr="00033B6B" w:rsidRDefault="002F0167" w:rsidP="002F0167">
            <w:pPr>
              <w:spacing w:after="0" w:line="240" w:lineRule="auto"/>
              <w:jc w:val="center"/>
              <w:rPr>
                <w:rFonts w:ascii="Times New Roman" w:eastAsia="Times New Roman" w:hAnsi="Times New Roman" w:cs="Times New Roman"/>
                <w:color w:val="000000"/>
                <w:sz w:val="16"/>
                <w:szCs w:val="16"/>
                <w:lang w:eastAsia="lv-LV"/>
              </w:rPr>
            </w:pPr>
            <w:r w:rsidRPr="00033B6B">
              <w:rPr>
                <w:rFonts w:ascii="Times New Roman" w:eastAsia="Times New Roman" w:hAnsi="Times New Roman" w:cs="Times New Roman"/>
                <w:sz w:val="16"/>
                <w:szCs w:val="16"/>
                <w:lang w:eastAsia="lv-LV"/>
              </w:rPr>
              <w:t>26 126,96</w:t>
            </w:r>
          </w:p>
        </w:tc>
        <w:tc>
          <w:tcPr>
            <w:tcW w:w="992" w:type="dxa"/>
            <w:tcBorders>
              <w:top w:val="single" w:sz="4" w:space="0" w:color="auto"/>
              <w:left w:val="single" w:sz="4" w:space="0" w:color="auto"/>
              <w:bottom w:val="single" w:sz="4" w:space="0" w:color="auto"/>
              <w:right w:val="single" w:sz="4" w:space="0" w:color="auto"/>
            </w:tcBorders>
            <w:vAlign w:val="center"/>
          </w:tcPr>
          <w:p w14:paraId="05359F8D" w14:textId="3899B9C9" w:rsidR="002F0167" w:rsidRPr="00033B6B" w:rsidRDefault="002F0167" w:rsidP="002F0167">
            <w:pPr>
              <w:spacing w:after="0" w:line="240" w:lineRule="auto"/>
              <w:jc w:val="center"/>
              <w:rPr>
                <w:rFonts w:ascii="Times New Roman" w:eastAsia="Times New Roman" w:hAnsi="Times New Roman" w:cs="Times New Roman"/>
                <w:sz w:val="16"/>
                <w:szCs w:val="16"/>
                <w:lang w:eastAsia="lv-LV"/>
              </w:rPr>
            </w:pPr>
            <w:r w:rsidRPr="00033B6B">
              <w:rPr>
                <w:rFonts w:ascii="Times New Roman" w:eastAsia="Times New Roman" w:hAnsi="Times New Roman" w:cs="Times New Roman"/>
                <w:sz w:val="16"/>
                <w:szCs w:val="16"/>
                <w:lang w:eastAsia="lv-LV"/>
              </w:rPr>
              <w:t>5 100 000</w:t>
            </w:r>
          </w:p>
        </w:tc>
        <w:tc>
          <w:tcPr>
            <w:tcW w:w="1134" w:type="dxa"/>
            <w:tcBorders>
              <w:top w:val="single" w:sz="4" w:space="0" w:color="auto"/>
              <w:left w:val="single" w:sz="4" w:space="0" w:color="auto"/>
              <w:bottom w:val="single" w:sz="4" w:space="0" w:color="auto"/>
              <w:right w:val="single" w:sz="4" w:space="0" w:color="auto"/>
            </w:tcBorders>
            <w:vAlign w:val="center"/>
          </w:tcPr>
          <w:p w14:paraId="70EE7C69" w14:textId="7C7921DE" w:rsidR="002F0167" w:rsidRPr="00033B6B" w:rsidRDefault="002F0167" w:rsidP="002F0167">
            <w:pPr>
              <w:spacing w:after="0" w:line="240" w:lineRule="auto"/>
              <w:jc w:val="center"/>
              <w:rPr>
                <w:rFonts w:ascii="Times New Roman" w:eastAsia="Times New Roman" w:hAnsi="Times New Roman" w:cs="Times New Roman"/>
                <w:sz w:val="16"/>
                <w:szCs w:val="16"/>
                <w:lang w:eastAsia="lv-LV"/>
              </w:rPr>
            </w:pPr>
            <w:r w:rsidRPr="00033B6B">
              <w:rPr>
                <w:rFonts w:ascii="Times New Roman" w:eastAsia="Times New Roman" w:hAnsi="Times New Roman" w:cs="Times New Roman"/>
                <w:sz w:val="16"/>
                <w:szCs w:val="16"/>
                <w:lang w:eastAsia="lv-LV"/>
              </w:rPr>
              <w:t>10 562 883</w:t>
            </w:r>
          </w:p>
        </w:tc>
        <w:tc>
          <w:tcPr>
            <w:tcW w:w="1134" w:type="dxa"/>
            <w:tcBorders>
              <w:top w:val="single" w:sz="4" w:space="0" w:color="auto"/>
              <w:left w:val="single" w:sz="4" w:space="0" w:color="auto"/>
              <w:bottom w:val="single" w:sz="4" w:space="0" w:color="auto"/>
              <w:right w:val="single" w:sz="4" w:space="0" w:color="auto"/>
            </w:tcBorders>
            <w:vAlign w:val="center"/>
          </w:tcPr>
          <w:p w14:paraId="07B1B886" w14:textId="688D4CCE" w:rsidR="002F0167" w:rsidRPr="00033B6B" w:rsidRDefault="002F0167" w:rsidP="002F0167">
            <w:pPr>
              <w:spacing w:after="0" w:line="240" w:lineRule="auto"/>
              <w:jc w:val="center"/>
              <w:rPr>
                <w:rFonts w:ascii="Times New Roman" w:eastAsia="Times New Roman" w:hAnsi="Times New Roman" w:cs="Times New Roman"/>
                <w:b/>
                <w:bCs/>
                <w:color w:val="000000" w:themeColor="text1"/>
                <w:sz w:val="16"/>
                <w:szCs w:val="16"/>
                <w:lang w:eastAsia="lv-LV"/>
              </w:rPr>
            </w:pPr>
            <w:r w:rsidRPr="00033B6B">
              <w:rPr>
                <w:rFonts w:ascii="Times New Roman" w:eastAsia="Times New Roman" w:hAnsi="Times New Roman" w:cs="Times New Roman"/>
                <w:sz w:val="16"/>
                <w:szCs w:val="16"/>
                <w:lang w:eastAsia="lv-LV"/>
              </w:rPr>
              <w:t>10 562 883</w:t>
            </w:r>
          </w:p>
        </w:tc>
        <w:tc>
          <w:tcPr>
            <w:tcW w:w="1134" w:type="dxa"/>
            <w:tcBorders>
              <w:top w:val="single" w:sz="4" w:space="0" w:color="auto"/>
              <w:left w:val="single" w:sz="4" w:space="0" w:color="auto"/>
              <w:bottom w:val="single" w:sz="4" w:space="0" w:color="auto"/>
              <w:right w:val="single" w:sz="4" w:space="0" w:color="auto"/>
            </w:tcBorders>
            <w:vAlign w:val="center"/>
          </w:tcPr>
          <w:p w14:paraId="0F987C5A" w14:textId="2B44730A" w:rsidR="002F0167" w:rsidRPr="00033B6B" w:rsidRDefault="002F0167" w:rsidP="002F0167">
            <w:pPr>
              <w:spacing w:after="0" w:line="240" w:lineRule="auto"/>
              <w:jc w:val="center"/>
              <w:rPr>
                <w:rFonts w:ascii="Times New Roman" w:eastAsia="Times New Roman" w:hAnsi="Times New Roman" w:cs="Times New Roman"/>
                <w:sz w:val="16"/>
                <w:szCs w:val="16"/>
                <w:lang w:eastAsia="lv-LV"/>
              </w:rPr>
            </w:pPr>
            <w:r w:rsidRPr="00033B6B">
              <w:rPr>
                <w:rFonts w:ascii="Times New Roman" w:eastAsia="Times New Roman" w:hAnsi="Times New Roman" w:cs="Times New Roman"/>
                <w:sz w:val="16"/>
                <w:szCs w:val="16"/>
                <w:lang w:eastAsia="lv-LV"/>
              </w:rPr>
              <w:t>5 462 882</w:t>
            </w:r>
          </w:p>
        </w:tc>
        <w:tc>
          <w:tcPr>
            <w:tcW w:w="992" w:type="dxa"/>
            <w:tcBorders>
              <w:top w:val="single" w:sz="4" w:space="0" w:color="auto"/>
              <w:left w:val="single" w:sz="4" w:space="0" w:color="auto"/>
              <w:bottom w:val="single" w:sz="4" w:space="0" w:color="auto"/>
              <w:right w:val="single" w:sz="4" w:space="0" w:color="auto"/>
            </w:tcBorders>
            <w:vAlign w:val="center"/>
          </w:tcPr>
          <w:p w14:paraId="3F5AC878" w14:textId="744C1D6C" w:rsidR="002F0167" w:rsidRPr="00033B6B" w:rsidRDefault="002F0167" w:rsidP="002F0167">
            <w:pPr>
              <w:spacing w:after="0" w:line="240" w:lineRule="auto"/>
              <w:jc w:val="center"/>
              <w:rPr>
                <w:rFonts w:ascii="Times New Roman" w:eastAsia="Times New Roman" w:hAnsi="Times New Roman" w:cs="Times New Roman"/>
                <w:sz w:val="16"/>
                <w:szCs w:val="16"/>
                <w:lang w:eastAsia="lv-LV"/>
              </w:rPr>
            </w:pPr>
            <w:r w:rsidRPr="00033B6B">
              <w:rPr>
                <w:rFonts w:ascii="Times New Roman" w:eastAsia="Times New Roman" w:hAnsi="Times New Roman" w:cs="Times New Roman"/>
                <w:sz w:val="16"/>
                <w:szCs w:val="16"/>
                <w:lang w:eastAsia="lv-LV"/>
              </w:rPr>
              <w:t>11 174 882</w:t>
            </w:r>
          </w:p>
        </w:tc>
        <w:tc>
          <w:tcPr>
            <w:tcW w:w="992" w:type="dxa"/>
            <w:tcBorders>
              <w:top w:val="single" w:sz="4" w:space="0" w:color="auto"/>
              <w:left w:val="single" w:sz="4" w:space="0" w:color="auto"/>
              <w:bottom w:val="single" w:sz="4" w:space="0" w:color="auto"/>
              <w:right w:val="single" w:sz="4" w:space="0" w:color="auto"/>
            </w:tcBorders>
            <w:vAlign w:val="center"/>
          </w:tcPr>
          <w:p w14:paraId="5AAD0585" w14:textId="4149980B" w:rsidR="002F0167" w:rsidRPr="00033B6B" w:rsidRDefault="002F0167" w:rsidP="002F0167">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sz w:val="16"/>
                <w:szCs w:val="16"/>
                <w:lang w:eastAsia="lv-LV"/>
              </w:rPr>
              <w:t>10 450 784</w:t>
            </w:r>
          </w:p>
        </w:tc>
        <w:tc>
          <w:tcPr>
            <w:tcW w:w="851" w:type="dxa"/>
            <w:tcBorders>
              <w:top w:val="single" w:sz="4" w:space="0" w:color="auto"/>
              <w:left w:val="single" w:sz="4" w:space="0" w:color="auto"/>
              <w:bottom w:val="single" w:sz="4" w:space="0" w:color="auto"/>
              <w:right w:val="single" w:sz="4" w:space="0" w:color="auto"/>
            </w:tcBorders>
            <w:vAlign w:val="center"/>
          </w:tcPr>
          <w:p w14:paraId="26BCAC52" w14:textId="4E153749" w:rsidR="002F0167" w:rsidRPr="00033B6B" w:rsidRDefault="002F0167" w:rsidP="002F0167">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190</w:t>
            </w:r>
          </w:p>
        </w:tc>
        <w:tc>
          <w:tcPr>
            <w:tcW w:w="850" w:type="dxa"/>
            <w:tcBorders>
              <w:top w:val="single" w:sz="4" w:space="0" w:color="auto"/>
              <w:left w:val="single" w:sz="4" w:space="0" w:color="auto"/>
              <w:bottom w:val="single" w:sz="4" w:space="0" w:color="auto"/>
              <w:right w:val="single" w:sz="4" w:space="0" w:color="auto"/>
            </w:tcBorders>
            <w:vAlign w:val="center"/>
          </w:tcPr>
          <w:p w14:paraId="0D70535D" w14:textId="1EF6CC41" w:rsidR="002F0167" w:rsidRPr="00033B6B" w:rsidRDefault="002F0167" w:rsidP="002F0167">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393</w:t>
            </w:r>
          </w:p>
        </w:tc>
        <w:tc>
          <w:tcPr>
            <w:tcW w:w="851" w:type="dxa"/>
            <w:tcBorders>
              <w:top w:val="single" w:sz="4" w:space="0" w:color="auto"/>
              <w:left w:val="single" w:sz="4" w:space="0" w:color="auto"/>
              <w:bottom w:val="single" w:sz="4" w:space="0" w:color="auto"/>
              <w:right w:val="single" w:sz="4" w:space="0" w:color="auto"/>
            </w:tcBorders>
            <w:vAlign w:val="center"/>
          </w:tcPr>
          <w:p w14:paraId="48009345" w14:textId="7D06A031" w:rsidR="002F0167" w:rsidRPr="00033B6B" w:rsidRDefault="006C3A12" w:rsidP="002F0167">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393</w:t>
            </w:r>
          </w:p>
        </w:tc>
        <w:tc>
          <w:tcPr>
            <w:tcW w:w="709" w:type="dxa"/>
            <w:tcBorders>
              <w:top w:val="single" w:sz="4" w:space="0" w:color="auto"/>
              <w:left w:val="single" w:sz="4" w:space="0" w:color="auto"/>
              <w:bottom w:val="single" w:sz="4" w:space="0" w:color="auto"/>
              <w:right w:val="single" w:sz="4" w:space="0" w:color="auto"/>
            </w:tcBorders>
            <w:vAlign w:val="center"/>
          </w:tcPr>
          <w:p w14:paraId="7A2286FA" w14:textId="19B57878" w:rsidR="002F0167"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393</w:t>
            </w:r>
          </w:p>
        </w:tc>
        <w:tc>
          <w:tcPr>
            <w:tcW w:w="850" w:type="dxa"/>
            <w:tcBorders>
              <w:top w:val="single" w:sz="4" w:space="0" w:color="auto"/>
              <w:left w:val="single" w:sz="4" w:space="0" w:color="auto"/>
              <w:bottom w:val="single" w:sz="4" w:space="0" w:color="auto"/>
              <w:right w:val="single" w:sz="4" w:space="0" w:color="auto"/>
            </w:tcBorders>
            <w:vAlign w:val="center"/>
          </w:tcPr>
          <w:p w14:paraId="4D408FAF" w14:textId="693C1B7F" w:rsidR="002F0167" w:rsidRPr="00033B6B" w:rsidRDefault="002F0167"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597</w:t>
            </w:r>
          </w:p>
        </w:tc>
        <w:tc>
          <w:tcPr>
            <w:tcW w:w="851" w:type="dxa"/>
            <w:tcBorders>
              <w:top w:val="single" w:sz="4" w:space="0" w:color="auto"/>
              <w:left w:val="single" w:sz="4" w:space="0" w:color="auto"/>
              <w:bottom w:val="single" w:sz="4" w:space="0" w:color="auto"/>
              <w:right w:val="single" w:sz="4" w:space="0" w:color="auto"/>
            </w:tcBorders>
            <w:vAlign w:val="center"/>
          </w:tcPr>
          <w:p w14:paraId="3EBF34E1" w14:textId="023C7C0E" w:rsidR="002F0167"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793</w:t>
            </w:r>
          </w:p>
        </w:tc>
      </w:tr>
      <w:tr w:rsidR="006C3A12" w14:paraId="3F527659" w14:textId="485C6C23" w:rsidTr="00D67B7D">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318AF17" w14:textId="77777777" w:rsidR="006C3A12" w:rsidRPr="00847710" w:rsidRDefault="006C3A12" w:rsidP="006C3A12">
            <w:pPr>
              <w:spacing w:after="0" w:line="240" w:lineRule="auto"/>
              <w:jc w:val="center"/>
              <w:rPr>
                <w:rFonts w:ascii="Times New Roman" w:eastAsia="Times New Roman" w:hAnsi="Times New Roman" w:cs="Times New Roman"/>
                <w:color w:val="000000"/>
                <w:sz w:val="20"/>
                <w:szCs w:val="20"/>
                <w:lang w:eastAsia="lv-LV"/>
              </w:rPr>
            </w:pPr>
          </w:p>
        </w:tc>
        <w:tc>
          <w:tcPr>
            <w:tcW w:w="171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6501B981" w14:textId="77777777" w:rsidR="006C3A12" w:rsidRPr="00C86312" w:rsidRDefault="006C3A12" w:rsidP="006C3A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1139"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14:paraId="0E3673E4" w14:textId="77777777" w:rsidR="006C3A12" w:rsidRPr="00033B6B" w:rsidRDefault="006C3A12" w:rsidP="006C3A12">
            <w:pPr>
              <w:spacing w:after="0" w:line="240" w:lineRule="auto"/>
              <w:jc w:val="center"/>
              <w:rPr>
                <w:rFonts w:ascii="Times New Roman" w:eastAsia="Times New Roman" w:hAnsi="Times New Roman" w:cs="Times New Roman"/>
                <w:b/>
                <w:sz w:val="16"/>
                <w:szCs w:val="16"/>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CD5B4"/>
            <w:vAlign w:val="center"/>
          </w:tcPr>
          <w:p w14:paraId="4CDC0360" w14:textId="656FC920" w:rsidR="006C3A12" w:rsidRPr="00033B6B" w:rsidRDefault="006C3A12" w:rsidP="006C3A12">
            <w:pPr>
              <w:spacing w:after="0" w:line="240" w:lineRule="auto"/>
              <w:jc w:val="center"/>
              <w:rPr>
                <w:rFonts w:ascii="Times New Roman" w:eastAsia="Times New Roman" w:hAnsi="Times New Roman" w:cs="Times New Roman"/>
                <w:sz w:val="16"/>
                <w:szCs w:val="16"/>
                <w:lang w:eastAsia="lv-LV"/>
              </w:rPr>
            </w:pPr>
            <w:r w:rsidRPr="00033B6B">
              <w:rPr>
                <w:rFonts w:ascii="Times New Roman" w:eastAsia="Times New Roman" w:hAnsi="Times New Roman" w:cs="Times New Roman"/>
                <w:sz w:val="16"/>
                <w:szCs w:val="16"/>
                <w:lang w:eastAsia="lv-LV"/>
              </w:rPr>
              <w:t>5 100 000</w:t>
            </w:r>
          </w:p>
        </w:tc>
        <w:tc>
          <w:tcPr>
            <w:tcW w:w="1134" w:type="dxa"/>
            <w:tcBorders>
              <w:top w:val="single" w:sz="4" w:space="0" w:color="auto"/>
              <w:left w:val="single" w:sz="4" w:space="0" w:color="auto"/>
              <w:bottom w:val="single" w:sz="4" w:space="0" w:color="auto"/>
              <w:right w:val="single" w:sz="4" w:space="0" w:color="auto"/>
            </w:tcBorders>
            <w:shd w:val="clear" w:color="auto" w:fill="FCD5B4"/>
            <w:vAlign w:val="center"/>
          </w:tcPr>
          <w:p w14:paraId="79A82B37" w14:textId="0C83B8A2" w:rsidR="006C3A12" w:rsidRPr="00033B6B" w:rsidRDefault="006C3A12" w:rsidP="006C3A12">
            <w:pPr>
              <w:spacing w:after="0" w:line="240" w:lineRule="auto"/>
              <w:jc w:val="center"/>
              <w:rPr>
                <w:rFonts w:ascii="Times New Roman" w:eastAsia="Times New Roman" w:hAnsi="Times New Roman" w:cs="Times New Roman"/>
                <w:sz w:val="16"/>
                <w:szCs w:val="16"/>
                <w:lang w:eastAsia="lv-LV"/>
              </w:rPr>
            </w:pPr>
            <w:r w:rsidRPr="00033B6B">
              <w:rPr>
                <w:rFonts w:ascii="Times New Roman" w:eastAsia="Times New Roman" w:hAnsi="Times New Roman" w:cs="Times New Roman"/>
                <w:sz w:val="16"/>
                <w:szCs w:val="16"/>
                <w:lang w:eastAsia="lv-LV"/>
              </w:rPr>
              <w:t>10 562 883</w:t>
            </w:r>
          </w:p>
        </w:tc>
        <w:tc>
          <w:tcPr>
            <w:tcW w:w="1134" w:type="dxa"/>
            <w:tcBorders>
              <w:top w:val="single" w:sz="4" w:space="0" w:color="auto"/>
              <w:left w:val="single" w:sz="4" w:space="0" w:color="auto"/>
              <w:bottom w:val="single" w:sz="4" w:space="0" w:color="auto"/>
              <w:right w:val="single" w:sz="4" w:space="0" w:color="auto"/>
            </w:tcBorders>
            <w:shd w:val="clear" w:color="auto" w:fill="FCD5B4"/>
            <w:vAlign w:val="center"/>
          </w:tcPr>
          <w:p w14:paraId="5A08BD21" w14:textId="17C92FF5" w:rsidR="006C3A12" w:rsidRPr="00033B6B" w:rsidRDefault="006C3A12" w:rsidP="006C3A12">
            <w:pPr>
              <w:spacing w:after="0" w:line="240" w:lineRule="auto"/>
              <w:jc w:val="center"/>
              <w:rPr>
                <w:rFonts w:ascii="Times New Roman" w:eastAsia="Times New Roman" w:hAnsi="Times New Roman" w:cs="Times New Roman"/>
                <w:b/>
                <w:bCs/>
                <w:color w:val="000000" w:themeColor="text1"/>
                <w:sz w:val="16"/>
                <w:szCs w:val="16"/>
                <w:lang w:eastAsia="lv-LV"/>
              </w:rPr>
            </w:pPr>
            <w:r w:rsidRPr="00033B6B">
              <w:rPr>
                <w:rFonts w:ascii="Times New Roman" w:eastAsia="Times New Roman" w:hAnsi="Times New Roman" w:cs="Times New Roman"/>
                <w:sz w:val="16"/>
                <w:szCs w:val="16"/>
                <w:lang w:eastAsia="lv-LV"/>
              </w:rPr>
              <w:t>10 562 883</w:t>
            </w:r>
          </w:p>
        </w:tc>
        <w:tc>
          <w:tcPr>
            <w:tcW w:w="1134" w:type="dxa"/>
            <w:tcBorders>
              <w:top w:val="single" w:sz="4" w:space="0" w:color="auto"/>
              <w:left w:val="single" w:sz="4" w:space="0" w:color="auto"/>
              <w:bottom w:val="single" w:sz="4" w:space="0" w:color="auto"/>
              <w:right w:val="single" w:sz="4" w:space="0" w:color="auto"/>
            </w:tcBorders>
            <w:shd w:val="clear" w:color="auto" w:fill="FCD5B4"/>
            <w:vAlign w:val="center"/>
          </w:tcPr>
          <w:p w14:paraId="2E66655D" w14:textId="7BFE1AD9" w:rsidR="006C3A12" w:rsidRPr="00033B6B" w:rsidRDefault="006C3A12" w:rsidP="006C3A12">
            <w:pPr>
              <w:spacing w:after="0" w:line="240" w:lineRule="auto"/>
              <w:jc w:val="center"/>
              <w:rPr>
                <w:rFonts w:ascii="Times New Roman" w:eastAsia="Times New Roman" w:hAnsi="Times New Roman" w:cs="Times New Roman"/>
                <w:sz w:val="16"/>
                <w:szCs w:val="16"/>
                <w:lang w:eastAsia="lv-LV"/>
              </w:rPr>
            </w:pPr>
            <w:r w:rsidRPr="00033B6B">
              <w:rPr>
                <w:rFonts w:ascii="Times New Roman" w:eastAsia="Times New Roman" w:hAnsi="Times New Roman" w:cs="Times New Roman"/>
                <w:sz w:val="16"/>
                <w:szCs w:val="16"/>
                <w:lang w:eastAsia="lv-LV"/>
              </w:rPr>
              <w:t>5 462 882</w:t>
            </w:r>
          </w:p>
        </w:tc>
        <w:tc>
          <w:tcPr>
            <w:tcW w:w="992" w:type="dxa"/>
            <w:tcBorders>
              <w:top w:val="single" w:sz="4" w:space="0" w:color="auto"/>
              <w:left w:val="single" w:sz="4" w:space="0" w:color="auto"/>
              <w:bottom w:val="single" w:sz="4" w:space="0" w:color="auto"/>
              <w:right w:val="single" w:sz="4" w:space="0" w:color="auto"/>
            </w:tcBorders>
            <w:shd w:val="clear" w:color="auto" w:fill="FCD5B4"/>
            <w:vAlign w:val="center"/>
          </w:tcPr>
          <w:p w14:paraId="0581B5A1" w14:textId="271034B4" w:rsidR="006C3A12" w:rsidRPr="00033B6B" w:rsidRDefault="006C3A12" w:rsidP="006C3A12">
            <w:pPr>
              <w:spacing w:after="0" w:line="240" w:lineRule="auto"/>
              <w:jc w:val="center"/>
              <w:rPr>
                <w:rFonts w:ascii="Times New Roman" w:eastAsia="Times New Roman" w:hAnsi="Times New Roman" w:cs="Times New Roman"/>
                <w:sz w:val="16"/>
                <w:szCs w:val="16"/>
                <w:lang w:eastAsia="lv-LV"/>
              </w:rPr>
            </w:pPr>
            <w:r w:rsidRPr="00033B6B">
              <w:rPr>
                <w:rFonts w:ascii="Times New Roman" w:eastAsia="Times New Roman" w:hAnsi="Times New Roman" w:cs="Times New Roman"/>
                <w:sz w:val="16"/>
                <w:szCs w:val="16"/>
                <w:lang w:eastAsia="lv-LV"/>
              </w:rPr>
              <w:t>11 174 882</w:t>
            </w:r>
          </w:p>
        </w:tc>
        <w:tc>
          <w:tcPr>
            <w:tcW w:w="992" w:type="dxa"/>
            <w:tcBorders>
              <w:top w:val="single" w:sz="4" w:space="0" w:color="auto"/>
              <w:left w:val="single" w:sz="4" w:space="0" w:color="auto"/>
              <w:bottom w:val="single" w:sz="4" w:space="0" w:color="auto"/>
              <w:right w:val="single" w:sz="4" w:space="0" w:color="auto"/>
            </w:tcBorders>
            <w:shd w:val="clear" w:color="auto" w:fill="FCD5B4"/>
            <w:vAlign w:val="center"/>
          </w:tcPr>
          <w:p w14:paraId="001B03D7" w14:textId="18C981B5" w:rsidR="006C3A12"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sz w:val="16"/>
                <w:szCs w:val="16"/>
                <w:lang w:eastAsia="lv-LV"/>
              </w:rPr>
              <w:t>10 450 784</w:t>
            </w:r>
          </w:p>
        </w:tc>
        <w:tc>
          <w:tcPr>
            <w:tcW w:w="851" w:type="dxa"/>
            <w:tcBorders>
              <w:top w:val="single" w:sz="4" w:space="0" w:color="auto"/>
              <w:left w:val="single" w:sz="4" w:space="0" w:color="auto"/>
              <w:bottom w:val="single" w:sz="4" w:space="0" w:color="auto"/>
              <w:right w:val="single" w:sz="4" w:space="0" w:color="auto"/>
            </w:tcBorders>
            <w:shd w:val="clear" w:color="auto" w:fill="FCD5B4"/>
            <w:vAlign w:val="center"/>
          </w:tcPr>
          <w:p w14:paraId="355E8EC5" w14:textId="344EC777" w:rsidR="006C3A12"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190</w:t>
            </w:r>
          </w:p>
        </w:tc>
        <w:tc>
          <w:tcPr>
            <w:tcW w:w="850" w:type="dxa"/>
            <w:tcBorders>
              <w:top w:val="single" w:sz="4" w:space="0" w:color="auto"/>
              <w:left w:val="single" w:sz="4" w:space="0" w:color="auto"/>
              <w:bottom w:val="single" w:sz="4" w:space="0" w:color="auto"/>
              <w:right w:val="single" w:sz="4" w:space="0" w:color="auto"/>
            </w:tcBorders>
            <w:shd w:val="clear" w:color="auto" w:fill="FCD5B4"/>
            <w:vAlign w:val="center"/>
          </w:tcPr>
          <w:p w14:paraId="5196252E" w14:textId="4D46E4F0" w:rsidR="006C3A12"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393</w:t>
            </w:r>
          </w:p>
        </w:tc>
        <w:tc>
          <w:tcPr>
            <w:tcW w:w="851" w:type="dxa"/>
            <w:tcBorders>
              <w:top w:val="single" w:sz="4" w:space="0" w:color="auto"/>
              <w:left w:val="single" w:sz="4" w:space="0" w:color="auto"/>
              <w:bottom w:val="single" w:sz="4" w:space="0" w:color="auto"/>
              <w:right w:val="single" w:sz="4" w:space="0" w:color="auto"/>
            </w:tcBorders>
            <w:shd w:val="clear" w:color="auto" w:fill="FCD5B4"/>
            <w:vAlign w:val="center"/>
          </w:tcPr>
          <w:p w14:paraId="1C4C89E2" w14:textId="33C9BAAF" w:rsidR="006C3A12"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393</w:t>
            </w:r>
          </w:p>
        </w:tc>
        <w:tc>
          <w:tcPr>
            <w:tcW w:w="709" w:type="dxa"/>
            <w:tcBorders>
              <w:top w:val="single" w:sz="4" w:space="0" w:color="auto"/>
              <w:left w:val="single" w:sz="4" w:space="0" w:color="auto"/>
              <w:bottom w:val="single" w:sz="4" w:space="0" w:color="auto"/>
              <w:right w:val="single" w:sz="4" w:space="0" w:color="auto"/>
            </w:tcBorders>
            <w:shd w:val="clear" w:color="auto" w:fill="FCD5B4"/>
            <w:vAlign w:val="center"/>
          </w:tcPr>
          <w:p w14:paraId="53E5A212" w14:textId="15836434" w:rsidR="006C3A12"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393</w:t>
            </w:r>
          </w:p>
        </w:tc>
        <w:tc>
          <w:tcPr>
            <w:tcW w:w="850" w:type="dxa"/>
            <w:tcBorders>
              <w:top w:val="single" w:sz="4" w:space="0" w:color="auto"/>
              <w:left w:val="single" w:sz="4" w:space="0" w:color="auto"/>
              <w:bottom w:val="single" w:sz="4" w:space="0" w:color="auto"/>
              <w:right w:val="single" w:sz="4" w:space="0" w:color="auto"/>
            </w:tcBorders>
            <w:shd w:val="clear" w:color="auto" w:fill="FCD5B4"/>
            <w:vAlign w:val="center"/>
          </w:tcPr>
          <w:p w14:paraId="4AC23B62" w14:textId="377C8642" w:rsidR="006C3A12"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597</w:t>
            </w:r>
          </w:p>
        </w:tc>
        <w:tc>
          <w:tcPr>
            <w:tcW w:w="851" w:type="dxa"/>
            <w:tcBorders>
              <w:top w:val="single" w:sz="4" w:space="0" w:color="auto"/>
              <w:left w:val="single" w:sz="4" w:space="0" w:color="auto"/>
              <w:bottom w:val="single" w:sz="4" w:space="0" w:color="auto"/>
              <w:right w:val="single" w:sz="4" w:space="0" w:color="auto"/>
            </w:tcBorders>
            <w:shd w:val="clear" w:color="auto" w:fill="FCD5B4"/>
            <w:vAlign w:val="center"/>
          </w:tcPr>
          <w:p w14:paraId="1CAD50BC" w14:textId="5D0B89D7" w:rsidR="006C3A12" w:rsidRPr="00033B6B" w:rsidRDefault="006C3A12" w:rsidP="006C3A12">
            <w:pPr>
              <w:spacing w:after="0" w:line="240" w:lineRule="auto"/>
              <w:jc w:val="center"/>
              <w:rPr>
                <w:rFonts w:ascii="Times New Roman" w:eastAsia="Times New Roman" w:hAnsi="Times New Roman" w:cs="Times New Roman"/>
                <w:b/>
                <w:bCs/>
                <w:sz w:val="16"/>
                <w:szCs w:val="16"/>
                <w:lang w:eastAsia="lv-LV"/>
              </w:rPr>
            </w:pPr>
            <w:r w:rsidRPr="00033B6B">
              <w:rPr>
                <w:rFonts w:ascii="Times New Roman" w:eastAsia="Times New Roman" w:hAnsi="Times New Roman" w:cs="Times New Roman"/>
                <w:b/>
                <w:bCs/>
                <w:sz w:val="16"/>
                <w:szCs w:val="16"/>
                <w:lang w:eastAsia="lv-LV"/>
              </w:rPr>
              <w:t>793</w:t>
            </w:r>
          </w:p>
        </w:tc>
      </w:tr>
    </w:tbl>
    <w:p w14:paraId="59BFBF9F" w14:textId="56E0DD6C" w:rsidR="00AE0E68" w:rsidRPr="00D67B7D" w:rsidRDefault="0071331A" w:rsidP="00AE0E68">
      <w:pPr>
        <w:spacing w:after="0" w:line="240" w:lineRule="auto"/>
        <w:ind w:left="62"/>
        <w:jc w:val="both"/>
        <w:rPr>
          <w:rFonts w:ascii="Times New Roman" w:hAnsi="Times New Roman" w:cs="Times New Roman"/>
          <w:sz w:val="16"/>
          <w:szCs w:val="16"/>
        </w:rPr>
      </w:pPr>
      <w:r w:rsidRPr="00D67B7D">
        <w:rPr>
          <w:rFonts w:ascii="Times New Roman" w:hAnsi="Times New Roman" w:cs="Times New Roman"/>
          <w:sz w:val="16"/>
          <w:szCs w:val="16"/>
        </w:rPr>
        <w:t>*</w:t>
      </w:r>
      <w:r w:rsidR="008C5D88" w:rsidRPr="00D67B7D">
        <w:rPr>
          <w:rFonts w:ascii="Times New Roman" w:hAnsi="Times New Roman" w:cs="Times New Roman"/>
          <w:sz w:val="16"/>
          <w:szCs w:val="16"/>
        </w:rPr>
        <w:t xml:space="preserve"> </w:t>
      </w:r>
      <w:r w:rsidR="00AE0E68" w:rsidRPr="00D67B7D">
        <w:rPr>
          <w:rFonts w:ascii="Times New Roman" w:hAnsi="Times New Roman" w:cs="Times New Roman"/>
          <w:sz w:val="16"/>
          <w:szCs w:val="16"/>
        </w:rPr>
        <w:t>Atkāpes apjoms tiks nodrošināts ar nominālo cenu</w:t>
      </w:r>
    </w:p>
    <w:p w14:paraId="7B127BFF" w14:textId="7472160F" w:rsidR="009A090F" w:rsidRPr="00D67B7D" w:rsidRDefault="00AE0E68" w:rsidP="00AE0E68">
      <w:pPr>
        <w:spacing w:after="0" w:line="240" w:lineRule="auto"/>
        <w:ind w:left="62"/>
        <w:jc w:val="both"/>
        <w:rPr>
          <w:rFonts w:ascii="Times New Roman" w:hAnsi="Times New Roman" w:cs="Times New Roman"/>
          <w:sz w:val="16"/>
          <w:szCs w:val="16"/>
        </w:rPr>
      </w:pPr>
      <w:r w:rsidRPr="00D67B7D">
        <w:rPr>
          <w:rFonts w:ascii="Times New Roman" w:hAnsi="Times New Roman" w:cs="Times New Roman"/>
          <w:sz w:val="16"/>
          <w:szCs w:val="16"/>
        </w:rPr>
        <w:t>**</w:t>
      </w:r>
      <w:r w:rsidR="00004FF9" w:rsidRPr="00D67B7D">
        <w:rPr>
          <w:rFonts w:ascii="Times New Roman" w:hAnsi="Times New Roman" w:cs="Times New Roman"/>
          <w:sz w:val="16"/>
          <w:szCs w:val="16"/>
        </w:rPr>
        <w:t>Ietverot iepriekšējos periodos uzsākto interferona terapiju izmaks</w:t>
      </w:r>
      <w:r w:rsidR="006B2EFA" w:rsidRPr="00D67B7D">
        <w:rPr>
          <w:rFonts w:ascii="Times New Roman" w:hAnsi="Times New Roman" w:cs="Times New Roman"/>
          <w:sz w:val="16"/>
          <w:szCs w:val="16"/>
        </w:rPr>
        <w:t>as</w:t>
      </w:r>
    </w:p>
    <w:p w14:paraId="18BFAFD2" w14:textId="77777777" w:rsidR="00E24E0D" w:rsidRDefault="00E24E0D" w:rsidP="00E93259">
      <w:pPr>
        <w:spacing w:after="120"/>
        <w:ind w:firstLine="720"/>
        <w:jc w:val="both"/>
        <w:rPr>
          <w:rFonts w:ascii="Times New Roman" w:eastAsia="Calibri" w:hAnsi="Times New Roman" w:cs="Times New Roman"/>
          <w:sz w:val="24"/>
          <w:szCs w:val="24"/>
        </w:rPr>
        <w:sectPr w:rsidR="00E24E0D" w:rsidSect="00E11AFF">
          <w:pgSz w:w="15840" w:h="12240" w:orient="landscape"/>
          <w:pgMar w:top="1701" w:right="1440" w:bottom="1440" w:left="1440" w:header="709" w:footer="709" w:gutter="0"/>
          <w:cols w:space="708"/>
          <w:docGrid w:linePitch="360"/>
        </w:sectPr>
      </w:pPr>
    </w:p>
    <w:p w14:paraId="55E6541D" w14:textId="28FD4EAB" w:rsidR="00D87FAE" w:rsidRPr="006576BB" w:rsidDel="16F4C4EF" w:rsidRDefault="00D87FAE" w:rsidP="00E93259">
      <w:pPr>
        <w:spacing w:after="120"/>
        <w:ind w:firstLine="720"/>
        <w:jc w:val="both"/>
        <w:rPr>
          <w:rFonts w:ascii="Times New Roman" w:hAnsi="Times New Roman"/>
          <w:b/>
          <w:bCs/>
          <w:sz w:val="24"/>
          <w:szCs w:val="24"/>
        </w:rPr>
      </w:pPr>
      <w:r w:rsidRPr="00B53E62">
        <w:rPr>
          <w:rFonts w:ascii="Times New Roman" w:eastAsia="Calibri" w:hAnsi="Times New Roman" w:cs="Times New Roman"/>
          <w:sz w:val="24"/>
          <w:szCs w:val="24"/>
        </w:rPr>
        <w:lastRenderedPageBreak/>
        <w:t>Pateicoties veselības reformas pasākumu ietvarā veiktajiem pasākumiem, lai uzlabotu VHC ārstēšanai nepieciešamo zāļu pieejamību, tiek plānots, ka 201</w:t>
      </w:r>
      <w:r w:rsidR="00B65523">
        <w:rPr>
          <w:rFonts w:ascii="Times New Roman" w:eastAsia="Calibri" w:hAnsi="Times New Roman" w:cs="Times New Roman"/>
          <w:sz w:val="24"/>
          <w:szCs w:val="24"/>
        </w:rPr>
        <w:t>9</w:t>
      </w:r>
      <w:r w:rsidRPr="00B53E62">
        <w:rPr>
          <w:rFonts w:ascii="Times New Roman" w:eastAsia="Calibri" w:hAnsi="Times New Roman" w:cs="Times New Roman"/>
          <w:sz w:val="24"/>
          <w:szCs w:val="24"/>
        </w:rPr>
        <w:t>.gadā ārstēto VHC</w:t>
      </w:r>
      <w:r w:rsidR="00B65523">
        <w:rPr>
          <w:rFonts w:ascii="Times New Roman" w:eastAsia="Calibri" w:hAnsi="Times New Roman" w:cs="Times New Roman"/>
          <w:sz w:val="24"/>
          <w:szCs w:val="24"/>
        </w:rPr>
        <w:t xml:space="preserve"> pacientu skaits  pārsniegs 2018.</w:t>
      </w:r>
      <w:r w:rsidRPr="00B53E62">
        <w:rPr>
          <w:rFonts w:ascii="Times New Roman" w:eastAsia="Calibri" w:hAnsi="Times New Roman" w:cs="Times New Roman"/>
          <w:sz w:val="24"/>
          <w:szCs w:val="24"/>
        </w:rPr>
        <w:t xml:space="preserve">gadā ārstēto VHC pacientu skaitu. Tādējādi tiek veicināta ilgtspējīgas attīstības mērķa līdz 2030.gadam apkarot hepatītu sasniegšana. </w:t>
      </w:r>
    </w:p>
    <w:p w14:paraId="735EBDF7" w14:textId="2CF8861D" w:rsidR="00D87FAE" w:rsidRPr="00051136" w:rsidDel="16F4C4EF" w:rsidRDefault="75F7064F" w:rsidP="2749705C">
      <w:pPr>
        <w:spacing w:after="120"/>
        <w:ind w:firstLine="720"/>
        <w:jc w:val="both"/>
      </w:pPr>
      <w:r w:rsidRPr="006576BB">
        <w:rPr>
          <w:rFonts w:ascii="Times New Roman" w:eastAsia="Times New Roman" w:hAnsi="Times New Roman" w:cs="Times New Roman"/>
          <w:sz w:val="24"/>
          <w:szCs w:val="24"/>
        </w:rPr>
        <w:t>Ņemot vērā to, ka VHC pacients ir infekcijas avots un rada inficēšanās risku apkārtējiem, izārstējot VHC, tiek novērsta tālāka VHC izplatība no konkrētās personas. Tādējādi VHC ārstēšana ne tikai novērš VHC radītās veselības problēmas un nāves gadījumus, bet tas ir arī infekcijas izplatību ierobežojošs pasākums. Kā liecina PVO, ja tiek nodrošināta atbilstoša hepatīta profilakse un ārstēšana, jauno hroniska VHC gadījumu skaitu var samazināt par 90% un samazināt mirstību par 65%.</w:t>
      </w:r>
      <w:r w:rsidR="009704BB">
        <w:rPr>
          <w:rStyle w:val="FootnoteReference"/>
          <w:rFonts w:ascii="Times New Roman" w:eastAsia="Times New Roman" w:hAnsi="Times New Roman" w:cs="Times New Roman"/>
          <w:sz w:val="24"/>
          <w:szCs w:val="24"/>
        </w:rPr>
        <w:footnoteReference w:id="23"/>
      </w:r>
    </w:p>
    <w:p w14:paraId="150FB50D" w14:textId="29365B96" w:rsidR="00D87FAE" w:rsidRPr="00051136" w:rsidDel="16F4C4EF" w:rsidRDefault="75F7064F" w:rsidP="2749705C">
      <w:pPr>
        <w:spacing w:after="120"/>
        <w:ind w:firstLine="720"/>
        <w:jc w:val="both"/>
      </w:pPr>
      <w:r w:rsidRPr="006576BB">
        <w:rPr>
          <w:rFonts w:ascii="Times New Roman" w:eastAsia="Times New Roman" w:hAnsi="Times New Roman" w:cs="Times New Roman"/>
          <w:sz w:val="24"/>
          <w:szCs w:val="24"/>
        </w:rPr>
        <w:t>Ņemot vērā minēto, pēc iespējas agrīnāk uzsākot VHC ārstēšanu - F2, F1 aknu fibrozes stadijā, tiek novērsta slimības attīstība smagākās slimības formās ar F3, F4 aknu fibrozi, kas pacientam rada smagus veselības traucējumus un noved pie darba spēju zuduma un nepieciešamības veikt aknu transplantāciju. Ārstējot VHC F1 stadijā ir iespējams panākt pilnīgu izārstēšanu, novēršot aknu bojājumu. Vienlaicīgi agrīna VHC ārstēšana dod iespēju maksimāli ātri likvidēt infekcijas slimības avotu un novērst inficēšanās riskus apkārtējiem</w:t>
      </w:r>
      <w:r w:rsidR="3F576A31" w:rsidRPr="006576BB">
        <w:rPr>
          <w:rFonts w:ascii="Times New Roman" w:eastAsia="Times New Roman" w:hAnsi="Times New Roman" w:cs="Times New Roman"/>
          <w:sz w:val="24"/>
          <w:szCs w:val="24"/>
        </w:rPr>
        <w:t>.</w:t>
      </w:r>
      <w:r w:rsidRPr="006576BB">
        <w:rPr>
          <w:rFonts w:ascii="Times New Roman" w:eastAsia="Times New Roman" w:hAnsi="Times New Roman" w:cs="Times New Roman"/>
          <w:sz w:val="24"/>
          <w:szCs w:val="24"/>
        </w:rPr>
        <w:t xml:space="preserve"> </w:t>
      </w:r>
    </w:p>
    <w:p w14:paraId="6FD65AD4" w14:textId="15C5DC34" w:rsidR="00CE2F70" w:rsidRPr="006576BB" w:rsidRDefault="00CE2F70" w:rsidP="008010F4">
      <w:pPr>
        <w:spacing w:after="120" w:line="240" w:lineRule="auto"/>
        <w:jc w:val="both"/>
        <w:rPr>
          <w:rFonts w:ascii="Times New Roman" w:hAnsi="Times New Roman"/>
          <w:b/>
          <w:bCs/>
          <w:sz w:val="24"/>
          <w:szCs w:val="24"/>
        </w:rPr>
      </w:pPr>
    </w:p>
    <w:p w14:paraId="336427A6" w14:textId="5B721107" w:rsidR="00CE2F70" w:rsidRPr="006576BB" w:rsidRDefault="64AB90BD" w:rsidP="006576BB">
      <w:pPr>
        <w:spacing w:after="120" w:line="240" w:lineRule="auto"/>
        <w:ind w:firstLine="720"/>
        <w:jc w:val="both"/>
        <w:rPr>
          <w:rFonts w:ascii="Times New Roman" w:hAnsi="Times New Roman"/>
          <w:b/>
          <w:bCs/>
          <w:sz w:val="24"/>
          <w:szCs w:val="24"/>
        </w:rPr>
      </w:pPr>
      <w:r w:rsidRPr="64AB90BD">
        <w:rPr>
          <w:rFonts w:ascii="Times New Roman" w:hAnsi="Times New Roman"/>
          <w:b/>
          <w:bCs/>
          <w:sz w:val="24"/>
          <w:szCs w:val="24"/>
        </w:rPr>
        <w:t xml:space="preserve">3.1.1. Jaunais reformas pasākums 2019.gadā – </w:t>
      </w:r>
      <w:r w:rsidRPr="64AB90BD">
        <w:rPr>
          <w:rFonts w:ascii="Times New Roman" w:hAnsi="Times New Roman"/>
          <w:b/>
          <w:bCs/>
          <w:sz w:val="24"/>
          <w:szCs w:val="24"/>
          <w:u w:val="single"/>
        </w:rPr>
        <w:t>FibroScan iekārta</w:t>
      </w:r>
    </w:p>
    <w:p w14:paraId="61127525" w14:textId="6C584983" w:rsidR="00CE2F70" w:rsidRDefault="00CE2F70" w:rsidP="64AB90BD">
      <w:pPr>
        <w:shd w:val="clear" w:color="auto" w:fill="FFFFFF" w:themeFill="background1"/>
        <w:spacing w:after="0" w:line="240" w:lineRule="auto"/>
        <w:ind w:firstLine="720"/>
        <w:jc w:val="both"/>
        <w:rPr>
          <w:rFonts w:ascii="Times New Roman" w:hAnsi="Times New Roman"/>
          <w:b/>
          <w:bCs/>
          <w:sz w:val="24"/>
          <w:szCs w:val="24"/>
        </w:rPr>
      </w:pPr>
    </w:p>
    <w:p w14:paraId="7772E522" w14:textId="52B51561" w:rsidR="00CD38A9" w:rsidRDefault="00CD38A9" w:rsidP="00051136">
      <w:pPr>
        <w:spacing w:after="120"/>
        <w:ind w:firstLine="720"/>
        <w:jc w:val="both"/>
        <w:rPr>
          <w:rFonts w:ascii="Times New Roman" w:hAnsi="Times New Roman" w:cs="Times New Roman"/>
          <w:sz w:val="24"/>
          <w:szCs w:val="24"/>
        </w:rPr>
      </w:pPr>
      <w:r w:rsidRPr="00CD38A9">
        <w:rPr>
          <w:rFonts w:ascii="Times New Roman" w:hAnsi="Times New Roman" w:cs="Times New Roman"/>
          <w:sz w:val="24"/>
          <w:szCs w:val="24"/>
        </w:rPr>
        <w:t>Lai nodrošinātu VHC ārstēšanu atbilstoši Eiropas klīniskajām vadlīnijām un labai praksei, kā arī nodrošinātu pacientu prio</w:t>
      </w:r>
      <w:r w:rsidR="0059765C">
        <w:rPr>
          <w:rFonts w:ascii="Times New Roman" w:hAnsi="Times New Roman" w:cs="Times New Roman"/>
          <w:sz w:val="24"/>
          <w:szCs w:val="24"/>
        </w:rPr>
        <w:t>ri</w:t>
      </w:r>
      <w:r w:rsidRPr="00CD38A9">
        <w:rPr>
          <w:rFonts w:ascii="Times New Roman" w:hAnsi="Times New Roman" w:cs="Times New Roman"/>
          <w:sz w:val="24"/>
          <w:szCs w:val="24"/>
        </w:rPr>
        <w:t>tizēšanu, lai ārstēšanu pirmkārt saņemtu tie, kam tā ir nepieciešama vispirms, jāveic VHC pacientu izm</w:t>
      </w:r>
      <w:r w:rsidR="0059765C">
        <w:rPr>
          <w:rFonts w:ascii="Times New Roman" w:hAnsi="Times New Roman" w:cs="Times New Roman"/>
          <w:sz w:val="24"/>
          <w:szCs w:val="24"/>
        </w:rPr>
        <w:t>e</w:t>
      </w:r>
      <w:r w:rsidRPr="00CD38A9">
        <w:rPr>
          <w:rFonts w:ascii="Times New Roman" w:hAnsi="Times New Roman" w:cs="Times New Roman"/>
          <w:sz w:val="24"/>
          <w:szCs w:val="24"/>
        </w:rPr>
        <w:t xml:space="preserve">klēšana, lai noteiktu aknu fibrozes pakāpi. </w:t>
      </w:r>
      <w:r w:rsidR="00C62C42" w:rsidRPr="00CD38A9">
        <w:rPr>
          <w:rFonts w:ascii="Times New Roman" w:hAnsi="Times New Roman" w:cs="Times New Roman"/>
          <w:sz w:val="24"/>
          <w:szCs w:val="24"/>
        </w:rPr>
        <w:t>Š</w:t>
      </w:r>
      <w:r w:rsidR="00C62C42">
        <w:rPr>
          <w:rFonts w:ascii="Times New Roman" w:hAnsi="Times New Roman" w:cs="Times New Roman"/>
          <w:sz w:val="24"/>
          <w:szCs w:val="24"/>
        </w:rPr>
        <w:t>o</w:t>
      </w:r>
      <w:r w:rsidR="00C62C42" w:rsidRPr="00CD38A9">
        <w:rPr>
          <w:rFonts w:ascii="Times New Roman" w:hAnsi="Times New Roman" w:cs="Times New Roman"/>
          <w:sz w:val="24"/>
          <w:szCs w:val="24"/>
        </w:rPr>
        <w:t xml:space="preserve"> izmeklējumu ir iespējams nodrošin</w:t>
      </w:r>
      <w:r w:rsidR="00C62C42">
        <w:rPr>
          <w:rFonts w:ascii="Times New Roman" w:hAnsi="Times New Roman" w:cs="Times New Roman"/>
          <w:sz w:val="24"/>
          <w:szCs w:val="24"/>
        </w:rPr>
        <w:t>ā</w:t>
      </w:r>
      <w:r w:rsidR="00C62C42" w:rsidRPr="00CD38A9">
        <w:rPr>
          <w:rFonts w:ascii="Times New Roman" w:hAnsi="Times New Roman" w:cs="Times New Roman"/>
          <w:sz w:val="24"/>
          <w:szCs w:val="24"/>
        </w:rPr>
        <w:t xml:space="preserve">t </w:t>
      </w:r>
      <w:r w:rsidR="00C62C42">
        <w:rPr>
          <w:rFonts w:ascii="Times New Roman" w:hAnsi="Times New Roman" w:cs="Times New Roman"/>
          <w:sz w:val="24"/>
          <w:szCs w:val="24"/>
        </w:rPr>
        <w:t xml:space="preserve">ar </w:t>
      </w:r>
      <w:r w:rsidRPr="00CD38A9">
        <w:rPr>
          <w:rFonts w:ascii="Times New Roman" w:hAnsi="Times New Roman" w:cs="Times New Roman"/>
          <w:sz w:val="24"/>
          <w:szCs w:val="24"/>
        </w:rPr>
        <w:t>invazīvu, sarežģītu un laikietilpīgu metodi – aknu biopsiju vai ar alternatīvu neinvazīvu metodi, no</w:t>
      </w:r>
      <w:r w:rsidR="0059765C">
        <w:rPr>
          <w:rFonts w:ascii="Times New Roman" w:hAnsi="Times New Roman" w:cs="Times New Roman"/>
          <w:sz w:val="24"/>
          <w:szCs w:val="24"/>
        </w:rPr>
        <w:t>s</w:t>
      </w:r>
      <w:r w:rsidRPr="00CD38A9">
        <w:rPr>
          <w:rFonts w:ascii="Times New Roman" w:hAnsi="Times New Roman" w:cs="Times New Roman"/>
          <w:sz w:val="24"/>
          <w:szCs w:val="24"/>
        </w:rPr>
        <w:t>kenējot aknu audus ar ultrasonogrāfam līdzīgu ierīci (</w:t>
      </w:r>
      <w:r w:rsidRPr="00CD38A9">
        <w:rPr>
          <w:rStyle w:val="Emphasis"/>
          <w:rFonts w:ascii="Times New Roman" w:hAnsi="Times New Roman" w:cs="Times New Roman"/>
          <w:sz w:val="24"/>
          <w:szCs w:val="24"/>
        </w:rPr>
        <w:t>FibroScan</w:t>
      </w:r>
      <w:r w:rsidRPr="00CD38A9">
        <w:rPr>
          <w:rFonts w:ascii="Times New Roman" w:hAnsi="Times New Roman" w:cs="Times New Roman"/>
          <w:sz w:val="24"/>
          <w:szCs w:val="24"/>
        </w:rPr>
        <w:t xml:space="preserve">). </w:t>
      </w:r>
      <w:r w:rsidRPr="00CD38A9">
        <w:rPr>
          <w:rFonts w:ascii="Times New Roman" w:hAnsi="Times New Roman" w:cs="Times New Roman"/>
          <w:i/>
          <w:sz w:val="24"/>
          <w:szCs w:val="24"/>
        </w:rPr>
        <w:t>FibroScan</w:t>
      </w:r>
      <w:r w:rsidRPr="00CD38A9">
        <w:rPr>
          <w:rFonts w:ascii="Times New Roman" w:hAnsi="Times New Roman" w:cs="Times New Roman"/>
          <w:sz w:val="24"/>
          <w:szCs w:val="24"/>
        </w:rPr>
        <w:t xml:space="preserve"> izmantošana dod iespēju efektīvāk veikt VHC pacientu izmeklēšanu, kas nepieciešama ārstēšanas uzsākšanai.</w:t>
      </w:r>
    </w:p>
    <w:p w14:paraId="6EC24B89" w14:textId="31CFB00A" w:rsidR="00007554" w:rsidRPr="00007554" w:rsidRDefault="00007554" w:rsidP="00051136">
      <w:pPr>
        <w:spacing w:after="120"/>
        <w:ind w:firstLine="720"/>
        <w:jc w:val="both"/>
        <w:rPr>
          <w:rFonts w:ascii="Times New Roman" w:hAnsi="Times New Roman" w:cs="Times New Roman"/>
          <w:sz w:val="24"/>
          <w:szCs w:val="24"/>
        </w:rPr>
      </w:pPr>
      <w:r w:rsidRPr="00007554">
        <w:rPr>
          <w:rFonts w:ascii="Times New Roman" w:hAnsi="Times New Roman" w:cs="Times New Roman"/>
          <w:sz w:val="24"/>
          <w:szCs w:val="24"/>
        </w:rPr>
        <w:t>Šobrīd no valsts budžeta līdzekļiem apmaksātā aknu biopsija ir invazīva metode, kas saistīta ar instrumenta ievadīšanu aknu audos. Tādēļ speciālistam, kas veic šo manipulāciju jābūt atbilstošai kvalifikācijai. Ņemot vērā to, ka pēc biopsijas ir iespējama aknu asiņošana, pacients pēc izmeklējuma vēl diennakti tiek novērots ārstniecības iestādē. Savukārt</w:t>
      </w:r>
      <w:r w:rsidRPr="00007554">
        <w:rPr>
          <w:rFonts w:ascii="Times New Roman" w:hAnsi="Times New Roman" w:cs="Times New Roman"/>
          <w:i/>
          <w:sz w:val="24"/>
          <w:szCs w:val="24"/>
        </w:rPr>
        <w:t xml:space="preserve"> FibroScan </w:t>
      </w:r>
      <w:r w:rsidRPr="00007554">
        <w:rPr>
          <w:rFonts w:ascii="Times New Roman" w:hAnsi="Times New Roman" w:cs="Times New Roman"/>
          <w:sz w:val="24"/>
          <w:szCs w:val="24"/>
        </w:rPr>
        <w:t>ierīces izmantošana</w:t>
      </w:r>
      <w:r w:rsidRPr="00007554">
        <w:rPr>
          <w:rFonts w:ascii="Times New Roman" w:hAnsi="Times New Roman" w:cs="Times New Roman"/>
          <w:i/>
          <w:sz w:val="24"/>
          <w:szCs w:val="24"/>
        </w:rPr>
        <w:t xml:space="preserve"> </w:t>
      </w:r>
      <w:r w:rsidRPr="00007554">
        <w:rPr>
          <w:rFonts w:ascii="Times New Roman" w:hAnsi="Times New Roman" w:cs="Times New Roman"/>
          <w:sz w:val="24"/>
          <w:szCs w:val="24"/>
        </w:rPr>
        <w:t>aknu izmeklējumiem ir neinvazīva procedūra, kas neietekmē aknu audus, manipulācija ir ļoti vienkārša un tās veikšanai nav nepi</w:t>
      </w:r>
      <w:r w:rsidR="00857EF7">
        <w:rPr>
          <w:rFonts w:ascii="Times New Roman" w:hAnsi="Times New Roman" w:cs="Times New Roman"/>
          <w:sz w:val="24"/>
          <w:szCs w:val="24"/>
        </w:rPr>
        <w:t>e</w:t>
      </w:r>
      <w:r w:rsidRPr="00007554">
        <w:rPr>
          <w:rFonts w:ascii="Times New Roman" w:hAnsi="Times New Roman" w:cs="Times New Roman"/>
          <w:sz w:val="24"/>
          <w:szCs w:val="24"/>
        </w:rPr>
        <w:t>ciešama īpaša kvalifikācija un pēc ma</w:t>
      </w:r>
      <w:r w:rsidR="00857EF7">
        <w:rPr>
          <w:rFonts w:ascii="Times New Roman" w:hAnsi="Times New Roman" w:cs="Times New Roman"/>
          <w:sz w:val="24"/>
          <w:szCs w:val="24"/>
        </w:rPr>
        <w:t>nipulācijas veikšanas nav nepie</w:t>
      </w:r>
      <w:r w:rsidRPr="00007554">
        <w:rPr>
          <w:rFonts w:ascii="Times New Roman" w:hAnsi="Times New Roman" w:cs="Times New Roman"/>
          <w:sz w:val="24"/>
          <w:szCs w:val="24"/>
        </w:rPr>
        <w:t>c</w:t>
      </w:r>
      <w:r w:rsidR="00857EF7">
        <w:rPr>
          <w:rFonts w:ascii="Times New Roman" w:hAnsi="Times New Roman" w:cs="Times New Roman"/>
          <w:sz w:val="24"/>
          <w:szCs w:val="24"/>
        </w:rPr>
        <w:t>i</w:t>
      </w:r>
      <w:r w:rsidRPr="00007554">
        <w:rPr>
          <w:rFonts w:ascii="Times New Roman" w:hAnsi="Times New Roman" w:cs="Times New Roman"/>
          <w:sz w:val="24"/>
          <w:szCs w:val="24"/>
        </w:rPr>
        <w:t>ešama pacienta novērošana. Tādēļ šāda izmeklējuma ieviešana no valsts budžeta apmaksāto veselības aprūpes pakalpojumu klāstā ir ieguvums gan pacientiem, gan dod iespēju efektīvāk izmantot veselības aprūpes resursus.</w:t>
      </w:r>
    </w:p>
    <w:p w14:paraId="0DCD2E5C" w14:textId="77777777" w:rsidR="00CD38A9" w:rsidRPr="00CD38A9" w:rsidRDefault="00CD38A9" w:rsidP="00051136">
      <w:pPr>
        <w:spacing w:after="120"/>
        <w:ind w:firstLine="720"/>
        <w:jc w:val="both"/>
        <w:rPr>
          <w:rFonts w:ascii="Times New Roman" w:hAnsi="Times New Roman" w:cs="Times New Roman"/>
          <w:sz w:val="24"/>
          <w:szCs w:val="24"/>
        </w:rPr>
      </w:pPr>
      <w:r w:rsidRPr="00CD38A9">
        <w:rPr>
          <w:rFonts w:ascii="Times New Roman" w:hAnsi="Times New Roman" w:cs="Times New Roman"/>
          <w:sz w:val="24"/>
          <w:szCs w:val="24"/>
        </w:rPr>
        <w:lastRenderedPageBreak/>
        <w:t xml:space="preserve">Šobrīd Latvijā </w:t>
      </w:r>
      <w:r w:rsidRPr="00CD38A9">
        <w:rPr>
          <w:rFonts w:ascii="Times New Roman" w:hAnsi="Times New Roman" w:cs="Times New Roman"/>
          <w:i/>
          <w:sz w:val="24"/>
          <w:szCs w:val="24"/>
        </w:rPr>
        <w:t>FibroScan</w:t>
      </w:r>
      <w:r w:rsidRPr="00CD38A9">
        <w:rPr>
          <w:rFonts w:ascii="Times New Roman" w:hAnsi="Times New Roman" w:cs="Times New Roman"/>
          <w:sz w:val="24"/>
          <w:szCs w:val="24"/>
        </w:rPr>
        <w:t xml:space="preserve"> iekārtas nav pieejama iestādēs, kas sniedz no valsts budžeta apmaksātus VHC diagnostikas un ārstēšanas pakalpojumus. Kopumā Latvijā šis pakalpojums ir pieejams tikai Rīgā un tas netiek apmaksāts no valsts budžeta līdzekļiem.</w:t>
      </w:r>
    </w:p>
    <w:p w14:paraId="13782D35" w14:textId="0BDF12FC" w:rsidR="00CD38A9" w:rsidRPr="00CD38A9" w:rsidRDefault="00CD38A9" w:rsidP="00051136">
      <w:pPr>
        <w:spacing w:after="120"/>
        <w:ind w:firstLine="720"/>
        <w:jc w:val="both"/>
        <w:rPr>
          <w:rFonts w:ascii="Times New Roman" w:hAnsi="Times New Roman" w:cs="Times New Roman"/>
          <w:sz w:val="24"/>
          <w:szCs w:val="24"/>
        </w:rPr>
      </w:pPr>
      <w:r w:rsidRPr="00CD38A9">
        <w:rPr>
          <w:rFonts w:ascii="Times New Roman" w:hAnsi="Times New Roman" w:cs="Times New Roman"/>
          <w:sz w:val="24"/>
          <w:szCs w:val="24"/>
        </w:rPr>
        <w:t xml:space="preserve">Lai nodrošinātu to, ka pēc iespējas ātrāk tiek identificēti pacienti, kam nepieciešama VHC ārstēšana, nepieciešams nodrošināt par valsts budžeta līdzekļiem apmaksātu </w:t>
      </w:r>
      <w:r w:rsidRPr="00CD38A9">
        <w:rPr>
          <w:rFonts w:ascii="Times New Roman" w:hAnsi="Times New Roman" w:cs="Times New Roman"/>
          <w:i/>
          <w:sz w:val="24"/>
          <w:szCs w:val="24"/>
        </w:rPr>
        <w:t xml:space="preserve">FibroScan </w:t>
      </w:r>
      <w:r w:rsidRPr="00CD38A9">
        <w:rPr>
          <w:rFonts w:ascii="Times New Roman" w:hAnsi="Times New Roman" w:cs="Times New Roman"/>
          <w:sz w:val="24"/>
          <w:szCs w:val="24"/>
        </w:rPr>
        <w:t>izm</w:t>
      </w:r>
      <w:r w:rsidR="0059765C">
        <w:rPr>
          <w:rFonts w:ascii="Times New Roman" w:hAnsi="Times New Roman" w:cs="Times New Roman"/>
          <w:sz w:val="24"/>
          <w:szCs w:val="24"/>
        </w:rPr>
        <w:t>e</w:t>
      </w:r>
      <w:r w:rsidRPr="00CD38A9">
        <w:rPr>
          <w:rFonts w:ascii="Times New Roman" w:hAnsi="Times New Roman" w:cs="Times New Roman"/>
          <w:sz w:val="24"/>
          <w:szCs w:val="24"/>
        </w:rPr>
        <w:t>klējumu tīklu Rīgā un reģionos.</w:t>
      </w:r>
    </w:p>
    <w:p w14:paraId="046AFD0F" w14:textId="77777777" w:rsidR="00CD38A9" w:rsidRPr="00CD38A9" w:rsidRDefault="00CD38A9" w:rsidP="00051136">
      <w:pPr>
        <w:spacing w:after="120"/>
        <w:ind w:firstLine="720"/>
        <w:jc w:val="both"/>
        <w:rPr>
          <w:rFonts w:ascii="Times New Roman" w:hAnsi="Times New Roman" w:cs="Times New Roman"/>
          <w:sz w:val="24"/>
          <w:szCs w:val="24"/>
        </w:rPr>
      </w:pPr>
      <w:r w:rsidRPr="00CD38A9">
        <w:rPr>
          <w:rFonts w:ascii="Times New Roman" w:hAnsi="Times New Roman" w:cs="Times New Roman"/>
          <w:sz w:val="24"/>
          <w:szCs w:val="24"/>
        </w:rPr>
        <w:t xml:space="preserve">Pašlaik tirgū  ir pieejamas četru veidu </w:t>
      </w:r>
      <w:r w:rsidRPr="00CD38A9">
        <w:rPr>
          <w:rFonts w:ascii="Times New Roman" w:hAnsi="Times New Roman" w:cs="Times New Roman"/>
          <w:i/>
          <w:sz w:val="24"/>
          <w:szCs w:val="24"/>
        </w:rPr>
        <w:t>FibroScan</w:t>
      </w:r>
      <w:r w:rsidRPr="00CD38A9">
        <w:rPr>
          <w:rFonts w:ascii="Times New Roman" w:hAnsi="Times New Roman" w:cs="Times New Roman"/>
          <w:sz w:val="24"/>
          <w:szCs w:val="24"/>
        </w:rPr>
        <w:t xml:space="preserve"> ierīces:</w:t>
      </w:r>
    </w:p>
    <w:p w14:paraId="177AE1C6" w14:textId="77777777" w:rsidR="00CD38A9" w:rsidRPr="00CD38A9" w:rsidRDefault="00CD38A9" w:rsidP="00E93259">
      <w:pPr>
        <w:pStyle w:val="NormalWeb"/>
        <w:numPr>
          <w:ilvl w:val="0"/>
          <w:numId w:val="13"/>
        </w:numPr>
        <w:spacing w:before="0" w:beforeAutospacing="0" w:after="120" w:afterAutospacing="0" w:line="276" w:lineRule="auto"/>
        <w:ind w:left="714" w:hanging="357"/>
        <w:jc w:val="both"/>
      </w:pPr>
      <w:r w:rsidRPr="704995BB">
        <w:rPr>
          <w:i/>
          <w:iCs/>
        </w:rPr>
        <w:t>FibroScan</w:t>
      </w:r>
      <w:r w:rsidRPr="00CD38A9">
        <w:rPr>
          <w:shd w:val="clear" w:color="auto" w:fill="FFFFFF"/>
        </w:rPr>
        <w:t xml:space="preserve"> </w:t>
      </w:r>
      <w:r w:rsidRPr="3F576A31">
        <w:t>Expert</w:t>
      </w:r>
      <w:r w:rsidRPr="00CD38A9">
        <w:rPr>
          <w:shd w:val="clear" w:color="auto" w:fill="FFFFFF"/>
        </w:rPr>
        <w:t xml:space="preserve"> 630</w:t>
      </w:r>
      <w:r w:rsidRPr="704995BB">
        <w:t xml:space="preserve">  - </w:t>
      </w:r>
      <w:r w:rsidR="52B20BA9">
        <w:t xml:space="preserve"> stacionāra ierīce, ērta lietošanā, paredzēta gan aknu fibrozes, gan steatozes izvērtēšanai dažādu auguma parametru pacientiem, ar iebūvētu atmiņu, kas atvieglo pacienta uzraudzību dinamikā un iespējamu piesaisti slimnīcas informācijas sistēmai.​ Ierīce lietojama arī liesas izvērtēšanai.</w:t>
      </w:r>
    </w:p>
    <w:p w14:paraId="60341AAE" w14:textId="77777777" w:rsidR="00CD38A9" w:rsidRPr="00CD38A9" w:rsidRDefault="00CD38A9" w:rsidP="00051136">
      <w:pPr>
        <w:pStyle w:val="NormalWeb"/>
        <w:numPr>
          <w:ilvl w:val="0"/>
          <w:numId w:val="13"/>
        </w:numPr>
        <w:spacing w:before="0" w:beforeAutospacing="0" w:after="120" w:afterAutospacing="0" w:line="276" w:lineRule="auto"/>
        <w:ind w:left="714" w:hanging="357"/>
        <w:jc w:val="both"/>
      </w:pPr>
      <w:r w:rsidRPr="00CD38A9">
        <w:rPr>
          <w:i/>
        </w:rPr>
        <w:t>FibroScan</w:t>
      </w:r>
      <w:r w:rsidRPr="00CD38A9">
        <w:t xml:space="preserve"> 502 touch -  stacionāra ierīce, ērta lietošanā, paredzēta gan aknu fibrozes, gan steatozes izvērtēšanai dažādu auguma parametru pacientiem, ar iebūvētu atmiņu, kas atvieglo pacienta uzraudzību dinamikā un iespējamu piesaisti slimnīcas informācijas sistēmai.</w:t>
      </w:r>
    </w:p>
    <w:p w14:paraId="49F0766D" w14:textId="77777777" w:rsidR="00CD38A9" w:rsidRPr="00CD38A9" w:rsidRDefault="00CD38A9" w:rsidP="00051136">
      <w:pPr>
        <w:pStyle w:val="NormalWeb"/>
        <w:numPr>
          <w:ilvl w:val="0"/>
          <w:numId w:val="13"/>
        </w:numPr>
        <w:spacing w:before="0" w:beforeAutospacing="0" w:after="120" w:afterAutospacing="0" w:line="276" w:lineRule="auto"/>
        <w:ind w:left="714" w:hanging="357"/>
        <w:jc w:val="both"/>
      </w:pPr>
      <w:r w:rsidRPr="00CD38A9">
        <w:rPr>
          <w:i/>
        </w:rPr>
        <w:t>FibroScan</w:t>
      </w:r>
      <w:r w:rsidRPr="00CD38A9">
        <w:t xml:space="preserve"> 530 compact - pārvietojama ierīce, paredzēta gan aknu fibrozes, gan steatozes izvērtēšanai dažādu auguma parametru pacientiem.</w:t>
      </w:r>
    </w:p>
    <w:p w14:paraId="28FC1F0C" w14:textId="77777777" w:rsidR="00CD38A9" w:rsidRPr="00CD38A9" w:rsidRDefault="00CD38A9" w:rsidP="00051136">
      <w:pPr>
        <w:pStyle w:val="NormalWeb"/>
        <w:numPr>
          <w:ilvl w:val="0"/>
          <w:numId w:val="13"/>
        </w:numPr>
        <w:spacing w:before="0" w:beforeAutospacing="0" w:after="120" w:afterAutospacing="0" w:line="276" w:lineRule="auto"/>
        <w:ind w:left="714" w:hanging="357"/>
        <w:jc w:val="both"/>
      </w:pPr>
      <w:r w:rsidRPr="00CD38A9">
        <w:rPr>
          <w:i/>
        </w:rPr>
        <w:t>FibroScan</w:t>
      </w:r>
      <w:r w:rsidRPr="00CD38A9">
        <w:t xml:space="preserve"> 430 mini - pārvietojama ierīce, paredzēta galvenokārt aknu fibrozes izvērtēšanai, mazāk piemērota steatozes izvērtēšanai.</w:t>
      </w:r>
    </w:p>
    <w:p w14:paraId="6B3FD4F7" w14:textId="3403AA29" w:rsidR="00CD38A9" w:rsidRPr="00CD38A9" w:rsidRDefault="00CD38A9" w:rsidP="00051136">
      <w:pPr>
        <w:pStyle w:val="NormalWeb"/>
        <w:spacing w:before="0" w:beforeAutospacing="0" w:after="120" w:afterAutospacing="0" w:line="276" w:lineRule="auto"/>
        <w:ind w:firstLine="720"/>
        <w:jc w:val="both"/>
      </w:pPr>
      <w:r w:rsidRPr="00CD38A9">
        <w:t xml:space="preserve">Minēto ierīču cenas ir sākot no 60 000 </w:t>
      </w:r>
      <w:r w:rsidR="00793B6C">
        <w:rPr>
          <w:i/>
        </w:rPr>
        <w:t>euro</w:t>
      </w:r>
      <w:r w:rsidRPr="00CD38A9">
        <w:t xml:space="preserve"> līdz vairāk kā 100 000 </w:t>
      </w:r>
      <w:r w:rsidR="00793B6C" w:rsidRPr="00793B6C">
        <w:rPr>
          <w:i/>
        </w:rPr>
        <w:t>euro</w:t>
      </w:r>
      <w:r w:rsidRPr="00CD38A9">
        <w:t xml:space="preserve">. </w:t>
      </w:r>
    </w:p>
    <w:p w14:paraId="0AD9FE1F" w14:textId="462C86AA" w:rsidR="00CD38A9" w:rsidRPr="00CD38A9" w:rsidRDefault="00CD38A9" w:rsidP="64AB90BD">
      <w:pPr>
        <w:pStyle w:val="NormalWeb"/>
        <w:spacing w:before="0" w:beforeAutospacing="0" w:after="120" w:afterAutospacing="0" w:line="276" w:lineRule="auto"/>
        <w:ind w:firstLine="720"/>
        <w:jc w:val="both"/>
      </w:pPr>
      <w:r w:rsidRPr="00CD38A9">
        <w:t xml:space="preserve">Lai nodrošinātu optimālu pieeju no valsts budžeta apmaksātiem </w:t>
      </w:r>
      <w:r w:rsidRPr="64AB90BD">
        <w:rPr>
          <w:i/>
          <w:iCs/>
        </w:rPr>
        <w:t xml:space="preserve">FibroScan </w:t>
      </w:r>
      <w:r w:rsidRPr="00CD38A9">
        <w:t xml:space="preserve">pakalpojumiem šīm ierīcēm ir jāaprīko ārstniecības iestādes, kas šobrīd nodrošina no valsts budžeta līdzekļiem apmaksātu VHC pacientu ārstēšanu un dinamisko novērošanu – </w:t>
      </w:r>
      <w:r w:rsidR="00900988">
        <w:t>SIA “Rīgas Austrumu klīniskā universitātes slimnīca”</w:t>
      </w:r>
      <w:r w:rsidRPr="00CD38A9">
        <w:t xml:space="preserve">, </w:t>
      </w:r>
      <w:r w:rsidR="00900988">
        <w:t>VSIA “</w:t>
      </w:r>
      <w:r w:rsidR="00900988" w:rsidRPr="003B72C3">
        <w:t>P</w:t>
      </w:r>
      <w:r w:rsidR="00900988">
        <w:t xml:space="preserve">aula </w:t>
      </w:r>
      <w:r w:rsidR="00900988" w:rsidRPr="003B72C3">
        <w:t>S</w:t>
      </w:r>
      <w:r w:rsidR="00900988">
        <w:t>tradiņa klīniskā universitātes slimnīca”</w:t>
      </w:r>
      <w:r w:rsidRPr="00CD38A9">
        <w:t>, Daug</w:t>
      </w:r>
      <w:r w:rsidR="0059765C">
        <w:t>avpils reģ</w:t>
      </w:r>
      <w:r w:rsidRPr="00CD38A9">
        <w:t>ionālo</w:t>
      </w:r>
      <w:r w:rsidR="0059765C">
        <w:t xml:space="preserve"> slimnīcu un Liepājas reģ</w:t>
      </w:r>
      <w:r w:rsidRPr="00CD38A9">
        <w:t xml:space="preserve">ionālo slimnīcu. Aprīkojot minētās iestādes ar pārvietojamām </w:t>
      </w:r>
      <w:r w:rsidRPr="64AB90BD">
        <w:rPr>
          <w:i/>
          <w:iCs/>
        </w:rPr>
        <w:t xml:space="preserve">FibroScan </w:t>
      </w:r>
      <w:r w:rsidRPr="00CD38A9">
        <w:t>iekārtām, tiek rasta iespēja organizēt izbraukuma pakalpojumus un veicināt VHC diagnostikas pie</w:t>
      </w:r>
      <w:r w:rsidR="0059765C">
        <w:t>e</w:t>
      </w:r>
      <w:r w:rsidRPr="00CD38A9">
        <w:t>jamību plašākam personu lokam reģionos. Vienlaicīgi ārstniecības iestādēm organizējot izbraukuma pakalpojumus</w:t>
      </w:r>
      <w:r w:rsidR="00F4661D">
        <w:t>.</w:t>
      </w:r>
    </w:p>
    <w:p w14:paraId="120922C0" w14:textId="6944BC98" w:rsidR="00CD38A9" w:rsidRDefault="64AB90BD" w:rsidP="64AB90BD">
      <w:pPr>
        <w:shd w:val="clear" w:color="auto" w:fill="FFFFFF" w:themeFill="background1"/>
        <w:spacing w:after="120"/>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Ņemot vērā minēto kā optimālākā iekārta ir </w:t>
      </w:r>
      <w:r w:rsidRPr="704995BB">
        <w:rPr>
          <w:rFonts w:ascii="Times New Roman" w:hAnsi="Times New Roman" w:cs="Times New Roman"/>
          <w:i/>
          <w:iCs/>
          <w:sz w:val="24"/>
          <w:szCs w:val="24"/>
        </w:rPr>
        <w:t>FibroScan</w:t>
      </w:r>
      <w:r w:rsidRPr="64AB90BD">
        <w:rPr>
          <w:rFonts w:ascii="Times New Roman" w:hAnsi="Times New Roman" w:cs="Times New Roman"/>
          <w:sz w:val="24"/>
          <w:szCs w:val="24"/>
        </w:rPr>
        <w:t xml:space="preserve"> 530 </w:t>
      </w:r>
      <w:r w:rsidRPr="00E93259">
        <w:rPr>
          <w:rFonts w:ascii="Times New Roman" w:hAnsi="Times New Roman" w:cs="Times New Roman"/>
          <w:sz w:val="24"/>
          <w:szCs w:val="24"/>
        </w:rPr>
        <w:t>compact</w:t>
      </w:r>
      <w:r w:rsidRPr="64AB90BD">
        <w:rPr>
          <w:rFonts w:ascii="Times New Roman" w:hAnsi="Times New Roman" w:cs="Times New Roman"/>
          <w:sz w:val="24"/>
          <w:szCs w:val="24"/>
        </w:rPr>
        <w:t xml:space="preserve">, kas ir pārvietojama ierīce un dod iespējas plašākiem aknu izmeklējumiem, kas dod iespēju optimālāk piemeklēt efektīvākās ārstēšanas shēmas. Pēc Veselības ministrijas rīcībā esošās informācijas šādas iekārtas cena ir apmēram 90 000 </w:t>
      </w:r>
      <w:r w:rsidRPr="00E93259">
        <w:rPr>
          <w:rFonts w:ascii="Times New Roman" w:hAnsi="Times New Roman" w:cs="Times New Roman"/>
          <w:i/>
          <w:iCs/>
          <w:sz w:val="24"/>
          <w:szCs w:val="24"/>
        </w:rPr>
        <w:t>euro</w:t>
      </w:r>
      <w:r w:rsidRPr="00E93259">
        <w:rPr>
          <w:rFonts w:ascii="Times New Roman" w:hAnsi="Times New Roman" w:cs="Times New Roman"/>
          <w:sz w:val="24"/>
          <w:szCs w:val="24"/>
        </w:rPr>
        <w:t xml:space="preserve">. Līdz ar to 2019.gadā ir nepieciešami  </w:t>
      </w:r>
      <w:r w:rsidRPr="00E93259">
        <w:rPr>
          <w:rFonts w:ascii="Times New Roman" w:hAnsi="Times New Roman" w:cs="Times New Roman"/>
          <w:b/>
          <w:bCs/>
          <w:sz w:val="24"/>
          <w:szCs w:val="24"/>
        </w:rPr>
        <w:t xml:space="preserve">360 000 </w:t>
      </w:r>
      <w:r w:rsidRPr="00E93259">
        <w:rPr>
          <w:rFonts w:ascii="Times New Roman" w:hAnsi="Times New Roman" w:cs="Times New Roman"/>
          <w:b/>
          <w:bCs/>
          <w:i/>
          <w:iCs/>
          <w:sz w:val="24"/>
          <w:szCs w:val="24"/>
        </w:rPr>
        <w:t>euro</w:t>
      </w:r>
      <w:r w:rsidRPr="64AB90BD">
        <w:rPr>
          <w:rFonts w:ascii="Times New Roman" w:hAnsi="Times New Roman" w:cs="Times New Roman"/>
          <w:sz w:val="24"/>
          <w:szCs w:val="24"/>
        </w:rPr>
        <w:t xml:space="preserve">, lai iegādātos 4 </w:t>
      </w:r>
      <w:r w:rsidR="52B20BA9" w:rsidRPr="00E93259">
        <w:rPr>
          <w:rFonts w:ascii="Times New Roman" w:hAnsi="Times New Roman" w:cs="Times New Roman"/>
          <w:i/>
          <w:iCs/>
          <w:sz w:val="24"/>
          <w:szCs w:val="24"/>
        </w:rPr>
        <w:t xml:space="preserve">FibroScan </w:t>
      </w:r>
      <w:r w:rsidR="52B20BA9" w:rsidRPr="00E93259">
        <w:rPr>
          <w:rFonts w:ascii="Times New Roman" w:hAnsi="Times New Roman" w:cs="Times New Roman"/>
          <w:sz w:val="24"/>
          <w:szCs w:val="24"/>
        </w:rPr>
        <w:t>iekārtas.</w:t>
      </w:r>
    </w:p>
    <w:p w14:paraId="0D03FBE6" w14:textId="6CE35083" w:rsidR="00294F67" w:rsidRDefault="00294F67" w:rsidP="64AB90BD">
      <w:pPr>
        <w:shd w:val="clear" w:color="auto" w:fill="FFFFFF" w:themeFill="background1"/>
        <w:spacing w:after="120"/>
        <w:ind w:firstLine="720"/>
        <w:jc w:val="both"/>
        <w:rPr>
          <w:rFonts w:ascii="Times New Roman" w:hAnsi="Times New Roman" w:cs="Times New Roman"/>
          <w:sz w:val="24"/>
          <w:szCs w:val="24"/>
        </w:rPr>
      </w:pPr>
    </w:p>
    <w:p w14:paraId="6794A700" w14:textId="77777777" w:rsidR="00294F67" w:rsidRPr="00FF64EC" w:rsidRDefault="00294F67" w:rsidP="64AB90BD">
      <w:pPr>
        <w:shd w:val="clear" w:color="auto" w:fill="FFFFFF" w:themeFill="background1"/>
        <w:spacing w:after="120"/>
        <w:ind w:firstLine="720"/>
        <w:jc w:val="both"/>
        <w:rPr>
          <w:rFonts w:ascii="Times New Roman" w:hAnsi="Times New Roman" w:cs="Times New Roman"/>
          <w:sz w:val="24"/>
          <w:szCs w:val="24"/>
        </w:rPr>
      </w:pPr>
    </w:p>
    <w:p w14:paraId="2E97BC8F" w14:textId="77777777" w:rsidR="00CD38A9" w:rsidRDefault="00CD38A9" w:rsidP="64AB90BD">
      <w:pPr>
        <w:shd w:val="clear" w:color="auto" w:fill="FFFFFF" w:themeFill="background1"/>
        <w:spacing w:after="0" w:line="240" w:lineRule="auto"/>
        <w:ind w:firstLine="720"/>
        <w:jc w:val="both"/>
        <w:rPr>
          <w:rFonts w:ascii="Times New Roman" w:hAnsi="Times New Roman"/>
          <w:b/>
          <w:bCs/>
          <w:sz w:val="24"/>
          <w:szCs w:val="24"/>
        </w:rPr>
      </w:pPr>
    </w:p>
    <w:p w14:paraId="42AF5346" w14:textId="77777777" w:rsidR="00DE6B9A" w:rsidRDefault="00DE6B9A" w:rsidP="6812B80F">
      <w:pPr>
        <w:spacing w:after="0" w:line="240" w:lineRule="auto"/>
        <w:ind w:firstLine="720"/>
        <w:jc w:val="right"/>
        <w:rPr>
          <w:rFonts w:ascii="Times New Roman" w:eastAsia="Times New Roman" w:hAnsi="Times New Roman" w:cs="Times New Roman"/>
          <w:color w:val="212121"/>
          <w:sz w:val="24"/>
          <w:szCs w:val="24"/>
          <w:shd w:val="clear" w:color="auto" w:fill="FFFFFF"/>
          <w:lang w:eastAsia="lv-LV"/>
        </w:rPr>
        <w:sectPr w:rsidR="00DE6B9A" w:rsidSect="00333B64">
          <w:pgSz w:w="12240" w:h="15840"/>
          <w:pgMar w:top="1440" w:right="1440" w:bottom="1440" w:left="1701" w:header="708" w:footer="708" w:gutter="0"/>
          <w:cols w:space="708"/>
          <w:docGrid w:linePitch="360"/>
        </w:sectPr>
      </w:pPr>
    </w:p>
    <w:p w14:paraId="501EF0BA" w14:textId="77777777" w:rsidR="003F5A15" w:rsidRDefault="003F5A15" w:rsidP="003F5A15">
      <w:pPr>
        <w:shd w:val="clear" w:color="auto" w:fill="FFFFFF" w:themeFill="background1"/>
        <w:spacing w:after="0" w:line="240" w:lineRule="auto"/>
        <w:ind w:firstLine="720"/>
        <w:jc w:val="center"/>
        <w:rPr>
          <w:rFonts w:ascii="Times New Roman" w:eastAsia="Times New Roman" w:hAnsi="Times New Roman" w:cs="Times New Roman"/>
          <w:b/>
          <w:bCs/>
          <w:color w:val="212121"/>
          <w:sz w:val="24"/>
          <w:szCs w:val="24"/>
          <w:lang w:eastAsia="lv-LV"/>
        </w:rPr>
      </w:pPr>
      <w:r w:rsidRPr="64AB90BD">
        <w:rPr>
          <w:rFonts w:ascii="Times New Roman" w:hAnsi="Times New Roman"/>
          <w:b/>
          <w:bCs/>
          <w:sz w:val="24"/>
          <w:szCs w:val="24"/>
        </w:rPr>
        <w:lastRenderedPageBreak/>
        <w:t xml:space="preserve">3.1.2. Jaunais reformas pasākums 2019.gadā – </w:t>
      </w:r>
      <w:r w:rsidRPr="64AB90BD">
        <w:rPr>
          <w:rFonts w:ascii="Times New Roman" w:hAnsi="Times New Roman"/>
          <w:b/>
          <w:bCs/>
          <w:sz w:val="24"/>
          <w:szCs w:val="24"/>
          <w:u w:val="single"/>
        </w:rPr>
        <w:t xml:space="preserve">Aknu </w:t>
      </w:r>
      <w:r w:rsidRPr="00E93259">
        <w:rPr>
          <w:rFonts w:ascii="Times New Roman" w:hAnsi="Times New Roman"/>
          <w:b/>
          <w:bCs/>
          <w:sz w:val="24"/>
          <w:szCs w:val="24"/>
          <w:u w:val="single"/>
        </w:rPr>
        <w:t>elastogrāfija</w:t>
      </w:r>
      <w:r w:rsidRPr="64AB90BD">
        <w:rPr>
          <w:rFonts w:ascii="Times New Roman" w:hAnsi="Times New Roman"/>
          <w:b/>
          <w:bCs/>
          <w:sz w:val="24"/>
          <w:szCs w:val="24"/>
          <w:u w:val="single"/>
        </w:rPr>
        <w:t xml:space="preserve"> ar </w:t>
      </w:r>
      <w:r w:rsidRPr="00E93259">
        <w:rPr>
          <w:rFonts w:ascii="Times New Roman" w:hAnsi="Times New Roman"/>
          <w:b/>
          <w:bCs/>
          <w:i/>
          <w:iCs/>
          <w:sz w:val="24"/>
          <w:szCs w:val="24"/>
          <w:u w:val="single"/>
        </w:rPr>
        <w:t xml:space="preserve">FibroScan </w:t>
      </w:r>
      <w:r w:rsidRPr="00E93259">
        <w:rPr>
          <w:rFonts w:ascii="Times New Roman" w:hAnsi="Times New Roman"/>
          <w:b/>
          <w:bCs/>
          <w:sz w:val="24"/>
          <w:szCs w:val="24"/>
          <w:u w:val="single"/>
        </w:rPr>
        <w:t>iekārtu</w:t>
      </w:r>
    </w:p>
    <w:p w14:paraId="4E05F9E5" w14:textId="77777777" w:rsidR="003F5A15" w:rsidRDefault="003F5A15" w:rsidP="003F5A15">
      <w:pPr>
        <w:shd w:val="clear" w:color="auto" w:fill="FFFFFF" w:themeFill="background1"/>
        <w:spacing w:after="0" w:line="240" w:lineRule="auto"/>
        <w:ind w:firstLine="720"/>
        <w:jc w:val="both"/>
        <w:rPr>
          <w:rFonts w:ascii="Times New Roman" w:eastAsia="Times New Roman" w:hAnsi="Times New Roman" w:cs="Times New Roman"/>
          <w:b/>
          <w:bCs/>
          <w:color w:val="212121"/>
          <w:sz w:val="24"/>
          <w:szCs w:val="24"/>
          <w:lang w:eastAsia="lv-LV"/>
        </w:rPr>
      </w:pPr>
    </w:p>
    <w:p w14:paraId="5650965D" w14:textId="77777777" w:rsidR="003F5A15" w:rsidRPr="0012333F" w:rsidRDefault="003F5A15" w:rsidP="003F5A15">
      <w:pPr>
        <w:shd w:val="clear" w:color="auto" w:fill="FFFFFF" w:themeFill="background1"/>
        <w:spacing w:after="120"/>
        <w:ind w:firstLine="720"/>
        <w:jc w:val="both"/>
        <w:rPr>
          <w:rFonts w:ascii="Segoe UI" w:eastAsia="Times New Roman" w:hAnsi="Segoe UI" w:cs="Segoe UI"/>
          <w:color w:val="212121"/>
          <w:sz w:val="23"/>
          <w:szCs w:val="23"/>
          <w:lang w:eastAsia="lv-LV"/>
        </w:rPr>
      </w:pPr>
      <w:r w:rsidRPr="64AB90BD">
        <w:rPr>
          <w:rFonts w:ascii="Times New Roman" w:eastAsia="Times New Roman" w:hAnsi="Times New Roman" w:cs="Times New Roman"/>
          <w:b/>
          <w:bCs/>
          <w:color w:val="212121"/>
          <w:sz w:val="24"/>
          <w:szCs w:val="24"/>
          <w:shd w:val="clear" w:color="auto" w:fill="FFFFFF"/>
          <w:lang w:eastAsia="lv-LV"/>
        </w:rPr>
        <w:t>Aknu elastogrāfija</w:t>
      </w:r>
      <w:r w:rsidRPr="00E93259">
        <w:rPr>
          <w:rFonts w:ascii="Times New Roman" w:eastAsia="Times New Roman" w:hAnsi="Times New Roman" w:cs="Times New Roman"/>
          <w:b/>
          <w:bCs/>
          <w:color w:val="212121"/>
          <w:sz w:val="24"/>
          <w:szCs w:val="24"/>
          <w:shd w:val="clear" w:color="auto" w:fill="FFFFFF"/>
          <w:lang w:eastAsia="lv-LV"/>
        </w:rPr>
        <w:t xml:space="preserve"> ar </w:t>
      </w:r>
      <w:r w:rsidRPr="00E93259">
        <w:rPr>
          <w:rFonts w:ascii="Times New Roman" w:eastAsia="Times New Roman" w:hAnsi="Times New Roman" w:cs="Times New Roman"/>
          <w:b/>
          <w:bCs/>
          <w:i/>
          <w:iCs/>
          <w:color w:val="212121"/>
          <w:sz w:val="24"/>
          <w:szCs w:val="24"/>
          <w:shd w:val="clear" w:color="auto" w:fill="FFFFFF"/>
          <w:lang w:eastAsia="lv-LV"/>
        </w:rPr>
        <w:t>FibroScan</w:t>
      </w:r>
      <w:r w:rsidRPr="00E93259">
        <w:rPr>
          <w:rFonts w:ascii="Times New Roman" w:eastAsia="Times New Roman" w:hAnsi="Times New Roman" w:cs="Times New Roman"/>
          <w:b/>
          <w:bCs/>
          <w:color w:val="212121"/>
          <w:sz w:val="24"/>
          <w:szCs w:val="24"/>
          <w:shd w:val="clear" w:color="auto" w:fill="FFFFFF"/>
          <w:lang w:eastAsia="lv-LV"/>
        </w:rPr>
        <w:t xml:space="preserve"> iekārtu </w:t>
      </w:r>
      <w:r>
        <w:rPr>
          <w:rFonts w:ascii="Times New Roman" w:eastAsia="Times New Roman" w:hAnsi="Times New Roman" w:cs="Times New Roman"/>
          <w:color w:val="212121"/>
          <w:sz w:val="24"/>
          <w:szCs w:val="24"/>
          <w:shd w:val="clear" w:color="auto" w:fill="FFFFFF"/>
          <w:lang w:eastAsia="lv-LV"/>
        </w:rPr>
        <w:t xml:space="preserve">ir jaunākā ultrasonogrāfijas (USG) metode, kas pamatojas uz audu elastīguma mērījumiem. Izmeklējums tiek veikts tāpat kā parasts USG izmeklējums. Aknu </w:t>
      </w:r>
      <w:r w:rsidRPr="0012333F">
        <w:rPr>
          <w:rFonts w:ascii="Times New Roman" w:eastAsia="Times New Roman" w:hAnsi="Times New Roman" w:cs="Times New Roman"/>
          <w:color w:val="212121"/>
          <w:sz w:val="24"/>
          <w:szCs w:val="24"/>
          <w:shd w:val="clear" w:color="auto" w:fill="FFFFFF"/>
          <w:lang w:eastAsia="lv-LV"/>
        </w:rPr>
        <w:t>elastogrāfijas</w:t>
      </w:r>
      <w:r w:rsidRPr="00E93259">
        <w:rPr>
          <w:rFonts w:ascii="Times New Roman" w:eastAsia="Times New Roman" w:hAnsi="Times New Roman" w:cs="Times New Roman"/>
          <w:color w:val="212121"/>
          <w:sz w:val="24"/>
          <w:szCs w:val="24"/>
          <w:lang w:eastAsia="lv-LV"/>
        </w:rPr>
        <w:t xml:space="preserve"> izmeklējumam ir iespēja neinvazīvi precizēt aknu fibrozes pakāpi pacientiem ar dažādām hroniskām aknu slimībām, t. sk. pacientiem, kam nav iespējams veikt aknu punkcijas biopsiju medicīnisku kontrindikāciju dēļ.</w:t>
      </w:r>
    </w:p>
    <w:p w14:paraId="6CA55542" w14:textId="77777777" w:rsidR="003F5A15" w:rsidRDefault="003F5A15" w:rsidP="003F5A15">
      <w:pPr>
        <w:shd w:val="clear" w:color="auto" w:fill="FFFFFF" w:themeFill="background1"/>
        <w:spacing w:after="120"/>
        <w:ind w:firstLine="720"/>
        <w:jc w:val="both"/>
        <w:rPr>
          <w:rFonts w:ascii="Times New Roman" w:eastAsia="Times New Roman" w:hAnsi="Times New Roman" w:cs="Times New Roman"/>
          <w:color w:val="212121"/>
          <w:sz w:val="24"/>
          <w:szCs w:val="24"/>
          <w:lang w:eastAsia="lv-LV"/>
        </w:rPr>
      </w:pPr>
      <w:r w:rsidRPr="0012333F">
        <w:rPr>
          <w:rFonts w:ascii="Times New Roman" w:eastAsia="Times New Roman" w:hAnsi="Times New Roman" w:cs="Times New Roman"/>
          <w:color w:val="212121"/>
          <w:sz w:val="24"/>
          <w:szCs w:val="24"/>
          <w:shd w:val="clear" w:color="auto" w:fill="FFFFFF"/>
          <w:lang w:eastAsia="lv-LV"/>
        </w:rPr>
        <w:t xml:space="preserve">Kā alternatīva šobrīd no valsts budžeta līdzekļiem tiek apmaksāta aknu punkcijas biopsija, kas ir sarežģīts, </w:t>
      </w:r>
      <w:r w:rsidRPr="00A75144">
        <w:rPr>
          <w:rFonts w:ascii="Times New Roman" w:eastAsia="Times New Roman" w:hAnsi="Times New Roman" w:cs="Times New Roman"/>
          <w:color w:val="212121"/>
          <w:sz w:val="24"/>
          <w:szCs w:val="24"/>
          <w:shd w:val="clear" w:color="auto" w:fill="FFFFFF"/>
          <w:lang w:eastAsia="lv-LV"/>
        </w:rPr>
        <w:t>invazīvs</w:t>
      </w:r>
      <w:r w:rsidRPr="00750483">
        <w:rPr>
          <w:rFonts w:ascii="Times New Roman" w:eastAsia="Times New Roman" w:hAnsi="Times New Roman" w:cs="Times New Roman"/>
          <w:color w:val="212121"/>
          <w:sz w:val="24"/>
          <w:szCs w:val="24"/>
          <w:shd w:val="clear" w:color="auto" w:fill="FFFFFF"/>
          <w:lang w:eastAsia="lv-LV"/>
        </w:rPr>
        <w:t xml:space="preserve"> izmeklējums. </w:t>
      </w:r>
      <w:r w:rsidRPr="00E93259">
        <w:rPr>
          <w:rFonts w:ascii="Times New Roman" w:eastAsia="Times New Roman" w:hAnsi="Times New Roman" w:cs="Times New Roman"/>
          <w:color w:val="212121"/>
          <w:sz w:val="24"/>
          <w:szCs w:val="24"/>
          <w:shd w:val="clear" w:color="auto" w:fill="FFFFFF"/>
          <w:lang w:eastAsia="lv-LV"/>
        </w:rPr>
        <w:t xml:space="preserve">Aknu </w:t>
      </w:r>
      <w:r w:rsidRPr="0012333F">
        <w:rPr>
          <w:rFonts w:ascii="Times New Roman" w:eastAsia="Times New Roman" w:hAnsi="Times New Roman" w:cs="Times New Roman"/>
          <w:color w:val="212121"/>
          <w:sz w:val="24"/>
          <w:szCs w:val="24"/>
          <w:shd w:val="clear" w:color="auto" w:fill="FFFFFF"/>
          <w:lang w:eastAsia="lv-LV"/>
        </w:rPr>
        <w:t>elastogrāfijas</w:t>
      </w:r>
      <w:r w:rsidRPr="00E93259">
        <w:rPr>
          <w:rFonts w:ascii="Times New Roman" w:eastAsia="Times New Roman" w:hAnsi="Times New Roman" w:cs="Times New Roman"/>
          <w:b/>
          <w:bCs/>
          <w:color w:val="212121"/>
          <w:sz w:val="24"/>
          <w:szCs w:val="24"/>
          <w:shd w:val="clear" w:color="auto" w:fill="FFFFFF"/>
          <w:lang w:eastAsia="lv-LV"/>
        </w:rPr>
        <w:t xml:space="preserve"> </w:t>
      </w:r>
      <w:r w:rsidRPr="00E93259">
        <w:rPr>
          <w:rFonts w:ascii="Times New Roman" w:eastAsia="Times New Roman" w:hAnsi="Times New Roman" w:cs="Times New Roman"/>
          <w:color w:val="212121"/>
          <w:sz w:val="24"/>
          <w:szCs w:val="24"/>
          <w:shd w:val="clear" w:color="auto" w:fill="FFFFFF"/>
          <w:lang w:eastAsia="lv-LV"/>
        </w:rPr>
        <w:t xml:space="preserve">izmeklējums </w:t>
      </w:r>
      <w:r w:rsidRPr="00E14207">
        <w:rPr>
          <w:rFonts w:ascii="Times New Roman" w:eastAsia="Times New Roman" w:hAnsi="Times New Roman" w:cs="Times New Roman"/>
          <w:color w:val="212121"/>
          <w:sz w:val="24"/>
          <w:szCs w:val="24"/>
          <w:shd w:val="clear" w:color="auto" w:fill="FFFFFF"/>
          <w:lang w:eastAsia="lv-LV"/>
        </w:rPr>
        <w:t xml:space="preserve">ar </w:t>
      </w:r>
      <w:r w:rsidRPr="00E93259">
        <w:rPr>
          <w:rFonts w:ascii="Times New Roman" w:eastAsia="Times New Roman" w:hAnsi="Times New Roman" w:cs="Times New Roman"/>
          <w:i/>
          <w:iCs/>
          <w:color w:val="212121"/>
          <w:sz w:val="24"/>
          <w:szCs w:val="24"/>
          <w:shd w:val="clear" w:color="auto" w:fill="FFFFFF"/>
          <w:lang w:eastAsia="lv-LV"/>
        </w:rPr>
        <w:t>FibroScan</w:t>
      </w:r>
      <w:r w:rsidRPr="0012333F">
        <w:rPr>
          <w:rFonts w:ascii="Times New Roman" w:eastAsia="Times New Roman" w:hAnsi="Times New Roman" w:cs="Times New Roman"/>
          <w:color w:val="212121"/>
          <w:sz w:val="24"/>
          <w:szCs w:val="24"/>
          <w:shd w:val="clear" w:color="auto" w:fill="FFFFFF"/>
          <w:lang w:eastAsia="lv-LV"/>
        </w:rPr>
        <w:t xml:space="preserve"> iekārtu</w:t>
      </w:r>
      <w:r w:rsidRPr="00E93259">
        <w:rPr>
          <w:rFonts w:ascii="Times New Roman" w:eastAsia="Times New Roman" w:hAnsi="Times New Roman" w:cs="Times New Roman"/>
          <w:color w:val="212121"/>
          <w:sz w:val="24"/>
          <w:szCs w:val="24"/>
          <w:lang w:eastAsia="lv-LV"/>
        </w:rPr>
        <w:t xml:space="preserve"> aizstāj nepieciešamību veikt aknu punkcijas biopsijas, izņemot atsevišķus gadījumus.</w:t>
      </w:r>
    </w:p>
    <w:p w14:paraId="7E112803" w14:textId="4E1D83B2" w:rsidR="003F5A15" w:rsidRDefault="003F5A15" w:rsidP="003F5A15">
      <w:pPr>
        <w:spacing w:after="0" w:line="240" w:lineRule="auto"/>
        <w:ind w:firstLine="720"/>
        <w:jc w:val="both"/>
        <w:rPr>
          <w:rFonts w:ascii="Times New Roman" w:eastAsia="Times New Roman" w:hAnsi="Times New Roman" w:cs="Times New Roman"/>
          <w:color w:val="212121"/>
          <w:sz w:val="24"/>
          <w:szCs w:val="24"/>
          <w:shd w:val="clear" w:color="auto" w:fill="FFFFFF"/>
          <w:lang w:eastAsia="lv-LV"/>
        </w:rPr>
      </w:pPr>
      <w:r>
        <w:rPr>
          <w:rFonts w:ascii="Times New Roman" w:eastAsia="Times New Roman" w:hAnsi="Times New Roman" w:cs="Times New Roman"/>
          <w:color w:val="212121"/>
          <w:sz w:val="24"/>
          <w:szCs w:val="24"/>
          <w:shd w:val="clear" w:color="auto" w:fill="FFFFFF"/>
          <w:lang w:eastAsia="lv-LV"/>
        </w:rPr>
        <w:t xml:space="preserve">No 2019.gada 1.aprīļa ir nepieciešami </w:t>
      </w:r>
      <w:r w:rsidRPr="00CA4C62">
        <w:rPr>
          <w:rFonts w:ascii="Times New Roman" w:eastAsia="Times New Roman" w:hAnsi="Times New Roman" w:cs="Times New Roman"/>
          <w:b/>
          <w:bCs/>
          <w:color w:val="212121"/>
          <w:sz w:val="24"/>
          <w:szCs w:val="24"/>
          <w:shd w:val="clear" w:color="auto" w:fill="FFFFFF"/>
          <w:lang w:eastAsia="lv-LV"/>
        </w:rPr>
        <w:t xml:space="preserve">24 550 </w:t>
      </w:r>
      <w:r w:rsidRPr="704995BB">
        <w:rPr>
          <w:rFonts w:ascii="Times New Roman" w:eastAsia="Times New Roman" w:hAnsi="Times New Roman" w:cs="Times New Roman"/>
          <w:b/>
          <w:bCs/>
          <w:i/>
          <w:iCs/>
          <w:color w:val="212121"/>
          <w:sz w:val="24"/>
          <w:szCs w:val="24"/>
          <w:shd w:val="clear" w:color="auto" w:fill="FFFFFF"/>
          <w:lang w:eastAsia="lv-LV"/>
        </w:rPr>
        <w:t>euro</w:t>
      </w:r>
      <w:r>
        <w:rPr>
          <w:rFonts w:ascii="Times New Roman" w:eastAsia="Times New Roman" w:hAnsi="Times New Roman" w:cs="Times New Roman"/>
          <w:color w:val="212121"/>
          <w:sz w:val="24"/>
          <w:szCs w:val="24"/>
          <w:shd w:val="clear" w:color="auto" w:fill="FFFFFF"/>
          <w:lang w:eastAsia="lv-LV"/>
        </w:rPr>
        <w:t xml:space="preserve">, lai nodrošinātu 5 000 pacientiem aknu elastogrāfiju </w:t>
      </w:r>
      <w:r w:rsidRPr="00E93259">
        <w:rPr>
          <w:rFonts w:ascii="Times New Roman" w:eastAsia="Times New Roman" w:hAnsi="Times New Roman" w:cs="Times New Roman"/>
          <w:color w:val="212121"/>
          <w:sz w:val="24"/>
          <w:szCs w:val="24"/>
          <w:shd w:val="clear" w:color="auto" w:fill="FFFFFF"/>
          <w:lang w:eastAsia="lv-LV"/>
        </w:rPr>
        <w:t xml:space="preserve">ar tarifu 4,91 </w:t>
      </w:r>
      <w:r w:rsidRPr="704995BB">
        <w:rPr>
          <w:rFonts w:ascii="Times New Roman" w:eastAsia="Times New Roman" w:hAnsi="Times New Roman" w:cs="Times New Roman"/>
          <w:i/>
          <w:iCs/>
          <w:color w:val="212121"/>
          <w:sz w:val="24"/>
          <w:szCs w:val="24"/>
          <w:shd w:val="clear" w:color="auto" w:fill="FFFFFF"/>
          <w:lang w:eastAsia="lv-LV"/>
        </w:rPr>
        <w:t>euro</w:t>
      </w:r>
      <w:r w:rsidRPr="00E93259">
        <w:rPr>
          <w:rFonts w:ascii="Times New Roman" w:eastAsia="Times New Roman" w:hAnsi="Times New Roman" w:cs="Times New Roman"/>
          <w:i/>
          <w:iCs/>
          <w:color w:val="212121"/>
          <w:sz w:val="24"/>
          <w:szCs w:val="24"/>
          <w:shd w:val="clear" w:color="auto" w:fill="FFFFFF"/>
          <w:lang w:eastAsia="lv-LV"/>
        </w:rPr>
        <w:t xml:space="preserve"> </w:t>
      </w:r>
      <w:r>
        <w:rPr>
          <w:rFonts w:ascii="Times New Roman" w:eastAsia="Times New Roman" w:hAnsi="Times New Roman" w:cs="Times New Roman"/>
          <w:color w:val="212121"/>
          <w:sz w:val="24"/>
          <w:szCs w:val="24"/>
          <w:shd w:val="clear" w:color="auto" w:fill="FFFFFF"/>
          <w:lang w:eastAsia="lv-LV"/>
        </w:rPr>
        <w:t>(49</w:t>
      </w:r>
      <w:r w:rsidRPr="003E7389">
        <w:rPr>
          <w:rFonts w:ascii="Times New Roman" w:eastAsia="Times New Roman" w:hAnsi="Times New Roman" w:cs="Times New Roman"/>
          <w:color w:val="212121"/>
          <w:sz w:val="24"/>
          <w:szCs w:val="24"/>
          <w:shd w:val="clear" w:color="auto" w:fill="FFFFFF"/>
          <w:lang w:eastAsia="lv-LV"/>
        </w:rPr>
        <w:t>.</w:t>
      </w:r>
      <w:r>
        <w:rPr>
          <w:rFonts w:ascii="Times New Roman" w:eastAsia="Times New Roman" w:hAnsi="Times New Roman" w:cs="Times New Roman"/>
          <w:color w:val="212121"/>
          <w:sz w:val="24"/>
          <w:szCs w:val="24"/>
          <w:shd w:val="clear" w:color="auto" w:fill="FFFFFF"/>
          <w:lang w:eastAsia="lv-LV"/>
        </w:rPr>
        <w:t xml:space="preserve"> un 50.</w:t>
      </w:r>
      <w:r w:rsidRPr="003E7389">
        <w:rPr>
          <w:rFonts w:ascii="Times New Roman" w:eastAsia="Times New Roman" w:hAnsi="Times New Roman" w:cs="Times New Roman"/>
          <w:color w:val="212121"/>
          <w:sz w:val="24"/>
          <w:szCs w:val="24"/>
          <w:shd w:val="clear" w:color="auto" w:fill="FFFFFF"/>
          <w:lang w:eastAsia="lv-LV"/>
        </w:rPr>
        <w:t>tabula)</w:t>
      </w:r>
      <w:r w:rsidRPr="00E93259">
        <w:rPr>
          <w:rFonts w:ascii="Times New Roman" w:eastAsia="Times New Roman" w:hAnsi="Times New Roman" w:cs="Times New Roman"/>
          <w:color w:val="212121"/>
          <w:sz w:val="24"/>
          <w:szCs w:val="24"/>
          <w:lang w:eastAsia="lv-LV"/>
        </w:rPr>
        <w:t>.</w:t>
      </w:r>
    </w:p>
    <w:p w14:paraId="6B44070B" w14:textId="77777777" w:rsidR="003F5A15" w:rsidRDefault="003F5A15" w:rsidP="6812B80F">
      <w:pPr>
        <w:spacing w:after="0" w:line="240" w:lineRule="auto"/>
        <w:ind w:firstLine="720"/>
        <w:jc w:val="right"/>
        <w:rPr>
          <w:rFonts w:ascii="Times New Roman" w:eastAsia="Times New Roman" w:hAnsi="Times New Roman" w:cs="Times New Roman"/>
          <w:color w:val="212121"/>
          <w:sz w:val="24"/>
          <w:szCs w:val="24"/>
          <w:shd w:val="clear" w:color="auto" w:fill="FFFFFF"/>
          <w:lang w:eastAsia="lv-LV"/>
        </w:rPr>
      </w:pPr>
    </w:p>
    <w:p w14:paraId="4C28E27E" w14:textId="7338F60B" w:rsidR="0012333F" w:rsidRDefault="000678A1" w:rsidP="6812B80F">
      <w:pPr>
        <w:spacing w:after="0" w:line="240" w:lineRule="auto"/>
        <w:ind w:firstLine="720"/>
        <w:jc w:val="right"/>
        <w:rPr>
          <w:rFonts w:ascii="Times New Roman" w:hAnsi="Times New Roman" w:cs="Times New Roman"/>
          <w:i/>
          <w:iCs/>
          <w:sz w:val="24"/>
          <w:szCs w:val="24"/>
        </w:rPr>
      </w:pPr>
      <w:r>
        <w:rPr>
          <w:rFonts w:ascii="Times New Roman" w:eastAsia="Times New Roman" w:hAnsi="Times New Roman" w:cs="Times New Roman"/>
          <w:color w:val="212121"/>
          <w:sz w:val="24"/>
          <w:szCs w:val="24"/>
          <w:shd w:val="clear" w:color="auto" w:fill="FFFFFF"/>
          <w:lang w:eastAsia="lv-LV"/>
        </w:rPr>
        <w:t>50</w:t>
      </w:r>
      <w:r w:rsidR="004544ED" w:rsidRPr="704995BB">
        <w:rPr>
          <w:rFonts w:ascii="Times New Roman" w:hAnsi="Times New Roman" w:cs="Times New Roman"/>
          <w:i/>
          <w:iCs/>
          <w:sz w:val="24"/>
          <w:szCs w:val="24"/>
        </w:rPr>
        <w:t>.tabula</w:t>
      </w:r>
    </w:p>
    <w:p w14:paraId="5CE451BA" w14:textId="63C23D58" w:rsidR="00DA35E1" w:rsidRPr="00CA4C62" w:rsidRDefault="00DA35E1" w:rsidP="00DA35E1">
      <w:pPr>
        <w:spacing w:after="0" w:line="240" w:lineRule="auto"/>
        <w:ind w:firstLine="720"/>
        <w:jc w:val="center"/>
        <w:rPr>
          <w:rFonts w:ascii="Times New Roman" w:hAnsi="Times New Roman" w:cs="Times New Roman"/>
          <w:b/>
          <w:i/>
          <w:iCs/>
          <w:sz w:val="24"/>
          <w:szCs w:val="24"/>
        </w:rPr>
      </w:pPr>
      <w:r w:rsidRPr="00CA4C62">
        <w:rPr>
          <w:rFonts w:ascii="Times New Roman" w:hAnsi="Times New Roman"/>
          <w:b/>
          <w:bCs/>
          <w:color w:val="000000"/>
          <w:sz w:val="24"/>
          <w:szCs w:val="24"/>
          <w:shd w:val="clear" w:color="auto" w:fill="FFFFFF"/>
        </w:rPr>
        <w:t xml:space="preserve">Aknu </w:t>
      </w:r>
      <w:r w:rsidRPr="00CA4C62">
        <w:rPr>
          <w:rFonts w:ascii="Times New Roman" w:eastAsia="Times New Roman" w:hAnsi="Times New Roman"/>
          <w:b/>
          <w:bCs/>
          <w:color w:val="212121"/>
          <w:sz w:val="24"/>
          <w:szCs w:val="24"/>
          <w:shd w:val="clear" w:color="auto" w:fill="FFFFFF"/>
          <w:lang w:eastAsia="lv-LV"/>
        </w:rPr>
        <w:t>elastogrāfijas</w:t>
      </w:r>
      <w:r w:rsidRPr="00E93259">
        <w:rPr>
          <w:rFonts w:ascii="Times New Roman" w:eastAsia="Times New Roman" w:hAnsi="Times New Roman"/>
          <w:b/>
          <w:bCs/>
          <w:color w:val="212121"/>
          <w:sz w:val="24"/>
          <w:szCs w:val="24"/>
          <w:shd w:val="clear" w:color="auto" w:fill="FFFFFF"/>
          <w:lang w:eastAsia="lv-LV"/>
        </w:rPr>
        <w:t xml:space="preserve"> ar </w:t>
      </w:r>
      <w:r w:rsidRPr="00E93259">
        <w:rPr>
          <w:rFonts w:ascii="Times New Roman" w:eastAsia="Times New Roman" w:hAnsi="Times New Roman"/>
          <w:b/>
          <w:bCs/>
          <w:i/>
          <w:iCs/>
          <w:color w:val="212121"/>
          <w:sz w:val="24"/>
          <w:szCs w:val="24"/>
          <w:shd w:val="clear" w:color="auto" w:fill="FFFFFF"/>
          <w:lang w:eastAsia="lv-LV"/>
        </w:rPr>
        <w:t>FibroScan</w:t>
      </w:r>
      <w:r w:rsidRPr="00E93259">
        <w:rPr>
          <w:rFonts w:ascii="Times New Roman" w:eastAsia="Times New Roman" w:hAnsi="Times New Roman"/>
          <w:b/>
          <w:bCs/>
          <w:color w:val="212121"/>
          <w:sz w:val="24"/>
          <w:szCs w:val="24"/>
          <w:lang w:eastAsia="lv-LV"/>
        </w:rPr>
        <w:t xml:space="preserve"> iekārtu veikšanai nepieciešamais finansējums</w:t>
      </w:r>
      <w:r>
        <w:rPr>
          <w:rFonts w:ascii="Times New Roman" w:eastAsia="Times New Roman" w:hAnsi="Times New Roman"/>
          <w:b/>
          <w:bCs/>
          <w:color w:val="212121"/>
          <w:sz w:val="24"/>
          <w:szCs w:val="24"/>
          <w:lang w:eastAsia="lv-LV"/>
        </w:rPr>
        <w:t xml:space="preserve"> 2017., 2018. un 2019.gadā</w:t>
      </w:r>
    </w:p>
    <w:p w14:paraId="650CF24C" w14:textId="3CB84C3D" w:rsidR="00DA35E1" w:rsidRDefault="00DA35E1" w:rsidP="6812B80F">
      <w:pPr>
        <w:spacing w:after="0" w:line="240" w:lineRule="auto"/>
        <w:ind w:firstLine="720"/>
        <w:jc w:val="right"/>
        <w:rPr>
          <w:rFonts w:ascii="Times New Roman" w:hAnsi="Times New Roman" w:cs="Times New Roman"/>
          <w:i/>
          <w:iCs/>
          <w:sz w:val="24"/>
          <w:szCs w:val="24"/>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276"/>
        <w:gridCol w:w="1134"/>
        <w:gridCol w:w="851"/>
        <w:gridCol w:w="850"/>
        <w:gridCol w:w="851"/>
        <w:gridCol w:w="845"/>
        <w:gridCol w:w="851"/>
        <w:gridCol w:w="850"/>
        <w:gridCol w:w="704"/>
        <w:gridCol w:w="709"/>
        <w:gridCol w:w="709"/>
        <w:gridCol w:w="708"/>
        <w:gridCol w:w="709"/>
        <w:gridCol w:w="851"/>
      </w:tblGrid>
      <w:tr w:rsidR="00DE6B9A" w14:paraId="13E0D9A9" w14:textId="77777777" w:rsidTr="003B7A39">
        <w:trPr>
          <w:cantSplit/>
          <w:trHeight w:val="1419"/>
          <w:jc w:val="center"/>
        </w:trPr>
        <w:tc>
          <w:tcPr>
            <w:tcW w:w="430" w:type="dxa"/>
            <w:shd w:val="clear" w:color="auto" w:fill="E36C0A" w:themeFill="accent6" w:themeFillShade="BF"/>
            <w:vAlign w:val="center"/>
            <w:hideMark/>
          </w:tcPr>
          <w:p w14:paraId="2665857C" w14:textId="77777777" w:rsidR="00DE6B9A" w:rsidRPr="00847710" w:rsidRDefault="00DE6B9A" w:rsidP="00DE5AEF">
            <w:pPr>
              <w:spacing w:after="0" w:line="240" w:lineRule="auto"/>
              <w:rPr>
                <w:rFonts w:ascii="Times New Roman" w:eastAsia="Times New Roman" w:hAnsi="Times New Roman" w:cs="Times New Roman"/>
                <w:b/>
                <w:bCs/>
                <w:sz w:val="20"/>
                <w:szCs w:val="20"/>
                <w:lang w:eastAsia="lv-LV"/>
              </w:rPr>
            </w:pPr>
          </w:p>
        </w:tc>
        <w:tc>
          <w:tcPr>
            <w:tcW w:w="1276" w:type="dxa"/>
            <w:shd w:val="clear" w:color="auto" w:fill="E36C0A" w:themeFill="accent6" w:themeFillShade="BF"/>
            <w:textDirection w:val="btLr"/>
            <w:vAlign w:val="center"/>
            <w:hideMark/>
          </w:tcPr>
          <w:p w14:paraId="1FBEAC68" w14:textId="77777777" w:rsidR="00DE6B9A" w:rsidRPr="00847710" w:rsidRDefault="00DE6B9A" w:rsidP="00DE5AEF">
            <w:pPr>
              <w:spacing w:after="0" w:line="240" w:lineRule="auto"/>
              <w:ind w:left="113" w:right="113"/>
              <w:jc w:val="center"/>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70E8DAC2" w14:textId="7101893F" w:rsidR="00DE6B9A" w:rsidRPr="00847710" w:rsidRDefault="00DE6B9A" w:rsidP="00DE5AE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pakalpojuma vidējās izmaksas</w:t>
            </w:r>
          </w:p>
        </w:tc>
        <w:tc>
          <w:tcPr>
            <w:tcW w:w="2552" w:type="dxa"/>
            <w:gridSpan w:val="3"/>
            <w:shd w:val="clear" w:color="auto" w:fill="E36C0A" w:themeFill="accent6" w:themeFillShade="BF"/>
            <w:textDirection w:val="btLr"/>
            <w:vAlign w:val="center"/>
          </w:tcPr>
          <w:p w14:paraId="301D4188" w14:textId="77777777" w:rsidR="00DE6B9A" w:rsidRPr="00847710" w:rsidRDefault="00DE6B9A" w:rsidP="00DE5AEF">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w:t>
            </w:r>
            <w:r w:rsidRPr="00847710">
              <w:rPr>
                <w:rFonts w:ascii="Times New Roman" w:eastAsia="Times New Roman" w:hAnsi="Times New Roman" w:cs="Times New Roman"/>
                <w:b/>
                <w:bCs/>
                <w:sz w:val="20"/>
                <w:szCs w:val="20"/>
                <w:lang w:eastAsia="lv-LV"/>
              </w:rPr>
              <w:t xml:space="preserve"> piešķiramais finansējums</w:t>
            </w:r>
          </w:p>
          <w:p w14:paraId="6D67DE63" w14:textId="77777777" w:rsidR="00DE6B9A" w:rsidRPr="00847710" w:rsidRDefault="00DE6B9A" w:rsidP="00DE5AEF">
            <w:pPr>
              <w:spacing w:after="0" w:line="240" w:lineRule="auto"/>
              <w:ind w:left="113" w:right="113"/>
              <w:jc w:val="center"/>
              <w:rPr>
                <w:rFonts w:ascii="Times New Roman" w:eastAsia="Times New Roman" w:hAnsi="Times New Roman" w:cs="Times New Roman"/>
                <w:b/>
                <w:bCs/>
                <w:sz w:val="20"/>
                <w:szCs w:val="20"/>
                <w:lang w:eastAsia="lv-LV"/>
              </w:rPr>
            </w:pPr>
          </w:p>
        </w:tc>
        <w:tc>
          <w:tcPr>
            <w:tcW w:w="2546" w:type="dxa"/>
            <w:gridSpan w:val="3"/>
            <w:shd w:val="clear" w:color="auto" w:fill="E36C0A" w:themeFill="accent6" w:themeFillShade="BF"/>
            <w:textDirection w:val="btLr"/>
            <w:vAlign w:val="center"/>
          </w:tcPr>
          <w:p w14:paraId="44CB6FF4" w14:textId="3F1929E0" w:rsidR="00DE6B9A" w:rsidRPr="00847710" w:rsidRDefault="00DE6B9A" w:rsidP="00DE5AE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4B92C45F" w14:textId="77777777" w:rsidR="00DE6B9A" w:rsidRPr="00847710" w:rsidRDefault="00DE6B9A" w:rsidP="00DE5AEF">
            <w:pPr>
              <w:spacing w:after="0" w:line="240" w:lineRule="auto"/>
              <w:ind w:left="113" w:right="113"/>
              <w:jc w:val="center"/>
              <w:rPr>
                <w:rFonts w:ascii="Times New Roman" w:eastAsia="Times New Roman" w:hAnsi="Times New Roman" w:cs="Times New Roman"/>
                <w:b/>
                <w:bCs/>
                <w:sz w:val="20"/>
                <w:szCs w:val="20"/>
                <w:lang w:eastAsia="lv-LV"/>
              </w:rPr>
            </w:pPr>
          </w:p>
        </w:tc>
        <w:tc>
          <w:tcPr>
            <w:tcW w:w="2122" w:type="dxa"/>
            <w:gridSpan w:val="3"/>
            <w:shd w:val="clear" w:color="auto" w:fill="E36C0A" w:themeFill="accent6" w:themeFillShade="BF"/>
            <w:textDirection w:val="btLr"/>
            <w:vAlign w:val="center"/>
          </w:tcPr>
          <w:p w14:paraId="58845D75" w14:textId="77777777" w:rsidR="00DE6B9A" w:rsidRPr="00847710" w:rsidRDefault="00DE6B9A" w:rsidP="00DE5AE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2268" w:type="dxa"/>
            <w:gridSpan w:val="3"/>
            <w:shd w:val="clear" w:color="auto" w:fill="E36C0A" w:themeFill="accent6" w:themeFillShade="BF"/>
            <w:textDirection w:val="btLr"/>
            <w:vAlign w:val="center"/>
          </w:tcPr>
          <w:p w14:paraId="69022F63" w14:textId="6F4DE7F6" w:rsidR="00DE6B9A" w:rsidRPr="00847710" w:rsidRDefault="00DE6B9A" w:rsidP="00DE5AEF">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r>
              <w:rPr>
                <w:rFonts w:ascii="Times New Roman" w:eastAsia="Times New Roman" w:hAnsi="Times New Roman" w:cs="Times New Roman"/>
                <w:b/>
                <w:bCs/>
                <w:sz w:val="20"/>
                <w:szCs w:val="20"/>
                <w:lang w:eastAsia="lv-LV"/>
              </w:rPr>
              <w:t xml:space="preserve"> pēc finansējuma piešķīruma</w:t>
            </w:r>
          </w:p>
        </w:tc>
      </w:tr>
      <w:tr w:rsidR="00DE6B9A" w14:paraId="1B44F703" w14:textId="77777777" w:rsidTr="003B7A39">
        <w:trPr>
          <w:trHeight w:val="505"/>
          <w:jc w:val="center"/>
        </w:trPr>
        <w:tc>
          <w:tcPr>
            <w:tcW w:w="43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340AE310" w14:textId="77777777" w:rsidR="00DE6B9A" w:rsidRPr="00847710" w:rsidRDefault="00DE6B9A" w:rsidP="00DE6B9A">
            <w:pPr>
              <w:spacing w:after="0" w:line="240" w:lineRule="auto"/>
              <w:jc w:val="center"/>
              <w:rPr>
                <w:rFonts w:ascii="Times New Roman" w:eastAsia="Times New Roman" w:hAnsi="Times New Roman" w:cs="Times New Roman"/>
                <w:color w:val="00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B5BF45" w14:textId="77777777" w:rsidR="00DE6B9A" w:rsidRPr="00847710" w:rsidRDefault="00DE6B9A" w:rsidP="00DE6B9A">
            <w:pPr>
              <w:spacing w:after="0" w:line="240" w:lineRule="auto"/>
              <w:jc w:val="center"/>
              <w:rPr>
                <w:rFonts w:ascii="Times New Roman" w:eastAsia="Times New Roman" w:hAnsi="Times New Roman" w:cs="Times New Roman"/>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77778777" w14:textId="77777777" w:rsidR="00DE6B9A" w:rsidRPr="00C86312" w:rsidRDefault="00DE6B9A" w:rsidP="00DE6B9A">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94D26C" w14:textId="77777777"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4B594C2E" w14:textId="77777777" w:rsidR="00DE6B9A" w:rsidRPr="0012317D" w:rsidRDefault="00DE6B9A" w:rsidP="00DE6B9A">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CC5D79" w14:textId="77777777"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2A2ABFDA" w14:textId="77777777" w:rsidR="00DE6B9A" w:rsidRPr="0012317D" w:rsidRDefault="00DE6B9A" w:rsidP="00DE6B9A">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0EE051" w14:textId="77777777" w:rsidR="00DE6B9A" w:rsidRPr="00C86312" w:rsidRDefault="00DE6B9A" w:rsidP="00DE6B9A">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66C06043" w14:textId="77777777" w:rsidR="00DE6B9A" w:rsidRPr="00C86312" w:rsidRDefault="00DE6B9A" w:rsidP="00DE6B9A">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ADA2CE" w14:textId="77777777"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7116ED8D" w14:textId="2E4BB30C" w:rsidR="00DE6B9A" w:rsidRDefault="00DE6B9A" w:rsidP="00DE6B9A">
            <w:pPr>
              <w:spacing w:after="0" w:line="240" w:lineRule="auto"/>
              <w:jc w:val="center"/>
              <w:rPr>
                <w:rFonts w:ascii="Times New Roman" w:eastAsia="Times New Roman" w:hAnsi="Times New Roman" w:cs="Times New Roman"/>
                <w:b/>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2090A7" w14:textId="77777777"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5BF75BF" w14:textId="615A2078" w:rsidR="00DE6B9A" w:rsidRDefault="00DE6B9A" w:rsidP="00DE6B9A">
            <w:pPr>
              <w:spacing w:after="0" w:line="240" w:lineRule="auto"/>
              <w:jc w:val="center"/>
              <w:rPr>
                <w:rFonts w:ascii="Times New Roman" w:eastAsia="Times New Roman" w:hAnsi="Times New Roman" w:cs="Times New Roman"/>
                <w:b/>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39C633" w14:textId="107EA653" w:rsidR="00DE6B9A" w:rsidRDefault="00DE6B9A" w:rsidP="00DE6B9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2019 </w:t>
            </w:r>
            <w:r w:rsidRPr="005B18F9">
              <w:rPr>
                <w:rFonts w:ascii="Times New Roman" w:eastAsia="Times New Roman" w:hAnsi="Times New Roman" w:cs="Times New Roman"/>
                <w:i/>
                <w:sz w:val="20"/>
                <w:szCs w:val="20"/>
                <w:lang w:eastAsia="lv-LV"/>
              </w:rPr>
              <w:t>(euro)</w:t>
            </w:r>
          </w:p>
        </w:tc>
        <w:tc>
          <w:tcPr>
            <w:tcW w:w="70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C7586E4" w14:textId="77777777" w:rsidR="00DE6B9A" w:rsidRPr="00847710" w:rsidRDefault="00DE6B9A" w:rsidP="00DE6B9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C4B61D" w14:textId="77777777" w:rsidR="00DE6B9A" w:rsidRPr="00847710" w:rsidRDefault="00DE6B9A" w:rsidP="00DE6B9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2018</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8B55D9" w14:textId="77777777" w:rsidR="00DE6B9A" w:rsidRPr="00847710" w:rsidRDefault="00DE6B9A" w:rsidP="00DE6B9A">
            <w:pPr>
              <w:spacing w:after="0" w:line="240" w:lineRule="auto"/>
              <w:jc w:val="center"/>
              <w:rPr>
                <w:rFonts w:ascii="Times New Roman" w:eastAsia="Times New Roman" w:hAnsi="Times New Roman" w:cs="Times New Roman"/>
                <w:b/>
                <w:sz w:val="20"/>
                <w:szCs w:val="20"/>
                <w:lang w:eastAsia="lv-LV"/>
              </w:rPr>
            </w:pPr>
          </w:p>
          <w:p w14:paraId="28691B1C" w14:textId="77777777" w:rsidR="00DE6B9A" w:rsidRPr="00C86312" w:rsidRDefault="00DE6B9A" w:rsidP="00DE6B9A">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6341BA44" w14:textId="77777777" w:rsidR="00DE6B9A" w:rsidRPr="00847710" w:rsidRDefault="00DE6B9A" w:rsidP="00DE6B9A">
            <w:pPr>
              <w:spacing w:after="0" w:line="240" w:lineRule="auto"/>
              <w:jc w:val="center"/>
              <w:rPr>
                <w:rFonts w:ascii="Times New Roman" w:eastAsia="Times New Roman" w:hAnsi="Times New Roman" w:cs="Times New Roman"/>
                <w:b/>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AC4F50E" w14:textId="738B2C01" w:rsidR="00DE6B9A" w:rsidRDefault="00DE6B9A" w:rsidP="00DE6B9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D785F2" w14:textId="3D240D49" w:rsidR="00DE6B9A" w:rsidRDefault="00DE6B9A" w:rsidP="00DE6B9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2018</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93AC46" w14:textId="2039E373" w:rsidR="00DE6B9A" w:rsidRPr="00847710" w:rsidRDefault="00DE6B9A" w:rsidP="00DE6B9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2019</w:t>
            </w:r>
          </w:p>
        </w:tc>
      </w:tr>
      <w:tr w:rsidR="00DE6B9A" w14:paraId="6EA0A23C" w14:textId="77777777" w:rsidTr="003B7A39">
        <w:trPr>
          <w:trHeight w:val="278"/>
          <w:jc w:val="center"/>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F20D" w14:textId="77777777" w:rsidR="00DE6B9A" w:rsidRPr="00847710" w:rsidRDefault="00DE6B9A" w:rsidP="00DE5AEF">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6ACE6" w14:textId="43B63531" w:rsidR="00DE6B9A" w:rsidRPr="00847710" w:rsidRDefault="00DE6B9A" w:rsidP="00DE5A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Aknu elastogrāfija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B4AB" w14:textId="632B6DAB" w:rsidR="00DE6B9A" w:rsidRPr="00847710" w:rsidRDefault="00DE6B9A" w:rsidP="00DE5A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4.91</w:t>
            </w:r>
          </w:p>
        </w:tc>
        <w:tc>
          <w:tcPr>
            <w:tcW w:w="851" w:type="dxa"/>
            <w:tcBorders>
              <w:top w:val="single" w:sz="4" w:space="0" w:color="auto"/>
              <w:left w:val="single" w:sz="4" w:space="0" w:color="auto"/>
              <w:bottom w:val="single" w:sz="4" w:space="0" w:color="auto"/>
              <w:right w:val="single" w:sz="4" w:space="0" w:color="auto"/>
            </w:tcBorders>
            <w:vAlign w:val="center"/>
          </w:tcPr>
          <w:p w14:paraId="7156D80A" w14:textId="0CCEE632" w:rsidR="00DE6B9A" w:rsidRDefault="00DE6B9A" w:rsidP="00DE5AE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2BAAEDC2" w14:textId="7861B658" w:rsidR="00DE6B9A" w:rsidRDefault="00DE6B9A" w:rsidP="00DE5AE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576FFFEB" w14:textId="52302217" w:rsidR="00DE6B9A" w:rsidRPr="00C86312" w:rsidRDefault="00DE6B9A" w:rsidP="00DE5AEF">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themeColor="text1"/>
                <w:sz w:val="20"/>
                <w:szCs w:val="20"/>
                <w:lang w:eastAsia="lv-LV"/>
              </w:rPr>
              <w:t>-</w:t>
            </w:r>
          </w:p>
        </w:tc>
        <w:tc>
          <w:tcPr>
            <w:tcW w:w="845" w:type="dxa"/>
            <w:tcBorders>
              <w:top w:val="single" w:sz="4" w:space="0" w:color="auto"/>
              <w:left w:val="single" w:sz="4" w:space="0" w:color="auto"/>
              <w:bottom w:val="single" w:sz="4" w:space="0" w:color="auto"/>
              <w:right w:val="single" w:sz="4" w:space="0" w:color="auto"/>
            </w:tcBorders>
            <w:vAlign w:val="center"/>
          </w:tcPr>
          <w:p w14:paraId="124B3A62" w14:textId="599C9893" w:rsidR="00DE6B9A" w:rsidRDefault="00DE6B9A" w:rsidP="00DE5AE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2D486146" w14:textId="67961857" w:rsidR="00DE6B9A" w:rsidRDefault="00DE6B9A" w:rsidP="00DE5AE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7EB9CF68" w14:textId="7D15180B" w:rsidR="00DE6B9A" w:rsidRPr="003B7A39" w:rsidRDefault="00DE6B9A" w:rsidP="00DE5AEF">
            <w:pPr>
              <w:spacing w:after="0" w:line="240" w:lineRule="auto"/>
              <w:jc w:val="center"/>
              <w:rPr>
                <w:rFonts w:ascii="Times New Roman" w:eastAsia="Times New Roman" w:hAnsi="Times New Roman" w:cs="Times New Roman"/>
                <w:bCs/>
                <w:sz w:val="20"/>
                <w:szCs w:val="20"/>
                <w:lang w:eastAsia="lv-LV"/>
              </w:rPr>
            </w:pPr>
            <w:r w:rsidRPr="003B7A39">
              <w:rPr>
                <w:rFonts w:ascii="Times New Roman" w:eastAsia="Times New Roman" w:hAnsi="Times New Roman" w:cs="Times New Roman"/>
                <w:bCs/>
                <w:sz w:val="20"/>
                <w:szCs w:val="20"/>
                <w:lang w:eastAsia="lv-LV"/>
              </w:rPr>
              <w:t>24 500</w:t>
            </w:r>
          </w:p>
        </w:tc>
        <w:tc>
          <w:tcPr>
            <w:tcW w:w="704" w:type="dxa"/>
            <w:tcBorders>
              <w:top w:val="single" w:sz="4" w:space="0" w:color="auto"/>
              <w:left w:val="single" w:sz="4" w:space="0" w:color="auto"/>
              <w:bottom w:val="single" w:sz="4" w:space="0" w:color="auto"/>
              <w:right w:val="single" w:sz="4" w:space="0" w:color="auto"/>
            </w:tcBorders>
            <w:vAlign w:val="center"/>
          </w:tcPr>
          <w:p w14:paraId="3956BE58" w14:textId="7CD35350" w:rsidR="00DE6B9A" w:rsidRPr="003B7A39" w:rsidRDefault="00DE6B9A" w:rsidP="00DE5AEF">
            <w:pPr>
              <w:spacing w:after="0" w:line="240" w:lineRule="auto"/>
              <w:jc w:val="center"/>
              <w:rPr>
                <w:rFonts w:ascii="Times New Roman" w:eastAsia="Times New Roman" w:hAnsi="Times New Roman" w:cs="Times New Roman"/>
                <w:bCs/>
                <w:sz w:val="20"/>
                <w:szCs w:val="20"/>
                <w:lang w:eastAsia="lv-LV"/>
              </w:rPr>
            </w:pPr>
            <w:r w:rsidRPr="003B7A39">
              <w:rPr>
                <w:rFonts w:ascii="Times New Roman" w:eastAsia="Times New Roman" w:hAnsi="Times New Roman" w:cs="Times New Roman"/>
                <w:bCs/>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FD10FA8" w14:textId="1B98BA47" w:rsidR="00DE6B9A" w:rsidRPr="003B7A39" w:rsidRDefault="00DE6B9A" w:rsidP="00DE5AEF">
            <w:pPr>
              <w:spacing w:after="0" w:line="240" w:lineRule="auto"/>
              <w:jc w:val="center"/>
              <w:rPr>
                <w:rFonts w:ascii="Times New Roman" w:eastAsia="Times New Roman" w:hAnsi="Times New Roman" w:cs="Times New Roman"/>
                <w:bCs/>
                <w:sz w:val="20"/>
                <w:szCs w:val="20"/>
                <w:lang w:eastAsia="lv-LV"/>
              </w:rPr>
            </w:pPr>
            <w:r w:rsidRPr="003B7A39">
              <w:rPr>
                <w:rFonts w:ascii="Times New Roman" w:eastAsia="Times New Roman" w:hAnsi="Times New Roman" w:cs="Times New Roman"/>
                <w:bCs/>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2528A22" w14:textId="4D2EFB2D" w:rsidR="00DE6B9A" w:rsidRPr="003B7A39" w:rsidRDefault="00DE6B9A" w:rsidP="00DE5AEF">
            <w:pPr>
              <w:spacing w:after="0" w:line="240" w:lineRule="auto"/>
              <w:jc w:val="center"/>
              <w:rPr>
                <w:rFonts w:ascii="Times New Roman" w:eastAsia="Times New Roman" w:hAnsi="Times New Roman" w:cs="Times New Roman"/>
                <w:bCs/>
                <w:sz w:val="20"/>
                <w:szCs w:val="20"/>
                <w:lang w:eastAsia="lv-LV"/>
              </w:rPr>
            </w:pPr>
            <w:r w:rsidRPr="003B7A39">
              <w:rPr>
                <w:rFonts w:ascii="Times New Roman" w:eastAsia="Times New Roman" w:hAnsi="Times New Roman" w:cs="Times New Roman"/>
                <w:bCs/>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347C29E4" w14:textId="05EF0F30" w:rsidR="00DE6B9A" w:rsidRPr="003B7A39" w:rsidRDefault="00DE6B9A" w:rsidP="00DE5AEF">
            <w:pPr>
              <w:spacing w:after="0" w:line="240" w:lineRule="auto"/>
              <w:jc w:val="center"/>
              <w:rPr>
                <w:rFonts w:ascii="Times New Roman" w:eastAsia="Times New Roman" w:hAnsi="Times New Roman" w:cs="Times New Roman"/>
                <w:bCs/>
                <w:sz w:val="20"/>
                <w:szCs w:val="20"/>
                <w:lang w:eastAsia="lv-LV"/>
              </w:rPr>
            </w:pPr>
            <w:r w:rsidRPr="003B7A39">
              <w:rPr>
                <w:rFonts w:ascii="Times New Roman" w:eastAsia="Times New Roman" w:hAnsi="Times New Roman" w:cs="Times New Roman"/>
                <w:bCs/>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A49CAA9" w14:textId="3F264F86" w:rsidR="00DE6B9A" w:rsidRPr="003B7A39" w:rsidRDefault="00DE6B9A" w:rsidP="00DE5AEF">
            <w:pPr>
              <w:spacing w:after="0" w:line="240" w:lineRule="auto"/>
              <w:jc w:val="center"/>
              <w:rPr>
                <w:rFonts w:ascii="Times New Roman" w:eastAsia="Times New Roman" w:hAnsi="Times New Roman" w:cs="Times New Roman"/>
                <w:bCs/>
                <w:sz w:val="20"/>
                <w:szCs w:val="20"/>
                <w:lang w:eastAsia="lv-LV"/>
              </w:rPr>
            </w:pPr>
            <w:r w:rsidRPr="003B7A39">
              <w:rPr>
                <w:rFonts w:ascii="Times New Roman" w:eastAsia="Times New Roman" w:hAnsi="Times New Roman" w:cs="Times New Roman"/>
                <w:bCs/>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5389F59E" w14:textId="523A8694" w:rsidR="00DE6B9A" w:rsidRPr="003B7A39" w:rsidRDefault="00DE6B9A" w:rsidP="00DE5AEF">
            <w:pPr>
              <w:spacing w:after="0" w:line="240" w:lineRule="auto"/>
              <w:jc w:val="center"/>
              <w:rPr>
                <w:rFonts w:ascii="Times New Roman" w:eastAsia="Times New Roman" w:hAnsi="Times New Roman" w:cs="Times New Roman"/>
                <w:bCs/>
                <w:sz w:val="20"/>
                <w:szCs w:val="20"/>
                <w:lang w:eastAsia="lv-LV"/>
              </w:rPr>
            </w:pPr>
            <w:r w:rsidRPr="003B7A39">
              <w:rPr>
                <w:rFonts w:ascii="Times New Roman" w:eastAsia="Times New Roman" w:hAnsi="Times New Roman" w:cs="Times New Roman"/>
                <w:bCs/>
                <w:sz w:val="20"/>
                <w:szCs w:val="20"/>
                <w:lang w:eastAsia="lv-LV"/>
              </w:rPr>
              <w:t>5 000</w:t>
            </w:r>
          </w:p>
        </w:tc>
      </w:tr>
      <w:tr w:rsidR="00DE6B9A" w14:paraId="54E60888" w14:textId="77777777" w:rsidTr="003B7A39">
        <w:trPr>
          <w:trHeight w:val="285"/>
          <w:jc w:val="center"/>
        </w:trPr>
        <w:tc>
          <w:tcPr>
            <w:tcW w:w="43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237CD0F5" w14:textId="77777777" w:rsidR="00DE6B9A" w:rsidRPr="00847710" w:rsidRDefault="00DE6B9A" w:rsidP="00DA35E1">
            <w:pPr>
              <w:spacing w:after="0" w:line="240" w:lineRule="auto"/>
              <w:jc w:val="center"/>
              <w:rPr>
                <w:rFonts w:ascii="Times New Roman" w:eastAsia="Times New Roman" w:hAnsi="Times New Roman" w:cs="Times New Roman"/>
                <w:color w:val="00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66915E8" w14:textId="77777777" w:rsidR="00DE6B9A" w:rsidRPr="00C86312" w:rsidRDefault="00DE6B9A" w:rsidP="00DA35E1">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1134"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87A2307" w14:textId="77777777" w:rsidR="00DE6B9A" w:rsidRPr="00847710" w:rsidRDefault="00DE6B9A" w:rsidP="00DA35E1">
            <w:pPr>
              <w:spacing w:after="0" w:line="240" w:lineRule="auto"/>
              <w:jc w:val="center"/>
              <w:rPr>
                <w:rFonts w:ascii="Times New Roman" w:eastAsia="Times New Roman" w:hAnsi="Times New Roman" w:cs="Times New Roman"/>
                <w:b/>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CD5B4"/>
            <w:vAlign w:val="center"/>
          </w:tcPr>
          <w:p w14:paraId="509E6A6E" w14:textId="1A5BFAC5" w:rsidR="00DE6B9A" w:rsidRDefault="00DE6B9A" w:rsidP="00DA35E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FCD5B4"/>
            <w:vAlign w:val="center"/>
          </w:tcPr>
          <w:p w14:paraId="6865E236" w14:textId="55B02664" w:rsidR="00DE6B9A" w:rsidRDefault="00DE6B9A" w:rsidP="00DA35E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FCD5B4"/>
            <w:vAlign w:val="center"/>
          </w:tcPr>
          <w:p w14:paraId="27A4332C" w14:textId="61BDA776" w:rsidR="00DE6B9A" w:rsidRPr="00C86312" w:rsidRDefault="00DE6B9A" w:rsidP="00DA35E1">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themeColor="text1"/>
                <w:sz w:val="20"/>
                <w:szCs w:val="20"/>
                <w:lang w:eastAsia="lv-LV"/>
              </w:rPr>
              <w:t>-</w:t>
            </w:r>
          </w:p>
        </w:tc>
        <w:tc>
          <w:tcPr>
            <w:tcW w:w="845" w:type="dxa"/>
            <w:tcBorders>
              <w:top w:val="single" w:sz="4" w:space="0" w:color="auto"/>
              <w:left w:val="single" w:sz="4" w:space="0" w:color="auto"/>
              <w:bottom w:val="single" w:sz="4" w:space="0" w:color="auto"/>
              <w:right w:val="single" w:sz="4" w:space="0" w:color="auto"/>
            </w:tcBorders>
            <w:shd w:val="clear" w:color="auto" w:fill="FCD5B4"/>
          </w:tcPr>
          <w:p w14:paraId="31C27000" w14:textId="77777777" w:rsidR="00DE6B9A" w:rsidRDefault="00DE6B9A" w:rsidP="00DA35E1">
            <w:pPr>
              <w:spacing w:after="0" w:line="240" w:lineRule="auto"/>
              <w:jc w:val="center"/>
              <w:rPr>
                <w:rFonts w:ascii="Times New Roman" w:eastAsia="Times New Roman" w:hAnsi="Times New Roman" w:cs="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CD5B4"/>
          </w:tcPr>
          <w:p w14:paraId="41861F6F" w14:textId="6B0B7633" w:rsidR="00DE6B9A" w:rsidRDefault="00DE6B9A" w:rsidP="00DA35E1">
            <w:pPr>
              <w:spacing w:after="0" w:line="240" w:lineRule="auto"/>
              <w:jc w:val="center"/>
              <w:rPr>
                <w:rFonts w:ascii="Times New Roman" w:eastAsia="Times New Roman" w:hAnsi="Times New Roman" w:cs="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CD5B4"/>
            <w:vAlign w:val="center"/>
          </w:tcPr>
          <w:p w14:paraId="614BD4A2" w14:textId="4CC876E5" w:rsidR="00DE6B9A" w:rsidRPr="00AE3965" w:rsidRDefault="00DE6B9A" w:rsidP="00DA35E1">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24 500</w:t>
            </w:r>
          </w:p>
        </w:tc>
        <w:tc>
          <w:tcPr>
            <w:tcW w:w="704" w:type="dxa"/>
            <w:tcBorders>
              <w:top w:val="single" w:sz="4" w:space="0" w:color="auto"/>
              <w:left w:val="single" w:sz="4" w:space="0" w:color="auto"/>
              <w:bottom w:val="single" w:sz="4" w:space="0" w:color="auto"/>
              <w:right w:val="single" w:sz="4" w:space="0" w:color="auto"/>
            </w:tcBorders>
            <w:shd w:val="clear" w:color="auto" w:fill="FCD5B4"/>
            <w:vAlign w:val="center"/>
          </w:tcPr>
          <w:p w14:paraId="352926CA" w14:textId="5D1D64D3" w:rsidR="00DE6B9A" w:rsidRPr="00AE3965" w:rsidRDefault="00DE6B9A" w:rsidP="00DA35E1">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FCD5B4"/>
            <w:vAlign w:val="center"/>
          </w:tcPr>
          <w:p w14:paraId="06C1E85B" w14:textId="4BB1D15C" w:rsidR="00DE6B9A" w:rsidRPr="00AE3965" w:rsidRDefault="00DE6B9A" w:rsidP="00DA35E1">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FCD5B4"/>
            <w:vAlign w:val="center"/>
          </w:tcPr>
          <w:p w14:paraId="57FB9DC9" w14:textId="7FB9A709" w:rsidR="00DE6B9A" w:rsidRPr="00AE3965" w:rsidRDefault="00DE6B9A" w:rsidP="00DA35E1">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shd w:val="clear" w:color="auto" w:fill="FCD5B4"/>
          </w:tcPr>
          <w:p w14:paraId="6BB10102" w14:textId="77777777" w:rsidR="00DE6B9A" w:rsidRDefault="00DE6B9A" w:rsidP="00DA35E1">
            <w:pPr>
              <w:spacing w:after="0" w:line="240" w:lineRule="auto"/>
              <w:jc w:val="center"/>
              <w:rPr>
                <w:rFonts w:ascii="Times New Roman" w:eastAsia="Times New Roman" w:hAnsi="Times New Roman" w:cs="Times New Roman"/>
                <w:b/>
                <w:bCs/>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FCD5B4"/>
          </w:tcPr>
          <w:p w14:paraId="05B6CDDA" w14:textId="1A5FE3C0" w:rsidR="00DE6B9A" w:rsidRDefault="00DE6B9A" w:rsidP="00DA35E1">
            <w:pPr>
              <w:spacing w:after="0" w:line="240" w:lineRule="auto"/>
              <w:jc w:val="center"/>
              <w:rPr>
                <w:rFonts w:ascii="Times New Roman" w:eastAsia="Times New Roman" w:hAnsi="Times New Roman" w:cs="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CD5B4"/>
            <w:vAlign w:val="center"/>
          </w:tcPr>
          <w:p w14:paraId="6AE100BB" w14:textId="6BF088A3" w:rsidR="00DE6B9A" w:rsidRPr="00AE3965" w:rsidRDefault="00DE6B9A" w:rsidP="00DA35E1">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5 000</w:t>
            </w:r>
          </w:p>
        </w:tc>
      </w:tr>
    </w:tbl>
    <w:p w14:paraId="23CC7ED5" w14:textId="77777777" w:rsidR="00DE6B9A" w:rsidRDefault="00DE6B9A" w:rsidP="6812B80F">
      <w:pPr>
        <w:spacing w:after="0" w:line="240" w:lineRule="auto"/>
        <w:ind w:firstLine="720"/>
        <w:jc w:val="right"/>
        <w:rPr>
          <w:rFonts w:ascii="Times New Roman" w:hAnsi="Times New Roman" w:cs="Times New Roman"/>
          <w:i/>
          <w:iCs/>
          <w:sz w:val="24"/>
          <w:szCs w:val="24"/>
        </w:rPr>
        <w:sectPr w:rsidR="00DE6B9A" w:rsidSect="00E11AFF">
          <w:pgSz w:w="15840" w:h="12240" w:orient="landscape"/>
          <w:pgMar w:top="1701" w:right="1440" w:bottom="1440" w:left="1440" w:header="709" w:footer="709" w:gutter="0"/>
          <w:cols w:space="708"/>
          <w:docGrid w:linePitch="360"/>
        </w:sectPr>
      </w:pPr>
    </w:p>
    <w:p w14:paraId="055198F4" w14:textId="5B1A877C" w:rsidR="00DA35E1" w:rsidRDefault="00DA35E1" w:rsidP="6812B80F">
      <w:pPr>
        <w:spacing w:after="0" w:line="240" w:lineRule="auto"/>
        <w:ind w:firstLine="720"/>
        <w:jc w:val="right"/>
        <w:rPr>
          <w:rFonts w:ascii="Times New Roman" w:hAnsi="Times New Roman" w:cs="Times New Roman"/>
          <w:i/>
          <w:iCs/>
          <w:sz w:val="24"/>
          <w:szCs w:val="24"/>
        </w:rPr>
      </w:pPr>
    </w:p>
    <w:p w14:paraId="46CDC97B" w14:textId="5E76F0A6" w:rsidR="00FA7CDC" w:rsidRPr="00E93259" w:rsidRDefault="00FA7CDC" w:rsidP="00FA7CDC">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5</w:t>
      </w:r>
      <w:r w:rsidR="000678A1">
        <w:rPr>
          <w:rFonts w:ascii="Times New Roman" w:hAnsi="Times New Roman" w:cs="Times New Roman"/>
          <w:i/>
          <w:iCs/>
          <w:sz w:val="24"/>
          <w:szCs w:val="24"/>
        </w:rPr>
        <w:t>1</w:t>
      </w:r>
      <w:r>
        <w:rPr>
          <w:rFonts w:ascii="Times New Roman" w:hAnsi="Times New Roman" w:cs="Times New Roman"/>
          <w:i/>
          <w:iCs/>
          <w:sz w:val="24"/>
          <w:szCs w:val="24"/>
        </w:rPr>
        <w:t>.tabula</w:t>
      </w:r>
    </w:p>
    <w:p w14:paraId="32789BAD" w14:textId="64589AE9" w:rsidR="009C7046" w:rsidRPr="00CA4C62" w:rsidRDefault="009C7046" w:rsidP="00CA4C62">
      <w:pPr>
        <w:spacing w:after="0" w:line="240" w:lineRule="auto"/>
        <w:ind w:firstLine="720"/>
        <w:jc w:val="center"/>
        <w:rPr>
          <w:rFonts w:ascii="Times New Roman" w:hAnsi="Times New Roman" w:cs="Times New Roman"/>
          <w:b/>
          <w:i/>
          <w:iCs/>
          <w:sz w:val="24"/>
          <w:szCs w:val="24"/>
        </w:rPr>
      </w:pPr>
      <w:r w:rsidRPr="00CA4C62">
        <w:rPr>
          <w:rFonts w:ascii="Times New Roman" w:hAnsi="Times New Roman"/>
          <w:b/>
          <w:bCs/>
          <w:color w:val="000000"/>
          <w:sz w:val="24"/>
          <w:szCs w:val="24"/>
          <w:shd w:val="clear" w:color="auto" w:fill="FFFFFF"/>
        </w:rPr>
        <w:t xml:space="preserve">Aknu </w:t>
      </w:r>
      <w:r w:rsidRPr="00CA4C62">
        <w:rPr>
          <w:rFonts w:ascii="Times New Roman" w:eastAsia="Times New Roman" w:hAnsi="Times New Roman"/>
          <w:b/>
          <w:bCs/>
          <w:color w:val="212121"/>
          <w:sz w:val="24"/>
          <w:szCs w:val="24"/>
          <w:shd w:val="clear" w:color="auto" w:fill="FFFFFF"/>
          <w:lang w:eastAsia="lv-LV"/>
        </w:rPr>
        <w:t>elastogrāfijas</w:t>
      </w:r>
      <w:r w:rsidRPr="00E93259">
        <w:rPr>
          <w:rFonts w:ascii="Times New Roman" w:eastAsia="Times New Roman" w:hAnsi="Times New Roman"/>
          <w:b/>
          <w:bCs/>
          <w:color w:val="212121"/>
          <w:sz w:val="24"/>
          <w:szCs w:val="24"/>
          <w:shd w:val="clear" w:color="auto" w:fill="FFFFFF"/>
          <w:lang w:eastAsia="lv-LV"/>
        </w:rPr>
        <w:t xml:space="preserve"> ar </w:t>
      </w:r>
      <w:r w:rsidRPr="00E93259">
        <w:rPr>
          <w:rFonts w:ascii="Times New Roman" w:eastAsia="Times New Roman" w:hAnsi="Times New Roman"/>
          <w:b/>
          <w:bCs/>
          <w:i/>
          <w:iCs/>
          <w:color w:val="212121"/>
          <w:sz w:val="24"/>
          <w:szCs w:val="24"/>
          <w:shd w:val="clear" w:color="auto" w:fill="FFFFFF"/>
          <w:lang w:eastAsia="lv-LV"/>
        </w:rPr>
        <w:t>FibroScan</w:t>
      </w:r>
      <w:r w:rsidR="52B20BA9" w:rsidRPr="00E93259">
        <w:rPr>
          <w:rFonts w:ascii="Times New Roman" w:eastAsia="Times New Roman" w:hAnsi="Times New Roman"/>
          <w:b/>
          <w:bCs/>
          <w:color w:val="212121"/>
          <w:sz w:val="24"/>
          <w:szCs w:val="24"/>
          <w:lang w:eastAsia="lv-LV"/>
        </w:rPr>
        <w:t xml:space="preserve"> iekārtu veikšanai nepieciešamais finansējums</w:t>
      </w:r>
    </w:p>
    <w:tbl>
      <w:tblPr>
        <w:tblStyle w:val="TableGrid"/>
        <w:tblW w:w="0" w:type="auto"/>
        <w:jc w:val="center"/>
        <w:tblLook w:val="04A0" w:firstRow="1" w:lastRow="0" w:firstColumn="1" w:lastColumn="0" w:noHBand="0" w:noVBand="1"/>
      </w:tblPr>
      <w:tblGrid>
        <w:gridCol w:w="1463"/>
        <w:gridCol w:w="1463"/>
        <w:gridCol w:w="1283"/>
        <w:gridCol w:w="1298"/>
        <w:gridCol w:w="854"/>
        <w:gridCol w:w="1339"/>
        <w:gridCol w:w="1389"/>
      </w:tblGrid>
      <w:tr w:rsidR="00820BBA" w14:paraId="4BEEC3B6" w14:textId="77777777" w:rsidTr="00FF1E2C">
        <w:trPr>
          <w:jc w:val="center"/>
        </w:trPr>
        <w:tc>
          <w:tcPr>
            <w:tcW w:w="1394" w:type="dxa"/>
            <w:shd w:val="clear" w:color="auto" w:fill="E36C0A" w:themeFill="accent6" w:themeFillShade="BF"/>
            <w:vAlign w:val="center"/>
          </w:tcPr>
          <w:p w14:paraId="6CE2C890" w14:textId="42D1955C"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Manipulācijas kods</w:t>
            </w:r>
          </w:p>
        </w:tc>
        <w:tc>
          <w:tcPr>
            <w:tcW w:w="1397" w:type="dxa"/>
            <w:shd w:val="clear" w:color="auto" w:fill="E36C0A" w:themeFill="accent6" w:themeFillShade="BF"/>
            <w:vAlign w:val="center"/>
          </w:tcPr>
          <w:p w14:paraId="53351FE4" w14:textId="656F7F10"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Manipulācijas nosaukums</w:t>
            </w:r>
          </w:p>
        </w:tc>
        <w:tc>
          <w:tcPr>
            <w:tcW w:w="1283" w:type="dxa"/>
            <w:shd w:val="clear" w:color="auto" w:fill="E36C0A" w:themeFill="accent6" w:themeFillShade="BF"/>
            <w:vAlign w:val="center"/>
          </w:tcPr>
          <w:p w14:paraId="3815571A" w14:textId="3DC9F6C5" w:rsidR="00964412" w:rsidRPr="00E93259" w:rsidRDefault="00820BBA" w:rsidP="0090055F">
            <w:pPr>
              <w:jc w:val="center"/>
              <w:rPr>
                <w:rFonts w:ascii="Times New Roman" w:eastAsia="Times New Roman" w:hAnsi="Times New Roman"/>
                <w:color w:val="212121"/>
                <w:lang w:eastAsia="lv-LV"/>
              </w:rPr>
            </w:pPr>
            <w:r>
              <w:rPr>
                <w:rFonts w:ascii="Times New Roman" w:eastAsia="Times New Roman" w:hAnsi="Times New Roman"/>
                <w:color w:val="212121"/>
                <w:lang w:eastAsia="lv-LV"/>
              </w:rPr>
              <w:t>Manipulāciju s</w:t>
            </w:r>
            <w:r w:rsidR="00964412" w:rsidRPr="00E93259">
              <w:rPr>
                <w:rFonts w:ascii="Times New Roman" w:eastAsia="Times New Roman" w:hAnsi="Times New Roman"/>
                <w:color w:val="212121"/>
                <w:sz w:val="22"/>
                <w:szCs w:val="22"/>
                <w:lang w:eastAsia="lv-LV"/>
              </w:rPr>
              <w:t>kaits no 2019.gada 1.aprīļa</w:t>
            </w:r>
          </w:p>
        </w:tc>
        <w:tc>
          <w:tcPr>
            <w:tcW w:w="1283" w:type="dxa"/>
            <w:shd w:val="clear" w:color="auto" w:fill="E36C0A" w:themeFill="accent6" w:themeFillShade="BF"/>
            <w:vAlign w:val="center"/>
          </w:tcPr>
          <w:p w14:paraId="31CF785E" w14:textId="1C4057B2" w:rsidR="00964412" w:rsidRPr="00E93259" w:rsidRDefault="00820BBA" w:rsidP="0090055F">
            <w:pPr>
              <w:jc w:val="center"/>
              <w:rPr>
                <w:rFonts w:ascii="Times New Roman" w:eastAsia="Times New Roman" w:hAnsi="Times New Roman"/>
                <w:color w:val="212121"/>
                <w:lang w:eastAsia="lv-LV"/>
              </w:rPr>
            </w:pPr>
            <w:r>
              <w:rPr>
                <w:rFonts w:ascii="Times New Roman" w:eastAsia="Times New Roman" w:hAnsi="Times New Roman"/>
                <w:color w:val="212121"/>
                <w:lang w:eastAsia="lv-LV"/>
              </w:rPr>
              <w:t>Manipulāciju s</w:t>
            </w:r>
            <w:r w:rsidR="00964412" w:rsidRPr="00E93259">
              <w:rPr>
                <w:rFonts w:ascii="Times New Roman" w:eastAsia="Times New Roman" w:hAnsi="Times New Roman"/>
                <w:color w:val="212121"/>
                <w:sz w:val="22"/>
                <w:szCs w:val="22"/>
                <w:lang w:eastAsia="lv-LV"/>
              </w:rPr>
              <w:t>kaits 2019.gadam</w:t>
            </w:r>
          </w:p>
        </w:tc>
        <w:tc>
          <w:tcPr>
            <w:tcW w:w="875" w:type="dxa"/>
            <w:shd w:val="clear" w:color="auto" w:fill="E36C0A" w:themeFill="accent6" w:themeFillShade="BF"/>
            <w:vAlign w:val="center"/>
          </w:tcPr>
          <w:p w14:paraId="25BB6227" w14:textId="4CCEBA57"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 xml:space="preserve">Tarifs, </w:t>
            </w:r>
            <w:r w:rsidRPr="00E93259">
              <w:rPr>
                <w:rFonts w:ascii="Times New Roman" w:eastAsia="Times New Roman" w:hAnsi="Times New Roman"/>
                <w:i/>
                <w:color w:val="212121"/>
                <w:sz w:val="22"/>
                <w:szCs w:val="22"/>
                <w:lang w:eastAsia="lv-LV"/>
              </w:rPr>
              <w:t>euro</w:t>
            </w:r>
          </w:p>
        </w:tc>
        <w:tc>
          <w:tcPr>
            <w:tcW w:w="1418" w:type="dxa"/>
            <w:shd w:val="clear" w:color="auto" w:fill="E36C0A" w:themeFill="accent6" w:themeFillShade="BF"/>
            <w:vAlign w:val="center"/>
          </w:tcPr>
          <w:p w14:paraId="2564D33D" w14:textId="39C5EADF"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 xml:space="preserve">Summa no 2019.gada 1.aprīļa, </w:t>
            </w:r>
            <w:r w:rsidRPr="00E93259">
              <w:rPr>
                <w:rFonts w:ascii="Times New Roman" w:eastAsia="Times New Roman" w:hAnsi="Times New Roman"/>
                <w:i/>
                <w:color w:val="212121"/>
                <w:sz w:val="22"/>
                <w:szCs w:val="22"/>
                <w:lang w:eastAsia="lv-LV"/>
              </w:rPr>
              <w:t>euro</w:t>
            </w:r>
          </w:p>
        </w:tc>
        <w:tc>
          <w:tcPr>
            <w:tcW w:w="1439" w:type="dxa"/>
            <w:shd w:val="clear" w:color="auto" w:fill="E36C0A" w:themeFill="accent6" w:themeFillShade="BF"/>
            <w:vAlign w:val="center"/>
          </w:tcPr>
          <w:p w14:paraId="20B1469D" w14:textId="097D10D5"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Summa</w:t>
            </w:r>
            <w:r>
              <w:rPr>
                <w:rFonts w:ascii="Times New Roman" w:eastAsia="Times New Roman" w:hAnsi="Times New Roman"/>
                <w:color w:val="212121"/>
                <w:lang w:eastAsia="lv-LV"/>
              </w:rPr>
              <w:t xml:space="preserve"> 2019.gadam</w:t>
            </w:r>
            <w:r w:rsidRPr="00E93259">
              <w:rPr>
                <w:rFonts w:ascii="Times New Roman" w:eastAsia="Times New Roman" w:hAnsi="Times New Roman"/>
                <w:color w:val="212121"/>
                <w:sz w:val="22"/>
                <w:szCs w:val="22"/>
                <w:lang w:eastAsia="lv-LV"/>
              </w:rPr>
              <w:t xml:space="preserve">, </w:t>
            </w:r>
            <w:r w:rsidRPr="00E93259">
              <w:rPr>
                <w:rFonts w:ascii="Times New Roman" w:eastAsia="Times New Roman" w:hAnsi="Times New Roman"/>
                <w:i/>
                <w:color w:val="212121"/>
                <w:sz w:val="22"/>
                <w:szCs w:val="22"/>
                <w:lang w:eastAsia="lv-LV"/>
              </w:rPr>
              <w:t>euro</w:t>
            </w:r>
          </w:p>
        </w:tc>
      </w:tr>
      <w:tr w:rsidR="00820BBA" w14:paraId="758D24D8" w14:textId="77777777" w:rsidTr="00E93259">
        <w:trPr>
          <w:jc w:val="center"/>
        </w:trPr>
        <w:tc>
          <w:tcPr>
            <w:tcW w:w="1394" w:type="dxa"/>
          </w:tcPr>
          <w:p w14:paraId="21D6EC52" w14:textId="77777777" w:rsidR="00964412" w:rsidRPr="00E93259" w:rsidRDefault="00964412" w:rsidP="0012333F">
            <w:pPr>
              <w:rPr>
                <w:rFonts w:ascii="Segoe UI" w:eastAsia="Times New Roman" w:hAnsi="Segoe UI" w:cs="Segoe UI"/>
                <w:color w:val="212121"/>
                <w:lang w:eastAsia="lv-LV"/>
              </w:rPr>
            </w:pPr>
          </w:p>
        </w:tc>
        <w:tc>
          <w:tcPr>
            <w:tcW w:w="1397" w:type="dxa"/>
          </w:tcPr>
          <w:p w14:paraId="4D34B90A" w14:textId="2C7E28D8" w:rsidR="00964412" w:rsidRPr="00E93259" w:rsidRDefault="00964412" w:rsidP="0090055F">
            <w:pPr>
              <w:jc w:val="center"/>
              <w:rPr>
                <w:rFonts w:ascii="Times New Roman" w:eastAsia="Times New Roman" w:hAnsi="Times New Roman"/>
                <w:color w:val="212121"/>
                <w:lang w:eastAsia="lv-LV"/>
              </w:rPr>
            </w:pPr>
            <w:r w:rsidRPr="00E93259">
              <w:rPr>
                <w:rFonts w:ascii="Times New Roman" w:hAnsi="Times New Roman"/>
                <w:color w:val="000000"/>
                <w:sz w:val="22"/>
                <w:szCs w:val="22"/>
                <w:shd w:val="clear" w:color="auto" w:fill="FFFFFF"/>
              </w:rPr>
              <w:t xml:space="preserve">Aknu </w:t>
            </w:r>
            <w:r w:rsidRPr="00E93259">
              <w:rPr>
                <w:rFonts w:ascii="Times New Roman" w:eastAsia="Times New Roman" w:hAnsi="Times New Roman"/>
                <w:color w:val="212121"/>
                <w:sz w:val="22"/>
                <w:szCs w:val="22"/>
                <w:shd w:val="clear" w:color="auto" w:fill="FFFFFF"/>
                <w:lang w:eastAsia="lv-LV"/>
              </w:rPr>
              <w:t xml:space="preserve">elastogrāfija ar </w:t>
            </w:r>
            <w:r w:rsidRPr="00E93259">
              <w:rPr>
                <w:rFonts w:ascii="Times New Roman" w:eastAsia="Times New Roman" w:hAnsi="Times New Roman"/>
                <w:i/>
                <w:iCs/>
                <w:color w:val="212121"/>
                <w:sz w:val="22"/>
                <w:szCs w:val="22"/>
                <w:shd w:val="clear" w:color="auto" w:fill="FFFFFF"/>
                <w:lang w:eastAsia="lv-LV"/>
              </w:rPr>
              <w:t>FibroScan</w:t>
            </w:r>
            <w:r w:rsidR="52B20BA9" w:rsidRPr="00E93259">
              <w:rPr>
                <w:rFonts w:ascii="Times New Roman" w:eastAsia="Times New Roman" w:hAnsi="Times New Roman"/>
                <w:color w:val="212121"/>
                <w:lang w:eastAsia="lv-LV"/>
              </w:rPr>
              <w:t xml:space="preserve"> iekārtu</w:t>
            </w:r>
          </w:p>
        </w:tc>
        <w:tc>
          <w:tcPr>
            <w:tcW w:w="1283" w:type="dxa"/>
            <w:vAlign w:val="center"/>
          </w:tcPr>
          <w:p w14:paraId="7AAB97C2" w14:textId="34A6AFA3"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5 000</w:t>
            </w:r>
          </w:p>
        </w:tc>
        <w:tc>
          <w:tcPr>
            <w:tcW w:w="1283" w:type="dxa"/>
            <w:vAlign w:val="center"/>
          </w:tcPr>
          <w:p w14:paraId="42350F1E" w14:textId="4097F150"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6 250</w:t>
            </w:r>
          </w:p>
        </w:tc>
        <w:tc>
          <w:tcPr>
            <w:tcW w:w="875" w:type="dxa"/>
            <w:vAlign w:val="center"/>
          </w:tcPr>
          <w:p w14:paraId="23E9F998" w14:textId="7F49830A"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4.91</w:t>
            </w:r>
          </w:p>
        </w:tc>
        <w:tc>
          <w:tcPr>
            <w:tcW w:w="1418" w:type="dxa"/>
            <w:vAlign w:val="center"/>
          </w:tcPr>
          <w:p w14:paraId="69B83BD5" w14:textId="54547B2D"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24 500</w:t>
            </w:r>
          </w:p>
        </w:tc>
        <w:tc>
          <w:tcPr>
            <w:tcW w:w="1439" w:type="dxa"/>
            <w:vAlign w:val="center"/>
          </w:tcPr>
          <w:p w14:paraId="62190978" w14:textId="080CBF6F" w:rsidR="00964412" w:rsidRPr="00E93259" w:rsidRDefault="00964412" w:rsidP="0090055F">
            <w:pPr>
              <w:jc w:val="center"/>
              <w:rPr>
                <w:rFonts w:ascii="Times New Roman" w:eastAsia="Times New Roman" w:hAnsi="Times New Roman"/>
                <w:color w:val="212121"/>
                <w:lang w:eastAsia="lv-LV"/>
              </w:rPr>
            </w:pPr>
            <w:r w:rsidRPr="00E93259">
              <w:rPr>
                <w:rFonts w:ascii="Times New Roman" w:eastAsia="Times New Roman" w:hAnsi="Times New Roman"/>
                <w:color w:val="212121"/>
                <w:sz w:val="22"/>
                <w:szCs w:val="22"/>
                <w:lang w:eastAsia="lv-LV"/>
              </w:rPr>
              <w:t>30 688</w:t>
            </w:r>
          </w:p>
        </w:tc>
      </w:tr>
    </w:tbl>
    <w:p w14:paraId="2A0C8121" w14:textId="77777777" w:rsidR="007024A6" w:rsidRDefault="007024A6" w:rsidP="64AB90BD">
      <w:pPr>
        <w:shd w:val="clear" w:color="auto" w:fill="FFFFFF" w:themeFill="background1"/>
        <w:spacing w:after="0" w:line="240" w:lineRule="auto"/>
        <w:ind w:firstLine="720"/>
        <w:jc w:val="both"/>
        <w:rPr>
          <w:rFonts w:ascii="Times New Roman" w:eastAsia="Times New Roman" w:hAnsi="Times New Roman" w:cs="Times New Roman"/>
          <w:color w:val="212121"/>
          <w:sz w:val="24"/>
          <w:szCs w:val="24"/>
          <w:lang w:eastAsia="lv-LV"/>
        </w:rPr>
      </w:pPr>
    </w:p>
    <w:p w14:paraId="5524B39A" w14:textId="0D9819F9" w:rsidR="00AE3965" w:rsidRPr="001B1836" w:rsidRDefault="007024A6" w:rsidP="001B1836">
      <w:pPr>
        <w:shd w:val="clear" w:color="auto" w:fill="FFFFFF" w:themeFill="background1"/>
        <w:spacing w:after="120"/>
        <w:ind w:firstLine="720"/>
        <w:jc w:val="both"/>
        <w:rPr>
          <w:rFonts w:ascii="Times New Roman" w:eastAsia="Times New Roman" w:hAnsi="Times New Roman" w:cs="Times New Roman"/>
          <w:color w:val="212121"/>
          <w:sz w:val="24"/>
          <w:szCs w:val="24"/>
          <w:lang w:eastAsia="lv-LV"/>
        </w:rPr>
      </w:pPr>
      <w:r w:rsidRPr="0012333F">
        <w:rPr>
          <w:rFonts w:ascii="Times New Roman" w:eastAsia="Times New Roman" w:hAnsi="Times New Roman" w:cs="Times New Roman"/>
          <w:color w:val="212121"/>
          <w:sz w:val="24"/>
          <w:szCs w:val="24"/>
          <w:shd w:val="clear" w:color="auto" w:fill="FFFFFF"/>
          <w:lang w:eastAsia="lv-LV"/>
        </w:rPr>
        <w:t>Plānotais ieguvums - novērst iespējamo aknu punkcijas biopsijas komplikāciju risk</w:t>
      </w:r>
      <w:r w:rsidR="00773EE8">
        <w:rPr>
          <w:rFonts w:ascii="Times New Roman" w:eastAsia="Times New Roman" w:hAnsi="Times New Roman" w:cs="Times New Roman"/>
          <w:color w:val="212121"/>
          <w:sz w:val="24"/>
          <w:szCs w:val="24"/>
          <w:shd w:val="clear" w:color="auto" w:fill="FFFFFF"/>
          <w:lang w:eastAsia="lv-LV"/>
        </w:rPr>
        <w:t>u</w:t>
      </w:r>
      <w:r w:rsidRPr="0012333F">
        <w:rPr>
          <w:rFonts w:ascii="Times New Roman" w:eastAsia="Times New Roman" w:hAnsi="Times New Roman" w:cs="Times New Roman"/>
          <w:color w:val="212121"/>
          <w:sz w:val="24"/>
          <w:szCs w:val="24"/>
          <w:shd w:val="clear" w:color="auto" w:fill="FFFFFF"/>
          <w:lang w:eastAsia="lv-LV"/>
        </w:rPr>
        <w:t>, kā a</w:t>
      </w:r>
      <w:r w:rsidR="00773EE8">
        <w:rPr>
          <w:rFonts w:ascii="Times New Roman" w:eastAsia="Times New Roman" w:hAnsi="Times New Roman" w:cs="Times New Roman"/>
          <w:color w:val="212121"/>
          <w:sz w:val="24"/>
          <w:szCs w:val="24"/>
          <w:shd w:val="clear" w:color="auto" w:fill="FFFFFF"/>
          <w:lang w:eastAsia="lv-LV"/>
        </w:rPr>
        <w:t xml:space="preserve">rī samazināts </w:t>
      </w:r>
      <w:r w:rsidRPr="0012333F">
        <w:rPr>
          <w:rFonts w:ascii="Times New Roman" w:eastAsia="Times New Roman" w:hAnsi="Times New Roman" w:cs="Times New Roman"/>
          <w:color w:val="212121"/>
          <w:sz w:val="24"/>
          <w:szCs w:val="24"/>
          <w:shd w:val="clear" w:color="auto" w:fill="FFFFFF"/>
          <w:lang w:eastAsia="lv-LV"/>
        </w:rPr>
        <w:t>gultasdienu</w:t>
      </w:r>
      <w:r w:rsidR="00B80A14">
        <w:rPr>
          <w:rFonts w:ascii="Times New Roman" w:eastAsia="Times New Roman" w:hAnsi="Times New Roman" w:cs="Times New Roman"/>
          <w:color w:val="212121"/>
          <w:sz w:val="24"/>
          <w:szCs w:val="24"/>
          <w:shd w:val="clear" w:color="auto" w:fill="FFFFFF"/>
          <w:lang w:eastAsia="lv-LV"/>
        </w:rPr>
        <w:t xml:space="preserve"> skaitu</w:t>
      </w:r>
      <w:r w:rsidR="00B80A14" w:rsidRPr="00B80A14">
        <w:rPr>
          <w:rFonts w:ascii="Times New Roman" w:eastAsia="Times New Roman" w:hAnsi="Times New Roman" w:cs="Times New Roman"/>
          <w:color w:val="212121"/>
          <w:sz w:val="24"/>
          <w:szCs w:val="24"/>
          <w:shd w:val="clear" w:color="auto" w:fill="FFFFFF"/>
          <w:lang w:eastAsia="lv-LV"/>
        </w:rPr>
        <w:t>, kas nepieciešams, lai pacientiem veiktu aknu punkcijas biopsiju.</w:t>
      </w:r>
      <w:r w:rsidR="001139A2">
        <w:rPr>
          <w:rFonts w:ascii="Times New Roman" w:eastAsia="Times New Roman" w:hAnsi="Times New Roman" w:cs="Times New Roman"/>
          <w:color w:val="212121"/>
          <w:sz w:val="24"/>
          <w:szCs w:val="24"/>
          <w:shd w:val="clear" w:color="auto" w:fill="FFFFFF"/>
          <w:lang w:eastAsia="lv-LV"/>
        </w:rPr>
        <w:t xml:space="preserve"> </w:t>
      </w:r>
      <w:r w:rsidR="005F39E2">
        <w:rPr>
          <w:rFonts w:ascii="Times New Roman" w:eastAsia="Times New Roman" w:hAnsi="Times New Roman" w:cs="Times New Roman"/>
          <w:color w:val="212121"/>
          <w:sz w:val="24"/>
          <w:szCs w:val="24"/>
          <w:shd w:val="clear" w:color="auto" w:fill="FFFFFF"/>
          <w:lang w:eastAsia="lv-LV"/>
        </w:rPr>
        <w:t>Ietaupījums, aizstājot aknu biopsijas p</w:t>
      </w:r>
      <w:r w:rsidR="001139A2">
        <w:rPr>
          <w:rFonts w:ascii="Times New Roman" w:eastAsia="Times New Roman" w:hAnsi="Times New Roman" w:cs="Times New Roman"/>
          <w:color w:val="212121"/>
          <w:sz w:val="24"/>
          <w:szCs w:val="24"/>
          <w:shd w:val="clear" w:color="auto" w:fill="FFFFFF"/>
          <w:lang w:eastAsia="lv-LV"/>
        </w:rPr>
        <w:t xml:space="preserve">unkcijas ar aknu </w:t>
      </w:r>
      <w:r w:rsidR="001139A2" w:rsidRPr="00E93259">
        <w:rPr>
          <w:rFonts w:ascii="Times New Roman" w:eastAsia="Times New Roman" w:hAnsi="Times New Roman" w:cs="Times New Roman"/>
          <w:color w:val="212121"/>
          <w:sz w:val="24"/>
          <w:szCs w:val="24"/>
          <w:shd w:val="clear" w:color="auto" w:fill="FFFFFF"/>
          <w:lang w:eastAsia="lv-LV"/>
        </w:rPr>
        <w:t>elastogrāfiju</w:t>
      </w:r>
      <w:r w:rsidR="001139A2">
        <w:rPr>
          <w:rFonts w:ascii="Times New Roman" w:eastAsia="Times New Roman" w:hAnsi="Times New Roman" w:cs="Times New Roman"/>
          <w:color w:val="212121"/>
          <w:sz w:val="24"/>
          <w:szCs w:val="24"/>
          <w:shd w:val="clear" w:color="auto" w:fill="FFFFFF"/>
          <w:lang w:eastAsia="lv-LV"/>
        </w:rPr>
        <w:t xml:space="preserve"> rodas 10 671 </w:t>
      </w:r>
      <w:r w:rsidR="00FF7654" w:rsidRPr="00E93259">
        <w:rPr>
          <w:rFonts w:ascii="Times New Roman" w:eastAsia="Times New Roman" w:hAnsi="Times New Roman" w:cs="Times New Roman"/>
          <w:i/>
          <w:iCs/>
          <w:color w:val="212121"/>
          <w:sz w:val="24"/>
          <w:szCs w:val="24"/>
          <w:shd w:val="clear" w:color="auto" w:fill="FFFFFF"/>
          <w:lang w:eastAsia="lv-LV"/>
        </w:rPr>
        <w:t>euro</w:t>
      </w:r>
      <w:r w:rsidR="00FF7654" w:rsidRPr="00AE3965">
        <w:rPr>
          <w:rFonts w:ascii="Times New Roman" w:eastAsia="Times New Roman" w:hAnsi="Times New Roman" w:cs="Times New Roman"/>
          <w:color w:val="212121"/>
          <w:sz w:val="24"/>
          <w:szCs w:val="24"/>
          <w:shd w:val="clear" w:color="auto" w:fill="FFFFFF"/>
          <w:lang w:eastAsia="lv-LV"/>
        </w:rPr>
        <w:t xml:space="preserve"> apmērā</w:t>
      </w:r>
      <w:r w:rsidR="00AA4CDC" w:rsidRPr="00AE3965">
        <w:rPr>
          <w:rFonts w:ascii="Times New Roman" w:eastAsia="Times New Roman" w:hAnsi="Times New Roman" w:cs="Times New Roman"/>
          <w:color w:val="212121"/>
          <w:sz w:val="24"/>
          <w:szCs w:val="24"/>
          <w:shd w:val="clear" w:color="auto" w:fill="FFFFFF"/>
          <w:lang w:eastAsia="lv-LV"/>
        </w:rPr>
        <w:t xml:space="preserve"> </w:t>
      </w:r>
      <w:r w:rsidR="003C7A2D">
        <w:rPr>
          <w:rFonts w:ascii="Times New Roman" w:eastAsia="Times New Roman" w:hAnsi="Times New Roman" w:cs="Times New Roman"/>
          <w:color w:val="212121"/>
          <w:sz w:val="24"/>
          <w:szCs w:val="24"/>
          <w:shd w:val="clear" w:color="auto" w:fill="FFFFFF"/>
          <w:lang w:eastAsia="lv-LV"/>
        </w:rPr>
        <w:t xml:space="preserve">(skat. </w:t>
      </w:r>
      <w:r w:rsidR="000678A1">
        <w:rPr>
          <w:rFonts w:ascii="Times New Roman" w:eastAsia="Times New Roman" w:hAnsi="Times New Roman" w:cs="Times New Roman"/>
          <w:color w:val="212121"/>
          <w:sz w:val="24"/>
          <w:szCs w:val="24"/>
          <w:shd w:val="clear" w:color="auto" w:fill="FFFFFF"/>
          <w:lang w:eastAsia="lv-LV"/>
        </w:rPr>
        <w:t>52</w:t>
      </w:r>
      <w:r w:rsidR="001139A2" w:rsidRPr="00AE3965">
        <w:rPr>
          <w:rFonts w:ascii="Times New Roman" w:eastAsia="Times New Roman" w:hAnsi="Times New Roman" w:cs="Times New Roman"/>
          <w:color w:val="212121"/>
          <w:sz w:val="24"/>
          <w:szCs w:val="24"/>
          <w:shd w:val="clear" w:color="auto" w:fill="FFFFFF"/>
          <w:lang w:eastAsia="lv-LV"/>
        </w:rPr>
        <w:t>.</w:t>
      </w:r>
      <w:r w:rsidR="005B016F">
        <w:rPr>
          <w:rFonts w:ascii="Times New Roman" w:eastAsia="Times New Roman" w:hAnsi="Times New Roman" w:cs="Times New Roman"/>
          <w:color w:val="212121"/>
          <w:sz w:val="24"/>
          <w:szCs w:val="24"/>
          <w:shd w:val="clear" w:color="auto" w:fill="FFFFFF"/>
          <w:lang w:eastAsia="lv-LV"/>
        </w:rPr>
        <w:t>tabulu)</w:t>
      </w:r>
      <w:r w:rsidR="52B20BA9" w:rsidRPr="00E93259">
        <w:rPr>
          <w:rFonts w:ascii="Times New Roman" w:eastAsia="Times New Roman" w:hAnsi="Times New Roman" w:cs="Times New Roman"/>
          <w:color w:val="212121"/>
          <w:sz w:val="24"/>
          <w:szCs w:val="24"/>
          <w:lang w:eastAsia="lv-LV"/>
        </w:rPr>
        <w:t xml:space="preserve">. </w:t>
      </w:r>
    </w:p>
    <w:p w14:paraId="6B21B9EE" w14:textId="1FFA70D1" w:rsidR="00F5448D" w:rsidRPr="00E93259" w:rsidRDefault="00DA35E1" w:rsidP="6812B80F">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5</w:t>
      </w:r>
      <w:r w:rsidR="000678A1">
        <w:rPr>
          <w:rFonts w:ascii="Times New Roman" w:hAnsi="Times New Roman" w:cs="Times New Roman"/>
          <w:i/>
          <w:iCs/>
          <w:sz w:val="24"/>
          <w:szCs w:val="24"/>
        </w:rPr>
        <w:t>2</w:t>
      </w:r>
      <w:r w:rsidR="00AD210A" w:rsidRPr="6812B80F">
        <w:rPr>
          <w:rFonts w:ascii="Times New Roman" w:hAnsi="Times New Roman" w:cs="Times New Roman"/>
          <w:i/>
          <w:iCs/>
          <w:sz w:val="24"/>
          <w:szCs w:val="24"/>
        </w:rPr>
        <w:t>.tabula</w:t>
      </w:r>
    </w:p>
    <w:p w14:paraId="39E86683" w14:textId="23B175E0" w:rsidR="0032222A" w:rsidRPr="00CA4C62" w:rsidRDefault="0032222A" w:rsidP="00CA4C62">
      <w:pPr>
        <w:spacing w:after="0" w:line="240" w:lineRule="auto"/>
        <w:ind w:firstLine="720"/>
        <w:jc w:val="center"/>
        <w:rPr>
          <w:rFonts w:ascii="Times New Roman" w:hAnsi="Times New Roman" w:cs="Times New Roman"/>
          <w:b/>
          <w:i/>
          <w:iCs/>
          <w:sz w:val="24"/>
          <w:szCs w:val="24"/>
        </w:rPr>
      </w:pPr>
      <w:r w:rsidRPr="00CA4C62">
        <w:rPr>
          <w:rFonts w:ascii="Times New Roman" w:eastAsia="Times New Roman" w:hAnsi="Times New Roman" w:cs="Times New Roman"/>
          <w:b/>
          <w:bCs/>
          <w:color w:val="212121"/>
          <w:sz w:val="24"/>
          <w:szCs w:val="24"/>
          <w:shd w:val="clear" w:color="auto" w:fill="FFFFFF"/>
          <w:lang w:eastAsia="lv-LV"/>
        </w:rPr>
        <w:t xml:space="preserve">Ietaupījums, aizstājot aknu biopsijas punkcijas ar aknu </w:t>
      </w:r>
      <w:r w:rsidR="52B20BA9" w:rsidRPr="00E93259">
        <w:rPr>
          <w:rFonts w:ascii="Times New Roman" w:eastAsia="Times New Roman" w:hAnsi="Times New Roman" w:cs="Times New Roman"/>
          <w:b/>
          <w:bCs/>
          <w:color w:val="212121"/>
          <w:sz w:val="24"/>
          <w:szCs w:val="24"/>
          <w:lang w:eastAsia="lv-LV"/>
        </w:rPr>
        <w:t>elastogrāfiju</w:t>
      </w:r>
    </w:p>
    <w:tbl>
      <w:tblPr>
        <w:tblStyle w:val="TableGrid"/>
        <w:tblW w:w="0" w:type="auto"/>
        <w:jc w:val="center"/>
        <w:tblLook w:val="04A0" w:firstRow="1" w:lastRow="0" w:firstColumn="1" w:lastColumn="0" w:noHBand="0" w:noVBand="1"/>
      </w:tblPr>
      <w:tblGrid>
        <w:gridCol w:w="1351"/>
        <w:gridCol w:w="2755"/>
        <w:gridCol w:w="1276"/>
        <w:gridCol w:w="981"/>
        <w:gridCol w:w="1405"/>
        <w:gridCol w:w="1321"/>
      </w:tblGrid>
      <w:tr w:rsidR="00B416EA" w:rsidRPr="00F5448D" w14:paraId="47CE822C" w14:textId="77777777" w:rsidTr="00E93259">
        <w:trPr>
          <w:jc w:val="center"/>
        </w:trPr>
        <w:tc>
          <w:tcPr>
            <w:tcW w:w="135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5D631DB" w14:textId="187F7019"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Manipulācijas kods</w:t>
            </w:r>
          </w:p>
        </w:tc>
        <w:tc>
          <w:tcPr>
            <w:tcW w:w="2755"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5437301" w14:textId="6BFC29D3"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Manipulācijas nosaukums</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79FBC0A" w14:textId="43DD6D14"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Veikto manipulāciju skaits 2017.gadā</w:t>
            </w:r>
          </w:p>
        </w:tc>
        <w:tc>
          <w:tcPr>
            <w:tcW w:w="98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5FD9AD5" w14:textId="34C7A880" w:rsidR="00F5448D" w:rsidRPr="00B416EA" w:rsidRDefault="64AB90BD" w:rsidP="000C5A03">
            <w:pPr>
              <w:spacing w:after="120"/>
              <w:jc w:val="center"/>
              <w:rPr>
                <w:rFonts w:ascii="Times New Roman" w:eastAsia="Times New Roman" w:hAnsi="Times New Roman"/>
                <w:i/>
                <w:color w:val="212121"/>
                <w:shd w:val="clear" w:color="auto" w:fill="FFFFFF"/>
                <w:lang w:eastAsia="lv-LV"/>
              </w:rPr>
            </w:pPr>
            <w:r w:rsidRPr="64AB90BD">
              <w:rPr>
                <w:rFonts w:ascii="Times New Roman" w:hAnsi="Times New Roman"/>
              </w:rPr>
              <w:t xml:space="preserve">Tarifs, </w:t>
            </w:r>
            <w:r w:rsidRPr="704995BB">
              <w:rPr>
                <w:rFonts w:ascii="Times New Roman" w:hAnsi="Times New Roman"/>
                <w:i/>
                <w:iCs/>
              </w:rPr>
              <w:t>euro</w:t>
            </w:r>
          </w:p>
        </w:tc>
        <w:tc>
          <w:tcPr>
            <w:tcW w:w="1405"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5D29B6FE" w14:textId="5CE3E3EE"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Summa par 2017.gadā veiktajām manipulācijām</w:t>
            </w:r>
          </w:p>
        </w:tc>
        <w:tc>
          <w:tcPr>
            <w:tcW w:w="132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45E1168" w14:textId="06BF771B"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 xml:space="preserve">Ietaupījums, aizstājot 90% manipulāciju, </w:t>
            </w:r>
            <w:r w:rsidRPr="704995BB">
              <w:rPr>
                <w:rFonts w:ascii="Times New Roman" w:hAnsi="Times New Roman"/>
                <w:i/>
                <w:iCs/>
              </w:rPr>
              <w:t>euro</w:t>
            </w:r>
          </w:p>
        </w:tc>
      </w:tr>
      <w:tr w:rsidR="00F5448D" w:rsidRPr="00F5448D" w14:paraId="461AA598" w14:textId="77777777" w:rsidTr="00E93259">
        <w:trPr>
          <w:jc w:val="center"/>
        </w:trPr>
        <w:tc>
          <w:tcPr>
            <w:tcW w:w="1351" w:type="dxa"/>
            <w:tcBorders>
              <w:top w:val="nil"/>
              <w:left w:val="single" w:sz="4" w:space="0" w:color="auto"/>
              <w:bottom w:val="single" w:sz="4" w:space="0" w:color="auto"/>
              <w:right w:val="single" w:sz="4" w:space="0" w:color="auto"/>
            </w:tcBorders>
            <w:shd w:val="clear" w:color="auto" w:fill="auto"/>
            <w:vAlign w:val="center"/>
          </w:tcPr>
          <w:p w14:paraId="58649F16" w14:textId="3D66A185"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50720*</w:t>
            </w:r>
          </w:p>
        </w:tc>
        <w:tc>
          <w:tcPr>
            <w:tcW w:w="2755" w:type="dxa"/>
            <w:tcBorders>
              <w:top w:val="nil"/>
              <w:left w:val="nil"/>
              <w:bottom w:val="single" w:sz="4" w:space="0" w:color="auto"/>
              <w:right w:val="single" w:sz="4" w:space="0" w:color="auto"/>
            </w:tcBorders>
            <w:shd w:val="clear" w:color="auto" w:fill="auto"/>
            <w:vAlign w:val="bottom"/>
          </w:tcPr>
          <w:p w14:paraId="2737E550" w14:textId="254F3E90"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US kontrolē izdarīta punkcija ar aspirācijas biopsiju vai audzēju lokalizācijas marķēšanu. Nenorādīt kopā ar manipulācijām 50698 un 50700</w:t>
            </w:r>
          </w:p>
        </w:tc>
        <w:tc>
          <w:tcPr>
            <w:tcW w:w="1276" w:type="dxa"/>
            <w:tcBorders>
              <w:top w:val="nil"/>
              <w:left w:val="nil"/>
              <w:bottom w:val="single" w:sz="4" w:space="0" w:color="auto"/>
              <w:right w:val="single" w:sz="4" w:space="0" w:color="auto"/>
            </w:tcBorders>
            <w:shd w:val="clear" w:color="auto" w:fill="auto"/>
            <w:vAlign w:val="center"/>
          </w:tcPr>
          <w:p w14:paraId="2664EB22" w14:textId="6C1FEC95"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6</w:t>
            </w:r>
          </w:p>
        </w:tc>
        <w:tc>
          <w:tcPr>
            <w:tcW w:w="981" w:type="dxa"/>
            <w:tcBorders>
              <w:top w:val="nil"/>
              <w:left w:val="nil"/>
              <w:bottom w:val="single" w:sz="4" w:space="0" w:color="auto"/>
              <w:right w:val="single" w:sz="4" w:space="0" w:color="auto"/>
            </w:tcBorders>
            <w:shd w:val="clear" w:color="auto" w:fill="auto"/>
            <w:vAlign w:val="center"/>
          </w:tcPr>
          <w:p w14:paraId="089D2C41" w14:textId="1FC3FAE7"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23.79</w:t>
            </w:r>
          </w:p>
        </w:tc>
        <w:tc>
          <w:tcPr>
            <w:tcW w:w="1405" w:type="dxa"/>
            <w:tcBorders>
              <w:top w:val="nil"/>
              <w:left w:val="nil"/>
              <w:bottom w:val="single" w:sz="4" w:space="0" w:color="auto"/>
              <w:right w:val="single" w:sz="4" w:space="0" w:color="auto"/>
            </w:tcBorders>
            <w:shd w:val="clear" w:color="auto" w:fill="auto"/>
            <w:vAlign w:val="center"/>
          </w:tcPr>
          <w:p w14:paraId="10B7763C" w14:textId="3C7D439D"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142.74</w:t>
            </w:r>
          </w:p>
        </w:tc>
        <w:tc>
          <w:tcPr>
            <w:tcW w:w="1321" w:type="dxa"/>
            <w:tcBorders>
              <w:top w:val="nil"/>
              <w:left w:val="nil"/>
              <w:bottom w:val="single" w:sz="4" w:space="0" w:color="auto"/>
              <w:right w:val="single" w:sz="4" w:space="0" w:color="auto"/>
            </w:tcBorders>
            <w:shd w:val="clear" w:color="auto" w:fill="auto"/>
            <w:vAlign w:val="center"/>
          </w:tcPr>
          <w:p w14:paraId="693F8D3F" w14:textId="2C97B3C1"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128.47</w:t>
            </w:r>
          </w:p>
        </w:tc>
      </w:tr>
      <w:tr w:rsidR="00F5448D" w:rsidRPr="00F5448D" w14:paraId="777672A5" w14:textId="77777777" w:rsidTr="00E93259">
        <w:trPr>
          <w:jc w:val="center"/>
        </w:trPr>
        <w:tc>
          <w:tcPr>
            <w:tcW w:w="1351" w:type="dxa"/>
            <w:tcBorders>
              <w:top w:val="nil"/>
              <w:left w:val="single" w:sz="4" w:space="0" w:color="auto"/>
              <w:bottom w:val="single" w:sz="4" w:space="0" w:color="auto"/>
              <w:right w:val="single" w:sz="4" w:space="0" w:color="auto"/>
            </w:tcBorders>
            <w:shd w:val="clear" w:color="auto" w:fill="auto"/>
            <w:vAlign w:val="center"/>
          </w:tcPr>
          <w:p w14:paraId="074F8DCA" w14:textId="52D7C529"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50722*</w:t>
            </w:r>
          </w:p>
        </w:tc>
        <w:tc>
          <w:tcPr>
            <w:tcW w:w="2755" w:type="dxa"/>
            <w:tcBorders>
              <w:top w:val="nil"/>
              <w:left w:val="nil"/>
              <w:bottom w:val="single" w:sz="4" w:space="0" w:color="auto"/>
              <w:right w:val="single" w:sz="4" w:space="0" w:color="auto"/>
            </w:tcBorders>
            <w:shd w:val="clear" w:color="auto" w:fill="auto"/>
            <w:vAlign w:val="bottom"/>
          </w:tcPr>
          <w:p w14:paraId="11FF427F" w14:textId="3AB38BC3"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 xml:space="preserve">US kontrolē izdarīta </w:t>
            </w:r>
            <w:r w:rsidR="52B20BA9" w:rsidRPr="00E93259">
              <w:rPr>
                <w:rFonts w:ascii="Times New Roman" w:hAnsi="Times New Roman"/>
                <w:color w:val="000000" w:themeColor="text1"/>
              </w:rPr>
              <w:t>core biopsija (bez biopsijas adatas un ierīces vērtības). Nenorādīt kopā ar manipulācijām 50698 un 50700</w:t>
            </w:r>
          </w:p>
        </w:tc>
        <w:tc>
          <w:tcPr>
            <w:tcW w:w="1276" w:type="dxa"/>
            <w:tcBorders>
              <w:top w:val="nil"/>
              <w:left w:val="nil"/>
              <w:bottom w:val="single" w:sz="4" w:space="0" w:color="auto"/>
              <w:right w:val="single" w:sz="4" w:space="0" w:color="auto"/>
            </w:tcBorders>
            <w:shd w:val="clear" w:color="auto" w:fill="auto"/>
            <w:vAlign w:val="center"/>
          </w:tcPr>
          <w:p w14:paraId="08A6B9E3" w14:textId="150597D3"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122</w:t>
            </w:r>
          </w:p>
        </w:tc>
        <w:tc>
          <w:tcPr>
            <w:tcW w:w="981" w:type="dxa"/>
            <w:tcBorders>
              <w:top w:val="nil"/>
              <w:left w:val="nil"/>
              <w:bottom w:val="single" w:sz="4" w:space="0" w:color="auto"/>
              <w:right w:val="single" w:sz="4" w:space="0" w:color="auto"/>
            </w:tcBorders>
            <w:shd w:val="clear" w:color="auto" w:fill="auto"/>
            <w:vAlign w:val="center"/>
          </w:tcPr>
          <w:p w14:paraId="7F35F255" w14:textId="129E4748"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21.47</w:t>
            </w:r>
          </w:p>
        </w:tc>
        <w:tc>
          <w:tcPr>
            <w:tcW w:w="1405" w:type="dxa"/>
            <w:tcBorders>
              <w:top w:val="nil"/>
              <w:left w:val="nil"/>
              <w:bottom w:val="single" w:sz="4" w:space="0" w:color="auto"/>
              <w:right w:val="single" w:sz="4" w:space="0" w:color="auto"/>
            </w:tcBorders>
            <w:shd w:val="clear" w:color="auto" w:fill="auto"/>
            <w:vAlign w:val="center"/>
          </w:tcPr>
          <w:p w14:paraId="539EA1E9" w14:textId="5D214F86"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2619.34</w:t>
            </w:r>
          </w:p>
        </w:tc>
        <w:tc>
          <w:tcPr>
            <w:tcW w:w="1321" w:type="dxa"/>
            <w:tcBorders>
              <w:top w:val="nil"/>
              <w:left w:val="nil"/>
              <w:bottom w:val="single" w:sz="4" w:space="0" w:color="auto"/>
              <w:right w:val="single" w:sz="4" w:space="0" w:color="auto"/>
            </w:tcBorders>
            <w:shd w:val="clear" w:color="auto" w:fill="auto"/>
            <w:vAlign w:val="center"/>
          </w:tcPr>
          <w:p w14:paraId="07B64B61" w14:textId="61F4B4A0"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2357.41</w:t>
            </w:r>
          </w:p>
        </w:tc>
      </w:tr>
      <w:tr w:rsidR="00F5448D" w:rsidRPr="00F5448D" w14:paraId="2F5353A1" w14:textId="77777777" w:rsidTr="00E93259">
        <w:trPr>
          <w:jc w:val="center"/>
        </w:trPr>
        <w:tc>
          <w:tcPr>
            <w:tcW w:w="1351" w:type="dxa"/>
            <w:tcBorders>
              <w:top w:val="nil"/>
              <w:left w:val="single" w:sz="4" w:space="0" w:color="auto"/>
              <w:bottom w:val="single" w:sz="4" w:space="0" w:color="auto"/>
              <w:right w:val="single" w:sz="4" w:space="0" w:color="auto"/>
            </w:tcBorders>
            <w:shd w:val="clear" w:color="auto" w:fill="auto"/>
            <w:vAlign w:val="center"/>
          </w:tcPr>
          <w:p w14:paraId="16191CCE" w14:textId="03C23C04"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50736</w:t>
            </w:r>
          </w:p>
        </w:tc>
        <w:tc>
          <w:tcPr>
            <w:tcW w:w="2755" w:type="dxa"/>
            <w:tcBorders>
              <w:top w:val="nil"/>
              <w:left w:val="nil"/>
              <w:bottom w:val="single" w:sz="4" w:space="0" w:color="auto"/>
              <w:right w:val="single" w:sz="4" w:space="0" w:color="auto"/>
            </w:tcBorders>
            <w:shd w:val="clear" w:color="auto" w:fill="auto"/>
            <w:vAlign w:val="bottom"/>
          </w:tcPr>
          <w:p w14:paraId="5C72BDDC" w14:textId="4D85096B"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 xml:space="preserve">Piemaksa par vienreizlietojamo punkcijas biopsijas adatu </w:t>
            </w:r>
            <w:r w:rsidR="52B20BA9" w:rsidRPr="00E93259">
              <w:rPr>
                <w:rFonts w:ascii="Times New Roman" w:hAnsi="Times New Roman"/>
                <w:color w:val="000000" w:themeColor="text1"/>
              </w:rPr>
              <w:t>daudzkārtlietojamai punkciju ierīcei</w:t>
            </w:r>
          </w:p>
        </w:tc>
        <w:tc>
          <w:tcPr>
            <w:tcW w:w="1276" w:type="dxa"/>
            <w:tcBorders>
              <w:top w:val="nil"/>
              <w:left w:val="nil"/>
              <w:bottom w:val="single" w:sz="4" w:space="0" w:color="auto"/>
              <w:right w:val="single" w:sz="4" w:space="0" w:color="auto"/>
            </w:tcBorders>
            <w:shd w:val="clear" w:color="auto" w:fill="auto"/>
            <w:vAlign w:val="center"/>
          </w:tcPr>
          <w:p w14:paraId="38EA9583" w14:textId="03C72EE8"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128</w:t>
            </w:r>
          </w:p>
        </w:tc>
        <w:tc>
          <w:tcPr>
            <w:tcW w:w="981" w:type="dxa"/>
            <w:tcBorders>
              <w:top w:val="nil"/>
              <w:left w:val="nil"/>
              <w:bottom w:val="single" w:sz="4" w:space="0" w:color="auto"/>
              <w:right w:val="single" w:sz="4" w:space="0" w:color="auto"/>
            </w:tcBorders>
            <w:shd w:val="clear" w:color="auto" w:fill="auto"/>
            <w:vAlign w:val="center"/>
          </w:tcPr>
          <w:p w14:paraId="1A768E58" w14:textId="0B5F3661"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16.14</w:t>
            </w:r>
          </w:p>
        </w:tc>
        <w:tc>
          <w:tcPr>
            <w:tcW w:w="1405" w:type="dxa"/>
            <w:tcBorders>
              <w:top w:val="nil"/>
              <w:left w:val="nil"/>
              <w:bottom w:val="single" w:sz="4" w:space="0" w:color="auto"/>
              <w:right w:val="single" w:sz="4" w:space="0" w:color="auto"/>
            </w:tcBorders>
            <w:shd w:val="clear" w:color="auto" w:fill="auto"/>
            <w:vAlign w:val="center"/>
          </w:tcPr>
          <w:p w14:paraId="513F91F2" w14:textId="5EB5CE46"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2065.92</w:t>
            </w:r>
          </w:p>
        </w:tc>
        <w:tc>
          <w:tcPr>
            <w:tcW w:w="1321" w:type="dxa"/>
            <w:tcBorders>
              <w:top w:val="nil"/>
              <w:left w:val="nil"/>
              <w:bottom w:val="single" w:sz="4" w:space="0" w:color="auto"/>
              <w:right w:val="single" w:sz="4" w:space="0" w:color="auto"/>
            </w:tcBorders>
            <w:shd w:val="clear" w:color="auto" w:fill="auto"/>
            <w:vAlign w:val="center"/>
          </w:tcPr>
          <w:p w14:paraId="0ECED1CD" w14:textId="7FB7459E"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1859.33</w:t>
            </w:r>
          </w:p>
        </w:tc>
      </w:tr>
      <w:tr w:rsidR="00B416EA" w:rsidRPr="00F5448D" w14:paraId="076080F4" w14:textId="77777777" w:rsidTr="00E93259">
        <w:trPr>
          <w:trHeight w:val="5080"/>
          <w:jc w:val="center"/>
        </w:trPr>
        <w:tc>
          <w:tcPr>
            <w:tcW w:w="1351" w:type="dxa"/>
            <w:tcBorders>
              <w:top w:val="nil"/>
              <w:left w:val="single" w:sz="4" w:space="0" w:color="auto"/>
              <w:bottom w:val="single" w:sz="4" w:space="0" w:color="auto"/>
              <w:right w:val="single" w:sz="4" w:space="0" w:color="auto"/>
            </w:tcBorders>
            <w:shd w:val="clear" w:color="auto" w:fill="auto"/>
            <w:vAlign w:val="center"/>
          </w:tcPr>
          <w:p w14:paraId="2ABC1D22" w14:textId="34F6B7B5"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lastRenderedPageBreak/>
              <w:t>54010</w:t>
            </w:r>
          </w:p>
        </w:tc>
        <w:tc>
          <w:tcPr>
            <w:tcW w:w="2755" w:type="dxa"/>
            <w:tcBorders>
              <w:top w:val="nil"/>
              <w:left w:val="nil"/>
              <w:bottom w:val="single" w:sz="4" w:space="0" w:color="auto"/>
              <w:right w:val="single" w:sz="4" w:space="0" w:color="auto"/>
            </w:tcBorders>
            <w:shd w:val="clear" w:color="auto" w:fill="auto"/>
            <w:vAlign w:val="bottom"/>
          </w:tcPr>
          <w:p w14:paraId="0DB66C6F" w14:textId="77F27796"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 xml:space="preserve">Operāciju un biopsiju materiāla primāra apstrāde, ieguldīšana parafīna blokos, preparātu izgatavošana, papildu griezuma izgatavošana, krāsošana ar tradicionālām un speciālām krāsošanas metodēm virs 20 preparātiem plašu operāciju gadījumā ar vairāku orgānu vai audu izmeklēšanu, kā arī </w:t>
            </w:r>
            <w:r w:rsidR="52B20BA9" w:rsidRPr="00E93259">
              <w:rPr>
                <w:rFonts w:ascii="Times New Roman" w:hAnsi="Times New Roman"/>
                <w:color w:val="000000" w:themeColor="text1"/>
              </w:rPr>
              <w:t>intraoperatīvās (citobiopsijas) un biopsiju materiāls no endokrīniem orgāniem, CNS, artroskopiju, acs, vairogdziedzera, plaušu izmeklējumiem, transuretrālās prostatas rezekcijas un biopsijas no nierēm, aknām, limfmezgliem, kauliem neatkarīgi no preparātu skaita (sevišķi sarežģīts morfoloģisks izmeklējums)”</w:t>
            </w:r>
          </w:p>
        </w:tc>
        <w:tc>
          <w:tcPr>
            <w:tcW w:w="1276" w:type="dxa"/>
            <w:tcBorders>
              <w:top w:val="nil"/>
              <w:left w:val="nil"/>
              <w:bottom w:val="single" w:sz="4" w:space="0" w:color="auto"/>
              <w:right w:val="single" w:sz="4" w:space="0" w:color="auto"/>
            </w:tcBorders>
            <w:shd w:val="clear" w:color="auto" w:fill="auto"/>
            <w:vAlign w:val="center"/>
          </w:tcPr>
          <w:p w14:paraId="2A6A91F4" w14:textId="2BE2B7B8"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128</w:t>
            </w:r>
          </w:p>
        </w:tc>
        <w:tc>
          <w:tcPr>
            <w:tcW w:w="981" w:type="dxa"/>
            <w:tcBorders>
              <w:top w:val="nil"/>
              <w:left w:val="nil"/>
              <w:bottom w:val="single" w:sz="4" w:space="0" w:color="auto"/>
              <w:right w:val="single" w:sz="4" w:space="0" w:color="auto"/>
            </w:tcBorders>
            <w:shd w:val="clear" w:color="auto" w:fill="auto"/>
            <w:vAlign w:val="center"/>
          </w:tcPr>
          <w:p w14:paraId="556DF6E3" w14:textId="33AEDBFF"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54.91</w:t>
            </w:r>
          </w:p>
        </w:tc>
        <w:tc>
          <w:tcPr>
            <w:tcW w:w="1405" w:type="dxa"/>
            <w:tcBorders>
              <w:top w:val="nil"/>
              <w:left w:val="nil"/>
              <w:bottom w:val="single" w:sz="4" w:space="0" w:color="auto"/>
              <w:right w:val="single" w:sz="4" w:space="0" w:color="auto"/>
            </w:tcBorders>
            <w:shd w:val="clear" w:color="auto" w:fill="auto"/>
            <w:vAlign w:val="center"/>
          </w:tcPr>
          <w:p w14:paraId="76A5339C" w14:textId="563A8A6B"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7028.48</w:t>
            </w:r>
          </w:p>
        </w:tc>
        <w:tc>
          <w:tcPr>
            <w:tcW w:w="1321" w:type="dxa"/>
            <w:tcBorders>
              <w:top w:val="nil"/>
              <w:left w:val="nil"/>
              <w:bottom w:val="single" w:sz="4" w:space="0" w:color="auto"/>
              <w:right w:val="single" w:sz="4" w:space="0" w:color="auto"/>
            </w:tcBorders>
            <w:shd w:val="clear" w:color="auto" w:fill="auto"/>
            <w:vAlign w:val="center"/>
          </w:tcPr>
          <w:p w14:paraId="3AB9DD03" w14:textId="1EDD2156"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6325.63</w:t>
            </w:r>
          </w:p>
        </w:tc>
      </w:tr>
      <w:tr w:rsidR="00B416EA" w:rsidRPr="00F5448D" w14:paraId="0EB69560" w14:textId="77777777" w:rsidTr="00E93259">
        <w:trPr>
          <w:jc w:val="center"/>
        </w:trPr>
        <w:tc>
          <w:tcPr>
            <w:tcW w:w="7768"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828938" w14:textId="0E06EBBC" w:rsidR="00B416EA" w:rsidRPr="00B416EA" w:rsidRDefault="00B416EA" w:rsidP="00B416EA">
            <w:pPr>
              <w:spacing w:after="120"/>
              <w:jc w:val="right"/>
              <w:rPr>
                <w:rFonts w:ascii="Times New Roman" w:hAnsi="Times New Roman"/>
              </w:rPr>
            </w:pPr>
            <w:r w:rsidRPr="00B416EA">
              <w:rPr>
                <w:rFonts w:ascii="Times New Roman" w:hAnsi="Times New Roman"/>
                <w:b/>
                <w:bCs/>
              </w:rPr>
              <w:t>Ietaupījums:</w:t>
            </w:r>
          </w:p>
        </w:tc>
        <w:tc>
          <w:tcPr>
            <w:tcW w:w="1321"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56D6EFB3" w14:textId="3A8E3ACD" w:rsidR="00B416EA" w:rsidRPr="00B416EA" w:rsidRDefault="00B416EA" w:rsidP="009A4A89">
            <w:pPr>
              <w:spacing w:after="120"/>
              <w:jc w:val="center"/>
              <w:rPr>
                <w:rFonts w:ascii="Times New Roman" w:hAnsi="Times New Roman"/>
              </w:rPr>
            </w:pPr>
            <w:r w:rsidRPr="00B416EA">
              <w:rPr>
                <w:rFonts w:ascii="Times New Roman" w:hAnsi="Times New Roman"/>
                <w:b/>
                <w:bCs/>
              </w:rPr>
              <w:t>10 671</w:t>
            </w:r>
          </w:p>
        </w:tc>
      </w:tr>
    </w:tbl>
    <w:p w14:paraId="6877790B" w14:textId="262A641F" w:rsidR="00F5448D" w:rsidRDefault="00F5448D" w:rsidP="64AB90BD">
      <w:pPr>
        <w:shd w:val="clear" w:color="auto" w:fill="FFFFFF" w:themeFill="background1"/>
        <w:spacing w:after="120"/>
        <w:jc w:val="both"/>
        <w:rPr>
          <w:rFonts w:ascii="Times New Roman" w:eastAsia="Times New Roman" w:hAnsi="Times New Roman" w:cs="Times New Roman"/>
          <w:color w:val="212121"/>
          <w:sz w:val="24"/>
          <w:szCs w:val="24"/>
          <w:lang w:eastAsia="lv-LV"/>
        </w:rPr>
      </w:pPr>
    </w:p>
    <w:p w14:paraId="461B1723" w14:textId="52C4F1A7" w:rsidR="0012333F" w:rsidRPr="00262D86" w:rsidRDefault="00262D86" w:rsidP="64AB90BD">
      <w:pPr>
        <w:shd w:val="clear" w:color="auto" w:fill="FFFFFF" w:themeFill="background1"/>
        <w:spacing w:after="120"/>
        <w:ind w:firstLine="720"/>
        <w:jc w:val="both"/>
        <w:rPr>
          <w:rFonts w:ascii="Times New Roman" w:eastAsia="Times New Roman" w:hAnsi="Times New Roman" w:cs="Times New Roman"/>
          <w:sz w:val="24"/>
          <w:szCs w:val="24"/>
          <w:lang w:eastAsia="lv-LV"/>
        </w:rPr>
      </w:pPr>
      <w:r w:rsidRPr="00262D86">
        <w:rPr>
          <w:rFonts w:ascii="Times New Roman" w:eastAsia="Times New Roman" w:hAnsi="Times New Roman" w:cs="Times New Roman"/>
          <w:sz w:val="24"/>
          <w:szCs w:val="24"/>
          <w:shd w:val="clear" w:color="auto" w:fill="FFFFFF"/>
          <w:lang w:eastAsia="lv-LV"/>
        </w:rPr>
        <w:t>Jāuzsver, ka i</w:t>
      </w:r>
      <w:r w:rsidR="005B016F" w:rsidRPr="00262D86">
        <w:rPr>
          <w:rFonts w:ascii="Times New Roman" w:hAnsi="Times New Roman" w:cs="Times New Roman"/>
          <w:sz w:val="24"/>
          <w:szCs w:val="24"/>
          <w:shd w:val="clear" w:color="auto" w:fill="FFFFFF"/>
        </w:rPr>
        <w:t xml:space="preserve">etaupījums </w:t>
      </w:r>
      <w:r w:rsidR="00773EE8">
        <w:rPr>
          <w:rFonts w:ascii="Times New Roman" w:hAnsi="Times New Roman" w:cs="Times New Roman"/>
          <w:sz w:val="24"/>
          <w:szCs w:val="24"/>
          <w:shd w:val="clear" w:color="auto" w:fill="FFFFFF"/>
        </w:rPr>
        <w:t>var būt</w:t>
      </w:r>
      <w:r w:rsidR="005B016F" w:rsidRPr="00262D86">
        <w:rPr>
          <w:rFonts w:ascii="Times New Roman" w:hAnsi="Times New Roman" w:cs="Times New Roman"/>
          <w:sz w:val="24"/>
          <w:szCs w:val="24"/>
          <w:shd w:val="clear" w:color="auto" w:fill="FFFFFF"/>
        </w:rPr>
        <w:t xml:space="preserve"> ievērojami lielāks, jo pacientu skaits kas izmanto biopsiju ir neliels t.sk. dēļ procedūras sarežģītības, savukārt aknu </w:t>
      </w:r>
      <w:r>
        <w:rPr>
          <w:rFonts w:ascii="Times New Roman" w:hAnsi="Times New Roman" w:cs="Times New Roman"/>
          <w:sz w:val="24"/>
          <w:szCs w:val="24"/>
          <w:shd w:val="clear" w:color="auto" w:fill="FFFFFF"/>
        </w:rPr>
        <w:t>elastogrāfija</w:t>
      </w:r>
      <w:r w:rsidR="52B20BA9" w:rsidRPr="00E93259">
        <w:rPr>
          <w:rFonts w:ascii="Times New Roman" w:hAnsi="Times New Roman" w:cs="Times New Roman"/>
          <w:sz w:val="24"/>
          <w:szCs w:val="24"/>
        </w:rPr>
        <w:t xml:space="preserve"> nodrošinās pakalpojuma pieejamību ievērojami lielākam pacientu skaitam.</w:t>
      </w:r>
    </w:p>
    <w:p w14:paraId="5BB921DB" w14:textId="42FA9E83" w:rsidR="006B2EFA" w:rsidRDefault="006B2EFA" w:rsidP="64AB90BD">
      <w:pPr>
        <w:shd w:val="clear" w:color="auto" w:fill="FFFFFF" w:themeFill="background1"/>
        <w:spacing w:after="0" w:line="240" w:lineRule="auto"/>
        <w:ind w:firstLine="720"/>
        <w:jc w:val="both"/>
        <w:rPr>
          <w:rFonts w:ascii="Times New Roman" w:eastAsia="Times New Roman" w:hAnsi="Times New Roman" w:cs="Times New Roman"/>
          <w:color w:val="212121"/>
          <w:sz w:val="24"/>
          <w:szCs w:val="24"/>
          <w:lang w:eastAsia="lv-LV"/>
        </w:rPr>
      </w:pPr>
    </w:p>
    <w:p w14:paraId="239FE6D3" w14:textId="77777777" w:rsidR="00AE3965" w:rsidRDefault="00AE3965" w:rsidP="64AB90BD">
      <w:pPr>
        <w:shd w:val="clear" w:color="auto" w:fill="FFFFFF" w:themeFill="background1"/>
        <w:spacing w:after="0" w:line="240" w:lineRule="auto"/>
        <w:ind w:firstLine="720"/>
        <w:jc w:val="both"/>
        <w:rPr>
          <w:rFonts w:ascii="Times New Roman" w:eastAsia="Times New Roman" w:hAnsi="Times New Roman" w:cs="Times New Roman"/>
          <w:color w:val="212121"/>
          <w:sz w:val="24"/>
          <w:szCs w:val="24"/>
          <w:lang w:eastAsia="lv-LV"/>
        </w:rPr>
      </w:pPr>
    </w:p>
    <w:p w14:paraId="09119125" w14:textId="112E4B93" w:rsidR="00E63F25" w:rsidRPr="00E63F25" w:rsidRDefault="006B2EFA" w:rsidP="00CC103A">
      <w:pPr>
        <w:spacing w:after="120"/>
        <w:jc w:val="both"/>
        <w:rPr>
          <w:rFonts w:ascii="Times New Roman" w:hAnsi="Times New Roman" w:cs="Times New Roman"/>
          <w:sz w:val="24"/>
          <w:szCs w:val="24"/>
        </w:rPr>
      </w:pPr>
      <w:r w:rsidRPr="64AB90BD">
        <w:rPr>
          <w:rFonts w:ascii="Times New Roman" w:eastAsia="Times New Roman" w:hAnsi="Times New Roman" w:cs="Times New Roman"/>
          <w:b/>
          <w:bCs/>
          <w:color w:val="212121"/>
          <w:sz w:val="24"/>
          <w:szCs w:val="24"/>
          <w:shd w:val="clear" w:color="auto" w:fill="FFFFFF"/>
          <w:lang w:eastAsia="lv-LV"/>
        </w:rPr>
        <w:t>3.2. Referen</w:t>
      </w:r>
      <w:r w:rsidR="003047FE" w:rsidRPr="64AB90BD">
        <w:rPr>
          <w:rFonts w:ascii="Times New Roman" w:eastAsia="Times New Roman" w:hAnsi="Times New Roman" w:cs="Times New Roman"/>
          <w:b/>
          <w:bCs/>
          <w:color w:val="212121"/>
          <w:sz w:val="24"/>
          <w:szCs w:val="24"/>
          <w:shd w:val="clear" w:color="auto" w:fill="FFFFFF"/>
          <w:lang w:eastAsia="lv-LV"/>
        </w:rPr>
        <w:t>ces laboratorijas izmeklējumi V</w:t>
      </w:r>
      <w:r w:rsidRPr="64AB90BD">
        <w:rPr>
          <w:rFonts w:ascii="Times New Roman" w:eastAsia="Times New Roman" w:hAnsi="Times New Roman" w:cs="Times New Roman"/>
          <w:b/>
          <w:bCs/>
          <w:color w:val="212121"/>
          <w:sz w:val="24"/>
          <w:szCs w:val="24"/>
          <w:shd w:val="clear" w:color="auto" w:fill="FFFFFF"/>
          <w:lang w:eastAsia="lv-LV"/>
        </w:rPr>
        <w:t>H</w:t>
      </w:r>
      <w:r w:rsidR="003047FE" w:rsidRPr="64AB90BD">
        <w:rPr>
          <w:rFonts w:ascii="Times New Roman" w:eastAsia="Times New Roman" w:hAnsi="Times New Roman" w:cs="Times New Roman"/>
          <w:b/>
          <w:bCs/>
          <w:color w:val="212121"/>
          <w:sz w:val="24"/>
          <w:szCs w:val="24"/>
          <w:shd w:val="clear" w:color="auto" w:fill="FFFFFF"/>
          <w:lang w:eastAsia="lv-LV"/>
        </w:rPr>
        <w:t>C</w:t>
      </w:r>
      <w:r w:rsidRPr="64AB90BD">
        <w:rPr>
          <w:rFonts w:ascii="Times New Roman" w:eastAsia="Times New Roman" w:hAnsi="Times New Roman" w:cs="Times New Roman"/>
          <w:b/>
          <w:bCs/>
          <w:color w:val="212121"/>
          <w:sz w:val="24"/>
          <w:szCs w:val="24"/>
          <w:shd w:val="clear" w:color="auto" w:fill="FFFFFF"/>
          <w:lang w:eastAsia="lv-LV"/>
        </w:rPr>
        <w:t xml:space="preserve"> pacientu terapijas uzsākšanai un terapijas monitoringam saistībā ar pacientu skaita pieaugumu</w:t>
      </w:r>
    </w:p>
    <w:p w14:paraId="53C903DD" w14:textId="74A9CC35" w:rsidR="00E63F25" w:rsidRDefault="00E63F25" w:rsidP="00D346A7">
      <w:pPr>
        <w:spacing w:after="120"/>
        <w:ind w:firstLine="720"/>
        <w:jc w:val="both"/>
        <w:rPr>
          <w:rFonts w:ascii="Times New Roman" w:hAnsi="Times New Roman" w:cs="Times New Roman"/>
          <w:i/>
          <w:sz w:val="24"/>
          <w:szCs w:val="24"/>
        </w:rPr>
      </w:pPr>
      <w:r w:rsidRPr="00007A5A">
        <w:rPr>
          <w:rFonts w:ascii="Times New Roman" w:hAnsi="Times New Roman" w:cs="Times New Roman"/>
          <w:bCs/>
          <w:sz w:val="24"/>
          <w:szCs w:val="24"/>
        </w:rPr>
        <w:t xml:space="preserve"> </w:t>
      </w:r>
      <w:r w:rsidR="006B2EFA" w:rsidRPr="00007A5A">
        <w:rPr>
          <w:rFonts w:ascii="Times New Roman" w:hAnsi="Times New Roman" w:cs="Times New Roman"/>
          <w:bCs/>
          <w:sz w:val="24"/>
          <w:szCs w:val="24"/>
        </w:rPr>
        <w:t xml:space="preserve">Palielinoties VHC ārstēšanas iespējām, 2018.gadā arī ir palielinājies laboratoriski veikto izmeklējumu skaits VHC diagnostikai un dinamiskajai novērošanai VHC ārstētajiem pacientiem. </w:t>
      </w:r>
      <w:r w:rsidR="006B2EFA" w:rsidRPr="00007A5A">
        <w:rPr>
          <w:rFonts w:ascii="Times New Roman" w:hAnsi="Times New Roman" w:cs="Times New Roman"/>
          <w:sz w:val="24"/>
          <w:szCs w:val="24"/>
        </w:rPr>
        <w:t xml:space="preserve">Veselības reformas pasākumu ietvarā 2018.gada pirmajā pusgadā Nacionālā references laboratorija papildus ir veikusi 3 354 VHC laboratoriskos izmeklējumus 51,36% apmērā no gada plānotā par kopējo summu 391 602 </w:t>
      </w:r>
      <w:r w:rsidR="006B2EFA" w:rsidRPr="00BB4113">
        <w:rPr>
          <w:rFonts w:ascii="Times New Roman" w:hAnsi="Times New Roman" w:cs="Times New Roman"/>
          <w:i/>
          <w:sz w:val="24"/>
          <w:szCs w:val="24"/>
        </w:rPr>
        <w:t>euro</w:t>
      </w:r>
      <w:r w:rsidR="00A9585C">
        <w:rPr>
          <w:rFonts w:ascii="Times New Roman" w:hAnsi="Times New Roman" w:cs="Times New Roman"/>
          <w:i/>
          <w:sz w:val="24"/>
          <w:szCs w:val="24"/>
        </w:rPr>
        <w:t>.</w:t>
      </w:r>
    </w:p>
    <w:p w14:paraId="0CDB8931" w14:textId="77777777" w:rsidR="003B46B5" w:rsidRDefault="003B46B5" w:rsidP="003B46B5">
      <w:pPr>
        <w:spacing w:after="120"/>
        <w:ind w:firstLine="720"/>
        <w:jc w:val="right"/>
        <w:rPr>
          <w:rFonts w:ascii="Times New Roman" w:hAnsi="Times New Roman" w:cs="Times New Roman"/>
          <w:i/>
          <w:sz w:val="24"/>
          <w:szCs w:val="24"/>
        </w:rPr>
        <w:sectPr w:rsidR="003B46B5" w:rsidSect="00A2263F">
          <w:pgSz w:w="12240" w:h="15840"/>
          <w:pgMar w:top="1440" w:right="1440" w:bottom="1440" w:left="1701" w:header="708" w:footer="708" w:gutter="0"/>
          <w:cols w:space="708"/>
          <w:docGrid w:linePitch="360"/>
        </w:sectPr>
      </w:pPr>
    </w:p>
    <w:p w14:paraId="310C13D4" w14:textId="63329FE9" w:rsidR="003B46B5" w:rsidRDefault="003B46B5" w:rsidP="00E11AFF">
      <w:pPr>
        <w:spacing w:after="120"/>
        <w:ind w:firstLine="720"/>
        <w:jc w:val="right"/>
        <w:rPr>
          <w:rFonts w:ascii="Times New Roman" w:hAnsi="Times New Roman" w:cs="Times New Roman"/>
          <w:i/>
          <w:sz w:val="24"/>
          <w:szCs w:val="24"/>
        </w:rPr>
      </w:pPr>
      <w:r>
        <w:rPr>
          <w:rFonts w:ascii="Times New Roman" w:hAnsi="Times New Roman" w:cs="Times New Roman"/>
          <w:i/>
          <w:sz w:val="24"/>
          <w:szCs w:val="24"/>
        </w:rPr>
        <w:lastRenderedPageBreak/>
        <w:t>5</w:t>
      </w:r>
      <w:r w:rsidR="000678A1">
        <w:rPr>
          <w:rFonts w:ascii="Times New Roman" w:hAnsi="Times New Roman" w:cs="Times New Roman"/>
          <w:i/>
          <w:sz w:val="24"/>
          <w:szCs w:val="24"/>
        </w:rPr>
        <w:t>3</w:t>
      </w:r>
      <w:r>
        <w:rPr>
          <w:rFonts w:ascii="Times New Roman" w:hAnsi="Times New Roman" w:cs="Times New Roman"/>
          <w:i/>
          <w:sz w:val="24"/>
          <w:szCs w:val="24"/>
        </w:rPr>
        <w:t>.tabula</w:t>
      </w:r>
    </w:p>
    <w:p w14:paraId="64E793AC" w14:textId="4B17274C" w:rsidR="003B46B5" w:rsidRPr="00E11AFF" w:rsidRDefault="003B46B5" w:rsidP="00E11AFF">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finansējums VHC </w:t>
      </w:r>
      <w:r w:rsidRPr="00901A9F">
        <w:rPr>
          <w:rFonts w:ascii="Times New Roman" w:hAnsi="Times New Roman" w:cs="Times New Roman"/>
          <w:b/>
          <w:bCs/>
          <w:sz w:val="24"/>
          <w:szCs w:val="24"/>
        </w:rPr>
        <w:t xml:space="preserve">izmeklējumu nodrošināšanai </w:t>
      </w:r>
      <w:r>
        <w:rPr>
          <w:rFonts w:ascii="Times New Roman" w:hAnsi="Times New Roman" w:cs="Times New Roman"/>
          <w:b/>
          <w:bCs/>
          <w:sz w:val="24"/>
          <w:szCs w:val="24"/>
        </w:rPr>
        <w:t>2017., 2018. un 2019.gadam</w:t>
      </w:r>
    </w:p>
    <w:tbl>
      <w:tblPr>
        <w:tblW w:w="13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81"/>
        <w:gridCol w:w="1175"/>
        <w:gridCol w:w="992"/>
        <w:gridCol w:w="997"/>
        <w:gridCol w:w="987"/>
        <w:gridCol w:w="856"/>
        <w:gridCol w:w="992"/>
        <w:gridCol w:w="992"/>
        <w:gridCol w:w="850"/>
        <w:gridCol w:w="709"/>
        <w:gridCol w:w="709"/>
        <w:gridCol w:w="846"/>
        <w:gridCol w:w="850"/>
        <w:gridCol w:w="993"/>
      </w:tblGrid>
      <w:tr w:rsidR="00E11AFF" w14:paraId="4EEB276A" w14:textId="77777777" w:rsidTr="00E11AFF">
        <w:trPr>
          <w:cantSplit/>
          <w:trHeight w:val="1419"/>
          <w:jc w:val="center"/>
        </w:trPr>
        <w:tc>
          <w:tcPr>
            <w:tcW w:w="421" w:type="dxa"/>
            <w:shd w:val="clear" w:color="auto" w:fill="E36C0A" w:themeFill="accent6" w:themeFillShade="BF"/>
            <w:vAlign w:val="center"/>
            <w:hideMark/>
          </w:tcPr>
          <w:p w14:paraId="280A84FF" w14:textId="77777777" w:rsidR="003B46B5" w:rsidRPr="00847710" w:rsidRDefault="003B46B5" w:rsidP="005115DB">
            <w:pPr>
              <w:spacing w:after="0" w:line="240" w:lineRule="auto"/>
              <w:rPr>
                <w:rFonts w:ascii="Times New Roman" w:eastAsia="Times New Roman" w:hAnsi="Times New Roman" w:cs="Times New Roman"/>
                <w:b/>
                <w:bCs/>
                <w:sz w:val="20"/>
                <w:szCs w:val="20"/>
                <w:lang w:eastAsia="lv-LV"/>
              </w:rPr>
            </w:pPr>
          </w:p>
        </w:tc>
        <w:tc>
          <w:tcPr>
            <w:tcW w:w="1281" w:type="dxa"/>
            <w:shd w:val="clear" w:color="auto" w:fill="E36C0A" w:themeFill="accent6" w:themeFillShade="BF"/>
            <w:textDirection w:val="btLr"/>
            <w:vAlign w:val="center"/>
            <w:hideMark/>
          </w:tcPr>
          <w:p w14:paraId="369CE6BB" w14:textId="77777777" w:rsidR="003B46B5" w:rsidRPr="00847710" w:rsidRDefault="003B46B5" w:rsidP="00606D21">
            <w:pPr>
              <w:spacing w:after="0" w:line="240" w:lineRule="auto"/>
              <w:ind w:left="113" w:right="113"/>
              <w:jc w:val="center"/>
              <w:rPr>
                <w:rFonts w:ascii="Times New Roman" w:eastAsia="Times New Roman" w:hAnsi="Times New Roman" w:cs="Times New Roman"/>
                <w:b/>
                <w:bCs/>
                <w:sz w:val="20"/>
                <w:szCs w:val="20"/>
                <w:lang w:eastAsia="lv-LV"/>
              </w:rPr>
            </w:pPr>
          </w:p>
        </w:tc>
        <w:tc>
          <w:tcPr>
            <w:tcW w:w="1175" w:type="dxa"/>
            <w:shd w:val="clear" w:color="auto" w:fill="E36C0A" w:themeFill="accent6" w:themeFillShade="BF"/>
            <w:textDirection w:val="btLr"/>
            <w:vAlign w:val="center"/>
            <w:hideMark/>
          </w:tcPr>
          <w:p w14:paraId="3C4C6156" w14:textId="77777777" w:rsidR="003B46B5" w:rsidRPr="00847710" w:rsidRDefault="003B46B5" w:rsidP="00606D2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pakalpojuma vidējās izmaksas *</w:t>
            </w:r>
          </w:p>
        </w:tc>
        <w:tc>
          <w:tcPr>
            <w:tcW w:w="2976" w:type="dxa"/>
            <w:gridSpan w:val="3"/>
            <w:shd w:val="clear" w:color="auto" w:fill="E36C0A" w:themeFill="accent6" w:themeFillShade="BF"/>
            <w:textDirection w:val="btLr"/>
            <w:vAlign w:val="center"/>
          </w:tcPr>
          <w:p w14:paraId="593EEC12" w14:textId="77777777" w:rsidR="003B46B5" w:rsidRPr="00847710" w:rsidRDefault="003B46B5" w:rsidP="005115DB">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w:t>
            </w:r>
            <w:r w:rsidRPr="00847710">
              <w:rPr>
                <w:rFonts w:ascii="Times New Roman" w:eastAsia="Times New Roman" w:hAnsi="Times New Roman" w:cs="Times New Roman"/>
                <w:b/>
                <w:bCs/>
                <w:sz w:val="20"/>
                <w:szCs w:val="20"/>
                <w:lang w:eastAsia="lv-LV"/>
              </w:rPr>
              <w:t xml:space="preserve"> piešķiramais finansējums</w:t>
            </w:r>
          </w:p>
          <w:p w14:paraId="5DF3417C" w14:textId="77777777" w:rsidR="003B46B5" w:rsidRPr="00847710" w:rsidRDefault="003B46B5" w:rsidP="005115DB">
            <w:pPr>
              <w:spacing w:after="0" w:line="240" w:lineRule="auto"/>
              <w:ind w:left="113" w:right="113"/>
              <w:jc w:val="center"/>
              <w:rPr>
                <w:rFonts w:ascii="Times New Roman" w:eastAsia="Times New Roman" w:hAnsi="Times New Roman" w:cs="Times New Roman"/>
                <w:b/>
                <w:bCs/>
                <w:sz w:val="20"/>
                <w:szCs w:val="20"/>
                <w:lang w:eastAsia="lv-LV"/>
              </w:rPr>
            </w:pPr>
          </w:p>
        </w:tc>
        <w:tc>
          <w:tcPr>
            <w:tcW w:w="2840" w:type="dxa"/>
            <w:gridSpan w:val="3"/>
            <w:shd w:val="clear" w:color="auto" w:fill="E36C0A" w:themeFill="accent6" w:themeFillShade="BF"/>
            <w:textDirection w:val="btLr"/>
            <w:vAlign w:val="center"/>
          </w:tcPr>
          <w:p w14:paraId="58240ECF" w14:textId="77777777" w:rsidR="003B46B5" w:rsidRPr="00847710" w:rsidRDefault="003B46B5"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7A58F017" w14:textId="77777777" w:rsidR="003B46B5" w:rsidRPr="00847710" w:rsidRDefault="003B46B5" w:rsidP="005115DB">
            <w:pPr>
              <w:spacing w:after="0" w:line="240" w:lineRule="auto"/>
              <w:ind w:left="113" w:right="113"/>
              <w:jc w:val="center"/>
              <w:rPr>
                <w:rFonts w:ascii="Times New Roman" w:eastAsia="Times New Roman" w:hAnsi="Times New Roman" w:cs="Times New Roman"/>
                <w:b/>
                <w:bCs/>
                <w:sz w:val="20"/>
                <w:szCs w:val="20"/>
                <w:lang w:eastAsia="lv-LV"/>
              </w:rPr>
            </w:pPr>
          </w:p>
        </w:tc>
        <w:tc>
          <w:tcPr>
            <w:tcW w:w="2268" w:type="dxa"/>
            <w:gridSpan w:val="3"/>
            <w:shd w:val="clear" w:color="auto" w:fill="E36C0A" w:themeFill="accent6" w:themeFillShade="BF"/>
            <w:textDirection w:val="btLr"/>
            <w:vAlign w:val="center"/>
          </w:tcPr>
          <w:p w14:paraId="40FF9AD7" w14:textId="77777777" w:rsidR="003B46B5" w:rsidRPr="00847710" w:rsidRDefault="003B46B5"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2689" w:type="dxa"/>
            <w:gridSpan w:val="3"/>
            <w:shd w:val="clear" w:color="auto" w:fill="E36C0A" w:themeFill="accent6" w:themeFillShade="BF"/>
            <w:textDirection w:val="btLr"/>
            <w:vAlign w:val="center"/>
          </w:tcPr>
          <w:p w14:paraId="28E406F1" w14:textId="77777777" w:rsidR="003B46B5" w:rsidRPr="00847710" w:rsidRDefault="003B46B5" w:rsidP="005115D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r>
              <w:rPr>
                <w:rFonts w:ascii="Times New Roman" w:eastAsia="Times New Roman" w:hAnsi="Times New Roman" w:cs="Times New Roman"/>
                <w:b/>
                <w:bCs/>
                <w:sz w:val="20"/>
                <w:szCs w:val="20"/>
                <w:lang w:eastAsia="lv-LV"/>
              </w:rPr>
              <w:t xml:space="preserve"> pēc finansējuma piešķīruma</w:t>
            </w:r>
          </w:p>
        </w:tc>
      </w:tr>
      <w:tr w:rsidR="003B46B5" w14:paraId="7F86CD66" w14:textId="77777777" w:rsidTr="00606D21">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2E53DB82" w14:textId="77777777" w:rsidR="003B46B5" w:rsidRPr="00847710" w:rsidRDefault="003B46B5" w:rsidP="005115DB">
            <w:pPr>
              <w:spacing w:after="0" w:line="240" w:lineRule="auto"/>
              <w:jc w:val="center"/>
              <w:rPr>
                <w:rFonts w:ascii="Times New Roman" w:eastAsia="Times New Roman" w:hAnsi="Times New Roman" w:cs="Times New Roman"/>
                <w:color w:val="000000"/>
                <w:sz w:val="20"/>
                <w:szCs w:val="20"/>
                <w:lang w:eastAsia="lv-LV"/>
              </w:rPr>
            </w:pPr>
          </w:p>
        </w:tc>
        <w:tc>
          <w:tcPr>
            <w:tcW w:w="128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18E770" w14:textId="77777777" w:rsidR="003B46B5" w:rsidRPr="00847710" w:rsidRDefault="003B46B5" w:rsidP="005115DB">
            <w:pPr>
              <w:spacing w:after="0" w:line="240" w:lineRule="auto"/>
              <w:jc w:val="center"/>
              <w:rPr>
                <w:rFonts w:ascii="Times New Roman" w:eastAsia="Times New Roman" w:hAnsi="Times New Roman" w:cs="Times New Roman"/>
                <w:color w:val="000000"/>
                <w:sz w:val="20"/>
                <w:szCs w:val="20"/>
                <w:lang w:eastAsia="lv-LV"/>
              </w:rPr>
            </w:pPr>
          </w:p>
        </w:tc>
        <w:tc>
          <w:tcPr>
            <w:tcW w:w="117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70738C06" w14:textId="77777777" w:rsidR="003B46B5" w:rsidRPr="00C86312" w:rsidRDefault="003B46B5" w:rsidP="005115DB">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CFC84E" w14:textId="77777777" w:rsidR="003B46B5" w:rsidRDefault="003B46B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D441136" w14:textId="77777777" w:rsidR="003B46B5" w:rsidRPr="0012317D" w:rsidRDefault="003B46B5" w:rsidP="005115D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754F2ED" w14:textId="77777777" w:rsidR="003B46B5" w:rsidRDefault="003B46B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0F82B50" w14:textId="77777777" w:rsidR="003B46B5" w:rsidRPr="0012317D" w:rsidRDefault="003B46B5" w:rsidP="005115D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8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A28543" w14:textId="77777777" w:rsidR="003B46B5" w:rsidRPr="00C86312" w:rsidRDefault="003B46B5" w:rsidP="005115DB">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4DF3615" w14:textId="77777777" w:rsidR="003B46B5" w:rsidRPr="00C86312" w:rsidRDefault="003B46B5" w:rsidP="005115D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2A75D5" w14:textId="77777777" w:rsidR="003B46B5" w:rsidRDefault="003B46B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41F73AAE" w14:textId="77777777" w:rsidR="003B46B5" w:rsidRDefault="003B46B5" w:rsidP="005115DB">
            <w:pPr>
              <w:spacing w:after="0" w:line="240" w:lineRule="auto"/>
              <w:jc w:val="center"/>
              <w:rPr>
                <w:rFonts w:ascii="Times New Roman" w:eastAsia="Times New Roman" w:hAnsi="Times New Roman" w:cs="Times New Roman"/>
                <w:b/>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92F7EF" w14:textId="77777777" w:rsidR="003B46B5" w:rsidRDefault="003B46B5" w:rsidP="005115D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553E53AE" w14:textId="77777777" w:rsidR="003B46B5" w:rsidRDefault="003B46B5" w:rsidP="005115DB">
            <w:pPr>
              <w:spacing w:after="0" w:line="240" w:lineRule="auto"/>
              <w:jc w:val="center"/>
              <w:rPr>
                <w:rFonts w:ascii="Times New Roman" w:eastAsia="Times New Roman" w:hAnsi="Times New Roman" w:cs="Times New Roman"/>
                <w:b/>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1D1B78" w14:textId="77777777" w:rsidR="003B46B5" w:rsidRDefault="003B46B5" w:rsidP="005115D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2019 </w:t>
            </w:r>
            <w:r w:rsidRPr="005B18F9">
              <w:rPr>
                <w:rFonts w:ascii="Times New Roman" w:eastAsia="Times New Roman" w:hAnsi="Times New Roman" w:cs="Times New Roman"/>
                <w:i/>
                <w:sz w:val="20"/>
                <w:szCs w:val="20"/>
                <w:lang w:eastAsia="lv-LV"/>
              </w:rPr>
              <w:t>(euro)</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B39B98" w14:textId="77777777" w:rsidR="003B46B5" w:rsidRPr="00847710" w:rsidRDefault="003B46B5" w:rsidP="005115D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64D741" w14:textId="77777777" w:rsidR="003B46B5" w:rsidRPr="00847710" w:rsidRDefault="003B46B5" w:rsidP="005115D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2018</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A2CBEE" w14:textId="77777777" w:rsidR="003B46B5" w:rsidRPr="00847710" w:rsidRDefault="003B46B5" w:rsidP="005115DB">
            <w:pPr>
              <w:spacing w:after="0" w:line="240" w:lineRule="auto"/>
              <w:jc w:val="center"/>
              <w:rPr>
                <w:rFonts w:ascii="Times New Roman" w:eastAsia="Times New Roman" w:hAnsi="Times New Roman" w:cs="Times New Roman"/>
                <w:b/>
                <w:sz w:val="20"/>
                <w:szCs w:val="20"/>
                <w:lang w:eastAsia="lv-LV"/>
              </w:rPr>
            </w:pPr>
          </w:p>
          <w:p w14:paraId="7E7631EA" w14:textId="77777777" w:rsidR="003B46B5" w:rsidRPr="00C86312" w:rsidRDefault="003B46B5" w:rsidP="005115DB">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765D0A7" w14:textId="77777777" w:rsidR="003B46B5" w:rsidRPr="00847710" w:rsidRDefault="003B46B5" w:rsidP="005115DB">
            <w:pPr>
              <w:spacing w:after="0" w:line="240" w:lineRule="auto"/>
              <w:jc w:val="center"/>
              <w:rPr>
                <w:rFonts w:ascii="Times New Roman" w:eastAsia="Times New Roman" w:hAnsi="Times New Roman" w:cs="Times New Roman"/>
                <w:b/>
                <w:sz w:val="20"/>
                <w:szCs w:val="20"/>
                <w:lang w:eastAsia="lv-LV"/>
              </w:rPr>
            </w:pPr>
          </w:p>
        </w:tc>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0246D9" w14:textId="77777777" w:rsidR="003B46B5" w:rsidRDefault="003B46B5" w:rsidP="005115D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64C4CE" w14:textId="77777777" w:rsidR="003B46B5" w:rsidRDefault="003B46B5" w:rsidP="005115D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2018</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DEE1BD" w14:textId="77777777" w:rsidR="003B46B5" w:rsidRPr="00847710" w:rsidRDefault="003B46B5" w:rsidP="005115D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2019</w:t>
            </w:r>
          </w:p>
        </w:tc>
      </w:tr>
      <w:tr w:rsidR="00826EC9" w14:paraId="6A02E3A7" w14:textId="77777777" w:rsidTr="00E11AFF">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B5AB" w14:textId="77777777" w:rsidR="00826EC9" w:rsidRPr="00847710" w:rsidRDefault="00826EC9" w:rsidP="00826EC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04573" w14:textId="05CBDA64" w:rsidR="00826EC9" w:rsidRPr="00847710" w:rsidRDefault="00826EC9" w:rsidP="00826EC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References laboratorija</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52F02" w14:textId="0D072F2D" w:rsidR="00826EC9" w:rsidRPr="00847710" w:rsidRDefault="00826EC9" w:rsidP="00826EC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100.40</w:t>
            </w:r>
          </w:p>
        </w:tc>
        <w:tc>
          <w:tcPr>
            <w:tcW w:w="992" w:type="dxa"/>
            <w:tcBorders>
              <w:top w:val="single" w:sz="4" w:space="0" w:color="auto"/>
              <w:left w:val="single" w:sz="4" w:space="0" w:color="auto"/>
              <w:bottom w:val="single" w:sz="4" w:space="0" w:color="auto"/>
              <w:right w:val="single" w:sz="4" w:space="0" w:color="auto"/>
            </w:tcBorders>
            <w:vAlign w:val="center"/>
          </w:tcPr>
          <w:p w14:paraId="2E193E96" w14:textId="0A41B5CE" w:rsidR="00826EC9" w:rsidRDefault="00826EC9" w:rsidP="00826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267 784</w:t>
            </w:r>
          </w:p>
        </w:tc>
        <w:tc>
          <w:tcPr>
            <w:tcW w:w="997" w:type="dxa"/>
            <w:tcBorders>
              <w:top w:val="single" w:sz="4" w:space="0" w:color="auto"/>
              <w:left w:val="single" w:sz="4" w:space="0" w:color="auto"/>
              <w:bottom w:val="single" w:sz="4" w:space="0" w:color="auto"/>
              <w:right w:val="single" w:sz="4" w:space="0" w:color="auto"/>
            </w:tcBorders>
            <w:vAlign w:val="center"/>
          </w:tcPr>
          <w:p w14:paraId="1982D8AF" w14:textId="3D3A8645" w:rsidR="00826EC9" w:rsidRDefault="00826EC9" w:rsidP="00826E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267 784</w:t>
            </w:r>
          </w:p>
        </w:tc>
        <w:tc>
          <w:tcPr>
            <w:tcW w:w="987" w:type="dxa"/>
            <w:tcBorders>
              <w:top w:val="single" w:sz="4" w:space="0" w:color="auto"/>
              <w:left w:val="single" w:sz="4" w:space="0" w:color="auto"/>
              <w:bottom w:val="single" w:sz="4" w:space="0" w:color="auto"/>
              <w:right w:val="single" w:sz="4" w:space="0" w:color="auto"/>
            </w:tcBorders>
            <w:vAlign w:val="center"/>
          </w:tcPr>
          <w:p w14:paraId="4BBF8365" w14:textId="0C9C7E4F" w:rsidR="00826EC9" w:rsidRPr="00C86312" w:rsidRDefault="00826EC9" w:rsidP="00826EC9">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267 784</w:t>
            </w:r>
          </w:p>
        </w:tc>
        <w:tc>
          <w:tcPr>
            <w:tcW w:w="856" w:type="dxa"/>
            <w:tcBorders>
              <w:top w:val="single" w:sz="4" w:space="0" w:color="auto"/>
              <w:left w:val="single" w:sz="4" w:space="0" w:color="auto"/>
              <w:bottom w:val="single" w:sz="4" w:space="0" w:color="auto"/>
              <w:right w:val="single" w:sz="4" w:space="0" w:color="auto"/>
            </w:tcBorders>
            <w:vAlign w:val="center"/>
          </w:tcPr>
          <w:p w14:paraId="0D20A105" w14:textId="77777777" w:rsidR="00826EC9" w:rsidRDefault="00826EC9" w:rsidP="00826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37CE02CD" w14:textId="739E576C" w:rsidR="00826EC9" w:rsidRPr="007168C7" w:rsidRDefault="00826EC9" w:rsidP="00826EC9">
            <w:pPr>
              <w:spacing w:after="0" w:line="240" w:lineRule="auto"/>
              <w:jc w:val="center"/>
              <w:rPr>
                <w:rFonts w:ascii="Times New Roman" w:eastAsia="Times New Roman" w:hAnsi="Times New Roman" w:cs="Times New Roman"/>
                <w:bCs/>
                <w:sz w:val="20"/>
                <w:szCs w:val="20"/>
                <w:lang w:eastAsia="lv-LV"/>
              </w:rPr>
            </w:pPr>
            <w:r w:rsidRPr="007168C7">
              <w:rPr>
                <w:rFonts w:ascii="Times New Roman" w:eastAsia="Times New Roman" w:hAnsi="Times New Roman" w:cs="Times New Roman"/>
                <w:bCs/>
                <w:sz w:val="20"/>
                <w:szCs w:val="20"/>
                <w:lang w:eastAsia="lv-LV"/>
              </w:rPr>
              <w:t>783 203</w:t>
            </w:r>
          </w:p>
        </w:tc>
        <w:tc>
          <w:tcPr>
            <w:tcW w:w="992" w:type="dxa"/>
            <w:tcBorders>
              <w:top w:val="single" w:sz="4" w:space="0" w:color="auto"/>
              <w:left w:val="single" w:sz="4" w:space="0" w:color="auto"/>
              <w:bottom w:val="single" w:sz="4" w:space="0" w:color="auto"/>
              <w:right w:val="single" w:sz="4" w:space="0" w:color="auto"/>
            </w:tcBorders>
            <w:vAlign w:val="center"/>
          </w:tcPr>
          <w:p w14:paraId="754E3EF9" w14:textId="1E2D02AD" w:rsidR="00826EC9" w:rsidRPr="007168C7" w:rsidRDefault="00826EC9" w:rsidP="00826EC9">
            <w:pPr>
              <w:spacing w:after="0" w:line="240" w:lineRule="auto"/>
              <w:jc w:val="center"/>
              <w:rPr>
                <w:rFonts w:ascii="Times New Roman" w:eastAsia="Times New Roman" w:hAnsi="Times New Roman" w:cs="Times New Roman"/>
                <w:bCs/>
                <w:sz w:val="20"/>
                <w:szCs w:val="20"/>
                <w:lang w:eastAsia="lv-LV"/>
              </w:rPr>
            </w:pPr>
            <w:r w:rsidRPr="007168C7">
              <w:rPr>
                <w:rFonts w:ascii="Times New Roman" w:eastAsia="Times New Roman" w:hAnsi="Times New Roman" w:cs="Times New Roman"/>
                <w:bCs/>
                <w:sz w:val="20"/>
                <w:szCs w:val="20"/>
                <w:lang w:eastAsia="lv-LV"/>
              </w:rPr>
              <w:t>783 203</w:t>
            </w:r>
          </w:p>
        </w:tc>
        <w:tc>
          <w:tcPr>
            <w:tcW w:w="850" w:type="dxa"/>
            <w:tcBorders>
              <w:top w:val="single" w:sz="4" w:space="0" w:color="auto"/>
              <w:left w:val="single" w:sz="4" w:space="0" w:color="auto"/>
              <w:bottom w:val="single" w:sz="4" w:space="0" w:color="auto"/>
              <w:right w:val="single" w:sz="4" w:space="0" w:color="auto"/>
            </w:tcBorders>
            <w:vAlign w:val="center"/>
          </w:tcPr>
          <w:p w14:paraId="55D2C1C1" w14:textId="0ECAD245" w:rsidR="00826EC9" w:rsidRPr="007168C7" w:rsidRDefault="00826EC9" w:rsidP="00826EC9">
            <w:pPr>
              <w:spacing w:after="0" w:line="240" w:lineRule="auto"/>
              <w:jc w:val="center"/>
              <w:rPr>
                <w:rFonts w:ascii="Times New Roman" w:eastAsia="Times New Roman" w:hAnsi="Times New Roman" w:cs="Times New Roman"/>
                <w:bCs/>
                <w:sz w:val="20"/>
                <w:szCs w:val="20"/>
                <w:lang w:eastAsia="lv-LV"/>
              </w:rPr>
            </w:pPr>
            <w:r w:rsidRPr="007168C7">
              <w:rPr>
                <w:rFonts w:ascii="Times New Roman" w:eastAsia="Times New Roman" w:hAnsi="Times New Roman" w:cs="Times New Roman"/>
                <w:bCs/>
                <w:sz w:val="20"/>
                <w:szCs w:val="20"/>
                <w:lang w:eastAsia="lv-LV"/>
              </w:rPr>
              <w:t>3 938</w:t>
            </w:r>
          </w:p>
        </w:tc>
        <w:tc>
          <w:tcPr>
            <w:tcW w:w="709" w:type="dxa"/>
            <w:tcBorders>
              <w:top w:val="single" w:sz="4" w:space="0" w:color="auto"/>
              <w:left w:val="single" w:sz="4" w:space="0" w:color="auto"/>
              <w:bottom w:val="single" w:sz="4" w:space="0" w:color="auto"/>
              <w:right w:val="single" w:sz="4" w:space="0" w:color="auto"/>
            </w:tcBorders>
            <w:vAlign w:val="center"/>
          </w:tcPr>
          <w:p w14:paraId="115FE727" w14:textId="2D210F63" w:rsidR="00826EC9" w:rsidRPr="007168C7" w:rsidRDefault="00826EC9" w:rsidP="00826EC9">
            <w:pPr>
              <w:spacing w:after="0" w:line="240" w:lineRule="auto"/>
              <w:jc w:val="center"/>
              <w:rPr>
                <w:rFonts w:ascii="Times New Roman" w:eastAsia="Times New Roman" w:hAnsi="Times New Roman" w:cs="Times New Roman"/>
                <w:bCs/>
                <w:sz w:val="20"/>
                <w:szCs w:val="20"/>
                <w:lang w:eastAsia="lv-LV"/>
              </w:rPr>
            </w:pPr>
            <w:r w:rsidRPr="007168C7">
              <w:rPr>
                <w:rFonts w:ascii="Times New Roman" w:eastAsia="Times New Roman" w:hAnsi="Times New Roman" w:cs="Times New Roman"/>
                <w:bCs/>
                <w:sz w:val="20"/>
                <w:szCs w:val="20"/>
                <w:lang w:eastAsia="lv-LV"/>
              </w:rPr>
              <w:t>3 938</w:t>
            </w:r>
          </w:p>
        </w:tc>
        <w:tc>
          <w:tcPr>
            <w:tcW w:w="709" w:type="dxa"/>
            <w:tcBorders>
              <w:top w:val="single" w:sz="4" w:space="0" w:color="auto"/>
              <w:left w:val="single" w:sz="4" w:space="0" w:color="auto"/>
              <w:bottom w:val="single" w:sz="4" w:space="0" w:color="auto"/>
              <w:right w:val="single" w:sz="4" w:space="0" w:color="auto"/>
            </w:tcBorders>
            <w:vAlign w:val="center"/>
          </w:tcPr>
          <w:p w14:paraId="27337512" w14:textId="00A27EF7" w:rsidR="00826EC9" w:rsidRPr="007168C7" w:rsidRDefault="00826EC9" w:rsidP="00826EC9">
            <w:pPr>
              <w:spacing w:after="0" w:line="240" w:lineRule="auto"/>
              <w:jc w:val="center"/>
              <w:rPr>
                <w:rFonts w:ascii="Times New Roman" w:eastAsia="Times New Roman" w:hAnsi="Times New Roman" w:cs="Times New Roman"/>
                <w:bCs/>
                <w:sz w:val="20"/>
                <w:szCs w:val="20"/>
                <w:lang w:eastAsia="lv-LV"/>
              </w:rPr>
            </w:pPr>
            <w:r w:rsidRPr="007168C7">
              <w:rPr>
                <w:rFonts w:ascii="Times New Roman" w:eastAsia="Times New Roman" w:hAnsi="Times New Roman" w:cs="Times New Roman"/>
                <w:bCs/>
                <w:sz w:val="20"/>
                <w:szCs w:val="20"/>
                <w:lang w:eastAsia="lv-LV"/>
              </w:rPr>
              <w:t>3 938</w:t>
            </w:r>
          </w:p>
        </w:tc>
        <w:tc>
          <w:tcPr>
            <w:tcW w:w="846" w:type="dxa"/>
            <w:tcBorders>
              <w:top w:val="single" w:sz="4" w:space="0" w:color="auto"/>
              <w:left w:val="single" w:sz="4" w:space="0" w:color="auto"/>
              <w:bottom w:val="single" w:sz="4" w:space="0" w:color="auto"/>
              <w:right w:val="single" w:sz="4" w:space="0" w:color="auto"/>
            </w:tcBorders>
            <w:vAlign w:val="center"/>
          </w:tcPr>
          <w:p w14:paraId="7C1F0C53" w14:textId="77777777" w:rsidR="00826EC9" w:rsidRPr="007168C7" w:rsidRDefault="00826EC9" w:rsidP="00826EC9">
            <w:pPr>
              <w:spacing w:after="0" w:line="240" w:lineRule="auto"/>
              <w:jc w:val="center"/>
              <w:rPr>
                <w:rFonts w:ascii="Times New Roman" w:eastAsia="Times New Roman" w:hAnsi="Times New Roman" w:cs="Times New Roman"/>
                <w:bCs/>
                <w:sz w:val="20"/>
                <w:szCs w:val="20"/>
                <w:lang w:eastAsia="lv-LV"/>
              </w:rPr>
            </w:pPr>
            <w:r w:rsidRPr="007168C7">
              <w:rPr>
                <w:rFonts w:ascii="Times New Roman" w:eastAsia="Times New Roman" w:hAnsi="Times New Roman" w:cs="Times New Roman"/>
                <w:bCs/>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4E28D5B8" w14:textId="2BA4DDE5" w:rsidR="00826EC9" w:rsidRPr="007168C7" w:rsidRDefault="00826EC9" w:rsidP="00826EC9">
            <w:pPr>
              <w:spacing w:after="0" w:line="240" w:lineRule="auto"/>
              <w:jc w:val="center"/>
              <w:rPr>
                <w:rFonts w:ascii="Times New Roman" w:eastAsia="Times New Roman" w:hAnsi="Times New Roman" w:cs="Times New Roman"/>
                <w:bCs/>
                <w:sz w:val="20"/>
                <w:szCs w:val="20"/>
                <w:lang w:eastAsia="lv-LV"/>
              </w:rPr>
            </w:pPr>
            <w:r w:rsidRPr="007168C7">
              <w:rPr>
                <w:rFonts w:ascii="Times New Roman" w:eastAsia="Times New Roman" w:hAnsi="Times New Roman" w:cs="Times New Roman"/>
                <w:bCs/>
                <w:sz w:val="20"/>
                <w:szCs w:val="20"/>
                <w:lang w:eastAsia="lv-LV"/>
              </w:rPr>
              <w:t>10 468</w:t>
            </w:r>
          </w:p>
        </w:tc>
        <w:tc>
          <w:tcPr>
            <w:tcW w:w="993" w:type="dxa"/>
            <w:tcBorders>
              <w:top w:val="single" w:sz="4" w:space="0" w:color="auto"/>
              <w:left w:val="single" w:sz="4" w:space="0" w:color="auto"/>
              <w:bottom w:val="single" w:sz="4" w:space="0" w:color="auto"/>
              <w:right w:val="single" w:sz="4" w:space="0" w:color="auto"/>
            </w:tcBorders>
            <w:vAlign w:val="center"/>
          </w:tcPr>
          <w:p w14:paraId="0F9BE091" w14:textId="4ABBB972" w:rsidR="00826EC9" w:rsidRPr="007168C7" w:rsidRDefault="00826EC9" w:rsidP="00826EC9">
            <w:pPr>
              <w:spacing w:after="0" w:line="240" w:lineRule="auto"/>
              <w:jc w:val="center"/>
              <w:rPr>
                <w:rFonts w:ascii="Times New Roman" w:eastAsia="Times New Roman" w:hAnsi="Times New Roman" w:cs="Times New Roman"/>
                <w:bCs/>
                <w:sz w:val="20"/>
                <w:szCs w:val="20"/>
                <w:lang w:eastAsia="lv-LV"/>
              </w:rPr>
            </w:pPr>
            <w:r w:rsidRPr="007168C7">
              <w:rPr>
                <w:rFonts w:ascii="Times New Roman" w:eastAsia="Times New Roman" w:hAnsi="Times New Roman" w:cs="Times New Roman"/>
                <w:bCs/>
                <w:sz w:val="20"/>
                <w:szCs w:val="20"/>
                <w:lang w:eastAsia="lv-LV"/>
              </w:rPr>
              <w:t>10 468</w:t>
            </w:r>
          </w:p>
        </w:tc>
      </w:tr>
      <w:tr w:rsidR="00826EC9" w14:paraId="5531B7E2" w14:textId="77777777" w:rsidTr="00041443">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BE47ABA" w14:textId="77777777" w:rsidR="00826EC9" w:rsidRPr="00847710" w:rsidRDefault="00826EC9" w:rsidP="00826EC9">
            <w:pPr>
              <w:spacing w:after="0" w:line="240" w:lineRule="auto"/>
              <w:jc w:val="center"/>
              <w:rPr>
                <w:rFonts w:ascii="Times New Roman" w:eastAsia="Times New Roman" w:hAnsi="Times New Roman" w:cs="Times New Roman"/>
                <w:color w:val="000000"/>
                <w:sz w:val="20"/>
                <w:szCs w:val="20"/>
                <w:lang w:eastAsia="lv-LV"/>
              </w:rPr>
            </w:pPr>
          </w:p>
        </w:tc>
        <w:tc>
          <w:tcPr>
            <w:tcW w:w="128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5744EB1D" w14:textId="77777777" w:rsidR="00826EC9" w:rsidRPr="00C86312" w:rsidRDefault="00826EC9" w:rsidP="00826EC9">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117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14:paraId="09FCA48F" w14:textId="77777777" w:rsidR="00826EC9" w:rsidRPr="00847710" w:rsidRDefault="00826EC9" w:rsidP="00826EC9">
            <w:pPr>
              <w:spacing w:after="0" w:line="240" w:lineRule="auto"/>
              <w:jc w:val="center"/>
              <w:rPr>
                <w:rFonts w:ascii="Times New Roman" w:eastAsia="Times New Roman" w:hAnsi="Times New Roman" w:cs="Times New Roman"/>
                <w:b/>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CD5B4"/>
            <w:vAlign w:val="center"/>
          </w:tcPr>
          <w:p w14:paraId="3C41C071" w14:textId="313C1D88" w:rsidR="00826EC9" w:rsidRPr="00FF1E2C" w:rsidRDefault="00826EC9" w:rsidP="00826EC9">
            <w:pPr>
              <w:spacing w:after="0" w:line="240" w:lineRule="auto"/>
              <w:jc w:val="center"/>
              <w:rPr>
                <w:rFonts w:ascii="Times New Roman" w:eastAsia="Times New Roman" w:hAnsi="Times New Roman" w:cs="Times New Roman"/>
                <w:b/>
                <w:sz w:val="20"/>
                <w:szCs w:val="20"/>
                <w:lang w:eastAsia="lv-LV"/>
              </w:rPr>
            </w:pPr>
            <w:r w:rsidRPr="00FF1E2C">
              <w:rPr>
                <w:rFonts w:ascii="Times New Roman" w:eastAsia="Times New Roman" w:hAnsi="Times New Roman" w:cs="Times New Roman"/>
                <w:b/>
                <w:sz w:val="20"/>
                <w:szCs w:val="20"/>
                <w:lang w:eastAsia="lv-LV"/>
              </w:rPr>
              <w:t>267 784</w:t>
            </w:r>
          </w:p>
        </w:tc>
        <w:tc>
          <w:tcPr>
            <w:tcW w:w="997" w:type="dxa"/>
            <w:tcBorders>
              <w:top w:val="single" w:sz="4" w:space="0" w:color="auto"/>
              <w:left w:val="single" w:sz="4" w:space="0" w:color="auto"/>
              <w:bottom w:val="single" w:sz="4" w:space="0" w:color="auto"/>
              <w:right w:val="single" w:sz="4" w:space="0" w:color="auto"/>
            </w:tcBorders>
            <w:shd w:val="clear" w:color="auto" w:fill="FCD5B4"/>
            <w:vAlign w:val="center"/>
          </w:tcPr>
          <w:p w14:paraId="41807542" w14:textId="0F827DC7" w:rsidR="00826EC9" w:rsidRPr="00FF1E2C" w:rsidRDefault="00826EC9" w:rsidP="00826EC9">
            <w:pPr>
              <w:spacing w:after="0" w:line="240" w:lineRule="auto"/>
              <w:jc w:val="center"/>
              <w:rPr>
                <w:rFonts w:ascii="Times New Roman" w:eastAsia="Times New Roman" w:hAnsi="Times New Roman" w:cs="Times New Roman"/>
                <w:b/>
                <w:sz w:val="20"/>
                <w:szCs w:val="20"/>
                <w:lang w:eastAsia="lv-LV"/>
              </w:rPr>
            </w:pPr>
            <w:r w:rsidRPr="00FF1E2C">
              <w:rPr>
                <w:rFonts w:ascii="Times New Roman" w:eastAsia="Times New Roman" w:hAnsi="Times New Roman" w:cs="Times New Roman"/>
                <w:b/>
                <w:sz w:val="20"/>
                <w:szCs w:val="20"/>
                <w:lang w:eastAsia="lv-LV"/>
              </w:rPr>
              <w:t>267 784</w:t>
            </w:r>
          </w:p>
        </w:tc>
        <w:tc>
          <w:tcPr>
            <w:tcW w:w="987" w:type="dxa"/>
            <w:tcBorders>
              <w:top w:val="single" w:sz="4" w:space="0" w:color="auto"/>
              <w:left w:val="single" w:sz="4" w:space="0" w:color="auto"/>
              <w:bottom w:val="single" w:sz="4" w:space="0" w:color="auto"/>
              <w:right w:val="single" w:sz="4" w:space="0" w:color="auto"/>
            </w:tcBorders>
            <w:shd w:val="clear" w:color="auto" w:fill="FCD5B4"/>
            <w:vAlign w:val="center"/>
          </w:tcPr>
          <w:p w14:paraId="781F4661" w14:textId="0EC77C5F" w:rsidR="00826EC9" w:rsidRPr="00FF1E2C" w:rsidRDefault="00826EC9" w:rsidP="00826EC9">
            <w:pPr>
              <w:spacing w:after="0" w:line="240" w:lineRule="auto"/>
              <w:jc w:val="center"/>
              <w:rPr>
                <w:rFonts w:ascii="Times New Roman" w:eastAsia="Times New Roman" w:hAnsi="Times New Roman" w:cs="Times New Roman"/>
                <w:b/>
                <w:bCs/>
                <w:color w:val="000000" w:themeColor="text1"/>
                <w:sz w:val="20"/>
                <w:szCs w:val="20"/>
                <w:lang w:eastAsia="lv-LV"/>
              </w:rPr>
            </w:pPr>
            <w:r w:rsidRPr="00FF1E2C">
              <w:rPr>
                <w:rFonts w:ascii="Times New Roman" w:eastAsia="Times New Roman" w:hAnsi="Times New Roman" w:cs="Times New Roman"/>
                <w:b/>
                <w:sz w:val="20"/>
                <w:szCs w:val="20"/>
                <w:lang w:eastAsia="lv-LV"/>
              </w:rPr>
              <w:t>267 784</w:t>
            </w:r>
          </w:p>
        </w:tc>
        <w:tc>
          <w:tcPr>
            <w:tcW w:w="856" w:type="dxa"/>
            <w:tcBorders>
              <w:top w:val="single" w:sz="4" w:space="0" w:color="auto"/>
              <w:left w:val="single" w:sz="4" w:space="0" w:color="auto"/>
              <w:bottom w:val="single" w:sz="4" w:space="0" w:color="auto"/>
              <w:right w:val="single" w:sz="4" w:space="0" w:color="auto"/>
            </w:tcBorders>
            <w:shd w:val="clear" w:color="auto" w:fill="FCD5B4"/>
            <w:vAlign w:val="center"/>
          </w:tcPr>
          <w:p w14:paraId="62DBFC89" w14:textId="77777777" w:rsidR="00826EC9" w:rsidRDefault="00826EC9" w:rsidP="00826EC9">
            <w:pPr>
              <w:spacing w:after="0" w:line="240" w:lineRule="auto"/>
              <w:jc w:val="center"/>
              <w:rPr>
                <w:rFonts w:ascii="Times New Roman" w:eastAsia="Times New Roman" w:hAnsi="Times New Roman" w:cs="Times New Roman"/>
                <w:b/>
                <w:b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CD5B4"/>
            <w:vAlign w:val="center"/>
          </w:tcPr>
          <w:p w14:paraId="2C73F301" w14:textId="4D2509C8" w:rsidR="00826EC9" w:rsidRDefault="00826EC9" w:rsidP="00826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783 203</w:t>
            </w:r>
          </w:p>
        </w:tc>
        <w:tc>
          <w:tcPr>
            <w:tcW w:w="992" w:type="dxa"/>
            <w:tcBorders>
              <w:top w:val="single" w:sz="4" w:space="0" w:color="auto"/>
              <w:left w:val="single" w:sz="4" w:space="0" w:color="auto"/>
              <w:bottom w:val="single" w:sz="4" w:space="0" w:color="auto"/>
              <w:right w:val="single" w:sz="4" w:space="0" w:color="auto"/>
            </w:tcBorders>
            <w:shd w:val="clear" w:color="auto" w:fill="FCD5B4"/>
            <w:vAlign w:val="center"/>
          </w:tcPr>
          <w:p w14:paraId="773E4207" w14:textId="77A9DCC0" w:rsidR="00826EC9" w:rsidRPr="00AE3965" w:rsidRDefault="00826EC9" w:rsidP="00826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783 203</w:t>
            </w:r>
          </w:p>
        </w:tc>
        <w:tc>
          <w:tcPr>
            <w:tcW w:w="850" w:type="dxa"/>
            <w:tcBorders>
              <w:top w:val="single" w:sz="4" w:space="0" w:color="auto"/>
              <w:left w:val="single" w:sz="4" w:space="0" w:color="auto"/>
              <w:bottom w:val="single" w:sz="4" w:space="0" w:color="auto"/>
              <w:right w:val="single" w:sz="4" w:space="0" w:color="auto"/>
            </w:tcBorders>
            <w:shd w:val="clear" w:color="auto" w:fill="FCD5B4"/>
            <w:vAlign w:val="center"/>
          </w:tcPr>
          <w:p w14:paraId="2A78107D" w14:textId="6910E9F7" w:rsidR="00826EC9" w:rsidRPr="00AE3965" w:rsidRDefault="00826EC9" w:rsidP="00826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3 938</w:t>
            </w:r>
          </w:p>
        </w:tc>
        <w:tc>
          <w:tcPr>
            <w:tcW w:w="709" w:type="dxa"/>
            <w:tcBorders>
              <w:top w:val="single" w:sz="4" w:space="0" w:color="auto"/>
              <w:left w:val="single" w:sz="4" w:space="0" w:color="auto"/>
              <w:bottom w:val="single" w:sz="4" w:space="0" w:color="auto"/>
              <w:right w:val="single" w:sz="4" w:space="0" w:color="auto"/>
            </w:tcBorders>
            <w:shd w:val="clear" w:color="auto" w:fill="FCD5B4"/>
            <w:vAlign w:val="center"/>
          </w:tcPr>
          <w:p w14:paraId="5B1D4E52" w14:textId="32C85557" w:rsidR="00826EC9" w:rsidRPr="00AE3965" w:rsidRDefault="00826EC9" w:rsidP="00826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3 938</w:t>
            </w:r>
          </w:p>
        </w:tc>
        <w:tc>
          <w:tcPr>
            <w:tcW w:w="709" w:type="dxa"/>
            <w:tcBorders>
              <w:top w:val="single" w:sz="4" w:space="0" w:color="auto"/>
              <w:left w:val="single" w:sz="4" w:space="0" w:color="auto"/>
              <w:bottom w:val="single" w:sz="4" w:space="0" w:color="auto"/>
              <w:right w:val="single" w:sz="4" w:space="0" w:color="auto"/>
            </w:tcBorders>
            <w:shd w:val="clear" w:color="auto" w:fill="FCD5B4"/>
            <w:vAlign w:val="center"/>
          </w:tcPr>
          <w:p w14:paraId="0E528180" w14:textId="799419FE" w:rsidR="00826EC9" w:rsidRPr="00AE3965" w:rsidRDefault="00826EC9" w:rsidP="00826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3 938</w:t>
            </w:r>
          </w:p>
        </w:tc>
        <w:tc>
          <w:tcPr>
            <w:tcW w:w="846" w:type="dxa"/>
            <w:tcBorders>
              <w:top w:val="single" w:sz="4" w:space="0" w:color="auto"/>
              <w:left w:val="single" w:sz="4" w:space="0" w:color="auto"/>
              <w:bottom w:val="single" w:sz="4" w:space="0" w:color="auto"/>
              <w:right w:val="single" w:sz="4" w:space="0" w:color="auto"/>
            </w:tcBorders>
            <w:shd w:val="clear" w:color="auto" w:fill="FCD5B4"/>
            <w:vAlign w:val="center"/>
          </w:tcPr>
          <w:p w14:paraId="0E3EB996" w14:textId="77777777" w:rsidR="00826EC9" w:rsidRDefault="00826EC9" w:rsidP="00826EC9">
            <w:pPr>
              <w:spacing w:after="0" w:line="240" w:lineRule="auto"/>
              <w:jc w:val="center"/>
              <w:rPr>
                <w:rFonts w:ascii="Times New Roman" w:eastAsia="Times New Roman" w:hAnsi="Times New Roman" w:cs="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CD5B4"/>
            <w:vAlign w:val="center"/>
          </w:tcPr>
          <w:p w14:paraId="176257CE" w14:textId="785BF2F7" w:rsidR="00826EC9" w:rsidRDefault="00826EC9" w:rsidP="00826E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10 468</w:t>
            </w:r>
          </w:p>
        </w:tc>
        <w:tc>
          <w:tcPr>
            <w:tcW w:w="993" w:type="dxa"/>
            <w:tcBorders>
              <w:top w:val="single" w:sz="4" w:space="0" w:color="auto"/>
              <w:left w:val="single" w:sz="4" w:space="0" w:color="auto"/>
              <w:bottom w:val="single" w:sz="4" w:space="0" w:color="auto"/>
              <w:right w:val="single" w:sz="4" w:space="0" w:color="auto"/>
            </w:tcBorders>
            <w:shd w:val="clear" w:color="auto" w:fill="FCD5B4"/>
            <w:vAlign w:val="center"/>
          </w:tcPr>
          <w:p w14:paraId="32CF4909" w14:textId="31612F2F" w:rsidR="00826EC9" w:rsidRPr="00AE3965" w:rsidRDefault="00826EC9" w:rsidP="00826EC9">
            <w:pPr>
              <w:spacing w:after="0" w:line="240" w:lineRule="auto"/>
              <w:jc w:val="center"/>
              <w:rPr>
                <w:rFonts w:ascii="Times New Roman" w:eastAsia="Times New Roman" w:hAnsi="Times New Roman" w:cs="Times New Roman"/>
                <w:b/>
                <w:bCs/>
                <w:sz w:val="20"/>
                <w:szCs w:val="20"/>
                <w:lang w:eastAsia="lv-LV"/>
              </w:rPr>
            </w:pPr>
            <w:r w:rsidRPr="00EB3DBF">
              <w:rPr>
                <w:rFonts w:ascii="Times New Roman" w:eastAsia="Times New Roman" w:hAnsi="Times New Roman" w:cs="Times New Roman"/>
                <w:b/>
                <w:bCs/>
                <w:sz w:val="20"/>
                <w:szCs w:val="20"/>
                <w:lang w:eastAsia="lv-LV"/>
              </w:rPr>
              <w:t>10 468</w:t>
            </w:r>
          </w:p>
        </w:tc>
      </w:tr>
    </w:tbl>
    <w:p w14:paraId="4CA21B31" w14:textId="77777777" w:rsidR="003B46B5" w:rsidRDefault="003B46B5" w:rsidP="003B46B5">
      <w:pPr>
        <w:spacing w:after="120"/>
        <w:ind w:firstLine="720"/>
        <w:jc w:val="right"/>
        <w:rPr>
          <w:rFonts w:ascii="Times New Roman" w:hAnsi="Times New Roman" w:cs="Times New Roman"/>
          <w:i/>
          <w:sz w:val="24"/>
          <w:szCs w:val="24"/>
        </w:rPr>
        <w:sectPr w:rsidR="003B46B5" w:rsidSect="00E11AFF">
          <w:pgSz w:w="15840" w:h="12240" w:orient="landscape"/>
          <w:pgMar w:top="1701" w:right="1440" w:bottom="1440" w:left="1440" w:header="709" w:footer="709" w:gutter="0"/>
          <w:cols w:space="708"/>
          <w:docGrid w:linePitch="360"/>
        </w:sectPr>
      </w:pPr>
    </w:p>
    <w:p w14:paraId="765E1F02" w14:textId="5D2AC3B0" w:rsidR="003B46B5" w:rsidRDefault="003B46B5" w:rsidP="00E11AFF">
      <w:pPr>
        <w:spacing w:after="120"/>
        <w:ind w:firstLine="720"/>
        <w:jc w:val="right"/>
        <w:rPr>
          <w:rFonts w:ascii="Times New Roman" w:hAnsi="Times New Roman" w:cs="Times New Roman"/>
          <w:i/>
          <w:sz w:val="24"/>
          <w:szCs w:val="24"/>
        </w:rPr>
      </w:pPr>
    </w:p>
    <w:p w14:paraId="2000D32B" w14:textId="360DE8A0" w:rsidR="002B4BD0" w:rsidRPr="00A902DE" w:rsidRDefault="006E00EC" w:rsidP="00051136">
      <w:pPr>
        <w:spacing w:after="120"/>
        <w:ind w:firstLine="720"/>
        <w:jc w:val="both"/>
        <w:rPr>
          <w:rFonts w:ascii="Times New Roman" w:hAnsi="Times New Roman" w:cs="Times New Roman"/>
          <w:i/>
          <w:iCs/>
          <w:sz w:val="24"/>
          <w:szCs w:val="24"/>
        </w:rPr>
      </w:pPr>
      <w:r w:rsidRPr="00A902DE">
        <w:rPr>
          <w:rFonts w:ascii="Times New Roman" w:hAnsi="Times New Roman" w:cs="Times New Roman"/>
          <w:sz w:val="24"/>
          <w:szCs w:val="24"/>
        </w:rPr>
        <w:t xml:space="preserve">Lai 2019.gadā nodrošinātu Nacionālās references laboratorijas darbību un 6 530 VHC izmeklējumu apstiprinošo diagnostiku, tipēšanu un ārstēšanas efektivitātes monitoringu ir nepieciešams finansējums </w:t>
      </w:r>
      <w:r w:rsidRPr="00A902DE">
        <w:rPr>
          <w:rFonts w:ascii="Times New Roman" w:hAnsi="Times New Roman" w:cs="Times New Roman"/>
          <w:b/>
          <w:bCs/>
          <w:sz w:val="24"/>
          <w:szCs w:val="24"/>
        </w:rPr>
        <w:t xml:space="preserve">783 203 </w:t>
      </w:r>
      <w:r w:rsidRPr="00BB4113">
        <w:rPr>
          <w:rFonts w:ascii="Times New Roman" w:hAnsi="Times New Roman" w:cs="Times New Roman"/>
          <w:b/>
          <w:bCs/>
          <w:i/>
          <w:sz w:val="24"/>
          <w:szCs w:val="24"/>
        </w:rPr>
        <w:t>euro</w:t>
      </w:r>
      <w:r w:rsidRPr="00A902DE">
        <w:rPr>
          <w:rFonts w:ascii="Times New Roman" w:hAnsi="Times New Roman" w:cs="Times New Roman"/>
          <w:sz w:val="24"/>
          <w:szCs w:val="24"/>
        </w:rPr>
        <w:t xml:space="preserve"> apmērā</w:t>
      </w:r>
      <w:r w:rsidR="003E7389">
        <w:rPr>
          <w:rFonts w:ascii="Times New Roman" w:hAnsi="Times New Roman" w:cs="Times New Roman"/>
          <w:sz w:val="24"/>
          <w:szCs w:val="24"/>
        </w:rPr>
        <w:t xml:space="preserve"> (</w:t>
      </w:r>
      <w:r w:rsidR="000678A1">
        <w:rPr>
          <w:rFonts w:ascii="Times New Roman" w:hAnsi="Times New Roman" w:cs="Times New Roman"/>
          <w:sz w:val="24"/>
          <w:szCs w:val="24"/>
        </w:rPr>
        <w:t>54</w:t>
      </w:r>
      <w:r w:rsidR="003E7389">
        <w:rPr>
          <w:rFonts w:ascii="Times New Roman" w:hAnsi="Times New Roman" w:cs="Times New Roman"/>
          <w:sz w:val="24"/>
          <w:szCs w:val="24"/>
        </w:rPr>
        <w:t>.tabula)</w:t>
      </w:r>
      <w:r w:rsidR="006618BE" w:rsidRPr="00A902DE">
        <w:rPr>
          <w:rFonts w:ascii="Times New Roman" w:hAnsi="Times New Roman" w:cs="Times New Roman"/>
          <w:sz w:val="24"/>
          <w:szCs w:val="24"/>
        </w:rPr>
        <w:t>, lai</w:t>
      </w:r>
      <w:r w:rsidR="006618BE" w:rsidRPr="00A902DE">
        <w:rPr>
          <w:rFonts w:ascii="Times New Roman" w:hAnsi="Times New Roman" w:cs="Times New Roman"/>
          <w:bCs/>
          <w:sz w:val="24"/>
          <w:szCs w:val="24"/>
        </w:rPr>
        <w:t xml:space="preserve"> mazinātu HIV infekciju izplatības risk</w:t>
      </w:r>
      <w:r w:rsidR="00742801">
        <w:rPr>
          <w:rFonts w:ascii="Times New Roman" w:hAnsi="Times New Roman" w:cs="Times New Roman"/>
          <w:bCs/>
          <w:sz w:val="24"/>
          <w:szCs w:val="24"/>
        </w:rPr>
        <w:t>u</w:t>
      </w:r>
      <w:r w:rsidR="006618BE" w:rsidRPr="00A902DE">
        <w:rPr>
          <w:rFonts w:ascii="Times New Roman" w:hAnsi="Times New Roman" w:cs="Times New Roman"/>
          <w:bCs/>
          <w:sz w:val="24"/>
          <w:szCs w:val="24"/>
        </w:rPr>
        <w:t xml:space="preserve"> un sekojoši to ārstēšanās izdevumus</w:t>
      </w:r>
      <w:r w:rsidRPr="00A902DE">
        <w:rPr>
          <w:rFonts w:ascii="Times New Roman" w:hAnsi="Times New Roman" w:cs="Times New Roman"/>
          <w:sz w:val="24"/>
          <w:szCs w:val="24"/>
        </w:rPr>
        <w:t xml:space="preserve">. </w:t>
      </w:r>
    </w:p>
    <w:p w14:paraId="5AB1DA1B" w14:textId="785F92F0" w:rsidR="009A090F" w:rsidRPr="00E93259" w:rsidRDefault="00CA2965" w:rsidP="6812B80F">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5</w:t>
      </w:r>
      <w:r w:rsidR="000678A1">
        <w:rPr>
          <w:rFonts w:ascii="Times New Roman" w:hAnsi="Times New Roman" w:cs="Times New Roman"/>
          <w:i/>
          <w:iCs/>
          <w:sz w:val="24"/>
          <w:szCs w:val="24"/>
        </w:rPr>
        <w:t>4</w:t>
      </w:r>
      <w:r w:rsidR="0071331A" w:rsidRPr="6812B80F">
        <w:rPr>
          <w:rFonts w:ascii="Times New Roman" w:hAnsi="Times New Roman" w:cs="Times New Roman"/>
          <w:i/>
          <w:iCs/>
          <w:sz w:val="24"/>
          <w:szCs w:val="24"/>
        </w:rPr>
        <w:t>.tabula</w:t>
      </w:r>
    </w:p>
    <w:p w14:paraId="74093491" w14:textId="77777777" w:rsidR="009A090F" w:rsidRPr="00C86312" w:rsidRDefault="0071331A" w:rsidP="00C86312">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finansējums VHC </w:t>
      </w:r>
      <w:r w:rsidR="00C575E8" w:rsidRPr="00901A9F">
        <w:rPr>
          <w:rFonts w:ascii="Times New Roman" w:hAnsi="Times New Roman" w:cs="Times New Roman"/>
          <w:b/>
          <w:bCs/>
          <w:sz w:val="24"/>
          <w:szCs w:val="24"/>
        </w:rPr>
        <w:t xml:space="preserve">izmeklējumu nodrošināšanai </w:t>
      </w:r>
    </w:p>
    <w:p w14:paraId="20329B0F" w14:textId="77777777" w:rsidR="009A090F" w:rsidRPr="00847710" w:rsidRDefault="009A090F" w:rsidP="009A090F">
      <w:pPr>
        <w:spacing w:after="0" w:line="240" w:lineRule="auto"/>
        <w:ind w:firstLine="720"/>
        <w:jc w:val="center"/>
        <w:rPr>
          <w:rFonts w:ascii="Times New Roman" w:hAnsi="Times New Roman" w:cs="Times New Roman"/>
          <w:b/>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1843"/>
        <w:gridCol w:w="1134"/>
      </w:tblGrid>
      <w:tr w:rsidR="00591368" w14:paraId="0A77D2F4" w14:textId="77777777" w:rsidTr="00750483">
        <w:trPr>
          <w:trHeight w:val="300"/>
          <w:jc w:val="center"/>
        </w:trPr>
        <w:tc>
          <w:tcPr>
            <w:tcW w:w="3114" w:type="dxa"/>
            <w:shd w:val="clear" w:color="auto" w:fill="E36C0A" w:themeFill="accent6" w:themeFillShade="BF"/>
            <w:noWrap/>
            <w:vAlign w:val="bottom"/>
            <w:hideMark/>
          </w:tcPr>
          <w:p w14:paraId="50735601" w14:textId="77777777" w:rsidR="009A090F" w:rsidRPr="00847710" w:rsidRDefault="009A090F" w:rsidP="009A090F">
            <w:pPr>
              <w:spacing w:after="0" w:line="240" w:lineRule="auto"/>
              <w:rPr>
                <w:rFonts w:ascii="Times New Roman" w:eastAsia="Times New Roman" w:hAnsi="Times New Roman" w:cs="Times New Roman"/>
                <w:sz w:val="24"/>
                <w:szCs w:val="24"/>
                <w:lang w:eastAsia="lv-LV"/>
              </w:rPr>
            </w:pPr>
          </w:p>
        </w:tc>
        <w:tc>
          <w:tcPr>
            <w:tcW w:w="2835" w:type="dxa"/>
            <w:shd w:val="clear" w:color="auto" w:fill="E36C0A" w:themeFill="accent6" w:themeFillShade="BF"/>
            <w:noWrap/>
            <w:vAlign w:val="bottom"/>
            <w:hideMark/>
          </w:tcPr>
          <w:p w14:paraId="73B7501B" w14:textId="77777777" w:rsidR="009A090F" w:rsidRPr="00847710" w:rsidRDefault="0071331A"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Pirms reformas uzsākšanas</w:t>
            </w:r>
          </w:p>
        </w:tc>
        <w:tc>
          <w:tcPr>
            <w:tcW w:w="1843" w:type="dxa"/>
            <w:shd w:val="clear" w:color="auto" w:fill="E36C0A" w:themeFill="accent6" w:themeFillShade="BF"/>
            <w:noWrap/>
            <w:vAlign w:val="center"/>
            <w:hideMark/>
          </w:tcPr>
          <w:p w14:paraId="5A8923A7" w14:textId="288F4815" w:rsidR="009A090F" w:rsidRPr="00847710" w:rsidRDefault="0071331A" w:rsidP="009A090F">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201</w:t>
            </w:r>
            <w:r w:rsidR="00111B77">
              <w:rPr>
                <w:rFonts w:ascii="Times New Roman" w:eastAsia="Times New Roman" w:hAnsi="Times New Roman" w:cs="Times New Roman"/>
                <w:color w:val="000000"/>
                <w:lang w:eastAsia="lv-LV"/>
              </w:rPr>
              <w:t>9</w:t>
            </w:r>
            <w:r w:rsidRPr="00847710">
              <w:rPr>
                <w:rFonts w:ascii="Times New Roman" w:eastAsia="Times New Roman" w:hAnsi="Times New Roman" w:cs="Times New Roman"/>
                <w:color w:val="000000"/>
                <w:lang w:eastAsia="lv-LV"/>
              </w:rPr>
              <w:t>.gada plāns</w:t>
            </w:r>
          </w:p>
        </w:tc>
        <w:tc>
          <w:tcPr>
            <w:tcW w:w="1134" w:type="dxa"/>
            <w:shd w:val="clear" w:color="auto" w:fill="E36C0A" w:themeFill="accent6" w:themeFillShade="BF"/>
            <w:noWrap/>
            <w:vAlign w:val="center"/>
            <w:hideMark/>
          </w:tcPr>
          <w:p w14:paraId="5A29A3A5" w14:textId="77777777" w:rsidR="009A090F" w:rsidRPr="00847710" w:rsidRDefault="0071331A" w:rsidP="009A090F">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Starpība</w:t>
            </w:r>
          </w:p>
        </w:tc>
      </w:tr>
      <w:tr w:rsidR="00591368" w14:paraId="76A80CF6" w14:textId="77777777" w:rsidTr="00750483">
        <w:trPr>
          <w:trHeight w:val="300"/>
          <w:jc w:val="center"/>
        </w:trPr>
        <w:tc>
          <w:tcPr>
            <w:tcW w:w="3114" w:type="dxa"/>
            <w:shd w:val="clear" w:color="auto" w:fill="auto"/>
            <w:noWrap/>
            <w:vAlign w:val="bottom"/>
            <w:hideMark/>
          </w:tcPr>
          <w:p w14:paraId="31E47E3C" w14:textId="77777777" w:rsidR="009A090F" w:rsidRPr="00847710" w:rsidRDefault="0071331A" w:rsidP="009A090F">
            <w:pPr>
              <w:spacing w:after="0"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Vidējais manipulāciju tarifs</w:t>
            </w:r>
          </w:p>
        </w:tc>
        <w:tc>
          <w:tcPr>
            <w:tcW w:w="2835" w:type="dxa"/>
            <w:shd w:val="clear" w:color="auto" w:fill="auto"/>
            <w:noWrap/>
            <w:vAlign w:val="bottom"/>
            <w:hideMark/>
          </w:tcPr>
          <w:p w14:paraId="25CB81FD" w14:textId="77777777" w:rsidR="009A090F" w:rsidRPr="00847710" w:rsidRDefault="0071331A"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68.00</w:t>
            </w:r>
          </w:p>
        </w:tc>
        <w:tc>
          <w:tcPr>
            <w:tcW w:w="1843" w:type="dxa"/>
            <w:shd w:val="clear" w:color="auto" w:fill="auto"/>
            <w:noWrap/>
            <w:vAlign w:val="bottom"/>
            <w:hideMark/>
          </w:tcPr>
          <w:p w14:paraId="0B46979D" w14:textId="77777777" w:rsidR="009A090F" w:rsidRPr="00847710" w:rsidRDefault="0071331A" w:rsidP="0015331A">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100.40</w:t>
            </w:r>
          </w:p>
        </w:tc>
        <w:tc>
          <w:tcPr>
            <w:tcW w:w="1134" w:type="dxa"/>
            <w:shd w:val="clear" w:color="auto" w:fill="auto"/>
            <w:noWrap/>
            <w:vAlign w:val="bottom"/>
          </w:tcPr>
          <w:p w14:paraId="2E330733" w14:textId="77777777" w:rsidR="009A090F" w:rsidRPr="00847710" w:rsidRDefault="009A090F" w:rsidP="0015331A">
            <w:pPr>
              <w:spacing w:after="0" w:line="240" w:lineRule="auto"/>
              <w:jc w:val="center"/>
              <w:rPr>
                <w:rFonts w:ascii="Times New Roman" w:eastAsia="Times New Roman" w:hAnsi="Times New Roman" w:cs="Times New Roman"/>
                <w:color w:val="000000"/>
                <w:lang w:eastAsia="lv-LV"/>
              </w:rPr>
            </w:pPr>
          </w:p>
        </w:tc>
      </w:tr>
      <w:tr w:rsidR="00591368" w14:paraId="7376D4F1" w14:textId="77777777" w:rsidTr="00750483">
        <w:trPr>
          <w:trHeight w:val="300"/>
          <w:jc w:val="center"/>
        </w:trPr>
        <w:tc>
          <w:tcPr>
            <w:tcW w:w="3114" w:type="dxa"/>
            <w:shd w:val="clear" w:color="auto" w:fill="auto"/>
            <w:noWrap/>
            <w:vAlign w:val="bottom"/>
            <w:hideMark/>
          </w:tcPr>
          <w:p w14:paraId="2806269D" w14:textId="77777777" w:rsidR="009A090F" w:rsidRPr="00847710" w:rsidRDefault="0071331A" w:rsidP="009A090F">
            <w:pPr>
              <w:spacing w:after="0"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Manipulāciju skaits</w:t>
            </w:r>
          </w:p>
        </w:tc>
        <w:tc>
          <w:tcPr>
            <w:tcW w:w="2835" w:type="dxa"/>
            <w:shd w:val="clear" w:color="auto" w:fill="auto"/>
            <w:noWrap/>
            <w:vAlign w:val="bottom"/>
            <w:hideMark/>
          </w:tcPr>
          <w:p w14:paraId="0F042895" w14:textId="77777777" w:rsidR="009A090F" w:rsidRPr="00847710" w:rsidRDefault="0071331A"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3 938</w:t>
            </w:r>
          </w:p>
        </w:tc>
        <w:tc>
          <w:tcPr>
            <w:tcW w:w="1843" w:type="dxa"/>
            <w:shd w:val="clear" w:color="auto" w:fill="auto"/>
            <w:noWrap/>
            <w:vAlign w:val="bottom"/>
            <w:hideMark/>
          </w:tcPr>
          <w:p w14:paraId="2D95A3E9" w14:textId="77777777" w:rsidR="009A090F" w:rsidRPr="00847710" w:rsidRDefault="0071331A" w:rsidP="0015331A">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10 468</w:t>
            </w:r>
          </w:p>
        </w:tc>
        <w:tc>
          <w:tcPr>
            <w:tcW w:w="1134" w:type="dxa"/>
            <w:shd w:val="clear" w:color="auto" w:fill="auto"/>
            <w:noWrap/>
            <w:vAlign w:val="bottom"/>
          </w:tcPr>
          <w:p w14:paraId="60BDFBEE" w14:textId="77777777" w:rsidR="009A090F" w:rsidRPr="00847710" w:rsidRDefault="009A090F" w:rsidP="0015331A">
            <w:pPr>
              <w:spacing w:after="0" w:line="240" w:lineRule="auto"/>
              <w:jc w:val="center"/>
              <w:rPr>
                <w:rFonts w:ascii="Times New Roman" w:eastAsia="Times New Roman" w:hAnsi="Times New Roman" w:cs="Times New Roman"/>
                <w:color w:val="000000"/>
                <w:lang w:eastAsia="lv-LV"/>
              </w:rPr>
            </w:pPr>
          </w:p>
        </w:tc>
      </w:tr>
      <w:tr w:rsidR="00591368" w14:paraId="57EA287C" w14:textId="77777777" w:rsidTr="00750483">
        <w:trPr>
          <w:trHeight w:val="300"/>
          <w:jc w:val="center"/>
        </w:trPr>
        <w:tc>
          <w:tcPr>
            <w:tcW w:w="3114" w:type="dxa"/>
            <w:shd w:val="clear" w:color="auto" w:fill="FBD4B4" w:themeFill="accent6" w:themeFillTint="66"/>
            <w:noWrap/>
            <w:vAlign w:val="bottom"/>
            <w:hideMark/>
          </w:tcPr>
          <w:p w14:paraId="30D40894" w14:textId="77777777" w:rsidR="009A090F" w:rsidRPr="00C86312" w:rsidRDefault="0071331A" w:rsidP="00543703">
            <w:pPr>
              <w:spacing w:after="0" w:line="240" w:lineRule="auto"/>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Finansējums, euro</w:t>
            </w:r>
          </w:p>
        </w:tc>
        <w:tc>
          <w:tcPr>
            <w:tcW w:w="2835" w:type="dxa"/>
            <w:shd w:val="clear" w:color="auto" w:fill="FBD4B4" w:themeFill="accent6" w:themeFillTint="66"/>
            <w:noWrap/>
            <w:vAlign w:val="bottom"/>
            <w:hideMark/>
          </w:tcPr>
          <w:p w14:paraId="5159E650" w14:textId="77777777" w:rsidR="009A090F" w:rsidRPr="00C86312" w:rsidRDefault="0071331A"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267</w:t>
            </w:r>
            <w:r w:rsidR="00817C12" w:rsidRPr="00901A9F">
              <w:rPr>
                <w:rFonts w:ascii="Times New Roman" w:eastAsia="Times New Roman" w:hAnsi="Times New Roman" w:cs="Times New Roman"/>
                <w:b/>
                <w:bCs/>
                <w:color w:val="000000"/>
                <w:lang w:eastAsia="lv-LV"/>
              </w:rPr>
              <w:t xml:space="preserve"> </w:t>
            </w:r>
            <w:r w:rsidRPr="0078794A">
              <w:rPr>
                <w:rFonts w:ascii="Times New Roman" w:eastAsia="Times New Roman" w:hAnsi="Times New Roman" w:cs="Times New Roman"/>
                <w:b/>
                <w:bCs/>
                <w:color w:val="000000"/>
                <w:lang w:eastAsia="lv-LV"/>
              </w:rPr>
              <w:t>7</w:t>
            </w:r>
            <w:r w:rsidR="00EF7888" w:rsidRPr="00BD7921">
              <w:rPr>
                <w:rFonts w:ascii="Times New Roman" w:eastAsia="Times New Roman" w:hAnsi="Times New Roman" w:cs="Times New Roman"/>
                <w:b/>
                <w:bCs/>
                <w:color w:val="000000"/>
                <w:lang w:eastAsia="lv-LV"/>
              </w:rPr>
              <w:t>84</w:t>
            </w:r>
          </w:p>
        </w:tc>
        <w:tc>
          <w:tcPr>
            <w:tcW w:w="1843" w:type="dxa"/>
            <w:shd w:val="clear" w:color="auto" w:fill="FBD4B4" w:themeFill="accent6" w:themeFillTint="66"/>
            <w:noWrap/>
            <w:vAlign w:val="bottom"/>
            <w:hideMark/>
          </w:tcPr>
          <w:p w14:paraId="00E56F05" w14:textId="77777777" w:rsidR="009A090F" w:rsidRPr="00C86312" w:rsidRDefault="0071331A"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1</w:t>
            </w:r>
            <w:r w:rsidR="00817C12" w:rsidRPr="00901A9F">
              <w:rPr>
                <w:rFonts w:ascii="Times New Roman" w:eastAsia="Times New Roman" w:hAnsi="Times New Roman" w:cs="Times New Roman"/>
                <w:b/>
                <w:bCs/>
                <w:color w:val="000000"/>
                <w:lang w:eastAsia="lv-LV"/>
              </w:rPr>
              <w:t> </w:t>
            </w:r>
            <w:r w:rsidRPr="0078794A">
              <w:rPr>
                <w:rFonts w:ascii="Times New Roman" w:eastAsia="Times New Roman" w:hAnsi="Times New Roman" w:cs="Times New Roman"/>
                <w:b/>
                <w:bCs/>
                <w:color w:val="000000"/>
                <w:lang w:eastAsia="lv-LV"/>
              </w:rPr>
              <w:t>0</w:t>
            </w:r>
            <w:r w:rsidR="0066732C" w:rsidRPr="00BD7921">
              <w:rPr>
                <w:rFonts w:ascii="Times New Roman" w:eastAsia="Times New Roman" w:hAnsi="Times New Roman" w:cs="Times New Roman"/>
                <w:b/>
                <w:bCs/>
                <w:color w:val="000000"/>
                <w:lang w:eastAsia="lv-LV"/>
              </w:rPr>
              <w:t>50</w:t>
            </w:r>
            <w:r w:rsidR="00817C12" w:rsidRPr="00BD7921">
              <w:rPr>
                <w:rFonts w:ascii="Times New Roman" w:eastAsia="Times New Roman" w:hAnsi="Times New Roman" w:cs="Times New Roman"/>
                <w:b/>
                <w:bCs/>
                <w:color w:val="000000"/>
                <w:lang w:eastAsia="lv-LV"/>
              </w:rPr>
              <w:t xml:space="preserve"> </w:t>
            </w:r>
            <w:r w:rsidR="0066732C" w:rsidRPr="00BD7921">
              <w:rPr>
                <w:rFonts w:ascii="Times New Roman" w:eastAsia="Times New Roman" w:hAnsi="Times New Roman" w:cs="Times New Roman"/>
                <w:b/>
                <w:bCs/>
                <w:color w:val="000000"/>
                <w:lang w:eastAsia="lv-LV"/>
              </w:rPr>
              <w:t>987</w:t>
            </w:r>
          </w:p>
        </w:tc>
        <w:tc>
          <w:tcPr>
            <w:tcW w:w="1134" w:type="dxa"/>
            <w:shd w:val="clear" w:color="auto" w:fill="FBD4B4" w:themeFill="accent6" w:themeFillTint="66"/>
            <w:noWrap/>
            <w:vAlign w:val="bottom"/>
            <w:hideMark/>
          </w:tcPr>
          <w:p w14:paraId="7CE0D221" w14:textId="77777777" w:rsidR="009A090F" w:rsidRPr="00C86312" w:rsidRDefault="0071331A"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783</w:t>
            </w:r>
            <w:r w:rsidR="00EF7888" w:rsidRPr="00901A9F">
              <w:rPr>
                <w:rFonts w:ascii="Times New Roman" w:eastAsia="Times New Roman" w:hAnsi="Times New Roman" w:cs="Times New Roman"/>
                <w:b/>
                <w:bCs/>
                <w:color w:val="000000"/>
                <w:lang w:eastAsia="lv-LV"/>
              </w:rPr>
              <w:t xml:space="preserve"> </w:t>
            </w:r>
            <w:r w:rsidRPr="0078794A">
              <w:rPr>
                <w:rFonts w:ascii="Times New Roman" w:eastAsia="Times New Roman" w:hAnsi="Times New Roman" w:cs="Times New Roman"/>
                <w:b/>
                <w:bCs/>
                <w:color w:val="000000"/>
                <w:lang w:eastAsia="lv-LV"/>
              </w:rPr>
              <w:t>203</w:t>
            </w:r>
          </w:p>
        </w:tc>
      </w:tr>
    </w:tbl>
    <w:p w14:paraId="4D200306" w14:textId="479BB5C7" w:rsidR="00C575E8" w:rsidRDefault="00C575E8" w:rsidP="00C575E8">
      <w:pPr>
        <w:spacing w:after="120"/>
        <w:ind w:firstLine="709"/>
        <w:jc w:val="both"/>
        <w:rPr>
          <w:rFonts w:ascii="Times New Roman" w:eastAsia="Times New Roman" w:hAnsi="Times New Roman" w:cs="Times New Roman"/>
          <w:sz w:val="24"/>
          <w:szCs w:val="24"/>
        </w:rPr>
      </w:pPr>
    </w:p>
    <w:p w14:paraId="3B997D8B" w14:textId="5048F75B" w:rsidR="00692443" w:rsidRPr="00750483" w:rsidRDefault="0013272D" w:rsidP="00750483">
      <w:pPr>
        <w:spacing w:after="120"/>
        <w:ind w:left="720"/>
        <w:jc w:val="center"/>
        <w:rPr>
          <w:rFonts w:ascii="Times New Roman" w:eastAsia="Times New Roman" w:hAnsi="Times New Roman"/>
          <w:b/>
          <w:sz w:val="24"/>
          <w:szCs w:val="24"/>
        </w:rPr>
      </w:pPr>
      <w:r>
        <w:rPr>
          <w:rFonts w:ascii="Times New Roman" w:eastAsia="Times New Roman" w:hAnsi="Times New Roman"/>
          <w:b/>
          <w:sz w:val="24"/>
          <w:szCs w:val="24"/>
        </w:rPr>
        <w:t xml:space="preserve">3.3. </w:t>
      </w:r>
      <w:r w:rsidR="00692443" w:rsidRPr="00750483">
        <w:rPr>
          <w:rFonts w:ascii="Times New Roman" w:eastAsia="Times New Roman" w:hAnsi="Times New Roman"/>
          <w:b/>
          <w:sz w:val="24"/>
          <w:szCs w:val="24"/>
        </w:rPr>
        <w:t>Vīrusu molekulārās izmeklēšanas analītiskās jūtības rādītāju uzlabošana</w:t>
      </w:r>
    </w:p>
    <w:p w14:paraId="5BC97431" w14:textId="45023FDA" w:rsidR="00BF1F32" w:rsidRPr="00E63F25" w:rsidRDefault="00920E4D" w:rsidP="00BF1F32">
      <w:pPr>
        <w:spacing w:after="120"/>
        <w:ind w:firstLine="720"/>
        <w:jc w:val="both"/>
        <w:rPr>
          <w:rFonts w:ascii="Times New Roman" w:hAnsi="Times New Roman" w:cs="Times New Roman"/>
          <w:sz w:val="24"/>
          <w:szCs w:val="24"/>
        </w:rPr>
      </w:pPr>
      <w:r>
        <w:rPr>
          <w:rFonts w:ascii="Times New Roman" w:hAnsi="Times New Roman" w:cs="Times New Roman"/>
          <w:sz w:val="24"/>
          <w:szCs w:val="24"/>
        </w:rPr>
        <w:t>Valsts asinsdonoru centrā (</w:t>
      </w:r>
      <w:r w:rsidR="00BF1F32" w:rsidRPr="00E63F25">
        <w:rPr>
          <w:rFonts w:ascii="Times New Roman" w:hAnsi="Times New Roman" w:cs="Times New Roman"/>
          <w:sz w:val="24"/>
          <w:szCs w:val="24"/>
        </w:rPr>
        <w:t>turpmāk –V</w:t>
      </w:r>
      <w:r w:rsidR="00082A62">
        <w:rPr>
          <w:rFonts w:ascii="Times New Roman" w:hAnsi="Times New Roman" w:cs="Times New Roman"/>
          <w:sz w:val="24"/>
          <w:szCs w:val="24"/>
        </w:rPr>
        <w:t xml:space="preserve">ADC) laika posmā no 2018. gada </w:t>
      </w:r>
      <w:r w:rsidR="00BF1F32" w:rsidRPr="00E63F25">
        <w:rPr>
          <w:rFonts w:ascii="Times New Roman" w:hAnsi="Times New Roman" w:cs="Times New Roman"/>
          <w:sz w:val="24"/>
          <w:szCs w:val="24"/>
        </w:rPr>
        <w:t>1.janvāra līdz  21.decembrim iegūti 18 seroloģiski pozitīvi rezultāti regulāriem donoriem. Konstatējot seroloģiski reaktīvu  rezultātu, NAT (</w:t>
      </w:r>
      <w:r w:rsidR="00BF1F32" w:rsidRPr="00E63F25">
        <w:rPr>
          <w:rFonts w:ascii="Times New Roman" w:hAnsi="Times New Roman" w:cs="Times New Roman"/>
          <w:color w:val="4F4F4F"/>
          <w:sz w:val="24"/>
          <w:szCs w:val="24"/>
        </w:rPr>
        <w:t>nukleīnskābju amplifikācijas tests</w:t>
      </w:r>
      <w:r w:rsidR="00BF1F32" w:rsidRPr="00E63F25">
        <w:rPr>
          <w:rFonts w:ascii="Times New Roman" w:hAnsi="Times New Roman" w:cs="Times New Roman"/>
          <w:b/>
          <w:bCs/>
          <w:color w:val="4F4F4F"/>
          <w:sz w:val="24"/>
          <w:szCs w:val="24"/>
        </w:rPr>
        <w:t>)</w:t>
      </w:r>
      <w:r w:rsidR="00BF1F32" w:rsidRPr="00E63F25">
        <w:rPr>
          <w:rFonts w:ascii="Times New Roman" w:hAnsi="Times New Roman" w:cs="Times New Roman"/>
          <w:sz w:val="24"/>
          <w:szCs w:val="24"/>
        </w:rPr>
        <w:t xml:space="preserve"> izmeklējumi netiek veikti.  Šī gada laikā iegūti</w:t>
      </w:r>
      <w:r w:rsidR="00BF1F32" w:rsidRPr="00E63F25">
        <w:rPr>
          <w:rFonts w:ascii="Times New Roman" w:hAnsi="Times New Roman" w:cs="Times New Roman"/>
          <w:b/>
          <w:bCs/>
          <w:sz w:val="24"/>
          <w:szCs w:val="24"/>
        </w:rPr>
        <w:t xml:space="preserve"> 3 NAT</w:t>
      </w:r>
      <w:r w:rsidR="00BF1F32" w:rsidRPr="00E63F25">
        <w:rPr>
          <w:rFonts w:ascii="Times New Roman" w:hAnsi="Times New Roman" w:cs="Times New Roman"/>
          <w:sz w:val="24"/>
          <w:szCs w:val="24"/>
        </w:rPr>
        <w:t xml:space="preserve"> reaktīvi  rezultāti, seroloģiski negatīviem donoriem: diviem  regulāriem donoriem  konstatēts vīrushepatīta B pozitīvs rezultāts un viens pozitīvs HBV rezultāts, veicot retrospektīvo izmeklēšanu. Ņemot vērā esošo epidemioloģisko situāciju,   izmeklējumi molekulārā līmenī  būtiski paaugstina  asins komponentu drošību.  NAT tehnoloģija ir augsti jutīga un specifiska, tā pamatojas uz vīrusu DNS vai RNS  amplifkāciju un spēj atklāt vīrusa klātbūtni organismā ātrāk par seroloģiskām skrīninga metodēm, ievērojami sašaurinot vīrusu  infekcijas loga periodu. NAT metode ir vienīgā, kas ļauj diagnosticēt  B hepatītu  agrīnajā periodā, ko apliecina arī VADC statistika. NAT  vienmēr  būs jūtīgāka un nozīmīgāka  donoru agrīnajā  izmeklēšanā, tādēļ šī  ir kā papildus metode seroloģiskai izmeklēšanai, lai mazinātu asins komponentu recipientu inficēšanas risku. </w:t>
      </w:r>
    </w:p>
    <w:p w14:paraId="477F1A65" w14:textId="722471C0" w:rsidR="003F7C28" w:rsidRDefault="00BF1F32" w:rsidP="00B02965">
      <w:pPr>
        <w:spacing w:after="120"/>
        <w:ind w:firstLine="720"/>
        <w:jc w:val="both"/>
        <w:rPr>
          <w:rFonts w:ascii="Times New Roman" w:hAnsi="Times New Roman" w:cs="Times New Roman"/>
          <w:sz w:val="24"/>
          <w:szCs w:val="24"/>
        </w:rPr>
      </w:pPr>
      <w:r w:rsidRPr="00E63F25">
        <w:rPr>
          <w:rFonts w:ascii="Times New Roman" w:hAnsi="Times New Roman" w:cs="Times New Roman"/>
          <w:sz w:val="24"/>
          <w:szCs w:val="24"/>
        </w:rPr>
        <w:t>Neveicot NAT izmeklēšanu, šo 3 donoru asinis būtu akceptētas pārliešanai, jo obligātie seroloģiskās virusoloģiskās izmeklēšanas rezultāti bija negatīvi. Ja pārliešana būtu veikta, tad, iespējams, tiktu inficēti 9 recipienti (viena donora asins deva pēc sagatavošanas un apstrādes var tikt izmantota  3 recipientiem).  NAT  izmeklēšanas ieguvums – precīzāki rezultāti, finanšu līdzekļi nav jāizmanto medikamentu apmaksai inficēto recipientu ārstēšanai. Neapšaubāmi, papildus šīm izmaksām jāpieskaita iespējamie tiesvedības procesu izdevumi par personu inficēšanu asins pārliešanas ceļā, nemaz neminot morālo un ētisko kaitējumu.</w:t>
      </w:r>
      <w:r w:rsidR="003F7C28">
        <w:rPr>
          <w:rFonts w:ascii="Times New Roman" w:hAnsi="Times New Roman" w:cs="Times New Roman"/>
          <w:sz w:val="24"/>
          <w:szCs w:val="24"/>
        </w:rPr>
        <w:t xml:space="preserve"> </w:t>
      </w:r>
    </w:p>
    <w:p w14:paraId="32532C95" w14:textId="6156FD14" w:rsidR="00AE3965" w:rsidRPr="00B02965" w:rsidRDefault="00F117C6" w:rsidP="00B02965">
      <w:pPr>
        <w:spacing w:after="120"/>
        <w:ind w:firstLine="720"/>
        <w:jc w:val="both"/>
        <w:rPr>
          <w:rFonts w:ascii="Times New Roman" w:hAnsi="Times New Roman" w:cs="Times New Roman"/>
          <w:sz w:val="24"/>
          <w:szCs w:val="24"/>
        </w:rPr>
      </w:pPr>
      <w:r>
        <w:rPr>
          <w:rFonts w:ascii="Times New Roman" w:hAnsi="Times New Roman" w:cs="Times New Roman"/>
          <w:sz w:val="24"/>
          <w:szCs w:val="24"/>
        </w:rPr>
        <w:t>L</w:t>
      </w:r>
      <w:r w:rsidR="005E4930" w:rsidRPr="00847710">
        <w:rPr>
          <w:rFonts w:ascii="Times New Roman" w:eastAsia="Times New Roman" w:hAnsi="Times New Roman" w:cs="Times New Roman"/>
          <w:sz w:val="24"/>
          <w:szCs w:val="24"/>
        </w:rPr>
        <w:t xml:space="preserve">ai </w:t>
      </w:r>
      <w:r w:rsidR="005E4930">
        <w:rPr>
          <w:rFonts w:ascii="Times New Roman" w:eastAsia="Times New Roman" w:hAnsi="Times New Roman" w:cs="Times New Roman"/>
          <w:sz w:val="24"/>
          <w:szCs w:val="24"/>
        </w:rPr>
        <w:t xml:space="preserve">turpinātu īstenot </w:t>
      </w:r>
      <w:r w:rsidR="005E4930" w:rsidRPr="00847710">
        <w:rPr>
          <w:rFonts w:ascii="Times New Roman" w:eastAsia="Times New Roman" w:hAnsi="Times New Roman" w:cs="Times New Roman"/>
          <w:sz w:val="24"/>
          <w:szCs w:val="24"/>
        </w:rPr>
        <w:t xml:space="preserve">reformas </w:t>
      </w:r>
      <w:r w:rsidR="005E4930">
        <w:rPr>
          <w:rFonts w:ascii="Times New Roman" w:eastAsia="Times New Roman" w:hAnsi="Times New Roman" w:cs="Times New Roman"/>
          <w:sz w:val="24"/>
          <w:szCs w:val="24"/>
        </w:rPr>
        <w:t>un</w:t>
      </w:r>
      <w:r w:rsidR="005E4930" w:rsidRPr="00847710">
        <w:rPr>
          <w:rFonts w:ascii="Times New Roman" w:eastAsia="Times New Roman" w:hAnsi="Times New Roman" w:cs="Times New Roman"/>
          <w:sz w:val="24"/>
          <w:szCs w:val="24"/>
        </w:rPr>
        <w:t xml:space="preserve"> uzlabotu vīrusu molekulārās izmeklēšanas analītiskās jūtības rādītājus </w:t>
      </w:r>
      <w:r w:rsidR="005E4930">
        <w:rPr>
          <w:rFonts w:ascii="Times New Roman" w:eastAsia="Times New Roman" w:hAnsi="Times New Roman" w:cs="Times New Roman"/>
          <w:sz w:val="24"/>
          <w:szCs w:val="24"/>
        </w:rPr>
        <w:t xml:space="preserve">2019.gadā </w:t>
      </w:r>
      <w:r w:rsidR="005E4930" w:rsidRPr="00847710">
        <w:rPr>
          <w:rFonts w:ascii="Times New Roman" w:eastAsia="Times New Roman" w:hAnsi="Times New Roman" w:cs="Times New Roman"/>
          <w:sz w:val="24"/>
          <w:szCs w:val="24"/>
        </w:rPr>
        <w:t xml:space="preserve">papildus nepieciešami </w:t>
      </w:r>
      <w:r w:rsidR="005E4930" w:rsidRPr="007C6235">
        <w:rPr>
          <w:rFonts w:ascii="Times New Roman" w:eastAsia="Times New Roman" w:hAnsi="Times New Roman" w:cs="Times New Roman"/>
          <w:b/>
          <w:sz w:val="24"/>
          <w:szCs w:val="24"/>
        </w:rPr>
        <w:t xml:space="preserve">579 656 </w:t>
      </w:r>
      <w:r w:rsidR="005E4930" w:rsidRPr="007C6235">
        <w:rPr>
          <w:rFonts w:ascii="Times New Roman" w:eastAsia="Times New Roman" w:hAnsi="Times New Roman" w:cs="Times New Roman"/>
          <w:b/>
          <w:i/>
          <w:sz w:val="24"/>
          <w:szCs w:val="24"/>
        </w:rPr>
        <w:t>euro</w:t>
      </w:r>
      <w:r w:rsidR="003E7389">
        <w:rPr>
          <w:rFonts w:ascii="Times New Roman" w:eastAsia="Times New Roman" w:hAnsi="Times New Roman" w:cs="Times New Roman"/>
          <w:b/>
          <w:i/>
          <w:sz w:val="24"/>
          <w:szCs w:val="24"/>
        </w:rPr>
        <w:t xml:space="preserve"> </w:t>
      </w:r>
      <w:r w:rsidR="003E7389" w:rsidRPr="00ED653E">
        <w:rPr>
          <w:rFonts w:ascii="Times New Roman" w:eastAsia="Times New Roman" w:hAnsi="Times New Roman" w:cs="Times New Roman"/>
          <w:sz w:val="24"/>
          <w:szCs w:val="24"/>
        </w:rPr>
        <w:t>(</w:t>
      </w:r>
      <w:r w:rsidR="006A555D">
        <w:rPr>
          <w:rFonts w:ascii="Times New Roman" w:eastAsia="Times New Roman" w:hAnsi="Times New Roman" w:cs="Times New Roman"/>
          <w:sz w:val="24"/>
          <w:szCs w:val="24"/>
        </w:rPr>
        <w:t>5</w:t>
      </w:r>
      <w:r w:rsidR="000678A1">
        <w:rPr>
          <w:rFonts w:ascii="Times New Roman" w:eastAsia="Times New Roman" w:hAnsi="Times New Roman" w:cs="Times New Roman"/>
          <w:sz w:val="24"/>
          <w:szCs w:val="24"/>
        </w:rPr>
        <w:t>5</w:t>
      </w:r>
      <w:r w:rsidR="003E7389" w:rsidRPr="00ED653E">
        <w:rPr>
          <w:rFonts w:ascii="Times New Roman" w:eastAsia="Times New Roman" w:hAnsi="Times New Roman" w:cs="Times New Roman"/>
          <w:sz w:val="24"/>
          <w:szCs w:val="24"/>
        </w:rPr>
        <w:t>.tabula)</w:t>
      </w:r>
      <w:r w:rsidR="005E4930" w:rsidRPr="003E7389">
        <w:rPr>
          <w:rFonts w:ascii="Times New Roman" w:eastAsia="Times New Roman" w:hAnsi="Times New Roman" w:cs="Times New Roman"/>
          <w:sz w:val="24"/>
          <w:szCs w:val="24"/>
        </w:rPr>
        <w:t>,</w:t>
      </w:r>
      <w:r w:rsidR="005E4930" w:rsidRPr="00847710">
        <w:rPr>
          <w:rFonts w:ascii="Times New Roman" w:eastAsia="Times New Roman" w:hAnsi="Times New Roman" w:cs="Times New Roman"/>
          <w:sz w:val="24"/>
          <w:szCs w:val="24"/>
        </w:rPr>
        <w:t xml:space="preserve"> ņemot vērā, ka vienas donācijas testēšanas izmaksas pieaug par 10,54 </w:t>
      </w:r>
      <w:r w:rsidR="005E4930" w:rsidRPr="00BB4113">
        <w:rPr>
          <w:rFonts w:ascii="Times New Roman" w:eastAsia="Times New Roman" w:hAnsi="Times New Roman" w:cs="Times New Roman"/>
          <w:i/>
          <w:sz w:val="24"/>
          <w:szCs w:val="24"/>
        </w:rPr>
        <w:t>euro</w:t>
      </w:r>
      <w:r w:rsidR="005E4930" w:rsidRPr="00847710">
        <w:rPr>
          <w:rFonts w:ascii="Times New Roman" w:eastAsia="Times New Roman" w:hAnsi="Times New Roman" w:cs="Times New Roman"/>
          <w:sz w:val="24"/>
          <w:szCs w:val="24"/>
        </w:rPr>
        <w:t xml:space="preserve"> ar </w:t>
      </w:r>
      <w:r w:rsidR="005E4930">
        <w:rPr>
          <w:rFonts w:ascii="Times New Roman" w:eastAsia="Times New Roman" w:hAnsi="Times New Roman" w:cs="Times New Roman"/>
          <w:sz w:val="24"/>
          <w:szCs w:val="24"/>
        </w:rPr>
        <w:t xml:space="preserve">pievienotās vērtības nodokli (turpmāk – </w:t>
      </w:r>
      <w:r w:rsidR="005E4930" w:rsidRPr="00847710">
        <w:rPr>
          <w:rFonts w:ascii="Times New Roman" w:eastAsia="Times New Roman" w:hAnsi="Times New Roman" w:cs="Times New Roman"/>
          <w:sz w:val="24"/>
          <w:szCs w:val="24"/>
        </w:rPr>
        <w:t>PVN</w:t>
      </w:r>
      <w:r w:rsidR="005E4930">
        <w:rPr>
          <w:rFonts w:ascii="Times New Roman" w:eastAsia="Times New Roman" w:hAnsi="Times New Roman" w:cs="Times New Roman"/>
          <w:sz w:val="24"/>
          <w:szCs w:val="24"/>
        </w:rPr>
        <w:t>)</w:t>
      </w:r>
      <w:r w:rsidR="005E4930">
        <w:rPr>
          <w:rFonts w:ascii="Times New Roman" w:hAnsi="Times New Roman" w:cs="Times New Roman"/>
          <w:sz w:val="24"/>
          <w:szCs w:val="24"/>
        </w:rPr>
        <w:t xml:space="preserve">. </w:t>
      </w:r>
    </w:p>
    <w:p w14:paraId="432CFF99" w14:textId="29DD8033" w:rsidR="00E40559" w:rsidRPr="00D46212" w:rsidRDefault="000678A1" w:rsidP="00AA5E60">
      <w:pPr>
        <w:ind w:firstLine="851"/>
        <w:jc w:val="right"/>
        <w:rPr>
          <w:rFonts w:ascii="Times New Roman" w:hAnsi="Times New Roman" w:cs="Times New Roman"/>
          <w:sz w:val="24"/>
          <w:szCs w:val="24"/>
        </w:rPr>
      </w:pPr>
      <w:r>
        <w:rPr>
          <w:rFonts w:ascii="Times New Roman" w:hAnsi="Times New Roman" w:cs="Times New Roman"/>
          <w:i/>
          <w:iCs/>
          <w:sz w:val="24"/>
          <w:szCs w:val="24"/>
        </w:rPr>
        <w:lastRenderedPageBreak/>
        <w:t>55</w:t>
      </w:r>
      <w:r w:rsidR="0071331A" w:rsidRPr="6812B80F">
        <w:rPr>
          <w:rFonts w:ascii="Times New Roman" w:hAnsi="Times New Roman" w:cs="Times New Roman"/>
          <w:i/>
          <w:iCs/>
          <w:sz w:val="24"/>
          <w:szCs w:val="24"/>
        </w:rPr>
        <w:t>.tabula</w:t>
      </w:r>
    </w:p>
    <w:p w14:paraId="30567B0E" w14:textId="77777777" w:rsidR="00E40559" w:rsidRPr="00C86312" w:rsidRDefault="0071331A" w:rsidP="00C86312">
      <w:pPr>
        <w:spacing w:after="12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Izdevumu aprēķins vīrusu molekulārās izmeklēšana</w:t>
      </w:r>
      <w:r w:rsidRPr="00901A9F">
        <w:rPr>
          <w:rFonts w:ascii="Times New Roman" w:hAnsi="Times New Roman" w:cs="Times New Roman"/>
          <w:b/>
          <w:bCs/>
          <w:sz w:val="24"/>
          <w:szCs w:val="24"/>
        </w:rPr>
        <w:t>s analītiskās jūtības rādītāju uzlabošanai</w:t>
      </w:r>
    </w:p>
    <w:tbl>
      <w:tblPr>
        <w:tblW w:w="8217" w:type="dxa"/>
        <w:jc w:val="center"/>
        <w:tblLayout w:type="fixed"/>
        <w:tblLook w:val="04A0" w:firstRow="1" w:lastRow="0" w:firstColumn="1" w:lastColumn="0" w:noHBand="0" w:noVBand="1"/>
      </w:tblPr>
      <w:tblGrid>
        <w:gridCol w:w="1696"/>
        <w:gridCol w:w="1276"/>
        <w:gridCol w:w="1701"/>
        <w:gridCol w:w="1843"/>
        <w:gridCol w:w="1701"/>
      </w:tblGrid>
      <w:tr w:rsidR="00591368" w14:paraId="18F0D819" w14:textId="77777777" w:rsidTr="001B1836">
        <w:trPr>
          <w:trHeight w:val="545"/>
          <w:jc w:val="center"/>
        </w:trPr>
        <w:tc>
          <w:tcPr>
            <w:tcW w:w="1696"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00BBA633" w14:textId="77777777" w:rsidR="00E40559" w:rsidRPr="00C86312" w:rsidRDefault="0071331A" w:rsidP="00DC2448">
            <w:pPr>
              <w:spacing w:line="240" w:lineRule="auto"/>
              <w:jc w:val="center"/>
              <w:rPr>
                <w:rFonts w:ascii="Times New Roman" w:hAnsi="Times New Roman" w:cs="Times New Roman"/>
                <w:b/>
                <w:bCs/>
                <w:color w:val="000000"/>
                <w:sz w:val="20"/>
                <w:szCs w:val="20"/>
              </w:rPr>
            </w:pPr>
            <w:r w:rsidRPr="0012317D">
              <w:rPr>
                <w:rFonts w:ascii="Times New Roman" w:hAnsi="Times New Roman" w:cs="Times New Roman"/>
                <w:b/>
                <w:bCs/>
                <w:color w:val="000000"/>
                <w:sz w:val="20"/>
                <w:szCs w:val="20"/>
              </w:rPr>
              <w:t>Nosaukums</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9E3AB66" w14:textId="77777777" w:rsidR="00E40559" w:rsidRPr="00C86312" w:rsidRDefault="0071331A" w:rsidP="00DC2448">
            <w:pPr>
              <w:spacing w:line="240" w:lineRule="auto"/>
              <w:jc w:val="center"/>
              <w:rPr>
                <w:rFonts w:ascii="Times New Roman" w:hAnsi="Times New Roman" w:cs="Times New Roman"/>
                <w:b/>
                <w:bCs/>
                <w:color w:val="000000"/>
                <w:sz w:val="20"/>
                <w:szCs w:val="20"/>
              </w:rPr>
            </w:pPr>
            <w:r w:rsidRPr="0012317D">
              <w:rPr>
                <w:rFonts w:ascii="Times New Roman" w:hAnsi="Times New Roman" w:cs="Times New Roman"/>
                <w:b/>
                <w:bCs/>
                <w:color w:val="000000"/>
                <w:sz w:val="20"/>
                <w:szCs w:val="20"/>
              </w:rPr>
              <w:t>Daudzums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E333CB9" w14:textId="77777777" w:rsidR="00E40559" w:rsidRPr="00C86312" w:rsidRDefault="0071331A" w:rsidP="00DC2448">
            <w:pPr>
              <w:spacing w:line="240" w:lineRule="auto"/>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Cena bez PVN, </w:t>
            </w:r>
            <w:r w:rsidRPr="57326167">
              <w:rPr>
                <w:rFonts w:ascii="Times New Roman" w:hAnsi="Times New Roman" w:cs="Times New Roman"/>
                <w:b/>
                <w:bCs/>
                <w:i/>
                <w:iCs/>
                <w:color w:val="000000"/>
                <w:sz w:val="20"/>
                <w:szCs w:val="20"/>
              </w:rPr>
              <w:t>euro</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EAD7440" w14:textId="77777777" w:rsidR="00E40559" w:rsidRPr="00C86312" w:rsidRDefault="0071331A" w:rsidP="00DC2448">
            <w:pPr>
              <w:spacing w:line="240" w:lineRule="auto"/>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Kopā izdevumi bez PVN, </w:t>
            </w:r>
            <w:r w:rsidRPr="57326167">
              <w:rPr>
                <w:rFonts w:ascii="Times New Roman" w:hAnsi="Times New Roman" w:cs="Times New Roman"/>
                <w:b/>
                <w:bCs/>
                <w:i/>
                <w:iCs/>
                <w:color w:val="000000"/>
                <w:sz w:val="20"/>
                <w:szCs w:val="20"/>
              </w:rPr>
              <w:t xml:space="preserve">euro  </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F519C96" w14:textId="3A9EE40F" w:rsidR="00E40559" w:rsidRPr="00C86312" w:rsidRDefault="0071331A" w:rsidP="00DC2448">
            <w:pPr>
              <w:spacing w:line="240" w:lineRule="auto"/>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Izdevumi ar </w:t>
            </w:r>
            <w:r w:rsidR="00F44BD1">
              <w:rPr>
                <w:rFonts w:ascii="Times New Roman" w:hAnsi="Times New Roman" w:cs="Times New Roman"/>
                <w:b/>
                <w:bCs/>
                <w:color w:val="000000"/>
                <w:sz w:val="20"/>
                <w:szCs w:val="20"/>
              </w:rPr>
              <w:t>12</w:t>
            </w:r>
            <w:r w:rsidR="00E96BFC">
              <w:rPr>
                <w:rFonts w:ascii="Times New Roman" w:hAnsi="Times New Roman" w:cs="Times New Roman"/>
                <w:b/>
                <w:bCs/>
                <w:color w:val="000000"/>
                <w:sz w:val="20"/>
                <w:szCs w:val="20"/>
              </w:rPr>
              <w:t xml:space="preserve">% </w:t>
            </w:r>
            <w:r w:rsidRPr="0012317D">
              <w:rPr>
                <w:rFonts w:ascii="Times New Roman" w:hAnsi="Times New Roman" w:cs="Times New Roman"/>
                <w:b/>
                <w:bCs/>
                <w:color w:val="000000"/>
                <w:sz w:val="20"/>
                <w:szCs w:val="20"/>
              </w:rPr>
              <w:t xml:space="preserve">PVN, </w:t>
            </w:r>
            <w:r w:rsidRPr="57326167">
              <w:rPr>
                <w:rFonts w:ascii="Times New Roman" w:hAnsi="Times New Roman" w:cs="Times New Roman"/>
                <w:b/>
                <w:bCs/>
                <w:i/>
                <w:iCs/>
                <w:color w:val="000000"/>
                <w:sz w:val="20"/>
                <w:szCs w:val="20"/>
              </w:rPr>
              <w:t xml:space="preserve">euro  </w:t>
            </w:r>
          </w:p>
        </w:tc>
      </w:tr>
      <w:tr w:rsidR="00591368" w14:paraId="138C575E" w14:textId="77777777" w:rsidTr="001B1836">
        <w:trPr>
          <w:trHeight w:val="963"/>
          <w:jc w:val="center"/>
        </w:trPr>
        <w:tc>
          <w:tcPr>
            <w:tcW w:w="1696"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9EF3FF"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Izmantojot   minipulus  no 24 (MP24)   asins paraugiem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F037153"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55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21F685F"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10.96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F40204" w14:textId="043ACB70"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602</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0FE36E2" w14:textId="5E9B3D7C"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675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136</w:t>
            </w:r>
          </w:p>
        </w:tc>
      </w:tr>
      <w:tr w:rsidR="00591368" w14:paraId="6F1A7FB6" w14:textId="77777777" w:rsidTr="001B1836">
        <w:trPr>
          <w:trHeight w:val="600"/>
          <w:jc w:val="center"/>
        </w:trPr>
        <w:tc>
          <w:tcPr>
            <w:tcW w:w="1696" w:type="dxa"/>
            <w:tcBorders>
              <w:top w:val="nil"/>
              <w:left w:val="single" w:sz="4" w:space="0" w:color="auto"/>
              <w:bottom w:val="single" w:sz="4" w:space="0" w:color="auto"/>
              <w:right w:val="single" w:sz="4" w:space="0" w:color="auto"/>
            </w:tcBorders>
            <w:shd w:val="clear" w:color="auto" w:fill="FFFFFF" w:themeFill="background1"/>
            <w:vAlign w:val="bottom"/>
            <w:hideMark/>
          </w:tcPr>
          <w:p w14:paraId="0A006DC5"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Izmantojot   minipulus  no 6 (MP6)  asins paraugiem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D7FD005"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55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B5C2529"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20.3</w:t>
            </w:r>
            <w:r w:rsidR="00186A5D" w:rsidRPr="00847710">
              <w:rPr>
                <w:rFonts w:ascii="Times New Roman" w:hAnsi="Times New Roman" w:cs="Times New Roman"/>
                <w:color w:val="000000"/>
                <w:sz w:val="20"/>
                <w:szCs w:val="20"/>
              </w:rPr>
              <w:t>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90A6B76" w14:textId="0492A7ED"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w:t>
            </w:r>
            <w:r w:rsidR="009954BF" w:rsidRPr="00847710">
              <w:rPr>
                <w:rFonts w:ascii="Times New Roman" w:hAnsi="Times New Roman" w:cs="Times New Roman"/>
                <w:color w:val="000000"/>
                <w:sz w:val="20"/>
                <w:szCs w:val="20"/>
              </w:rPr>
              <w:t> </w:t>
            </w:r>
            <w:r w:rsidRPr="00847710">
              <w:rPr>
                <w:rFonts w:ascii="Times New Roman" w:hAnsi="Times New Roman" w:cs="Times New Roman"/>
                <w:color w:val="000000"/>
                <w:sz w:val="20"/>
                <w:szCs w:val="20"/>
              </w:rPr>
              <w:t>1</w:t>
            </w:r>
            <w:r w:rsidR="00186A5D" w:rsidRPr="00847710">
              <w:rPr>
                <w:rFonts w:ascii="Times New Roman" w:hAnsi="Times New Roman" w:cs="Times New Roman"/>
                <w:color w:val="000000"/>
                <w:sz w:val="20"/>
                <w:szCs w:val="20"/>
              </w:rPr>
              <w:t>20 350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FC97856" w14:textId="0940D5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w:t>
            </w:r>
            <w:r w:rsidR="009954BF" w:rsidRPr="00847710">
              <w:rPr>
                <w:rFonts w:ascii="Times New Roman" w:hAnsi="Times New Roman" w:cs="Times New Roman"/>
                <w:color w:val="000000"/>
                <w:sz w:val="20"/>
                <w:szCs w:val="20"/>
              </w:rPr>
              <w:t> </w:t>
            </w:r>
            <w:r w:rsidRPr="00847710">
              <w:rPr>
                <w:rFonts w:ascii="Times New Roman" w:hAnsi="Times New Roman" w:cs="Times New Roman"/>
                <w:color w:val="000000"/>
                <w:sz w:val="20"/>
                <w:szCs w:val="20"/>
              </w:rPr>
              <w:t>254</w:t>
            </w:r>
            <w:r w:rsidR="009954BF" w:rsidRPr="00847710">
              <w:rPr>
                <w:rFonts w:ascii="Times New Roman" w:hAnsi="Times New Roman" w:cs="Times New Roman"/>
                <w:color w:val="000000"/>
                <w:sz w:val="20"/>
                <w:szCs w:val="20"/>
              </w:rPr>
              <w:t xml:space="preserve"> </w:t>
            </w:r>
            <w:r w:rsidR="00186A5D" w:rsidRPr="00847710">
              <w:rPr>
                <w:rFonts w:ascii="Times New Roman" w:hAnsi="Times New Roman" w:cs="Times New Roman"/>
                <w:color w:val="000000"/>
                <w:sz w:val="20"/>
                <w:szCs w:val="20"/>
              </w:rPr>
              <w:t>792</w:t>
            </w:r>
          </w:p>
        </w:tc>
      </w:tr>
      <w:tr w:rsidR="00591368" w14:paraId="73E864BB" w14:textId="77777777" w:rsidTr="001B1836">
        <w:trPr>
          <w:trHeight w:val="545"/>
          <w:jc w:val="center"/>
        </w:trPr>
        <w:tc>
          <w:tcPr>
            <w:tcW w:w="169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66A26EB6" w14:textId="77777777" w:rsidR="00E40559" w:rsidRPr="00847710" w:rsidRDefault="0071331A" w:rsidP="00C43571">
            <w:pPr>
              <w:spacing w:after="0" w:line="240" w:lineRule="auto"/>
              <w:jc w:val="cente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Izdevumu pieaugums</w:t>
            </w:r>
          </w:p>
        </w:tc>
        <w:tc>
          <w:tcPr>
            <w:tcW w:w="1276" w:type="dxa"/>
            <w:tcBorders>
              <w:top w:val="nil"/>
              <w:left w:val="nil"/>
              <w:bottom w:val="single" w:sz="4" w:space="0" w:color="auto"/>
              <w:right w:val="single" w:sz="4" w:space="0" w:color="auto"/>
            </w:tcBorders>
            <w:shd w:val="clear" w:color="auto" w:fill="FBD4B4" w:themeFill="accent6" w:themeFillTint="66"/>
            <w:noWrap/>
            <w:vAlign w:val="bottom"/>
            <w:hideMark/>
          </w:tcPr>
          <w:p w14:paraId="007E373B" w14:textId="5B5DFF6C" w:rsidR="00E40559" w:rsidRPr="00847710" w:rsidRDefault="00E40559" w:rsidP="00C43571">
            <w:pPr>
              <w:spacing w:after="0" w:line="240" w:lineRule="auto"/>
              <w:jc w:val="center"/>
              <w:rPr>
                <w:rFonts w:ascii="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FBD4B4" w:themeFill="accent6" w:themeFillTint="66"/>
            <w:noWrap/>
            <w:vAlign w:val="bottom"/>
            <w:hideMark/>
          </w:tcPr>
          <w:p w14:paraId="05197042" w14:textId="401CC241" w:rsidR="00E40559" w:rsidRPr="00847710" w:rsidRDefault="00E40559" w:rsidP="00C43571">
            <w:pPr>
              <w:spacing w:after="0" w:line="240" w:lineRule="auto"/>
              <w:jc w:val="center"/>
              <w:rPr>
                <w:rFonts w:ascii="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3BF452B1" w14:textId="2A55004C" w:rsidR="00E40559" w:rsidRPr="00847710" w:rsidRDefault="00E40559" w:rsidP="00C43571">
            <w:pPr>
              <w:spacing w:after="0" w:line="240" w:lineRule="auto"/>
              <w:jc w:val="center"/>
              <w:rPr>
                <w:rFonts w:ascii="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FBD4B4" w:themeFill="accent6" w:themeFillTint="66"/>
            <w:noWrap/>
            <w:vAlign w:val="center"/>
            <w:hideMark/>
          </w:tcPr>
          <w:p w14:paraId="271536EA" w14:textId="1749E9B6" w:rsidR="00E40559" w:rsidRPr="00847710" w:rsidRDefault="0071331A" w:rsidP="00C43571">
            <w:pPr>
              <w:spacing w:after="0" w:line="240" w:lineRule="auto"/>
              <w:jc w:val="cente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579</w:t>
            </w:r>
            <w:r w:rsidR="009954BF" w:rsidRPr="00847710">
              <w:rPr>
                <w:rFonts w:ascii="Times New Roman" w:hAnsi="Times New Roman" w:cs="Times New Roman"/>
                <w:b/>
                <w:bCs/>
                <w:color w:val="000000"/>
                <w:sz w:val="20"/>
                <w:szCs w:val="20"/>
              </w:rPr>
              <w:t xml:space="preserve"> </w:t>
            </w:r>
            <w:r w:rsidR="00186A5D" w:rsidRPr="00847710">
              <w:rPr>
                <w:rFonts w:ascii="Times New Roman" w:hAnsi="Times New Roman" w:cs="Times New Roman"/>
                <w:b/>
                <w:bCs/>
                <w:color w:val="000000"/>
                <w:sz w:val="20"/>
                <w:szCs w:val="20"/>
              </w:rPr>
              <w:t>656</w:t>
            </w:r>
          </w:p>
        </w:tc>
      </w:tr>
    </w:tbl>
    <w:p w14:paraId="250B1C4B" w14:textId="3203CFCD" w:rsidR="00D46212" w:rsidRDefault="00D46212" w:rsidP="00935FF0">
      <w:pPr>
        <w:pStyle w:val="Heading2"/>
        <w:spacing w:before="0" w:after="120"/>
        <w:rPr>
          <w:rFonts w:ascii="Times New Roman" w:hAnsi="Times New Roman" w:cs="Times New Roman"/>
          <w:b/>
          <w:bCs/>
          <w:color w:val="auto"/>
          <w:sz w:val="24"/>
          <w:szCs w:val="24"/>
          <w:u w:val="single"/>
        </w:rPr>
      </w:pPr>
    </w:p>
    <w:p w14:paraId="3505D701" w14:textId="588596E4" w:rsidR="00AD04F8" w:rsidRPr="00C86312" w:rsidRDefault="0071331A" w:rsidP="002B4BD0">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3.</w:t>
      </w:r>
      <w:r w:rsidR="004A716C">
        <w:rPr>
          <w:rFonts w:ascii="Times New Roman" w:hAnsi="Times New Roman" w:cs="Times New Roman"/>
          <w:b/>
          <w:bCs/>
          <w:color w:val="auto"/>
          <w:sz w:val="24"/>
          <w:szCs w:val="24"/>
          <w:u w:val="single"/>
        </w:rPr>
        <w:t>4</w:t>
      </w:r>
      <w:r w:rsidRPr="0012317D">
        <w:rPr>
          <w:rFonts w:ascii="Times New Roman" w:hAnsi="Times New Roman" w:cs="Times New Roman"/>
          <w:b/>
          <w:bCs/>
          <w:color w:val="auto"/>
          <w:sz w:val="24"/>
          <w:szCs w:val="24"/>
          <w:u w:val="single"/>
        </w:rPr>
        <w:t xml:space="preserve">. </w:t>
      </w:r>
      <w:r w:rsidR="00D42D17">
        <w:rPr>
          <w:rFonts w:ascii="Times New Roman" w:hAnsi="Times New Roman" w:cs="Times New Roman"/>
          <w:b/>
          <w:bCs/>
          <w:color w:val="auto"/>
          <w:sz w:val="24"/>
          <w:szCs w:val="24"/>
          <w:u w:val="single"/>
        </w:rPr>
        <w:t>E</w:t>
      </w:r>
      <w:r w:rsidR="00237A86" w:rsidRPr="00901A9F">
        <w:rPr>
          <w:rFonts w:ascii="Times New Roman" w:hAnsi="Times New Roman" w:cs="Times New Roman"/>
          <w:b/>
          <w:bCs/>
          <w:color w:val="auto"/>
          <w:sz w:val="24"/>
          <w:szCs w:val="24"/>
          <w:u w:val="single"/>
        </w:rPr>
        <w:t xml:space="preserve">pidemioloģiskās situācijas uzlabošana paplašinot ārstēšanas iespējas </w:t>
      </w:r>
      <w:r w:rsidRPr="0078794A">
        <w:rPr>
          <w:rFonts w:ascii="Times New Roman" w:hAnsi="Times New Roman" w:cs="Times New Roman"/>
          <w:b/>
          <w:bCs/>
          <w:color w:val="auto"/>
          <w:sz w:val="24"/>
          <w:szCs w:val="24"/>
          <w:u w:val="single"/>
        </w:rPr>
        <w:t>HIV/AIDS pacientiem</w:t>
      </w:r>
    </w:p>
    <w:p w14:paraId="4A546056" w14:textId="77777777" w:rsidR="00442764" w:rsidRDefault="00442764" w:rsidP="64AB90BD">
      <w:pPr>
        <w:shd w:val="clear" w:color="auto" w:fill="FFFFFF" w:themeFill="background1"/>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Pētījumos</w:t>
      </w:r>
      <w:r w:rsidRPr="000C2EF6">
        <w:rPr>
          <w:rStyle w:val="FootnoteReference"/>
          <w:rFonts w:ascii="Times New Roman" w:hAnsi="Times New Roman" w:cs="Times New Roman"/>
          <w:sz w:val="24"/>
          <w:szCs w:val="24"/>
        </w:rPr>
        <w:footnoteReference w:id="24"/>
      </w:r>
      <w:r w:rsidRPr="000C2EF6">
        <w:rPr>
          <w:rFonts w:ascii="Times New Roman" w:hAnsi="Times New Roman" w:cs="Times New Roman"/>
          <w:sz w:val="24"/>
          <w:szCs w:val="24"/>
        </w:rPr>
        <w:t xml:space="preserve"> ir pierādīts, ka, uzsākot agrīnu HIV ārstēšanu un samazinot vīrusa šūnu skaitu cilvēka organismā līdz minimumam, HIV inficētais vairs nevar inficēt partneri, tādējādi samazinot infekcijas izplatības risku par 20%. Pētījumi</w:t>
      </w:r>
      <w:r w:rsidRPr="000C2EF6">
        <w:rPr>
          <w:rStyle w:val="FootnoteReference"/>
          <w:rFonts w:ascii="Times New Roman" w:hAnsi="Times New Roman" w:cs="Times New Roman"/>
          <w:sz w:val="24"/>
          <w:szCs w:val="24"/>
        </w:rPr>
        <w:footnoteReference w:id="25"/>
      </w:r>
      <w:r w:rsidRPr="000C2EF6">
        <w:rPr>
          <w:rFonts w:ascii="Times New Roman" w:hAnsi="Times New Roman" w:cs="Times New Roman"/>
          <w:sz w:val="24"/>
          <w:szCs w:val="24"/>
        </w:rPr>
        <w:t xml:space="preserve"> arī pierāda, ka bez </w:t>
      </w:r>
      <w:r>
        <w:rPr>
          <w:rFonts w:ascii="Times New Roman" w:hAnsi="Times New Roman" w:cs="Times New Roman"/>
          <w:sz w:val="24"/>
          <w:szCs w:val="24"/>
        </w:rPr>
        <w:t>antiretrovirālās</w:t>
      </w:r>
      <w:r w:rsidR="52B20BA9" w:rsidRPr="00E93259">
        <w:rPr>
          <w:rFonts w:ascii="Times New Roman" w:hAnsi="Times New Roman" w:cs="Times New Roman"/>
          <w:sz w:val="24"/>
          <w:szCs w:val="24"/>
        </w:rPr>
        <w:t xml:space="preserve"> (ARV) terapijas 100 inficēti cilvēki gada laikā inficē vēl 12 cilvēkus. Ņemot vērā minēto, veselības nozarē ir veikta virkne reformu, lai uzlabotu zāļu pieejamību HIV inficētām personām.</w:t>
      </w:r>
    </w:p>
    <w:p w14:paraId="5D0721CB" w14:textId="7883ABA8" w:rsidR="00AE3965" w:rsidRPr="00FB0D8A" w:rsidRDefault="00FA5740" w:rsidP="00FB0D8A">
      <w:pPr>
        <w:shd w:val="clear" w:color="auto" w:fill="FFFFFF" w:themeFill="background1"/>
        <w:spacing w:after="120"/>
        <w:ind w:firstLine="720"/>
        <w:jc w:val="both"/>
        <w:rPr>
          <w:rFonts w:ascii="Times New Roman" w:hAnsi="Times New Roman" w:cs="Times New Roman"/>
          <w:color w:val="000000" w:themeColor="text1"/>
          <w:sz w:val="24"/>
          <w:szCs w:val="24"/>
        </w:rPr>
      </w:pPr>
      <w:r w:rsidRPr="00007A5A">
        <w:rPr>
          <w:rFonts w:ascii="Times New Roman" w:hAnsi="Times New Roman" w:cs="Times New Roman"/>
          <w:sz w:val="24"/>
          <w:szCs w:val="24"/>
        </w:rPr>
        <w:t>Pateicoties veselības reformas pasākumiem, lai uzlabotu HIV ambulatorai ārstēšanai nepieciešamo zāļu pieejamību, no 2018.gada 1.janvāra HIV ārstēšana tiek uzsākta agrāk (no 500 CD4 šūnām ml)</w:t>
      </w:r>
      <w:r>
        <w:rPr>
          <w:rFonts w:ascii="Times New Roman" w:hAnsi="Times New Roman" w:cs="Times New Roman"/>
          <w:sz w:val="24"/>
          <w:szCs w:val="24"/>
        </w:rPr>
        <w:t xml:space="preserve">, bet no 2018. gada 1.oktobra ārstēšanu saņem ikviens HIV inficētais bez ierobežojumiem. Tas nozīmē, ka ārstēšana tiem uzsākta tiklīdz infekcija ir atklāta. </w:t>
      </w:r>
      <w:r w:rsidR="006849C3">
        <w:rPr>
          <w:rFonts w:ascii="Times New Roman" w:hAnsi="Times New Roman" w:cs="Times New Roman"/>
          <w:sz w:val="24"/>
          <w:szCs w:val="24"/>
        </w:rPr>
        <w:t xml:space="preserve">Līdz ar to tiek panākts tas, ka pēc iespējas agrīnākā HIV infekcijas stadijā tiek novērsts infekcijas tālāk izplatīšanas risks. </w:t>
      </w:r>
      <w:r w:rsidRPr="00007A5A">
        <w:rPr>
          <w:rFonts w:ascii="Times New Roman" w:hAnsi="Times New Roman" w:cs="Times New Roman"/>
          <w:sz w:val="24"/>
          <w:szCs w:val="24"/>
        </w:rPr>
        <w:t xml:space="preserve">Tādējādi 2018.gada pirmajos </w:t>
      </w:r>
      <w:r>
        <w:rPr>
          <w:rFonts w:ascii="Times New Roman" w:hAnsi="Times New Roman" w:cs="Times New Roman"/>
          <w:sz w:val="24"/>
          <w:szCs w:val="24"/>
        </w:rPr>
        <w:t xml:space="preserve">10 </w:t>
      </w:r>
      <w:r w:rsidRPr="00007A5A">
        <w:rPr>
          <w:rFonts w:ascii="Times New Roman" w:hAnsi="Times New Roman" w:cs="Times New Roman"/>
          <w:sz w:val="24"/>
          <w:szCs w:val="24"/>
        </w:rPr>
        <w:t xml:space="preserve"> mēnešos </w:t>
      </w:r>
      <w:r>
        <w:rPr>
          <w:rFonts w:ascii="Times New Roman" w:hAnsi="Times New Roman" w:cs="Times New Roman"/>
          <w:sz w:val="24"/>
          <w:szCs w:val="24"/>
        </w:rPr>
        <w:t>antiretrovirālo</w:t>
      </w:r>
      <w:r w:rsidRPr="00007A5A">
        <w:rPr>
          <w:rFonts w:ascii="Times New Roman" w:hAnsi="Times New Roman" w:cs="Times New Roman"/>
          <w:sz w:val="24"/>
          <w:szCs w:val="24"/>
        </w:rPr>
        <w:t xml:space="preserve"> (ART) terapiju </w:t>
      </w:r>
      <w:r>
        <w:rPr>
          <w:rFonts w:ascii="Times New Roman" w:hAnsi="Times New Roman" w:cs="Times New Roman"/>
          <w:sz w:val="24"/>
          <w:szCs w:val="24"/>
        </w:rPr>
        <w:t>saņēma 2613</w:t>
      </w:r>
      <w:r w:rsidRPr="00007A5A">
        <w:rPr>
          <w:rFonts w:ascii="Times New Roman" w:hAnsi="Times New Roman" w:cs="Times New Roman"/>
          <w:sz w:val="24"/>
          <w:szCs w:val="24"/>
        </w:rPr>
        <w:t xml:space="preserve">  HIV inficētās personas</w:t>
      </w:r>
      <w:r>
        <w:rPr>
          <w:rFonts w:ascii="Times New Roman" w:hAnsi="Times New Roman" w:cs="Times New Roman"/>
          <w:sz w:val="24"/>
          <w:szCs w:val="24"/>
        </w:rPr>
        <w:t>, kas ir par 15% vairāk nekā 2017.gadā kopumā (2271 HIV inficētais).</w:t>
      </w:r>
      <w:r w:rsidRPr="00007A5A">
        <w:rPr>
          <w:rFonts w:ascii="Times New Roman" w:hAnsi="Times New Roman" w:cs="Times New Roman"/>
          <w:sz w:val="24"/>
          <w:szCs w:val="24"/>
        </w:rPr>
        <w:t xml:space="preserve"> </w:t>
      </w:r>
      <w:r w:rsidRPr="00E93259">
        <w:rPr>
          <w:rFonts w:ascii="Times New Roman" w:hAnsi="Times New Roman" w:cs="Times New Roman"/>
          <w:sz w:val="24"/>
          <w:szCs w:val="24"/>
        </w:rPr>
        <w:t>Atbilstoši i</w:t>
      </w:r>
      <w:r w:rsidRPr="00007A5A">
        <w:rPr>
          <w:rFonts w:ascii="Times New Roman" w:eastAsia="Calibri" w:hAnsi="Times New Roman" w:cs="Times New Roman"/>
          <w:sz w:val="24"/>
          <w:szCs w:val="24"/>
        </w:rPr>
        <w:t>lgtspējīgas attīstības mērķ</w:t>
      </w:r>
      <w:r>
        <w:rPr>
          <w:rFonts w:ascii="Times New Roman" w:eastAsia="Calibri" w:hAnsi="Times New Roman" w:cs="Times New Roman"/>
          <w:sz w:val="24"/>
          <w:szCs w:val="24"/>
        </w:rPr>
        <w:t>im,</w:t>
      </w:r>
      <w:r w:rsidRPr="00007A5A">
        <w:rPr>
          <w:rFonts w:ascii="Times New Roman" w:eastAsia="Calibri" w:hAnsi="Times New Roman" w:cs="Times New Roman"/>
          <w:sz w:val="24"/>
          <w:szCs w:val="24"/>
        </w:rPr>
        <w:t xml:space="preserve"> līdz 2030.gadam izskaust AIDS, PVO</w:t>
      </w:r>
      <w:r>
        <w:rPr>
          <w:rFonts w:ascii="Times New Roman" w:eastAsia="Calibri" w:hAnsi="Times New Roman" w:cs="Times New Roman"/>
          <w:sz w:val="24"/>
          <w:szCs w:val="24"/>
        </w:rPr>
        <w:t xml:space="preserve"> nosaka</w:t>
      </w:r>
      <w:r w:rsidRPr="00007A5A">
        <w:rPr>
          <w:rFonts w:ascii="Times New Roman" w:eastAsia="Calibri" w:hAnsi="Times New Roman" w:cs="Times New Roman"/>
          <w:sz w:val="24"/>
          <w:szCs w:val="24"/>
        </w:rPr>
        <w:t xml:space="preserve"> mērķi HIV </w:t>
      </w:r>
      <w:r w:rsidRPr="00E47F19">
        <w:rPr>
          <w:rFonts w:ascii="Times New Roman" w:eastAsia="Calibri" w:hAnsi="Times New Roman" w:cs="Times New Roman"/>
          <w:sz w:val="24"/>
          <w:szCs w:val="24"/>
        </w:rPr>
        <w:t>inficēto personu veselības aprūpes nodrošināšanai</w:t>
      </w:r>
      <w:r>
        <w:rPr>
          <w:rFonts w:ascii="Times New Roman" w:eastAsia="Calibri" w:hAnsi="Times New Roman" w:cs="Times New Roman"/>
          <w:sz w:val="24"/>
          <w:szCs w:val="24"/>
        </w:rPr>
        <w:t xml:space="preserve"> (panākt, ka 90% HIV inficēto zina savu statusu, 90% no viņiem tiek ārstēti un 90% no ārstētajiem tiek sasniegta nenosakāma vīrusu </w:t>
      </w:r>
      <w:r w:rsidRPr="00E47F19">
        <w:rPr>
          <w:rFonts w:ascii="Times New Roman" w:eastAsia="Calibri" w:hAnsi="Times New Roman" w:cs="Times New Roman"/>
          <w:sz w:val="24"/>
          <w:szCs w:val="24"/>
        </w:rPr>
        <w:t>slodze</w:t>
      </w:r>
      <w:r w:rsidRPr="00E93259">
        <w:rPr>
          <w:rFonts w:ascii="Times New Roman" w:eastAsia="Calibri" w:hAnsi="Times New Roman" w:cs="Times New Roman"/>
          <w:sz w:val="24"/>
          <w:szCs w:val="24"/>
        </w:rPr>
        <w:t xml:space="preserve">). </w:t>
      </w:r>
      <w:r w:rsidRPr="00E93259">
        <w:rPr>
          <w:rFonts w:ascii="Times New Roman" w:hAnsi="Times New Roman" w:cs="Times New Roman"/>
          <w:color w:val="000000" w:themeColor="text1"/>
          <w:sz w:val="24"/>
          <w:szCs w:val="24"/>
        </w:rPr>
        <w:t xml:space="preserve"> </w:t>
      </w:r>
      <w:r w:rsidRPr="00007A5A">
        <w:rPr>
          <w:rFonts w:ascii="Times New Roman" w:hAnsi="Times New Roman" w:cs="Times New Roman"/>
          <w:sz w:val="24"/>
          <w:szCs w:val="24"/>
        </w:rPr>
        <w:t xml:space="preserve">2017.gadā apmēram 38% Latvijā reģistrēto HIV inficēto personu saņēma ART terapiju, </w:t>
      </w:r>
      <w:r>
        <w:rPr>
          <w:rFonts w:ascii="Times New Roman" w:hAnsi="Times New Roman" w:cs="Times New Roman"/>
          <w:sz w:val="24"/>
          <w:szCs w:val="24"/>
        </w:rPr>
        <w:t xml:space="preserve">savukārt šobrīd </w:t>
      </w:r>
      <w:r w:rsidR="00F4661D">
        <w:rPr>
          <w:rFonts w:ascii="Times New Roman" w:hAnsi="Times New Roman" w:cs="Times New Roman"/>
          <w:sz w:val="24"/>
          <w:szCs w:val="24"/>
        </w:rPr>
        <w:t xml:space="preserve">apmēram </w:t>
      </w:r>
      <w:r w:rsidRPr="00007A5A">
        <w:rPr>
          <w:rFonts w:ascii="Times New Roman" w:hAnsi="Times New Roman" w:cs="Times New Roman"/>
          <w:sz w:val="24"/>
          <w:szCs w:val="24"/>
        </w:rPr>
        <w:t>4</w:t>
      </w:r>
      <w:r>
        <w:rPr>
          <w:rFonts w:ascii="Times New Roman" w:hAnsi="Times New Roman" w:cs="Times New Roman"/>
          <w:sz w:val="24"/>
          <w:szCs w:val="24"/>
        </w:rPr>
        <w:t>0</w:t>
      </w:r>
      <w:r w:rsidR="00F4661D">
        <w:rPr>
          <w:rFonts w:ascii="Times New Roman" w:hAnsi="Times New Roman" w:cs="Times New Roman"/>
          <w:sz w:val="24"/>
          <w:szCs w:val="24"/>
        </w:rPr>
        <w:t xml:space="preserve">% HIV inficēto personu </w:t>
      </w:r>
      <w:r>
        <w:rPr>
          <w:rFonts w:ascii="Times New Roman" w:hAnsi="Times New Roman" w:cs="Times New Roman"/>
          <w:sz w:val="24"/>
          <w:szCs w:val="24"/>
        </w:rPr>
        <w:t xml:space="preserve">saņem ārstēšanu. </w:t>
      </w:r>
    </w:p>
    <w:p w14:paraId="6D073DBA" w14:textId="77777777" w:rsidR="00DE6B9A" w:rsidRDefault="00DE6B9A" w:rsidP="64AB90BD">
      <w:pPr>
        <w:shd w:val="clear" w:color="auto" w:fill="FFFFFF" w:themeFill="background1"/>
        <w:spacing w:after="0" w:line="240" w:lineRule="auto"/>
        <w:ind w:firstLine="720"/>
        <w:jc w:val="right"/>
        <w:rPr>
          <w:rFonts w:ascii="Times New Roman" w:hAnsi="Times New Roman" w:cs="Times New Roman"/>
          <w:i/>
          <w:iCs/>
          <w:color w:val="000000" w:themeColor="text1"/>
          <w:sz w:val="24"/>
          <w:szCs w:val="24"/>
        </w:rPr>
        <w:sectPr w:rsidR="00DE6B9A" w:rsidSect="00E11AFF">
          <w:pgSz w:w="12240" w:h="15840"/>
          <w:pgMar w:top="1440" w:right="1440" w:bottom="1440" w:left="1701" w:header="708" w:footer="708" w:gutter="0"/>
          <w:cols w:space="708"/>
          <w:docGrid w:linePitch="360"/>
        </w:sectPr>
      </w:pPr>
    </w:p>
    <w:p w14:paraId="20AEF78F" w14:textId="4201A2F1" w:rsidR="003F38E1" w:rsidRDefault="003F38E1" w:rsidP="0076593A">
      <w:pPr>
        <w:shd w:val="clear" w:color="auto" w:fill="FFFFFF" w:themeFill="background1"/>
        <w:spacing w:after="120"/>
        <w:ind w:firstLine="720"/>
        <w:jc w:val="both"/>
        <w:rPr>
          <w:rFonts w:ascii="Times New Roman" w:hAnsi="Times New Roman" w:cs="Times New Roman"/>
          <w:i/>
          <w:iCs/>
          <w:color w:val="000000" w:themeColor="text1"/>
          <w:sz w:val="24"/>
          <w:szCs w:val="24"/>
        </w:rPr>
      </w:pPr>
      <w:r w:rsidRPr="00E93259">
        <w:rPr>
          <w:rFonts w:ascii="Times New Roman" w:hAnsi="Times New Roman" w:cs="Times New Roman"/>
          <w:sz w:val="24"/>
          <w:szCs w:val="24"/>
        </w:rPr>
        <w:lastRenderedPageBreak/>
        <w:t xml:space="preserve">Pateicoties HIV inficēto personu veselības aprūpes reformai, 2018.gada pirmajos 10 mēnešos ārstēšanu uzsācis 589 jauns pacients. </w:t>
      </w:r>
      <w:r>
        <w:rPr>
          <w:rFonts w:ascii="Times New Roman" w:hAnsi="Times New Roman" w:cs="Times New Roman"/>
          <w:color w:val="000000" w:themeColor="text1"/>
          <w:sz w:val="24"/>
          <w:szCs w:val="24"/>
        </w:rPr>
        <w:t>2019.gadā, lai nodrošināt HIV terapijas turpināšanu</w:t>
      </w:r>
      <w:r w:rsidRPr="00E47F19">
        <w:rPr>
          <w:rFonts w:ascii="Times New Roman" w:hAnsi="Times New Roman" w:cs="Times New Roman"/>
          <w:color w:val="000000" w:themeColor="text1"/>
          <w:sz w:val="24"/>
          <w:szCs w:val="24"/>
        </w:rPr>
        <w:t xml:space="preserve"> 2018.gadā uzsākušajiem un jaunajiem HIV pacientiem, kas ārstēšanu uzsāks 2019.gadā tiek plānots, ka pacientu skaita pieaugums, kam jānodrošina nepieciešamais finansējums ārstēšanai būs 1</w:t>
      </w:r>
      <w:r>
        <w:rPr>
          <w:rFonts w:ascii="Times New Roman" w:hAnsi="Times New Roman" w:cs="Times New Roman"/>
          <w:color w:val="000000" w:themeColor="text1"/>
          <w:sz w:val="24"/>
          <w:szCs w:val="24"/>
        </w:rPr>
        <w:t>5</w:t>
      </w:r>
      <w:r w:rsidRPr="00E47F19">
        <w:rPr>
          <w:rFonts w:ascii="Times New Roman" w:hAnsi="Times New Roman" w:cs="Times New Roman"/>
          <w:color w:val="000000" w:themeColor="text1"/>
          <w:sz w:val="24"/>
          <w:szCs w:val="24"/>
        </w:rPr>
        <w:t>00 personas, tai skaitā nodrošinot</w:t>
      </w:r>
      <w:r w:rsidRPr="00847710">
        <w:rPr>
          <w:rFonts w:ascii="Times New Roman" w:hAnsi="Times New Roman" w:cs="Times New Roman"/>
          <w:color w:val="000000" w:themeColor="text1"/>
          <w:sz w:val="24"/>
          <w:szCs w:val="24"/>
        </w:rPr>
        <w:t xml:space="preserve"> ārstēšanu </w:t>
      </w:r>
      <w:r w:rsidRPr="00E93259">
        <w:rPr>
          <w:rFonts w:ascii="Times New Roman" w:hAnsi="Times New Roman" w:cs="Times New Roman"/>
          <w:color w:val="000000" w:themeColor="text1"/>
          <w:sz w:val="24"/>
          <w:szCs w:val="24"/>
        </w:rPr>
        <w:t xml:space="preserve">500 HIV/AIDS pacientiem ar pavadošajām saslimšanām. 2019.gadā HIV/AIDS terapijas nodrošināšanai nepieciešami </w:t>
      </w:r>
      <w:r w:rsidRPr="00E93259">
        <w:rPr>
          <w:rFonts w:ascii="Times New Roman" w:hAnsi="Times New Roman" w:cs="Times New Roman"/>
          <w:b/>
          <w:bCs/>
          <w:color w:val="000000" w:themeColor="text1"/>
          <w:sz w:val="24"/>
          <w:szCs w:val="24"/>
        </w:rPr>
        <w:t xml:space="preserve">4 203 000 </w:t>
      </w:r>
      <w:r w:rsidRPr="00E93259">
        <w:rPr>
          <w:rFonts w:ascii="Times New Roman" w:hAnsi="Times New Roman" w:cs="Times New Roman"/>
          <w:b/>
          <w:bCs/>
          <w:i/>
          <w:iCs/>
          <w:color w:val="000000" w:themeColor="text1"/>
          <w:sz w:val="24"/>
          <w:szCs w:val="24"/>
        </w:rPr>
        <w:t>euro</w:t>
      </w:r>
      <w:r w:rsidRPr="00E93259">
        <w:rPr>
          <w:rFonts w:ascii="Times New Roman" w:hAnsi="Times New Roman" w:cs="Times New Roman"/>
          <w:i/>
          <w:iCs/>
          <w:color w:val="000000" w:themeColor="text1"/>
          <w:sz w:val="24"/>
          <w:szCs w:val="24"/>
        </w:rPr>
        <w:t xml:space="preserve"> </w:t>
      </w:r>
      <w:r w:rsidRPr="00FA57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56</w:t>
      </w:r>
      <w:r w:rsidRPr="00847710">
        <w:rPr>
          <w:rFonts w:ascii="Times New Roman" w:hAnsi="Times New Roman" w:cs="Times New Roman"/>
          <w:color w:val="000000" w:themeColor="text1"/>
          <w:sz w:val="24"/>
          <w:szCs w:val="24"/>
        </w:rPr>
        <w:t>.tabula)</w:t>
      </w:r>
      <w:r>
        <w:rPr>
          <w:rFonts w:ascii="Times New Roman" w:hAnsi="Times New Roman" w:cs="Times New Roman"/>
          <w:color w:val="000000" w:themeColor="text1"/>
          <w:sz w:val="24"/>
          <w:szCs w:val="24"/>
        </w:rPr>
        <w:t xml:space="preserve">, paredzot vienam HIV pacientam ārstēšanas izmaksas 4 100 </w:t>
      </w:r>
      <w:r w:rsidRPr="00E93259">
        <w:rPr>
          <w:rFonts w:ascii="Times New Roman" w:hAnsi="Times New Roman" w:cs="Times New Roman"/>
          <w:i/>
          <w:iCs/>
          <w:color w:val="000000" w:themeColor="text1"/>
          <w:sz w:val="24"/>
          <w:szCs w:val="24"/>
        </w:rPr>
        <w:t>euro</w:t>
      </w:r>
      <w:r w:rsidRPr="00B229F5">
        <w:rPr>
          <w:rFonts w:ascii="Times New Roman" w:hAnsi="Times New Roman" w:cs="Times New Roman"/>
          <w:color w:val="000000" w:themeColor="text1"/>
          <w:sz w:val="24"/>
          <w:szCs w:val="24"/>
        </w:rPr>
        <w:t xml:space="preserve"> gadā</w:t>
      </w:r>
      <w:r w:rsidRPr="00E93259">
        <w:rPr>
          <w:rFonts w:ascii="Times New Roman" w:hAnsi="Times New Roman" w:cs="Times New Roman"/>
          <w:color w:val="000000" w:themeColor="text1"/>
          <w:sz w:val="24"/>
          <w:szCs w:val="24"/>
        </w:rPr>
        <w:t xml:space="preserve">, lai </w:t>
      </w:r>
      <w:r w:rsidRPr="00E93259">
        <w:rPr>
          <w:rFonts w:ascii="Times New Roman" w:hAnsi="Times New Roman"/>
          <w:color w:val="000000" w:themeColor="text1"/>
          <w:sz w:val="24"/>
          <w:szCs w:val="24"/>
        </w:rPr>
        <w:t>nodrošinātu agrīnāku HIV inficēto personu ārstēšanu</w:t>
      </w:r>
      <w:r>
        <w:rPr>
          <w:rFonts w:ascii="Times New Roman" w:hAnsi="Times New Roman"/>
          <w:color w:val="000000" w:themeColor="text1"/>
          <w:sz w:val="24"/>
          <w:szCs w:val="24"/>
        </w:rPr>
        <w:t>.</w:t>
      </w:r>
    </w:p>
    <w:p w14:paraId="27F89E31" w14:textId="77777777" w:rsidR="003F38E1" w:rsidRDefault="003F38E1" w:rsidP="64AB90BD">
      <w:pPr>
        <w:shd w:val="clear" w:color="auto" w:fill="FFFFFF" w:themeFill="background1"/>
        <w:spacing w:after="0" w:line="240" w:lineRule="auto"/>
        <w:ind w:firstLine="720"/>
        <w:jc w:val="right"/>
        <w:rPr>
          <w:rFonts w:ascii="Times New Roman" w:hAnsi="Times New Roman" w:cs="Times New Roman"/>
          <w:i/>
          <w:iCs/>
          <w:color w:val="000000" w:themeColor="text1"/>
          <w:sz w:val="24"/>
          <w:szCs w:val="24"/>
        </w:rPr>
      </w:pPr>
    </w:p>
    <w:p w14:paraId="6B681424" w14:textId="735BE8A3" w:rsidR="00585C92" w:rsidRPr="00847710" w:rsidRDefault="00FB0D8A" w:rsidP="64AB90BD">
      <w:pPr>
        <w:shd w:val="clear" w:color="auto" w:fill="FFFFFF" w:themeFill="background1"/>
        <w:spacing w:after="0" w:line="240" w:lineRule="auto"/>
        <w:ind w:firstLine="720"/>
        <w:jc w:val="right"/>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5</w:t>
      </w:r>
      <w:r w:rsidR="000678A1">
        <w:rPr>
          <w:rFonts w:ascii="Times New Roman" w:hAnsi="Times New Roman" w:cs="Times New Roman"/>
          <w:i/>
          <w:iCs/>
          <w:color w:val="000000" w:themeColor="text1"/>
          <w:sz w:val="24"/>
          <w:szCs w:val="24"/>
        </w:rPr>
        <w:t>6</w:t>
      </w:r>
      <w:r w:rsidR="64AB90BD" w:rsidRPr="704995BB">
        <w:rPr>
          <w:rFonts w:ascii="Times New Roman" w:hAnsi="Times New Roman" w:cs="Times New Roman"/>
          <w:i/>
          <w:iCs/>
          <w:color w:val="000000" w:themeColor="text1"/>
          <w:sz w:val="24"/>
          <w:szCs w:val="24"/>
        </w:rPr>
        <w:t>.tabula</w:t>
      </w:r>
    </w:p>
    <w:p w14:paraId="12D99654" w14:textId="77777777" w:rsidR="00016DF0" w:rsidRPr="00C86312" w:rsidRDefault="64AB90BD" w:rsidP="64AB90BD">
      <w:pPr>
        <w:shd w:val="clear" w:color="auto" w:fill="FFFFFF" w:themeFill="background1"/>
        <w:spacing w:after="0"/>
        <w:jc w:val="center"/>
        <w:rPr>
          <w:rFonts w:ascii="Times New Roman" w:hAnsi="Times New Roman" w:cs="Times New Roman"/>
          <w:b/>
          <w:bCs/>
          <w:color w:val="000000" w:themeColor="text1"/>
          <w:sz w:val="24"/>
          <w:szCs w:val="24"/>
        </w:rPr>
      </w:pPr>
      <w:r w:rsidRPr="64AB90BD">
        <w:rPr>
          <w:rFonts w:ascii="Times New Roman" w:hAnsi="Times New Roman" w:cs="Times New Roman"/>
          <w:b/>
          <w:bCs/>
          <w:color w:val="000000" w:themeColor="text1"/>
          <w:sz w:val="24"/>
          <w:szCs w:val="24"/>
        </w:rPr>
        <w:t xml:space="preserve">Plānotais ārstēto HIV/AIDS pacientu skaits un to ārstēšanas izmaksas </w:t>
      </w:r>
    </w:p>
    <w:p w14:paraId="33B7E0B0" w14:textId="10A4148A" w:rsidR="00436949" w:rsidRPr="00C86312" w:rsidRDefault="64AB90BD" w:rsidP="64AB90BD">
      <w:pPr>
        <w:shd w:val="clear" w:color="auto" w:fill="FFFFFF" w:themeFill="background1"/>
        <w:spacing w:after="0"/>
        <w:jc w:val="center"/>
        <w:rPr>
          <w:rFonts w:ascii="Times New Roman" w:hAnsi="Times New Roman" w:cs="Times New Roman"/>
          <w:b/>
          <w:bCs/>
          <w:color w:val="000000" w:themeColor="text1"/>
          <w:sz w:val="24"/>
          <w:szCs w:val="24"/>
        </w:rPr>
      </w:pPr>
      <w:r w:rsidRPr="64AB90BD">
        <w:rPr>
          <w:rFonts w:ascii="Times New Roman" w:hAnsi="Times New Roman" w:cs="Times New Roman"/>
          <w:b/>
          <w:bCs/>
          <w:color w:val="000000" w:themeColor="text1"/>
          <w:sz w:val="24"/>
          <w:szCs w:val="24"/>
        </w:rPr>
        <w:t>2019.gadam</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530"/>
        <w:gridCol w:w="1136"/>
        <w:gridCol w:w="1134"/>
        <w:gridCol w:w="1134"/>
        <w:gridCol w:w="1134"/>
        <w:gridCol w:w="849"/>
        <w:gridCol w:w="1135"/>
        <w:gridCol w:w="1134"/>
        <w:gridCol w:w="993"/>
        <w:gridCol w:w="992"/>
        <w:gridCol w:w="992"/>
        <w:gridCol w:w="992"/>
        <w:gridCol w:w="993"/>
        <w:gridCol w:w="992"/>
      </w:tblGrid>
      <w:tr w:rsidR="00E11AFF" w14:paraId="25A95B52" w14:textId="77777777" w:rsidTr="004A6B7D">
        <w:trPr>
          <w:cantSplit/>
          <w:trHeight w:val="1505"/>
          <w:jc w:val="center"/>
        </w:trPr>
        <w:tc>
          <w:tcPr>
            <w:tcW w:w="448" w:type="dxa"/>
            <w:shd w:val="clear" w:color="auto" w:fill="E36C0A" w:themeFill="accent6" w:themeFillShade="BF"/>
          </w:tcPr>
          <w:p w14:paraId="0DDBB7D0" w14:textId="77777777" w:rsidR="00DE6B9A" w:rsidRPr="00847710" w:rsidRDefault="00DE6B9A" w:rsidP="00DD0254">
            <w:pPr>
              <w:spacing w:after="0" w:line="240" w:lineRule="auto"/>
              <w:rPr>
                <w:rFonts w:ascii="Times New Roman" w:eastAsia="Times New Roman" w:hAnsi="Times New Roman" w:cs="Times New Roman"/>
                <w:b/>
                <w:bCs/>
                <w:sz w:val="20"/>
                <w:szCs w:val="20"/>
                <w:lang w:eastAsia="lv-LV"/>
              </w:rPr>
            </w:pPr>
          </w:p>
        </w:tc>
        <w:tc>
          <w:tcPr>
            <w:tcW w:w="1530" w:type="dxa"/>
            <w:shd w:val="clear" w:color="auto" w:fill="E36C0A" w:themeFill="accent6" w:themeFillShade="BF"/>
            <w:vAlign w:val="center"/>
            <w:hideMark/>
          </w:tcPr>
          <w:p w14:paraId="41275A7D" w14:textId="77777777" w:rsidR="00DE6B9A" w:rsidRPr="00847710" w:rsidRDefault="00DE6B9A" w:rsidP="00DD0254">
            <w:pPr>
              <w:spacing w:after="0" w:line="240" w:lineRule="auto"/>
              <w:rPr>
                <w:rFonts w:ascii="Times New Roman" w:eastAsia="Times New Roman" w:hAnsi="Times New Roman" w:cs="Times New Roman"/>
                <w:b/>
                <w:bCs/>
                <w:sz w:val="20"/>
                <w:szCs w:val="20"/>
                <w:lang w:eastAsia="lv-LV"/>
              </w:rPr>
            </w:pPr>
          </w:p>
        </w:tc>
        <w:tc>
          <w:tcPr>
            <w:tcW w:w="1136" w:type="dxa"/>
            <w:shd w:val="clear" w:color="auto" w:fill="E36C0A" w:themeFill="accent6" w:themeFillShade="BF"/>
            <w:textDirection w:val="btLr"/>
            <w:vAlign w:val="center"/>
            <w:hideMark/>
          </w:tcPr>
          <w:p w14:paraId="1DC74288" w14:textId="77777777" w:rsidR="00DE6B9A" w:rsidRPr="00847710" w:rsidRDefault="00DE6B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00501C13" w14:textId="77777777" w:rsidR="00DE6B9A" w:rsidRPr="00847710" w:rsidRDefault="00DE6B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1C51AF04" w14:textId="77777777" w:rsidR="00DE6B9A" w:rsidRPr="00847710" w:rsidRDefault="00DE6B9A" w:rsidP="00DD0254">
            <w:pPr>
              <w:spacing w:after="0" w:line="240" w:lineRule="auto"/>
              <w:ind w:left="113" w:right="113"/>
              <w:jc w:val="center"/>
              <w:rPr>
                <w:rFonts w:ascii="Times New Roman" w:eastAsia="Times New Roman" w:hAnsi="Times New Roman" w:cs="Times New Roman"/>
                <w:b/>
                <w:bCs/>
                <w:sz w:val="20"/>
                <w:szCs w:val="20"/>
                <w:lang w:eastAsia="lv-LV"/>
              </w:rPr>
            </w:pPr>
          </w:p>
        </w:tc>
        <w:tc>
          <w:tcPr>
            <w:tcW w:w="3402" w:type="dxa"/>
            <w:gridSpan w:val="3"/>
            <w:shd w:val="clear" w:color="auto" w:fill="E36C0A" w:themeFill="accent6" w:themeFillShade="BF"/>
            <w:textDirection w:val="btLr"/>
            <w:vAlign w:val="center"/>
          </w:tcPr>
          <w:p w14:paraId="489377A4" w14:textId="67727147" w:rsidR="00DE6B9A" w:rsidRPr="00847710" w:rsidRDefault="00DE6B9A" w:rsidP="00DD0254">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3118" w:type="dxa"/>
            <w:gridSpan w:val="3"/>
            <w:shd w:val="clear" w:color="auto" w:fill="E36C0A" w:themeFill="accent6" w:themeFillShade="BF"/>
            <w:textDirection w:val="btLr"/>
            <w:vAlign w:val="center"/>
          </w:tcPr>
          <w:p w14:paraId="04B3E315" w14:textId="15F7F7AE" w:rsidR="00DE6B9A" w:rsidRPr="00847710" w:rsidRDefault="00DE6B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977" w:type="dxa"/>
            <w:gridSpan w:val="3"/>
            <w:shd w:val="clear" w:color="auto" w:fill="E36C0A" w:themeFill="accent6" w:themeFillShade="BF"/>
            <w:textDirection w:val="btLr"/>
            <w:vAlign w:val="center"/>
          </w:tcPr>
          <w:p w14:paraId="04FBA155" w14:textId="077383D7" w:rsidR="00DE6B9A" w:rsidRPr="00847710" w:rsidRDefault="00DE6B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977" w:type="dxa"/>
            <w:gridSpan w:val="3"/>
            <w:shd w:val="clear" w:color="auto" w:fill="E36C0A" w:themeFill="accent6" w:themeFillShade="BF"/>
            <w:textDirection w:val="btLr"/>
            <w:vAlign w:val="center"/>
          </w:tcPr>
          <w:p w14:paraId="041B4817" w14:textId="0ED8AEC6" w:rsidR="00DE6B9A" w:rsidRPr="00847710" w:rsidRDefault="00DE6B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DE6B9A" w14:paraId="3AF545E6" w14:textId="77777777" w:rsidTr="004A6B7D">
        <w:trPr>
          <w:trHeight w:val="640"/>
          <w:jc w:val="center"/>
        </w:trPr>
        <w:tc>
          <w:tcPr>
            <w:tcW w:w="448" w:type="dxa"/>
            <w:shd w:val="clear" w:color="auto" w:fill="FABF8F" w:themeFill="accent6" w:themeFillTint="99"/>
          </w:tcPr>
          <w:p w14:paraId="6D211EC5" w14:textId="77777777"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p>
        </w:tc>
        <w:tc>
          <w:tcPr>
            <w:tcW w:w="1530" w:type="dxa"/>
            <w:shd w:val="clear" w:color="auto" w:fill="FABF8F" w:themeFill="accent6" w:themeFillTint="99"/>
            <w:vAlign w:val="center"/>
          </w:tcPr>
          <w:p w14:paraId="2AA65E6F" w14:textId="77777777"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p>
        </w:tc>
        <w:tc>
          <w:tcPr>
            <w:tcW w:w="1136" w:type="dxa"/>
            <w:shd w:val="clear" w:color="auto" w:fill="FABF8F" w:themeFill="accent6" w:themeFillTint="99"/>
            <w:vAlign w:val="center"/>
          </w:tcPr>
          <w:p w14:paraId="4B818D55" w14:textId="0CCCED6F" w:rsidR="00DE6B9A" w:rsidRPr="00847710" w:rsidRDefault="00DE6B9A" w:rsidP="00DE6B9A">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4417DAE2" w14:textId="77777777"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BF8F" w:themeFill="accent6" w:themeFillTint="99"/>
            <w:vAlign w:val="center"/>
          </w:tcPr>
          <w:p w14:paraId="344B4E6D" w14:textId="77777777"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B151497" w14:textId="77EC0366" w:rsidR="00DE6B9A" w:rsidRPr="0012317D" w:rsidRDefault="00DE6B9A" w:rsidP="00DE6B9A">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589C88F6" w14:textId="4071316C"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ABA1829" w14:textId="083F2DBF" w:rsidR="00DE6B9A" w:rsidRPr="0012317D" w:rsidRDefault="00DE6B9A" w:rsidP="00DE6B9A">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7ACAACD5" w14:textId="7EE71296"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2775FA57" w14:textId="4C556D46" w:rsidR="00DE6B9A" w:rsidRPr="0012317D" w:rsidRDefault="00DE6B9A" w:rsidP="00DE6B9A">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49" w:type="dxa"/>
            <w:shd w:val="clear" w:color="auto" w:fill="FABF8F" w:themeFill="accent6" w:themeFillTint="99"/>
            <w:vAlign w:val="center"/>
          </w:tcPr>
          <w:p w14:paraId="675E7B11" w14:textId="77777777"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1AD92452" w14:textId="2EA42C8B" w:rsidR="00DE6B9A" w:rsidRPr="0012317D" w:rsidRDefault="00DE6B9A" w:rsidP="00DE6B9A">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5" w:type="dxa"/>
            <w:shd w:val="clear" w:color="auto" w:fill="FABF8F" w:themeFill="accent6" w:themeFillTint="99"/>
            <w:vAlign w:val="center"/>
          </w:tcPr>
          <w:p w14:paraId="6B4DA384" w14:textId="77777777" w:rsidR="00DE6B9A"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30F732F5" w14:textId="1C86E2AF" w:rsidR="00DE6B9A" w:rsidRPr="0012317D" w:rsidRDefault="00DE6B9A" w:rsidP="00DE6B9A">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6234E43F" w14:textId="5467E634" w:rsidR="00DE6B9A" w:rsidRPr="00C86312" w:rsidRDefault="00DE6B9A" w:rsidP="00DE6B9A">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22251E0E" w14:textId="77777777" w:rsidR="00DE6B9A" w:rsidRPr="00C86312" w:rsidRDefault="00DE6B9A" w:rsidP="00DE6B9A">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993" w:type="dxa"/>
            <w:shd w:val="clear" w:color="auto" w:fill="FABF8F" w:themeFill="accent6" w:themeFillTint="99"/>
            <w:vAlign w:val="center"/>
          </w:tcPr>
          <w:p w14:paraId="57183227" w14:textId="01DE0796"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992" w:type="dxa"/>
            <w:shd w:val="clear" w:color="auto" w:fill="FABF8F" w:themeFill="accent6" w:themeFillTint="99"/>
            <w:vAlign w:val="center"/>
          </w:tcPr>
          <w:p w14:paraId="1670B5BB" w14:textId="4F0F6B81"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992" w:type="dxa"/>
            <w:shd w:val="clear" w:color="auto" w:fill="FABF8F" w:themeFill="accent6" w:themeFillTint="99"/>
            <w:vAlign w:val="center"/>
          </w:tcPr>
          <w:p w14:paraId="090D463C" w14:textId="1B4447E1"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992" w:type="dxa"/>
            <w:shd w:val="clear" w:color="auto" w:fill="FABF8F" w:themeFill="accent6" w:themeFillTint="99"/>
            <w:vAlign w:val="center"/>
          </w:tcPr>
          <w:p w14:paraId="2DCC92A0" w14:textId="54838CCF"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993" w:type="dxa"/>
            <w:shd w:val="clear" w:color="auto" w:fill="FABF8F" w:themeFill="accent6" w:themeFillTint="99"/>
            <w:vAlign w:val="center"/>
          </w:tcPr>
          <w:p w14:paraId="3A95C78E" w14:textId="55BDB1F9"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992" w:type="dxa"/>
            <w:shd w:val="clear" w:color="auto" w:fill="FABF8F" w:themeFill="accent6" w:themeFillTint="99"/>
            <w:vAlign w:val="center"/>
          </w:tcPr>
          <w:p w14:paraId="04FEB869" w14:textId="38734E76" w:rsidR="00DE6B9A" w:rsidRPr="00847710" w:rsidRDefault="00DE6B9A" w:rsidP="00DE6B9A">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DE6B9A" w14:paraId="775B1720" w14:textId="77777777" w:rsidTr="004A6B7D">
        <w:trPr>
          <w:trHeight w:val="598"/>
          <w:jc w:val="center"/>
        </w:trPr>
        <w:tc>
          <w:tcPr>
            <w:tcW w:w="448" w:type="dxa"/>
            <w:shd w:val="clear" w:color="auto" w:fill="FFFFFF" w:themeFill="background1"/>
          </w:tcPr>
          <w:p w14:paraId="5D51D60D" w14:textId="1EB3D4C6" w:rsidR="00DE6B9A" w:rsidRPr="00E1067B" w:rsidRDefault="006C3A12" w:rsidP="00DD0254">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r w:rsidR="00DE6B9A" w:rsidRPr="00E1067B">
              <w:rPr>
                <w:rFonts w:ascii="Times New Roman" w:eastAsia="Times New Roman" w:hAnsi="Times New Roman" w:cs="Times New Roman"/>
                <w:bCs/>
                <w:sz w:val="20"/>
                <w:szCs w:val="20"/>
                <w:lang w:eastAsia="lv-LV"/>
              </w:rPr>
              <w:t>.</w:t>
            </w:r>
          </w:p>
        </w:tc>
        <w:tc>
          <w:tcPr>
            <w:tcW w:w="1530" w:type="dxa"/>
            <w:shd w:val="clear" w:color="auto" w:fill="FFFFFF" w:themeFill="background1"/>
            <w:vAlign w:val="center"/>
          </w:tcPr>
          <w:p w14:paraId="278D8C24" w14:textId="566906DB" w:rsidR="00DE6B9A" w:rsidRPr="00E1067B" w:rsidRDefault="00DE6B9A" w:rsidP="000C29E1">
            <w:pPr>
              <w:spacing w:after="0" w:line="240" w:lineRule="auto"/>
              <w:rPr>
                <w:rFonts w:ascii="Times New Roman" w:eastAsia="Times New Roman" w:hAnsi="Times New Roman" w:cs="Times New Roman"/>
                <w:bCs/>
                <w:sz w:val="20"/>
                <w:szCs w:val="20"/>
                <w:lang w:eastAsia="lv-LV"/>
              </w:rPr>
            </w:pPr>
            <w:r w:rsidRPr="00E1067B">
              <w:rPr>
                <w:rFonts w:ascii="Times New Roman" w:eastAsia="Times New Roman" w:hAnsi="Times New Roman" w:cs="Times New Roman"/>
                <w:bCs/>
                <w:sz w:val="20"/>
                <w:szCs w:val="20"/>
                <w:lang w:eastAsia="lv-LV"/>
              </w:rPr>
              <w:t>HIV terapija (terapijas turpināšana)</w:t>
            </w:r>
          </w:p>
        </w:tc>
        <w:tc>
          <w:tcPr>
            <w:tcW w:w="1136" w:type="dxa"/>
            <w:shd w:val="clear" w:color="auto" w:fill="FFFFFF" w:themeFill="background1"/>
            <w:vAlign w:val="center"/>
          </w:tcPr>
          <w:p w14:paraId="7C45FC45" w14:textId="46841915" w:rsidR="00DE6B9A" w:rsidRPr="00E1067B" w:rsidRDefault="00DE6B9A" w:rsidP="00DD0254">
            <w:pPr>
              <w:spacing w:after="0" w:line="240" w:lineRule="auto"/>
              <w:jc w:val="center"/>
              <w:rPr>
                <w:rFonts w:ascii="Times New Roman" w:eastAsia="Times New Roman" w:hAnsi="Times New Roman" w:cs="Times New Roman"/>
                <w:iCs/>
                <w:sz w:val="20"/>
                <w:szCs w:val="20"/>
                <w:lang w:eastAsia="lv-LV"/>
              </w:rPr>
            </w:pPr>
            <w:r w:rsidRPr="00E1067B">
              <w:rPr>
                <w:rFonts w:ascii="Times New Roman" w:eastAsia="Times New Roman" w:hAnsi="Times New Roman" w:cs="Times New Roman"/>
                <w:iCs/>
                <w:sz w:val="20"/>
                <w:szCs w:val="20"/>
                <w:lang w:eastAsia="lv-LV"/>
              </w:rPr>
              <w:t>4 100</w:t>
            </w:r>
          </w:p>
        </w:tc>
        <w:tc>
          <w:tcPr>
            <w:tcW w:w="1134" w:type="dxa"/>
            <w:shd w:val="clear" w:color="auto" w:fill="FFFFFF" w:themeFill="background1"/>
            <w:vAlign w:val="center"/>
          </w:tcPr>
          <w:p w14:paraId="668F3157" w14:textId="04B4AADB" w:rsidR="00DE6B9A" w:rsidRPr="00E1067B" w:rsidRDefault="00DE6B9A" w:rsidP="00C8631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5B2D953E" w14:textId="73F67755" w:rsidR="00DE6B9A" w:rsidRPr="00E1067B" w:rsidRDefault="003F38E1" w:rsidP="00C8631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65007861" w14:textId="7910156E" w:rsidR="00DE6B9A" w:rsidRPr="00E1067B" w:rsidRDefault="006C3A12" w:rsidP="00C8631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49" w:type="dxa"/>
            <w:shd w:val="clear" w:color="auto" w:fill="FFFFFF" w:themeFill="background1"/>
            <w:vAlign w:val="center"/>
          </w:tcPr>
          <w:p w14:paraId="0A0CB059" w14:textId="7E4D5DB0" w:rsidR="00DE6B9A" w:rsidRPr="00E1067B" w:rsidRDefault="006C3A12" w:rsidP="00C8631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5" w:type="dxa"/>
            <w:shd w:val="clear" w:color="auto" w:fill="FFFFFF" w:themeFill="background1"/>
            <w:vAlign w:val="center"/>
          </w:tcPr>
          <w:p w14:paraId="60507C79" w14:textId="29B9CD7A" w:rsidR="00DE6B9A" w:rsidRPr="00E1067B" w:rsidRDefault="006C3A12" w:rsidP="00C86312">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820 000</w:t>
            </w:r>
          </w:p>
        </w:tc>
        <w:tc>
          <w:tcPr>
            <w:tcW w:w="1134" w:type="dxa"/>
            <w:shd w:val="clear" w:color="auto" w:fill="FFFFFF" w:themeFill="background1"/>
            <w:vAlign w:val="center"/>
          </w:tcPr>
          <w:p w14:paraId="23EBCFF0" w14:textId="08A941DD" w:rsidR="00DE6B9A" w:rsidRPr="00E1067B" w:rsidRDefault="00DE6B9A" w:rsidP="00C86312">
            <w:pPr>
              <w:spacing w:after="0" w:line="240" w:lineRule="auto"/>
              <w:jc w:val="center"/>
              <w:rPr>
                <w:rFonts w:ascii="Times New Roman" w:eastAsia="Times New Roman" w:hAnsi="Times New Roman" w:cs="Times New Roman"/>
                <w:bCs/>
                <w:sz w:val="20"/>
                <w:szCs w:val="20"/>
                <w:lang w:eastAsia="lv-LV"/>
              </w:rPr>
            </w:pPr>
            <w:r w:rsidRPr="00E1067B">
              <w:rPr>
                <w:rFonts w:ascii="Times New Roman" w:eastAsia="Times New Roman" w:hAnsi="Times New Roman" w:cs="Times New Roman"/>
                <w:bCs/>
                <w:sz w:val="20"/>
                <w:szCs w:val="20"/>
                <w:lang w:eastAsia="lv-LV"/>
              </w:rPr>
              <w:t>2 870 000</w:t>
            </w:r>
          </w:p>
        </w:tc>
        <w:tc>
          <w:tcPr>
            <w:tcW w:w="993" w:type="dxa"/>
            <w:shd w:val="clear" w:color="auto" w:fill="FFFFFF" w:themeFill="background1"/>
            <w:vAlign w:val="center"/>
          </w:tcPr>
          <w:p w14:paraId="471B48A5" w14:textId="7D0F3F41" w:rsidR="00DE6B9A" w:rsidRPr="0076593A" w:rsidRDefault="003F38E1" w:rsidP="00DD0254">
            <w:pPr>
              <w:spacing w:after="0" w:line="240" w:lineRule="auto"/>
              <w:jc w:val="center"/>
              <w:rPr>
                <w:rFonts w:ascii="Times New Roman" w:eastAsia="Times New Roman" w:hAnsi="Times New Roman" w:cs="Times New Roman"/>
                <w:bCs/>
                <w:sz w:val="20"/>
                <w:szCs w:val="20"/>
                <w:lang w:eastAsia="lv-LV"/>
              </w:rPr>
            </w:pPr>
            <w:r w:rsidRPr="0076593A">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6337E2EB" w14:textId="4CFA99C6" w:rsidR="00DE6B9A" w:rsidRPr="0076593A" w:rsidRDefault="003F38E1" w:rsidP="00DD0254">
            <w:pPr>
              <w:spacing w:after="0" w:line="240" w:lineRule="auto"/>
              <w:jc w:val="center"/>
              <w:rPr>
                <w:rFonts w:ascii="Times New Roman" w:eastAsia="Times New Roman" w:hAnsi="Times New Roman" w:cs="Times New Roman"/>
                <w:bCs/>
                <w:sz w:val="20"/>
                <w:szCs w:val="20"/>
                <w:lang w:eastAsia="lv-LV"/>
              </w:rPr>
            </w:pPr>
            <w:r w:rsidRPr="0076593A">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4AF42223" w14:textId="44EA0FD4" w:rsidR="00DE6B9A" w:rsidRPr="0076593A" w:rsidRDefault="003F38E1" w:rsidP="00DD0254">
            <w:pPr>
              <w:spacing w:after="0" w:line="240" w:lineRule="auto"/>
              <w:jc w:val="center"/>
              <w:rPr>
                <w:rFonts w:ascii="Times New Roman" w:eastAsia="Times New Roman" w:hAnsi="Times New Roman" w:cs="Times New Roman"/>
                <w:bCs/>
                <w:sz w:val="20"/>
                <w:szCs w:val="20"/>
                <w:lang w:eastAsia="lv-LV"/>
              </w:rPr>
            </w:pPr>
            <w:r w:rsidRPr="0076593A">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6819421F" w14:textId="626E1C1E" w:rsidR="00DE6B9A" w:rsidRPr="0076593A" w:rsidRDefault="003F38E1" w:rsidP="00DD0254">
            <w:pPr>
              <w:spacing w:after="0" w:line="240" w:lineRule="auto"/>
              <w:jc w:val="center"/>
              <w:rPr>
                <w:rFonts w:ascii="Times New Roman" w:eastAsia="Times New Roman" w:hAnsi="Times New Roman" w:cs="Times New Roman"/>
                <w:bCs/>
                <w:sz w:val="20"/>
                <w:szCs w:val="20"/>
                <w:lang w:eastAsia="lv-LV"/>
              </w:rPr>
            </w:pPr>
            <w:r w:rsidRPr="0076593A">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6A45FE72" w14:textId="6D6BCA8F" w:rsidR="00DE6B9A" w:rsidRPr="0076593A" w:rsidRDefault="006C3A12" w:rsidP="00DD0254">
            <w:pPr>
              <w:spacing w:after="0" w:line="240" w:lineRule="auto"/>
              <w:jc w:val="center"/>
              <w:rPr>
                <w:rFonts w:ascii="Times New Roman" w:eastAsia="Times New Roman" w:hAnsi="Times New Roman" w:cs="Times New Roman"/>
                <w:bCs/>
                <w:sz w:val="20"/>
                <w:szCs w:val="20"/>
                <w:lang w:eastAsia="lv-LV"/>
              </w:rPr>
            </w:pPr>
            <w:r w:rsidRPr="0076593A">
              <w:rPr>
                <w:rFonts w:ascii="Times New Roman" w:eastAsia="Times New Roman" w:hAnsi="Times New Roman" w:cs="Times New Roman"/>
                <w:bCs/>
                <w:sz w:val="20"/>
                <w:szCs w:val="20"/>
                <w:lang w:eastAsia="lv-LV"/>
              </w:rPr>
              <w:t>200</w:t>
            </w:r>
          </w:p>
        </w:tc>
        <w:tc>
          <w:tcPr>
            <w:tcW w:w="992" w:type="dxa"/>
            <w:shd w:val="clear" w:color="auto" w:fill="FFFFFF" w:themeFill="background1"/>
            <w:vAlign w:val="center"/>
          </w:tcPr>
          <w:p w14:paraId="2895012E" w14:textId="212A2E7C" w:rsidR="00DE6B9A" w:rsidRPr="0076593A" w:rsidRDefault="00DE6B9A" w:rsidP="00DD0254">
            <w:pPr>
              <w:spacing w:after="0" w:line="240" w:lineRule="auto"/>
              <w:jc w:val="center"/>
              <w:rPr>
                <w:rFonts w:ascii="Times New Roman" w:eastAsia="Times New Roman" w:hAnsi="Times New Roman" w:cs="Times New Roman"/>
                <w:bCs/>
                <w:sz w:val="20"/>
                <w:szCs w:val="20"/>
                <w:lang w:eastAsia="lv-LV"/>
              </w:rPr>
            </w:pPr>
            <w:r w:rsidRPr="0076593A">
              <w:rPr>
                <w:rFonts w:ascii="Times New Roman" w:eastAsia="Times New Roman" w:hAnsi="Times New Roman" w:cs="Times New Roman"/>
                <w:bCs/>
                <w:sz w:val="20"/>
                <w:szCs w:val="20"/>
                <w:lang w:eastAsia="lv-LV"/>
              </w:rPr>
              <w:t>700</w:t>
            </w:r>
          </w:p>
        </w:tc>
      </w:tr>
      <w:tr w:rsidR="00E11AFF" w14:paraId="66EA56BD" w14:textId="77777777" w:rsidTr="004A6B7D">
        <w:trPr>
          <w:trHeight w:val="525"/>
          <w:jc w:val="center"/>
        </w:trPr>
        <w:tc>
          <w:tcPr>
            <w:tcW w:w="448" w:type="dxa"/>
            <w:tcBorders>
              <w:top w:val="single" w:sz="4" w:space="0" w:color="auto"/>
              <w:left w:val="single" w:sz="4" w:space="0" w:color="auto"/>
              <w:bottom w:val="single" w:sz="4" w:space="0" w:color="auto"/>
              <w:right w:val="single" w:sz="4" w:space="0" w:color="auto"/>
            </w:tcBorders>
          </w:tcPr>
          <w:p w14:paraId="768243F4" w14:textId="514CFC0D" w:rsidR="00DE6B9A" w:rsidRPr="00847710" w:rsidRDefault="006C3A12" w:rsidP="000D278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DE6B9A" w:rsidRPr="00847710">
              <w:rPr>
                <w:rFonts w:ascii="Times New Roman" w:eastAsia="Times New Roman" w:hAnsi="Times New Roman" w:cs="Times New Roman"/>
                <w:sz w:val="20"/>
                <w:szCs w:val="20"/>
                <w:lang w:eastAsia="lv-LV"/>
              </w:rPr>
              <w:t>.</w:t>
            </w:r>
          </w:p>
        </w:tc>
        <w:tc>
          <w:tcPr>
            <w:tcW w:w="1530" w:type="dxa"/>
            <w:tcBorders>
              <w:top w:val="single" w:sz="4" w:space="0" w:color="auto"/>
              <w:left w:val="single" w:sz="4" w:space="0" w:color="auto"/>
              <w:bottom w:val="single" w:sz="4" w:space="0" w:color="auto"/>
              <w:right w:val="single" w:sz="4" w:space="0" w:color="auto"/>
            </w:tcBorders>
            <w:vAlign w:val="bottom"/>
          </w:tcPr>
          <w:p w14:paraId="7E75D7E1" w14:textId="77777777" w:rsidR="00DE6B9A" w:rsidRPr="00847710" w:rsidRDefault="00DE6B9A" w:rsidP="000D2789">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HIV terapija (pacientu skaita pieaugums)</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7D6D7" w14:textId="77777777" w:rsidR="00DE6B9A" w:rsidRPr="00847710" w:rsidRDefault="00DE6B9A"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4 100</w:t>
            </w:r>
          </w:p>
        </w:tc>
        <w:tc>
          <w:tcPr>
            <w:tcW w:w="1134" w:type="dxa"/>
            <w:tcBorders>
              <w:top w:val="single" w:sz="4" w:space="0" w:color="auto"/>
              <w:left w:val="single" w:sz="4" w:space="0" w:color="auto"/>
              <w:bottom w:val="single" w:sz="4" w:space="0" w:color="auto"/>
              <w:right w:val="single" w:sz="4" w:space="0" w:color="auto"/>
            </w:tcBorders>
            <w:vAlign w:val="center"/>
          </w:tcPr>
          <w:p w14:paraId="19F3FE84" w14:textId="4275A078" w:rsidR="00DE6B9A" w:rsidRDefault="00DE6B9A"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9 651 065</w:t>
            </w:r>
          </w:p>
        </w:tc>
        <w:tc>
          <w:tcPr>
            <w:tcW w:w="1134" w:type="dxa"/>
            <w:tcBorders>
              <w:top w:val="single" w:sz="4" w:space="0" w:color="auto"/>
              <w:left w:val="single" w:sz="4" w:space="0" w:color="auto"/>
              <w:bottom w:val="single" w:sz="4" w:space="0" w:color="auto"/>
              <w:right w:val="single" w:sz="4" w:space="0" w:color="auto"/>
            </w:tcBorders>
            <w:vAlign w:val="center"/>
          </w:tcPr>
          <w:p w14:paraId="26990634" w14:textId="116E6873" w:rsidR="00DE6B9A" w:rsidRDefault="006C3A12"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9 651 065</w:t>
            </w:r>
          </w:p>
        </w:tc>
        <w:tc>
          <w:tcPr>
            <w:tcW w:w="1134" w:type="dxa"/>
            <w:tcBorders>
              <w:top w:val="single" w:sz="4" w:space="0" w:color="auto"/>
              <w:left w:val="single" w:sz="4" w:space="0" w:color="auto"/>
              <w:bottom w:val="single" w:sz="4" w:space="0" w:color="auto"/>
              <w:right w:val="single" w:sz="4" w:space="0" w:color="auto"/>
            </w:tcBorders>
            <w:vAlign w:val="center"/>
          </w:tcPr>
          <w:p w14:paraId="35AD5D47" w14:textId="297AE988" w:rsidR="00DE6B9A" w:rsidRDefault="006C3A12"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9 651 065</w:t>
            </w:r>
          </w:p>
        </w:tc>
        <w:tc>
          <w:tcPr>
            <w:tcW w:w="849" w:type="dxa"/>
            <w:tcBorders>
              <w:top w:val="single" w:sz="4" w:space="0" w:color="auto"/>
              <w:left w:val="single" w:sz="4" w:space="0" w:color="auto"/>
              <w:bottom w:val="single" w:sz="4" w:space="0" w:color="auto"/>
              <w:right w:val="single" w:sz="4" w:space="0" w:color="auto"/>
            </w:tcBorders>
            <w:vAlign w:val="center"/>
          </w:tcPr>
          <w:p w14:paraId="621414EC" w14:textId="2B6B587D" w:rsidR="00DE6B9A" w:rsidRDefault="00066B2C"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1D942CF9" w14:textId="34BD9D03" w:rsidR="00DE6B9A" w:rsidRDefault="00066B2C"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3 280 000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9B293" w14:textId="0AC408D9" w:rsidR="00DE6B9A" w:rsidRPr="00847710" w:rsidRDefault="00DE6B9A" w:rsidP="000D2789">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1 230 000</w:t>
            </w:r>
          </w:p>
        </w:tc>
        <w:tc>
          <w:tcPr>
            <w:tcW w:w="993" w:type="dxa"/>
            <w:tcBorders>
              <w:top w:val="single" w:sz="4" w:space="0" w:color="auto"/>
              <w:left w:val="single" w:sz="4" w:space="0" w:color="auto"/>
              <w:bottom w:val="single" w:sz="4" w:space="0" w:color="auto"/>
              <w:right w:val="single" w:sz="4" w:space="0" w:color="auto"/>
            </w:tcBorders>
            <w:vAlign w:val="center"/>
          </w:tcPr>
          <w:p w14:paraId="3BEEDC90" w14:textId="0A980549" w:rsidR="00DE6B9A" w:rsidRPr="0076593A" w:rsidRDefault="00066B2C"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2 832</w:t>
            </w:r>
          </w:p>
        </w:tc>
        <w:tc>
          <w:tcPr>
            <w:tcW w:w="992" w:type="dxa"/>
            <w:tcBorders>
              <w:top w:val="single" w:sz="4" w:space="0" w:color="auto"/>
              <w:left w:val="single" w:sz="4" w:space="0" w:color="auto"/>
              <w:bottom w:val="single" w:sz="4" w:space="0" w:color="auto"/>
              <w:right w:val="single" w:sz="4" w:space="0" w:color="auto"/>
            </w:tcBorders>
            <w:vAlign w:val="center"/>
          </w:tcPr>
          <w:p w14:paraId="6812E286" w14:textId="28B9ACB2" w:rsidR="00DE6B9A" w:rsidRPr="0076593A" w:rsidRDefault="00066B2C"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2 832</w:t>
            </w:r>
          </w:p>
        </w:tc>
        <w:tc>
          <w:tcPr>
            <w:tcW w:w="992" w:type="dxa"/>
            <w:tcBorders>
              <w:top w:val="single" w:sz="4" w:space="0" w:color="auto"/>
              <w:left w:val="single" w:sz="4" w:space="0" w:color="auto"/>
              <w:bottom w:val="single" w:sz="4" w:space="0" w:color="auto"/>
              <w:right w:val="single" w:sz="4" w:space="0" w:color="auto"/>
            </w:tcBorders>
            <w:vAlign w:val="center"/>
          </w:tcPr>
          <w:p w14:paraId="16D3AED4" w14:textId="20A05766" w:rsidR="00DE6B9A" w:rsidRPr="0076593A" w:rsidRDefault="00066B2C"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2 832</w:t>
            </w:r>
          </w:p>
        </w:tc>
        <w:tc>
          <w:tcPr>
            <w:tcW w:w="992" w:type="dxa"/>
            <w:tcBorders>
              <w:top w:val="single" w:sz="4" w:space="0" w:color="auto"/>
              <w:left w:val="single" w:sz="4" w:space="0" w:color="auto"/>
              <w:bottom w:val="single" w:sz="4" w:space="0" w:color="auto"/>
              <w:right w:val="single" w:sz="4" w:space="0" w:color="auto"/>
            </w:tcBorders>
            <w:vAlign w:val="center"/>
          </w:tcPr>
          <w:p w14:paraId="2E386E0B" w14:textId="0AAC4B09" w:rsidR="00DE6B9A" w:rsidRPr="0076593A" w:rsidRDefault="0076593A"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0965E833" w14:textId="5B403B65" w:rsidR="00DE6B9A" w:rsidRPr="0076593A" w:rsidRDefault="00066B2C"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3 632</w:t>
            </w:r>
          </w:p>
        </w:tc>
        <w:tc>
          <w:tcPr>
            <w:tcW w:w="992" w:type="dxa"/>
            <w:tcBorders>
              <w:top w:val="single" w:sz="4" w:space="0" w:color="auto"/>
              <w:left w:val="single" w:sz="4" w:space="0" w:color="auto"/>
              <w:bottom w:val="single" w:sz="4" w:space="0" w:color="auto"/>
              <w:right w:val="single" w:sz="4" w:space="0" w:color="auto"/>
            </w:tcBorders>
            <w:noWrap/>
            <w:vAlign w:val="center"/>
          </w:tcPr>
          <w:p w14:paraId="40B47B48" w14:textId="53A9C291" w:rsidR="00DE6B9A" w:rsidRPr="0076593A" w:rsidRDefault="00066B2C" w:rsidP="00C86312">
            <w:pPr>
              <w:spacing w:after="0" w:line="240" w:lineRule="auto"/>
              <w:jc w:val="center"/>
              <w:rPr>
                <w:rFonts w:ascii="Times New Roman" w:eastAsia="Times New Roman" w:hAnsi="Times New Roman" w:cs="Times New Roman"/>
                <w:sz w:val="20"/>
                <w:szCs w:val="20"/>
                <w:lang w:eastAsia="lv-LV"/>
              </w:rPr>
            </w:pPr>
            <w:r w:rsidRPr="0076593A">
              <w:rPr>
                <w:rFonts w:ascii="Times New Roman" w:hAnsi="Times New Roman" w:cs="Times New Roman"/>
                <w:bCs/>
                <w:sz w:val="20"/>
                <w:szCs w:val="20"/>
              </w:rPr>
              <w:t>3 132</w:t>
            </w:r>
          </w:p>
        </w:tc>
      </w:tr>
      <w:tr w:rsidR="00E11AFF" w14:paraId="78ACDADE" w14:textId="77777777" w:rsidTr="004A6B7D">
        <w:trPr>
          <w:trHeight w:val="525"/>
          <w:jc w:val="center"/>
        </w:trPr>
        <w:tc>
          <w:tcPr>
            <w:tcW w:w="448" w:type="dxa"/>
            <w:tcBorders>
              <w:top w:val="single" w:sz="4" w:space="0" w:color="auto"/>
              <w:left w:val="single" w:sz="4" w:space="0" w:color="auto"/>
              <w:bottom w:val="single" w:sz="4" w:space="0" w:color="auto"/>
              <w:right w:val="single" w:sz="4" w:space="0" w:color="auto"/>
            </w:tcBorders>
          </w:tcPr>
          <w:p w14:paraId="470E8BD8" w14:textId="329A16C2" w:rsidR="00DE6B9A" w:rsidRPr="00847710" w:rsidRDefault="006C3A12" w:rsidP="000D278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DE6B9A" w:rsidRPr="00847710">
              <w:rPr>
                <w:rFonts w:ascii="Times New Roman" w:eastAsia="Times New Roman" w:hAnsi="Times New Roman" w:cs="Times New Roman"/>
                <w:sz w:val="20"/>
                <w:szCs w:val="20"/>
                <w:lang w:eastAsia="lv-LV"/>
              </w:rPr>
              <w:t>.</w:t>
            </w:r>
          </w:p>
        </w:tc>
        <w:tc>
          <w:tcPr>
            <w:tcW w:w="1530" w:type="dxa"/>
            <w:tcBorders>
              <w:top w:val="single" w:sz="4" w:space="0" w:color="auto"/>
              <w:left w:val="single" w:sz="4" w:space="0" w:color="auto"/>
              <w:bottom w:val="single" w:sz="4" w:space="0" w:color="auto"/>
              <w:right w:val="single" w:sz="4" w:space="0" w:color="auto"/>
            </w:tcBorders>
            <w:vAlign w:val="bottom"/>
          </w:tcPr>
          <w:p w14:paraId="1417A8A0" w14:textId="77777777" w:rsidR="00DE6B9A" w:rsidRPr="00847710" w:rsidRDefault="00DE6B9A" w:rsidP="000D2789">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Oportūnistisko slimību ārstēšana pacientiem ar HIV/AIDS</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CBCB7" w14:textId="77777777" w:rsidR="00DE6B9A" w:rsidRPr="00847710" w:rsidRDefault="00DE6B9A"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206</w:t>
            </w:r>
          </w:p>
        </w:tc>
        <w:tc>
          <w:tcPr>
            <w:tcW w:w="1134" w:type="dxa"/>
            <w:tcBorders>
              <w:top w:val="single" w:sz="4" w:space="0" w:color="auto"/>
              <w:left w:val="single" w:sz="4" w:space="0" w:color="auto"/>
              <w:bottom w:val="single" w:sz="4" w:space="0" w:color="auto"/>
              <w:right w:val="single" w:sz="4" w:space="0" w:color="auto"/>
            </w:tcBorders>
            <w:vAlign w:val="center"/>
          </w:tcPr>
          <w:p w14:paraId="5097445A" w14:textId="64DBA697" w:rsidR="00DE6B9A" w:rsidRPr="00847710" w:rsidRDefault="00DE6B9A"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20D3332" w14:textId="183EE67D" w:rsidR="00DE6B9A" w:rsidRPr="00847710" w:rsidRDefault="003F38E1"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627B954" w14:textId="5EBF8477" w:rsidR="00DE6B9A" w:rsidRPr="00847710" w:rsidRDefault="00DE6B9A"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6743E673" w14:textId="17F071E0" w:rsidR="00DE6B9A" w:rsidRPr="00847710" w:rsidRDefault="006C3A12"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5D69256C" w14:textId="6A198A8B" w:rsidR="00DE6B9A" w:rsidRPr="00847710" w:rsidRDefault="006C3A12" w:rsidP="000D27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0BA54" w14:textId="588E1284" w:rsidR="00DE6B9A" w:rsidRPr="00847710" w:rsidRDefault="00DE6B9A"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103 000</w:t>
            </w:r>
          </w:p>
        </w:tc>
        <w:tc>
          <w:tcPr>
            <w:tcW w:w="993" w:type="dxa"/>
            <w:tcBorders>
              <w:top w:val="single" w:sz="4" w:space="0" w:color="auto"/>
              <w:left w:val="single" w:sz="4" w:space="0" w:color="auto"/>
              <w:bottom w:val="single" w:sz="4" w:space="0" w:color="auto"/>
              <w:right w:val="single" w:sz="4" w:space="0" w:color="auto"/>
            </w:tcBorders>
            <w:vAlign w:val="center"/>
          </w:tcPr>
          <w:p w14:paraId="1C02314F" w14:textId="7449A0BE" w:rsidR="00DE6B9A" w:rsidRPr="0076593A" w:rsidRDefault="00DE6B9A"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2B07E9B" w14:textId="401D1A7C" w:rsidR="00DE6B9A" w:rsidRPr="0076593A" w:rsidRDefault="00066B2C"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9D7E86A" w14:textId="6D1B03D8" w:rsidR="00DE6B9A" w:rsidRPr="0076593A" w:rsidRDefault="00DE6B9A"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8824A70" w14:textId="35399E84" w:rsidR="00DE6B9A" w:rsidRPr="0076593A" w:rsidRDefault="003F38E1"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2A002CBB" w14:textId="3DF32BE4" w:rsidR="00DE6B9A" w:rsidRPr="0076593A" w:rsidRDefault="00066B2C" w:rsidP="00C86312">
            <w:pPr>
              <w:spacing w:after="0" w:line="240" w:lineRule="auto"/>
              <w:jc w:val="center"/>
              <w:rPr>
                <w:rFonts w:ascii="Times New Roman" w:hAnsi="Times New Roman" w:cs="Times New Roman"/>
                <w:bCs/>
                <w:sz w:val="20"/>
                <w:szCs w:val="20"/>
              </w:rPr>
            </w:pPr>
            <w:r w:rsidRPr="0076593A">
              <w:rPr>
                <w:rFonts w:ascii="Times New Roman" w:hAnsi="Times New Roman" w:cs="Times New Roman"/>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center"/>
          </w:tcPr>
          <w:p w14:paraId="05892068" w14:textId="25899404" w:rsidR="00DE6B9A" w:rsidRPr="0076593A" w:rsidRDefault="00DE6B9A" w:rsidP="00C86312">
            <w:pPr>
              <w:spacing w:after="0" w:line="240" w:lineRule="auto"/>
              <w:jc w:val="center"/>
              <w:rPr>
                <w:rFonts w:ascii="Times New Roman" w:eastAsia="Times New Roman" w:hAnsi="Times New Roman" w:cs="Times New Roman"/>
                <w:bCs/>
                <w:sz w:val="20"/>
                <w:szCs w:val="20"/>
                <w:lang w:eastAsia="lv-LV"/>
              </w:rPr>
            </w:pPr>
            <w:r w:rsidRPr="0076593A">
              <w:rPr>
                <w:rFonts w:ascii="Times New Roman" w:hAnsi="Times New Roman" w:cs="Times New Roman"/>
                <w:bCs/>
                <w:sz w:val="20"/>
                <w:szCs w:val="20"/>
              </w:rPr>
              <w:t>500</w:t>
            </w:r>
          </w:p>
        </w:tc>
      </w:tr>
      <w:tr w:rsidR="00D66C80" w14:paraId="773700C5" w14:textId="77777777" w:rsidTr="004A6B7D">
        <w:trPr>
          <w:trHeight w:val="296"/>
          <w:jc w:val="center"/>
        </w:trPr>
        <w:tc>
          <w:tcPr>
            <w:tcW w:w="448" w:type="dxa"/>
            <w:shd w:val="clear" w:color="auto" w:fill="FBD4B4" w:themeFill="accent6" w:themeFillTint="66"/>
          </w:tcPr>
          <w:p w14:paraId="1A55737B" w14:textId="77777777" w:rsidR="00D66C80" w:rsidRPr="00847710" w:rsidRDefault="00D66C80" w:rsidP="00D66C80">
            <w:pPr>
              <w:spacing w:after="0" w:line="240" w:lineRule="auto"/>
              <w:rPr>
                <w:rFonts w:ascii="Times New Roman" w:eastAsia="Times New Roman" w:hAnsi="Times New Roman" w:cs="Times New Roman"/>
                <w:sz w:val="20"/>
                <w:szCs w:val="20"/>
                <w:lang w:eastAsia="lv-LV"/>
              </w:rPr>
            </w:pPr>
          </w:p>
        </w:tc>
        <w:tc>
          <w:tcPr>
            <w:tcW w:w="1530" w:type="dxa"/>
            <w:shd w:val="clear" w:color="auto" w:fill="FBD4B4" w:themeFill="accent6" w:themeFillTint="66"/>
            <w:vAlign w:val="bottom"/>
          </w:tcPr>
          <w:p w14:paraId="5B3C00D6" w14:textId="77777777" w:rsidR="00D66C80" w:rsidRPr="00847710" w:rsidRDefault="00D66C80" w:rsidP="00D66C8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6" w:type="dxa"/>
            <w:shd w:val="clear" w:color="auto" w:fill="FBD4B4" w:themeFill="accent6" w:themeFillTint="66"/>
            <w:noWrap/>
            <w:vAlign w:val="bottom"/>
          </w:tcPr>
          <w:p w14:paraId="27F8F2B4" w14:textId="77777777" w:rsidR="00D66C80" w:rsidRPr="00847710" w:rsidRDefault="00D66C80" w:rsidP="00D66C80">
            <w:pPr>
              <w:spacing w:after="0" w:line="240" w:lineRule="auto"/>
              <w:jc w:val="center"/>
              <w:rPr>
                <w:rFonts w:ascii="Times New Roman" w:eastAsia="Times New Roman" w:hAnsi="Times New Roman" w:cs="Times New Roman"/>
                <w:sz w:val="20"/>
                <w:szCs w:val="20"/>
                <w:lang w:eastAsia="lv-LV"/>
              </w:rPr>
            </w:pPr>
          </w:p>
        </w:tc>
        <w:tc>
          <w:tcPr>
            <w:tcW w:w="1134" w:type="dxa"/>
            <w:shd w:val="clear" w:color="auto" w:fill="FBD4B4" w:themeFill="accent6" w:themeFillTint="66"/>
            <w:vAlign w:val="center"/>
          </w:tcPr>
          <w:p w14:paraId="0D88AEC5" w14:textId="04243567" w:rsidR="00D66C80" w:rsidRPr="0076593A" w:rsidRDefault="00D66C80" w:rsidP="00D66C80">
            <w:pPr>
              <w:spacing w:after="0" w:line="240" w:lineRule="auto"/>
              <w:jc w:val="center"/>
              <w:rPr>
                <w:rFonts w:ascii="Times New Roman" w:hAnsi="Times New Roman" w:cs="Times New Roman"/>
                <w:b/>
                <w:sz w:val="20"/>
                <w:szCs w:val="20"/>
              </w:rPr>
            </w:pPr>
            <w:r w:rsidRPr="0076593A">
              <w:rPr>
                <w:rFonts w:ascii="Times New Roman" w:hAnsi="Times New Roman" w:cs="Times New Roman"/>
                <w:b/>
                <w:sz w:val="20"/>
                <w:szCs w:val="20"/>
              </w:rPr>
              <w:t>9 651 065</w:t>
            </w:r>
          </w:p>
        </w:tc>
        <w:tc>
          <w:tcPr>
            <w:tcW w:w="1134" w:type="dxa"/>
            <w:shd w:val="clear" w:color="auto" w:fill="FBD4B4" w:themeFill="accent6" w:themeFillTint="66"/>
            <w:vAlign w:val="center"/>
          </w:tcPr>
          <w:p w14:paraId="1C34D5AE" w14:textId="7C2170DA" w:rsidR="00D66C80" w:rsidRPr="0076593A" w:rsidRDefault="00D66C80" w:rsidP="00D66C80">
            <w:pPr>
              <w:spacing w:after="0" w:line="240" w:lineRule="auto"/>
              <w:jc w:val="center"/>
              <w:rPr>
                <w:rFonts w:ascii="Times New Roman" w:hAnsi="Times New Roman" w:cs="Times New Roman"/>
                <w:b/>
                <w:sz w:val="20"/>
                <w:szCs w:val="20"/>
              </w:rPr>
            </w:pPr>
            <w:r w:rsidRPr="0076593A">
              <w:rPr>
                <w:rFonts w:ascii="Times New Roman" w:hAnsi="Times New Roman" w:cs="Times New Roman"/>
                <w:b/>
                <w:sz w:val="20"/>
                <w:szCs w:val="20"/>
              </w:rPr>
              <w:t>9 651 065</w:t>
            </w:r>
          </w:p>
        </w:tc>
        <w:tc>
          <w:tcPr>
            <w:tcW w:w="1134" w:type="dxa"/>
            <w:shd w:val="clear" w:color="auto" w:fill="FBD4B4" w:themeFill="accent6" w:themeFillTint="66"/>
            <w:vAlign w:val="center"/>
          </w:tcPr>
          <w:p w14:paraId="5FAB2185" w14:textId="29F3637E" w:rsidR="00D66C80" w:rsidRPr="0076593A" w:rsidRDefault="00D66C80" w:rsidP="00D66C80">
            <w:pPr>
              <w:spacing w:after="0" w:line="240" w:lineRule="auto"/>
              <w:jc w:val="center"/>
              <w:rPr>
                <w:rFonts w:ascii="Times New Roman" w:hAnsi="Times New Roman" w:cs="Times New Roman"/>
                <w:b/>
                <w:sz w:val="20"/>
                <w:szCs w:val="20"/>
              </w:rPr>
            </w:pPr>
            <w:r w:rsidRPr="0076593A">
              <w:rPr>
                <w:rFonts w:ascii="Times New Roman" w:hAnsi="Times New Roman" w:cs="Times New Roman"/>
                <w:b/>
                <w:sz w:val="20"/>
                <w:szCs w:val="20"/>
              </w:rPr>
              <w:t>9 651 065</w:t>
            </w:r>
          </w:p>
        </w:tc>
        <w:tc>
          <w:tcPr>
            <w:tcW w:w="849" w:type="dxa"/>
            <w:shd w:val="clear" w:color="auto" w:fill="FBD4B4" w:themeFill="accent6" w:themeFillTint="66"/>
            <w:vAlign w:val="center"/>
          </w:tcPr>
          <w:p w14:paraId="3BA3F231" w14:textId="77777777" w:rsidR="00D66C80" w:rsidRPr="0076593A" w:rsidRDefault="00D66C80" w:rsidP="00D66C80">
            <w:pPr>
              <w:spacing w:after="0" w:line="240" w:lineRule="auto"/>
              <w:jc w:val="center"/>
              <w:rPr>
                <w:rFonts w:ascii="Times New Roman" w:hAnsi="Times New Roman" w:cs="Times New Roman"/>
                <w:b/>
                <w:sz w:val="20"/>
                <w:szCs w:val="20"/>
              </w:rPr>
            </w:pPr>
          </w:p>
        </w:tc>
        <w:tc>
          <w:tcPr>
            <w:tcW w:w="1135" w:type="dxa"/>
            <w:shd w:val="clear" w:color="auto" w:fill="FBD4B4" w:themeFill="accent6" w:themeFillTint="66"/>
            <w:vAlign w:val="center"/>
          </w:tcPr>
          <w:p w14:paraId="58D0A58E" w14:textId="55CEA40F" w:rsidR="00D66C80" w:rsidRPr="0076593A" w:rsidRDefault="00D66C80" w:rsidP="00D66C80">
            <w:pPr>
              <w:spacing w:after="0" w:line="240" w:lineRule="auto"/>
              <w:jc w:val="center"/>
              <w:rPr>
                <w:rFonts w:ascii="Times New Roman" w:hAnsi="Times New Roman" w:cs="Times New Roman"/>
                <w:b/>
                <w:sz w:val="20"/>
                <w:szCs w:val="20"/>
              </w:rPr>
            </w:pPr>
            <w:r w:rsidRPr="0076593A">
              <w:rPr>
                <w:rFonts w:ascii="Times New Roman" w:hAnsi="Times New Roman" w:cs="Times New Roman"/>
                <w:b/>
                <w:sz w:val="20"/>
                <w:szCs w:val="20"/>
              </w:rPr>
              <w:t>4 203 000</w:t>
            </w:r>
          </w:p>
        </w:tc>
        <w:tc>
          <w:tcPr>
            <w:tcW w:w="1134" w:type="dxa"/>
            <w:shd w:val="clear" w:color="auto" w:fill="FBD4B4" w:themeFill="accent6" w:themeFillTint="66"/>
            <w:noWrap/>
            <w:vAlign w:val="center"/>
          </w:tcPr>
          <w:p w14:paraId="14839885" w14:textId="25CD876A" w:rsidR="00D66C80" w:rsidRPr="0076593A" w:rsidRDefault="00D66C80" w:rsidP="00D66C80">
            <w:pPr>
              <w:spacing w:after="0" w:line="240" w:lineRule="auto"/>
              <w:jc w:val="center"/>
              <w:rPr>
                <w:rFonts w:ascii="Times New Roman" w:eastAsia="Times New Roman" w:hAnsi="Times New Roman" w:cs="Times New Roman"/>
                <w:b/>
                <w:sz w:val="20"/>
                <w:szCs w:val="20"/>
                <w:lang w:eastAsia="lv-LV"/>
              </w:rPr>
            </w:pPr>
            <w:r w:rsidRPr="0076593A">
              <w:rPr>
                <w:rFonts w:ascii="Times New Roman" w:hAnsi="Times New Roman" w:cs="Times New Roman"/>
                <w:b/>
                <w:sz w:val="20"/>
                <w:szCs w:val="20"/>
              </w:rPr>
              <w:t>4 203 000</w:t>
            </w:r>
          </w:p>
        </w:tc>
        <w:tc>
          <w:tcPr>
            <w:tcW w:w="993" w:type="dxa"/>
            <w:shd w:val="clear" w:color="auto" w:fill="FBD4B4" w:themeFill="accent6" w:themeFillTint="66"/>
            <w:vAlign w:val="center"/>
          </w:tcPr>
          <w:p w14:paraId="471674B4" w14:textId="2357FE2A" w:rsidR="00D66C80" w:rsidRPr="00AE3965" w:rsidRDefault="00D66C80" w:rsidP="00D66C8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2 832</w:t>
            </w:r>
          </w:p>
        </w:tc>
        <w:tc>
          <w:tcPr>
            <w:tcW w:w="992" w:type="dxa"/>
            <w:shd w:val="clear" w:color="auto" w:fill="FBD4B4" w:themeFill="accent6" w:themeFillTint="66"/>
            <w:vAlign w:val="center"/>
          </w:tcPr>
          <w:p w14:paraId="5B858F15" w14:textId="01BE5AEB" w:rsidR="00D66C80" w:rsidRPr="00AE3965" w:rsidRDefault="00D66C80" w:rsidP="00D66C8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2 832</w:t>
            </w:r>
          </w:p>
        </w:tc>
        <w:tc>
          <w:tcPr>
            <w:tcW w:w="992" w:type="dxa"/>
            <w:shd w:val="clear" w:color="auto" w:fill="FBD4B4" w:themeFill="accent6" w:themeFillTint="66"/>
            <w:vAlign w:val="center"/>
          </w:tcPr>
          <w:p w14:paraId="7C3D95AE" w14:textId="7EB28BAF" w:rsidR="00D66C80" w:rsidRPr="00AE3965" w:rsidRDefault="00D66C80" w:rsidP="00D66C8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2 832</w:t>
            </w:r>
          </w:p>
        </w:tc>
        <w:tc>
          <w:tcPr>
            <w:tcW w:w="992" w:type="dxa"/>
            <w:shd w:val="clear" w:color="auto" w:fill="FBD4B4" w:themeFill="accent6" w:themeFillTint="66"/>
            <w:vAlign w:val="center"/>
          </w:tcPr>
          <w:p w14:paraId="7D669D2A" w14:textId="22A5C020" w:rsidR="00D66C80" w:rsidRPr="00AE3965" w:rsidRDefault="00D66C80" w:rsidP="00D66C8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2 832</w:t>
            </w:r>
          </w:p>
        </w:tc>
        <w:tc>
          <w:tcPr>
            <w:tcW w:w="993" w:type="dxa"/>
            <w:shd w:val="clear" w:color="auto" w:fill="FBD4B4" w:themeFill="accent6" w:themeFillTint="66"/>
            <w:vAlign w:val="center"/>
          </w:tcPr>
          <w:p w14:paraId="73FF032D" w14:textId="78F254D1" w:rsidR="00D66C80" w:rsidRPr="00AE3965" w:rsidRDefault="00D66C80" w:rsidP="00D66C8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4 332</w:t>
            </w:r>
          </w:p>
        </w:tc>
        <w:tc>
          <w:tcPr>
            <w:tcW w:w="992" w:type="dxa"/>
            <w:shd w:val="clear" w:color="auto" w:fill="FBD4B4" w:themeFill="accent6" w:themeFillTint="66"/>
            <w:noWrap/>
            <w:vAlign w:val="center"/>
          </w:tcPr>
          <w:p w14:paraId="177ED17A" w14:textId="378DCF0E" w:rsidR="00D66C80" w:rsidRPr="00C86312" w:rsidRDefault="00D66C80" w:rsidP="00D66C80">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b/>
                <w:bCs/>
                <w:sz w:val="20"/>
                <w:szCs w:val="20"/>
              </w:rPr>
              <w:t>4 332</w:t>
            </w:r>
          </w:p>
        </w:tc>
      </w:tr>
    </w:tbl>
    <w:p w14:paraId="7C2F2FC7" w14:textId="77777777" w:rsidR="00DE6B9A" w:rsidRDefault="00DE6B9A" w:rsidP="64AB90BD">
      <w:pPr>
        <w:shd w:val="clear" w:color="auto" w:fill="FFFFFF" w:themeFill="background1"/>
        <w:jc w:val="both"/>
        <w:rPr>
          <w:rFonts w:ascii="Times New Roman" w:hAnsi="Times New Roman"/>
          <w:b/>
          <w:bCs/>
          <w:color w:val="000000" w:themeColor="text1"/>
          <w:sz w:val="24"/>
          <w:szCs w:val="24"/>
        </w:rPr>
        <w:sectPr w:rsidR="00DE6B9A" w:rsidSect="00333B64">
          <w:pgSz w:w="15840" w:h="12240" w:orient="landscape"/>
          <w:pgMar w:top="1701" w:right="1440" w:bottom="1440" w:left="1440" w:header="709" w:footer="709" w:gutter="0"/>
          <w:cols w:space="708"/>
          <w:docGrid w:linePitch="360"/>
        </w:sectPr>
      </w:pPr>
    </w:p>
    <w:p w14:paraId="50EC7B41" w14:textId="49D7F06C" w:rsidR="00FA37E8" w:rsidRDefault="00FA37E8" w:rsidP="64AB90BD">
      <w:pPr>
        <w:shd w:val="clear" w:color="auto" w:fill="FFFFFF" w:themeFill="background1"/>
        <w:jc w:val="both"/>
        <w:rPr>
          <w:rFonts w:ascii="Times New Roman" w:hAnsi="Times New Roman"/>
          <w:b/>
          <w:bCs/>
          <w:color w:val="000000" w:themeColor="text1"/>
          <w:sz w:val="24"/>
          <w:szCs w:val="24"/>
        </w:rPr>
      </w:pPr>
    </w:p>
    <w:p w14:paraId="69F4DC9C" w14:textId="591849A4" w:rsidR="009E0D80" w:rsidRDefault="009E0D80" w:rsidP="00D51EA0">
      <w:pPr>
        <w:pStyle w:val="Heading2"/>
        <w:spacing w:before="0" w:after="120"/>
        <w:ind w:left="36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3.4.1. Jaunā reformas iniciatīva 2019.gadā - HIV līdzestības kabineta izveide</w:t>
      </w:r>
    </w:p>
    <w:p w14:paraId="71C0442E" w14:textId="77777777" w:rsidR="009E0D80" w:rsidRDefault="009E0D80" w:rsidP="009E0D80">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Latvija ir to Eiropas Savienības (ES) valstu vidū, kur HIV infekcijas izplatības rādītāji ir vieni no visaugstākajiem ES. Slimību profilakses un kontroles centra (SPKC) dati rāda, ka 2017. gadā Latvijā tika reģistrēti 19,0 HIV infekcijas gadījumi uz 100 000 iedzīvotājiem. HIV izplatībai ir tendence palielināties. 2013. gadā Latvijā tika reģistrēti 16.8 HIV jauni saslimšanas gadījumi uz 100 000 iedzīvotājiem, bet 2017. gadā šis rādītājs palielinājās līdz 19.0. </w:t>
      </w:r>
    </w:p>
    <w:p w14:paraId="78048E0C" w14:textId="77777777" w:rsidR="009E0D80" w:rsidRDefault="009E0D80" w:rsidP="009E0D80">
      <w:pPr>
        <w:spacing w:after="0" w:line="264" w:lineRule="auto"/>
        <w:ind w:firstLine="720"/>
        <w:jc w:val="right"/>
        <w:rPr>
          <w:rFonts w:ascii="Times New Roman" w:hAnsi="Times New Roman" w:cs="Times New Roman"/>
          <w:sz w:val="24"/>
          <w:szCs w:val="24"/>
        </w:rPr>
      </w:pPr>
    </w:p>
    <w:p w14:paraId="61CA4D94" w14:textId="77777777" w:rsidR="009E0D80" w:rsidRDefault="009E0D80" w:rsidP="009E0D80">
      <w:pPr>
        <w:spacing w:after="0" w:line="264" w:lineRule="auto"/>
        <w:ind w:firstLine="720"/>
        <w:jc w:val="right"/>
        <w:rPr>
          <w:rFonts w:ascii="Times New Roman" w:hAnsi="Times New Roman" w:cs="Times New Roman"/>
          <w:sz w:val="24"/>
          <w:szCs w:val="24"/>
        </w:rPr>
      </w:pPr>
    </w:p>
    <w:p w14:paraId="290F2446" w14:textId="77777777" w:rsidR="009E0D80" w:rsidRDefault="009E0D80" w:rsidP="009E0D80">
      <w:pPr>
        <w:spacing w:after="0" w:line="264" w:lineRule="auto"/>
        <w:ind w:firstLine="720"/>
        <w:jc w:val="right"/>
        <w:rPr>
          <w:rFonts w:ascii="Times New Roman" w:hAnsi="Times New Roman" w:cs="Times New Roman"/>
          <w:sz w:val="24"/>
          <w:szCs w:val="24"/>
        </w:rPr>
      </w:pPr>
      <w:r>
        <w:rPr>
          <w:rFonts w:ascii="Times New Roman" w:hAnsi="Times New Roman" w:cs="Times New Roman"/>
          <w:sz w:val="24"/>
          <w:szCs w:val="24"/>
        </w:rPr>
        <w:t>1.attēls</w:t>
      </w:r>
    </w:p>
    <w:p w14:paraId="44EF4E6C" w14:textId="77777777" w:rsidR="009E0D80" w:rsidRPr="000C2EF6" w:rsidRDefault="009E0D80" w:rsidP="009E0D80">
      <w:pPr>
        <w:spacing w:after="0" w:line="264" w:lineRule="auto"/>
        <w:ind w:firstLine="720"/>
        <w:jc w:val="center"/>
        <w:rPr>
          <w:rFonts w:ascii="Times New Roman" w:hAnsi="Times New Roman" w:cs="Times New Roman"/>
          <w:sz w:val="24"/>
          <w:szCs w:val="24"/>
        </w:rPr>
      </w:pPr>
      <w:r>
        <w:rPr>
          <w:rFonts w:ascii="Times New Roman" w:hAnsi="Times New Roman" w:cs="Times New Roman"/>
          <w:sz w:val="24"/>
          <w:szCs w:val="24"/>
        </w:rPr>
        <w:t>Latvijā reģistrētie HIV saslimšanas gadījumi</w:t>
      </w:r>
    </w:p>
    <w:p w14:paraId="2BA05988" w14:textId="79890CA2" w:rsidR="009E0D80" w:rsidRPr="000C2EF6" w:rsidRDefault="009E0D80" w:rsidP="009E0D80">
      <w:pPr>
        <w:spacing w:after="0" w:line="264" w:lineRule="auto"/>
        <w:ind w:firstLine="720"/>
        <w:jc w:val="center"/>
        <w:rPr>
          <w:rFonts w:ascii="Times New Roman" w:hAnsi="Times New Roman" w:cs="Times New Roman"/>
          <w:sz w:val="24"/>
          <w:szCs w:val="24"/>
        </w:rPr>
      </w:pPr>
      <w:r w:rsidRPr="000C2EF6">
        <w:rPr>
          <w:rFonts w:ascii="Times New Roman" w:hAnsi="Times New Roman" w:cs="Times New Roman"/>
          <w:noProof/>
          <w:sz w:val="24"/>
          <w:szCs w:val="24"/>
        </w:rPr>
        <w:drawing>
          <wp:inline distT="0" distB="0" distL="0" distR="0" wp14:anchorId="7833BDB9" wp14:editId="74026D6C">
            <wp:extent cx="5448300" cy="2690495"/>
            <wp:effectExtent l="0" t="0" r="0" b="14605"/>
            <wp:docPr id="4" name="Chart 4">
              <a:extLst xmlns:a="http://schemas.openxmlformats.org/drawingml/2006/main">
                <a:ext uri="{FF2B5EF4-FFF2-40B4-BE49-F238E27FC236}">
                  <a16:creationId xmlns:a16="http://schemas.microsoft.com/office/drawing/2014/main" id="{948AEACB-FB9F-4F05-88B6-EC35F08F74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977725" w14:textId="77777777" w:rsidR="009E0D80" w:rsidRPr="000C2EF6" w:rsidRDefault="009E0D80" w:rsidP="009E0D80">
      <w:pPr>
        <w:spacing w:after="0" w:line="264" w:lineRule="auto"/>
        <w:ind w:firstLine="720"/>
        <w:rPr>
          <w:rFonts w:ascii="Times New Roman" w:hAnsi="Times New Roman" w:cs="Times New Roman"/>
          <w:sz w:val="24"/>
          <w:szCs w:val="24"/>
        </w:rPr>
      </w:pPr>
    </w:p>
    <w:p w14:paraId="6AC29DE1" w14:textId="77777777" w:rsidR="009E0D80" w:rsidRPr="000C2EF6" w:rsidRDefault="009E0D80" w:rsidP="009E0D80">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2016. gada septembrī ar Pasaules veselības organizācijas (PVO) Eiropas Reģionālās Komitejas atbalstu tika apstiprināts “PVO rīcības plāns veselības nozarē Eiropas reģionam, reaģējot uz HIV”</w:t>
      </w:r>
      <w:r w:rsidRPr="000C2EF6">
        <w:rPr>
          <w:rStyle w:val="FootnoteReference"/>
          <w:rFonts w:ascii="Times New Roman" w:hAnsi="Times New Roman" w:cs="Times New Roman"/>
          <w:sz w:val="24"/>
          <w:szCs w:val="24"/>
        </w:rPr>
        <w:footnoteReference w:id="26"/>
      </w:r>
      <w:r w:rsidRPr="000C2EF6">
        <w:rPr>
          <w:rFonts w:ascii="Times New Roman" w:hAnsi="Times New Roman" w:cs="Times New Roman"/>
          <w:sz w:val="24"/>
          <w:szCs w:val="24"/>
        </w:rPr>
        <w:t xml:space="preserve">, kurā tika izvirzīts mērķis līdz 2030. gadam izbeigt HIV epidēmiju, panākot to, ka 90% no HIV inficētām personām zina savu statusu, 90% no personām, kam atklāta HIV infekcija, saņem ārstēšanu un 90% no tām personām, kas saņem ārstēšanu, tā ir efektīva. </w:t>
      </w:r>
    </w:p>
    <w:p w14:paraId="472FBFF7" w14:textId="26915C2A" w:rsidR="009E0D80" w:rsidRDefault="009E0D80" w:rsidP="009E0D80">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Viens no efektīvākajiem HIV infekcijas profilakses pasākumiem ir inficēto personu ārstēšana. </w:t>
      </w:r>
      <w:r w:rsidR="006849C3">
        <w:rPr>
          <w:rFonts w:ascii="Times New Roman" w:hAnsi="Times New Roman" w:cs="Times New Roman"/>
          <w:sz w:val="24"/>
          <w:szCs w:val="24"/>
        </w:rPr>
        <w:t xml:space="preserve">Līdz ar to tiek panākts tas, ka pēc iespējas agrīnākā HIV infekcijas stadijā tiek novērsts infekcijas tālāk izplatīšanas risks. </w:t>
      </w:r>
      <w:r w:rsidRPr="000C2EF6">
        <w:rPr>
          <w:rFonts w:ascii="Times New Roman" w:hAnsi="Times New Roman" w:cs="Times New Roman"/>
          <w:sz w:val="24"/>
          <w:szCs w:val="24"/>
        </w:rPr>
        <w:t xml:space="preserve">No 2018. gada HIV ārstēšanu uzsāka pie CD šūnu skaita 500. Tomēr HIV inficēto personu skaits, kas uzsāka ARV terapiju, nav pieaudzis tik </w:t>
      </w:r>
      <w:r w:rsidRPr="000C2EF6">
        <w:rPr>
          <w:rFonts w:ascii="Times New Roman" w:hAnsi="Times New Roman" w:cs="Times New Roman"/>
          <w:sz w:val="24"/>
          <w:szCs w:val="24"/>
        </w:rPr>
        <w:lastRenderedPageBreak/>
        <w:t xml:space="preserve">strauji, kā tika plānots, tādēļ no 2018. gada 1. oktobra ir atcelti jebkādi ierobežojumi HIV ārstēšanas uzsākšanai. </w:t>
      </w:r>
    </w:p>
    <w:p w14:paraId="0DE450E8" w14:textId="77777777" w:rsidR="009E0D80" w:rsidRPr="000C2EF6" w:rsidRDefault="009E0D80" w:rsidP="009E0D80">
      <w:pPr>
        <w:spacing w:after="0" w:line="264" w:lineRule="auto"/>
        <w:ind w:firstLine="720"/>
        <w:jc w:val="right"/>
        <w:rPr>
          <w:rFonts w:ascii="Times New Roman" w:hAnsi="Times New Roman" w:cs="Times New Roman"/>
          <w:sz w:val="24"/>
          <w:szCs w:val="24"/>
        </w:rPr>
      </w:pPr>
      <w:r>
        <w:rPr>
          <w:rFonts w:ascii="Times New Roman" w:hAnsi="Times New Roman" w:cs="Times New Roman"/>
          <w:sz w:val="24"/>
          <w:szCs w:val="24"/>
        </w:rPr>
        <w:t>2.attēls</w:t>
      </w:r>
    </w:p>
    <w:p w14:paraId="0B009685" w14:textId="0E389C3C" w:rsidR="009E0D80" w:rsidRPr="000C2EF6" w:rsidRDefault="009E0D80" w:rsidP="009E0D80">
      <w:pPr>
        <w:spacing w:after="0" w:line="264" w:lineRule="auto"/>
        <w:ind w:firstLine="720"/>
        <w:rPr>
          <w:rFonts w:ascii="Times New Roman" w:hAnsi="Times New Roman" w:cs="Times New Roman"/>
          <w:sz w:val="24"/>
          <w:szCs w:val="24"/>
        </w:rPr>
      </w:pPr>
      <w:r w:rsidRPr="000C2EF6">
        <w:rPr>
          <w:rFonts w:ascii="Times New Roman" w:hAnsi="Times New Roman" w:cs="Times New Roman"/>
          <w:noProof/>
          <w:sz w:val="24"/>
          <w:szCs w:val="24"/>
        </w:rPr>
        <w:drawing>
          <wp:inline distT="0" distB="0" distL="0" distR="0" wp14:anchorId="1C2CB4F5" wp14:editId="7A26E40E">
            <wp:extent cx="4572000" cy="2743200"/>
            <wp:effectExtent l="0" t="0" r="0" b="0"/>
            <wp:docPr id="5" name="Chart 5">
              <a:extLst xmlns:a="http://schemas.openxmlformats.org/drawingml/2006/main">
                <a:ext uri="{FF2B5EF4-FFF2-40B4-BE49-F238E27FC236}">
                  <a16:creationId xmlns:a16="http://schemas.microsoft.com/office/drawing/2014/main" id="{8C8F241B-FDB4-41F8-A277-1962A14A0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9B35AC" w14:textId="77777777" w:rsidR="009E0D80" w:rsidRPr="000C2EF6" w:rsidRDefault="009E0D80" w:rsidP="009E0D80">
      <w:pPr>
        <w:spacing w:after="0" w:line="264" w:lineRule="auto"/>
        <w:ind w:firstLine="720"/>
        <w:rPr>
          <w:rFonts w:ascii="Times New Roman" w:hAnsi="Times New Roman" w:cs="Times New Roman"/>
          <w:sz w:val="24"/>
          <w:szCs w:val="24"/>
        </w:rPr>
      </w:pPr>
    </w:p>
    <w:p w14:paraId="4D66DAA7" w14:textId="77777777" w:rsidR="009E0D80" w:rsidRPr="000C2EF6" w:rsidRDefault="009E0D80" w:rsidP="009E0D80">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Veicot pasākumus ARV terapijas pieejamības uzlabošanai, 2018. gada pirmajos 7 mēnešos ARV terapiju saņēma apmēram 42% ar HIV inficētās personas.  Atbilstoši PVO rekomendācijām, lai apturētu HIV infekcijas izplatību, jāpanāk, lai HIV ārstēšanu saņem 90% no visiem HIV inficētajiem. Lai to panāktu, ir jāveicina šo personu nonākšana pie ārsta, lai uzsāktu ārstēšanu un jāveicina to HIV inficēto personu, kas uzsākušas ārstēšanu,  sadarbība ar ārstu un iesaiste ārstēšanas procesā mūža garumā.</w:t>
      </w:r>
    </w:p>
    <w:p w14:paraId="7DDF2A55" w14:textId="14130249" w:rsidR="009E0D80" w:rsidRDefault="009E0D80" w:rsidP="009E0D80">
      <w:pPr>
        <w:spacing w:after="120"/>
        <w:ind w:firstLine="720"/>
        <w:jc w:val="both"/>
        <w:rPr>
          <w:rFonts w:ascii="Times New Roman" w:hAnsi="Times New Roman" w:cs="Times New Roman"/>
          <w:color w:val="000000"/>
          <w:sz w:val="24"/>
          <w:szCs w:val="24"/>
        </w:rPr>
      </w:pPr>
      <w:r w:rsidRPr="000C2EF6">
        <w:rPr>
          <w:rFonts w:ascii="Times New Roman" w:hAnsi="Times New Roman" w:cs="Times New Roman"/>
          <w:color w:val="000000"/>
          <w:sz w:val="24"/>
          <w:szCs w:val="24"/>
        </w:rPr>
        <w:t>Kā liecina SIA “Rīgas Austrumu klīniskās universitātes slimnīcas” (RAKUS) speciālistu apkopotie dati, 2017. gadā ARV terapiju pārtrauca 259 pacienti un 42% no viņiem ārstēšanos pārtrauca nelīdzestības dēļ. Līdz ar to no valsts budžeta ieguldītie līdzekļi ARV terapijai netiek izmantoti pilnvērtīgi, jo netiek sasniegts HIV terapijas mērķis – samazināts HIV vīrusa šūnu skaits cilvēka organismā līdz minimumam.</w:t>
      </w:r>
      <w:r>
        <w:rPr>
          <w:rFonts w:ascii="Times New Roman" w:hAnsi="Times New Roman" w:cs="Times New Roman"/>
          <w:color w:val="000000"/>
          <w:sz w:val="24"/>
          <w:szCs w:val="24"/>
        </w:rPr>
        <w:t xml:space="preserve"> </w:t>
      </w:r>
    </w:p>
    <w:p w14:paraId="3B8C5D49" w14:textId="77777777" w:rsidR="00150E8C" w:rsidRDefault="00150E8C" w:rsidP="00150E8C">
      <w:pPr>
        <w:spacing w:after="120"/>
        <w:ind w:firstLine="720"/>
        <w:jc w:val="right"/>
        <w:rPr>
          <w:rFonts w:ascii="Times New Roman" w:eastAsia="Times New Roman" w:hAnsi="Times New Roman" w:cs="Times New Roman"/>
          <w:bCs/>
          <w:i/>
          <w:sz w:val="24"/>
          <w:szCs w:val="24"/>
          <w:lang w:eastAsia="lv-LV"/>
        </w:rPr>
        <w:sectPr w:rsidR="00150E8C" w:rsidSect="00333B64">
          <w:pgSz w:w="12240" w:h="15840"/>
          <w:pgMar w:top="1440" w:right="1440" w:bottom="1440" w:left="1701" w:header="708" w:footer="708" w:gutter="0"/>
          <w:cols w:space="708"/>
          <w:docGrid w:linePitch="360"/>
        </w:sectPr>
      </w:pPr>
    </w:p>
    <w:p w14:paraId="41302764" w14:textId="3CF322DF" w:rsidR="00BD532C" w:rsidRPr="00E11AFF" w:rsidRDefault="0083767E" w:rsidP="00E11AFF">
      <w:pPr>
        <w:spacing w:after="120"/>
        <w:ind w:firstLine="720"/>
        <w:jc w:val="right"/>
        <w:rPr>
          <w:rFonts w:ascii="Times New Roman" w:hAnsi="Times New Roman" w:cs="Times New Roman"/>
          <w:color w:val="000000"/>
          <w:sz w:val="24"/>
          <w:szCs w:val="24"/>
        </w:rPr>
      </w:pPr>
      <w:r w:rsidRPr="00E11AFF">
        <w:rPr>
          <w:rFonts w:ascii="Times New Roman" w:eastAsia="Times New Roman" w:hAnsi="Times New Roman" w:cs="Times New Roman"/>
          <w:bCs/>
          <w:i/>
          <w:sz w:val="24"/>
          <w:szCs w:val="24"/>
          <w:lang w:eastAsia="lv-LV"/>
        </w:rPr>
        <w:lastRenderedPageBreak/>
        <w:t>5</w:t>
      </w:r>
      <w:r w:rsidR="000678A1">
        <w:rPr>
          <w:rFonts w:ascii="Times New Roman" w:eastAsia="Times New Roman" w:hAnsi="Times New Roman" w:cs="Times New Roman"/>
          <w:bCs/>
          <w:i/>
          <w:sz w:val="24"/>
          <w:szCs w:val="24"/>
          <w:lang w:eastAsia="lv-LV"/>
        </w:rPr>
        <w:t>7</w:t>
      </w:r>
      <w:r w:rsidRPr="00E11AFF">
        <w:rPr>
          <w:rFonts w:ascii="Times New Roman" w:eastAsia="Times New Roman" w:hAnsi="Times New Roman" w:cs="Times New Roman"/>
          <w:bCs/>
          <w:i/>
          <w:sz w:val="24"/>
          <w:szCs w:val="24"/>
          <w:lang w:eastAsia="lv-LV"/>
        </w:rPr>
        <w:t>.tabula</w:t>
      </w:r>
    </w:p>
    <w:p w14:paraId="6C6ACAD3" w14:textId="538C22D6" w:rsidR="00BD532C" w:rsidRPr="00E11AFF" w:rsidRDefault="00150E8C" w:rsidP="00E11AFF">
      <w:pPr>
        <w:spacing w:after="0" w:line="240" w:lineRule="auto"/>
        <w:jc w:val="center"/>
        <w:rPr>
          <w:rFonts w:ascii="Times New Roman" w:eastAsia="Times New Roman" w:hAnsi="Times New Roman" w:cs="Times New Roman"/>
          <w:b/>
          <w:bCs/>
          <w:sz w:val="24"/>
          <w:szCs w:val="24"/>
          <w:lang w:eastAsia="lv-LV"/>
        </w:rPr>
      </w:pPr>
      <w:r w:rsidRPr="00E11AFF">
        <w:rPr>
          <w:rFonts w:ascii="Times New Roman" w:eastAsia="Times New Roman" w:hAnsi="Times New Roman" w:cs="Times New Roman"/>
          <w:b/>
          <w:bCs/>
          <w:sz w:val="24"/>
          <w:szCs w:val="24"/>
          <w:lang w:eastAsia="lv-LV"/>
        </w:rPr>
        <w:t>HIV līdzestības kabineta izveidei, atbalsta personu nodrošināšanai un mobilās vienības nodrošināšanai nepieciešamais finansējums 2017., 2018. un 2019.gadam</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4"/>
        <w:gridCol w:w="850"/>
        <w:gridCol w:w="851"/>
        <w:gridCol w:w="845"/>
        <w:gridCol w:w="846"/>
        <w:gridCol w:w="850"/>
        <w:gridCol w:w="851"/>
        <w:gridCol w:w="992"/>
        <w:gridCol w:w="851"/>
        <w:gridCol w:w="850"/>
        <w:gridCol w:w="851"/>
        <w:gridCol w:w="850"/>
        <w:gridCol w:w="709"/>
        <w:gridCol w:w="850"/>
      </w:tblGrid>
      <w:tr w:rsidR="0083767E" w14:paraId="461CF1D9" w14:textId="77777777" w:rsidTr="00037BA1">
        <w:trPr>
          <w:cantSplit/>
          <w:trHeight w:val="1505"/>
          <w:jc w:val="center"/>
        </w:trPr>
        <w:tc>
          <w:tcPr>
            <w:tcW w:w="426" w:type="dxa"/>
            <w:shd w:val="clear" w:color="auto" w:fill="E36C0A" w:themeFill="accent6" w:themeFillShade="BF"/>
          </w:tcPr>
          <w:p w14:paraId="4F2816DB" w14:textId="77777777" w:rsidR="0083767E" w:rsidRPr="00847710" w:rsidRDefault="0083767E" w:rsidP="00D1261D">
            <w:pPr>
              <w:spacing w:after="0" w:line="240" w:lineRule="auto"/>
              <w:rPr>
                <w:rFonts w:ascii="Times New Roman" w:eastAsia="Times New Roman" w:hAnsi="Times New Roman" w:cs="Times New Roman"/>
                <w:b/>
                <w:bCs/>
                <w:sz w:val="20"/>
                <w:szCs w:val="20"/>
                <w:lang w:eastAsia="lv-LV"/>
              </w:rPr>
            </w:pPr>
          </w:p>
        </w:tc>
        <w:tc>
          <w:tcPr>
            <w:tcW w:w="1564" w:type="dxa"/>
            <w:shd w:val="clear" w:color="auto" w:fill="E36C0A" w:themeFill="accent6" w:themeFillShade="BF"/>
            <w:vAlign w:val="center"/>
            <w:hideMark/>
          </w:tcPr>
          <w:p w14:paraId="5001BF20" w14:textId="77777777" w:rsidR="0083767E" w:rsidRPr="00847710" w:rsidRDefault="0083767E" w:rsidP="00D1261D">
            <w:pPr>
              <w:spacing w:after="0" w:line="240" w:lineRule="auto"/>
              <w:rPr>
                <w:rFonts w:ascii="Times New Roman" w:eastAsia="Times New Roman" w:hAnsi="Times New Roman" w:cs="Times New Roman"/>
                <w:b/>
                <w:bCs/>
                <w:sz w:val="20"/>
                <w:szCs w:val="20"/>
                <w:lang w:eastAsia="lv-LV"/>
              </w:rPr>
            </w:pPr>
          </w:p>
        </w:tc>
        <w:tc>
          <w:tcPr>
            <w:tcW w:w="850" w:type="dxa"/>
            <w:shd w:val="clear" w:color="auto" w:fill="E36C0A" w:themeFill="accent6" w:themeFillShade="BF"/>
            <w:textDirection w:val="btLr"/>
            <w:vAlign w:val="center"/>
            <w:hideMark/>
          </w:tcPr>
          <w:p w14:paraId="6E0E1A38" w14:textId="77777777" w:rsidR="0083767E" w:rsidRPr="00847710" w:rsidRDefault="0083767E"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p>
          <w:p w14:paraId="2E10D041" w14:textId="77777777" w:rsidR="0083767E" w:rsidRPr="00847710" w:rsidRDefault="0083767E"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6121578" w14:textId="77777777" w:rsidR="0083767E" w:rsidRPr="00847710" w:rsidRDefault="0083767E"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2542" w:type="dxa"/>
            <w:gridSpan w:val="3"/>
            <w:shd w:val="clear" w:color="auto" w:fill="E36C0A" w:themeFill="accent6" w:themeFillShade="BF"/>
            <w:textDirection w:val="btLr"/>
            <w:vAlign w:val="center"/>
          </w:tcPr>
          <w:p w14:paraId="0ECE7DDB" w14:textId="77777777" w:rsidR="0083767E" w:rsidRPr="00847710" w:rsidRDefault="0083767E"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693" w:type="dxa"/>
            <w:gridSpan w:val="3"/>
            <w:shd w:val="clear" w:color="auto" w:fill="E36C0A" w:themeFill="accent6" w:themeFillShade="BF"/>
            <w:textDirection w:val="btLr"/>
            <w:vAlign w:val="center"/>
          </w:tcPr>
          <w:p w14:paraId="22BEE532" w14:textId="77777777" w:rsidR="0083767E" w:rsidRPr="00847710" w:rsidRDefault="0083767E"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52" w:type="dxa"/>
            <w:gridSpan w:val="3"/>
            <w:shd w:val="clear" w:color="auto" w:fill="E36C0A" w:themeFill="accent6" w:themeFillShade="BF"/>
            <w:textDirection w:val="btLr"/>
            <w:vAlign w:val="center"/>
          </w:tcPr>
          <w:p w14:paraId="106B7034" w14:textId="77777777" w:rsidR="0083767E" w:rsidRPr="00847710" w:rsidRDefault="0083767E"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409" w:type="dxa"/>
            <w:gridSpan w:val="3"/>
            <w:shd w:val="clear" w:color="auto" w:fill="E36C0A" w:themeFill="accent6" w:themeFillShade="BF"/>
            <w:textDirection w:val="btLr"/>
            <w:vAlign w:val="center"/>
          </w:tcPr>
          <w:p w14:paraId="04BC47D9" w14:textId="77777777" w:rsidR="0083767E" w:rsidRPr="00847710" w:rsidRDefault="0083767E"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1B1836" w14:paraId="11A9DF71" w14:textId="77777777" w:rsidTr="00037BA1">
        <w:trPr>
          <w:trHeight w:val="640"/>
          <w:jc w:val="center"/>
        </w:trPr>
        <w:tc>
          <w:tcPr>
            <w:tcW w:w="426" w:type="dxa"/>
            <w:shd w:val="clear" w:color="auto" w:fill="FABF8F" w:themeFill="accent6" w:themeFillTint="99"/>
          </w:tcPr>
          <w:p w14:paraId="5F76FD81"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p>
        </w:tc>
        <w:tc>
          <w:tcPr>
            <w:tcW w:w="1564" w:type="dxa"/>
            <w:shd w:val="clear" w:color="auto" w:fill="FABF8F" w:themeFill="accent6" w:themeFillTint="99"/>
            <w:vAlign w:val="center"/>
          </w:tcPr>
          <w:p w14:paraId="72E81860"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FABF8F" w:themeFill="accent6" w:themeFillTint="99"/>
            <w:vAlign w:val="center"/>
          </w:tcPr>
          <w:p w14:paraId="4CFC04E6" w14:textId="77777777" w:rsidR="0083767E" w:rsidRPr="00847710" w:rsidRDefault="0083767E"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7B54C64A"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7E4803CF" w14:textId="77777777" w:rsidR="0083767E"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2BC71104" w14:textId="77777777" w:rsidR="0083767E" w:rsidRPr="0012317D" w:rsidRDefault="0083767E"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45" w:type="dxa"/>
            <w:shd w:val="clear" w:color="auto" w:fill="FABF8F" w:themeFill="accent6" w:themeFillTint="99"/>
            <w:vAlign w:val="center"/>
          </w:tcPr>
          <w:p w14:paraId="0EE480D3" w14:textId="77777777" w:rsidR="0083767E"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F2EE53B" w14:textId="77777777" w:rsidR="0083767E" w:rsidRPr="0012317D" w:rsidRDefault="0083767E"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46" w:type="dxa"/>
            <w:shd w:val="clear" w:color="auto" w:fill="FABF8F" w:themeFill="accent6" w:themeFillTint="99"/>
            <w:vAlign w:val="center"/>
          </w:tcPr>
          <w:p w14:paraId="751D0CAE" w14:textId="77777777" w:rsidR="0083767E"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767C5FFA" w14:textId="77777777" w:rsidR="0083767E" w:rsidRPr="0012317D" w:rsidRDefault="0083767E"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1C7AE1E6" w14:textId="77777777" w:rsidR="0083767E"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138F392" w14:textId="77777777" w:rsidR="0083767E" w:rsidRPr="0012317D" w:rsidRDefault="0083767E"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70E4F8A9" w14:textId="77777777" w:rsidR="0083767E"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1B245652" w14:textId="77777777" w:rsidR="0083767E" w:rsidRPr="0012317D" w:rsidRDefault="0083767E"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5C10430E" w14:textId="77777777" w:rsidR="0083767E" w:rsidRPr="00C86312" w:rsidRDefault="0083767E"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76E963EC" w14:textId="77777777" w:rsidR="0083767E" w:rsidRPr="00C86312" w:rsidRDefault="0083767E"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72AB4DE4"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0" w:type="dxa"/>
            <w:shd w:val="clear" w:color="auto" w:fill="FABF8F" w:themeFill="accent6" w:themeFillTint="99"/>
            <w:vAlign w:val="center"/>
          </w:tcPr>
          <w:p w14:paraId="30D81918"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6D476B88"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0" w:type="dxa"/>
            <w:shd w:val="clear" w:color="auto" w:fill="FABF8F" w:themeFill="accent6" w:themeFillTint="99"/>
            <w:vAlign w:val="center"/>
          </w:tcPr>
          <w:p w14:paraId="67F53AFD"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45E4DC0B"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77DA6D8E" w14:textId="77777777" w:rsidR="0083767E" w:rsidRPr="00847710" w:rsidRDefault="0083767E"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1B1836" w14:paraId="1034B032" w14:textId="77777777" w:rsidTr="00037BA1">
        <w:trPr>
          <w:trHeight w:val="598"/>
          <w:jc w:val="center"/>
        </w:trPr>
        <w:tc>
          <w:tcPr>
            <w:tcW w:w="426" w:type="dxa"/>
            <w:shd w:val="clear" w:color="auto" w:fill="FFFFFF" w:themeFill="background1"/>
          </w:tcPr>
          <w:p w14:paraId="3CEDB975"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564" w:type="dxa"/>
            <w:shd w:val="clear" w:color="auto" w:fill="FFFFFF" w:themeFill="background1"/>
            <w:vAlign w:val="center"/>
          </w:tcPr>
          <w:p w14:paraId="06F09B51" w14:textId="77777777" w:rsidR="0083767E" w:rsidRPr="00E1067B" w:rsidRDefault="0083767E" w:rsidP="00D1261D">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HIV līdzestības kabineta izveide</w:t>
            </w:r>
          </w:p>
        </w:tc>
        <w:tc>
          <w:tcPr>
            <w:tcW w:w="850" w:type="dxa"/>
            <w:shd w:val="clear" w:color="auto" w:fill="FFFFFF" w:themeFill="background1"/>
            <w:vAlign w:val="center"/>
          </w:tcPr>
          <w:p w14:paraId="578335C9" w14:textId="49343033" w:rsidR="0083767E" w:rsidRPr="00E1067B" w:rsidRDefault="001A2FC0" w:rsidP="00D1261D">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p>
        </w:tc>
        <w:tc>
          <w:tcPr>
            <w:tcW w:w="851" w:type="dxa"/>
            <w:shd w:val="clear" w:color="auto" w:fill="FFFFFF" w:themeFill="background1"/>
            <w:vAlign w:val="center"/>
          </w:tcPr>
          <w:p w14:paraId="5FB3452C" w14:textId="77777777" w:rsidR="0083767E"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45" w:type="dxa"/>
            <w:shd w:val="clear" w:color="auto" w:fill="FFFFFF" w:themeFill="background1"/>
            <w:vAlign w:val="center"/>
          </w:tcPr>
          <w:p w14:paraId="7B718B10" w14:textId="77777777" w:rsidR="0083767E"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46" w:type="dxa"/>
            <w:shd w:val="clear" w:color="auto" w:fill="FFFFFF" w:themeFill="background1"/>
            <w:vAlign w:val="center"/>
          </w:tcPr>
          <w:p w14:paraId="4DF0DC19"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C388B84" w14:textId="77777777" w:rsidR="0083767E"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104D1807" w14:textId="77777777" w:rsidR="0083767E"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789F8C8C" w14:textId="77777777" w:rsidR="0083767E" w:rsidRPr="00030FAC" w:rsidRDefault="0083767E" w:rsidP="00D1261D">
            <w:pPr>
              <w:spacing w:after="0" w:line="240" w:lineRule="auto"/>
              <w:jc w:val="center"/>
              <w:rPr>
                <w:rFonts w:ascii="Times New Roman" w:eastAsia="Times New Roman" w:hAnsi="Times New Roman" w:cs="Times New Roman"/>
                <w:bCs/>
                <w:sz w:val="16"/>
                <w:szCs w:val="16"/>
                <w:lang w:eastAsia="lv-LV"/>
              </w:rPr>
            </w:pPr>
            <w:r w:rsidRPr="00030FAC">
              <w:rPr>
                <w:rFonts w:ascii="Times New Roman" w:hAnsi="Times New Roman" w:cs="Times New Roman"/>
                <w:sz w:val="16"/>
                <w:szCs w:val="16"/>
              </w:rPr>
              <w:t xml:space="preserve">21 465  </w:t>
            </w:r>
          </w:p>
        </w:tc>
        <w:tc>
          <w:tcPr>
            <w:tcW w:w="851" w:type="dxa"/>
            <w:shd w:val="clear" w:color="auto" w:fill="FFFFFF" w:themeFill="background1"/>
            <w:vAlign w:val="center"/>
          </w:tcPr>
          <w:p w14:paraId="1BDFC60E"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2BDCFD7"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6DB5341"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715D109" w14:textId="77777777" w:rsidR="0083767E"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7B0119D0" w14:textId="77777777" w:rsidR="0083767E"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4482EB4" w14:textId="525839BF" w:rsidR="0083767E" w:rsidRPr="008357EF" w:rsidRDefault="001A2FC0" w:rsidP="00D1261D">
            <w:pPr>
              <w:spacing w:after="0" w:line="240" w:lineRule="auto"/>
              <w:jc w:val="center"/>
              <w:rPr>
                <w:rFonts w:ascii="Times New Roman" w:eastAsia="Times New Roman" w:hAnsi="Times New Roman" w:cs="Times New Roman"/>
                <w:bCs/>
                <w:sz w:val="20"/>
                <w:szCs w:val="20"/>
                <w:vertAlign w:val="superscript"/>
                <w:lang w:eastAsia="lv-LV"/>
              </w:rPr>
            </w:pPr>
            <w:r w:rsidRPr="00AF3D6C">
              <w:rPr>
                <w:rFonts w:ascii="Times New Roman" w:eastAsia="Times New Roman" w:hAnsi="Times New Roman" w:cs="Times New Roman"/>
                <w:bCs/>
                <w:sz w:val="20"/>
                <w:szCs w:val="20"/>
                <w:lang w:eastAsia="lv-LV"/>
              </w:rPr>
              <w:t>504</w:t>
            </w:r>
            <w:r w:rsidR="008357EF">
              <w:rPr>
                <w:rFonts w:ascii="Times New Roman" w:eastAsia="Times New Roman" w:hAnsi="Times New Roman" w:cs="Times New Roman"/>
                <w:bCs/>
                <w:sz w:val="20"/>
                <w:szCs w:val="20"/>
                <w:vertAlign w:val="superscript"/>
                <w:lang w:eastAsia="lv-LV"/>
              </w:rPr>
              <w:t>1</w:t>
            </w:r>
          </w:p>
        </w:tc>
      </w:tr>
      <w:tr w:rsidR="001B1836" w14:paraId="01D127EF" w14:textId="77777777" w:rsidTr="00037BA1">
        <w:trPr>
          <w:trHeight w:val="598"/>
          <w:jc w:val="center"/>
        </w:trPr>
        <w:tc>
          <w:tcPr>
            <w:tcW w:w="426" w:type="dxa"/>
            <w:shd w:val="clear" w:color="auto" w:fill="FFFFFF" w:themeFill="background1"/>
          </w:tcPr>
          <w:p w14:paraId="50582AEE"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r w:rsidRPr="00E1067B">
              <w:rPr>
                <w:rFonts w:ascii="Times New Roman" w:eastAsia="Times New Roman" w:hAnsi="Times New Roman" w:cs="Times New Roman"/>
                <w:bCs/>
                <w:sz w:val="20"/>
                <w:szCs w:val="20"/>
                <w:lang w:eastAsia="lv-LV"/>
              </w:rPr>
              <w:t>.</w:t>
            </w:r>
          </w:p>
        </w:tc>
        <w:tc>
          <w:tcPr>
            <w:tcW w:w="1564" w:type="dxa"/>
            <w:shd w:val="clear" w:color="auto" w:fill="FFFFFF" w:themeFill="background1"/>
            <w:vAlign w:val="center"/>
          </w:tcPr>
          <w:p w14:paraId="6173D236" w14:textId="77777777" w:rsidR="0083767E" w:rsidRPr="00E1067B" w:rsidRDefault="0083767E" w:rsidP="00D1261D">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Atbalsta personu nodrošināšana</w:t>
            </w:r>
          </w:p>
        </w:tc>
        <w:tc>
          <w:tcPr>
            <w:tcW w:w="850" w:type="dxa"/>
            <w:shd w:val="clear" w:color="auto" w:fill="FFFFFF" w:themeFill="background1"/>
            <w:vAlign w:val="center"/>
          </w:tcPr>
          <w:p w14:paraId="33545515" w14:textId="77777777" w:rsidR="0083767E" w:rsidRPr="00E1067B" w:rsidRDefault="0083767E" w:rsidP="00D1261D">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p>
        </w:tc>
        <w:tc>
          <w:tcPr>
            <w:tcW w:w="851" w:type="dxa"/>
            <w:shd w:val="clear" w:color="auto" w:fill="FFFFFF" w:themeFill="background1"/>
            <w:vAlign w:val="center"/>
          </w:tcPr>
          <w:p w14:paraId="4550DCF2"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45" w:type="dxa"/>
            <w:shd w:val="clear" w:color="auto" w:fill="FFFFFF" w:themeFill="background1"/>
            <w:vAlign w:val="center"/>
          </w:tcPr>
          <w:p w14:paraId="4A391358"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46" w:type="dxa"/>
            <w:shd w:val="clear" w:color="auto" w:fill="FFFFFF" w:themeFill="background1"/>
            <w:vAlign w:val="center"/>
          </w:tcPr>
          <w:p w14:paraId="0AA7F23C"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804A469"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15244E54"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2CDD9B7F" w14:textId="77777777" w:rsidR="0083767E" w:rsidRPr="00030FAC" w:rsidRDefault="0083767E" w:rsidP="00D1261D">
            <w:pPr>
              <w:spacing w:after="0" w:line="240" w:lineRule="auto"/>
              <w:jc w:val="center"/>
              <w:rPr>
                <w:rFonts w:ascii="Times New Roman" w:eastAsia="Times New Roman" w:hAnsi="Times New Roman" w:cs="Times New Roman"/>
                <w:bCs/>
                <w:sz w:val="16"/>
                <w:szCs w:val="16"/>
                <w:lang w:eastAsia="lv-LV"/>
              </w:rPr>
            </w:pPr>
            <w:r w:rsidRPr="00030FAC">
              <w:rPr>
                <w:rFonts w:ascii="Times New Roman" w:eastAsia="Times New Roman" w:hAnsi="Times New Roman" w:cs="Times New Roman"/>
                <w:bCs/>
                <w:color w:val="000000"/>
                <w:sz w:val="16"/>
                <w:szCs w:val="16"/>
                <w:lang w:eastAsia="lv-LV"/>
              </w:rPr>
              <w:t>14 000</w:t>
            </w:r>
          </w:p>
        </w:tc>
        <w:tc>
          <w:tcPr>
            <w:tcW w:w="851" w:type="dxa"/>
            <w:shd w:val="clear" w:color="auto" w:fill="FFFFFF" w:themeFill="background1"/>
            <w:vAlign w:val="center"/>
          </w:tcPr>
          <w:p w14:paraId="4CA32CB4"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AF6DFDE"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BF6FF65"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DB0A4ED"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6CB3ECC4" w14:textId="77777777" w:rsidR="0083767E" w:rsidRPr="00E1067B" w:rsidRDefault="0083767E"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D8EFEC8" w14:textId="1DAC2E27" w:rsidR="0083767E" w:rsidRPr="008357EF" w:rsidRDefault="00122FFC" w:rsidP="00D1261D">
            <w:pPr>
              <w:spacing w:after="0" w:line="240" w:lineRule="auto"/>
              <w:jc w:val="center"/>
              <w:rPr>
                <w:rFonts w:ascii="Times New Roman" w:eastAsia="Times New Roman" w:hAnsi="Times New Roman" w:cs="Times New Roman"/>
                <w:bCs/>
                <w:sz w:val="20"/>
                <w:szCs w:val="20"/>
                <w:vertAlign w:val="superscript"/>
                <w:lang w:eastAsia="lv-LV"/>
              </w:rPr>
            </w:pPr>
            <w:r w:rsidRPr="00AF3D6C">
              <w:rPr>
                <w:rFonts w:ascii="Times New Roman" w:eastAsia="Times New Roman" w:hAnsi="Times New Roman" w:cs="Times New Roman"/>
                <w:bCs/>
                <w:sz w:val="20"/>
                <w:szCs w:val="20"/>
                <w:lang w:eastAsia="lv-LV"/>
              </w:rPr>
              <w:t>108</w:t>
            </w:r>
            <w:r w:rsidR="008357EF">
              <w:rPr>
                <w:rFonts w:ascii="Times New Roman" w:eastAsia="Times New Roman" w:hAnsi="Times New Roman" w:cs="Times New Roman"/>
                <w:bCs/>
                <w:sz w:val="20"/>
                <w:szCs w:val="20"/>
                <w:vertAlign w:val="superscript"/>
                <w:lang w:eastAsia="lv-LV"/>
              </w:rPr>
              <w:t>1</w:t>
            </w:r>
          </w:p>
        </w:tc>
      </w:tr>
      <w:tr w:rsidR="0083767E" w14:paraId="4A2A5668" w14:textId="77777777" w:rsidTr="00037BA1">
        <w:trPr>
          <w:trHeight w:val="525"/>
          <w:jc w:val="center"/>
        </w:trPr>
        <w:tc>
          <w:tcPr>
            <w:tcW w:w="426" w:type="dxa"/>
            <w:tcBorders>
              <w:top w:val="single" w:sz="4" w:space="0" w:color="auto"/>
              <w:left w:val="single" w:sz="4" w:space="0" w:color="auto"/>
              <w:bottom w:val="single" w:sz="4" w:space="0" w:color="auto"/>
              <w:right w:val="single" w:sz="4" w:space="0" w:color="auto"/>
            </w:tcBorders>
          </w:tcPr>
          <w:p w14:paraId="4FF5B72B" w14:textId="77777777" w:rsidR="0083767E" w:rsidRPr="00847710" w:rsidRDefault="0083767E" w:rsidP="001B183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47710">
              <w:rPr>
                <w:rFonts w:ascii="Times New Roman" w:eastAsia="Times New Roman" w:hAnsi="Times New Roman" w:cs="Times New Roman"/>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vAlign w:val="bottom"/>
          </w:tcPr>
          <w:p w14:paraId="2080C112" w14:textId="77777777" w:rsidR="0083767E" w:rsidRPr="00847710" w:rsidRDefault="0083767E" w:rsidP="00D1261D">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HIV terapija (pacientu skaita pieaugums)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B8EDB" w14:textId="77777777" w:rsidR="0083767E" w:rsidRPr="00847710" w:rsidRDefault="0083767E" w:rsidP="00D1261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4D242DB1" w14:textId="77777777" w:rsidR="0083767E" w:rsidRDefault="0083767E" w:rsidP="00D126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14:paraId="7FF9B9BC" w14:textId="77777777" w:rsidR="0083767E" w:rsidRDefault="0083767E" w:rsidP="00D126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6" w:type="dxa"/>
            <w:tcBorders>
              <w:top w:val="single" w:sz="4" w:space="0" w:color="auto"/>
              <w:left w:val="single" w:sz="4" w:space="0" w:color="auto"/>
              <w:bottom w:val="single" w:sz="4" w:space="0" w:color="auto"/>
              <w:right w:val="single" w:sz="4" w:space="0" w:color="auto"/>
            </w:tcBorders>
            <w:vAlign w:val="center"/>
          </w:tcPr>
          <w:p w14:paraId="2A576AB8" w14:textId="77777777" w:rsidR="0083767E" w:rsidRDefault="0083767E" w:rsidP="00D126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6A5CD69" w14:textId="77777777" w:rsidR="0083767E" w:rsidRDefault="0083767E" w:rsidP="00D126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1C63AAA" w14:textId="77777777" w:rsidR="0083767E" w:rsidRDefault="0083767E" w:rsidP="00D126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57FF9" w14:textId="77777777" w:rsidR="0083767E" w:rsidRPr="00030FAC" w:rsidRDefault="0083767E" w:rsidP="00D1261D">
            <w:pPr>
              <w:spacing w:after="0" w:line="240" w:lineRule="auto"/>
              <w:jc w:val="center"/>
              <w:rPr>
                <w:rFonts w:ascii="Times New Roman" w:eastAsia="Times New Roman" w:hAnsi="Times New Roman" w:cs="Times New Roman"/>
                <w:sz w:val="16"/>
                <w:szCs w:val="16"/>
                <w:lang w:eastAsia="lv-LV"/>
              </w:rPr>
            </w:pPr>
            <w:r w:rsidRPr="00030FAC">
              <w:rPr>
                <w:rFonts w:ascii="Times New Roman" w:eastAsia="Times New Roman" w:hAnsi="Times New Roman" w:cs="Times New Roman"/>
                <w:bCs/>
                <w:color w:val="000000"/>
                <w:sz w:val="16"/>
                <w:szCs w:val="16"/>
                <w:lang w:eastAsia="lv-LV"/>
              </w:rPr>
              <w:t>47 556</w:t>
            </w:r>
          </w:p>
        </w:tc>
        <w:tc>
          <w:tcPr>
            <w:tcW w:w="851" w:type="dxa"/>
            <w:tcBorders>
              <w:top w:val="single" w:sz="4" w:space="0" w:color="auto"/>
              <w:left w:val="single" w:sz="4" w:space="0" w:color="auto"/>
              <w:bottom w:val="single" w:sz="4" w:space="0" w:color="auto"/>
              <w:right w:val="single" w:sz="4" w:space="0" w:color="auto"/>
            </w:tcBorders>
            <w:vAlign w:val="center"/>
          </w:tcPr>
          <w:p w14:paraId="7FCB42BA" w14:textId="77777777" w:rsidR="0083767E" w:rsidRPr="000C29E1" w:rsidRDefault="0083767E" w:rsidP="00D1261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3CBE084" w14:textId="77777777" w:rsidR="0083767E" w:rsidRPr="000C29E1" w:rsidRDefault="0083767E" w:rsidP="00D1261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F71070A" w14:textId="77777777" w:rsidR="0083767E" w:rsidRPr="000C29E1" w:rsidRDefault="0083767E" w:rsidP="00D1261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E27D15E" w14:textId="77777777" w:rsidR="0083767E" w:rsidRPr="000C29E1" w:rsidRDefault="0083767E" w:rsidP="00D1261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897C89B" w14:textId="77777777" w:rsidR="0083767E" w:rsidRPr="000C29E1" w:rsidRDefault="0083767E" w:rsidP="00D1261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center"/>
          </w:tcPr>
          <w:p w14:paraId="71F7CAC2" w14:textId="717358DE" w:rsidR="0083767E" w:rsidRPr="008357EF" w:rsidRDefault="005A2D3F" w:rsidP="00D1261D">
            <w:pPr>
              <w:spacing w:after="0" w:line="240" w:lineRule="auto"/>
              <w:jc w:val="center"/>
              <w:rPr>
                <w:rFonts w:ascii="Times New Roman" w:eastAsia="Times New Roman" w:hAnsi="Times New Roman" w:cs="Times New Roman"/>
                <w:bCs/>
                <w:sz w:val="20"/>
                <w:szCs w:val="20"/>
                <w:highlight w:val="yellow"/>
                <w:vertAlign w:val="superscript"/>
                <w:lang w:eastAsia="lv-LV"/>
              </w:rPr>
            </w:pPr>
            <w:r w:rsidRPr="00AF3D6C">
              <w:rPr>
                <w:rFonts w:ascii="Times New Roman" w:eastAsia="Times New Roman" w:hAnsi="Times New Roman" w:cs="Times New Roman"/>
                <w:bCs/>
                <w:sz w:val="20"/>
                <w:szCs w:val="20"/>
                <w:lang w:eastAsia="lv-LV"/>
              </w:rPr>
              <w:t>2996</w:t>
            </w:r>
            <w:r w:rsidR="008357EF">
              <w:rPr>
                <w:rFonts w:ascii="Times New Roman" w:eastAsia="Times New Roman" w:hAnsi="Times New Roman" w:cs="Times New Roman"/>
                <w:bCs/>
                <w:sz w:val="20"/>
                <w:szCs w:val="20"/>
                <w:vertAlign w:val="superscript"/>
                <w:lang w:eastAsia="lv-LV"/>
              </w:rPr>
              <w:t>1</w:t>
            </w:r>
          </w:p>
        </w:tc>
      </w:tr>
      <w:tr w:rsidR="001B1836" w14:paraId="674A3B24" w14:textId="77777777" w:rsidTr="00037BA1">
        <w:trPr>
          <w:trHeight w:val="296"/>
          <w:jc w:val="center"/>
        </w:trPr>
        <w:tc>
          <w:tcPr>
            <w:tcW w:w="426" w:type="dxa"/>
            <w:shd w:val="clear" w:color="auto" w:fill="FBD4B4" w:themeFill="accent6" w:themeFillTint="66"/>
          </w:tcPr>
          <w:p w14:paraId="5541BD34" w14:textId="77777777" w:rsidR="0083767E" w:rsidRPr="00847710" w:rsidRDefault="0083767E" w:rsidP="00D1261D">
            <w:pPr>
              <w:spacing w:after="0" w:line="240" w:lineRule="auto"/>
              <w:rPr>
                <w:rFonts w:ascii="Times New Roman" w:eastAsia="Times New Roman" w:hAnsi="Times New Roman" w:cs="Times New Roman"/>
                <w:sz w:val="20"/>
                <w:szCs w:val="20"/>
                <w:lang w:eastAsia="lv-LV"/>
              </w:rPr>
            </w:pPr>
          </w:p>
        </w:tc>
        <w:tc>
          <w:tcPr>
            <w:tcW w:w="1564" w:type="dxa"/>
            <w:shd w:val="clear" w:color="auto" w:fill="FBD4B4" w:themeFill="accent6" w:themeFillTint="66"/>
            <w:vAlign w:val="bottom"/>
          </w:tcPr>
          <w:p w14:paraId="56046388" w14:textId="77777777" w:rsidR="0083767E" w:rsidRPr="00847710" w:rsidRDefault="0083767E" w:rsidP="00D1261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850" w:type="dxa"/>
            <w:shd w:val="clear" w:color="auto" w:fill="FBD4B4" w:themeFill="accent6" w:themeFillTint="66"/>
            <w:noWrap/>
            <w:vAlign w:val="bottom"/>
          </w:tcPr>
          <w:p w14:paraId="016B4AFA" w14:textId="77777777" w:rsidR="0083767E" w:rsidRPr="00847710" w:rsidRDefault="0083767E" w:rsidP="00D1261D">
            <w:pPr>
              <w:spacing w:after="0" w:line="240" w:lineRule="auto"/>
              <w:jc w:val="center"/>
              <w:rPr>
                <w:rFonts w:ascii="Times New Roman" w:eastAsia="Times New Roman" w:hAnsi="Times New Roman" w:cs="Times New Roman"/>
                <w:sz w:val="20"/>
                <w:szCs w:val="20"/>
                <w:lang w:eastAsia="lv-LV"/>
              </w:rPr>
            </w:pPr>
          </w:p>
        </w:tc>
        <w:tc>
          <w:tcPr>
            <w:tcW w:w="851" w:type="dxa"/>
            <w:shd w:val="clear" w:color="auto" w:fill="FBD4B4" w:themeFill="accent6" w:themeFillTint="66"/>
            <w:vAlign w:val="center"/>
          </w:tcPr>
          <w:p w14:paraId="0C2801E2" w14:textId="77777777" w:rsidR="0083767E" w:rsidRPr="00847710" w:rsidRDefault="0083767E" w:rsidP="00D1261D">
            <w:pPr>
              <w:spacing w:after="0" w:line="240" w:lineRule="auto"/>
              <w:jc w:val="center"/>
              <w:rPr>
                <w:rFonts w:ascii="Times New Roman" w:hAnsi="Times New Roman" w:cs="Times New Roman"/>
                <w:sz w:val="20"/>
                <w:szCs w:val="20"/>
              </w:rPr>
            </w:pPr>
          </w:p>
        </w:tc>
        <w:tc>
          <w:tcPr>
            <w:tcW w:w="845" w:type="dxa"/>
            <w:shd w:val="clear" w:color="auto" w:fill="FBD4B4" w:themeFill="accent6" w:themeFillTint="66"/>
            <w:vAlign w:val="center"/>
          </w:tcPr>
          <w:p w14:paraId="75DD0341" w14:textId="77777777" w:rsidR="0083767E" w:rsidRPr="00847710" w:rsidRDefault="0083767E" w:rsidP="00D1261D">
            <w:pPr>
              <w:spacing w:after="0" w:line="240" w:lineRule="auto"/>
              <w:jc w:val="center"/>
              <w:rPr>
                <w:rFonts w:ascii="Times New Roman" w:hAnsi="Times New Roman" w:cs="Times New Roman"/>
                <w:sz w:val="20"/>
                <w:szCs w:val="20"/>
              </w:rPr>
            </w:pPr>
          </w:p>
        </w:tc>
        <w:tc>
          <w:tcPr>
            <w:tcW w:w="846" w:type="dxa"/>
            <w:shd w:val="clear" w:color="auto" w:fill="FBD4B4" w:themeFill="accent6" w:themeFillTint="66"/>
            <w:vAlign w:val="center"/>
          </w:tcPr>
          <w:p w14:paraId="3AD2DD3F" w14:textId="77777777" w:rsidR="0083767E" w:rsidRPr="00847710" w:rsidRDefault="0083767E" w:rsidP="00D1261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467E8916" w14:textId="77777777" w:rsidR="0083767E" w:rsidRPr="00847710" w:rsidRDefault="0083767E" w:rsidP="00D1261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7F5DEA9A" w14:textId="77777777" w:rsidR="0083767E" w:rsidRPr="00847710" w:rsidRDefault="0083767E" w:rsidP="00D1261D">
            <w:pPr>
              <w:spacing w:after="0" w:line="240" w:lineRule="auto"/>
              <w:jc w:val="center"/>
              <w:rPr>
                <w:rFonts w:ascii="Times New Roman" w:hAnsi="Times New Roman" w:cs="Times New Roman"/>
                <w:sz w:val="20"/>
                <w:szCs w:val="20"/>
              </w:rPr>
            </w:pPr>
          </w:p>
        </w:tc>
        <w:tc>
          <w:tcPr>
            <w:tcW w:w="992" w:type="dxa"/>
            <w:shd w:val="clear" w:color="auto" w:fill="FBD4B4" w:themeFill="accent6" w:themeFillTint="66"/>
            <w:noWrap/>
            <w:vAlign w:val="center"/>
          </w:tcPr>
          <w:p w14:paraId="50FE1F70" w14:textId="77777777" w:rsidR="0083767E" w:rsidRPr="00030FAC" w:rsidRDefault="0083767E" w:rsidP="00D1261D">
            <w:pPr>
              <w:spacing w:after="0" w:line="240" w:lineRule="auto"/>
              <w:jc w:val="center"/>
              <w:rPr>
                <w:rFonts w:ascii="Times New Roman" w:eastAsia="Times New Roman" w:hAnsi="Times New Roman" w:cs="Times New Roman"/>
                <w:b/>
                <w:sz w:val="16"/>
                <w:szCs w:val="16"/>
                <w:lang w:eastAsia="lv-LV"/>
              </w:rPr>
            </w:pPr>
            <w:r w:rsidRPr="00030FAC">
              <w:rPr>
                <w:rFonts w:ascii="Times New Roman" w:eastAsia="Times New Roman" w:hAnsi="Times New Roman" w:cs="Times New Roman"/>
                <w:b/>
                <w:sz w:val="16"/>
                <w:szCs w:val="16"/>
                <w:lang w:eastAsia="lv-LV"/>
              </w:rPr>
              <w:t>83 021</w:t>
            </w:r>
          </w:p>
        </w:tc>
        <w:tc>
          <w:tcPr>
            <w:tcW w:w="851" w:type="dxa"/>
            <w:shd w:val="clear" w:color="auto" w:fill="FBD4B4" w:themeFill="accent6" w:themeFillTint="66"/>
            <w:vAlign w:val="center"/>
          </w:tcPr>
          <w:p w14:paraId="4008F184" w14:textId="77777777" w:rsidR="0083767E" w:rsidRPr="00AE3965" w:rsidRDefault="0083767E" w:rsidP="00D1261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32262906" w14:textId="77777777" w:rsidR="0083767E" w:rsidRPr="00AE3965" w:rsidRDefault="0083767E" w:rsidP="00D1261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7D009D5F" w14:textId="77777777" w:rsidR="0083767E" w:rsidRPr="00AE3965" w:rsidRDefault="0083767E" w:rsidP="00D1261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1BA24FAF" w14:textId="77777777" w:rsidR="0083767E" w:rsidRPr="00AE3965" w:rsidRDefault="0083767E" w:rsidP="00D1261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3CD79DF4" w14:textId="77777777" w:rsidR="0083767E" w:rsidRPr="00AE3965" w:rsidRDefault="0083767E" w:rsidP="00D1261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noWrap/>
            <w:vAlign w:val="center"/>
          </w:tcPr>
          <w:p w14:paraId="36D36804" w14:textId="477DFC4F" w:rsidR="0083767E" w:rsidRPr="00AF3D6C" w:rsidRDefault="00AF3D6C" w:rsidP="00D1261D">
            <w:pPr>
              <w:spacing w:after="0" w:line="240" w:lineRule="auto"/>
              <w:jc w:val="center"/>
              <w:rPr>
                <w:rFonts w:ascii="Times New Roman" w:eastAsia="Times New Roman" w:hAnsi="Times New Roman" w:cs="Times New Roman"/>
                <w:b/>
                <w:bCs/>
                <w:color w:val="FF0000"/>
                <w:sz w:val="20"/>
                <w:szCs w:val="20"/>
                <w:lang w:eastAsia="lv-LV"/>
              </w:rPr>
            </w:pPr>
            <w:r w:rsidRPr="00AF3D6C">
              <w:rPr>
                <w:rFonts w:ascii="Times New Roman" w:eastAsia="Times New Roman" w:hAnsi="Times New Roman" w:cs="Times New Roman"/>
                <w:b/>
                <w:bCs/>
                <w:sz w:val="20"/>
                <w:szCs w:val="20"/>
                <w:lang w:eastAsia="lv-LV"/>
              </w:rPr>
              <w:t>3</w:t>
            </w:r>
            <w:r>
              <w:rPr>
                <w:rFonts w:ascii="Times New Roman" w:eastAsia="Times New Roman" w:hAnsi="Times New Roman" w:cs="Times New Roman"/>
                <w:b/>
                <w:bCs/>
                <w:sz w:val="20"/>
                <w:szCs w:val="20"/>
                <w:lang w:eastAsia="lv-LV"/>
              </w:rPr>
              <w:t xml:space="preserve"> </w:t>
            </w:r>
            <w:r w:rsidRPr="00AF3D6C">
              <w:rPr>
                <w:rFonts w:ascii="Times New Roman" w:eastAsia="Times New Roman" w:hAnsi="Times New Roman" w:cs="Times New Roman"/>
                <w:b/>
                <w:bCs/>
                <w:sz w:val="20"/>
                <w:szCs w:val="20"/>
                <w:lang w:eastAsia="lv-LV"/>
              </w:rPr>
              <w:t>608</w:t>
            </w:r>
          </w:p>
        </w:tc>
      </w:tr>
    </w:tbl>
    <w:p w14:paraId="6F96F924" w14:textId="161C781B" w:rsidR="00150E8C" w:rsidRPr="002D5FD5" w:rsidRDefault="008357EF" w:rsidP="002D5FD5">
      <w:pPr>
        <w:tabs>
          <w:tab w:val="left" w:pos="1575"/>
        </w:tabs>
        <w:spacing w:after="0" w:line="240" w:lineRule="auto"/>
        <w:rPr>
          <w:rFonts w:ascii="Times New Roman" w:eastAsia="Times New Roman" w:hAnsi="Times New Roman" w:cs="Times New Roman"/>
          <w:b/>
          <w:bCs/>
          <w:i/>
          <w:sz w:val="24"/>
          <w:szCs w:val="24"/>
          <w:vertAlign w:val="superscript"/>
          <w:lang w:eastAsia="lv-LV"/>
        </w:rPr>
        <w:sectPr w:rsidR="00150E8C" w:rsidRPr="002D5FD5" w:rsidSect="00333B64">
          <w:pgSz w:w="15840" w:h="12240" w:orient="landscape"/>
          <w:pgMar w:top="1701" w:right="1440" w:bottom="1440" w:left="1440" w:header="709" w:footer="709" w:gutter="0"/>
          <w:cols w:space="708"/>
          <w:docGrid w:linePitch="360"/>
        </w:sectPr>
      </w:pPr>
      <w:r>
        <w:rPr>
          <w:rFonts w:ascii="Times New Roman" w:eastAsia="Times New Roman" w:hAnsi="Times New Roman" w:cs="Times New Roman"/>
          <w:b/>
          <w:bCs/>
          <w:i/>
          <w:sz w:val="24"/>
          <w:szCs w:val="24"/>
          <w:lang w:eastAsia="lv-LV"/>
        </w:rPr>
        <w:tab/>
      </w:r>
      <w:r>
        <w:rPr>
          <w:rFonts w:ascii="Times New Roman" w:eastAsia="Times New Roman" w:hAnsi="Times New Roman" w:cs="Times New Roman"/>
          <w:b/>
          <w:bCs/>
          <w:i/>
          <w:sz w:val="24"/>
          <w:szCs w:val="24"/>
          <w:vertAlign w:val="superscript"/>
          <w:lang w:eastAsia="lv-LV"/>
        </w:rPr>
        <w:t>1 apmeklējumu skaits</w:t>
      </w:r>
    </w:p>
    <w:p w14:paraId="7567EDC5" w14:textId="451DB4A7" w:rsidR="009E0D80" w:rsidRDefault="009E0D80" w:rsidP="002D5FD5">
      <w:pPr>
        <w:spacing w:after="0" w:line="264" w:lineRule="auto"/>
        <w:rPr>
          <w:rFonts w:ascii="Times New Roman" w:hAnsi="Times New Roman" w:cs="Times New Roman"/>
          <w:b/>
          <w:color w:val="000000"/>
          <w:sz w:val="24"/>
          <w:szCs w:val="24"/>
        </w:rPr>
      </w:pPr>
    </w:p>
    <w:p w14:paraId="2F19982D" w14:textId="58CBA8E2" w:rsidR="009E0D80" w:rsidRPr="000C2EF6" w:rsidRDefault="009E0D80" w:rsidP="009E0D80">
      <w:pPr>
        <w:spacing w:after="0" w:line="264" w:lineRule="auto"/>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3.4.2. </w:t>
      </w:r>
      <w:r w:rsidRPr="000C2EF6">
        <w:rPr>
          <w:rFonts w:ascii="Times New Roman" w:hAnsi="Times New Roman" w:cs="Times New Roman"/>
          <w:b/>
          <w:color w:val="000000"/>
          <w:sz w:val="24"/>
          <w:szCs w:val="24"/>
        </w:rPr>
        <w:t>Līdzestības pakalpojumi</w:t>
      </w:r>
    </w:p>
    <w:p w14:paraId="03EFC8B3" w14:textId="77777777" w:rsidR="009E0D80" w:rsidRPr="000C2EF6" w:rsidRDefault="009E0D80" w:rsidP="009E0D80">
      <w:pPr>
        <w:spacing w:after="0" w:line="264" w:lineRule="auto"/>
        <w:ind w:firstLine="720"/>
        <w:rPr>
          <w:rFonts w:ascii="Times New Roman" w:hAnsi="Times New Roman" w:cs="Times New Roman"/>
          <w:color w:val="000000"/>
          <w:sz w:val="24"/>
          <w:szCs w:val="24"/>
        </w:rPr>
      </w:pPr>
    </w:p>
    <w:p w14:paraId="20F3200B" w14:textId="77777777" w:rsidR="009E0D80" w:rsidRPr="000C2EF6" w:rsidRDefault="009E0D80" w:rsidP="009E0D80">
      <w:pPr>
        <w:spacing w:after="120"/>
        <w:ind w:firstLine="720"/>
        <w:jc w:val="both"/>
        <w:rPr>
          <w:rFonts w:ascii="Times New Roman" w:hAnsi="Times New Roman" w:cs="Times New Roman"/>
          <w:color w:val="000000"/>
          <w:sz w:val="24"/>
          <w:szCs w:val="24"/>
        </w:rPr>
      </w:pPr>
      <w:r w:rsidRPr="000C2EF6">
        <w:rPr>
          <w:rFonts w:ascii="Times New Roman" w:hAnsi="Times New Roman" w:cs="Times New Roman"/>
          <w:color w:val="000000"/>
          <w:sz w:val="24"/>
          <w:szCs w:val="24"/>
        </w:rPr>
        <w:t>Viens no instrumentiem minētās problēmas risināšanai ir atbilstoši kvalificēta atbalsta persona, kas ārstniecības iestādē HIV inficētajam pacientam var sniegt kompetentas konsultācijas par ARV terapijas nepieciešamību, informēt par pareizu zāļu lietošanu un riskiem, kas saistīti ar zāļu pārtraukšanu, risināt problēmas ar iespējamām zāļu izraisītām blaknēm un palīdzēt organizēt atkārtotas vizītes pie ārsta. Šim nolūkam ir iecerēta HIV inficēto personu veselības aprūpes reforma, nodrošinot pacientiem, kas saņemt ARV terapiju, līdzestības pakalpojumus.</w:t>
      </w:r>
      <w:r>
        <w:rPr>
          <w:rFonts w:ascii="Times New Roman" w:hAnsi="Times New Roman" w:cs="Times New Roman"/>
          <w:color w:val="000000"/>
          <w:sz w:val="24"/>
          <w:szCs w:val="24"/>
        </w:rPr>
        <w:t xml:space="preserve"> </w:t>
      </w:r>
      <w:r w:rsidRPr="000C2EF6">
        <w:rPr>
          <w:rFonts w:ascii="Times New Roman" w:hAnsi="Times New Roman" w:cs="Times New Roman"/>
          <w:color w:val="000000"/>
          <w:sz w:val="24"/>
          <w:szCs w:val="24"/>
        </w:rPr>
        <w:t>Pētījumos</w:t>
      </w:r>
      <w:r w:rsidRPr="000C2EF6">
        <w:rPr>
          <w:rStyle w:val="FootnoteReference"/>
          <w:rFonts w:ascii="Times New Roman" w:hAnsi="Times New Roman" w:cs="Times New Roman"/>
          <w:color w:val="000000"/>
          <w:sz w:val="24"/>
          <w:szCs w:val="24"/>
        </w:rPr>
        <w:footnoteReference w:id="27"/>
      </w:r>
      <w:r w:rsidRPr="000C2EF6">
        <w:rPr>
          <w:rFonts w:ascii="Times New Roman" w:hAnsi="Times New Roman" w:cs="Times New Roman"/>
          <w:color w:val="000000"/>
          <w:sz w:val="24"/>
          <w:szCs w:val="24"/>
        </w:rPr>
        <w:t xml:space="preserve"> ir pierādīts, ka pacientiem, kuri saņēma līdzestības konsultācijas, par 29% mazāk bija problēmas ar zāļu lietošanu, salīdzinot ar tiem pacientiem, kuri nesaņēma konsultācijas. Turklāt tiem, kas saņēma intensīvu agrīnu līdzestības konsultāciju, bija par 59% mazāk iespējama ARV terapijas neizdošanās.</w:t>
      </w:r>
    </w:p>
    <w:p w14:paraId="2A21157F" w14:textId="077A788C" w:rsidR="009E0D80" w:rsidRPr="000C2EF6" w:rsidRDefault="009E0D80" w:rsidP="009E0D80">
      <w:pPr>
        <w:spacing w:after="120"/>
        <w:ind w:firstLine="720"/>
        <w:jc w:val="both"/>
        <w:rPr>
          <w:rFonts w:ascii="Times New Roman" w:hAnsi="Times New Roman" w:cs="Times New Roman"/>
          <w:color w:val="000000"/>
          <w:sz w:val="24"/>
          <w:szCs w:val="24"/>
        </w:rPr>
      </w:pPr>
      <w:r w:rsidRPr="000C2EF6">
        <w:rPr>
          <w:rFonts w:ascii="Times New Roman" w:hAnsi="Times New Roman" w:cs="Times New Roman"/>
          <w:color w:val="000000"/>
          <w:sz w:val="24"/>
          <w:szCs w:val="24"/>
        </w:rPr>
        <w:t xml:space="preserve"> Laika periodā no 2017. līdz 2018. gadam pilotprojekta veidā līdzestības pakalpojumu nodrošinājumu ir izmēģinājusi pacientu organizācija AGIHAS. No 2017.gada septembra līdz 2018.gada augustam šos pakalpojumus izmantoja 504 personas. Pamatā tika uzdoti jautājumi par ARV terapijas blakusparādībām, par pareizu zāļu lietošanu, par to, kā mazināt zāļu izraisītās blaknes un turpināt lietot zāles. 2019. gadā pacientu organizācijai vairs nebūs pieejams projekta finansējums šī pakalpojuma nodrošināšanai, tādēļ šī pakalpojumu ilgtspējas nodrošināšanai ir jāizdala finansējums no valsts budžeta.</w:t>
      </w:r>
    </w:p>
    <w:p w14:paraId="52427843" w14:textId="006F406C" w:rsidR="009E0D80" w:rsidRPr="002A474B" w:rsidRDefault="009E0D80" w:rsidP="009E0D80">
      <w:pPr>
        <w:spacing w:after="120"/>
        <w:ind w:firstLine="720"/>
        <w:jc w:val="both"/>
        <w:rPr>
          <w:rFonts w:ascii="Times New Roman" w:hAnsi="Times New Roman" w:cs="Times New Roman"/>
          <w:color w:val="000000"/>
          <w:sz w:val="24"/>
          <w:szCs w:val="24"/>
        </w:rPr>
      </w:pPr>
      <w:r w:rsidRPr="002A474B">
        <w:rPr>
          <w:rFonts w:ascii="Times New Roman" w:hAnsi="Times New Roman" w:cs="Times New Roman"/>
          <w:color w:val="000000"/>
          <w:sz w:val="24"/>
          <w:szCs w:val="24"/>
        </w:rPr>
        <w:t xml:space="preserve">Līdzestības pakalpojumu sniegšana HIV inficētām personām notiks </w:t>
      </w:r>
      <w:r w:rsidR="00D51EA0">
        <w:rPr>
          <w:rFonts w:ascii="Times New Roman" w:hAnsi="Times New Roman" w:cs="Times New Roman"/>
          <w:color w:val="000000"/>
          <w:sz w:val="24"/>
          <w:szCs w:val="24"/>
        </w:rPr>
        <w:t>SIA “Rīgas Austrumu klīniskā universitātes slimnīca”</w:t>
      </w:r>
      <w:r w:rsidRPr="002A474B">
        <w:rPr>
          <w:rFonts w:ascii="Times New Roman" w:hAnsi="Times New Roman" w:cs="Times New Roman"/>
          <w:color w:val="000000"/>
          <w:sz w:val="24"/>
          <w:szCs w:val="24"/>
        </w:rPr>
        <w:t>, kur ARV ārstēšanu uzsāk visi HIV inficētie pacienti un arī turpmākā ārstēšana tiek nodrošināta lielākajai daļai HIV inficēto. Pakalpojumu nodrošinās speciāli apmācīts vidējais medicīnas personāls, nodrošinot šādus uzdevumus:</w:t>
      </w:r>
    </w:p>
    <w:p w14:paraId="5B0C74FC" w14:textId="77777777" w:rsidR="009E0D80" w:rsidRPr="002A474B" w:rsidRDefault="009E0D80" w:rsidP="009E0D80">
      <w:pPr>
        <w:pStyle w:val="ListParagraph"/>
        <w:numPr>
          <w:ilvl w:val="1"/>
          <w:numId w:val="10"/>
        </w:numPr>
        <w:shd w:val="clear" w:color="auto" w:fill="FFFFFF" w:themeFill="background1"/>
        <w:spacing w:after="0"/>
        <w:ind w:left="714" w:hanging="357"/>
        <w:jc w:val="both"/>
        <w:rPr>
          <w:rFonts w:ascii="Times New Roman" w:hAnsi="Times New Roman"/>
          <w:color w:val="000000" w:themeColor="text1"/>
          <w:sz w:val="24"/>
          <w:szCs w:val="24"/>
          <w:lang w:val="lv-LV"/>
        </w:rPr>
      </w:pPr>
      <w:r w:rsidRPr="64AB90BD">
        <w:rPr>
          <w:rFonts w:ascii="Times New Roman" w:hAnsi="Times New Roman"/>
          <w:color w:val="000000" w:themeColor="text1"/>
          <w:sz w:val="24"/>
          <w:szCs w:val="24"/>
          <w:lang w:val="lv-LV"/>
        </w:rPr>
        <w:t>telefoniskas, elektroniskas un klātienes konsultācijas HIV inficētām personām, tajā skaitā:</w:t>
      </w:r>
    </w:p>
    <w:p w14:paraId="07F0CECD" w14:textId="77777777" w:rsidR="009E0D80" w:rsidRPr="002A474B" w:rsidRDefault="009E0D80" w:rsidP="009E0D80">
      <w:pPr>
        <w:pStyle w:val="ListParagraph"/>
        <w:numPr>
          <w:ilvl w:val="1"/>
          <w:numId w:val="10"/>
        </w:numPr>
        <w:shd w:val="clear" w:color="auto" w:fill="FFFFFF" w:themeFill="background1"/>
        <w:spacing w:after="0"/>
        <w:ind w:left="714" w:hanging="357"/>
        <w:jc w:val="both"/>
        <w:rPr>
          <w:rFonts w:ascii="Times New Roman" w:hAnsi="Times New Roman"/>
          <w:color w:val="000000" w:themeColor="text1"/>
          <w:sz w:val="24"/>
          <w:szCs w:val="24"/>
          <w:lang w:val="lv-LV"/>
        </w:rPr>
      </w:pPr>
      <w:r w:rsidRPr="64AB90BD">
        <w:rPr>
          <w:rFonts w:ascii="Times New Roman" w:hAnsi="Times New Roman"/>
          <w:color w:val="000000" w:themeColor="text1"/>
          <w:sz w:val="24"/>
          <w:szCs w:val="24"/>
          <w:lang w:val="lv-LV"/>
        </w:rPr>
        <w:t>par ARV medikamentu pareizu lietošanu un to pareizas lietošanas nozīmi;</w:t>
      </w:r>
    </w:p>
    <w:p w14:paraId="3C3A4D7D" w14:textId="77777777" w:rsidR="009E0D80" w:rsidRPr="002A474B" w:rsidRDefault="009E0D80" w:rsidP="009E0D80">
      <w:pPr>
        <w:pStyle w:val="ListParagraph"/>
        <w:numPr>
          <w:ilvl w:val="1"/>
          <w:numId w:val="10"/>
        </w:numPr>
        <w:shd w:val="clear" w:color="auto" w:fill="FFFFFF" w:themeFill="background1"/>
        <w:spacing w:after="0"/>
        <w:ind w:left="714" w:hanging="357"/>
        <w:jc w:val="both"/>
        <w:rPr>
          <w:rFonts w:ascii="Times New Roman" w:hAnsi="Times New Roman"/>
          <w:color w:val="000000" w:themeColor="text1"/>
          <w:sz w:val="24"/>
          <w:szCs w:val="24"/>
          <w:lang w:val="lv-LV"/>
        </w:rPr>
      </w:pPr>
      <w:r w:rsidRPr="64AB90BD">
        <w:rPr>
          <w:rFonts w:ascii="Times New Roman" w:hAnsi="Times New Roman"/>
          <w:color w:val="000000" w:themeColor="text1"/>
          <w:sz w:val="24"/>
          <w:szCs w:val="24"/>
          <w:lang w:val="lv-LV"/>
        </w:rPr>
        <w:t xml:space="preserve">par iespējām saņemt </w:t>
      </w:r>
      <w:r w:rsidR="52B20BA9" w:rsidRPr="00E93259">
        <w:rPr>
          <w:rFonts w:ascii="Times New Roman" w:hAnsi="Times New Roman"/>
          <w:color w:val="000000" w:themeColor="text1"/>
          <w:sz w:val="24"/>
          <w:szCs w:val="24"/>
          <w:lang w:val="lv-LV"/>
        </w:rPr>
        <w:t xml:space="preserve">infektologa konsultāciju un veikt laboratoriskus izmeklējumus; </w:t>
      </w:r>
    </w:p>
    <w:p w14:paraId="23BB8509" w14:textId="77777777" w:rsidR="009E0D80" w:rsidRPr="002A474B" w:rsidRDefault="009E0D80" w:rsidP="009E0D80">
      <w:pPr>
        <w:pStyle w:val="ListParagraph"/>
        <w:numPr>
          <w:ilvl w:val="1"/>
          <w:numId w:val="10"/>
        </w:numPr>
        <w:shd w:val="clear" w:color="auto" w:fill="FFFFFF" w:themeFill="background1"/>
        <w:spacing w:after="0"/>
        <w:ind w:left="714" w:hanging="357"/>
        <w:jc w:val="both"/>
        <w:rPr>
          <w:rFonts w:ascii="Times New Roman" w:hAnsi="Times New Roman"/>
          <w:color w:val="000000" w:themeColor="text1"/>
          <w:sz w:val="24"/>
          <w:szCs w:val="24"/>
          <w:lang w:val="lv-LV"/>
        </w:rPr>
      </w:pPr>
      <w:r w:rsidRPr="64AB90BD">
        <w:rPr>
          <w:rFonts w:ascii="Times New Roman" w:hAnsi="Times New Roman"/>
          <w:color w:val="000000" w:themeColor="text1"/>
          <w:sz w:val="24"/>
          <w:szCs w:val="24"/>
          <w:lang w:val="lv-LV"/>
        </w:rPr>
        <w:t>atbalsts HIV inficētām personām, palīdzot organizēt regulāru veselības pārbaužu veikšanu.</w:t>
      </w:r>
    </w:p>
    <w:p w14:paraId="6BEB6ED4" w14:textId="714BF215" w:rsidR="009E0D80" w:rsidRDefault="009E0D80" w:rsidP="009E0D80">
      <w:pPr>
        <w:spacing w:after="120"/>
        <w:ind w:firstLine="720"/>
        <w:jc w:val="both"/>
        <w:rPr>
          <w:rFonts w:ascii="Times New Roman" w:hAnsi="Times New Roman"/>
        </w:rPr>
      </w:pPr>
      <w:r>
        <w:rPr>
          <w:rFonts w:ascii="Times New Roman" w:hAnsi="Times New Roman" w:cs="Times New Roman"/>
          <w:sz w:val="24"/>
          <w:szCs w:val="24"/>
        </w:rPr>
        <w:t xml:space="preserve">Lai no 2019.gada 1.aprīļa varētu nodrošināt </w:t>
      </w:r>
      <w:r w:rsidRPr="00007A5A">
        <w:rPr>
          <w:rFonts w:ascii="Times New Roman" w:hAnsi="Times New Roman" w:cs="Times New Roman"/>
          <w:sz w:val="24"/>
          <w:szCs w:val="24"/>
        </w:rPr>
        <w:t>HIV līdzestības kabineta darbī</w:t>
      </w:r>
      <w:r>
        <w:rPr>
          <w:rFonts w:ascii="Times New Roman" w:hAnsi="Times New Roman" w:cs="Times New Roman"/>
          <w:sz w:val="24"/>
          <w:szCs w:val="24"/>
        </w:rPr>
        <w:t>bu ne</w:t>
      </w:r>
      <w:r w:rsidRPr="00E72066">
        <w:rPr>
          <w:rFonts w:ascii="Times New Roman" w:hAnsi="Times New Roman" w:cs="Times New Roman"/>
          <w:sz w:val="24"/>
          <w:szCs w:val="24"/>
        </w:rPr>
        <w:t>pieciešam</w:t>
      </w:r>
      <w:r w:rsidRPr="00007A5A">
        <w:rPr>
          <w:rFonts w:ascii="Times New Roman" w:hAnsi="Times New Roman" w:cs="Times New Roman"/>
          <w:sz w:val="24"/>
          <w:szCs w:val="24"/>
        </w:rPr>
        <w:t xml:space="preserve">s finansējums </w:t>
      </w:r>
      <w:r w:rsidRPr="00007A5A">
        <w:rPr>
          <w:rFonts w:ascii="Times New Roman" w:hAnsi="Times New Roman" w:cs="Times New Roman"/>
          <w:b/>
          <w:sz w:val="24"/>
          <w:szCs w:val="24"/>
        </w:rPr>
        <w:t>21 465</w:t>
      </w:r>
      <w:r w:rsidRPr="00007A5A">
        <w:rPr>
          <w:rFonts w:ascii="Times New Roman" w:hAnsi="Times New Roman" w:cs="Times New Roman"/>
          <w:sz w:val="24"/>
          <w:szCs w:val="24"/>
        </w:rPr>
        <w:t xml:space="preserve"> </w:t>
      </w:r>
      <w:r w:rsidRPr="00007A5A">
        <w:rPr>
          <w:rFonts w:ascii="Times New Roman" w:hAnsi="Times New Roman" w:cs="Times New Roman"/>
          <w:b/>
          <w:sz w:val="24"/>
          <w:szCs w:val="24"/>
        </w:rPr>
        <w:t xml:space="preserve"> </w:t>
      </w:r>
      <w:r w:rsidRPr="00007A5A">
        <w:rPr>
          <w:rFonts w:ascii="Times New Roman" w:hAnsi="Times New Roman" w:cs="Times New Roman"/>
          <w:b/>
          <w:i/>
          <w:sz w:val="24"/>
          <w:szCs w:val="24"/>
        </w:rPr>
        <w:t xml:space="preserve">euro </w:t>
      </w:r>
      <w:r w:rsidRPr="00007A5A">
        <w:rPr>
          <w:rFonts w:ascii="Times New Roman" w:hAnsi="Times New Roman" w:cs="Times New Roman"/>
          <w:sz w:val="24"/>
          <w:szCs w:val="24"/>
        </w:rPr>
        <w:t xml:space="preserve">(28 620 </w:t>
      </w:r>
      <w:r w:rsidRPr="00007A5A">
        <w:rPr>
          <w:rFonts w:ascii="Times New Roman" w:hAnsi="Times New Roman" w:cs="Times New Roman"/>
          <w:i/>
          <w:sz w:val="24"/>
          <w:szCs w:val="24"/>
        </w:rPr>
        <w:t>euro</w:t>
      </w:r>
      <w:r w:rsidRPr="00007A5A">
        <w:rPr>
          <w:rFonts w:ascii="Times New Roman" w:hAnsi="Times New Roman" w:cs="Times New Roman"/>
          <w:sz w:val="24"/>
          <w:szCs w:val="24"/>
        </w:rPr>
        <w:t xml:space="preserve"> : 12 = 2385 </w:t>
      </w:r>
      <w:r w:rsidRPr="00007A5A">
        <w:rPr>
          <w:rFonts w:ascii="Times New Roman" w:hAnsi="Times New Roman" w:cs="Times New Roman"/>
          <w:i/>
          <w:sz w:val="24"/>
          <w:szCs w:val="24"/>
        </w:rPr>
        <w:t xml:space="preserve">euro; </w:t>
      </w:r>
      <w:r w:rsidRPr="00007A5A">
        <w:rPr>
          <w:rFonts w:ascii="Times New Roman" w:hAnsi="Times New Roman" w:cs="Times New Roman"/>
          <w:sz w:val="24"/>
          <w:szCs w:val="24"/>
        </w:rPr>
        <w:t xml:space="preserve">2385 </w:t>
      </w:r>
      <w:r w:rsidRPr="00007A5A">
        <w:rPr>
          <w:rFonts w:ascii="Times New Roman" w:hAnsi="Times New Roman" w:cs="Times New Roman"/>
          <w:i/>
          <w:sz w:val="24"/>
          <w:szCs w:val="24"/>
        </w:rPr>
        <w:t>euro</w:t>
      </w:r>
      <w:r w:rsidRPr="00007A5A">
        <w:rPr>
          <w:rFonts w:ascii="Times New Roman" w:hAnsi="Times New Roman" w:cs="Times New Roman"/>
          <w:sz w:val="24"/>
          <w:szCs w:val="24"/>
        </w:rPr>
        <w:t xml:space="preserve"> x 9 = 21 465 </w:t>
      </w:r>
      <w:r w:rsidRPr="00007A5A">
        <w:rPr>
          <w:rFonts w:ascii="Times New Roman" w:hAnsi="Times New Roman" w:cs="Times New Roman"/>
          <w:i/>
          <w:sz w:val="24"/>
          <w:szCs w:val="24"/>
        </w:rPr>
        <w:t>euro</w:t>
      </w:r>
      <w:r w:rsidRPr="00007A5A">
        <w:rPr>
          <w:rFonts w:ascii="Times New Roman" w:hAnsi="Times New Roman" w:cs="Times New Roman"/>
          <w:sz w:val="24"/>
          <w:szCs w:val="24"/>
        </w:rPr>
        <w:t>)</w:t>
      </w:r>
      <w:r w:rsidR="00732F4A">
        <w:rPr>
          <w:rFonts w:ascii="Times New Roman" w:hAnsi="Times New Roman" w:cs="Times New Roman"/>
          <w:sz w:val="24"/>
          <w:szCs w:val="24"/>
        </w:rPr>
        <w:t xml:space="preserve"> (</w:t>
      </w:r>
      <w:r w:rsidR="003A3992">
        <w:rPr>
          <w:rFonts w:ascii="Times New Roman" w:hAnsi="Times New Roman" w:cs="Times New Roman"/>
          <w:sz w:val="24"/>
          <w:szCs w:val="24"/>
        </w:rPr>
        <w:t>5</w:t>
      </w:r>
      <w:r w:rsidR="00EF392E">
        <w:rPr>
          <w:rFonts w:ascii="Times New Roman" w:hAnsi="Times New Roman" w:cs="Times New Roman"/>
          <w:sz w:val="24"/>
          <w:szCs w:val="24"/>
        </w:rPr>
        <w:t>8</w:t>
      </w:r>
      <w:r w:rsidR="00732F4A">
        <w:rPr>
          <w:rFonts w:ascii="Times New Roman" w:hAnsi="Times New Roman" w:cs="Times New Roman"/>
          <w:sz w:val="24"/>
          <w:szCs w:val="24"/>
        </w:rPr>
        <w:t>.tabula)</w:t>
      </w:r>
      <w:r w:rsidRPr="00007A5A">
        <w:rPr>
          <w:rFonts w:ascii="Times New Roman" w:hAnsi="Times New Roman" w:cs="Times New Roman"/>
          <w:sz w:val="24"/>
          <w:szCs w:val="24"/>
        </w:rPr>
        <w:t>.</w:t>
      </w:r>
      <w:r>
        <w:rPr>
          <w:rFonts w:ascii="Times New Roman" w:hAnsi="Times New Roman"/>
        </w:rPr>
        <w:t xml:space="preserve">                                                                                                                    </w:t>
      </w:r>
    </w:p>
    <w:p w14:paraId="59676FED" w14:textId="77777777" w:rsidR="002D5FD5" w:rsidRDefault="009E0D80" w:rsidP="6812B80F">
      <w:pPr>
        <w:spacing w:after="120"/>
        <w:ind w:firstLine="720"/>
        <w:jc w:val="right"/>
        <w:rPr>
          <w:rFonts w:ascii="Times New Roman" w:hAnsi="Times New Roman"/>
        </w:rPr>
      </w:pPr>
      <w:r>
        <w:rPr>
          <w:rFonts w:ascii="Times New Roman" w:hAnsi="Times New Roman"/>
        </w:rPr>
        <w:t xml:space="preserve"> </w:t>
      </w:r>
    </w:p>
    <w:p w14:paraId="42079C93" w14:textId="5D387182" w:rsidR="009E0D80" w:rsidRPr="00E93259" w:rsidRDefault="009E0D80" w:rsidP="6812B80F">
      <w:pPr>
        <w:spacing w:after="120"/>
        <w:ind w:firstLine="720"/>
        <w:jc w:val="right"/>
        <w:rPr>
          <w:rFonts w:ascii="Times New Roman" w:hAnsi="Times New Roman" w:cs="Times New Roman"/>
          <w:i/>
          <w:iCs/>
          <w:sz w:val="24"/>
          <w:szCs w:val="24"/>
        </w:rPr>
      </w:pPr>
      <w:r>
        <w:rPr>
          <w:rFonts w:ascii="Times New Roman" w:hAnsi="Times New Roman"/>
        </w:rPr>
        <w:lastRenderedPageBreak/>
        <w:t xml:space="preserve"> </w:t>
      </w:r>
      <w:r w:rsidRPr="00154ED3">
        <w:rPr>
          <w:rFonts w:ascii="Times New Roman" w:hAnsi="Times New Roman"/>
        </w:rPr>
        <w:t xml:space="preserve"> </w:t>
      </w:r>
      <w:r w:rsidR="003974C5">
        <w:rPr>
          <w:rFonts w:ascii="Times New Roman" w:hAnsi="Times New Roman"/>
        </w:rPr>
        <w:t>58.</w:t>
      </w:r>
      <w:r w:rsidRPr="6812B80F">
        <w:rPr>
          <w:rFonts w:ascii="Times New Roman" w:hAnsi="Times New Roman" w:cs="Times New Roman"/>
          <w:i/>
          <w:iCs/>
          <w:sz w:val="24"/>
          <w:szCs w:val="24"/>
        </w:rPr>
        <w:t xml:space="preserve">tabula </w:t>
      </w:r>
    </w:p>
    <w:p w14:paraId="390E7A0F" w14:textId="77777777" w:rsidR="009E0D80" w:rsidRPr="00A6490A" w:rsidRDefault="009E0D80" w:rsidP="009E0D80">
      <w:pPr>
        <w:pStyle w:val="ListParagraph"/>
        <w:spacing w:after="0" w:line="240" w:lineRule="auto"/>
        <w:ind w:left="0"/>
        <w:jc w:val="center"/>
        <w:rPr>
          <w:rFonts w:ascii="Times New Roman" w:hAnsi="Times New Roman"/>
          <w:b/>
          <w:bCs/>
          <w:sz w:val="24"/>
          <w:szCs w:val="24"/>
          <w:lang w:val="lv-LV"/>
        </w:rPr>
      </w:pPr>
      <w:r w:rsidRPr="00A6490A">
        <w:rPr>
          <w:rFonts w:ascii="Times New Roman" w:hAnsi="Times New Roman"/>
          <w:b/>
          <w:bCs/>
          <w:sz w:val="24"/>
          <w:szCs w:val="24"/>
          <w:lang w:val="lv-LV"/>
        </w:rPr>
        <w:t>HIV līdzestības kabineta izveidei nepieciešamais finansējums</w:t>
      </w:r>
    </w:p>
    <w:tbl>
      <w:tblPr>
        <w:tblW w:w="6757" w:type="dxa"/>
        <w:jc w:val="center"/>
        <w:shd w:val="clear" w:color="auto" w:fill="FFFFFF"/>
        <w:tblLayout w:type="fixed"/>
        <w:tblCellMar>
          <w:left w:w="0" w:type="dxa"/>
          <w:right w:w="0" w:type="dxa"/>
        </w:tblCellMar>
        <w:tblLook w:val="04A0" w:firstRow="1" w:lastRow="0" w:firstColumn="1" w:lastColumn="0" w:noHBand="0" w:noVBand="1"/>
      </w:tblPr>
      <w:tblGrid>
        <w:gridCol w:w="1975"/>
        <w:gridCol w:w="152"/>
        <w:gridCol w:w="20"/>
        <w:gridCol w:w="1286"/>
        <w:gridCol w:w="111"/>
        <w:gridCol w:w="823"/>
        <w:gridCol w:w="172"/>
        <w:gridCol w:w="20"/>
        <w:gridCol w:w="303"/>
        <w:gridCol w:w="1659"/>
        <w:gridCol w:w="236"/>
      </w:tblGrid>
      <w:tr w:rsidR="009E0D80" w:rsidRPr="00E02925" w14:paraId="25B5C13F" w14:textId="77777777" w:rsidTr="704995BB">
        <w:trPr>
          <w:gridAfter w:val="1"/>
          <w:wAfter w:w="236" w:type="dxa"/>
          <w:trHeight w:val="300"/>
          <w:jc w:val="center"/>
        </w:trPr>
        <w:tc>
          <w:tcPr>
            <w:tcW w:w="1975" w:type="dxa"/>
            <w:shd w:val="clear" w:color="auto" w:fill="FFFFFF" w:themeFill="background1"/>
            <w:noWrap/>
            <w:tcMar>
              <w:top w:w="0" w:type="dxa"/>
              <w:left w:w="108" w:type="dxa"/>
              <w:bottom w:w="0" w:type="dxa"/>
              <w:right w:w="108" w:type="dxa"/>
            </w:tcMar>
            <w:vAlign w:val="bottom"/>
            <w:hideMark/>
          </w:tcPr>
          <w:p w14:paraId="7B6D764D" w14:textId="77777777" w:rsidR="009E0D80" w:rsidRPr="00007A5A" w:rsidRDefault="009E0D80" w:rsidP="00804D6A">
            <w:pPr>
              <w:spacing w:after="0" w:line="240" w:lineRule="auto"/>
              <w:rPr>
                <w:rFonts w:ascii="Times New Roman" w:eastAsia="Times New Roman" w:hAnsi="Times New Roman" w:cs="Times New Roman"/>
                <w:color w:val="212121"/>
                <w:sz w:val="16"/>
                <w:szCs w:val="16"/>
                <w:lang w:eastAsia="lv-LV"/>
              </w:rPr>
            </w:pPr>
          </w:p>
        </w:tc>
        <w:tc>
          <w:tcPr>
            <w:tcW w:w="1569" w:type="dxa"/>
            <w:gridSpan w:val="4"/>
            <w:shd w:val="clear" w:color="auto" w:fill="FFFFFF" w:themeFill="background1"/>
            <w:noWrap/>
            <w:tcMar>
              <w:top w:w="0" w:type="dxa"/>
              <w:left w:w="108" w:type="dxa"/>
              <w:bottom w:w="0" w:type="dxa"/>
              <w:right w:w="108" w:type="dxa"/>
            </w:tcMar>
            <w:vAlign w:val="bottom"/>
            <w:hideMark/>
          </w:tcPr>
          <w:p w14:paraId="3160548C" w14:textId="77777777" w:rsidR="009E0D80" w:rsidRPr="00007A5A" w:rsidRDefault="009E0D80" w:rsidP="00804D6A">
            <w:pPr>
              <w:spacing w:after="0" w:line="240" w:lineRule="auto"/>
              <w:jc w:val="center"/>
              <w:rPr>
                <w:rFonts w:ascii="Times New Roman" w:eastAsia="Times New Roman" w:hAnsi="Times New Roman" w:cs="Times New Roman"/>
                <w:color w:val="212121"/>
                <w:sz w:val="16"/>
                <w:szCs w:val="16"/>
                <w:lang w:eastAsia="lv-LV"/>
              </w:rPr>
            </w:pPr>
          </w:p>
        </w:tc>
        <w:tc>
          <w:tcPr>
            <w:tcW w:w="823" w:type="dxa"/>
            <w:shd w:val="clear" w:color="auto" w:fill="FFFFFF" w:themeFill="background1"/>
            <w:noWrap/>
            <w:tcMar>
              <w:top w:w="0" w:type="dxa"/>
              <w:left w:w="108" w:type="dxa"/>
              <w:bottom w:w="0" w:type="dxa"/>
              <w:right w:w="108" w:type="dxa"/>
            </w:tcMar>
            <w:vAlign w:val="bottom"/>
            <w:hideMark/>
          </w:tcPr>
          <w:p w14:paraId="579839FA" w14:textId="77777777" w:rsidR="009E0D80" w:rsidRPr="00007A5A" w:rsidRDefault="009E0D80" w:rsidP="00804D6A">
            <w:pPr>
              <w:spacing w:after="0" w:line="240" w:lineRule="auto"/>
              <w:jc w:val="center"/>
              <w:rPr>
                <w:rFonts w:ascii="Times New Roman" w:eastAsia="Times New Roman" w:hAnsi="Times New Roman" w:cs="Times New Roman"/>
                <w:sz w:val="16"/>
                <w:szCs w:val="16"/>
                <w:lang w:eastAsia="lv-LV"/>
              </w:rPr>
            </w:pPr>
          </w:p>
        </w:tc>
        <w:tc>
          <w:tcPr>
            <w:tcW w:w="2154" w:type="dxa"/>
            <w:gridSpan w:val="4"/>
            <w:shd w:val="clear" w:color="auto" w:fill="FFFFFF" w:themeFill="background1"/>
            <w:noWrap/>
            <w:tcMar>
              <w:top w:w="0" w:type="dxa"/>
              <w:left w:w="108" w:type="dxa"/>
              <w:bottom w:w="0" w:type="dxa"/>
              <w:right w:w="108" w:type="dxa"/>
            </w:tcMar>
            <w:vAlign w:val="bottom"/>
            <w:hideMark/>
          </w:tcPr>
          <w:p w14:paraId="05F511BA" w14:textId="77777777" w:rsidR="009E0D80" w:rsidRPr="00007A5A" w:rsidRDefault="009E0D80" w:rsidP="00804D6A">
            <w:pPr>
              <w:spacing w:after="0" w:line="240" w:lineRule="auto"/>
              <w:jc w:val="center"/>
              <w:rPr>
                <w:rFonts w:ascii="Times New Roman" w:eastAsia="Times New Roman" w:hAnsi="Times New Roman" w:cs="Times New Roman"/>
                <w:sz w:val="16"/>
                <w:szCs w:val="16"/>
                <w:lang w:eastAsia="lv-LV"/>
              </w:rPr>
            </w:pPr>
          </w:p>
        </w:tc>
      </w:tr>
      <w:tr w:rsidR="009E0D80" w:rsidRPr="00E02925" w14:paraId="3D5D08BD" w14:textId="77777777" w:rsidTr="704995BB">
        <w:trPr>
          <w:trHeight w:val="474"/>
          <w:jc w:val="center"/>
        </w:trPr>
        <w:tc>
          <w:tcPr>
            <w:tcW w:w="2127" w:type="dxa"/>
            <w:gridSpan w:val="2"/>
            <w:tcBorders>
              <w:top w:val="single" w:sz="8" w:space="0" w:color="auto"/>
              <w:left w:val="single" w:sz="8" w:space="0" w:color="auto"/>
              <w:bottom w:val="single" w:sz="8" w:space="0" w:color="auto"/>
              <w:right w:val="single" w:sz="8" w:space="0" w:color="auto"/>
            </w:tcBorders>
            <w:shd w:val="clear" w:color="auto" w:fill="E36C0A" w:themeFill="accent6" w:themeFillShade="BF"/>
            <w:noWrap/>
            <w:tcMar>
              <w:top w:w="0" w:type="dxa"/>
              <w:left w:w="108" w:type="dxa"/>
              <w:bottom w:w="0" w:type="dxa"/>
              <w:right w:w="108" w:type="dxa"/>
            </w:tcMar>
            <w:vAlign w:val="bottom"/>
            <w:hideMark/>
          </w:tcPr>
          <w:p w14:paraId="48C35BF6"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p>
        </w:tc>
        <w:tc>
          <w:tcPr>
            <w:tcW w:w="1417" w:type="dxa"/>
            <w:gridSpan w:val="3"/>
            <w:tcBorders>
              <w:top w:val="single" w:sz="8" w:space="0" w:color="auto"/>
              <w:left w:val="nil"/>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hideMark/>
          </w:tcPr>
          <w:p w14:paraId="09ABD08D" w14:textId="77777777" w:rsidR="009E0D80" w:rsidRDefault="009E0D80" w:rsidP="00804D6A">
            <w:pPr>
              <w:spacing w:after="0" w:line="240" w:lineRule="auto"/>
              <w:jc w:val="center"/>
              <w:rPr>
                <w:rFonts w:ascii="Times New Roman" w:eastAsia="Times New Roman" w:hAnsi="Times New Roman" w:cs="Times New Roman"/>
                <w:color w:val="212121"/>
                <w:sz w:val="20"/>
                <w:szCs w:val="20"/>
                <w:lang w:eastAsia="lv-LV"/>
              </w:rPr>
            </w:pPr>
            <w:r>
              <w:rPr>
                <w:rFonts w:ascii="Times New Roman" w:eastAsia="Times New Roman" w:hAnsi="Times New Roman" w:cs="Times New Roman"/>
                <w:color w:val="212121"/>
                <w:sz w:val="20"/>
                <w:szCs w:val="20"/>
                <w:lang w:eastAsia="lv-LV"/>
              </w:rPr>
              <w:t>Tarifs</w:t>
            </w:r>
            <w:r w:rsidRPr="00F5395D">
              <w:rPr>
                <w:rFonts w:ascii="Times New Roman" w:eastAsia="Times New Roman" w:hAnsi="Times New Roman" w:cs="Times New Roman"/>
                <w:color w:val="212121"/>
                <w:sz w:val="20"/>
                <w:szCs w:val="20"/>
                <w:lang w:eastAsia="lv-LV"/>
              </w:rPr>
              <w:t>/ maksājums,</w:t>
            </w:r>
          </w:p>
          <w:p w14:paraId="1F6C5F15"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i/>
                <w:iCs/>
                <w:color w:val="212121"/>
                <w:sz w:val="20"/>
                <w:szCs w:val="20"/>
                <w:lang w:eastAsia="lv-LV"/>
              </w:rPr>
              <w:t>euro</w:t>
            </w:r>
          </w:p>
        </w:tc>
        <w:tc>
          <w:tcPr>
            <w:tcW w:w="823" w:type="dxa"/>
            <w:tcBorders>
              <w:top w:val="single" w:sz="8" w:space="0" w:color="auto"/>
              <w:left w:val="nil"/>
              <w:bottom w:val="single" w:sz="8" w:space="0" w:color="auto"/>
              <w:right w:val="single" w:sz="8" w:space="0" w:color="auto"/>
            </w:tcBorders>
            <w:shd w:val="clear" w:color="auto" w:fill="E36C0A" w:themeFill="accent6" w:themeFillShade="BF"/>
            <w:noWrap/>
            <w:tcMar>
              <w:top w:w="0" w:type="dxa"/>
              <w:left w:w="108" w:type="dxa"/>
              <w:bottom w:w="0" w:type="dxa"/>
              <w:right w:w="108" w:type="dxa"/>
            </w:tcMar>
            <w:vAlign w:val="center"/>
            <w:hideMark/>
          </w:tcPr>
          <w:p w14:paraId="1B886267"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Skaits</w:t>
            </w:r>
          </w:p>
        </w:tc>
        <w:tc>
          <w:tcPr>
            <w:tcW w:w="2154" w:type="dxa"/>
            <w:gridSpan w:val="4"/>
            <w:tcBorders>
              <w:top w:val="single" w:sz="8" w:space="0" w:color="auto"/>
              <w:left w:val="nil"/>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hideMark/>
          </w:tcPr>
          <w:p w14:paraId="5A33BE9E"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Finansējums 2019.gadam,</w:t>
            </w:r>
          </w:p>
          <w:p w14:paraId="0E248BE4"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i/>
                <w:iCs/>
                <w:color w:val="212121"/>
                <w:sz w:val="20"/>
                <w:szCs w:val="20"/>
                <w:lang w:eastAsia="lv-LV"/>
              </w:rPr>
              <w:t>euro</w:t>
            </w:r>
          </w:p>
        </w:tc>
        <w:tc>
          <w:tcPr>
            <w:tcW w:w="236" w:type="dxa"/>
            <w:shd w:val="clear" w:color="auto" w:fill="FFFFFF" w:themeFill="background1"/>
            <w:noWrap/>
            <w:tcMar>
              <w:top w:w="0" w:type="dxa"/>
              <w:left w:w="108" w:type="dxa"/>
              <w:bottom w:w="0" w:type="dxa"/>
              <w:right w:w="108" w:type="dxa"/>
            </w:tcMar>
            <w:vAlign w:val="bottom"/>
            <w:hideMark/>
          </w:tcPr>
          <w:p w14:paraId="2B177129" w14:textId="77777777" w:rsidR="009E0D80" w:rsidRPr="00007A5A" w:rsidRDefault="009E0D80" w:rsidP="00804D6A">
            <w:pPr>
              <w:spacing w:after="0" w:line="240" w:lineRule="auto"/>
              <w:jc w:val="center"/>
              <w:rPr>
                <w:rFonts w:ascii="Times New Roman" w:eastAsia="Times New Roman" w:hAnsi="Times New Roman" w:cs="Times New Roman"/>
                <w:color w:val="212121"/>
                <w:sz w:val="16"/>
                <w:szCs w:val="16"/>
                <w:lang w:eastAsia="lv-LV"/>
              </w:rPr>
            </w:pPr>
          </w:p>
        </w:tc>
      </w:tr>
      <w:tr w:rsidR="009E0D80" w:rsidRPr="00E02925" w14:paraId="70DFE76D" w14:textId="77777777" w:rsidTr="704995BB">
        <w:trPr>
          <w:trHeight w:val="300"/>
          <w:jc w:val="center"/>
        </w:trPr>
        <w:tc>
          <w:tcPr>
            <w:tcW w:w="2127" w:type="dxa"/>
            <w:gridSpan w:val="2"/>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5250225"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Infektologs</w:t>
            </w:r>
          </w:p>
        </w:tc>
        <w:tc>
          <w:tcPr>
            <w:tcW w:w="1417" w:type="dxa"/>
            <w:gridSpan w:val="3"/>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7D003DB"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12.3</w:t>
            </w:r>
          </w:p>
        </w:tc>
        <w:tc>
          <w:tcPr>
            <w:tcW w:w="82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230CE2A"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192</w:t>
            </w:r>
          </w:p>
        </w:tc>
        <w:tc>
          <w:tcPr>
            <w:tcW w:w="2154" w:type="dxa"/>
            <w:gridSpan w:val="4"/>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561E06D"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2361.6</w:t>
            </w:r>
          </w:p>
        </w:tc>
        <w:tc>
          <w:tcPr>
            <w:tcW w:w="236" w:type="dxa"/>
            <w:shd w:val="clear" w:color="auto" w:fill="FFFFFF" w:themeFill="background1"/>
            <w:noWrap/>
            <w:tcMar>
              <w:top w:w="0" w:type="dxa"/>
              <w:left w:w="108" w:type="dxa"/>
              <w:bottom w:w="0" w:type="dxa"/>
              <w:right w:w="108" w:type="dxa"/>
            </w:tcMar>
            <w:vAlign w:val="bottom"/>
            <w:hideMark/>
          </w:tcPr>
          <w:p w14:paraId="66EB6DCB" w14:textId="77777777" w:rsidR="009E0D80" w:rsidRPr="00007A5A" w:rsidRDefault="009E0D80" w:rsidP="00804D6A">
            <w:pPr>
              <w:spacing w:after="0" w:line="240" w:lineRule="auto"/>
              <w:jc w:val="center"/>
              <w:rPr>
                <w:rFonts w:ascii="Times New Roman" w:eastAsia="Times New Roman" w:hAnsi="Times New Roman" w:cs="Times New Roman"/>
                <w:color w:val="212121"/>
                <w:sz w:val="16"/>
                <w:szCs w:val="16"/>
                <w:lang w:eastAsia="lv-LV"/>
              </w:rPr>
            </w:pPr>
          </w:p>
        </w:tc>
      </w:tr>
      <w:tr w:rsidR="009E0D80" w:rsidRPr="00E02925" w14:paraId="7E0B16FD" w14:textId="77777777" w:rsidTr="704995BB">
        <w:trPr>
          <w:trHeight w:val="435"/>
          <w:jc w:val="center"/>
        </w:trPr>
        <w:tc>
          <w:tcPr>
            <w:tcW w:w="2127"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8BE22E7"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Pacienta līdzmaksājums</w:t>
            </w:r>
          </w:p>
        </w:tc>
        <w:tc>
          <w:tcPr>
            <w:tcW w:w="1417" w:type="dxa"/>
            <w:gridSpan w:val="3"/>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14DDDC0"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4.27</w:t>
            </w:r>
          </w:p>
        </w:tc>
        <w:tc>
          <w:tcPr>
            <w:tcW w:w="82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340BC74"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192</w:t>
            </w:r>
          </w:p>
        </w:tc>
        <w:tc>
          <w:tcPr>
            <w:tcW w:w="2154" w:type="dxa"/>
            <w:gridSpan w:val="4"/>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58AA6B4"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819.84</w:t>
            </w:r>
          </w:p>
        </w:tc>
        <w:tc>
          <w:tcPr>
            <w:tcW w:w="236" w:type="dxa"/>
            <w:shd w:val="clear" w:color="auto" w:fill="FFFFFF" w:themeFill="background1"/>
            <w:noWrap/>
            <w:tcMar>
              <w:top w:w="0" w:type="dxa"/>
              <w:left w:w="108" w:type="dxa"/>
              <w:bottom w:w="0" w:type="dxa"/>
              <w:right w:w="108" w:type="dxa"/>
            </w:tcMar>
            <w:vAlign w:val="bottom"/>
            <w:hideMark/>
          </w:tcPr>
          <w:p w14:paraId="032A04E9" w14:textId="77777777" w:rsidR="009E0D80" w:rsidRPr="00007A5A" w:rsidRDefault="009E0D80" w:rsidP="00804D6A">
            <w:pPr>
              <w:spacing w:after="0" w:line="240" w:lineRule="auto"/>
              <w:jc w:val="center"/>
              <w:rPr>
                <w:rFonts w:ascii="Times New Roman" w:eastAsia="Times New Roman" w:hAnsi="Times New Roman" w:cs="Times New Roman"/>
                <w:color w:val="212121"/>
                <w:sz w:val="16"/>
                <w:szCs w:val="16"/>
                <w:lang w:eastAsia="lv-LV"/>
              </w:rPr>
            </w:pPr>
          </w:p>
        </w:tc>
      </w:tr>
      <w:tr w:rsidR="009E0D80" w:rsidRPr="00E02925" w14:paraId="4AE30D98" w14:textId="77777777" w:rsidTr="704995BB">
        <w:trPr>
          <w:trHeight w:val="435"/>
          <w:jc w:val="center"/>
        </w:trPr>
        <w:tc>
          <w:tcPr>
            <w:tcW w:w="2127"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A7DD889"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Fiksētais  ikmēneša maksājums kabinetiem</w:t>
            </w:r>
          </w:p>
        </w:tc>
        <w:tc>
          <w:tcPr>
            <w:tcW w:w="1417" w:type="dxa"/>
            <w:gridSpan w:val="3"/>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8E8A41D" w14:textId="22BC76CF"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12</w:t>
            </w:r>
            <w:r w:rsidR="003974C5">
              <w:rPr>
                <w:rFonts w:ascii="Times New Roman" w:eastAsia="Times New Roman" w:hAnsi="Times New Roman" w:cs="Times New Roman"/>
                <w:color w:val="212121"/>
                <w:sz w:val="20"/>
                <w:szCs w:val="20"/>
                <w:lang w:eastAsia="lv-LV"/>
              </w:rPr>
              <w:t> </w:t>
            </w:r>
            <w:r w:rsidRPr="00F5395D">
              <w:rPr>
                <w:rFonts w:ascii="Times New Roman" w:eastAsia="Times New Roman" w:hAnsi="Times New Roman" w:cs="Times New Roman"/>
                <w:color w:val="212121"/>
                <w:sz w:val="20"/>
                <w:szCs w:val="20"/>
                <w:lang w:eastAsia="lv-LV"/>
              </w:rPr>
              <w:t>719</w:t>
            </w:r>
            <w:r w:rsidR="003974C5">
              <w:rPr>
                <w:rFonts w:ascii="Times New Roman" w:eastAsia="Times New Roman" w:hAnsi="Times New Roman" w:cs="Times New Roman"/>
                <w:color w:val="212121"/>
                <w:sz w:val="20"/>
                <w:szCs w:val="20"/>
                <w:lang w:eastAsia="lv-LV"/>
              </w:rPr>
              <w:t>.29</w:t>
            </w:r>
          </w:p>
        </w:tc>
        <w:tc>
          <w:tcPr>
            <w:tcW w:w="82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FECA3AF"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2</w:t>
            </w:r>
          </w:p>
        </w:tc>
        <w:tc>
          <w:tcPr>
            <w:tcW w:w="2154" w:type="dxa"/>
            <w:gridSpan w:val="4"/>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4503E6D" w14:textId="77777777" w:rsidR="009E0D80" w:rsidRPr="00F5395D" w:rsidRDefault="009E0D80"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25438.58</w:t>
            </w:r>
          </w:p>
        </w:tc>
        <w:tc>
          <w:tcPr>
            <w:tcW w:w="236" w:type="dxa"/>
            <w:shd w:val="clear" w:color="auto" w:fill="FFFFFF" w:themeFill="background1"/>
            <w:noWrap/>
            <w:tcMar>
              <w:top w:w="0" w:type="dxa"/>
              <w:left w:w="108" w:type="dxa"/>
              <w:bottom w:w="0" w:type="dxa"/>
              <w:right w:w="108" w:type="dxa"/>
            </w:tcMar>
            <w:vAlign w:val="bottom"/>
            <w:hideMark/>
          </w:tcPr>
          <w:p w14:paraId="3577AADF" w14:textId="77777777" w:rsidR="009E0D80" w:rsidRPr="00007A5A" w:rsidRDefault="009E0D80" w:rsidP="00804D6A">
            <w:pPr>
              <w:spacing w:after="0" w:line="240" w:lineRule="auto"/>
              <w:jc w:val="center"/>
              <w:rPr>
                <w:rFonts w:ascii="Times New Roman" w:eastAsia="Times New Roman" w:hAnsi="Times New Roman" w:cs="Times New Roman"/>
                <w:color w:val="212121"/>
                <w:sz w:val="16"/>
                <w:szCs w:val="16"/>
                <w:lang w:eastAsia="lv-LV"/>
              </w:rPr>
            </w:pPr>
          </w:p>
        </w:tc>
      </w:tr>
      <w:tr w:rsidR="001776EC" w:rsidRPr="00E02925" w14:paraId="7E1D616F" w14:textId="77777777" w:rsidTr="008967B9">
        <w:trPr>
          <w:trHeight w:val="300"/>
          <w:jc w:val="center"/>
        </w:trPr>
        <w:tc>
          <w:tcPr>
            <w:tcW w:w="4367" w:type="dxa"/>
            <w:gridSpan w:val="6"/>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bottom"/>
            <w:hideMark/>
          </w:tcPr>
          <w:p w14:paraId="3078E01C" w14:textId="2CCD186F" w:rsidR="001776EC" w:rsidRPr="00F5395D" w:rsidRDefault="001776EC" w:rsidP="001776EC">
            <w:pPr>
              <w:spacing w:after="0" w:line="240" w:lineRule="auto"/>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b/>
                <w:bCs/>
                <w:color w:val="212121"/>
                <w:sz w:val="20"/>
                <w:szCs w:val="20"/>
                <w:lang w:eastAsia="lv-LV"/>
              </w:rPr>
              <w:t>Kopā</w:t>
            </w:r>
          </w:p>
        </w:tc>
        <w:tc>
          <w:tcPr>
            <w:tcW w:w="2154" w:type="dxa"/>
            <w:gridSpan w:val="4"/>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bottom"/>
            <w:hideMark/>
          </w:tcPr>
          <w:p w14:paraId="283A53E3" w14:textId="77777777" w:rsidR="001776EC" w:rsidRPr="00F5395D" w:rsidRDefault="001776EC" w:rsidP="00804D6A">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b/>
                <w:bCs/>
                <w:color w:val="212121"/>
                <w:sz w:val="20"/>
                <w:szCs w:val="20"/>
                <w:lang w:eastAsia="lv-LV"/>
              </w:rPr>
              <w:t>28 620</w:t>
            </w:r>
          </w:p>
        </w:tc>
        <w:tc>
          <w:tcPr>
            <w:tcW w:w="236" w:type="dxa"/>
            <w:shd w:val="clear" w:color="auto" w:fill="FFFFFF" w:themeFill="background1"/>
            <w:noWrap/>
            <w:tcMar>
              <w:top w:w="0" w:type="dxa"/>
              <w:left w:w="108" w:type="dxa"/>
              <w:bottom w:w="0" w:type="dxa"/>
              <w:right w:w="108" w:type="dxa"/>
            </w:tcMar>
            <w:vAlign w:val="bottom"/>
            <w:hideMark/>
          </w:tcPr>
          <w:p w14:paraId="60B0EA67" w14:textId="77777777" w:rsidR="001776EC" w:rsidRPr="00007A5A" w:rsidRDefault="001776EC" w:rsidP="00804D6A">
            <w:pPr>
              <w:spacing w:after="0" w:line="240" w:lineRule="auto"/>
              <w:jc w:val="center"/>
              <w:rPr>
                <w:rFonts w:ascii="Times New Roman" w:eastAsia="Times New Roman" w:hAnsi="Times New Roman" w:cs="Times New Roman"/>
                <w:color w:val="212121"/>
                <w:sz w:val="16"/>
                <w:szCs w:val="16"/>
                <w:lang w:eastAsia="lv-LV"/>
              </w:rPr>
            </w:pPr>
          </w:p>
        </w:tc>
      </w:tr>
      <w:tr w:rsidR="009E0D80" w:rsidRPr="00E02925" w14:paraId="5115CF47" w14:textId="77777777" w:rsidTr="00E93259">
        <w:trPr>
          <w:gridAfter w:val="2"/>
          <w:wAfter w:w="1895" w:type="dxa"/>
          <w:jc w:val="center"/>
        </w:trPr>
        <w:tc>
          <w:tcPr>
            <w:tcW w:w="2127" w:type="dxa"/>
            <w:gridSpan w:val="2"/>
            <w:tcBorders>
              <w:top w:val="nil"/>
              <w:left w:val="nil"/>
              <w:bottom w:val="nil"/>
              <w:right w:val="nil"/>
            </w:tcBorders>
            <w:shd w:val="clear" w:color="auto" w:fill="FFFFFF" w:themeFill="background1"/>
            <w:vAlign w:val="center"/>
            <w:hideMark/>
          </w:tcPr>
          <w:p w14:paraId="482FCE5E" w14:textId="77777777" w:rsidR="009E0D80" w:rsidRPr="00007A5A" w:rsidRDefault="009E0D80" w:rsidP="00804D6A">
            <w:pPr>
              <w:spacing w:after="0" w:line="240" w:lineRule="auto"/>
              <w:jc w:val="center"/>
              <w:rPr>
                <w:rFonts w:ascii="Times New Roman" w:eastAsia="Times New Roman" w:hAnsi="Times New Roman" w:cs="Times New Roman"/>
                <w:sz w:val="16"/>
                <w:szCs w:val="16"/>
                <w:lang w:eastAsia="lv-LV"/>
              </w:rPr>
            </w:pPr>
          </w:p>
        </w:tc>
        <w:tc>
          <w:tcPr>
            <w:tcW w:w="20" w:type="dxa"/>
            <w:tcBorders>
              <w:top w:val="nil"/>
              <w:left w:val="nil"/>
              <w:bottom w:val="nil"/>
              <w:right w:val="nil"/>
            </w:tcBorders>
            <w:shd w:val="clear" w:color="auto" w:fill="FFFFFF" w:themeFill="background1"/>
            <w:vAlign w:val="center"/>
            <w:hideMark/>
          </w:tcPr>
          <w:p w14:paraId="6D0CCD7A" w14:textId="77777777" w:rsidR="009E0D80" w:rsidRPr="00007A5A" w:rsidRDefault="009E0D80" w:rsidP="00804D6A">
            <w:pPr>
              <w:spacing w:after="0" w:line="240" w:lineRule="auto"/>
              <w:jc w:val="center"/>
              <w:rPr>
                <w:rFonts w:ascii="Times New Roman" w:eastAsia="Times New Roman" w:hAnsi="Times New Roman" w:cs="Times New Roman"/>
                <w:sz w:val="16"/>
                <w:szCs w:val="16"/>
                <w:lang w:eastAsia="lv-LV"/>
              </w:rPr>
            </w:pPr>
          </w:p>
        </w:tc>
        <w:tc>
          <w:tcPr>
            <w:tcW w:w="1286" w:type="dxa"/>
            <w:tcBorders>
              <w:top w:val="nil"/>
              <w:left w:val="nil"/>
              <w:bottom w:val="nil"/>
              <w:right w:val="nil"/>
            </w:tcBorders>
            <w:shd w:val="clear" w:color="auto" w:fill="FFFFFF" w:themeFill="background1"/>
            <w:vAlign w:val="center"/>
            <w:hideMark/>
          </w:tcPr>
          <w:p w14:paraId="1F33BFA7" w14:textId="77777777" w:rsidR="009E0D80" w:rsidRPr="00007A5A" w:rsidRDefault="009E0D80" w:rsidP="00804D6A">
            <w:pPr>
              <w:spacing w:after="0" w:line="240" w:lineRule="auto"/>
              <w:jc w:val="center"/>
              <w:rPr>
                <w:rFonts w:ascii="Times New Roman" w:eastAsia="Times New Roman" w:hAnsi="Times New Roman" w:cs="Times New Roman"/>
                <w:sz w:val="16"/>
                <w:szCs w:val="16"/>
                <w:lang w:eastAsia="lv-LV"/>
              </w:rPr>
            </w:pPr>
          </w:p>
        </w:tc>
        <w:tc>
          <w:tcPr>
            <w:tcW w:w="1106" w:type="dxa"/>
            <w:gridSpan w:val="3"/>
            <w:tcBorders>
              <w:top w:val="nil"/>
              <w:left w:val="nil"/>
              <w:bottom w:val="nil"/>
              <w:right w:val="nil"/>
            </w:tcBorders>
            <w:shd w:val="clear" w:color="auto" w:fill="FFFFFF" w:themeFill="background1"/>
            <w:vAlign w:val="center"/>
            <w:hideMark/>
          </w:tcPr>
          <w:p w14:paraId="1F4C26BD" w14:textId="77777777" w:rsidR="009E0D80" w:rsidRPr="00007A5A" w:rsidRDefault="009E0D80" w:rsidP="00804D6A">
            <w:pPr>
              <w:spacing w:after="0" w:line="240" w:lineRule="auto"/>
              <w:jc w:val="center"/>
              <w:rPr>
                <w:rFonts w:ascii="Times New Roman" w:eastAsia="Times New Roman" w:hAnsi="Times New Roman" w:cs="Times New Roman"/>
                <w:sz w:val="16"/>
                <w:szCs w:val="16"/>
                <w:lang w:eastAsia="lv-LV"/>
              </w:rPr>
            </w:pPr>
          </w:p>
        </w:tc>
        <w:tc>
          <w:tcPr>
            <w:tcW w:w="20" w:type="dxa"/>
            <w:tcBorders>
              <w:top w:val="nil"/>
              <w:left w:val="nil"/>
              <w:bottom w:val="nil"/>
              <w:right w:val="nil"/>
            </w:tcBorders>
            <w:shd w:val="clear" w:color="auto" w:fill="FFFFFF" w:themeFill="background1"/>
            <w:vAlign w:val="center"/>
            <w:hideMark/>
          </w:tcPr>
          <w:p w14:paraId="4776D58F" w14:textId="77777777" w:rsidR="009E0D80" w:rsidRPr="00007A5A" w:rsidRDefault="009E0D80" w:rsidP="00804D6A">
            <w:pPr>
              <w:spacing w:after="0" w:line="240" w:lineRule="auto"/>
              <w:jc w:val="center"/>
              <w:rPr>
                <w:rFonts w:ascii="Times New Roman" w:eastAsia="Times New Roman" w:hAnsi="Times New Roman" w:cs="Times New Roman"/>
                <w:sz w:val="16"/>
                <w:szCs w:val="16"/>
                <w:lang w:eastAsia="lv-LV"/>
              </w:rPr>
            </w:pPr>
          </w:p>
        </w:tc>
        <w:tc>
          <w:tcPr>
            <w:tcW w:w="303" w:type="dxa"/>
            <w:tcBorders>
              <w:top w:val="nil"/>
              <w:left w:val="nil"/>
              <w:bottom w:val="nil"/>
              <w:right w:val="nil"/>
            </w:tcBorders>
            <w:shd w:val="clear" w:color="auto" w:fill="FFFFFF" w:themeFill="background1"/>
            <w:vAlign w:val="center"/>
            <w:hideMark/>
          </w:tcPr>
          <w:p w14:paraId="34EBB1EE" w14:textId="77777777" w:rsidR="009E0D80" w:rsidRPr="00007A5A" w:rsidRDefault="009E0D80" w:rsidP="00804D6A">
            <w:pPr>
              <w:spacing w:after="0" w:line="240" w:lineRule="auto"/>
              <w:jc w:val="center"/>
              <w:rPr>
                <w:rFonts w:ascii="Times New Roman" w:eastAsia="Times New Roman" w:hAnsi="Times New Roman" w:cs="Times New Roman"/>
                <w:sz w:val="16"/>
                <w:szCs w:val="16"/>
                <w:lang w:eastAsia="lv-LV"/>
              </w:rPr>
            </w:pPr>
          </w:p>
        </w:tc>
      </w:tr>
    </w:tbl>
    <w:p w14:paraId="4CBDAC23" w14:textId="77777777" w:rsidR="009E0D80" w:rsidRDefault="009E0D80" w:rsidP="009E0D80">
      <w:pPr>
        <w:spacing w:after="0"/>
        <w:ind w:firstLine="720"/>
        <w:jc w:val="both"/>
        <w:rPr>
          <w:rFonts w:ascii="Times New Roman" w:hAnsi="Times New Roman" w:cs="Times New Roman"/>
          <w:b/>
          <w:color w:val="000000"/>
          <w:sz w:val="24"/>
          <w:szCs w:val="24"/>
        </w:rPr>
      </w:pPr>
    </w:p>
    <w:p w14:paraId="23819049" w14:textId="349D09B3" w:rsidR="009E0D80" w:rsidRPr="000C2EF6" w:rsidRDefault="009E0D80" w:rsidP="009E0D80">
      <w:pPr>
        <w:spacing w:after="0"/>
        <w:ind w:firstLine="720"/>
        <w:jc w:val="both"/>
        <w:rPr>
          <w:rFonts w:ascii="Times New Roman" w:hAnsi="Times New Roman" w:cs="Times New Roman"/>
          <w:color w:val="000000"/>
          <w:sz w:val="24"/>
          <w:szCs w:val="24"/>
        </w:rPr>
      </w:pPr>
      <w:r w:rsidRPr="00E12849">
        <w:rPr>
          <w:rFonts w:ascii="Times New Roman" w:hAnsi="Times New Roman" w:cs="Times New Roman"/>
          <w:b/>
          <w:bCs/>
          <w:color w:val="000000"/>
          <w:sz w:val="24"/>
          <w:szCs w:val="24"/>
        </w:rPr>
        <w:t>3.4.3. Atbalsta personas HIV inficētām personām</w:t>
      </w:r>
      <w:r w:rsidRPr="000C2EF6">
        <w:rPr>
          <w:rFonts w:ascii="Times New Roman" w:hAnsi="Times New Roman" w:cs="Times New Roman"/>
          <w:color w:val="000000"/>
          <w:sz w:val="24"/>
          <w:szCs w:val="24"/>
        </w:rPr>
        <w:t xml:space="preserve"> </w:t>
      </w:r>
    </w:p>
    <w:p w14:paraId="3C8904A1" w14:textId="77777777" w:rsidR="009E0D80" w:rsidRPr="000C2EF6" w:rsidRDefault="009E0D80" w:rsidP="009E0D80">
      <w:pPr>
        <w:spacing w:after="0" w:line="264" w:lineRule="auto"/>
        <w:ind w:firstLine="720"/>
        <w:jc w:val="both"/>
        <w:rPr>
          <w:rFonts w:ascii="Times New Roman" w:hAnsi="Times New Roman" w:cs="Times New Roman"/>
          <w:sz w:val="24"/>
          <w:szCs w:val="24"/>
        </w:rPr>
      </w:pPr>
    </w:p>
    <w:p w14:paraId="6F837298" w14:textId="77777777" w:rsidR="009E0D80" w:rsidRPr="000C2EF6" w:rsidRDefault="009E0D80" w:rsidP="009E0D80">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Otrs instruments, lai palielinātu to HIV inficēto personu skaitu, kas saņem ARV terapiju, ir uzlabot pieejamību ārstniecības, tai skaitā diagnostikas pakalpojumiem, lai agrīnāk atklātu HIV inficētās personas un uzsāktu šo personu ārstēšanu. Šobrīd katru gadu tiek atklāti vairāk kā 360 jauni HIV infekcijas gadījumi (2017. gadā - 371) un vairāk kā 30% no šiem gadījumiem tiek atklāti AIDS stadijā, kas ir vēlīna HIV infekcijas stadija, kurā ir pievienojušās HIV pavadošās slimības. </w:t>
      </w:r>
    </w:p>
    <w:p w14:paraId="20D036D1" w14:textId="77777777" w:rsidR="009E0D80" w:rsidRPr="000C2EF6" w:rsidRDefault="009E0D80" w:rsidP="009E0D80">
      <w:pPr>
        <w:widowControl w:val="0"/>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HIV diagnozes uzzināšana cilvēkam ir smaga psiholoģiska trauma. Latvijā HIV infekcija tiek stigmatizēta. Tā rezultātā HIV inficētie savu  diagnozi slēpj un līdz ar to kavējas vērsties ārstniecības iestādē, lai uzsāktu un turpinātu HIV ārstēšanu. Ir nepieciešams nodrošināt īpaši apmācītas atbalsta personas HIV inficētajiem, kuras ir zinošas par HIV infekcijas specifiku un ir sagatavotas sniegt atbalstu, tai skaitā pavadīt uz ārstniecības iestādi, lai veiktu HIV apstiprinošo diagnostiku, uzsāktu un turpinātu ārstēšanu, kā arī sniegt palīdzību ievērot ārstēšanās režīmu.</w:t>
      </w:r>
    </w:p>
    <w:p w14:paraId="6ED3C4AB" w14:textId="77777777" w:rsidR="009E0D80" w:rsidRPr="000C2EF6" w:rsidRDefault="009E0D80" w:rsidP="009E0D80">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Lai risinātu šo problēmu, Veselības ministrija ir uzsākusi HIV inficēto personu veselības aprūpes reformu, nodrošinot to, ja personai HIV profilakses punktā (</w:t>
      </w:r>
      <w:r>
        <w:rPr>
          <w:rFonts w:ascii="Times New Roman" w:hAnsi="Times New Roman" w:cs="Times New Roman"/>
          <w:sz w:val="24"/>
          <w:szCs w:val="24"/>
        </w:rPr>
        <w:t xml:space="preserve">turpmāk - </w:t>
      </w:r>
      <w:r w:rsidRPr="000C2EF6">
        <w:rPr>
          <w:rFonts w:ascii="Times New Roman" w:hAnsi="Times New Roman" w:cs="Times New Roman"/>
          <w:sz w:val="24"/>
          <w:szCs w:val="24"/>
        </w:rPr>
        <w:t xml:space="preserve">HPP), kam ir sadarbības līgums ar SPKC, ir veikts HIV kapilāro asiņu vai siekalu eksprestests ar  pazīmēm uz HIV infekciju, tad personai infektologs ir tiešās pieejamības speciālists, proti, šādos gadījumos nav nepieciešams ģimenes ārsta nosūtījums, lai apmeklētu infektologu. </w:t>
      </w:r>
    </w:p>
    <w:p w14:paraId="4D2CBEAB" w14:textId="041C0749" w:rsidR="009E0D80" w:rsidRPr="000C2EF6" w:rsidRDefault="009E0D80" w:rsidP="009E0D80">
      <w:pPr>
        <w:spacing w:after="120"/>
        <w:ind w:firstLine="720"/>
        <w:jc w:val="both"/>
        <w:rPr>
          <w:rFonts w:ascii="Times New Roman" w:hAnsi="Times New Roman" w:cs="Times New Roman"/>
          <w:iCs/>
          <w:sz w:val="24"/>
          <w:szCs w:val="24"/>
        </w:rPr>
      </w:pPr>
      <w:r w:rsidRPr="000C2EF6">
        <w:rPr>
          <w:rFonts w:ascii="Times New Roman" w:hAnsi="Times New Roman" w:cs="Times New Roman"/>
          <w:sz w:val="24"/>
          <w:szCs w:val="24"/>
        </w:rPr>
        <w:t>Liela daļa HPP apmeklētāju pieder paaugstinātai HIV inficēšanās riskam pakļautai cilvēku grupai, kā arī nereti tie ir cilvēki, kas ir pakļauti sociālās atstumtības riskam. Grūtības noorganizēt ārsta apmeklējumu, gaidīšana rindā uz veselības aprūpes pakalpojuma saņemšanu, transporta problēmas un citas līdzīgas problēmas kavē šos cilvēkus apmeklēt infektologu. Tādēļ ir nepieciešams v</w:t>
      </w:r>
      <w:r w:rsidRPr="000C2EF6">
        <w:rPr>
          <w:rFonts w:ascii="Times New Roman" w:hAnsi="Times New Roman" w:cs="Times New Roman"/>
          <w:iCs/>
          <w:sz w:val="24"/>
          <w:szCs w:val="24"/>
        </w:rPr>
        <w:t xml:space="preserve">eidot sasaisti kaitējuma mazināšanas pakalpojumiem ar veselības aprūpes sistēmu pozitīva HIV eksprestesta gadījumā. Šim nolūkam plānots, ka no 2019. gada SPKC uzsāks veidot sadarbību un pirkt pakalpojumus no nevalstiskajām organizācijām, kas nodrošinās atbalsta personu piesaisti konkrētajam HIV inficētajam, lai tas nonāktu ārstniecības </w:t>
      </w:r>
      <w:r w:rsidRPr="000C2EF6">
        <w:rPr>
          <w:rFonts w:ascii="Times New Roman" w:hAnsi="Times New Roman" w:cs="Times New Roman"/>
          <w:iCs/>
          <w:sz w:val="24"/>
          <w:szCs w:val="24"/>
        </w:rPr>
        <w:lastRenderedPageBreak/>
        <w:t xml:space="preserve">iestādē, veiktu HIV diagnostiku un uzsāktu ārstēšanos. Atbalsta personas plānots piesaistīt kaitējuma mazināšanas pakalpojumu sniegšanas vietām, kur tiek veikta HIV primārā diagnostika, t.i., ekspresdiagnostika. Minēto pakalpojumu ietvarā nevalstisko organizāciju pārstāvji konkrētajai HIV inficētajai personai organizēs vizīti pie infektologa, palīdzēs atrisināt transporta jautājumus nokļūšanai pie infektolga, sekos, lai persona apmeklē ārstu un pavadīs HIV inficēto personu pie infektologa. </w:t>
      </w:r>
      <w:r>
        <w:rPr>
          <w:rFonts w:ascii="Times New Roman" w:hAnsi="Times New Roman" w:cs="Times New Roman"/>
          <w:iCs/>
          <w:sz w:val="24"/>
          <w:szCs w:val="24"/>
        </w:rPr>
        <w:t xml:space="preserve">Atbalsta personu pakalpojumu nodrošināšanai no 2019.gada 1.jūlija nepieciešami </w:t>
      </w:r>
      <w:r w:rsidRPr="00A4683F">
        <w:rPr>
          <w:rFonts w:ascii="Times New Roman" w:hAnsi="Times New Roman" w:cs="Times New Roman"/>
          <w:b/>
          <w:iCs/>
          <w:sz w:val="24"/>
          <w:szCs w:val="24"/>
        </w:rPr>
        <w:t xml:space="preserve">14 000 </w:t>
      </w:r>
      <w:r w:rsidRPr="00A4683F">
        <w:rPr>
          <w:rFonts w:ascii="Times New Roman" w:hAnsi="Times New Roman" w:cs="Times New Roman"/>
          <w:b/>
          <w:i/>
          <w:iCs/>
          <w:sz w:val="24"/>
          <w:szCs w:val="24"/>
        </w:rPr>
        <w:t>euro</w:t>
      </w:r>
      <w:r w:rsidR="00732F4A">
        <w:rPr>
          <w:rFonts w:ascii="Times New Roman" w:hAnsi="Times New Roman" w:cs="Times New Roman"/>
          <w:b/>
          <w:i/>
          <w:iCs/>
          <w:sz w:val="24"/>
          <w:szCs w:val="24"/>
        </w:rPr>
        <w:t xml:space="preserve"> </w:t>
      </w:r>
      <w:r w:rsidR="00732F4A" w:rsidRPr="00E93259">
        <w:rPr>
          <w:rFonts w:ascii="Times New Roman" w:hAnsi="Times New Roman" w:cs="Times New Roman"/>
          <w:iCs/>
          <w:sz w:val="24"/>
          <w:szCs w:val="24"/>
        </w:rPr>
        <w:t>(</w:t>
      </w:r>
      <w:r w:rsidR="00EF392E">
        <w:rPr>
          <w:rFonts w:ascii="Times New Roman" w:hAnsi="Times New Roman" w:cs="Times New Roman"/>
          <w:iCs/>
          <w:sz w:val="24"/>
          <w:szCs w:val="24"/>
        </w:rPr>
        <w:t>59</w:t>
      </w:r>
      <w:r w:rsidR="00732F4A" w:rsidRPr="00E93259">
        <w:rPr>
          <w:rFonts w:ascii="Times New Roman" w:hAnsi="Times New Roman" w:cs="Times New Roman"/>
          <w:iCs/>
          <w:sz w:val="24"/>
          <w:szCs w:val="24"/>
        </w:rPr>
        <w:t>.tabula)</w:t>
      </w:r>
      <w:r w:rsidRPr="000053D5">
        <w:rPr>
          <w:rFonts w:ascii="Times New Roman" w:hAnsi="Times New Roman" w:cs="Times New Roman"/>
          <w:iCs/>
          <w:sz w:val="24"/>
          <w:szCs w:val="24"/>
        </w:rPr>
        <w:t>.</w:t>
      </w:r>
    </w:p>
    <w:p w14:paraId="489B8B59" w14:textId="5CC21F1D" w:rsidR="009E0D80" w:rsidRPr="00E93259" w:rsidRDefault="00EF392E" w:rsidP="6812B80F">
      <w:pPr>
        <w:spacing w:after="0" w:line="264" w:lineRule="auto"/>
        <w:jc w:val="right"/>
        <w:rPr>
          <w:rFonts w:ascii="Times New Roman" w:hAnsi="Times New Roman" w:cs="Times New Roman"/>
          <w:i/>
          <w:iCs/>
          <w:sz w:val="24"/>
          <w:szCs w:val="24"/>
        </w:rPr>
      </w:pPr>
      <w:r>
        <w:rPr>
          <w:rFonts w:ascii="Times New Roman" w:hAnsi="Times New Roman" w:cs="Times New Roman"/>
          <w:i/>
          <w:iCs/>
          <w:sz w:val="24"/>
          <w:szCs w:val="24"/>
        </w:rPr>
        <w:t>59</w:t>
      </w:r>
      <w:r w:rsidR="009E0D80" w:rsidRPr="6812B80F">
        <w:rPr>
          <w:rFonts w:ascii="Times New Roman" w:hAnsi="Times New Roman" w:cs="Times New Roman"/>
          <w:i/>
          <w:iCs/>
          <w:sz w:val="24"/>
          <w:szCs w:val="24"/>
        </w:rPr>
        <w:t>.tabula</w:t>
      </w:r>
    </w:p>
    <w:p w14:paraId="123DBE62" w14:textId="77777777" w:rsidR="009E0D80" w:rsidRPr="00A4683F" w:rsidRDefault="009E0D80" w:rsidP="009E0D80">
      <w:pPr>
        <w:spacing w:after="0" w:line="264" w:lineRule="auto"/>
        <w:jc w:val="center"/>
        <w:rPr>
          <w:rFonts w:ascii="Times New Roman" w:hAnsi="Times New Roman" w:cs="Times New Roman"/>
          <w:sz w:val="24"/>
          <w:szCs w:val="24"/>
        </w:rPr>
      </w:pPr>
      <w:r w:rsidRPr="006E5A46">
        <w:rPr>
          <w:rFonts w:ascii="Times New Roman" w:hAnsi="Times New Roman" w:cs="Times New Roman"/>
          <w:sz w:val="24"/>
          <w:szCs w:val="24"/>
        </w:rPr>
        <w:t>Atbalsta person</w:t>
      </w:r>
      <w:r>
        <w:rPr>
          <w:rFonts w:ascii="Times New Roman" w:hAnsi="Times New Roman" w:cs="Times New Roman"/>
          <w:sz w:val="24"/>
          <w:szCs w:val="24"/>
        </w:rPr>
        <w:t>u</w:t>
      </w:r>
      <w:r w:rsidRPr="00A4683F">
        <w:rPr>
          <w:rFonts w:ascii="Times New Roman" w:hAnsi="Times New Roman" w:cs="Times New Roman"/>
          <w:sz w:val="24"/>
          <w:szCs w:val="24"/>
        </w:rPr>
        <w:t xml:space="preserve"> pakalpojumi HIV inficētām personām</w:t>
      </w:r>
      <w:r>
        <w:rPr>
          <w:rFonts w:ascii="Times New Roman" w:hAnsi="Times New Roman" w:cs="Times New Roman"/>
          <w:sz w:val="24"/>
          <w:szCs w:val="24"/>
        </w:rPr>
        <w:t xml:space="preserve"> nepieciešamais finansējums</w:t>
      </w:r>
    </w:p>
    <w:p w14:paraId="65BD8267" w14:textId="77777777" w:rsidR="009E0D80" w:rsidRDefault="009E0D80" w:rsidP="009E0D80">
      <w:pPr>
        <w:spacing w:after="0" w:line="264" w:lineRule="auto"/>
        <w:ind w:firstLine="720"/>
        <w:rPr>
          <w:rFonts w:ascii="Times New Roman" w:hAnsi="Times New Roman" w:cs="Times New Roman"/>
          <w:sz w:val="24"/>
          <w:szCs w:val="24"/>
        </w:rPr>
      </w:pPr>
    </w:p>
    <w:tbl>
      <w:tblPr>
        <w:tblW w:w="9089" w:type="dxa"/>
        <w:jc w:val="center"/>
        <w:tblLook w:val="04A0" w:firstRow="1" w:lastRow="0" w:firstColumn="1" w:lastColumn="0" w:noHBand="0" w:noVBand="1"/>
      </w:tblPr>
      <w:tblGrid>
        <w:gridCol w:w="3260"/>
        <w:gridCol w:w="2122"/>
        <w:gridCol w:w="2067"/>
        <w:gridCol w:w="1640"/>
      </w:tblGrid>
      <w:tr w:rsidR="00452F95" w:rsidRPr="00F27E6B" w14:paraId="3335CD87" w14:textId="20BCC92C" w:rsidTr="009E2101">
        <w:trPr>
          <w:trHeight w:val="900"/>
          <w:jc w:val="center"/>
        </w:trPr>
        <w:tc>
          <w:tcPr>
            <w:tcW w:w="3260" w:type="dxa"/>
            <w:tcBorders>
              <w:top w:val="single" w:sz="4" w:space="0" w:color="auto"/>
              <w:left w:val="single" w:sz="4" w:space="0" w:color="auto"/>
              <w:bottom w:val="nil"/>
              <w:right w:val="nil"/>
            </w:tcBorders>
            <w:shd w:val="clear" w:color="auto" w:fill="E36C0A" w:themeFill="accent6" w:themeFillShade="BF"/>
            <w:vAlign w:val="center"/>
            <w:hideMark/>
          </w:tcPr>
          <w:p w14:paraId="32408A3A" w14:textId="77777777" w:rsidR="00452F95" w:rsidRPr="00203A8A" w:rsidRDefault="00452F95" w:rsidP="00804D6A">
            <w:pPr>
              <w:spacing w:after="0" w:line="240" w:lineRule="auto"/>
              <w:jc w:val="center"/>
              <w:rPr>
                <w:rFonts w:ascii="Times New Roman" w:eastAsia="Times New Roman" w:hAnsi="Times New Roman" w:cs="Times New Roman"/>
                <w:b/>
                <w:bCs/>
                <w:color w:val="000000"/>
                <w:sz w:val="20"/>
                <w:szCs w:val="20"/>
                <w:lang w:eastAsia="lv-LV"/>
              </w:rPr>
            </w:pPr>
            <w:r w:rsidRPr="00203A8A">
              <w:rPr>
                <w:rFonts w:ascii="Times New Roman" w:eastAsia="Times New Roman" w:hAnsi="Times New Roman" w:cs="Times New Roman"/>
                <w:b/>
                <w:bCs/>
                <w:color w:val="000000"/>
                <w:sz w:val="20"/>
                <w:szCs w:val="20"/>
                <w:lang w:eastAsia="lv-LV"/>
              </w:rPr>
              <w:t xml:space="preserve">Pakalpojuma līgums par 14 000 </w:t>
            </w:r>
            <w:r w:rsidRPr="00203A8A">
              <w:rPr>
                <w:rFonts w:ascii="Times New Roman" w:eastAsia="Times New Roman" w:hAnsi="Times New Roman" w:cs="Times New Roman"/>
                <w:b/>
                <w:bCs/>
                <w:i/>
                <w:color w:val="000000"/>
                <w:sz w:val="20"/>
                <w:szCs w:val="20"/>
                <w:lang w:eastAsia="lv-LV"/>
              </w:rPr>
              <w:t>euro</w:t>
            </w:r>
            <w:r w:rsidRPr="00203A8A">
              <w:rPr>
                <w:rFonts w:ascii="Times New Roman" w:eastAsia="Times New Roman" w:hAnsi="Times New Roman" w:cs="Times New Roman"/>
                <w:b/>
                <w:bCs/>
                <w:color w:val="000000"/>
                <w:sz w:val="20"/>
                <w:szCs w:val="20"/>
                <w:lang w:eastAsia="lv-LV"/>
              </w:rPr>
              <w:t xml:space="preserve"> summu par</w:t>
            </w:r>
            <w:r w:rsidRPr="00203A8A">
              <w:rPr>
                <w:rFonts w:ascii="Times New Roman" w:eastAsia="Times New Roman" w:hAnsi="Times New Roman" w:cs="Times New Roman"/>
                <w:b/>
                <w:bCs/>
                <w:color w:val="FF0000"/>
                <w:sz w:val="20"/>
                <w:szCs w:val="20"/>
                <w:lang w:eastAsia="lv-LV"/>
              </w:rPr>
              <w:t xml:space="preserve"> </w:t>
            </w:r>
            <w:r w:rsidRPr="00203A8A">
              <w:rPr>
                <w:rFonts w:ascii="Times New Roman" w:eastAsia="Times New Roman" w:hAnsi="Times New Roman" w:cs="Times New Roman"/>
                <w:b/>
                <w:bCs/>
                <w:sz w:val="20"/>
                <w:szCs w:val="20"/>
                <w:lang w:eastAsia="lv-LV"/>
              </w:rPr>
              <w:t>6 mēnešiem</w:t>
            </w:r>
            <w:r w:rsidRPr="00203A8A">
              <w:rPr>
                <w:rFonts w:ascii="Times New Roman" w:eastAsia="Times New Roman" w:hAnsi="Times New Roman" w:cs="Times New Roman"/>
                <w:b/>
                <w:bCs/>
                <w:color w:val="000000"/>
                <w:sz w:val="20"/>
                <w:szCs w:val="20"/>
                <w:lang w:eastAsia="lv-LV"/>
              </w:rPr>
              <w:t>, kas sevī ietver:</w:t>
            </w:r>
          </w:p>
        </w:tc>
        <w:tc>
          <w:tcPr>
            <w:tcW w:w="2122"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7103A09E" w14:textId="77777777" w:rsidR="00452F95" w:rsidRPr="007C25A0" w:rsidRDefault="00452F95" w:rsidP="00804D6A">
            <w:pPr>
              <w:spacing w:after="0" w:line="240" w:lineRule="auto"/>
              <w:jc w:val="center"/>
              <w:rPr>
                <w:rFonts w:ascii="Times New Roman" w:eastAsia="Times New Roman" w:hAnsi="Times New Roman" w:cs="Times New Roman"/>
                <w:b/>
                <w:sz w:val="20"/>
                <w:szCs w:val="20"/>
                <w:lang w:eastAsia="lv-LV"/>
              </w:rPr>
            </w:pPr>
            <w:r w:rsidRPr="007C25A0">
              <w:rPr>
                <w:rFonts w:ascii="Times New Roman" w:eastAsia="Times New Roman" w:hAnsi="Times New Roman" w:cs="Times New Roman"/>
                <w:b/>
                <w:sz w:val="20"/>
                <w:szCs w:val="20"/>
                <w:lang w:eastAsia="lv-LV"/>
              </w:rPr>
              <w:t xml:space="preserve">Nepieciešamais finansējums mēnesī </w:t>
            </w:r>
            <w:r w:rsidRPr="007C25A0">
              <w:rPr>
                <w:rFonts w:ascii="Times New Roman" w:eastAsia="Times New Roman" w:hAnsi="Times New Roman" w:cs="Times New Roman"/>
                <w:b/>
                <w:i/>
                <w:sz w:val="20"/>
                <w:szCs w:val="20"/>
                <w:lang w:eastAsia="lv-LV"/>
              </w:rPr>
              <w:t>euro</w:t>
            </w:r>
            <w:r w:rsidRPr="007C25A0">
              <w:rPr>
                <w:rFonts w:ascii="Times New Roman" w:eastAsia="Times New Roman" w:hAnsi="Times New Roman" w:cs="Times New Roman"/>
                <w:b/>
                <w:sz w:val="20"/>
                <w:szCs w:val="20"/>
                <w:lang w:eastAsia="lv-LV"/>
              </w:rPr>
              <w:t xml:space="preserve"> (trīs atbalsta personām)</w:t>
            </w:r>
          </w:p>
        </w:tc>
        <w:tc>
          <w:tcPr>
            <w:tcW w:w="206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F3F86C1" w14:textId="2868B811" w:rsidR="00452F95" w:rsidRPr="007C25A0" w:rsidRDefault="00452F95" w:rsidP="00804D6A">
            <w:pPr>
              <w:spacing w:after="0" w:line="240" w:lineRule="auto"/>
              <w:jc w:val="center"/>
              <w:rPr>
                <w:rFonts w:ascii="Times New Roman" w:eastAsia="Times New Roman" w:hAnsi="Times New Roman" w:cs="Times New Roman"/>
                <w:b/>
                <w:sz w:val="20"/>
                <w:szCs w:val="20"/>
                <w:lang w:eastAsia="lv-LV"/>
              </w:rPr>
            </w:pPr>
            <w:r w:rsidRPr="007C25A0">
              <w:rPr>
                <w:rFonts w:ascii="Times New Roman" w:eastAsia="Times New Roman" w:hAnsi="Times New Roman" w:cs="Times New Roman"/>
                <w:b/>
                <w:sz w:val="20"/>
                <w:szCs w:val="20"/>
                <w:lang w:eastAsia="lv-LV"/>
              </w:rPr>
              <w:t xml:space="preserve">Nepieciešamais finansējums no 2019.gada 1.jūlija, </w:t>
            </w:r>
            <w:r w:rsidRPr="007C25A0">
              <w:rPr>
                <w:rFonts w:ascii="Times New Roman" w:eastAsia="Times New Roman" w:hAnsi="Times New Roman" w:cs="Times New Roman"/>
                <w:b/>
                <w:i/>
                <w:sz w:val="20"/>
                <w:szCs w:val="20"/>
                <w:lang w:eastAsia="lv-LV"/>
              </w:rPr>
              <w:t>euro</w:t>
            </w:r>
          </w:p>
        </w:tc>
        <w:tc>
          <w:tcPr>
            <w:tcW w:w="1640"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57E5D94" w14:textId="4D0BB0B7" w:rsidR="00452F95" w:rsidRPr="007C25A0" w:rsidRDefault="00452F95" w:rsidP="00804D6A">
            <w:pPr>
              <w:spacing w:after="0" w:line="240" w:lineRule="auto"/>
              <w:jc w:val="center"/>
              <w:rPr>
                <w:rFonts w:ascii="Times New Roman" w:eastAsia="Times New Roman" w:hAnsi="Times New Roman" w:cs="Times New Roman"/>
                <w:b/>
                <w:sz w:val="20"/>
                <w:szCs w:val="20"/>
                <w:lang w:eastAsia="lv-LV"/>
              </w:rPr>
            </w:pPr>
            <w:r w:rsidRPr="007C25A0">
              <w:rPr>
                <w:rFonts w:ascii="Times New Roman" w:eastAsia="Times New Roman" w:hAnsi="Times New Roman" w:cs="Times New Roman"/>
                <w:b/>
                <w:sz w:val="20"/>
                <w:szCs w:val="20"/>
                <w:lang w:eastAsia="lv-LV"/>
              </w:rPr>
              <w:t xml:space="preserve">Nepieciešamais finansējums gadam, </w:t>
            </w:r>
            <w:r w:rsidRPr="007C25A0">
              <w:rPr>
                <w:rFonts w:ascii="Times New Roman" w:eastAsia="Times New Roman" w:hAnsi="Times New Roman" w:cs="Times New Roman"/>
                <w:b/>
                <w:i/>
                <w:sz w:val="20"/>
                <w:szCs w:val="20"/>
                <w:lang w:eastAsia="lv-LV"/>
              </w:rPr>
              <w:t>euro</w:t>
            </w:r>
          </w:p>
        </w:tc>
      </w:tr>
      <w:tr w:rsidR="00452F95" w:rsidRPr="00F27E6B" w14:paraId="6609132F" w14:textId="5BD899E8" w:rsidTr="00E93259">
        <w:trPr>
          <w:trHeight w:val="51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A7EE6" w14:textId="77777777" w:rsidR="00452F95" w:rsidRPr="00203A8A" w:rsidRDefault="00452F95" w:rsidP="00804D6A">
            <w:pPr>
              <w:spacing w:after="0" w:line="240" w:lineRule="auto"/>
              <w:rPr>
                <w:rFonts w:ascii="Times New Roman" w:eastAsia="Times New Roman" w:hAnsi="Times New Roman" w:cs="Times New Roman"/>
                <w:sz w:val="20"/>
                <w:szCs w:val="20"/>
                <w:lang w:eastAsia="lv-LV"/>
              </w:rPr>
            </w:pPr>
            <w:r w:rsidRPr="00203A8A">
              <w:rPr>
                <w:rFonts w:ascii="Times New Roman" w:eastAsia="Times New Roman" w:hAnsi="Times New Roman" w:cs="Times New Roman"/>
                <w:sz w:val="20"/>
                <w:szCs w:val="20"/>
                <w:lang w:eastAsia="lv-LV"/>
              </w:rPr>
              <w:t>vismaz trīs (3) atbalsta personu  darbu, kurā tiek paredzēta atlīdzība</w:t>
            </w:r>
          </w:p>
        </w:tc>
        <w:tc>
          <w:tcPr>
            <w:tcW w:w="2122" w:type="dxa"/>
            <w:tcBorders>
              <w:top w:val="nil"/>
              <w:left w:val="nil"/>
              <w:bottom w:val="single" w:sz="4" w:space="0" w:color="auto"/>
              <w:right w:val="single" w:sz="4" w:space="0" w:color="auto"/>
            </w:tcBorders>
            <w:shd w:val="clear" w:color="auto" w:fill="auto"/>
            <w:noWrap/>
            <w:vAlign w:val="center"/>
            <w:hideMark/>
          </w:tcPr>
          <w:p w14:paraId="3D8302A4" w14:textId="4180F4C7" w:rsidR="00452F95" w:rsidRPr="00203A8A" w:rsidRDefault="00452F95" w:rsidP="00804D6A">
            <w:pPr>
              <w:spacing w:after="0" w:line="240" w:lineRule="auto"/>
              <w:jc w:val="center"/>
              <w:rPr>
                <w:rFonts w:ascii="Times New Roman" w:eastAsia="Times New Roman" w:hAnsi="Times New Roman" w:cs="Times New Roman"/>
                <w:sz w:val="20"/>
                <w:szCs w:val="20"/>
                <w:lang w:eastAsia="lv-LV"/>
              </w:rPr>
            </w:pPr>
            <w:r w:rsidRPr="006F3231">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6F3231">
              <w:rPr>
                <w:rFonts w:ascii="Times New Roman" w:eastAsia="Times New Roman" w:hAnsi="Times New Roman" w:cs="Times New Roman"/>
                <w:sz w:val="20"/>
                <w:szCs w:val="20"/>
                <w:lang w:eastAsia="lv-LV"/>
              </w:rPr>
              <w:t>800</w:t>
            </w:r>
          </w:p>
        </w:tc>
        <w:tc>
          <w:tcPr>
            <w:tcW w:w="2067" w:type="dxa"/>
            <w:tcBorders>
              <w:top w:val="single" w:sz="4" w:space="0" w:color="auto"/>
              <w:left w:val="nil"/>
              <w:bottom w:val="single" w:sz="4" w:space="0" w:color="auto"/>
              <w:right w:val="single" w:sz="4" w:space="0" w:color="auto"/>
            </w:tcBorders>
            <w:vAlign w:val="center"/>
          </w:tcPr>
          <w:p w14:paraId="44E30F64" w14:textId="1A93D13F" w:rsidR="00452F95" w:rsidRDefault="0051584F"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10 800</w:t>
            </w:r>
          </w:p>
        </w:tc>
        <w:tc>
          <w:tcPr>
            <w:tcW w:w="1640" w:type="dxa"/>
            <w:tcBorders>
              <w:top w:val="nil"/>
              <w:left w:val="single" w:sz="4" w:space="0" w:color="auto"/>
              <w:bottom w:val="single" w:sz="4" w:space="0" w:color="auto"/>
              <w:right w:val="single" w:sz="4" w:space="0" w:color="auto"/>
            </w:tcBorders>
            <w:vAlign w:val="center"/>
          </w:tcPr>
          <w:p w14:paraId="1F953A64" w14:textId="5321706E" w:rsidR="00452F95" w:rsidRPr="006F3231" w:rsidRDefault="00452F95"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21 600</w:t>
            </w:r>
          </w:p>
        </w:tc>
      </w:tr>
      <w:tr w:rsidR="00452F95" w:rsidRPr="00F27E6B" w14:paraId="01DB01F2" w14:textId="3AEDD164" w:rsidTr="00E93259">
        <w:trPr>
          <w:trHeight w:val="885"/>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531E877" w14:textId="77777777" w:rsidR="00452F95" w:rsidRPr="00203A8A" w:rsidRDefault="00452F95" w:rsidP="00804D6A">
            <w:pPr>
              <w:spacing w:after="0" w:line="240" w:lineRule="auto"/>
              <w:rPr>
                <w:rFonts w:ascii="Times New Roman" w:eastAsia="Times New Roman" w:hAnsi="Times New Roman" w:cs="Times New Roman"/>
                <w:sz w:val="20"/>
                <w:szCs w:val="20"/>
                <w:lang w:eastAsia="lv-LV"/>
              </w:rPr>
            </w:pPr>
            <w:r w:rsidRPr="00203A8A">
              <w:rPr>
                <w:rFonts w:ascii="Times New Roman" w:eastAsia="Times New Roman" w:hAnsi="Times New Roman" w:cs="Times New Roman"/>
                <w:sz w:val="20"/>
                <w:szCs w:val="20"/>
                <w:lang w:eastAsia="lv-LV"/>
              </w:rPr>
              <w:t>atbalsta personu apmācības, sanāksmes (telpas, kafijas pauze), izdales materiāli</w:t>
            </w:r>
          </w:p>
        </w:tc>
        <w:tc>
          <w:tcPr>
            <w:tcW w:w="2122" w:type="dxa"/>
            <w:tcBorders>
              <w:top w:val="nil"/>
              <w:left w:val="nil"/>
              <w:bottom w:val="single" w:sz="4" w:space="0" w:color="auto"/>
              <w:right w:val="single" w:sz="4" w:space="0" w:color="auto"/>
            </w:tcBorders>
            <w:shd w:val="clear" w:color="auto" w:fill="auto"/>
            <w:noWrap/>
            <w:vAlign w:val="center"/>
            <w:hideMark/>
          </w:tcPr>
          <w:p w14:paraId="66AFD068" w14:textId="77777777" w:rsidR="00452F95" w:rsidRPr="00203A8A" w:rsidRDefault="00452F95" w:rsidP="00804D6A">
            <w:pPr>
              <w:spacing w:after="0" w:line="240" w:lineRule="auto"/>
              <w:jc w:val="center"/>
              <w:rPr>
                <w:rFonts w:ascii="Times New Roman" w:eastAsia="Times New Roman" w:hAnsi="Times New Roman" w:cs="Times New Roman"/>
                <w:sz w:val="20"/>
                <w:szCs w:val="20"/>
                <w:lang w:eastAsia="lv-LV"/>
              </w:rPr>
            </w:pPr>
            <w:r w:rsidRPr="006F3231">
              <w:rPr>
                <w:rFonts w:ascii="Times New Roman" w:eastAsia="Times New Roman" w:hAnsi="Times New Roman" w:cs="Times New Roman"/>
                <w:sz w:val="20"/>
                <w:szCs w:val="20"/>
                <w:lang w:eastAsia="lv-LV"/>
              </w:rPr>
              <w:t>135</w:t>
            </w:r>
          </w:p>
        </w:tc>
        <w:tc>
          <w:tcPr>
            <w:tcW w:w="2067" w:type="dxa"/>
            <w:tcBorders>
              <w:top w:val="single" w:sz="4" w:space="0" w:color="auto"/>
              <w:left w:val="nil"/>
              <w:bottom w:val="single" w:sz="4" w:space="0" w:color="auto"/>
              <w:right w:val="single" w:sz="4" w:space="0" w:color="auto"/>
            </w:tcBorders>
            <w:vAlign w:val="center"/>
          </w:tcPr>
          <w:p w14:paraId="7F8465D5" w14:textId="3497CBAF" w:rsidR="00452F95" w:rsidRDefault="0051584F"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810</w:t>
            </w:r>
          </w:p>
        </w:tc>
        <w:tc>
          <w:tcPr>
            <w:tcW w:w="1640" w:type="dxa"/>
            <w:tcBorders>
              <w:top w:val="nil"/>
              <w:left w:val="single" w:sz="4" w:space="0" w:color="auto"/>
              <w:bottom w:val="single" w:sz="4" w:space="0" w:color="auto"/>
              <w:right w:val="single" w:sz="4" w:space="0" w:color="auto"/>
            </w:tcBorders>
            <w:vAlign w:val="center"/>
          </w:tcPr>
          <w:p w14:paraId="5086B29B" w14:textId="55D24A97" w:rsidR="00452F95" w:rsidRPr="006F3231" w:rsidRDefault="00452F95"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1 620</w:t>
            </w:r>
          </w:p>
        </w:tc>
      </w:tr>
      <w:tr w:rsidR="00452F95" w:rsidRPr="00F27E6B" w14:paraId="01733F00" w14:textId="5A7ED6DF" w:rsidTr="00E93259">
        <w:trPr>
          <w:trHeight w:val="255"/>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E6646D" w14:textId="77777777" w:rsidR="00452F95" w:rsidRPr="00203A8A" w:rsidRDefault="00452F95" w:rsidP="00804D6A">
            <w:pPr>
              <w:spacing w:after="0" w:line="240" w:lineRule="auto"/>
              <w:rPr>
                <w:rFonts w:ascii="Times New Roman" w:eastAsia="Times New Roman" w:hAnsi="Times New Roman" w:cs="Times New Roman"/>
                <w:sz w:val="20"/>
                <w:szCs w:val="20"/>
                <w:lang w:eastAsia="lv-LV"/>
              </w:rPr>
            </w:pPr>
            <w:r w:rsidRPr="00203A8A">
              <w:rPr>
                <w:rFonts w:ascii="Times New Roman" w:eastAsia="Times New Roman" w:hAnsi="Times New Roman" w:cs="Times New Roman"/>
                <w:sz w:val="20"/>
                <w:szCs w:val="20"/>
                <w:lang w:eastAsia="lv-LV"/>
              </w:rPr>
              <w:t>ceļa izdevumi pavadot personu</w:t>
            </w:r>
          </w:p>
        </w:tc>
        <w:tc>
          <w:tcPr>
            <w:tcW w:w="2122" w:type="dxa"/>
            <w:tcBorders>
              <w:top w:val="nil"/>
              <w:left w:val="nil"/>
              <w:bottom w:val="single" w:sz="4" w:space="0" w:color="auto"/>
              <w:right w:val="single" w:sz="4" w:space="0" w:color="auto"/>
            </w:tcBorders>
            <w:shd w:val="clear" w:color="auto" w:fill="auto"/>
            <w:noWrap/>
            <w:vAlign w:val="center"/>
            <w:hideMark/>
          </w:tcPr>
          <w:p w14:paraId="26A77654" w14:textId="77777777" w:rsidR="00452F95" w:rsidRPr="00203A8A" w:rsidRDefault="00452F95" w:rsidP="00804D6A">
            <w:pPr>
              <w:spacing w:after="0" w:line="240" w:lineRule="auto"/>
              <w:jc w:val="center"/>
              <w:rPr>
                <w:rFonts w:ascii="Times New Roman" w:eastAsia="Times New Roman" w:hAnsi="Times New Roman" w:cs="Times New Roman"/>
                <w:sz w:val="20"/>
                <w:szCs w:val="20"/>
                <w:lang w:eastAsia="lv-LV"/>
              </w:rPr>
            </w:pPr>
            <w:r w:rsidRPr="006F3231">
              <w:rPr>
                <w:rFonts w:ascii="Times New Roman" w:eastAsia="Times New Roman" w:hAnsi="Times New Roman" w:cs="Times New Roman"/>
                <w:sz w:val="20"/>
                <w:szCs w:val="20"/>
                <w:lang w:eastAsia="lv-LV"/>
              </w:rPr>
              <w:t>132</w:t>
            </w:r>
          </w:p>
        </w:tc>
        <w:tc>
          <w:tcPr>
            <w:tcW w:w="2067" w:type="dxa"/>
            <w:tcBorders>
              <w:top w:val="single" w:sz="4" w:space="0" w:color="auto"/>
              <w:left w:val="nil"/>
              <w:bottom w:val="single" w:sz="4" w:space="0" w:color="auto"/>
              <w:right w:val="single" w:sz="4" w:space="0" w:color="auto"/>
            </w:tcBorders>
            <w:vAlign w:val="center"/>
          </w:tcPr>
          <w:p w14:paraId="5D8D354B" w14:textId="2D8920B7" w:rsidR="00452F95" w:rsidRDefault="0051584F"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792</w:t>
            </w:r>
          </w:p>
        </w:tc>
        <w:tc>
          <w:tcPr>
            <w:tcW w:w="1640" w:type="dxa"/>
            <w:tcBorders>
              <w:top w:val="nil"/>
              <w:left w:val="single" w:sz="4" w:space="0" w:color="auto"/>
              <w:bottom w:val="single" w:sz="4" w:space="0" w:color="auto"/>
              <w:right w:val="single" w:sz="4" w:space="0" w:color="auto"/>
            </w:tcBorders>
            <w:vAlign w:val="center"/>
          </w:tcPr>
          <w:p w14:paraId="4F061ECC" w14:textId="15439A90" w:rsidR="00452F95" w:rsidRPr="006F3231" w:rsidRDefault="00452F95"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1 584</w:t>
            </w:r>
          </w:p>
        </w:tc>
      </w:tr>
      <w:tr w:rsidR="00452F95" w:rsidRPr="00F27E6B" w14:paraId="2789AD47" w14:textId="38D866A1" w:rsidTr="00E93259">
        <w:trPr>
          <w:trHeight w:val="255"/>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44853E" w14:textId="77777777" w:rsidR="00452F95" w:rsidRPr="00203A8A" w:rsidRDefault="00452F95" w:rsidP="00804D6A">
            <w:pPr>
              <w:spacing w:after="0" w:line="240" w:lineRule="auto"/>
              <w:rPr>
                <w:rFonts w:ascii="Times New Roman" w:eastAsia="Times New Roman" w:hAnsi="Times New Roman" w:cs="Times New Roman"/>
                <w:sz w:val="20"/>
                <w:szCs w:val="20"/>
                <w:lang w:eastAsia="lv-LV"/>
              </w:rPr>
            </w:pPr>
            <w:r w:rsidRPr="00203A8A">
              <w:rPr>
                <w:rFonts w:ascii="Times New Roman" w:eastAsia="Times New Roman" w:hAnsi="Times New Roman" w:cs="Times New Roman"/>
                <w:sz w:val="20"/>
                <w:szCs w:val="20"/>
                <w:lang w:eastAsia="lv-LV"/>
              </w:rPr>
              <w:t>dienas nauda pavadošai personai</w:t>
            </w:r>
          </w:p>
        </w:tc>
        <w:tc>
          <w:tcPr>
            <w:tcW w:w="2122" w:type="dxa"/>
            <w:tcBorders>
              <w:top w:val="nil"/>
              <w:left w:val="nil"/>
              <w:bottom w:val="single" w:sz="4" w:space="0" w:color="auto"/>
              <w:right w:val="single" w:sz="4" w:space="0" w:color="auto"/>
            </w:tcBorders>
            <w:shd w:val="clear" w:color="auto" w:fill="auto"/>
            <w:noWrap/>
            <w:vAlign w:val="center"/>
            <w:hideMark/>
          </w:tcPr>
          <w:p w14:paraId="08B875BE" w14:textId="77777777" w:rsidR="00452F95" w:rsidRPr="00203A8A" w:rsidRDefault="00452F95" w:rsidP="00804D6A">
            <w:pPr>
              <w:spacing w:after="0" w:line="240" w:lineRule="auto"/>
              <w:jc w:val="center"/>
              <w:rPr>
                <w:rFonts w:ascii="Times New Roman" w:eastAsia="Times New Roman" w:hAnsi="Times New Roman" w:cs="Times New Roman"/>
                <w:sz w:val="20"/>
                <w:szCs w:val="20"/>
                <w:lang w:eastAsia="lv-LV"/>
              </w:rPr>
            </w:pPr>
            <w:r w:rsidRPr="006F3231">
              <w:rPr>
                <w:rFonts w:ascii="Times New Roman" w:eastAsia="Times New Roman" w:hAnsi="Times New Roman" w:cs="Times New Roman"/>
                <w:sz w:val="20"/>
                <w:szCs w:val="20"/>
                <w:lang w:eastAsia="lv-LV"/>
              </w:rPr>
              <w:t>180</w:t>
            </w:r>
          </w:p>
        </w:tc>
        <w:tc>
          <w:tcPr>
            <w:tcW w:w="2067" w:type="dxa"/>
            <w:tcBorders>
              <w:top w:val="single" w:sz="4" w:space="0" w:color="auto"/>
              <w:left w:val="nil"/>
              <w:bottom w:val="single" w:sz="4" w:space="0" w:color="auto"/>
              <w:right w:val="single" w:sz="4" w:space="0" w:color="auto"/>
            </w:tcBorders>
            <w:vAlign w:val="center"/>
          </w:tcPr>
          <w:p w14:paraId="44963D09" w14:textId="64242CC1" w:rsidR="00452F95" w:rsidRDefault="0051584F"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1 080</w:t>
            </w:r>
          </w:p>
        </w:tc>
        <w:tc>
          <w:tcPr>
            <w:tcW w:w="1640" w:type="dxa"/>
            <w:tcBorders>
              <w:top w:val="nil"/>
              <w:left w:val="single" w:sz="4" w:space="0" w:color="auto"/>
              <w:bottom w:val="single" w:sz="4" w:space="0" w:color="auto"/>
              <w:right w:val="single" w:sz="4" w:space="0" w:color="auto"/>
            </w:tcBorders>
            <w:vAlign w:val="center"/>
          </w:tcPr>
          <w:p w14:paraId="60E60541" w14:textId="0D4253D1" w:rsidR="00452F95" w:rsidRPr="006F3231" w:rsidRDefault="00452F95"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2 160</w:t>
            </w:r>
          </w:p>
        </w:tc>
      </w:tr>
      <w:tr w:rsidR="00452F95" w:rsidRPr="00F27E6B" w14:paraId="2204AE7E" w14:textId="7364757D" w:rsidTr="00E93259">
        <w:trPr>
          <w:trHeight w:val="765"/>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7C9398F" w14:textId="77777777" w:rsidR="00452F95" w:rsidRPr="00203A8A" w:rsidRDefault="00452F95" w:rsidP="00804D6A">
            <w:pPr>
              <w:spacing w:after="0" w:line="240" w:lineRule="auto"/>
              <w:rPr>
                <w:rFonts w:ascii="Times New Roman" w:eastAsia="Times New Roman" w:hAnsi="Times New Roman" w:cs="Times New Roman"/>
                <w:sz w:val="20"/>
                <w:szCs w:val="20"/>
                <w:lang w:eastAsia="lv-LV"/>
              </w:rPr>
            </w:pPr>
            <w:r w:rsidRPr="00203A8A">
              <w:rPr>
                <w:rFonts w:ascii="Times New Roman" w:eastAsia="Times New Roman" w:hAnsi="Times New Roman" w:cs="Times New Roman"/>
                <w:sz w:val="20"/>
                <w:szCs w:val="20"/>
                <w:lang w:eastAsia="lv-LV"/>
              </w:rPr>
              <w:t>administratīvie izdevumi (telefona sakari, telpas konsultācijā, sarunām utml.)</w:t>
            </w:r>
          </w:p>
        </w:tc>
        <w:tc>
          <w:tcPr>
            <w:tcW w:w="2122" w:type="dxa"/>
            <w:tcBorders>
              <w:top w:val="nil"/>
              <w:left w:val="nil"/>
              <w:bottom w:val="single" w:sz="4" w:space="0" w:color="auto"/>
              <w:right w:val="single" w:sz="4" w:space="0" w:color="auto"/>
            </w:tcBorders>
            <w:shd w:val="clear" w:color="auto" w:fill="auto"/>
            <w:noWrap/>
            <w:vAlign w:val="center"/>
            <w:hideMark/>
          </w:tcPr>
          <w:p w14:paraId="2DB208B4" w14:textId="7C6FB358" w:rsidR="00452F95" w:rsidRPr="00203A8A" w:rsidRDefault="00452F95" w:rsidP="00804D6A">
            <w:pPr>
              <w:spacing w:after="0" w:line="240" w:lineRule="auto"/>
              <w:jc w:val="center"/>
              <w:rPr>
                <w:rFonts w:ascii="Times New Roman" w:eastAsia="Times New Roman" w:hAnsi="Times New Roman" w:cs="Times New Roman"/>
                <w:sz w:val="20"/>
                <w:szCs w:val="20"/>
                <w:lang w:eastAsia="lv-LV"/>
              </w:rPr>
            </w:pPr>
            <w:r w:rsidRPr="006F3231">
              <w:rPr>
                <w:rFonts w:ascii="Times New Roman" w:eastAsia="Times New Roman" w:hAnsi="Times New Roman" w:cs="Times New Roman"/>
                <w:sz w:val="20"/>
                <w:szCs w:val="20"/>
                <w:lang w:eastAsia="lv-LV"/>
              </w:rPr>
              <w:t>86</w:t>
            </w:r>
            <w:r>
              <w:rPr>
                <w:rFonts w:ascii="Times New Roman" w:eastAsia="Times New Roman" w:hAnsi="Times New Roman" w:cs="Times New Roman"/>
                <w:sz w:val="20"/>
                <w:szCs w:val="20"/>
                <w:lang w:eastAsia="lv-LV"/>
              </w:rPr>
              <w:t>,33</w:t>
            </w:r>
          </w:p>
        </w:tc>
        <w:tc>
          <w:tcPr>
            <w:tcW w:w="2067" w:type="dxa"/>
            <w:tcBorders>
              <w:top w:val="single" w:sz="4" w:space="0" w:color="auto"/>
              <w:left w:val="nil"/>
              <w:bottom w:val="single" w:sz="4" w:space="0" w:color="auto"/>
              <w:right w:val="single" w:sz="4" w:space="0" w:color="auto"/>
            </w:tcBorders>
            <w:vAlign w:val="center"/>
          </w:tcPr>
          <w:p w14:paraId="536E4879" w14:textId="39EC5E5D" w:rsidR="00452F95" w:rsidRDefault="0051584F"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518</w:t>
            </w:r>
          </w:p>
        </w:tc>
        <w:tc>
          <w:tcPr>
            <w:tcW w:w="1640" w:type="dxa"/>
            <w:tcBorders>
              <w:top w:val="nil"/>
              <w:left w:val="single" w:sz="4" w:space="0" w:color="auto"/>
              <w:bottom w:val="single" w:sz="4" w:space="0" w:color="auto"/>
              <w:right w:val="single" w:sz="4" w:space="0" w:color="auto"/>
            </w:tcBorders>
            <w:vAlign w:val="center"/>
          </w:tcPr>
          <w:p w14:paraId="6FFC254F" w14:textId="52B06061" w:rsidR="00452F95" w:rsidRPr="006F3231" w:rsidRDefault="00452F95" w:rsidP="00804D6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1 036</w:t>
            </w:r>
          </w:p>
        </w:tc>
      </w:tr>
      <w:tr w:rsidR="00452F95" w:rsidRPr="00F27E6B" w14:paraId="177EB949" w14:textId="37302CEE" w:rsidTr="009E2101">
        <w:trPr>
          <w:trHeight w:val="300"/>
          <w:jc w:val="center"/>
        </w:trPr>
        <w:tc>
          <w:tcPr>
            <w:tcW w:w="326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14:paraId="28A6EE18" w14:textId="77777777" w:rsidR="00452F95" w:rsidRPr="00203A8A" w:rsidRDefault="00452F95" w:rsidP="00804D6A">
            <w:pPr>
              <w:spacing w:after="0" w:line="240" w:lineRule="auto"/>
              <w:rPr>
                <w:rFonts w:ascii="Times New Roman" w:eastAsia="Times New Roman" w:hAnsi="Times New Roman" w:cs="Times New Roman"/>
                <w:sz w:val="20"/>
                <w:szCs w:val="20"/>
                <w:lang w:eastAsia="lv-LV"/>
              </w:rPr>
            </w:pPr>
          </w:p>
        </w:tc>
        <w:tc>
          <w:tcPr>
            <w:tcW w:w="2122" w:type="dxa"/>
            <w:tcBorders>
              <w:top w:val="nil"/>
              <w:left w:val="nil"/>
              <w:bottom w:val="single" w:sz="4" w:space="0" w:color="auto"/>
              <w:right w:val="single" w:sz="4" w:space="0" w:color="auto"/>
            </w:tcBorders>
            <w:shd w:val="clear" w:color="auto" w:fill="FBD4B4" w:themeFill="accent6" w:themeFillTint="66"/>
            <w:noWrap/>
            <w:vAlign w:val="center"/>
            <w:hideMark/>
          </w:tcPr>
          <w:p w14:paraId="2708CBCA" w14:textId="4C7F19A0" w:rsidR="00452F95" w:rsidRPr="00203A8A" w:rsidRDefault="00452F95" w:rsidP="00804D6A">
            <w:pPr>
              <w:spacing w:after="0" w:line="240" w:lineRule="auto"/>
              <w:jc w:val="center"/>
              <w:rPr>
                <w:rFonts w:ascii="Times New Roman" w:eastAsia="Times New Roman" w:hAnsi="Times New Roman" w:cs="Times New Roman"/>
                <w:b/>
                <w:bCs/>
                <w:color w:val="000000"/>
                <w:sz w:val="20"/>
                <w:szCs w:val="20"/>
                <w:lang w:eastAsia="lv-LV"/>
              </w:rPr>
            </w:pPr>
            <w:r w:rsidRPr="00203A8A">
              <w:rPr>
                <w:rFonts w:ascii="Times New Roman" w:eastAsia="Times New Roman" w:hAnsi="Times New Roman" w:cs="Times New Roman"/>
                <w:b/>
                <w:bCs/>
                <w:color w:val="000000"/>
                <w:sz w:val="20"/>
                <w:szCs w:val="20"/>
                <w:lang w:eastAsia="lv-LV"/>
              </w:rPr>
              <w:t>2333</w:t>
            </w:r>
            <w:r>
              <w:rPr>
                <w:rFonts w:ascii="Times New Roman" w:eastAsia="Times New Roman" w:hAnsi="Times New Roman" w:cs="Times New Roman"/>
                <w:b/>
                <w:bCs/>
                <w:color w:val="000000"/>
                <w:sz w:val="20"/>
                <w:szCs w:val="20"/>
                <w:lang w:eastAsia="lv-LV"/>
              </w:rPr>
              <w:t>,33</w:t>
            </w:r>
          </w:p>
        </w:tc>
        <w:tc>
          <w:tcPr>
            <w:tcW w:w="2067" w:type="dxa"/>
            <w:tcBorders>
              <w:top w:val="single" w:sz="4" w:space="0" w:color="auto"/>
              <w:left w:val="nil"/>
              <w:bottom w:val="single" w:sz="4" w:space="0" w:color="auto"/>
              <w:right w:val="single" w:sz="4" w:space="0" w:color="auto"/>
            </w:tcBorders>
            <w:shd w:val="clear" w:color="auto" w:fill="FBD4B4" w:themeFill="accent6" w:themeFillTint="66"/>
            <w:vAlign w:val="center"/>
          </w:tcPr>
          <w:p w14:paraId="32A6C3B5" w14:textId="451224BA" w:rsidR="00452F95" w:rsidRDefault="0051584F" w:rsidP="00804D6A">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14 000</w:t>
            </w:r>
          </w:p>
        </w:tc>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tcPr>
          <w:p w14:paraId="4E386939" w14:textId="48DF1EA0" w:rsidR="00452F95" w:rsidRPr="00203A8A" w:rsidRDefault="00452F95" w:rsidP="00804D6A">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28 000</w:t>
            </w:r>
          </w:p>
        </w:tc>
      </w:tr>
    </w:tbl>
    <w:p w14:paraId="7396E222" w14:textId="77777777" w:rsidR="009E0D80" w:rsidRPr="000C2EF6" w:rsidRDefault="009E0D80" w:rsidP="009E0D80">
      <w:pPr>
        <w:spacing w:after="0" w:line="264" w:lineRule="auto"/>
        <w:ind w:firstLine="720"/>
        <w:rPr>
          <w:rFonts w:ascii="Times New Roman" w:hAnsi="Times New Roman" w:cs="Times New Roman"/>
          <w:sz w:val="24"/>
          <w:szCs w:val="24"/>
        </w:rPr>
      </w:pPr>
    </w:p>
    <w:p w14:paraId="7E6E3087" w14:textId="2B4EDC1A" w:rsidR="009E0D80" w:rsidRPr="00E848F1" w:rsidRDefault="009E0D80" w:rsidP="00E848F1">
      <w:pPr>
        <w:spacing w:after="0" w:line="264" w:lineRule="auto"/>
        <w:ind w:firstLine="720"/>
        <w:rPr>
          <w:rFonts w:ascii="Times New Roman" w:hAnsi="Times New Roman" w:cs="Times New Roman"/>
          <w:b/>
          <w:bCs/>
          <w:sz w:val="24"/>
          <w:szCs w:val="24"/>
        </w:rPr>
      </w:pPr>
      <w:r w:rsidRPr="00E12849">
        <w:rPr>
          <w:rFonts w:ascii="Times New Roman" w:hAnsi="Times New Roman" w:cs="Times New Roman"/>
          <w:b/>
          <w:bCs/>
          <w:sz w:val="24"/>
          <w:szCs w:val="24"/>
        </w:rPr>
        <w:t>3.4.4. Zema sliekšņa pakalpojumu centrs</w:t>
      </w:r>
    </w:p>
    <w:p w14:paraId="6448A6BF" w14:textId="77777777" w:rsidR="009E0D80" w:rsidRPr="000C2EF6" w:rsidRDefault="009E0D80" w:rsidP="009E0D80">
      <w:pPr>
        <w:spacing w:after="0" w:line="264" w:lineRule="auto"/>
        <w:ind w:firstLine="720"/>
        <w:rPr>
          <w:rFonts w:ascii="Times New Roman" w:hAnsi="Times New Roman" w:cs="Times New Roman"/>
          <w:sz w:val="24"/>
          <w:szCs w:val="24"/>
        </w:rPr>
      </w:pPr>
    </w:p>
    <w:p w14:paraId="5231E964" w14:textId="77777777" w:rsidR="009E0D80" w:rsidRPr="000C2EF6" w:rsidRDefault="009E0D80" w:rsidP="009E0D80">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Saskaņā ar SPKC datiem Latvijā galvenie HIV infekcijas izplatīšanās ceļi ir heteroseksuālais – 35%, intravenozo narkotiku lietošana - 21% un homoseksuālais inficēšanās ceļš - 6%, savukārt 36% gadījumu inficēšanās ceļš nav noskaidrots. Daļa personu, kas ir pakļautas paaugstinātam HIV inficēšanās riskam, ir pakļautas arī sociālās atstumtības riskam. Tā rezultātā HIV inficētās personas ir stigmatizētas un komunicē noslēgtā personu lokā. Tādēļ šo personu motivēšanai iesaistīties ārstēšanā ir jānotiek viņiem draudzīgā vidē, tuvu viņu pulcēšanās vietām.</w:t>
      </w:r>
      <w:r w:rsidRPr="3AC8A380">
        <w:rPr>
          <w:rStyle w:val="FootnoteReference"/>
          <w:rFonts w:ascii="Times New Roman" w:eastAsiaTheme="majorEastAsia" w:hAnsi="Times New Roman" w:cs="Times New Roman"/>
          <w:sz w:val="24"/>
          <w:szCs w:val="24"/>
        </w:rPr>
        <w:footnoteReference w:id="28"/>
      </w:r>
      <w:r w:rsidRPr="000C2EF6">
        <w:rPr>
          <w:rFonts w:ascii="Times New Roman" w:hAnsi="Times New Roman" w:cs="Times New Roman"/>
          <w:sz w:val="24"/>
          <w:szCs w:val="24"/>
        </w:rPr>
        <w:t xml:space="preserve"> Viens no efektīviem veidiem ir zema sliekšņa pakalpojumu nodrošināšana. Šie  pakalpojumi ir vērsti uz profilaksi vai veselības veicināšanu. Tie tiek nodrošināti apmeklētājiem ērtos laikos, pēc iespējas pietuvināti viņu ikdienas uzturēšanās vietai, anonīmi un bez maksas. Zema sliekšņa pakalpojumu centri tiek veidoti klientam draudzīgi, kuros apmeklētājam tiek izvirzītas minimālas prasības, vienlaicīgi  klientam sniedzot iespējas saņemt nepieciešamo sociālo un medicīnisko palīdzību, kā arī konsultācijas norit klientam saprotamā </w:t>
      </w:r>
      <w:r w:rsidRPr="000C2EF6">
        <w:rPr>
          <w:rFonts w:ascii="Times New Roman" w:hAnsi="Times New Roman" w:cs="Times New Roman"/>
          <w:sz w:val="24"/>
          <w:szCs w:val="24"/>
        </w:rPr>
        <w:lastRenderedPageBreak/>
        <w:t>valodā. Šādi centri ir viegli sasniedzami, profesionāli un elastīgi savā darbībā, droši un uzticami no klienta viedokļa, ievērojot vislielāko iespējamo konfidencialitāti.</w:t>
      </w:r>
      <w:r w:rsidRPr="3AC8A380">
        <w:rPr>
          <w:rStyle w:val="FootnoteReference"/>
          <w:rFonts w:ascii="Times New Roman" w:eastAsiaTheme="majorEastAsia" w:hAnsi="Times New Roman" w:cs="Times New Roman"/>
          <w:sz w:val="24"/>
          <w:szCs w:val="24"/>
        </w:rPr>
        <w:footnoteReference w:id="29"/>
      </w:r>
    </w:p>
    <w:p w14:paraId="5FD392C5" w14:textId="1D7636DC" w:rsidR="009E0D80" w:rsidRPr="000C2EF6" w:rsidRDefault="009E0D80" w:rsidP="009E0D80">
      <w:pPr>
        <w:widowControl w:val="0"/>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Latvijā šādus pakalpojumus nodrošina HPP. Šobrīd Latvijā darbojas 21 HPP 17 Latvijas pašvaldībās. To darbību koordinē SPKC. HPP nodrošina dažādus pakalpojumus, tajā skaitā konsultācijas un informāciju par infekcijas slimībām, to profilaksi, narkotiku atkarības ārstniecības iespējām un rehabilitāciju, veselības riskiem. HPP nodrošina HIV, hepatīta B (VHB), hepatīta C (VHC) un sifilisa ekspresdiagnostiku, psihosociālu atbalstu, medicīnas preces – prezervatīvus, dezinfektantus u.c., kā arī šļirču un adatu maiņu. Minētie pakalpojumi tiek sniegti dažādām mērķa grupām. HPP pakalpojumi tiek nodrošināti stacionārajās atrašanās vietās, ielu darba programmās un ar mobilo vienību palīdzību. Ielu darbinieku un mobilo vienību darbs ir maksimāli pietuvināts personām, kas pakļautas paaugstinātam HIV inficēšanās riskam (intravenozo narkotiku lietotāji, prostitūcijā iesaistītās personas u.c.), nodrošinot šīs personas ar informāciju un steriliem injicēšanas piederumiem drošai injicējamo narkotiku lietošanai, prezervatīviem un citiem materiāliem HIV infekcijas profilaksei, kuri citādākā veidā nav sasniedzami. Mobilo vienību darbs ir viens no efektīvākajiem kaitējuma mazināšanas programmu realizēšanas veidiem. Pētījuma dati liecina, ka mobilo kaitējuma mazināšanas vienību Latvijā ir izmantojis aptuveni katrs piektais narkotiku lietotājs</w:t>
      </w:r>
      <w:r w:rsidR="008104BD">
        <w:rPr>
          <w:rFonts w:ascii="Times New Roman" w:hAnsi="Times New Roman" w:cs="Times New Roman"/>
          <w:sz w:val="24"/>
          <w:szCs w:val="24"/>
        </w:rPr>
        <w:t xml:space="preserve"> 60</w:t>
      </w:r>
      <w:r>
        <w:rPr>
          <w:rFonts w:ascii="Times New Roman" w:hAnsi="Times New Roman" w:cs="Times New Roman"/>
          <w:sz w:val="24"/>
          <w:szCs w:val="24"/>
        </w:rPr>
        <w:t>.tabula)</w:t>
      </w:r>
      <w:r w:rsidRPr="000C2EF6">
        <w:rPr>
          <w:rFonts w:ascii="Times New Roman" w:hAnsi="Times New Roman" w:cs="Times New Roman"/>
          <w:sz w:val="24"/>
          <w:szCs w:val="24"/>
        </w:rPr>
        <w:t>. Ir svarīgi aptvert vēl lielāku HIV inficēšanās riskam pakļauto personu daļu un uzlabot pakalpojumu pieejamību ar papildus mobilajām vienībām, sevišķi Rīgā un Pierīgas teritorijā, kur uzturas lielākā daļa šo cilvēku.</w:t>
      </w:r>
    </w:p>
    <w:p w14:paraId="52B2698E" w14:textId="3A738D92" w:rsidR="009E0D80" w:rsidRPr="00E93259" w:rsidRDefault="008104BD" w:rsidP="6812B80F">
      <w:pPr>
        <w:widowControl w:val="0"/>
        <w:spacing w:after="0" w:line="264"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60</w:t>
      </w:r>
      <w:r w:rsidR="009E0D80" w:rsidRPr="6812B80F">
        <w:rPr>
          <w:rFonts w:ascii="Times New Roman" w:hAnsi="Times New Roman" w:cs="Times New Roman"/>
          <w:i/>
          <w:iCs/>
          <w:sz w:val="24"/>
          <w:szCs w:val="24"/>
        </w:rPr>
        <w:t>.tabula</w:t>
      </w:r>
    </w:p>
    <w:p w14:paraId="21884C32" w14:textId="77777777" w:rsidR="009E0D80" w:rsidRPr="00E848F1" w:rsidRDefault="009E0D80" w:rsidP="00E848F1">
      <w:pPr>
        <w:widowControl w:val="0"/>
        <w:spacing w:after="0" w:line="264" w:lineRule="auto"/>
        <w:ind w:firstLine="720"/>
        <w:jc w:val="center"/>
        <w:rPr>
          <w:rFonts w:ascii="Times New Roman" w:hAnsi="Times New Roman" w:cs="Times New Roman"/>
          <w:b/>
          <w:bCs/>
          <w:sz w:val="24"/>
          <w:szCs w:val="24"/>
        </w:rPr>
      </w:pPr>
      <w:r w:rsidRPr="00E12849">
        <w:rPr>
          <w:rFonts w:ascii="Times New Roman" w:hAnsi="Times New Roman" w:cs="Times New Roman"/>
          <w:b/>
          <w:bCs/>
          <w:sz w:val="24"/>
          <w:szCs w:val="24"/>
        </w:rPr>
        <w:t>Mobilās kaitējuma novēršanas vienības izmantošanas rezultāti</w:t>
      </w:r>
    </w:p>
    <w:p w14:paraId="04DFEB51" w14:textId="77777777" w:rsidR="009E0D80" w:rsidRPr="00203A8A" w:rsidRDefault="009E0D80" w:rsidP="009E0D80">
      <w:pPr>
        <w:widowControl w:val="0"/>
        <w:spacing w:after="0" w:line="264" w:lineRule="auto"/>
        <w:ind w:firstLine="720"/>
        <w:jc w:val="center"/>
        <w:rPr>
          <w:rFonts w:ascii="Times New Roman" w:hAnsi="Times New Roman" w:cs="Times New Roman"/>
          <w:b/>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275"/>
        <w:gridCol w:w="1276"/>
        <w:gridCol w:w="1276"/>
        <w:gridCol w:w="1276"/>
        <w:gridCol w:w="1276"/>
      </w:tblGrid>
      <w:tr w:rsidR="009E0D80" w:rsidRPr="000C2EF6" w14:paraId="03012569" w14:textId="77777777" w:rsidTr="704995BB">
        <w:trPr>
          <w:jc w:val="center"/>
        </w:trPr>
        <w:tc>
          <w:tcPr>
            <w:tcW w:w="2978" w:type="dxa"/>
            <w:shd w:val="clear" w:color="auto" w:fill="E36C0A" w:themeFill="accent6" w:themeFillShade="BF"/>
          </w:tcPr>
          <w:p w14:paraId="1D532B0A" w14:textId="77777777" w:rsidR="009E0D80" w:rsidRPr="00E848F1" w:rsidRDefault="009E0D80" w:rsidP="00E848F1">
            <w:pPr>
              <w:spacing w:after="0" w:line="264" w:lineRule="auto"/>
              <w:jc w:val="center"/>
              <w:rPr>
                <w:rFonts w:ascii="Times New Roman" w:hAnsi="Times New Roman" w:cs="Times New Roman"/>
                <w:b/>
                <w:bCs/>
                <w:sz w:val="20"/>
                <w:szCs w:val="20"/>
              </w:rPr>
            </w:pPr>
            <w:r w:rsidRPr="00E12849">
              <w:rPr>
                <w:rFonts w:ascii="Times New Roman" w:hAnsi="Times New Roman" w:cs="Times New Roman"/>
                <w:b/>
                <w:bCs/>
                <w:sz w:val="20"/>
                <w:szCs w:val="20"/>
              </w:rPr>
              <w:t>Darbības rādītājs</w:t>
            </w:r>
          </w:p>
        </w:tc>
        <w:tc>
          <w:tcPr>
            <w:tcW w:w="1275" w:type="dxa"/>
            <w:shd w:val="clear" w:color="auto" w:fill="E36C0A" w:themeFill="accent6" w:themeFillShade="BF"/>
          </w:tcPr>
          <w:p w14:paraId="1AA6E358" w14:textId="77777777" w:rsidR="009E0D80" w:rsidRPr="00D31B9C" w:rsidRDefault="009E0D80" w:rsidP="00804D6A">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2013.</w:t>
            </w:r>
          </w:p>
        </w:tc>
        <w:tc>
          <w:tcPr>
            <w:tcW w:w="1276" w:type="dxa"/>
            <w:shd w:val="clear" w:color="auto" w:fill="E36C0A" w:themeFill="accent6" w:themeFillShade="BF"/>
          </w:tcPr>
          <w:p w14:paraId="0F6C701A" w14:textId="77777777" w:rsidR="009E0D80" w:rsidRPr="00D31B9C" w:rsidRDefault="009E0D80" w:rsidP="00804D6A">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2014.</w:t>
            </w:r>
          </w:p>
        </w:tc>
        <w:tc>
          <w:tcPr>
            <w:tcW w:w="1276" w:type="dxa"/>
            <w:shd w:val="clear" w:color="auto" w:fill="E36C0A" w:themeFill="accent6" w:themeFillShade="BF"/>
          </w:tcPr>
          <w:p w14:paraId="4E1553B6" w14:textId="77777777" w:rsidR="009E0D80" w:rsidRPr="00D31B9C" w:rsidRDefault="009E0D80" w:rsidP="00804D6A">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2015.</w:t>
            </w:r>
          </w:p>
        </w:tc>
        <w:tc>
          <w:tcPr>
            <w:tcW w:w="1276" w:type="dxa"/>
            <w:shd w:val="clear" w:color="auto" w:fill="E36C0A" w:themeFill="accent6" w:themeFillShade="BF"/>
          </w:tcPr>
          <w:p w14:paraId="233944C9" w14:textId="77777777" w:rsidR="009E0D80" w:rsidRPr="00D31B9C" w:rsidRDefault="009E0D80" w:rsidP="00804D6A">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2016.</w:t>
            </w:r>
          </w:p>
        </w:tc>
        <w:tc>
          <w:tcPr>
            <w:tcW w:w="1276" w:type="dxa"/>
            <w:shd w:val="clear" w:color="auto" w:fill="E36C0A" w:themeFill="accent6" w:themeFillShade="BF"/>
          </w:tcPr>
          <w:p w14:paraId="67109A6D" w14:textId="77777777" w:rsidR="009E0D80" w:rsidRPr="00D31B9C" w:rsidRDefault="009E0D80" w:rsidP="00804D6A">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2017.</w:t>
            </w:r>
          </w:p>
        </w:tc>
      </w:tr>
      <w:tr w:rsidR="009E0D80" w:rsidRPr="000C2EF6" w14:paraId="177A8ECD" w14:textId="77777777" w:rsidTr="00E93259">
        <w:trPr>
          <w:jc w:val="center"/>
        </w:trPr>
        <w:tc>
          <w:tcPr>
            <w:tcW w:w="2978" w:type="dxa"/>
            <w:tcBorders>
              <w:top w:val="single" w:sz="4" w:space="0" w:color="auto"/>
              <w:left w:val="single" w:sz="4" w:space="0" w:color="auto"/>
              <w:bottom w:val="single" w:sz="4" w:space="0" w:color="auto"/>
              <w:right w:val="single" w:sz="4" w:space="0" w:color="auto"/>
            </w:tcBorders>
          </w:tcPr>
          <w:p w14:paraId="5E04F081" w14:textId="77777777" w:rsidR="009E0D80" w:rsidRPr="00D31B9C" w:rsidRDefault="009E0D80" w:rsidP="00804D6A">
            <w:pPr>
              <w:spacing w:after="0" w:line="264" w:lineRule="auto"/>
              <w:rPr>
                <w:rFonts w:ascii="Times New Roman" w:hAnsi="Times New Roman" w:cs="Times New Roman"/>
                <w:sz w:val="20"/>
                <w:szCs w:val="20"/>
              </w:rPr>
            </w:pPr>
            <w:r w:rsidRPr="00D31B9C">
              <w:rPr>
                <w:rFonts w:ascii="Times New Roman" w:hAnsi="Times New Roman" w:cs="Times New Roman"/>
                <w:sz w:val="20"/>
                <w:szCs w:val="20"/>
              </w:rPr>
              <w:t>Izsniegto šļirču skaits</w:t>
            </w:r>
          </w:p>
        </w:tc>
        <w:tc>
          <w:tcPr>
            <w:tcW w:w="1275" w:type="dxa"/>
            <w:tcBorders>
              <w:top w:val="single" w:sz="4" w:space="0" w:color="auto"/>
              <w:left w:val="single" w:sz="4" w:space="0" w:color="auto"/>
              <w:bottom w:val="single" w:sz="4" w:space="0" w:color="auto"/>
              <w:right w:val="single" w:sz="4" w:space="0" w:color="auto"/>
            </w:tcBorders>
            <w:vAlign w:val="center"/>
          </w:tcPr>
          <w:p w14:paraId="7E8B6A04"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341 421</w:t>
            </w:r>
          </w:p>
        </w:tc>
        <w:tc>
          <w:tcPr>
            <w:tcW w:w="1276" w:type="dxa"/>
            <w:tcBorders>
              <w:top w:val="single" w:sz="4" w:space="0" w:color="auto"/>
              <w:left w:val="single" w:sz="4" w:space="0" w:color="auto"/>
              <w:bottom w:val="single" w:sz="4" w:space="0" w:color="auto"/>
              <w:right w:val="single" w:sz="4" w:space="0" w:color="auto"/>
            </w:tcBorders>
            <w:vAlign w:val="center"/>
          </w:tcPr>
          <w:p w14:paraId="456F148A"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409 869</w:t>
            </w:r>
          </w:p>
        </w:tc>
        <w:tc>
          <w:tcPr>
            <w:tcW w:w="1276" w:type="dxa"/>
            <w:tcBorders>
              <w:top w:val="single" w:sz="4" w:space="0" w:color="auto"/>
              <w:left w:val="single" w:sz="4" w:space="0" w:color="auto"/>
              <w:bottom w:val="single" w:sz="4" w:space="0" w:color="auto"/>
              <w:right w:val="single" w:sz="4" w:space="0" w:color="auto"/>
            </w:tcBorders>
            <w:vAlign w:val="center"/>
          </w:tcPr>
          <w:p w14:paraId="5173B9FD"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524 949</w:t>
            </w:r>
          </w:p>
        </w:tc>
        <w:tc>
          <w:tcPr>
            <w:tcW w:w="1276" w:type="dxa"/>
            <w:tcBorders>
              <w:top w:val="single" w:sz="4" w:space="0" w:color="auto"/>
              <w:left w:val="single" w:sz="4" w:space="0" w:color="auto"/>
              <w:bottom w:val="single" w:sz="4" w:space="0" w:color="auto"/>
              <w:right w:val="single" w:sz="4" w:space="0" w:color="auto"/>
            </w:tcBorders>
            <w:vAlign w:val="center"/>
          </w:tcPr>
          <w:p w14:paraId="5FB3002A"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720 494</w:t>
            </w:r>
          </w:p>
        </w:tc>
        <w:tc>
          <w:tcPr>
            <w:tcW w:w="1276" w:type="dxa"/>
            <w:tcBorders>
              <w:top w:val="single" w:sz="4" w:space="0" w:color="auto"/>
              <w:left w:val="single" w:sz="4" w:space="0" w:color="auto"/>
              <w:bottom w:val="single" w:sz="4" w:space="0" w:color="auto"/>
              <w:right w:val="single" w:sz="4" w:space="0" w:color="auto"/>
            </w:tcBorders>
            <w:vAlign w:val="center"/>
          </w:tcPr>
          <w:p w14:paraId="711A429E"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shd w:val="clear" w:color="auto" w:fill="FFFFFF"/>
              </w:rPr>
              <w:t>833 817</w:t>
            </w:r>
          </w:p>
        </w:tc>
      </w:tr>
      <w:tr w:rsidR="009E0D80" w:rsidRPr="000C2EF6" w14:paraId="0A73DD7F" w14:textId="77777777" w:rsidTr="00E93259">
        <w:trPr>
          <w:jc w:val="center"/>
        </w:trPr>
        <w:tc>
          <w:tcPr>
            <w:tcW w:w="2978" w:type="dxa"/>
            <w:tcBorders>
              <w:top w:val="single" w:sz="4" w:space="0" w:color="auto"/>
              <w:left w:val="single" w:sz="4" w:space="0" w:color="auto"/>
              <w:bottom w:val="single" w:sz="4" w:space="0" w:color="auto"/>
              <w:right w:val="single" w:sz="4" w:space="0" w:color="auto"/>
            </w:tcBorders>
          </w:tcPr>
          <w:p w14:paraId="53C51B6C" w14:textId="77777777" w:rsidR="009E0D80" w:rsidRPr="00D31B9C" w:rsidRDefault="009E0D80" w:rsidP="00804D6A">
            <w:pPr>
              <w:spacing w:after="0" w:line="264" w:lineRule="auto"/>
              <w:rPr>
                <w:rFonts w:ascii="Times New Roman" w:hAnsi="Times New Roman" w:cs="Times New Roman"/>
                <w:sz w:val="20"/>
                <w:szCs w:val="20"/>
              </w:rPr>
            </w:pPr>
            <w:r w:rsidRPr="00D31B9C">
              <w:rPr>
                <w:rFonts w:ascii="Times New Roman" w:hAnsi="Times New Roman" w:cs="Times New Roman"/>
                <w:sz w:val="20"/>
                <w:szCs w:val="20"/>
              </w:rPr>
              <w:t>Izsniegto prezervatīvu skaits</w:t>
            </w:r>
          </w:p>
        </w:tc>
        <w:tc>
          <w:tcPr>
            <w:tcW w:w="1275" w:type="dxa"/>
            <w:tcBorders>
              <w:top w:val="single" w:sz="4" w:space="0" w:color="auto"/>
              <w:left w:val="single" w:sz="4" w:space="0" w:color="auto"/>
              <w:bottom w:val="single" w:sz="4" w:space="0" w:color="auto"/>
              <w:right w:val="single" w:sz="4" w:space="0" w:color="auto"/>
            </w:tcBorders>
            <w:vAlign w:val="center"/>
          </w:tcPr>
          <w:p w14:paraId="4BB9ECFA"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90 894</w:t>
            </w:r>
          </w:p>
        </w:tc>
        <w:tc>
          <w:tcPr>
            <w:tcW w:w="1276" w:type="dxa"/>
            <w:tcBorders>
              <w:top w:val="single" w:sz="4" w:space="0" w:color="auto"/>
              <w:left w:val="single" w:sz="4" w:space="0" w:color="auto"/>
              <w:bottom w:val="single" w:sz="4" w:space="0" w:color="auto"/>
              <w:right w:val="single" w:sz="4" w:space="0" w:color="auto"/>
            </w:tcBorders>
            <w:vAlign w:val="center"/>
          </w:tcPr>
          <w:p w14:paraId="36C51E7E"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89 191</w:t>
            </w:r>
          </w:p>
        </w:tc>
        <w:tc>
          <w:tcPr>
            <w:tcW w:w="1276" w:type="dxa"/>
            <w:tcBorders>
              <w:top w:val="single" w:sz="4" w:space="0" w:color="auto"/>
              <w:left w:val="single" w:sz="4" w:space="0" w:color="auto"/>
              <w:bottom w:val="single" w:sz="4" w:space="0" w:color="auto"/>
              <w:right w:val="single" w:sz="4" w:space="0" w:color="auto"/>
            </w:tcBorders>
            <w:vAlign w:val="center"/>
          </w:tcPr>
          <w:p w14:paraId="432FA249"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101 794</w:t>
            </w:r>
          </w:p>
        </w:tc>
        <w:tc>
          <w:tcPr>
            <w:tcW w:w="1276" w:type="dxa"/>
            <w:tcBorders>
              <w:top w:val="single" w:sz="4" w:space="0" w:color="auto"/>
              <w:left w:val="single" w:sz="4" w:space="0" w:color="auto"/>
              <w:bottom w:val="single" w:sz="4" w:space="0" w:color="auto"/>
              <w:right w:val="single" w:sz="4" w:space="0" w:color="auto"/>
            </w:tcBorders>
            <w:vAlign w:val="center"/>
          </w:tcPr>
          <w:p w14:paraId="1571B48C"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87 933</w:t>
            </w:r>
          </w:p>
        </w:tc>
        <w:tc>
          <w:tcPr>
            <w:tcW w:w="1276" w:type="dxa"/>
            <w:tcBorders>
              <w:top w:val="single" w:sz="4" w:space="0" w:color="auto"/>
              <w:left w:val="single" w:sz="4" w:space="0" w:color="auto"/>
              <w:bottom w:val="single" w:sz="4" w:space="0" w:color="auto"/>
              <w:right w:val="single" w:sz="4" w:space="0" w:color="auto"/>
            </w:tcBorders>
            <w:vAlign w:val="center"/>
          </w:tcPr>
          <w:p w14:paraId="46281329"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shd w:val="clear" w:color="auto" w:fill="FFFFFF"/>
              </w:rPr>
              <w:t>101 096</w:t>
            </w:r>
          </w:p>
        </w:tc>
      </w:tr>
      <w:tr w:rsidR="009E0D80" w:rsidRPr="000C2EF6" w14:paraId="329ABC5D" w14:textId="77777777" w:rsidTr="00E93259">
        <w:trPr>
          <w:jc w:val="center"/>
        </w:trPr>
        <w:tc>
          <w:tcPr>
            <w:tcW w:w="2978" w:type="dxa"/>
            <w:tcBorders>
              <w:top w:val="single" w:sz="4" w:space="0" w:color="auto"/>
              <w:left w:val="single" w:sz="4" w:space="0" w:color="auto"/>
              <w:bottom w:val="single" w:sz="4" w:space="0" w:color="auto"/>
              <w:right w:val="single" w:sz="4" w:space="0" w:color="auto"/>
            </w:tcBorders>
          </w:tcPr>
          <w:p w14:paraId="1A04FD32" w14:textId="77777777" w:rsidR="009E0D80" w:rsidRPr="00D31B9C" w:rsidRDefault="009E0D80" w:rsidP="00804D6A">
            <w:pPr>
              <w:spacing w:after="0" w:line="240" w:lineRule="auto"/>
              <w:rPr>
                <w:rFonts w:ascii="Times New Roman" w:hAnsi="Times New Roman" w:cs="Times New Roman"/>
                <w:sz w:val="20"/>
                <w:szCs w:val="20"/>
              </w:rPr>
            </w:pPr>
            <w:r w:rsidRPr="00D31B9C">
              <w:rPr>
                <w:rFonts w:ascii="Times New Roman" w:hAnsi="Times New Roman" w:cs="Times New Roman"/>
                <w:sz w:val="20"/>
                <w:szCs w:val="20"/>
              </w:rPr>
              <w:t>Veikto HIV eksprestestu skaits*/no tiem pozitīvo testu skaits</w:t>
            </w:r>
          </w:p>
        </w:tc>
        <w:tc>
          <w:tcPr>
            <w:tcW w:w="1275" w:type="dxa"/>
            <w:tcBorders>
              <w:top w:val="single" w:sz="4" w:space="0" w:color="auto"/>
              <w:left w:val="single" w:sz="4" w:space="0" w:color="auto"/>
              <w:bottom w:val="single" w:sz="4" w:space="0" w:color="auto"/>
              <w:right w:val="single" w:sz="4" w:space="0" w:color="auto"/>
            </w:tcBorders>
            <w:vAlign w:val="center"/>
          </w:tcPr>
          <w:p w14:paraId="4C723983"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1 953/100</w:t>
            </w:r>
          </w:p>
        </w:tc>
        <w:tc>
          <w:tcPr>
            <w:tcW w:w="1276" w:type="dxa"/>
            <w:tcBorders>
              <w:top w:val="single" w:sz="4" w:space="0" w:color="auto"/>
              <w:left w:val="single" w:sz="4" w:space="0" w:color="auto"/>
              <w:bottom w:val="single" w:sz="4" w:space="0" w:color="auto"/>
              <w:right w:val="single" w:sz="4" w:space="0" w:color="auto"/>
            </w:tcBorders>
            <w:vAlign w:val="center"/>
          </w:tcPr>
          <w:p w14:paraId="551521F7"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1 984/100</w:t>
            </w:r>
          </w:p>
        </w:tc>
        <w:tc>
          <w:tcPr>
            <w:tcW w:w="1276" w:type="dxa"/>
            <w:tcBorders>
              <w:top w:val="single" w:sz="4" w:space="0" w:color="auto"/>
              <w:left w:val="single" w:sz="4" w:space="0" w:color="auto"/>
              <w:bottom w:val="single" w:sz="4" w:space="0" w:color="auto"/>
              <w:right w:val="single" w:sz="4" w:space="0" w:color="auto"/>
            </w:tcBorders>
            <w:vAlign w:val="center"/>
          </w:tcPr>
          <w:p w14:paraId="26C4F698"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3 449/111</w:t>
            </w:r>
          </w:p>
        </w:tc>
        <w:tc>
          <w:tcPr>
            <w:tcW w:w="1276" w:type="dxa"/>
            <w:tcBorders>
              <w:top w:val="single" w:sz="4" w:space="0" w:color="auto"/>
              <w:left w:val="single" w:sz="4" w:space="0" w:color="auto"/>
              <w:bottom w:val="single" w:sz="4" w:space="0" w:color="auto"/>
              <w:right w:val="single" w:sz="4" w:space="0" w:color="auto"/>
            </w:tcBorders>
            <w:vAlign w:val="center"/>
          </w:tcPr>
          <w:p w14:paraId="6D34F457"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3 578/114</w:t>
            </w:r>
          </w:p>
        </w:tc>
        <w:tc>
          <w:tcPr>
            <w:tcW w:w="1276" w:type="dxa"/>
            <w:tcBorders>
              <w:top w:val="single" w:sz="4" w:space="0" w:color="auto"/>
              <w:left w:val="single" w:sz="4" w:space="0" w:color="auto"/>
              <w:bottom w:val="single" w:sz="4" w:space="0" w:color="auto"/>
              <w:right w:val="single" w:sz="4" w:space="0" w:color="auto"/>
            </w:tcBorders>
            <w:vAlign w:val="center"/>
          </w:tcPr>
          <w:p w14:paraId="238EA69E" w14:textId="77777777" w:rsidR="009E0D80" w:rsidRPr="00D31B9C" w:rsidRDefault="009E0D80" w:rsidP="00804D6A">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shd w:val="clear" w:color="auto" w:fill="FFFFFF"/>
              </w:rPr>
              <w:t>4893/192</w:t>
            </w:r>
          </w:p>
        </w:tc>
      </w:tr>
    </w:tbl>
    <w:p w14:paraId="753901C4" w14:textId="77777777" w:rsidR="009E0D80" w:rsidRPr="000C2EF6" w:rsidRDefault="009E0D80" w:rsidP="009E0D80">
      <w:pPr>
        <w:widowControl w:val="0"/>
        <w:spacing w:after="0" w:line="264" w:lineRule="auto"/>
        <w:ind w:firstLine="720"/>
        <w:rPr>
          <w:rFonts w:ascii="Times New Roman" w:hAnsi="Times New Roman" w:cs="Times New Roman"/>
          <w:sz w:val="24"/>
          <w:szCs w:val="24"/>
        </w:rPr>
      </w:pPr>
    </w:p>
    <w:p w14:paraId="221381DD" w14:textId="0C48C5CB" w:rsidR="009E0D80" w:rsidRPr="00C76291" w:rsidRDefault="009E0D80" w:rsidP="00C76291">
      <w:pPr>
        <w:widowControl w:val="0"/>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Šobrīd Latvijā darbojas divas mobilās vienības. Viena no tām darbojas kopš 2017. gada janvāra Rīgas un Pierīgas reģionā Eiropas Komisijas projekta “Vienotā rīcība HIV un pavadošo infekciju profilaksē un kaitējuma mazināšanā” (HAREACT projekts) ietvaros.  Šī ir jauna mobilā vienība, kura nodrošina kaitējuma mazināšanas pasākumu pieejamību HIV un ar to saistīto infekciju riska grupām (intravenozo narkotiku lietotājiem un to seksuālajiem partneriem, prostitūcijā iesaistītām personām). Šīs mobilās vienības darbs tiek nodrošināts līdz 2018. gada 30. septembrim.  Mobilās vienības darbības rezultāti salīdzinoši īsā laika periodā </w:t>
      </w:r>
      <w:r w:rsidRPr="000C2EF6">
        <w:rPr>
          <w:rFonts w:ascii="Times New Roman" w:hAnsi="Times New Roman" w:cs="Times New Roman"/>
          <w:sz w:val="24"/>
          <w:szCs w:val="24"/>
        </w:rPr>
        <w:lastRenderedPageBreak/>
        <w:t xml:space="preserve">(20 mēneši) veido būtisku daļu no kopējiem HPP rezultātiem.  Šajā laika posmā mobilā vienība ir apkalpojusi 1102 klientus, kas kopumā veido 2247 apmeklējumus. Šajā laikā posmā mobilajā vienībā ir veikts 841 HIV eksprestests, no kuriem 54 bija ar pozitīvu rezultātu, kas ir 6% no kopējā veikto eksprestestu skaita. Minētie fakti norāda uz šī kaitējuma mazināšanas pakalpojuma sniegšanas veida efektivitāti un iespēju sasniegt to mērķa grupas daļu, kas citādākā veidā šos pakalpojumus nesaņemtu. </w:t>
      </w:r>
      <w:r w:rsidR="006849C3">
        <w:rPr>
          <w:rFonts w:ascii="Times New Roman" w:hAnsi="Times New Roman" w:cs="Times New Roman"/>
          <w:sz w:val="24"/>
          <w:szCs w:val="24"/>
        </w:rPr>
        <w:t>Ņemot vērā to, ka ir beidzies līgums par uzsākto projekta īstenošanu ir nepieciešams turpinā</w:t>
      </w:r>
      <w:r w:rsidR="006849C3" w:rsidRPr="000C2EF6">
        <w:rPr>
          <w:rFonts w:ascii="Times New Roman" w:hAnsi="Times New Roman" w:cs="Times New Roman"/>
          <w:sz w:val="24"/>
          <w:szCs w:val="24"/>
        </w:rPr>
        <w:t>t mobilās vienības darbu</w:t>
      </w:r>
      <w:r w:rsidR="006849C3">
        <w:rPr>
          <w:rFonts w:ascii="Times New Roman" w:hAnsi="Times New Roman" w:cs="Times New Roman"/>
          <w:sz w:val="24"/>
          <w:szCs w:val="24"/>
        </w:rPr>
        <w:t xml:space="preserve"> no valsts budžeta līdzekļiem.P</w:t>
      </w:r>
      <w:r w:rsidRPr="000C2EF6">
        <w:rPr>
          <w:rFonts w:ascii="Times New Roman" w:hAnsi="Times New Roman" w:cs="Times New Roman"/>
          <w:sz w:val="24"/>
          <w:szCs w:val="24"/>
        </w:rPr>
        <w:t xml:space="preserve">rognozējams sniegto pakalpojumu skaita pieaugums, kas norāda uz nepieciešamību nodrošināt mobilās vienības pakalpojumus arī nākotnē. Kā arī ir nepieciešams nodrošināt HAREACT projekta ilgtspēju, uzsāktā darba pēctecību un nepārtrauktību. </w:t>
      </w:r>
      <w:r>
        <w:rPr>
          <w:rFonts w:ascii="Times New Roman" w:hAnsi="Times New Roman" w:cs="Times New Roman"/>
          <w:sz w:val="24"/>
          <w:szCs w:val="24"/>
        </w:rPr>
        <w:t xml:space="preserve">Līdz ar to 2019.gadam nepieciešami </w:t>
      </w:r>
      <w:r w:rsidRPr="005A2A75">
        <w:rPr>
          <w:rFonts w:ascii="Times New Roman" w:hAnsi="Times New Roman" w:cs="Times New Roman"/>
          <w:b/>
          <w:sz w:val="24"/>
          <w:szCs w:val="24"/>
        </w:rPr>
        <w:t xml:space="preserve">47 566 </w:t>
      </w:r>
      <w:r w:rsidRPr="005A2A75">
        <w:rPr>
          <w:rFonts w:ascii="Times New Roman" w:hAnsi="Times New Roman" w:cs="Times New Roman"/>
          <w:b/>
          <w:i/>
          <w:sz w:val="24"/>
          <w:szCs w:val="24"/>
        </w:rPr>
        <w:t>euro</w:t>
      </w:r>
      <w:r>
        <w:rPr>
          <w:rFonts w:ascii="Times New Roman" w:hAnsi="Times New Roman" w:cs="Times New Roman"/>
          <w:sz w:val="24"/>
          <w:szCs w:val="24"/>
        </w:rPr>
        <w:t xml:space="preserve"> (</w:t>
      </w:r>
      <w:r w:rsidR="008104BD">
        <w:rPr>
          <w:rFonts w:ascii="Times New Roman" w:hAnsi="Times New Roman" w:cs="Times New Roman"/>
          <w:sz w:val="24"/>
          <w:szCs w:val="24"/>
        </w:rPr>
        <w:t>61</w:t>
      </w:r>
      <w:r>
        <w:rPr>
          <w:rFonts w:ascii="Times New Roman" w:hAnsi="Times New Roman" w:cs="Times New Roman"/>
          <w:sz w:val="24"/>
          <w:szCs w:val="24"/>
        </w:rPr>
        <w:t>.tabula).</w:t>
      </w:r>
    </w:p>
    <w:p w14:paraId="6169CF6E" w14:textId="466AF9F5" w:rsidR="009E0D80" w:rsidRPr="00E93259" w:rsidRDefault="008104BD" w:rsidP="008104BD">
      <w:pPr>
        <w:widowControl w:val="0"/>
        <w:spacing w:after="0" w:line="264"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61</w:t>
      </w:r>
      <w:r w:rsidR="009E0D80" w:rsidRPr="6812B80F">
        <w:rPr>
          <w:rFonts w:ascii="Times New Roman" w:hAnsi="Times New Roman" w:cs="Times New Roman"/>
          <w:i/>
          <w:iCs/>
          <w:sz w:val="24"/>
          <w:szCs w:val="24"/>
        </w:rPr>
        <w:t>.tabula</w:t>
      </w:r>
    </w:p>
    <w:p w14:paraId="33478820" w14:textId="77777777" w:rsidR="009E0D80" w:rsidRPr="00E848F1" w:rsidRDefault="009E0D80" w:rsidP="00E848F1">
      <w:pPr>
        <w:widowControl w:val="0"/>
        <w:spacing w:after="0" w:line="264" w:lineRule="auto"/>
        <w:ind w:firstLine="720"/>
        <w:jc w:val="center"/>
        <w:rPr>
          <w:rFonts w:ascii="Times New Roman" w:hAnsi="Times New Roman" w:cs="Times New Roman"/>
          <w:b/>
          <w:bCs/>
          <w:sz w:val="24"/>
          <w:szCs w:val="24"/>
        </w:rPr>
      </w:pPr>
      <w:r w:rsidRPr="00E12849">
        <w:rPr>
          <w:rFonts w:ascii="Times New Roman" w:hAnsi="Times New Roman" w:cs="Times New Roman"/>
          <w:b/>
          <w:bCs/>
          <w:sz w:val="24"/>
          <w:szCs w:val="24"/>
        </w:rPr>
        <w:t>Mobilai vienībai nepieciešamais finansējums 2019.gadam</w:t>
      </w:r>
    </w:p>
    <w:p w14:paraId="5A3E134F" w14:textId="77777777" w:rsidR="009E0D80" w:rsidRPr="005A2A75" w:rsidRDefault="009E0D80" w:rsidP="009E0D80">
      <w:pPr>
        <w:widowControl w:val="0"/>
        <w:spacing w:after="0" w:line="264" w:lineRule="auto"/>
        <w:ind w:firstLine="720"/>
        <w:jc w:val="center"/>
        <w:rPr>
          <w:rFonts w:ascii="Times New Roman" w:hAnsi="Times New Roman" w:cs="Times New Roman"/>
          <w:sz w:val="24"/>
          <w:szCs w:val="24"/>
        </w:rPr>
      </w:pPr>
    </w:p>
    <w:tbl>
      <w:tblPr>
        <w:tblW w:w="7658" w:type="dxa"/>
        <w:jc w:val="center"/>
        <w:tblLook w:val="04A0" w:firstRow="1" w:lastRow="0" w:firstColumn="1" w:lastColumn="0" w:noHBand="0" w:noVBand="1"/>
      </w:tblPr>
      <w:tblGrid>
        <w:gridCol w:w="3818"/>
        <w:gridCol w:w="1920"/>
        <w:gridCol w:w="1920"/>
      </w:tblGrid>
      <w:tr w:rsidR="009E0D80" w:rsidRPr="00531DAD" w14:paraId="5BC9CCC8" w14:textId="77777777" w:rsidTr="00E93259">
        <w:trPr>
          <w:trHeight w:val="660"/>
          <w:jc w:val="center"/>
        </w:trPr>
        <w:tc>
          <w:tcPr>
            <w:tcW w:w="3818" w:type="dxa"/>
            <w:tcBorders>
              <w:top w:val="single" w:sz="4" w:space="0" w:color="auto"/>
              <w:left w:val="single" w:sz="4" w:space="0" w:color="auto"/>
              <w:bottom w:val="nil"/>
              <w:right w:val="nil"/>
            </w:tcBorders>
            <w:shd w:val="clear" w:color="auto" w:fill="E36C0A" w:themeFill="accent6" w:themeFillShade="BF"/>
            <w:vAlign w:val="center"/>
            <w:hideMark/>
          </w:tcPr>
          <w:p w14:paraId="1A7795D1" w14:textId="77777777" w:rsidR="009E0D80" w:rsidRPr="000B5B24" w:rsidRDefault="009E0D80" w:rsidP="00804D6A">
            <w:pPr>
              <w:spacing w:after="0" w:line="240" w:lineRule="auto"/>
              <w:jc w:val="center"/>
              <w:rPr>
                <w:rFonts w:ascii="Times New Roman" w:eastAsia="Times New Roman" w:hAnsi="Times New Roman" w:cs="Times New Roman"/>
                <w:b/>
                <w:bCs/>
                <w:color w:val="000000"/>
                <w:sz w:val="20"/>
                <w:szCs w:val="20"/>
                <w:lang w:eastAsia="lv-LV"/>
              </w:rPr>
            </w:pPr>
            <w:r w:rsidRPr="000B5B24">
              <w:rPr>
                <w:rFonts w:ascii="Times New Roman" w:eastAsia="Times New Roman" w:hAnsi="Times New Roman" w:cs="Times New Roman"/>
                <w:b/>
                <w:bCs/>
                <w:color w:val="000000"/>
                <w:sz w:val="20"/>
                <w:szCs w:val="20"/>
                <w:lang w:eastAsia="lv-LV"/>
              </w:rPr>
              <w:t xml:space="preserve">Pakalpojuma līgums par 3963 </w:t>
            </w:r>
            <w:r w:rsidRPr="000B5B24">
              <w:rPr>
                <w:rFonts w:ascii="Times New Roman" w:eastAsia="Times New Roman" w:hAnsi="Times New Roman" w:cs="Times New Roman"/>
                <w:b/>
                <w:bCs/>
                <w:i/>
                <w:color w:val="000000"/>
                <w:sz w:val="20"/>
                <w:szCs w:val="20"/>
                <w:lang w:eastAsia="lv-LV"/>
              </w:rPr>
              <w:t>euro</w:t>
            </w:r>
            <w:r w:rsidRPr="000B5B24">
              <w:rPr>
                <w:rFonts w:ascii="Times New Roman" w:eastAsia="Times New Roman" w:hAnsi="Times New Roman" w:cs="Times New Roman"/>
                <w:b/>
                <w:bCs/>
                <w:color w:val="000000"/>
                <w:sz w:val="20"/>
                <w:szCs w:val="20"/>
                <w:lang w:eastAsia="lv-LV"/>
              </w:rPr>
              <w:t xml:space="preserve"> summu mēnesī, kas sevī ietver:</w:t>
            </w:r>
          </w:p>
        </w:tc>
        <w:tc>
          <w:tcPr>
            <w:tcW w:w="192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78BB3DC7" w14:textId="77777777" w:rsidR="009E0D80" w:rsidRPr="000B5B24" w:rsidRDefault="009E0D80" w:rsidP="00804D6A">
            <w:pPr>
              <w:spacing w:after="0" w:line="240" w:lineRule="auto"/>
              <w:jc w:val="center"/>
              <w:rPr>
                <w:rFonts w:ascii="Times New Roman" w:eastAsia="Times New Roman" w:hAnsi="Times New Roman" w:cs="Times New Roman"/>
                <w:b/>
                <w:sz w:val="20"/>
                <w:szCs w:val="20"/>
                <w:lang w:eastAsia="lv-LV"/>
              </w:rPr>
            </w:pPr>
            <w:r w:rsidRPr="000B5B24">
              <w:rPr>
                <w:rFonts w:ascii="Times New Roman" w:eastAsia="Times New Roman" w:hAnsi="Times New Roman" w:cs="Times New Roman"/>
                <w:b/>
                <w:sz w:val="20"/>
                <w:szCs w:val="20"/>
                <w:lang w:eastAsia="lv-LV"/>
              </w:rPr>
              <w:t xml:space="preserve">2019.gada 1 mēnesī </w:t>
            </w:r>
            <w:r w:rsidRPr="000B5B24">
              <w:rPr>
                <w:rFonts w:ascii="Times New Roman" w:eastAsia="Times New Roman" w:hAnsi="Times New Roman" w:cs="Times New Roman"/>
                <w:b/>
                <w:i/>
                <w:sz w:val="20"/>
                <w:szCs w:val="20"/>
                <w:lang w:eastAsia="lv-LV"/>
              </w:rPr>
              <w:t>euro</w:t>
            </w:r>
          </w:p>
        </w:tc>
        <w:tc>
          <w:tcPr>
            <w:tcW w:w="192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23DE6BE" w14:textId="77777777" w:rsidR="009E0D80" w:rsidRPr="000B5B24" w:rsidRDefault="009E0D80" w:rsidP="00804D6A">
            <w:pPr>
              <w:spacing w:after="0" w:line="240" w:lineRule="auto"/>
              <w:jc w:val="center"/>
              <w:rPr>
                <w:rFonts w:ascii="Times New Roman" w:eastAsia="Times New Roman" w:hAnsi="Times New Roman" w:cs="Times New Roman"/>
                <w:b/>
                <w:sz w:val="20"/>
                <w:szCs w:val="20"/>
                <w:lang w:eastAsia="lv-LV"/>
              </w:rPr>
            </w:pPr>
            <w:r w:rsidRPr="000B5B24">
              <w:rPr>
                <w:rFonts w:ascii="Times New Roman" w:eastAsia="Times New Roman" w:hAnsi="Times New Roman" w:cs="Times New Roman"/>
                <w:b/>
                <w:sz w:val="20"/>
                <w:szCs w:val="20"/>
                <w:lang w:eastAsia="lv-LV"/>
              </w:rPr>
              <w:t xml:space="preserve">2019.gada 12 mēnešos </w:t>
            </w:r>
            <w:r w:rsidRPr="000B5B24">
              <w:rPr>
                <w:rFonts w:ascii="Times New Roman" w:eastAsia="Times New Roman" w:hAnsi="Times New Roman" w:cs="Times New Roman"/>
                <w:b/>
                <w:i/>
                <w:sz w:val="20"/>
                <w:szCs w:val="20"/>
                <w:lang w:eastAsia="lv-LV"/>
              </w:rPr>
              <w:t>euro</w:t>
            </w:r>
          </w:p>
        </w:tc>
      </w:tr>
      <w:tr w:rsidR="009E0D80" w:rsidRPr="00531DAD" w14:paraId="408B62AD" w14:textId="77777777" w:rsidTr="00E93259">
        <w:trPr>
          <w:trHeight w:val="802"/>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1F29D" w14:textId="77777777" w:rsidR="009E0D80" w:rsidRPr="000B5B24" w:rsidRDefault="009E0D80" w:rsidP="00804D6A">
            <w:pPr>
              <w:spacing w:after="0" w:line="240" w:lineRule="auto"/>
              <w:jc w:val="both"/>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 xml:space="preserve">medicīnas darbinieka, sociālā darbinieka un 3 ielu darbinieku darbu, kurā tiek paredzēta atlīdzība </w:t>
            </w:r>
          </w:p>
        </w:tc>
        <w:tc>
          <w:tcPr>
            <w:tcW w:w="1920" w:type="dxa"/>
            <w:tcBorders>
              <w:top w:val="nil"/>
              <w:left w:val="nil"/>
              <w:bottom w:val="single" w:sz="4" w:space="0" w:color="auto"/>
              <w:right w:val="single" w:sz="4" w:space="0" w:color="auto"/>
            </w:tcBorders>
            <w:shd w:val="clear" w:color="auto" w:fill="auto"/>
            <w:noWrap/>
            <w:vAlign w:val="center"/>
            <w:hideMark/>
          </w:tcPr>
          <w:p w14:paraId="168568B3"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2 018</w:t>
            </w:r>
          </w:p>
        </w:tc>
        <w:tc>
          <w:tcPr>
            <w:tcW w:w="1920" w:type="dxa"/>
            <w:tcBorders>
              <w:top w:val="nil"/>
              <w:left w:val="nil"/>
              <w:bottom w:val="single" w:sz="4" w:space="0" w:color="auto"/>
              <w:right w:val="single" w:sz="4" w:space="0" w:color="auto"/>
            </w:tcBorders>
          </w:tcPr>
          <w:p w14:paraId="170E5194"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p>
          <w:p w14:paraId="1B5C573C"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24 216</w:t>
            </w:r>
          </w:p>
        </w:tc>
      </w:tr>
      <w:tr w:rsidR="009E0D80" w:rsidRPr="00531DAD" w14:paraId="57594940" w14:textId="77777777" w:rsidTr="00E93259">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3E55646F" w14:textId="77777777" w:rsidR="009E0D80" w:rsidRPr="000B5B24" w:rsidRDefault="009E0D80" w:rsidP="00804D6A">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atkritumu utilizācija</w:t>
            </w:r>
          </w:p>
        </w:tc>
        <w:tc>
          <w:tcPr>
            <w:tcW w:w="1920" w:type="dxa"/>
            <w:tcBorders>
              <w:top w:val="nil"/>
              <w:left w:val="nil"/>
              <w:bottom w:val="single" w:sz="4" w:space="0" w:color="auto"/>
              <w:right w:val="single" w:sz="4" w:space="0" w:color="auto"/>
            </w:tcBorders>
            <w:shd w:val="clear" w:color="auto" w:fill="auto"/>
            <w:noWrap/>
            <w:vAlign w:val="center"/>
            <w:hideMark/>
          </w:tcPr>
          <w:p w14:paraId="6CFACB24"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40</w:t>
            </w:r>
          </w:p>
        </w:tc>
        <w:tc>
          <w:tcPr>
            <w:tcW w:w="1920" w:type="dxa"/>
            <w:tcBorders>
              <w:top w:val="nil"/>
              <w:left w:val="nil"/>
              <w:bottom w:val="single" w:sz="4" w:space="0" w:color="auto"/>
              <w:right w:val="single" w:sz="4" w:space="0" w:color="auto"/>
            </w:tcBorders>
          </w:tcPr>
          <w:p w14:paraId="6C501598"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480</w:t>
            </w:r>
          </w:p>
        </w:tc>
      </w:tr>
      <w:tr w:rsidR="009E0D80" w:rsidRPr="00531DAD" w14:paraId="0AC45993" w14:textId="77777777" w:rsidTr="00E93259">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175BFEC9" w14:textId="77777777" w:rsidR="009E0D80" w:rsidRPr="000B5B24" w:rsidRDefault="009E0D80" w:rsidP="00804D6A">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medicīnas preces</w:t>
            </w:r>
          </w:p>
        </w:tc>
        <w:tc>
          <w:tcPr>
            <w:tcW w:w="1920" w:type="dxa"/>
            <w:tcBorders>
              <w:top w:val="nil"/>
              <w:left w:val="nil"/>
              <w:bottom w:val="single" w:sz="4" w:space="0" w:color="auto"/>
              <w:right w:val="single" w:sz="4" w:space="0" w:color="auto"/>
            </w:tcBorders>
            <w:shd w:val="clear" w:color="auto" w:fill="auto"/>
            <w:noWrap/>
            <w:vAlign w:val="center"/>
            <w:hideMark/>
          </w:tcPr>
          <w:p w14:paraId="3F4A1307"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1575</w:t>
            </w:r>
          </w:p>
        </w:tc>
        <w:tc>
          <w:tcPr>
            <w:tcW w:w="1920" w:type="dxa"/>
            <w:tcBorders>
              <w:top w:val="nil"/>
              <w:left w:val="nil"/>
              <w:bottom w:val="single" w:sz="4" w:space="0" w:color="auto"/>
              <w:right w:val="single" w:sz="4" w:space="0" w:color="auto"/>
            </w:tcBorders>
          </w:tcPr>
          <w:p w14:paraId="17C8BB41"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18 900</w:t>
            </w:r>
          </w:p>
        </w:tc>
      </w:tr>
      <w:tr w:rsidR="009E0D80" w:rsidRPr="00531DAD" w14:paraId="6306D172" w14:textId="77777777" w:rsidTr="00E93259">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29AD0F48" w14:textId="77777777" w:rsidR="009E0D80" w:rsidRPr="000B5B24" w:rsidRDefault="009E0D80" w:rsidP="00804D6A">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vizītkaršu druka</w:t>
            </w:r>
          </w:p>
        </w:tc>
        <w:tc>
          <w:tcPr>
            <w:tcW w:w="1920" w:type="dxa"/>
            <w:tcBorders>
              <w:top w:val="nil"/>
              <w:left w:val="nil"/>
              <w:bottom w:val="single" w:sz="4" w:space="0" w:color="auto"/>
              <w:right w:val="single" w:sz="4" w:space="0" w:color="auto"/>
            </w:tcBorders>
            <w:shd w:val="clear" w:color="auto" w:fill="auto"/>
            <w:noWrap/>
            <w:vAlign w:val="center"/>
            <w:hideMark/>
          </w:tcPr>
          <w:p w14:paraId="6F2FFD71"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30</w:t>
            </w:r>
          </w:p>
        </w:tc>
        <w:tc>
          <w:tcPr>
            <w:tcW w:w="1920" w:type="dxa"/>
            <w:tcBorders>
              <w:top w:val="nil"/>
              <w:left w:val="nil"/>
              <w:bottom w:val="single" w:sz="4" w:space="0" w:color="auto"/>
              <w:right w:val="single" w:sz="4" w:space="0" w:color="auto"/>
            </w:tcBorders>
          </w:tcPr>
          <w:p w14:paraId="1F1AD269"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360</w:t>
            </w:r>
          </w:p>
        </w:tc>
      </w:tr>
      <w:tr w:rsidR="009E0D80" w:rsidRPr="00531DAD" w14:paraId="54AC59D9" w14:textId="77777777" w:rsidTr="00E93259">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179DF150" w14:textId="77777777" w:rsidR="009E0D80" w:rsidRPr="000B5B24" w:rsidRDefault="009E0D80" w:rsidP="00804D6A">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automašīnu remonts</w:t>
            </w:r>
          </w:p>
        </w:tc>
        <w:tc>
          <w:tcPr>
            <w:tcW w:w="1920" w:type="dxa"/>
            <w:tcBorders>
              <w:top w:val="nil"/>
              <w:left w:val="nil"/>
              <w:bottom w:val="single" w:sz="4" w:space="0" w:color="auto"/>
              <w:right w:val="single" w:sz="4" w:space="0" w:color="auto"/>
            </w:tcBorders>
            <w:shd w:val="clear" w:color="auto" w:fill="auto"/>
            <w:noWrap/>
            <w:vAlign w:val="center"/>
            <w:hideMark/>
          </w:tcPr>
          <w:p w14:paraId="213F36F2"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80</w:t>
            </w:r>
          </w:p>
        </w:tc>
        <w:tc>
          <w:tcPr>
            <w:tcW w:w="1920" w:type="dxa"/>
            <w:tcBorders>
              <w:top w:val="nil"/>
              <w:left w:val="nil"/>
              <w:bottom w:val="single" w:sz="4" w:space="0" w:color="auto"/>
              <w:right w:val="single" w:sz="4" w:space="0" w:color="auto"/>
            </w:tcBorders>
          </w:tcPr>
          <w:p w14:paraId="112BB430"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960</w:t>
            </w:r>
          </w:p>
        </w:tc>
      </w:tr>
      <w:tr w:rsidR="009E0D80" w:rsidRPr="00531DAD" w14:paraId="6E92FD00" w14:textId="77777777" w:rsidTr="00E93259">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72FFAD73" w14:textId="77777777" w:rsidR="009E0D80" w:rsidRPr="000B5B24" w:rsidRDefault="009E0D80" w:rsidP="00804D6A">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stāvvietas</w:t>
            </w:r>
          </w:p>
        </w:tc>
        <w:tc>
          <w:tcPr>
            <w:tcW w:w="1920" w:type="dxa"/>
            <w:tcBorders>
              <w:top w:val="nil"/>
              <w:left w:val="nil"/>
              <w:bottom w:val="single" w:sz="4" w:space="0" w:color="auto"/>
              <w:right w:val="single" w:sz="4" w:space="0" w:color="auto"/>
            </w:tcBorders>
            <w:shd w:val="clear" w:color="auto" w:fill="auto"/>
            <w:noWrap/>
            <w:vAlign w:val="center"/>
            <w:hideMark/>
          </w:tcPr>
          <w:p w14:paraId="55AE09E4"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50</w:t>
            </w:r>
          </w:p>
        </w:tc>
        <w:tc>
          <w:tcPr>
            <w:tcW w:w="1920" w:type="dxa"/>
            <w:tcBorders>
              <w:top w:val="nil"/>
              <w:left w:val="nil"/>
              <w:bottom w:val="single" w:sz="4" w:space="0" w:color="auto"/>
              <w:right w:val="single" w:sz="4" w:space="0" w:color="auto"/>
            </w:tcBorders>
          </w:tcPr>
          <w:p w14:paraId="10BE4613"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600</w:t>
            </w:r>
          </w:p>
        </w:tc>
      </w:tr>
      <w:tr w:rsidR="009E0D80" w:rsidRPr="00531DAD" w14:paraId="73F39AB1" w14:textId="77777777" w:rsidTr="00E93259">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1800C863" w14:textId="77777777" w:rsidR="009E0D80" w:rsidRPr="000B5B24" w:rsidRDefault="009E0D80" w:rsidP="00804D6A">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 xml:space="preserve">apdrošinašana </w:t>
            </w:r>
          </w:p>
        </w:tc>
        <w:tc>
          <w:tcPr>
            <w:tcW w:w="1920" w:type="dxa"/>
            <w:tcBorders>
              <w:top w:val="nil"/>
              <w:left w:val="nil"/>
              <w:bottom w:val="single" w:sz="4" w:space="0" w:color="auto"/>
              <w:right w:val="single" w:sz="4" w:space="0" w:color="auto"/>
            </w:tcBorders>
            <w:shd w:val="clear" w:color="auto" w:fill="auto"/>
            <w:noWrap/>
            <w:vAlign w:val="center"/>
            <w:hideMark/>
          </w:tcPr>
          <w:p w14:paraId="71143A48"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70</w:t>
            </w:r>
          </w:p>
        </w:tc>
        <w:tc>
          <w:tcPr>
            <w:tcW w:w="1920" w:type="dxa"/>
            <w:tcBorders>
              <w:top w:val="nil"/>
              <w:left w:val="nil"/>
              <w:bottom w:val="single" w:sz="4" w:space="0" w:color="auto"/>
              <w:right w:val="single" w:sz="4" w:space="0" w:color="auto"/>
            </w:tcBorders>
          </w:tcPr>
          <w:p w14:paraId="300CBE77"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840</w:t>
            </w:r>
          </w:p>
        </w:tc>
      </w:tr>
      <w:tr w:rsidR="009E0D80" w:rsidRPr="00531DAD" w14:paraId="72CA1249" w14:textId="77777777" w:rsidTr="00E93259">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638272BB" w14:textId="77777777" w:rsidR="009E0D80" w:rsidRPr="000B5B24" w:rsidRDefault="009E0D80" w:rsidP="00804D6A">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degviela</w:t>
            </w:r>
          </w:p>
        </w:tc>
        <w:tc>
          <w:tcPr>
            <w:tcW w:w="1920" w:type="dxa"/>
            <w:tcBorders>
              <w:top w:val="nil"/>
              <w:left w:val="nil"/>
              <w:bottom w:val="single" w:sz="4" w:space="0" w:color="auto"/>
              <w:right w:val="single" w:sz="4" w:space="0" w:color="auto"/>
            </w:tcBorders>
            <w:shd w:val="clear" w:color="auto" w:fill="auto"/>
            <w:noWrap/>
            <w:vAlign w:val="center"/>
            <w:hideMark/>
          </w:tcPr>
          <w:p w14:paraId="1E7868A5"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100</w:t>
            </w:r>
          </w:p>
        </w:tc>
        <w:tc>
          <w:tcPr>
            <w:tcW w:w="1920" w:type="dxa"/>
            <w:tcBorders>
              <w:top w:val="nil"/>
              <w:left w:val="nil"/>
              <w:bottom w:val="single" w:sz="4" w:space="0" w:color="auto"/>
              <w:right w:val="single" w:sz="4" w:space="0" w:color="auto"/>
            </w:tcBorders>
          </w:tcPr>
          <w:p w14:paraId="0C534D53" w14:textId="77777777" w:rsidR="009E0D80" w:rsidRPr="000B5B24" w:rsidRDefault="009E0D80" w:rsidP="00804D6A">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1200</w:t>
            </w:r>
          </w:p>
        </w:tc>
      </w:tr>
      <w:tr w:rsidR="009E0D80" w:rsidRPr="00531DAD" w14:paraId="12C65C39" w14:textId="77777777" w:rsidTr="00E93259">
        <w:trPr>
          <w:trHeight w:val="300"/>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4D2C7002" w14:textId="77777777" w:rsidR="009E0D80" w:rsidRPr="000B5B24" w:rsidRDefault="009E0D80" w:rsidP="00804D6A">
            <w:pPr>
              <w:spacing w:after="0" w:line="240" w:lineRule="auto"/>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 </w:t>
            </w:r>
          </w:p>
        </w:tc>
        <w:tc>
          <w:tcPr>
            <w:tcW w:w="1920" w:type="dxa"/>
            <w:tcBorders>
              <w:top w:val="nil"/>
              <w:left w:val="nil"/>
              <w:bottom w:val="single" w:sz="4" w:space="0" w:color="auto"/>
              <w:right w:val="single" w:sz="4" w:space="0" w:color="auto"/>
            </w:tcBorders>
            <w:shd w:val="clear" w:color="auto" w:fill="auto"/>
            <w:noWrap/>
            <w:vAlign w:val="center"/>
            <w:hideMark/>
          </w:tcPr>
          <w:p w14:paraId="3CD1CF5F" w14:textId="77777777" w:rsidR="009E0D80" w:rsidRPr="000B5B24" w:rsidRDefault="009E0D80" w:rsidP="00804D6A">
            <w:pPr>
              <w:spacing w:after="0" w:line="240" w:lineRule="auto"/>
              <w:jc w:val="center"/>
              <w:rPr>
                <w:rFonts w:ascii="Times New Roman" w:eastAsia="Times New Roman" w:hAnsi="Times New Roman" w:cs="Times New Roman"/>
                <w:b/>
                <w:bCs/>
                <w:color w:val="000000"/>
                <w:sz w:val="20"/>
                <w:szCs w:val="20"/>
                <w:lang w:eastAsia="lv-LV"/>
              </w:rPr>
            </w:pPr>
            <w:r w:rsidRPr="000B5B24">
              <w:rPr>
                <w:rFonts w:ascii="Times New Roman" w:eastAsia="Times New Roman" w:hAnsi="Times New Roman" w:cs="Times New Roman"/>
                <w:b/>
                <w:bCs/>
                <w:color w:val="000000"/>
                <w:sz w:val="20"/>
                <w:szCs w:val="20"/>
                <w:lang w:eastAsia="lv-LV"/>
              </w:rPr>
              <w:t>3 963</w:t>
            </w:r>
          </w:p>
        </w:tc>
        <w:tc>
          <w:tcPr>
            <w:tcW w:w="1920" w:type="dxa"/>
            <w:tcBorders>
              <w:top w:val="nil"/>
              <w:left w:val="nil"/>
              <w:bottom w:val="single" w:sz="4" w:space="0" w:color="auto"/>
              <w:right w:val="single" w:sz="4" w:space="0" w:color="auto"/>
            </w:tcBorders>
          </w:tcPr>
          <w:p w14:paraId="580D56C3" w14:textId="77777777" w:rsidR="009E0D80" w:rsidRPr="000B5B24" w:rsidRDefault="009E0D80" w:rsidP="00804D6A">
            <w:pPr>
              <w:spacing w:after="0" w:line="240" w:lineRule="auto"/>
              <w:jc w:val="center"/>
              <w:rPr>
                <w:rFonts w:ascii="Times New Roman" w:eastAsia="Times New Roman" w:hAnsi="Times New Roman" w:cs="Times New Roman"/>
                <w:b/>
                <w:bCs/>
                <w:color w:val="000000"/>
                <w:sz w:val="20"/>
                <w:szCs w:val="20"/>
                <w:lang w:eastAsia="lv-LV"/>
              </w:rPr>
            </w:pPr>
            <w:r w:rsidRPr="000B5B24">
              <w:rPr>
                <w:rFonts w:ascii="Times New Roman" w:eastAsia="Times New Roman" w:hAnsi="Times New Roman" w:cs="Times New Roman"/>
                <w:b/>
                <w:bCs/>
                <w:color w:val="000000"/>
                <w:sz w:val="20"/>
                <w:szCs w:val="20"/>
                <w:lang w:eastAsia="lv-LV"/>
              </w:rPr>
              <w:t>47 556</w:t>
            </w:r>
          </w:p>
        </w:tc>
      </w:tr>
    </w:tbl>
    <w:p w14:paraId="5ECCA0F7" w14:textId="77777777" w:rsidR="009E0D80" w:rsidRDefault="009E0D80" w:rsidP="009E0D80">
      <w:pPr>
        <w:rPr>
          <w:sz w:val="24"/>
          <w:szCs w:val="24"/>
        </w:rPr>
      </w:pPr>
    </w:p>
    <w:tbl>
      <w:tblPr>
        <w:tblStyle w:val="TableGrid"/>
        <w:tblW w:w="0" w:type="auto"/>
        <w:tblLook w:val="04A0" w:firstRow="1" w:lastRow="0" w:firstColumn="1" w:lastColumn="0" w:noHBand="0" w:noVBand="1"/>
      </w:tblPr>
      <w:tblGrid>
        <w:gridCol w:w="9089"/>
      </w:tblGrid>
      <w:tr w:rsidR="009E0D80" w14:paraId="4666FE39" w14:textId="77777777" w:rsidTr="6812B80F">
        <w:tc>
          <w:tcPr>
            <w:tcW w:w="9089" w:type="dxa"/>
          </w:tcPr>
          <w:p w14:paraId="6B480EA7" w14:textId="77777777" w:rsidR="009E0D80" w:rsidRPr="00B03059" w:rsidRDefault="009E0D80">
            <w:pPr>
              <w:jc w:val="both"/>
              <w:rPr>
                <w:b/>
                <w:bCs/>
                <w:sz w:val="24"/>
                <w:szCs w:val="24"/>
              </w:rPr>
            </w:pPr>
            <w:r w:rsidRPr="00E12849">
              <w:rPr>
                <w:rFonts w:ascii="Times New Roman" w:hAnsi="Times New Roman"/>
                <w:b/>
                <w:bCs/>
                <w:sz w:val="24"/>
                <w:szCs w:val="24"/>
              </w:rPr>
              <w:t>Reformas ieguvums: Nodrošināta kaitējuma mazināšanas pakalpojumu sniegšana speciāli aprīkotā autotransportā, t.i., mobilajā vienībā HIV un saistīto infekciju riska grupām.</w:t>
            </w:r>
          </w:p>
        </w:tc>
      </w:tr>
    </w:tbl>
    <w:p w14:paraId="4F7E2773" w14:textId="77777777" w:rsidR="00853B4B" w:rsidRDefault="00853B4B" w:rsidP="00853B4B">
      <w:pPr>
        <w:pStyle w:val="Heading2"/>
        <w:spacing w:before="0" w:after="200"/>
        <w:rPr>
          <w:rFonts w:ascii="Times New Roman" w:eastAsiaTheme="minorHAnsi" w:hAnsi="Times New Roman" w:cs="Times New Roman"/>
          <w:b/>
          <w:bCs/>
          <w:color w:val="000000" w:themeColor="text1"/>
          <w:sz w:val="24"/>
          <w:szCs w:val="24"/>
        </w:rPr>
      </w:pPr>
    </w:p>
    <w:p w14:paraId="1B414C13" w14:textId="7B08607B" w:rsidR="005729EA" w:rsidRPr="00C86312" w:rsidRDefault="00853B4B" w:rsidP="00853B4B">
      <w:pPr>
        <w:pStyle w:val="Heading2"/>
        <w:spacing w:before="0" w:after="200"/>
        <w:ind w:left="720"/>
        <w:rPr>
          <w:rStyle w:val="Heading1Char"/>
          <w:rFonts w:ascii="Times New Roman" w:hAnsi="Times New Roman" w:cs="Times New Roman"/>
          <w:b/>
          <w:bCs/>
          <w:color w:val="auto"/>
          <w:sz w:val="24"/>
          <w:szCs w:val="24"/>
        </w:rPr>
      </w:pPr>
      <w:r>
        <w:rPr>
          <w:rFonts w:ascii="Times New Roman" w:eastAsiaTheme="minorHAnsi" w:hAnsi="Times New Roman" w:cs="Times New Roman"/>
          <w:b/>
          <w:bCs/>
          <w:color w:val="000000" w:themeColor="text1"/>
          <w:sz w:val="24"/>
          <w:szCs w:val="24"/>
        </w:rPr>
        <w:t>4.</w:t>
      </w:r>
      <w:r w:rsidR="0071331A" w:rsidRPr="0012317D">
        <w:rPr>
          <w:rStyle w:val="Heading1Char"/>
          <w:rFonts w:ascii="Times New Roman" w:hAnsi="Times New Roman" w:cs="Times New Roman"/>
          <w:b/>
          <w:bCs/>
          <w:color w:val="auto"/>
          <w:sz w:val="24"/>
          <w:szCs w:val="24"/>
        </w:rPr>
        <w:t>Primārās veselības aprūpes sistēmas kvalitātes un pieejamības uzlabošana</w:t>
      </w:r>
    </w:p>
    <w:p w14:paraId="7BF122A0" w14:textId="08A59667" w:rsidR="00E52E9A" w:rsidRPr="00E52E9A" w:rsidRDefault="009E61F2" w:rsidP="00E52E9A">
      <w:pPr>
        <w:pStyle w:val="Heading2"/>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4.1. </w:t>
      </w:r>
      <w:r w:rsidR="00E52E9A">
        <w:rPr>
          <w:rFonts w:ascii="Times New Roman" w:hAnsi="Times New Roman" w:cs="Times New Roman"/>
          <w:b/>
          <w:bCs/>
          <w:color w:val="auto"/>
          <w:sz w:val="24"/>
          <w:szCs w:val="24"/>
          <w:u w:val="single"/>
        </w:rPr>
        <w:t xml:space="preserve">Mērķa kritēriju izpildes iekļaušana kapitācijas </w:t>
      </w:r>
      <w:r w:rsidR="002C1F3B">
        <w:rPr>
          <w:rFonts w:ascii="Times New Roman" w:hAnsi="Times New Roman" w:cs="Times New Roman"/>
          <w:b/>
          <w:bCs/>
          <w:color w:val="auto"/>
          <w:sz w:val="24"/>
          <w:szCs w:val="24"/>
          <w:u w:val="single"/>
        </w:rPr>
        <w:t>naudā</w:t>
      </w:r>
    </w:p>
    <w:p w14:paraId="1FC62387" w14:textId="6695AE65" w:rsidR="006946C3" w:rsidRPr="00E848F1" w:rsidRDefault="006946C3" w:rsidP="00051136">
      <w:pPr>
        <w:spacing w:after="120"/>
        <w:ind w:firstLine="720"/>
        <w:jc w:val="both"/>
        <w:rPr>
          <w:rFonts w:ascii="Times New Roman" w:hAnsi="Times New Roman" w:cs="Times New Roman"/>
          <w:b/>
          <w:sz w:val="24"/>
          <w:szCs w:val="24"/>
        </w:rPr>
      </w:pPr>
      <w:r w:rsidRPr="00CD7DB3">
        <w:rPr>
          <w:rFonts w:ascii="Times New Roman" w:hAnsi="Times New Roman" w:cs="Times New Roman"/>
          <w:sz w:val="24"/>
          <w:szCs w:val="24"/>
        </w:rPr>
        <w:t>Šīs iesāktās reformas ietvaros ir nodrošināta ģimenes ārstu konsultāciju pieejamība iedzīvotājiem rīta un vakara stundās.  2018. gada 9 mēnešos 87% jeb 1 123 ģimenes ārsti ir sasnieguši savās praksēs 50% ikgadēju pacientu veselības stāvokļa novērtēšanas aptveri</w:t>
      </w:r>
      <w:r>
        <w:rPr>
          <w:rFonts w:ascii="Times New Roman" w:hAnsi="Times New Roman" w:cs="Times New Roman"/>
          <w:sz w:val="24"/>
          <w:szCs w:val="24"/>
        </w:rPr>
        <w:t xml:space="preserve">. </w:t>
      </w:r>
      <w:r w:rsidRPr="00E848F1">
        <w:rPr>
          <w:rFonts w:ascii="Times New Roman" w:hAnsi="Times New Roman" w:cs="Times New Roman"/>
          <w:sz w:val="24"/>
          <w:szCs w:val="24"/>
        </w:rPr>
        <w:t xml:space="preserve">Balstoties uz 2018.gada izpildes datiem 2018.gada 10 mēnešos ģimenes ārstiem ir samaksāti 2 822 125 </w:t>
      </w:r>
      <w:r w:rsidRPr="00E848F1">
        <w:rPr>
          <w:rFonts w:ascii="Times New Roman" w:hAnsi="Times New Roman" w:cs="Times New Roman"/>
          <w:i/>
          <w:sz w:val="24"/>
          <w:szCs w:val="24"/>
        </w:rPr>
        <w:t>euro.</w:t>
      </w:r>
    </w:p>
    <w:p w14:paraId="26685A8F" w14:textId="119B882C" w:rsidR="005E2AF2" w:rsidRDefault="006D4384" w:rsidP="00051136">
      <w:pPr>
        <w:spacing w:after="120"/>
        <w:ind w:firstLine="720"/>
        <w:jc w:val="both"/>
        <w:rPr>
          <w:rFonts w:ascii="Times New Roman" w:eastAsia="Times New Roman" w:hAnsi="Times New Roman" w:cs="Times New Roman"/>
          <w:noProof/>
          <w:sz w:val="24"/>
          <w:szCs w:val="24"/>
          <w:lang w:bidi="gu-IN"/>
        </w:rPr>
      </w:pPr>
      <w:r>
        <w:rPr>
          <w:rFonts w:ascii="Times New Roman" w:hAnsi="Times New Roman" w:cs="Times New Roman"/>
          <w:sz w:val="24"/>
          <w:szCs w:val="24"/>
          <w:lang w:eastAsia="lv-LV"/>
        </w:rPr>
        <w:lastRenderedPageBreak/>
        <w:t>2019.gadā ir nepieciešams turpināt iesākto un m</w:t>
      </w:r>
      <w:r w:rsidR="0071331A" w:rsidRPr="00847710">
        <w:rPr>
          <w:rFonts w:ascii="Times New Roman" w:hAnsi="Times New Roman" w:cs="Times New Roman"/>
          <w:sz w:val="24"/>
          <w:szCs w:val="24"/>
          <w:lang w:eastAsia="lv-LV"/>
        </w:rPr>
        <w:t>ērķa</w:t>
      </w:r>
      <w:r w:rsidR="00D62BF6" w:rsidRPr="00847710">
        <w:rPr>
          <w:rFonts w:ascii="Times New Roman" w:hAnsi="Times New Roman" w:cs="Times New Roman"/>
          <w:sz w:val="24"/>
          <w:szCs w:val="24"/>
          <w:lang w:eastAsia="lv-LV"/>
        </w:rPr>
        <w:t xml:space="preserve"> kritēriju iestrādei ģimenes ārstu kapitācijas naudas maksājumā papildus nepieciešams finansējums </w:t>
      </w:r>
      <w:r w:rsidR="006033D8" w:rsidRPr="00847710">
        <w:rPr>
          <w:rFonts w:ascii="Times New Roman" w:hAnsi="Times New Roman" w:cs="Times New Roman"/>
          <w:sz w:val="24"/>
          <w:szCs w:val="24"/>
          <w:lang w:eastAsia="lv-LV"/>
        </w:rPr>
        <w:t xml:space="preserve">3 131 715 </w:t>
      </w:r>
      <w:r w:rsidR="00D62BF6" w:rsidRPr="00E12849">
        <w:rPr>
          <w:rFonts w:ascii="Times New Roman" w:hAnsi="Times New Roman" w:cs="Times New Roman"/>
          <w:i/>
          <w:iCs/>
          <w:sz w:val="24"/>
          <w:szCs w:val="24"/>
          <w:lang w:eastAsia="lv-LV"/>
        </w:rPr>
        <w:t>euro</w:t>
      </w:r>
      <w:r w:rsidR="00D62BF6" w:rsidRPr="00847710">
        <w:rPr>
          <w:rFonts w:ascii="Times New Roman" w:hAnsi="Times New Roman" w:cs="Times New Roman"/>
          <w:sz w:val="24"/>
          <w:szCs w:val="24"/>
          <w:lang w:eastAsia="lv-LV"/>
        </w:rPr>
        <w:t xml:space="preserve"> apmērā.</w:t>
      </w:r>
      <w:r w:rsidR="00BB49CB" w:rsidRPr="00847710">
        <w:rPr>
          <w:rFonts w:ascii="Times New Roman" w:hAnsi="Times New Roman" w:cs="Times New Roman"/>
          <w:sz w:val="24"/>
          <w:szCs w:val="24"/>
          <w:lang w:eastAsia="lv-LV"/>
        </w:rPr>
        <w:t xml:space="preserve"> Mēneša kapitācijas nauda</w:t>
      </w:r>
      <w:r w:rsidR="00EC0217">
        <w:rPr>
          <w:rFonts w:ascii="Times New Roman" w:hAnsi="Times New Roman" w:cs="Times New Roman"/>
          <w:sz w:val="24"/>
          <w:szCs w:val="24"/>
          <w:lang w:eastAsia="lv-LV"/>
        </w:rPr>
        <w:t xml:space="preserve"> 2018.gadā</w:t>
      </w:r>
      <w:r w:rsidR="00BB49CB" w:rsidRPr="00847710">
        <w:rPr>
          <w:rFonts w:ascii="Times New Roman" w:hAnsi="Times New Roman" w:cs="Times New Roman"/>
          <w:sz w:val="24"/>
          <w:szCs w:val="24"/>
          <w:lang w:eastAsia="lv-LV"/>
        </w:rPr>
        <w:t xml:space="preserve"> tik</w:t>
      </w:r>
      <w:r w:rsidR="00EC0217">
        <w:rPr>
          <w:rFonts w:ascii="Times New Roman" w:hAnsi="Times New Roman" w:cs="Times New Roman"/>
          <w:sz w:val="24"/>
          <w:szCs w:val="24"/>
          <w:lang w:eastAsia="lv-LV"/>
        </w:rPr>
        <w:t>a</w:t>
      </w:r>
      <w:r w:rsidR="00BB49CB" w:rsidRPr="00847710">
        <w:rPr>
          <w:rFonts w:ascii="Times New Roman" w:hAnsi="Times New Roman" w:cs="Times New Roman"/>
          <w:sz w:val="24"/>
          <w:szCs w:val="24"/>
          <w:lang w:eastAsia="lv-LV"/>
        </w:rPr>
        <w:t xml:space="preserve"> palielināta par 205.10 </w:t>
      </w:r>
      <w:r w:rsidR="00BB49CB" w:rsidRPr="00E12849">
        <w:rPr>
          <w:rFonts w:ascii="Times New Roman" w:hAnsi="Times New Roman" w:cs="Times New Roman"/>
          <w:i/>
          <w:iCs/>
          <w:sz w:val="24"/>
          <w:szCs w:val="24"/>
          <w:lang w:eastAsia="lv-LV"/>
        </w:rPr>
        <w:t>euro</w:t>
      </w:r>
      <w:r w:rsidR="00BB49CB" w:rsidRPr="00847710">
        <w:rPr>
          <w:rFonts w:ascii="Times New Roman" w:hAnsi="Times New Roman" w:cs="Times New Roman"/>
          <w:sz w:val="24"/>
          <w:szCs w:val="24"/>
          <w:lang w:eastAsia="lv-LV"/>
        </w:rPr>
        <w:t xml:space="preserve">, tādējādi </w:t>
      </w:r>
      <w:r w:rsidR="00BB49CB" w:rsidRPr="00847710">
        <w:rPr>
          <w:rFonts w:ascii="Times New Roman" w:eastAsia="Times New Roman" w:hAnsi="Times New Roman" w:cs="Times New Roman"/>
          <w:noProof/>
          <w:sz w:val="24"/>
          <w:szCs w:val="24"/>
          <w:lang w:bidi="gu-IN"/>
        </w:rPr>
        <w:t xml:space="preserve">nodrošinot kapitācijas naudas pieaugumu par 0,129892 (1.601602 - 1.47171) </w:t>
      </w:r>
      <w:r w:rsidR="00BB49CB" w:rsidRPr="00E12849">
        <w:rPr>
          <w:rFonts w:ascii="Times New Roman" w:eastAsia="Times New Roman" w:hAnsi="Times New Roman" w:cs="Times New Roman"/>
          <w:i/>
          <w:iCs/>
          <w:noProof/>
          <w:sz w:val="24"/>
          <w:szCs w:val="24"/>
          <w:lang w:bidi="gu-IN"/>
        </w:rPr>
        <w:t>euro</w:t>
      </w:r>
      <w:r w:rsidR="00BB49CB" w:rsidRPr="00847710">
        <w:rPr>
          <w:rFonts w:ascii="Times New Roman" w:eastAsia="Times New Roman" w:hAnsi="Times New Roman" w:cs="Times New Roman"/>
          <w:noProof/>
          <w:sz w:val="24"/>
          <w:szCs w:val="24"/>
          <w:lang w:bidi="gu-IN"/>
        </w:rPr>
        <w:t xml:space="preserve"> mēnesī</w:t>
      </w:r>
      <w:r w:rsidR="0071331A">
        <w:rPr>
          <w:rStyle w:val="FootnoteReference"/>
          <w:rFonts w:ascii="Times New Roman" w:eastAsia="Times New Roman" w:hAnsi="Times New Roman" w:cs="Times New Roman"/>
          <w:noProof/>
          <w:sz w:val="24"/>
          <w:szCs w:val="24"/>
          <w:lang w:bidi="gu-IN"/>
        </w:rPr>
        <w:footnoteReference w:id="30"/>
      </w:r>
      <w:r w:rsidR="00BB49CB" w:rsidRPr="00847710">
        <w:rPr>
          <w:rFonts w:ascii="Times New Roman" w:eastAsia="Times New Roman" w:hAnsi="Times New Roman" w:cs="Times New Roman"/>
          <w:noProof/>
          <w:sz w:val="24"/>
          <w:szCs w:val="24"/>
          <w:lang w:bidi="gu-IN"/>
        </w:rPr>
        <w:t>.</w:t>
      </w:r>
      <w:r w:rsidR="005E2AF2">
        <w:rPr>
          <w:rFonts w:ascii="Times New Roman" w:eastAsia="Times New Roman" w:hAnsi="Times New Roman" w:cs="Times New Roman"/>
          <w:noProof/>
          <w:sz w:val="24"/>
          <w:szCs w:val="24"/>
          <w:lang w:bidi="gu-IN"/>
        </w:rPr>
        <w:t xml:space="preserve"> Saskaņā ar 2018.gada 28.augusta Ministru kabineta grozījumiem noteikumos Nr.555 “Veselības aprūpes pakalpojumu organizēšanas un finansēšanas kārtība” un ņemot vērā ārstniecības personu darba samaksas paaugstināšanu 2019.gadā par 20%, arī kapitācijas nauda palielināta no 1,601602 - 1,921918 </w:t>
      </w:r>
      <w:r w:rsidR="005E2AF2" w:rsidRPr="005E2AF2">
        <w:rPr>
          <w:rFonts w:ascii="Times New Roman" w:eastAsia="Times New Roman" w:hAnsi="Times New Roman" w:cs="Times New Roman"/>
          <w:i/>
          <w:noProof/>
          <w:sz w:val="24"/>
          <w:szCs w:val="24"/>
          <w:lang w:bidi="gu-IN"/>
        </w:rPr>
        <w:t>euro</w:t>
      </w:r>
      <w:r w:rsidR="005E2AF2">
        <w:rPr>
          <w:rFonts w:ascii="Times New Roman" w:eastAsia="Times New Roman" w:hAnsi="Times New Roman" w:cs="Times New Roman"/>
          <w:noProof/>
          <w:sz w:val="24"/>
          <w:szCs w:val="24"/>
          <w:lang w:bidi="gu-IN"/>
        </w:rPr>
        <w:t xml:space="preserve"> mēnesī. Darba samaksas paaugstināšanai 2018.gadam un 2019.gadam nav izmantots Eiropas Komisijas pieļautās deficīta atkāpes finansējums.</w:t>
      </w:r>
    </w:p>
    <w:p w14:paraId="2DD0ECA7" w14:textId="2697BE32" w:rsidR="00D362F4" w:rsidRDefault="00BB49CB" w:rsidP="00051136">
      <w:pPr>
        <w:spacing w:after="120"/>
        <w:ind w:firstLine="720"/>
        <w:jc w:val="both"/>
        <w:rPr>
          <w:rFonts w:ascii="Times New Roman" w:eastAsia="Times New Roman" w:hAnsi="Times New Roman" w:cs="Times New Roman"/>
          <w:b/>
          <w:bCs/>
          <w:sz w:val="24"/>
          <w:szCs w:val="24"/>
          <w:lang w:bidi="gu-IN"/>
        </w:rPr>
      </w:pPr>
      <w:r w:rsidRPr="00847710">
        <w:rPr>
          <w:rFonts w:ascii="Times New Roman" w:eastAsia="Times New Roman" w:hAnsi="Times New Roman" w:cs="Times New Roman"/>
          <w:noProof/>
          <w:sz w:val="24"/>
          <w:szCs w:val="24"/>
          <w:lang w:bidi="gu-IN"/>
        </w:rPr>
        <w:t xml:space="preserve"> Atbilstoši kapitācijas pieaugumam aprēķināta kapitācijas naudas palielinājuma ietekme uz valsts budžetu ņemot par pamatu kopējo reģistrēto pacientu skaitu uz </w:t>
      </w:r>
      <w:r w:rsidR="00DC2448">
        <w:rPr>
          <w:rFonts w:ascii="Times New Roman" w:eastAsia="Times New Roman" w:hAnsi="Times New Roman" w:cs="Times New Roman"/>
          <w:noProof/>
          <w:sz w:val="24"/>
          <w:szCs w:val="24"/>
          <w:lang w:bidi="gu-IN"/>
        </w:rPr>
        <w:t>2017.gada 20.augustu</w:t>
      </w:r>
      <w:r w:rsidRPr="00847710">
        <w:rPr>
          <w:rFonts w:ascii="Times New Roman" w:eastAsia="Times New Roman" w:hAnsi="Times New Roman" w:cs="Times New Roman"/>
          <w:noProof/>
          <w:sz w:val="24"/>
          <w:szCs w:val="24"/>
          <w:lang w:bidi="gu-IN"/>
        </w:rPr>
        <w:t xml:space="preserve"> – 2 009 179 pacienti. Attiecīgi </w:t>
      </w:r>
      <w:r w:rsidR="00FC7075">
        <w:rPr>
          <w:rFonts w:ascii="Times New Roman" w:eastAsia="Times New Roman" w:hAnsi="Times New Roman" w:cs="Times New Roman"/>
          <w:noProof/>
          <w:sz w:val="24"/>
          <w:szCs w:val="24"/>
          <w:lang w:bidi="gu-IN"/>
        </w:rPr>
        <w:t xml:space="preserve">2019.gadā </w:t>
      </w:r>
      <w:r w:rsidRPr="00847710">
        <w:rPr>
          <w:rFonts w:ascii="Times New Roman" w:eastAsia="Times New Roman" w:hAnsi="Times New Roman" w:cs="Times New Roman"/>
          <w:noProof/>
          <w:sz w:val="24"/>
          <w:szCs w:val="24"/>
          <w:lang w:bidi="gu-IN"/>
        </w:rPr>
        <w:t>kapitācijas pieaugums mēnesī uz 1 pacientu 0,129892 x kopējais reģistrēto pacientu skaitu 2 009 179 x 12 mēnešiem</w:t>
      </w:r>
      <w:r w:rsidR="00E04AAF" w:rsidRPr="00847710">
        <w:rPr>
          <w:rFonts w:ascii="Times New Roman" w:eastAsia="Times New Roman" w:hAnsi="Times New Roman" w:cs="Times New Roman"/>
          <w:noProof/>
          <w:sz w:val="24"/>
          <w:szCs w:val="24"/>
          <w:lang w:bidi="gu-IN"/>
        </w:rPr>
        <w:t xml:space="preserve"> </w:t>
      </w:r>
      <w:r w:rsidRPr="00847710">
        <w:rPr>
          <w:rFonts w:ascii="Times New Roman" w:eastAsia="Times New Roman" w:hAnsi="Times New Roman" w:cs="Times New Roman"/>
          <w:noProof/>
          <w:sz w:val="24"/>
          <w:szCs w:val="24"/>
          <w:lang w:bidi="gu-IN"/>
        </w:rPr>
        <w:t xml:space="preserve">=  </w:t>
      </w:r>
      <w:r w:rsidRPr="0012317D">
        <w:rPr>
          <w:rFonts w:ascii="Times New Roman" w:eastAsia="Times New Roman" w:hAnsi="Times New Roman" w:cs="Times New Roman"/>
          <w:b/>
          <w:bCs/>
          <w:sz w:val="24"/>
          <w:szCs w:val="24"/>
          <w:lang w:bidi="gu-IN"/>
        </w:rPr>
        <w:t xml:space="preserve">3 131 715 </w:t>
      </w:r>
      <w:r w:rsidRPr="00E12849">
        <w:rPr>
          <w:rFonts w:ascii="Times New Roman" w:eastAsia="Times New Roman" w:hAnsi="Times New Roman" w:cs="Times New Roman"/>
          <w:b/>
          <w:bCs/>
          <w:i/>
          <w:iCs/>
          <w:sz w:val="24"/>
          <w:szCs w:val="24"/>
          <w:lang w:bidi="gu-IN"/>
        </w:rPr>
        <w:t>euro</w:t>
      </w:r>
      <w:r w:rsidRPr="0012317D">
        <w:rPr>
          <w:rFonts w:ascii="Times New Roman" w:eastAsia="Times New Roman" w:hAnsi="Times New Roman" w:cs="Times New Roman"/>
          <w:b/>
          <w:bCs/>
          <w:sz w:val="24"/>
          <w:szCs w:val="24"/>
          <w:lang w:bidi="gu-IN"/>
        </w:rPr>
        <w:t>.</w:t>
      </w:r>
    </w:p>
    <w:p w14:paraId="04CE69DF" w14:textId="77777777" w:rsidR="00E52E9A" w:rsidRDefault="00E52E9A" w:rsidP="00E07E5C">
      <w:pPr>
        <w:spacing w:after="0" w:line="264" w:lineRule="auto"/>
        <w:ind w:firstLine="720"/>
        <w:jc w:val="both"/>
        <w:rPr>
          <w:rFonts w:ascii="Times New Roman" w:eastAsia="Times New Roman" w:hAnsi="Times New Roman" w:cs="Times New Roman"/>
          <w:b/>
          <w:bCs/>
          <w:sz w:val="24"/>
          <w:szCs w:val="24"/>
          <w:lang w:bidi="gu-IN"/>
        </w:rPr>
      </w:pPr>
    </w:p>
    <w:p w14:paraId="0D37D320" w14:textId="728AB8FE" w:rsidR="00E52E9A" w:rsidRPr="00E52E9A" w:rsidRDefault="00E52E9A" w:rsidP="00E52E9A">
      <w:pPr>
        <w:pStyle w:val="Heading2"/>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4.2. Ģimenes ārstu kvalitātes maksājumu sistēmas reforma </w:t>
      </w:r>
    </w:p>
    <w:p w14:paraId="31E049FA" w14:textId="15A34E25" w:rsidR="00B04B00" w:rsidRDefault="0071331A" w:rsidP="00E93259">
      <w:pPr>
        <w:pStyle w:val="xmsolistparagraph"/>
        <w:shd w:val="clear" w:color="auto" w:fill="FFFFFF" w:themeFill="background1"/>
        <w:spacing w:before="0" w:beforeAutospacing="0" w:after="120" w:afterAutospacing="0" w:line="276" w:lineRule="auto"/>
        <w:ind w:firstLine="720"/>
        <w:jc w:val="both"/>
        <w:rPr>
          <w:shd w:val="clear" w:color="auto" w:fill="FFFFFF"/>
        </w:rPr>
      </w:pPr>
      <w:r>
        <w:t>Ģimenes ārstu k</w:t>
      </w:r>
      <w:r w:rsidR="00F46DFD">
        <w:t>valitātes kritēriju izpilde tiek</w:t>
      </w:r>
      <w:r>
        <w:t xml:space="preserve"> </w:t>
      </w:r>
      <w:r w:rsidR="00C201FD">
        <w:t>monitorēta</w:t>
      </w:r>
      <w:r w:rsidR="00F46DFD">
        <w:t xml:space="preserve"> un apmaksa par k</w:t>
      </w:r>
      <w:r w:rsidR="002330A6">
        <w:t>valitātes kritēriju izpildi tiek</w:t>
      </w:r>
      <w:r w:rsidR="00C201FD">
        <w:t xml:space="preserve"> veikta</w:t>
      </w:r>
      <w:r w:rsidR="00B04B00" w:rsidRPr="52B20BA9">
        <w:rPr>
          <w:shd w:val="clear" w:color="auto" w:fill="FFFFFF"/>
        </w:rPr>
        <w:t xml:space="preserve"> tikai ģimenes ārstu praksēm ar izpildītiem kvalitātes kritērijiem. </w:t>
      </w:r>
      <w:r w:rsidR="00B04B00" w:rsidRPr="00E93259">
        <w:rPr>
          <w:shd w:val="clear" w:color="auto" w:fill="FFFFFF"/>
        </w:rPr>
        <w:t xml:space="preserve">Atbilstoši 2018.gada 1.ceturkšņa faktiskajiem rezultātiem 1250 ģimenes ārsti saņēma gada darbības maksājumu 358 864,35 </w:t>
      </w:r>
      <w:r w:rsidR="00B04B00" w:rsidRPr="00E93259">
        <w:rPr>
          <w:i/>
          <w:iCs/>
          <w:shd w:val="clear" w:color="auto" w:fill="FFFFFF"/>
        </w:rPr>
        <w:t>euro</w:t>
      </w:r>
      <w:r w:rsidR="00B04B00">
        <w:rPr>
          <w:shd w:val="clear" w:color="auto" w:fill="FFFFFF"/>
        </w:rPr>
        <w:t xml:space="preserve"> apmērā. Par 2018.gada 2.ceturksni </w:t>
      </w:r>
      <w:r w:rsidR="00B04B00" w:rsidRPr="001D45E8">
        <w:rPr>
          <w:shd w:val="clear" w:color="auto" w:fill="FFFFFF"/>
        </w:rPr>
        <w:t>tika</w:t>
      </w:r>
      <w:r w:rsidR="00B04B00">
        <w:rPr>
          <w:shd w:val="clear" w:color="auto" w:fill="FFFFFF"/>
        </w:rPr>
        <w:t xml:space="preserve"> izmaksāt</w:t>
      </w:r>
      <w:r w:rsidR="00B04B00" w:rsidRPr="001D45E8">
        <w:rPr>
          <w:shd w:val="clear" w:color="auto" w:fill="FFFFFF"/>
        </w:rPr>
        <w:t>i</w:t>
      </w:r>
      <w:r w:rsidR="00B04B00" w:rsidRPr="00E93259">
        <w:rPr>
          <w:shd w:val="clear" w:color="auto" w:fill="FFFFFF"/>
        </w:rPr>
        <w:t xml:space="preserve"> 572 635,68 </w:t>
      </w:r>
      <w:r w:rsidR="00B04B00" w:rsidRPr="00E93259">
        <w:rPr>
          <w:i/>
          <w:iCs/>
          <w:shd w:val="clear" w:color="auto" w:fill="FFFFFF"/>
        </w:rPr>
        <w:t>euro</w:t>
      </w:r>
      <w:r w:rsidR="00B04B00">
        <w:rPr>
          <w:shd w:val="clear" w:color="auto" w:fill="FFFFFF"/>
        </w:rPr>
        <w:t xml:space="preserve">. Pie ģimenes ārsta no jauna reģistrēto pacientu skaits, kuriem izvērtēts veselības stāvoklis ar katru ceturksni pieaug. 2018.gada 1.ceturksnī ģimenes ārsts izvērtēja veselības stāvokli  24 718 no jauna reģistrētajiem pacientiem, savukārt 2018.gada 2.ceturksnī šis skaits ir pieaudzis gandrīz divas reizes sasniedzot 42 815 no jauna reģistrētos pacientus, kas ir ļoti pozitīvi novērtējams fakts. Tāpat arī salīdzinot pa ceturkšņiem pacientu skaits, kuriem veikts slēpto asiņu tests vēža </w:t>
      </w:r>
      <w:r w:rsidR="52B20BA9">
        <w:t>skrīninga ietvaros attiecīgi pirmajā ceturksnī tika veikts skrīninga tests 25 979 pacientiem, savukārt otrajā ceturksnī tie jau bija 49 781 pacienti, līdz ar to ir uzteicama ģimenes ārstu iesaiste savlaicīgas profilakses nodrošināšana iedzīvotāju veselības saglabāšanā un uzlabošanā</w:t>
      </w:r>
      <w:r w:rsidR="52B20BA9" w:rsidRPr="704995BB">
        <w:t>.</w:t>
      </w:r>
    </w:p>
    <w:p w14:paraId="30D665BF" w14:textId="1C170F59" w:rsidR="003C655E" w:rsidRDefault="003C655E" w:rsidP="00E93259">
      <w:pPr>
        <w:pStyle w:val="xmsolistparagraph"/>
        <w:shd w:val="clear" w:color="auto" w:fill="FFFFFF" w:themeFill="background1"/>
        <w:spacing w:before="0" w:beforeAutospacing="0" w:after="120" w:afterAutospacing="0" w:line="276" w:lineRule="auto"/>
        <w:ind w:firstLine="720"/>
        <w:jc w:val="both"/>
        <w:rPr>
          <w:shd w:val="clear" w:color="auto" w:fill="FFFFFF"/>
        </w:rPr>
      </w:pPr>
      <w:r>
        <w:t>Ģimenes ārsta gada darbības novērtējuma maksājums tiek maksāts biežāk (reizi ceturksnī), lai stimulētu ģimenes ārstus izpildīt kritērijus, pievērst viņu uzmanību to izpildei un, lai viņiem būtu laiks rezultātu koriģēšanai</w:t>
      </w:r>
    </w:p>
    <w:p w14:paraId="02618FB2" w14:textId="35020061" w:rsidR="00B24E2A" w:rsidRPr="00E93259" w:rsidRDefault="00B04B00" w:rsidP="00E93259">
      <w:pPr>
        <w:pStyle w:val="xmsolistparagraph"/>
        <w:shd w:val="clear" w:color="auto" w:fill="FFFFFF" w:themeFill="background1"/>
        <w:spacing w:before="0" w:beforeAutospacing="0" w:after="120" w:afterAutospacing="0" w:line="276" w:lineRule="auto"/>
        <w:ind w:firstLine="720"/>
        <w:jc w:val="both"/>
        <w:rPr>
          <w:color w:val="212121"/>
        </w:rPr>
      </w:pPr>
      <w:r>
        <w:t>Savukārt b</w:t>
      </w:r>
      <w:r w:rsidR="64AB90BD">
        <w:t xml:space="preserve">alstoties uz </w:t>
      </w:r>
      <w:r w:rsidR="005149E7">
        <w:t xml:space="preserve">2018.gada </w:t>
      </w:r>
      <w:r w:rsidR="00C02E75">
        <w:t>10</w:t>
      </w:r>
      <w:r>
        <w:t xml:space="preserve"> mēnešu izpildes datiem</w:t>
      </w:r>
      <w:r w:rsidR="005149E7">
        <w:t xml:space="preserve"> ģimenes ārstiem ir samaksāti </w:t>
      </w:r>
      <w:r w:rsidR="006946C3">
        <w:t>1 377 220</w:t>
      </w:r>
      <w:r w:rsidR="00C02E75" w:rsidRPr="704995BB">
        <w:t xml:space="preserve"> </w:t>
      </w:r>
      <w:r w:rsidR="00C02E75" w:rsidRPr="001E4659">
        <w:rPr>
          <w:i/>
          <w:iCs/>
        </w:rPr>
        <w:t>euro</w:t>
      </w:r>
      <w:r w:rsidR="006946C3" w:rsidRPr="004B3A0E">
        <w:rPr>
          <w:i/>
          <w:iCs/>
        </w:rPr>
        <w:t xml:space="preserve">, </w:t>
      </w:r>
      <w:r w:rsidR="006946C3" w:rsidRPr="00766696">
        <w:t>kas ir salīdzinoši mazāk nekā bija sākotnēji plānots</w:t>
      </w:r>
      <w:r w:rsidR="006946C3" w:rsidRPr="704995BB">
        <w:t>.</w:t>
      </w:r>
      <w:r w:rsidR="003C655E" w:rsidRPr="704995BB">
        <w:t xml:space="preserve"> </w:t>
      </w:r>
      <w:r w:rsidR="003C655E">
        <w:t>Plānotā finansējuma gala izpildi varēs novērtēt pēc 2018.gada 12 mēnešiem, kad tiks izvērtēta ģimenes ārstu gada kvalitātes kritēriju izpilde 12 mēnešos.</w:t>
      </w:r>
      <w:r w:rsidR="00E62820" w:rsidRPr="704995BB">
        <w:t xml:space="preserve"> </w:t>
      </w:r>
      <w:r w:rsidR="003C655E">
        <w:t xml:space="preserve">Ģimenes ārstiem, kas nav sasnieguši mērķa </w:t>
      </w:r>
      <w:r w:rsidR="003C655E">
        <w:lastRenderedPageBreak/>
        <w:t xml:space="preserve">kritērijus </w:t>
      </w:r>
      <w:r w:rsidR="003C655E" w:rsidRPr="00970D94">
        <w:t>ģi</w:t>
      </w:r>
      <w:r w:rsidR="003C655E">
        <w:t xml:space="preserve">menes ārsta gada darbības novērtējumu samaksa netiek </w:t>
      </w:r>
      <w:r w:rsidR="00E62820">
        <w:t>pārskaitīta.</w:t>
      </w:r>
      <w:r w:rsidR="002F6582">
        <w:t xml:space="preserve"> </w:t>
      </w:r>
      <w:r w:rsidR="006946C3">
        <w:t>Līdz</w:t>
      </w:r>
      <w:r w:rsidR="00E62820">
        <w:t xml:space="preserve"> ar to var secināt, ka ir jāturpina</w:t>
      </w:r>
      <w:r w:rsidR="006946C3">
        <w:t xml:space="preserve"> darb</w:t>
      </w:r>
      <w:r w:rsidR="00F24059">
        <w:t>s</w:t>
      </w:r>
      <w:r w:rsidR="00E62820">
        <w:t xml:space="preserve"> pie </w:t>
      </w:r>
      <w:r w:rsidR="00F24059">
        <w:t>reformas pasākuma veicināšanas</w:t>
      </w:r>
      <w:r w:rsidR="64AB90BD">
        <w:t xml:space="preserve"> un iedzīvināšanas dzīvē.</w:t>
      </w:r>
      <w:r w:rsidR="64AB90BD" w:rsidRPr="00E93259">
        <w:t xml:space="preserve"> </w:t>
      </w:r>
    </w:p>
    <w:p w14:paraId="2540F4C9" w14:textId="39365A79" w:rsidR="00B24E2A" w:rsidRPr="00E93259" w:rsidRDefault="64AB90BD" w:rsidP="00E93259">
      <w:pPr>
        <w:pStyle w:val="xmsolistparagraph"/>
        <w:numPr>
          <w:ilvl w:val="0"/>
          <w:numId w:val="22"/>
        </w:numPr>
        <w:shd w:val="clear" w:color="auto" w:fill="FFFFFF" w:themeFill="background1"/>
        <w:spacing w:before="0" w:beforeAutospacing="0" w:after="0" w:afterAutospacing="0" w:line="276" w:lineRule="auto"/>
        <w:jc w:val="both"/>
        <w:rPr>
          <w:color w:val="212121"/>
        </w:rPr>
      </w:pPr>
      <w:r w:rsidRPr="64AB90BD">
        <w:rPr>
          <w:color w:val="212121"/>
        </w:rPr>
        <w:t>maksājumu par sirds un asinsvadu slimību profilakses kārtības nodrošināšanu ģimenes ārstu praksēs ar mērķi motivēt ģimenes ārstu prakses iesaistīt plašāku pacientu loku izveidotā programmā, kas nodrošinātu sirds un asinsvadu slimību agrīnu diagnostiku pacientiem un līdz ar to savlaicīgāku šo slimību profilakses pasākumu un ārstēšanas uzsākšanu no 2019. gada  1.</w:t>
      </w:r>
      <w:r w:rsidR="52B20BA9" w:rsidRPr="00E93259">
        <w:rPr>
          <w:color w:val="212121"/>
        </w:rPr>
        <w:t>aprīļa.</w:t>
      </w:r>
    </w:p>
    <w:p w14:paraId="052733ED" w14:textId="77777777" w:rsidR="00BD420E" w:rsidRPr="00E93259" w:rsidRDefault="64AB90BD" w:rsidP="00E93259">
      <w:pPr>
        <w:pStyle w:val="xmsolistparagraph"/>
        <w:numPr>
          <w:ilvl w:val="0"/>
          <w:numId w:val="22"/>
        </w:numPr>
        <w:shd w:val="clear" w:color="auto" w:fill="FFFFFF" w:themeFill="background1"/>
        <w:spacing w:before="0" w:beforeAutospacing="0" w:after="0" w:afterAutospacing="0" w:line="276" w:lineRule="auto"/>
        <w:jc w:val="both"/>
        <w:rPr>
          <w:color w:val="212121"/>
        </w:rPr>
      </w:pPr>
      <w:r w:rsidRPr="64AB90BD">
        <w:rPr>
          <w:color w:val="212121"/>
        </w:rPr>
        <w:t>maksājumu  par cukura diabēta pacientu aprūpi pēc noteiktiem slimības diagnostikas un uzraudzības algoritmiem. Kas rezultātā nodrošinātu, ka šīs grupas pacientu uzraudzība tiktu veikta sistemātiskāk un attālinātas slimības komplikācijas. Maksājuma mērķis,  ģimenes ārstu prakses motivēt veikt rūpīgu cukura diabēta pacientu uzraudzību no 2019. gada  1. aprīļa</w:t>
      </w:r>
      <w:r w:rsidRPr="704995BB">
        <w:t>.</w:t>
      </w:r>
    </w:p>
    <w:p w14:paraId="627CEA86" w14:textId="77777777" w:rsidR="00FA2A06" w:rsidRPr="00E93259" w:rsidRDefault="00FA2A06" w:rsidP="00E93259">
      <w:pPr>
        <w:pStyle w:val="xmsolistparagraph"/>
        <w:shd w:val="clear" w:color="auto" w:fill="FFFFFF" w:themeFill="background1"/>
        <w:spacing w:before="0" w:beforeAutospacing="0" w:after="120" w:afterAutospacing="0" w:line="276" w:lineRule="auto"/>
        <w:ind w:left="357" w:firstLine="720"/>
        <w:jc w:val="both"/>
        <w:rPr>
          <w:color w:val="212121"/>
        </w:rPr>
      </w:pPr>
    </w:p>
    <w:p w14:paraId="6EA49A53" w14:textId="43869433" w:rsidR="009E62EB" w:rsidRDefault="64AB90BD" w:rsidP="00E93259">
      <w:pPr>
        <w:pStyle w:val="xmsolistparagraph"/>
        <w:shd w:val="clear" w:color="auto" w:fill="FFFFFF" w:themeFill="background1"/>
        <w:spacing w:before="0" w:beforeAutospacing="0" w:after="120" w:afterAutospacing="0" w:line="276" w:lineRule="auto"/>
        <w:ind w:firstLine="720"/>
        <w:jc w:val="both"/>
      </w:pPr>
      <w:r w:rsidRPr="64AB90BD">
        <w:rPr>
          <w:color w:val="212121"/>
        </w:rPr>
        <w:t xml:space="preserve">Mērķa kritēriju iestrādei ģimenes ārstu </w:t>
      </w:r>
      <w:r w:rsidRPr="00E93259">
        <w:rPr>
          <w:color w:val="212121"/>
        </w:rPr>
        <w:t>kapitācijas naudas maksājumā papildus nepieciešams finansējums</w:t>
      </w:r>
      <w:r w:rsidRPr="00E93259">
        <w:t xml:space="preserve"> </w:t>
      </w:r>
      <w:r w:rsidRPr="00E93259">
        <w:rPr>
          <w:b/>
          <w:bCs/>
        </w:rPr>
        <w:t xml:space="preserve">3 729 362 </w:t>
      </w:r>
      <w:r w:rsidRPr="00E93259">
        <w:rPr>
          <w:b/>
          <w:bCs/>
          <w:i/>
          <w:iCs/>
        </w:rPr>
        <w:t>euro</w:t>
      </w:r>
      <w:r>
        <w:t xml:space="preserve"> apmērā, no tiem 250 </w:t>
      </w:r>
      <w:r w:rsidRPr="704995BB">
        <w:rPr>
          <w:i/>
          <w:iCs/>
        </w:rPr>
        <w:t>euro</w:t>
      </w:r>
      <w:r w:rsidRPr="00E93259">
        <w:t xml:space="preserve"> * 650 ģimenes ārsti * 3 maksājumi = 487 500 </w:t>
      </w:r>
      <w:r w:rsidRPr="00E93259">
        <w:rPr>
          <w:i/>
          <w:iCs/>
        </w:rPr>
        <w:t xml:space="preserve">euro </w:t>
      </w:r>
      <w:r w:rsidR="52B20BA9" w:rsidRPr="00E93259">
        <w:rPr>
          <w:color w:val="212121"/>
        </w:rPr>
        <w:t xml:space="preserve">maksājumu par sirds un asinsvadu slimību profilakses kārtības nodrošināšanu ģimenes ārstu praksēs. Maksājumam  par cukura diabēta pacientu aprūpi pēc noteiktiem slimības diagnostikas un uzraudzības algoritmiem nepieciešami 593 374 </w:t>
      </w:r>
      <w:r w:rsidR="52B20BA9" w:rsidRPr="00E93259">
        <w:rPr>
          <w:i/>
          <w:iCs/>
          <w:color w:val="212121"/>
        </w:rPr>
        <w:t>euro</w:t>
      </w:r>
      <w:r w:rsidR="52B20BA9">
        <w:t xml:space="preserve"> = 27 471 pacienti * 2,4 * 9 mēneši.</w:t>
      </w:r>
    </w:p>
    <w:p w14:paraId="1E9DB8C3" w14:textId="7CBD596C" w:rsidR="00E045C2" w:rsidRPr="00E93259" w:rsidRDefault="64AB90BD" w:rsidP="00E93259">
      <w:pPr>
        <w:pStyle w:val="xmsolistparagraph"/>
        <w:shd w:val="clear" w:color="auto" w:fill="FFFFFF" w:themeFill="background1"/>
        <w:spacing w:before="0" w:beforeAutospacing="0" w:after="120" w:afterAutospacing="0" w:line="276" w:lineRule="auto"/>
        <w:ind w:firstLine="720"/>
        <w:jc w:val="both"/>
        <w:rPr>
          <w:color w:val="212121"/>
        </w:rPr>
      </w:pPr>
      <w:r w:rsidRPr="64AB90BD">
        <w:rPr>
          <w:color w:val="212121"/>
        </w:rPr>
        <w:t>P</w:t>
      </w:r>
      <w:r w:rsidRPr="1EAC3D9D">
        <w:rPr>
          <w:color w:val="212121"/>
        </w:rPr>
        <w:t xml:space="preserve">apildus 2019.gadā ir plānots palielināt maksājumu par ģimenes ārsta pacientu reģistrā reģistrētajiem pacientiem ar savlaicīgi atklātu vēzi 1.vai 2.stadijā no 71.14 </w:t>
      </w:r>
      <w:r w:rsidRPr="704995BB">
        <w:rPr>
          <w:i/>
          <w:iCs/>
          <w:color w:val="212121"/>
        </w:rPr>
        <w:t>euro</w:t>
      </w:r>
      <w:r w:rsidRPr="1EAC3D9D">
        <w:rPr>
          <w:color w:val="212121"/>
        </w:rPr>
        <w:t xml:space="preserve"> uz 75.00 </w:t>
      </w:r>
      <w:r w:rsidRPr="704995BB">
        <w:rPr>
          <w:i/>
          <w:iCs/>
          <w:color w:val="212121"/>
        </w:rPr>
        <w:t>euro</w:t>
      </w:r>
      <w:r w:rsidRPr="1EAC3D9D">
        <w:rPr>
          <w:color w:val="212121"/>
        </w:rPr>
        <w:t xml:space="preserve">. Papildus šīs starpības izlīdzināšanai ir </w:t>
      </w:r>
      <w:r w:rsidRPr="00C940C9">
        <w:rPr>
          <w:color w:val="212121"/>
        </w:rPr>
        <w:t xml:space="preserve">nepieciešami 19 593 </w:t>
      </w:r>
      <w:r w:rsidRPr="704995BB">
        <w:rPr>
          <w:i/>
          <w:iCs/>
          <w:color w:val="212121"/>
        </w:rPr>
        <w:t>euro</w:t>
      </w:r>
      <w:r w:rsidR="00766696" w:rsidRPr="704995BB">
        <w:rPr>
          <w:i/>
          <w:iCs/>
          <w:color w:val="212121"/>
        </w:rPr>
        <w:t xml:space="preserve"> </w:t>
      </w:r>
      <w:r w:rsidR="00766696" w:rsidRPr="001E4659">
        <w:rPr>
          <w:color w:val="212121"/>
        </w:rPr>
        <w:t xml:space="preserve">(3,86*5076=19 593 </w:t>
      </w:r>
      <w:r w:rsidR="00766696" w:rsidRPr="704995BB">
        <w:rPr>
          <w:i/>
          <w:iCs/>
          <w:color w:val="212121"/>
        </w:rPr>
        <w:t>euro</w:t>
      </w:r>
      <w:r w:rsidR="00766696" w:rsidRPr="001E4659">
        <w:rPr>
          <w:color w:val="212121"/>
        </w:rPr>
        <w:t>)</w:t>
      </w:r>
      <w:r w:rsidRPr="00766696">
        <w:rPr>
          <w:color w:val="212121"/>
        </w:rPr>
        <w:t>.</w:t>
      </w:r>
      <w:r w:rsidRPr="64AB90BD">
        <w:rPr>
          <w:color w:val="212121"/>
        </w:rPr>
        <w:t xml:space="preserve"> </w:t>
      </w:r>
    </w:p>
    <w:p w14:paraId="6D23ED90" w14:textId="5ED8AA27" w:rsidR="00A12105" w:rsidRPr="00E93259" w:rsidRDefault="64AB90BD" w:rsidP="00E93259">
      <w:pPr>
        <w:pStyle w:val="xmsolistparagraph"/>
        <w:shd w:val="clear" w:color="auto" w:fill="FFFFFF" w:themeFill="background1"/>
        <w:spacing w:before="0" w:beforeAutospacing="0" w:after="120" w:afterAutospacing="0" w:line="276" w:lineRule="auto"/>
        <w:ind w:firstLine="720"/>
        <w:jc w:val="both"/>
        <w:rPr>
          <w:color w:val="212121"/>
        </w:rPr>
      </w:pPr>
      <w:r w:rsidRPr="64AB90BD">
        <w:rPr>
          <w:color w:val="212121"/>
        </w:rPr>
        <w:t xml:space="preserve">Kvalitātes sistēmas ieviešanai plānotais finansējums 2 628 895 </w:t>
      </w:r>
      <w:r w:rsidRPr="704995BB">
        <w:rPr>
          <w:i/>
          <w:iCs/>
          <w:color w:val="212121"/>
        </w:rPr>
        <w:t>euro</w:t>
      </w:r>
      <w:r w:rsidRPr="64AB90BD">
        <w:rPr>
          <w:color w:val="212121"/>
        </w:rPr>
        <w:t xml:space="preserve">, </w:t>
      </w:r>
      <w:r>
        <w:t>1 299 (ģimenes ārstu skaits līgumattiecībās ar NVD uz 2018.gada 30.augustu) ģimenes ārsta praksēm</w:t>
      </w:r>
      <w:r w:rsidR="008C63CD">
        <w:t xml:space="preserve"> </w:t>
      </w:r>
      <w:r w:rsidRPr="00C940C9">
        <w:t>gadā</w:t>
      </w:r>
      <w:r>
        <w:t xml:space="preserve">, kas tiks novirzīts 4 ceturkšņu kvalitātes kritēriju izpildei, iekļaujot trīs maksājumus par 2018.gada 4.ceturkšņa izpildes rādītājiem, vērtējot rādītāju izpildi 1 reizi ceturksnī. </w:t>
      </w:r>
    </w:p>
    <w:p w14:paraId="24DA83DB" w14:textId="2DEE59F0" w:rsidR="005C1FEA" w:rsidRDefault="0071331A" w:rsidP="00051136">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Kopumā ģimenes ārstu kvalitātes sistēma</w:t>
      </w:r>
      <w:r w:rsidR="00E356C4" w:rsidRPr="00847710">
        <w:rPr>
          <w:rFonts w:ascii="Times New Roman" w:hAnsi="Times New Roman" w:cs="Times New Roman"/>
          <w:sz w:val="24"/>
          <w:szCs w:val="24"/>
          <w:lang w:eastAsia="lv-LV"/>
        </w:rPr>
        <w:t>s re</w:t>
      </w:r>
      <w:r w:rsidR="00835B5A" w:rsidRPr="00847710">
        <w:rPr>
          <w:rFonts w:ascii="Times New Roman" w:hAnsi="Times New Roman" w:cs="Times New Roman"/>
          <w:sz w:val="24"/>
          <w:szCs w:val="24"/>
          <w:lang w:eastAsia="lv-LV"/>
        </w:rPr>
        <w:t>fo</w:t>
      </w:r>
      <w:r w:rsidR="00E356C4" w:rsidRPr="00847710">
        <w:rPr>
          <w:rFonts w:ascii="Times New Roman" w:hAnsi="Times New Roman" w:cs="Times New Roman"/>
          <w:sz w:val="24"/>
          <w:szCs w:val="24"/>
          <w:lang w:eastAsia="lv-LV"/>
        </w:rPr>
        <w:t>rmai</w:t>
      </w:r>
      <w:r w:rsidRPr="00847710">
        <w:rPr>
          <w:rFonts w:ascii="Times New Roman" w:hAnsi="Times New Roman" w:cs="Times New Roman"/>
          <w:sz w:val="24"/>
          <w:szCs w:val="24"/>
          <w:lang w:eastAsia="lv-LV"/>
        </w:rPr>
        <w:t xml:space="preserve"> 201</w:t>
      </w:r>
      <w:r w:rsidR="00B873A8">
        <w:rPr>
          <w:rFonts w:ascii="Times New Roman" w:hAnsi="Times New Roman" w:cs="Times New Roman"/>
          <w:sz w:val="24"/>
          <w:szCs w:val="24"/>
          <w:lang w:eastAsia="lv-LV"/>
        </w:rPr>
        <w:t>9</w:t>
      </w:r>
      <w:r w:rsidRPr="00847710">
        <w:rPr>
          <w:rFonts w:ascii="Times New Roman" w:hAnsi="Times New Roman" w:cs="Times New Roman"/>
          <w:sz w:val="24"/>
          <w:szCs w:val="24"/>
          <w:lang w:eastAsia="lv-LV"/>
        </w:rPr>
        <w:t xml:space="preserve">.gadā papildus plānots novirzīt </w:t>
      </w:r>
      <w:r w:rsidR="001924AC">
        <w:rPr>
          <w:rFonts w:ascii="Times New Roman" w:hAnsi="Times New Roman" w:cs="Times New Roman"/>
          <w:sz w:val="24"/>
          <w:szCs w:val="24"/>
          <w:lang w:eastAsia="lv-LV"/>
        </w:rPr>
        <w:t>6 861 077</w:t>
      </w:r>
      <w:r w:rsidRPr="00847710">
        <w:rPr>
          <w:rFonts w:ascii="Times New Roman" w:hAnsi="Times New Roman" w:cs="Times New Roman"/>
          <w:sz w:val="24"/>
          <w:szCs w:val="24"/>
          <w:lang w:eastAsia="lv-LV"/>
        </w:rPr>
        <w:t xml:space="preserve"> </w:t>
      </w:r>
      <w:r w:rsidRPr="00DC2448">
        <w:rPr>
          <w:rFonts w:ascii="Times New Roman" w:hAnsi="Times New Roman" w:cs="Times New Roman"/>
          <w:i/>
          <w:sz w:val="24"/>
          <w:szCs w:val="24"/>
          <w:lang w:eastAsia="lv-LV"/>
        </w:rPr>
        <w:t>euro</w:t>
      </w:r>
      <w:r w:rsidR="001924AC">
        <w:rPr>
          <w:rFonts w:ascii="Times New Roman" w:hAnsi="Times New Roman" w:cs="Times New Roman"/>
          <w:sz w:val="24"/>
          <w:szCs w:val="24"/>
          <w:lang w:eastAsia="lv-LV"/>
        </w:rPr>
        <w:t xml:space="preserve">, lai </w:t>
      </w:r>
      <w:r w:rsidR="001924AC" w:rsidRPr="001924AC">
        <w:rPr>
          <w:rFonts w:ascii="Times New Roman" w:hAnsi="Times New Roman" w:cs="Times New Roman"/>
          <w:sz w:val="24"/>
          <w:szCs w:val="24"/>
          <w:lang w:eastAsia="lv-LV"/>
        </w:rPr>
        <w:t xml:space="preserve">turpinātu </w:t>
      </w:r>
      <w:r w:rsidR="001924AC" w:rsidRPr="001924AC">
        <w:rPr>
          <w:rFonts w:ascii="Times New Roman" w:hAnsi="Times New Roman"/>
          <w:bCs/>
          <w:sz w:val="24"/>
          <w:szCs w:val="24"/>
          <w:lang w:eastAsia="lv-LV"/>
        </w:rPr>
        <w:t>ģimenes ārstu darba kvalitātes rādītāju pārskatīšan</w:t>
      </w:r>
      <w:r w:rsidR="00711F1D">
        <w:rPr>
          <w:rFonts w:ascii="Times New Roman" w:hAnsi="Times New Roman"/>
          <w:bCs/>
          <w:sz w:val="24"/>
          <w:szCs w:val="24"/>
          <w:lang w:eastAsia="lv-LV"/>
        </w:rPr>
        <w:t>u</w:t>
      </w:r>
      <w:r w:rsidR="001924AC" w:rsidRPr="001924AC">
        <w:rPr>
          <w:rFonts w:ascii="Times New Roman" w:hAnsi="Times New Roman"/>
          <w:bCs/>
          <w:sz w:val="24"/>
          <w:szCs w:val="24"/>
          <w:lang w:eastAsia="lv-LV"/>
        </w:rPr>
        <w:t xml:space="preserve"> un uz pacientu un darba rezultātu vērstas motivācijas sistēmas izveide, kas sekmēs tieši primārās veselības aprūpes  kā veselības aprūpes sistēmas pamata attīstību, it īpaši plānotā dalītā veselības aprūpes pakalpojumu klāsta kontekstā, kas paredzēts veselības aprūpes finansēšanas likumā</w:t>
      </w:r>
      <w:r w:rsidRPr="001924AC">
        <w:rPr>
          <w:rFonts w:ascii="Times New Roman" w:hAnsi="Times New Roman" w:cs="Times New Roman"/>
          <w:sz w:val="24"/>
          <w:szCs w:val="24"/>
          <w:lang w:eastAsia="lv-LV"/>
        </w:rPr>
        <w:t>.</w:t>
      </w:r>
    </w:p>
    <w:p w14:paraId="371D212C" w14:textId="77777777" w:rsidR="00711F1D" w:rsidRPr="001924AC" w:rsidRDefault="00711F1D" w:rsidP="001924AC">
      <w:pPr>
        <w:spacing w:after="0" w:line="240" w:lineRule="auto"/>
        <w:ind w:firstLine="720"/>
        <w:jc w:val="both"/>
        <w:rPr>
          <w:rFonts w:ascii="Times New Roman" w:hAnsi="Times New Roman" w:cs="Times New Roman"/>
          <w:sz w:val="24"/>
          <w:szCs w:val="24"/>
          <w:lang w:eastAsia="lv-LV"/>
        </w:rPr>
      </w:pPr>
    </w:p>
    <w:p w14:paraId="6E013F79" w14:textId="0E1262EC" w:rsidR="00D85887" w:rsidRPr="00DA3A33" w:rsidRDefault="0071331A" w:rsidP="00DA3A33">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4.</w:t>
      </w:r>
      <w:r w:rsidR="00E52E9A">
        <w:rPr>
          <w:rFonts w:ascii="Times New Roman" w:hAnsi="Times New Roman" w:cs="Times New Roman"/>
          <w:b/>
          <w:bCs/>
          <w:color w:val="auto"/>
          <w:sz w:val="24"/>
          <w:szCs w:val="24"/>
          <w:u w:val="single"/>
        </w:rPr>
        <w:t>3</w:t>
      </w:r>
      <w:r w:rsidRPr="0012317D">
        <w:rPr>
          <w:rFonts w:ascii="Times New Roman" w:hAnsi="Times New Roman" w:cs="Times New Roman"/>
          <w:b/>
          <w:bCs/>
          <w:color w:val="auto"/>
          <w:sz w:val="24"/>
          <w:szCs w:val="24"/>
          <w:u w:val="single"/>
        </w:rPr>
        <w:t xml:space="preserve">. </w:t>
      </w:r>
      <w:r w:rsidR="001B3EAA">
        <w:rPr>
          <w:rFonts w:ascii="Times New Roman" w:hAnsi="Times New Roman" w:cs="Times New Roman"/>
          <w:b/>
          <w:bCs/>
          <w:color w:val="auto"/>
          <w:sz w:val="24"/>
          <w:szCs w:val="24"/>
          <w:u w:val="single"/>
        </w:rPr>
        <w:t>B</w:t>
      </w:r>
      <w:r w:rsidR="005E1FB0" w:rsidRPr="00901A9F">
        <w:rPr>
          <w:rFonts w:ascii="Times New Roman" w:hAnsi="Times New Roman" w:cs="Times New Roman"/>
          <w:b/>
          <w:bCs/>
          <w:color w:val="auto"/>
          <w:sz w:val="24"/>
          <w:szCs w:val="24"/>
          <w:u w:val="single"/>
        </w:rPr>
        <w:t>ērnu zobārstniecības pieejamības uzlabošana</w:t>
      </w:r>
    </w:p>
    <w:p w14:paraId="326320F1" w14:textId="77777777" w:rsidR="00725ED6" w:rsidRDefault="009A1708" w:rsidP="00E93259">
      <w:pPr>
        <w:spacing w:after="120"/>
        <w:ind w:firstLine="720"/>
        <w:jc w:val="both"/>
        <w:textAlignment w:val="baseline"/>
        <w:rPr>
          <w:rFonts w:ascii="Segoe UI" w:eastAsia="Times New Roman" w:hAnsi="Segoe UI" w:cs="Segoe UI"/>
          <w:sz w:val="18"/>
          <w:szCs w:val="18"/>
          <w:lang w:eastAsia="lv-LV"/>
        </w:rPr>
      </w:pPr>
      <w:r w:rsidRPr="009A1708">
        <w:rPr>
          <w:rFonts w:ascii="Times New Roman" w:eastAsia="Times New Roman" w:hAnsi="Times New Roman" w:cs="Times New Roman"/>
          <w:color w:val="000000"/>
          <w:sz w:val="24"/>
          <w:szCs w:val="24"/>
          <w:lang w:eastAsia="lv-LV"/>
        </w:rPr>
        <w:t xml:space="preserve">Atbilstoši Dienestu līgumā esošo zobārstniecības iestāžu iesniegtajai informācijai Dienests ir veicis datu analīzi par īsākajiem, vidējiem un garākajiem gaidīšanas laikiem visās līgumiestādēs uz 2018. gada 1. jūliju un uz 2018. gada 1. novembri. Pamatojoties uz pieejamiem datiem, gaidīšanas laiks uz zobārstniecības un zobu higiēnas pakalpojumiem </w:t>
      </w:r>
      <w:r w:rsidRPr="009A1708">
        <w:rPr>
          <w:rFonts w:ascii="Times New Roman" w:eastAsia="Times New Roman" w:hAnsi="Times New Roman" w:cs="Times New Roman"/>
          <w:color w:val="000000"/>
          <w:sz w:val="24"/>
          <w:szCs w:val="24"/>
          <w:lang w:eastAsia="lv-LV"/>
        </w:rPr>
        <w:lastRenderedPageBreak/>
        <w:t>uz 2018.gada 1.novembri salīdzinājumā ar 2018.gada 1.jūliju ir samazinājies, zobārstniecības un zobu higiēnas pakalpojumu saņemšanai par apmēram 5%.</w:t>
      </w:r>
      <w:r w:rsidRPr="009A1708">
        <w:rPr>
          <w:rFonts w:ascii="Times New Roman" w:eastAsia="Times New Roman" w:hAnsi="Times New Roman" w:cs="Times New Roman"/>
          <w:sz w:val="24"/>
          <w:szCs w:val="24"/>
          <w:lang w:eastAsia="lv-LV"/>
        </w:rPr>
        <w:t> </w:t>
      </w:r>
    </w:p>
    <w:p w14:paraId="7418C15A" w14:textId="77777777" w:rsidR="00E61E9C" w:rsidRDefault="009A1708" w:rsidP="00E93259">
      <w:pPr>
        <w:spacing w:after="120"/>
        <w:ind w:firstLine="720"/>
        <w:jc w:val="both"/>
        <w:textAlignment w:val="baseline"/>
        <w:rPr>
          <w:rFonts w:ascii="Times New Roman" w:eastAsia="Times New Roman" w:hAnsi="Times New Roman" w:cs="Times New Roman"/>
          <w:sz w:val="24"/>
          <w:szCs w:val="24"/>
          <w:lang w:eastAsia="lv-LV"/>
        </w:rPr>
      </w:pPr>
      <w:r w:rsidRPr="009A1708">
        <w:rPr>
          <w:rFonts w:ascii="Times New Roman" w:eastAsia="Times New Roman" w:hAnsi="Times New Roman" w:cs="Times New Roman"/>
          <w:color w:val="000000"/>
          <w:sz w:val="24"/>
          <w:szCs w:val="24"/>
          <w:lang w:eastAsia="lv-LV"/>
        </w:rPr>
        <w:t>2018. gadā laikā tika izbeigti 5 zobārstniecības līgumi un tika noslēgti 11 jauni līgumi “Par zobārstniecības pakalpojumu sniegšanu un apmaksu”. Kopumā līgumu skaits, zobārstniecības iestāžu skaits, zobārstu un zobu higiēnistu skaits ir audzis, salīdzinot ar 2018. gada sākumu.</w:t>
      </w:r>
      <w:r w:rsidRPr="009A1708">
        <w:rPr>
          <w:rFonts w:ascii="Times New Roman" w:eastAsia="Times New Roman" w:hAnsi="Times New Roman" w:cs="Times New Roman"/>
          <w:sz w:val="24"/>
          <w:szCs w:val="24"/>
          <w:lang w:eastAsia="lv-LV"/>
        </w:rPr>
        <w:t> </w:t>
      </w:r>
    </w:p>
    <w:p w14:paraId="5C3DA8F1" w14:textId="7EC559F3" w:rsidR="00725ED6" w:rsidRDefault="009A1708" w:rsidP="00E93259">
      <w:pPr>
        <w:spacing w:after="120"/>
        <w:ind w:firstLine="720"/>
        <w:jc w:val="both"/>
        <w:textAlignment w:val="baseline"/>
        <w:rPr>
          <w:rFonts w:ascii="Segoe UI" w:eastAsia="Times New Roman" w:hAnsi="Segoe UI" w:cs="Segoe UI"/>
          <w:sz w:val="18"/>
          <w:szCs w:val="18"/>
          <w:lang w:eastAsia="lv-LV"/>
        </w:rPr>
      </w:pPr>
      <w:r w:rsidRPr="009A1708">
        <w:rPr>
          <w:rFonts w:ascii="Times New Roman" w:eastAsia="Times New Roman" w:hAnsi="Times New Roman" w:cs="Times New Roman"/>
          <w:color w:val="000000"/>
          <w:sz w:val="24"/>
          <w:szCs w:val="24"/>
          <w:lang w:eastAsia="lv-LV"/>
        </w:rPr>
        <w:t>Ar papildus piešķirto finansējumu zobārstniecībai ir izdevies ne tikai noturēt pakalpojumu sniedzējus un noslēgt jaunus līgumus, bet arī uz 2018. gada beigām samazināt gaidīšanas rindu garumu zobārstniecības un zobu higiēnas pakalpojumu saņemšanai.</w:t>
      </w:r>
      <w:r w:rsidRPr="009A1708">
        <w:rPr>
          <w:rFonts w:ascii="Times New Roman" w:eastAsia="Times New Roman" w:hAnsi="Times New Roman" w:cs="Times New Roman"/>
          <w:sz w:val="24"/>
          <w:szCs w:val="24"/>
          <w:lang w:eastAsia="lv-LV"/>
        </w:rPr>
        <w:t> </w:t>
      </w:r>
      <w:r w:rsidR="00725ED6">
        <w:rPr>
          <w:rFonts w:ascii="Segoe UI" w:eastAsia="Times New Roman" w:hAnsi="Segoe UI" w:cs="Segoe UI"/>
          <w:sz w:val="18"/>
          <w:szCs w:val="18"/>
          <w:lang w:eastAsia="lv-LV"/>
        </w:rPr>
        <w:t xml:space="preserve"> </w:t>
      </w:r>
    </w:p>
    <w:p w14:paraId="0CFFEE79" w14:textId="39BAFFF3" w:rsidR="00725ED6" w:rsidRDefault="009A1708" w:rsidP="00E93259">
      <w:pPr>
        <w:spacing w:after="120"/>
        <w:ind w:firstLine="720"/>
        <w:jc w:val="both"/>
        <w:textAlignment w:val="baseline"/>
        <w:rPr>
          <w:rFonts w:ascii="Times New Roman" w:eastAsia="Times New Roman" w:hAnsi="Times New Roman" w:cs="Times New Roman"/>
          <w:sz w:val="24"/>
          <w:szCs w:val="24"/>
          <w:lang w:eastAsia="lv-LV"/>
        </w:rPr>
      </w:pPr>
      <w:r w:rsidRPr="009A1708">
        <w:rPr>
          <w:rFonts w:ascii="Times New Roman" w:eastAsia="Times New Roman" w:hAnsi="Times New Roman" w:cs="Times New Roman"/>
          <w:sz w:val="24"/>
          <w:szCs w:val="24"/>
          <w:lang w:eastAsia="lv-LV"/>
        </w:rPr>
        <w:t>Ar papildus finansējuma piešķiršana nepieciešams turpināt uzlabot zobārstniecības pakalpojumu pieejamību, kā arī  nodrošināt plašāku zobārstniecības materiālu izvēli, kas kļūtu atbilstoša spēkā esošajām zobārstniecības tehnoloģijām. Nepieciešamais papildus finansējums tarifu pārskatīšanai, līguma apjoma pieaugumam un kompozītam zobārstniecībā – </w:t>
      </w:r>
      <w:r w:rsidRPr="009A1708">
        <w:rPr>
          <w:rFonts w:ascii="Times New Roman" w:eastAsia="Times New Roman" w:hAnsi="Times New Roman" w:cs="Times New Roman"/>
          <w:b/>
          <w:bCs/>
          <w:sz w:val="24"/>
          <w:szCs w:val="24"/>
          <w:lang w:eastAsia="lv-LV"/>
        </w:rPr>
        <w:t>7 </w:t>
      </w:r>
      <w:r w:rsidR="007C6A2B">
        <w:rPr>
          <w:rFonts w:ascii="Times New Roman" w:eastAsia="Times New Roman" w:hAnsi="Times New Roman" w:cs="Times New Roman"/>
          <w:b/>
          <w:bCs/>
          <w:sz w:val="24"/>
          <w:szCs w:val="24"/>
          <w:lang w:eastAsia="lv-LV"/>
        </w:rPr>
        <w:t>498 33</w:t>
      </w:r>
      <w:r w:rsidR="00590736">
        <w:rPr>
          <w:rFonts w:ascii="Times New Roman" w:eastAsia="Times New Roman" w:hAnsi="Times New Roman" w:cs="Times New Roman"/>
          <w:b/>
          <w:bCs/>
          <w:sz w:val="24"/>
          <w:szCs w:val="24"/>
          <w:lang w:eastAsia="lv-LV"/>
        </w:rPr>
        <w:t>7</w:t>
      </w:r>
      <w:r w:rsidRPr="009A1708">
        <w:rPr>
          <w:rFonts w:ascii="Times New Roman" w:eastAsia="Times New Roman" w:hAnsi="Times New Roman" w:cs="Times New Roman"/>
          <w:b/>
          <w:bCs/>
          <w:sz w:val="24"/>
          <w:szCs w:val="24"/>
          <w:lang w:eastAsia="lv-LV"/>
        </w:rPr>
        <w:t> </w:t>
      </w:r>
      <w:r w:rsidRPr="009A1708">
        <w:rPr>
          <w:rFonts w:ascii="Times New Roman" w:eastAsia="Times New Roman" w:hAnsi="Times New Roman" w:cs="Times New Roman"/>
          <w:b/>
          <w:bCs/>
          <w:i/>
          <w:iCs/>
          <w:sz w:val="24"/>
          <w:szCs w:val="24"/>
          <w:lang w:eastAsia="lv-LV"/>
        </w:rPr>
        <w:t>euro </w:t>
      </w:r>
      <w:r w:rsidR="008104BD">
        <w:rPr>
          <w:rFonts w:ascii="Times New Roman" w:eastAsia="Times New Roman" w:hAnsi="Times New Roman" w:cs="Times New Roman"/>
          <w:sz w:val="24"/>
          <w:szCs w:val="24"/>
          <w:lang w:eastAsia="lv-LV"/>
        </w:rPr>
        <w:t>(62</w:t>
      </w:r>
      <w:r w:rsidRPr="009A1708">
        <w:rPr>
          <w:rFonts w:ascii="Times New Roman" w:eastAsia="Times New Roman" w:hAnsi="Times New Roman" w:cs="Times New Roman"/>
          <w:sz w:val="24"/>
          <w:szCs w:val="24"/>
          <w:lang w:eastAsia="lv-LV"/>
        </w:rPr>
        <w:t>.tabula). </w:t>
      </w:r>
    </w:p>
    <w:p w14:paraId="24820559" w14:textId="77777777" w:rsidR="00654610" w:rsidRDefault="00654610" w:rsidP="2B94589D">
      <w:pPr>
        <w:spacing w:after="0" w:line="264" w:lineRule="auto"/>
        <w:ind w:firstLine="720"/>
        <w:jc w:val="right"/>
        <w:rPr>
          <w:rFonts w:ascii="Times New Roman" w:hAnsi="Times New Roman" w:cs="Times New Roman"/>
          <w:i/>
          <w:iCs/>
          <w:sz w:val="24"/>
          <w:szCs w:val="24"/>
        </w:rPr>
        <w:sectPr w:rsidR="00654610" w:rsidSect="005115DB">
          <w:pgSz w:w="12240" w:h="15840"/>
          <w:pgMar w:top="1440" w:right="1440" w:bottom="1440" w:left="1701" w:header="708" w:footer="708" w:gutter="0"/>
          <w:cols w:space="708"/>
          <w:docGrid w:linePitch="360"/>
        </w:sectPr>
      </w:pPr>
    </w:p>
    <w:p w14:paraId="7C80926A" w14:textId="04022FC9" w:rsidR="009B6E32" w:rsidRPr="00E93259" w:rsidRDefault="008104BD" w:rsidP="2B94589D">
      <w:pPr>
        <w:spacing w:after="0" w:line="264"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lastRenderedPageBreak/>
        <w:t>62</w:t>
      </w:r>
      <w:r w:rsidR="0071331A" w:rsidRPr="2B94589D">
        <w:rPr>
          <w:rFonts w:ascii="Times New Roman" w:hAnsi="Times New Roman" w:cs="Times New Roman"/>
          <w:i/>
          <w:iCs/>
          <w:sz w:val="24"/>
          <w:szCs w:val="24"/>
        </w:rPr>
        <w:t xml:space="preserve">.tabula </w:t>
      </w:r>
    </w:p>
    <w:p w14:paraId="39DB2EC5" w14:textId="1C19ADA7" w:rsidR="00654610" w:rsidRDefault="0071331A" w:rsidP="004C54D3">
      <w:pPr>
        <w:spacing w:after="0" w:line="264" w:lineRule="auto"/>
        <w:jc w:val="center"/>
        <w:rPr>
          <w:rFonts w:ascii="Times New Roman" w:hAnsi="Times New Roman" w:cs="Times New Roman"/>
          <w:b/>
          <w:bCs/>
          <w:sz w:val="24"/>
          <w:szCs w:val="24"/>
        </w:rPr>
      </w:pPr>
      <w:r w:rsidRPr="0012317D">
        <w:rPr>
          <w:rFonts w:ascii="Times New Roman" w:hAnsi="Times New Roman" w:cs="Times New Roman"/>
          <w:b/>
          <w:bCs/>
          <w:sz w:val="24"/>
          <w:szCs w:val="24"/>
        </w:rPr>
        <w:t>Zobārstniecības tarifa palielinājumam nepieciešamais finansējums</w:t>
      </w:r>
    </w:p>
    <w:tbl>
      <w:tblPr>
        <w:tblW w:w="15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275"/>
        <w:gridCol w:w="708"/>
        <w:gridCol w:w="708"/>
        <w:gridCol w:w="707"/>
        <w:gridCol w:w="993"/>
        <w:gridCol w:w="992"/>
        <w:gridCol w:w="992"/>
        <w:gridCol w:w="851"/>
        <w:gridCol w:w="992"/>
        <w:gridCol w:w="997"/>
        <w:gridCol w:w="998"/>
        <w:gridCol w:w="992"/>
        <w:gridCol w:w="992"/>
        <w:gridCol w:w="28"/>
        <w:gridCol w:w="964"/>
        <w:gridCol w:w="993"/>
        <w:gridCol w:w="992"/>
        <w:gridCol w:w="28"/>
      </w:tblGrid>
      <w:tr w:rsidR="00466E9F" w14:paraId="481D6475" w14:textId="77777777" w:rsidTr="00F43A27">
        <w:trPr>
          <w:cantSplit/>
          <w:trHeight w:val="1505"/>
          <w:jc w:val="center"/>
        </w:trPr>
        <w:tc>
          <w:tcPr>
            <w:tcW w:w="425" w:type="dxa"/>
            <w:shd w:val="clear" w:color="auto" w:fill="E36C0A" w:themeFill="accent6" w:themeFillShade="BF"/>
          </w:tcPr>
          <w:p w14:paraId="21C39B54" w14:textId="77777777" w:rsidR="00466E9F" w:rsidRPr="00847710" w:rsidRDefault="00466E9F" w:rsidP="007717A4">
            <w:pPr>
              <w:spacing w:after="0" w:line="240" w:lineRule="auto"/>
              <w:rPr>
                <w:rFonts w:ascii="Times New Roman" w:eastAsia="Times New Roman" w:hAnsi="Times New Roman" w:cs="Times New Roman"/>
                <w:b/>
                <w:bCs/>
                <w:sz w:val="20"/>
                <w:szCs w:val="20"/>
                <w:lang w:eastAsia="lv-LV"/>
              </w:rPr>
            </w:pPr>
          </w:p>
        </w:tc>
        <w:tc>
          <w:tcPr>
            <w:tcW w:w="1276" w:type="dxa"/>
            <w:shd w:val="clear" w:color="auto" w:fill="E36C0A" w:themeFill="accent6" w:themeFillShade="BF"/>
            <w:vAlign w:val="center"/>
            <w:hideMark/>
          </w:tcPr>
          <w:p w14:paraId="682AA654" w14:textId="77777777" w:rsidR="00466E9F" w:rsidRPr="00DD51F5" w:rsidRDefault="00466E9F" w:rsidP="007717A4">
            <w:pPr>
              <w:spacing w:after="0" w:line="240" w:lineRule="auto"/>
              <w:rPr>
                <w:rFonts w:ascii="Times New Roman" w:eastAsia="Times New Roman" w:hAnsi="Times New Roman" w:cs="Times New Roman"/>
                <w:b/>
                <w:bCs/>
                <w:sz w:val="16"/>
                <w:szCs w:val="16"/>
                <w:lang w:eastAsia="lv-LV"/>
              </w:rPr>
            </w:pPr>
          </w:p>
        </w:tc>
        <w:tc>
          <w:tcPr>
            <w:tcW w:w="2126" w:type="dxa"/>
            <w:gridSpan w:val="3"/>
            <w:shd w:val="clear" w:color="auto" w:fill="E36C0A" w:themeFill="accent6" w:themeFillShade="BF"/>
            <w:textDirection w:val="btLr"/>
            <w:vAlign w:val="center"/>
          </w:tcPr>
          <w:p w14:paraId="473BC2ED" w14:textId="4BBA69B8" w:rsidR="00466E9F" w:rsidRPr="00DD51F5" w:rsidRDefault="00466E9F" w:rsidP="007717A4">
            <w:pPr>
              <w:spacing w:after="0" w:line="240" w:lineRule="auto"/>
              <w:ind w:left="113" w:right="113"/>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 xml:space="preserve">Vienas </w:t>
            </w:r>
          </w:p>
          <w:p w14:paraId="5AB1D2D7" w14:textId="77777777" w:rsidR="00466E9F" w:rsidRPr="00DD51F5" w:rsidRDefault="00466E9F" w:rsidP="007717A4">
            <w:pPr>
              <w:spacing w:after="0" w:line="240" w:lineRule="auto"/>
              <w:ind w:left="113" w:right="113"/>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izmaksas</w:t>
            </w:r>
          </w:p>
          <w:p w14:paraId="72F26CA7" w14:textId="77777777" w:rsidR="00466E9F" w:rsidRPr="00DD51F5" w:rsidRDefault="00466E9F" w:rsidP="007717A4">
            <w:pPr>
              <w:spacing w:after="0" w:line="240" w:lineRule="auto"/>
              <w:ind w:left="113" w:right="113"/>
              <w:jc w:val="center"/>
              <w:rPr>
                <w:rFonts w:ascii="Times New Roman" w:eastAsia="Times New Roman" w:hAnsi="Times New Roman" w:cs="Times New Roman"/>
                <w:b/>
                <w:bCs/>
                <w:sz w:val="16"/>
                <w:szCs w:val="16"/>
                <w:lang w:eastAsia="lv-LV"/>
              </w:rPr>
            </w:pPr>
          </w:p>
        </w:tc>
        <w:tc>
          <w:tcPr>
            <w:tcW w:w="2972" w:type="dxa"/>
            <w:gridSpan w:val="3"/>
            <w:shd w:val="clear" w:color="auto" w:fill="E36C0A" w:themeFill="accent6" w:themeFillShade="BF"/>
            <w:textDirection w:val="btLr"/>
            <w:vAlign w:val="center"/>
          </w:tcPr>
          <w:p w14:paraId="593F27BF" w14:textId="77777777" w:rsidR="00466E9F" w:rsidRPr="00DD51F5" w:rsidRDefault="00466E9F" w:rsidP="007717A4">
            <w:pPr>
              <w:spacing w:after="0" w:line="240" w:lineRule="auto"/>
              <w:ind w:left="113" w:right="113"/>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Plānotais finansējums</w:t>
            </w:r>
          </w:p>
        </w:tc>
        <w:tc>
          <w:tcPr>
            <w:tcW w:w="2840" w:type="dxa"/>
            <w:gridSpan w:val="3"/>
            <w:shd w:val="clear" w:color="auto" w:fill="E36C0A" w:themeFill="accent6" w:themeFillShade="BF"/>
            <w:textDirection w:val="btLr"/>
            <w:vAlign w:val="center"/>
          </w:tcPr>
          <w:p w14:paraId="66E4A593" w14:textId="77777777" w:rsidR="00466E9F" w:rsidRPr="00DD51F5" w:rsidRDefault="00466E9F" w:rsidP="007717A4">
            <w:pPr>
              <w:spacing w:after="0" w:line="240" w:lineRule="auto"/>
              <w:ind w:left="113" w:right="113"/>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 xml:space="preserve">Papildus finansējums </w:t>
            </w:r>
          </w:p>
        </w:tc>
        <w:tc>
          <w:tcPr>
            <w:tcW w:w="3010" w:type="dxa"/>
            <w:gridSpan w:val="4"/>
            <w:shd w:val="clear" w:color="auto" w:fill="E36C0A" w:themeFill="accent6" w:themeFillShade="BF"/>
            <w:textDirection w:val="btLr"/>
            <w:vAlign w:val="center"/>
          </w:tcPr>
          <w:p w14:paraId="6CB0D469" w14:textId="77777777" w:rsidR="00466E9F" w:rsidRPr="00DD51F5" w:rsidRDefault="00466E9F" w:rsidP="007717A4">
            <w:pPr>
              <w:spacing w:after="0" w:line="240" w:lineRule="auto"/>
              <w:ind w:left="113" w:right="113"/>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Plānotais pakalpojumu skaits</w:t>
            </w:r>
          </w:p>
        </w:tc>
        <w:tc>
          <w:tcPr>
            <w:tcW w:w="2977" w:type="dxa"/>
            <w:gridSpan w:val="4"/>
            <w:shd w:val="clear" w:color="auto" w:fill="E36C0A" w:themeFill="accent6" w:themeFillShade="BF"/>
            <w:textDirection w:val="btLr"/>
            <w:vAlign w:val="center"/>
          </w:tcPr>
          <w:p w14:paraId="56D1C272" w14:textId="77777777" w:rsidR="00466E9F" w:rsidRPr="00DD51F5" w:rsidRDefault="00466E9F" w:rsidP="007717A4">
            <w:pPr>
              <w:spacing w:after="0" w:line="240" w:lineRule="auto"/>
              <w:ind w:left="113" w:right="113"/>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Plānotais pakalpojumu skaits pēc finansējuma piešķīruma</w:t>
            </w:r>
          </w:p>
        </w:tc>
      </w:tr>
      <w:tr w:rsidR="00466E9F" w14:paraId="1F5B7ABF" w14:textId="77777777" w:rsidTr="00F43A27">
        <w:trPr>
          <w:gridAfter w:val="1"/>
          <w:wAfter w:w="28" w:type="dxa"/>
          <w:trHeight w:val="640"/>
          <w:jc w:val="center"/>
        </w:trPr>
        <w:tc>
          <w:tcPr>
            <w:tcW w:w="425" w:type="dxa"/>
            <w:shd w:val="clear" w:color="auto" w:fill="FABF8F" w:themeFill="accent6" w:themeFillTint="99"/>
          </w:tcPr>
          <w:p w14:paraId="2AA3BC90" w14:textId="77777777" w:rsidR="00466E9F" w:rsidRPr="00847710" w:rsidRDefault="00466E9F" w:rsidP="007717A4">
            <w:pPr>
              <w:spacing w:after="0" w:line="240" w:lineRule="auto"/>
              <w:jc w:val="center"/>
              <w:rPr>
                <w:rFonts w:ascii="Times New Roman" w:eastAsia="Times New Roman" w:hAnsi="Times New Roman" w:cs="Times New Roman"/>
                <w:b/>
                <w:bCs/>
                <w:sz w:val="20"/>
                <w:szCs w:val="20"/>
                <w:lang w:eastAsia="lv-LV"/>
              </w:rPr>
            </w:pPr>
          </w:p>
        </w:tc>
        <w:tc>
          <w:tcPr>
            <w:tcW w:w="1276" w:type="dxa"/>
            <w:shd w:val="clear" w:color="auto" w:fill="FABF8F" w:themeFill="accent6" w:themeFillTint="99"/>
            <w:vAlign w:val="center"/>
          </w:tcPr>
          <w:p w14:paraId="6685B4E8"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p>
        </w:tc>
        <w:tc>
          <w:tcPr>
            <w:tcW w:w="709" w:type="dxa"/>
            <w:shd w:val="clear" w:color="auto" w:fill="FABF8F" w:themeFill="accent6" w:themeFillTint="99"/>
            <w:vAlign w:val="center"/>
          </w:tcPr>
          <w:p w14:paraId="3CCD43F2" w14:textId="1AF48F2B" w:rsidR="00466E9F" w:rsidRPr="00DD51F5" w:rsidRDefault="00466E9F" w:rsidP="007717A4">
            <w:pPr>
              <w:spacing w:after="0" w:line="240" w:lineRule="auto"/>
              <w:jc w:val="center"/>
              <w:rPr>
                <w:rFonts w:ascii="Times New Roman" w:eastAsia="Times New Roman" w:hAnsi="Times New Roman" w:cs="Times New Roman"/>
                <w:b/>
                <w:i/>
                <w:iCs/>
                <w:sz w:val="16"/>
                <w:szCs w:val="16"/>
                <w:lang w:eastAsia="lv-LV"/>
              </w:rPr>
            </w:pPr>
            <w:r w:rsidRPr="00DD51F5">
              <w:rPr>
                <w:rFonts w:ascii="Times New Roman" w:eastAsia="Times New Roman" w:hAnsi="Times New Roman" w:cs="Times New Roman"/>
                <w:b/>
                <w:i/>
                <w:iCs/>
                <w:sz w:val="16"/>
                <w:szCs w:val="16"/>
                <w:lang w:eastAsia="lv-LV"/>
              </w:rPr>
              <w:t>2017</w:t>
            </w:r>
            <w:r w:rsidR="007C6A2B" w:rsidRPr="00DD51F5">
              <w:rPr>
                <w:rFonts w:ascii="Times New Roman" w:eastAsia="Times New Roman" w:hAnsi="Times New Roman" w:cs="Times New Roman"/>
                <w:b/>
                <w:i/>
                <w:iCs/>
                <w:sz w:val="16"/>
                <w:szCs w:val="16"/>
                <w:lang w:eastAsia="lv-LV"/>
              </w:rPr>
              <w:t xml:space="preserve"> (euro)</w:t>
            </w:r>
          </w:p>
        </w:tc>
        <w:tc>
          <w:tcPr>
            <w:tcW w:w="709" w:type="dxa"/>
            <w:shd w:val="clear" w:color="auto" w:fill="FABF8F" w:themeFill="accent6" w:themeFillTint="99"/>
            <w:vAlign w:val="center"/>
          </w:tcPr>
          <w:p w14:paraId="74C042D7" w14:textId="0E9EB429" w:rsidR="00466E9F" w:rsidRPr="00DD51F5" w:rsidRDefault="00466E9F" w:rsidP="007717A4">
            <w:pPr>
              <w:spacing w:after="0" w:line="240" w:lineRule="auto"/>
              <w:jc w:val="center"/>
              <w:rPr>
                <w:rFonts w:ascii="Times New Roman" w:eastAsia="Times New Roman" w:hAnsi="Times New Roman" w:cs="Times New Roman"/>
                <w:b/>
                <w:i/>
                <w:iCs/>
                <w:sz w:val="16"/>
                <w:szCs w:val="16"/>
                <w:lang w:eastAsia="lv-LV"/>
              </w:rPr>
            </w:pPr>
            <w:r w:rsidRPr="00DD51F5">
              <w:rPr>
                <w:rFonts w:ascii="Times New Roman" w:eastAsia="Times New Roman" w:hAnsi="Times New Roman" w:cs="Times New Roman"/>
                <w:b/>
                <w:i/>
                <w:iCs/>
                <w:sz w:val="16"/>
                <w:szCs w:val="16"/>
                <w:lang w:eastAsia="lv-LV"/>
              </w:rPr>
              <w:t>2018</w:t>
            </w:r>
            <w:r w:rsidR="007C6A2B" w:rsidRPr="00DD51F5">
              <w:rPr>
                <w:rFonts w:ascii="Times New Roman" w:eastAsia="Times New Roman" w:hAnsi="Times New Roman" w:cs="Times New Roman"/>
                <w:b/>
                <w:i/>
                <w:iCs/>
                <w:sz w:val="16"/>
                <w:szCs w:val="16"/>
                <w:lang w:eastAsia="lv-LV"/>
              </w:rPr>
              <w:t xml:space="preserve"> (euro)</w:t>
            </w:r>
          </w:p>
        </w:tc>
        <w:tc>
          <w:tcPr>
            <w:tcW w:w="708" w:type="dxa"/>
            <w:shd w:val="clear" w:color="auto" w:fill="FABF8F" w:themeFill="accent6" w:themeFillTint="99"/>
            <w:vAlign w:val="center"/>
          </w:tcPr>
          <w:p w14:paraId="327A04E5" w14:textId="65832F73" w:rsidR="00466E9F" w:rsidRPr="00DD51F5" w:rsidRDefault="00466E9F" w:rsidP="007717A4">
            <w:pPr>
              <w:spacing w:after="0" w:line="240" w:lineRule="auto"/>
              <w:jc w:val="center"/>
              <w:rPr>
                <w:rFonts w:ascii="Times New Roman" w:eastAsia="Times New Roman" w:hAnsi="Times New Roman" w:cs="Times New Roman"/>
                <w:b/>
                <w:i/>
                <w:iCs/>
                <w:sz w:val="16"/>
                <w:szCs w:val="16"/>
                <w:lang w:eastAsia="lv-LV"/>
              </w:rPr>
            </w:pPr>
            <w:r w:rsidRPr="00DD51F5">
              <w:rPr>
                <w:rFonts w:ascii="Times New Roman" w:eastAsia="Times New Roman" w:hAnsi="Times New Roman" w:cs="Times New Roman"/>
                <w:b/>
                <w:i/>
                <w:iCs/>
                <w:sz w:val="16"/>
                <w:szCs w:val="16"/>
                <w:lang w:eastAsia="lv-LV"/>
              </w:rPr>
              <w:t>2019</w:t>
            </w:r>
          </w:p>
          <w:p w14:paraId="0E1A8C27"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i/>
                <w:iCs/>
                <w:sz w:val="16"/>
                <w:szCs w:val="16"/>
                <w:lang w:eastAsia="lv-LV"/>
              </w:rPr>
              <w:t>(euro)</w:t>
            </w:r>
          </w:p>
        </w:tc>
        <w:tc>
          <w:tcPr>
            <w:tcW w:w="993" w:type="dxa"/>
            <w:shd w:val="clear" w:color="auto" w:fill="FABF8F" w:themeFill="accent6" w:themeFillTint="99"/>
            <w:vAlign w:val="center"/>
          </w:tcPr>
          <w:p w14:paraId="2B7F682B"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 xml:space="preserve">2017 </w:t>
            </w:r>
          </w:p>
          <w:p w14:paraId="51CC15B5"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i/>
                <w:sz w:val="16"/>
                <w:szCs w:val="16"/>
                <w:lang w:eastAsia="lv-LV"/>
              </w:rPr>
              <w:t>(euro)</w:t>
            </w:r>
          </w:p>
        </w:tc>
        <w:tc>
          <w:tcPr>
            <w:tcW w:w="992" w:type="dxa"/>
            <w:shd w:val="clear" w:color="auto" w:fill="FABF8F" w:themeFill="accent6" w:themeFillTint="99"/>
            <w:vAlign w:val="center"/>
          </w:tcPr>
          <w:p w14:paraId="1D69A3A9"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 xml:space="preserve">2018 </w:t>
            </w:r>
          </w:p>
          <w:p w14:paraId="78B85B3D"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i/>
                <w:sz w:val="16"/>
                <w:szCs w:val="16"/>
                <w:lang w:eastAsia="lv-LV"/>
              </w:rPr>
              <w:t>(euro)</w:t>
            </w:r>
          </w:p>
        </w:tc>
        <w:tc>
          <w:tcPr>
            <w:tcW w:w="992" w:type="dxa"/>
            <w:shd w:val="clear" w:color="auto" w:fill="FABF8F" w:themeFill="accent6" w:themeFillTint="99"/>
            <w:vAlign w:val="center"/>
          </w:tcPr>
          <w:p w14:paraId="539132FD"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 xml:space="preserve">2019 </w:t>
            </w:r>
          </w:p>
          <w:p w14:paraId="045DE942"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i/>
                <w:sz w:val="16"/>
                <w:szCs w:val="16"/>
                <w:lang w:eastAsia="lv-LV"/>
              </w:rPr>
              <w:t>(euro)</w:t>
            </w:r>
          </w:p>
        </w:tc>
        <w:tc>
          <w:tcPr>
            <w:tcW w:w="851" w:type="dxa"/>
            <w:shd w:val="clear" w:color="auto" w:fill="FABF8F" w:themeFill="accent6" w:themeFillTint="99"/>
            <w:vAlign w:val="center"/>
          </w:tcPr>
          <w:p w14:paraId="21CA382F"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 xml:space="preserve">2017 </w:t>
            </w:r>
          </w:p>
          <w:p w14:paraId="65DA272F"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i/>
                <w:sz w:val="16"/>
                <w:szCs w:val="16"/>
                <w:lang w:eastAsia="lv-LV"/>
              </w:rPr>
              <w:t>(euro)</w:t>
            </w:r>
          </w:p>
        </w:tc>
        <w:tc>
          <w:tcPr>
            <w:tcW w:w="992" w:type="dxa"/>
            <w:shd w:val="clear" w:color="auto" w:fill="FABF8F" w:themeFill="accent6" w:themeFillTint="99"/>
            <w:vAlign w:val="center"/>
          </w:tcPr>
          <w:p w14:paraId="7D1E142E"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 xml:space="preserve">2018 </w:t>
            </w:r>
          </w:p>
          <w:p w14:paraId="05F92E50"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i/>
                <w:sz w:val="16"/>
                <w:szCs w:val="16"/>
                <w:lang w:eastAsia="lv-LV"/>
              </w:rPr>
              <w:t>(euro)</w:t>
            </w:r>
          </w:p>
        </w:tc>
        <w:tc>
          <w:tcPr>
            <w:tcW w:w="992" w:type="dxa"/>
            <w:shd w:val="clear" w:color="auto" w:fill="FABF8F" w:themeFill="accent6" w:themeFillTint="99"/>
            <w:vAlign w:val="center"/>
          </w:tcPr>
          <w:p w14:paraId="43726171"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2019</w:t>
            </w:r>
          </w:p>
          <w:p w14:paraId="1611169A" w14:textId="77777777" w:rsidR="00466E9F" w:rsidRPr="00DD51F5" w:rsidRDefault="00466E9F" w:rsidP="007717A4">
            <w:pPr>
              <w:spacing w:after="0" w:line="240" w:lineRule="auto"/>
              <w:jc w:val="center"/>
              <w:rPr>
                <w:rFonts w:ascii="Times New Roman" w:eastAsia="Times New Roman" w:hAnsi="Times New Roman" w:cs="Times New Roman"/>
                <w:i/>
                <w:iCs/>
                <w:sz w:val="16"/>
                <w:szCs w:val="16"/>
                <w:lang w:eastAsia="lv-LV"/>
              </w:rPr>
            </w:pPr>
            <w:r w:rsidRPr="00DD51F5">
              <w:rPr>
                <w:rFonts w:ascii="Times New Roman" w:eastAsia="Times New Roman" w:hAnsi="Times New Roman" w:cs="Times New Roman"/>
                <w:i/>
                <w:iCs/>
                <w:sz w:val="16"/>
                <w:szCs w:val="16"/>
                <w:lang w:eastAsia="lv-LV"/>
              </w:rPr>
              <w:t>(euro)</w:t>
            </w:r>
          </w:p>
        </w:tc>
        <w:tc>
          <w:tcPr>
            <w:tcW w:w="998" w:type="dxa"/>
            <w:shd w:val="clear" w:color="auto" w:fill="FABF8F" w:themeFill="accent6" w:themeFillTint="99"/>
            <w:vAlign w:val="center"/>
          </w:tcPr>
          <w:p w14:paraId="289CD0A9"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2017</w:t>
            </w:r>
          </w:p>
        </w:tc>
        <w:tc>
          <w:tcPr>
            <w:tcW w:w="992" w:type="dxa"/>
            <w:shd w:val="clear" w:color="auto" w:fill="FABF8F" w:themeFill="accent6" w:themeFillTint="99"/>
            <w:vAlign w:val="center"/>
          </w:tcPr>
          <w:p w14:paraId="22FDBE82"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2018</w:t>
            </w:r>
          </w:p>
        </w:tc>
        <w:tc>
          <w:tcPr>
            <w:tcW w:w="992" w:type="dxa"/>
            <w:shd w:val="clear" w:color="auto" w:fill="FABF8F" w:themeFill="accent6" w:themeFillTint="99"/>
            <w:vAlign w:val="center"/>
          </w:tcPr>
          <w:p w14:paraId="7B825644"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2019</w:t>
            </w:r>
          </w:p>
        </w:tc>
        <w:tc>
          <w:tcPr>
            <w:tcW w:w="992" w:type="dxa"/>
            <w:gridSpan w:val="2"/>
            <w:shd w:val="clear" w:color="auto" w:fill="FABF8F" w:themeFill="accent6" w:themeFillTint="99"/>
            <w:vAlign w:val="center"/>
          </w:tcPr>
          <w:p w14:paraId="52347520"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2017</w:t>
            </w:r>
          </w:p>
        </w:tc>
        <w:tc>
          <w:tcPr>
            <w:tcW w:w="993" w:type="dxa"/>
            <w:shd w:val="clear" w:color="auto" w:fill="FABF8F" w:themeFill="accent6" w:themeFillTint="99"/>
            <w:vAlign w:val="center"/>
          </w:tcPr>
          <w:p w14:paraId="417E215E"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2018</w:t>
            </w:r>
          </w:p>
        </w:tc>
        <w:tc>
          <w:tcPr>
            <w:tcW w:w="992" w:type="dxa"/>
            <w:shd w:val="clear" w:color="auto" w:fill="FABF8F" w:themeFill="accent6" w:themeFillTint="99"/>
            <w:vAlign w:val="center"/>
          </w:tcPr>
          <w:p w14:paraId="1ED2FDB3" w14:textId="77777777" w:rsidR="00466E9F" w:rsidRPr="00DD51F5" w:rsidRDefault="00466E9F" w:rsidP="007717A4">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2019</w:t>
            </w:r>
          </w:p>
        </w:tc>
      </w:tr>
      <w:tr w:rsidR="00466E9F" w14:paraId="17513159" w14:textId="77777777" w:rsidTr="00F43A27">
        <w:trPr>
          <w:gridAfter w:val="1"/>
          <w:wAfter w:w="28" w:type="dxa"/>
          <w:trHeight w:val="1172"/>
          <w:jc w:val="center"/>
        </w:trPr>
        <w:tc>
          <w:tcPr>
            <w:tcW w:w="425" w:type="dxa"/>
            <w:shd w:val="clear" w:color="auto" w:fill="FFFFFF" w:themeFill="background1"/>
          </w:tcPr>
          <w:p w14:paraId="1380A624" w14:textId="77777777" w:rsidR="00466E9F" w:rsidRPr="00E1067B" w:rsidRDefault="00466E9F" w:rsidP="00466E9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276" w:type="dxa"/>
            <w:shd w:val="clear" w:color="auto" w:fill="FFFFFF" w:themeFill="background1"/>
          </w:tcPr>
          <w:p w14:paraId="497261C2" w14:textId="6867218C" w:rsidR="00466E9F" w:rsidRPr="007C6A2B" w:rsidRDefault="00466E9F" w:rsidP="00466E9F">
            <w:pPr>
              <w:spacing w:after="0" w:line="240" w:lineRule="auto"/>
              <w:rPr>
                <w:rFonts w:ascii="Times New Roman" w:eastAsia="Times New Roman" w:hAnsi="Times New Roman" w:cs="Times New Roman"/>
                <w:bCs/>
                <w:sz w:val="16"/>
                <w:szCs w:val="16"/>
                <w:lang w:eastAsia="lv-LV"/>
              </w:rPr>
            </w:pPr>
            <w:r w:rsidRPr="007C6A2B">
              <w:rPr>
                <w:rFonts w:ascii="Times New Roman" w:hAnsi="Times New Roman" w:cs="Times New Roman"/>
                <w:sz w:val="16"/>
                <w:szCs w:val="16"/>
              </w:rPr>
              <w:t>Zobārstniecības bērniem tarifa palielinājums (pārējie tarifa elementi) manipulācijām</w:t>
            </w:r>
          </w:p>
        </w:tc>
        <w:tc>
          <w:tcPr>
            <w:tcW w:w="709" w:type="dxa"/>
            <w:shd w:val="clear" w:color="auto" w:fill="FFFFFF" w:themeFill="background1"/>
            <w:vAlign w:val="center"/>
          </w:tcPr>
          <w:p w14:paraId="0B65BC7C" w14:textId="08A55BEE" w:rsidR="00466E9F" w:rsidRPr="007C6A2B" w:rsidRDefault="00466E9F" w:rsidP="00466E9F">
            <w:pPr>
              <w:spacing w:after="0" w:line="240" w:lineRule="auto"/>
              <w:jc w:val="center"/>
              <w:rPr>
                <w:rFonts w:ascii="Times New Roman" w:eastAsia="Times New Roman" w:hAnsi="Times New Roman" w:cs="Times New Roman"/>
                <w:iCs/>
                <w:sz w:val="16"/>
                <w:szCs w:val="16"/>
                <w:lang w:eastAsia="lv-LV"/>
              </w:rPr>
            </w:pPr>
            <w:r w:rsidRPr="007C6A2B">
              <w:rPr>
                <w:rFonts w:ascii="Times New Roman" w:eastAsia="Times New Roman" w:hAnsi="Times New Roman" w:cs="Times New Roman"/>
                <w:iCs/>
                <w:sz w:val="16"/>
                <w:szCs w:val="16"/>
                <w:lang w:eastAsia="lv-LV"/>
              </w:rPr>
              <w:t>3.90</w:t>
            </w:r>
          </w:p>
        </w:tc>
        <w:tc>
          <w:tcPr>
            <w:tcW w:w="709" w:type="dxa"/>
            <w:shd w:val="clear" w:color="auto" w:fill="FFFFFF" w:themeFill="background1"/>
            <w:vAlign w:val="center"/>
          </w:tcPr>
          <w:p w14:paraId="06D7DCAA" w14:textId="6691CDCC" w:rsidR="00466E9F" w:rsidRPr="007C6A2B" w:rsidRDefault="00466E9F" w:rsidP="00466E9F">
            <w:pPr>
              <w:spacing w:after="0" w:line="240" w:lineRule="auto"/>
              <w:jc w:val="center"/>
              <w:rPr>
                <w:rFonts w:ascii="Times New Roman" w:eastAsia="Times New Roman" w:hAnsi="Times New Roman" w:cs="Times New Roman"/>
                <w:iCs/>
                <w:sz w:val="16"/>
                <w:szCs w:val="16"/>
                <w:lang w:eastAsia="lv-LV"/>
              </w:rPr>
            </w:pPr>
            <w:r w:rsidRPr="007C6A2B">
              <w:rPr>
                <w:rFonts w:ascii="Times New Roman" w:eastAsia="Times New Roman" w:hAnsi="Times New Roman" w:cs="Times New Roman"/>
                <w:iCs/>
                <w:sz w:val="16"/>
                <w:szCs w:val="16"/>
                <w:lang w:eastAsia="lv-LV"/>
              </w:rPr>
              <w:t>5.30</w:t>
            </w:r>
          </w:p>
        </w:tc>
        <w:tc>
          <w:tcPr>
            <w:tcW w:w="708" w:type="dxa"/>
            <w:shd w:val="clear" w:color="auto" w:fill="FFFFFF" w:themeFill="background1"/>
            <w:vAlign w:val="center"/>
          </w:tcPr>
          <w:p w14:paraId="441D2F89" w14:textId="3F9032DA" w:rsidR="00466E9F" w:rsidRPr="007C6A2B" w:rsidRDefault="00466E9F" w:rsidP="00466E9F">
            <w:pPr>
              <w:spacing w:after="0" w:line="240" w:lineRule="auto"/>
              <w:jc w:val="center"/>
              <w:rPr>
                <w:rFonts w:ascii="Times New Roman" w:eastAsia="Times New Roman" w:hAnsi="Times New Roman" w:cs="Times New Roman"/>
                <w:iCs/>
                <w:sz w:val="16"/>
                <w:szCs w:val="16"/>
                <w:lang w:eastAsia="lv-LV"/>
              </w:rPr>
            </w:pPr>
            <w:r w:rsidRPr="007C6A2B">
              <w:rPr>
                <w:rFonts w:ascii="Times New Roman" w:eastAsia="Times New Roman" w:hAnsi="Times New Roman" w:cs="Times New Roman"/>
                <w:iCs/>
                <w:sz w:val="16"/>
                <w:szCs w:val="16"/>
                <w:lang w:eastAsia="lv-LV"/>
              </w:rPr>
              <w:t>5.30</w:t>
            </w:r>
          </w:p>
        </w:tc>
        <w:tc>
          <w:tcPr>
            <w:tcW w:w="993" w:type="dxa"/>
            <w:shd w:val="clear" w:color="auto" w:fill="FFFFFF" w:themeFill="background1"/>
            <w:vAlign w:val="center"/>
          </w:tcPr>
          <w:p w14:paraId="2EB56F5D" w14:textId="3CB9FB1B"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8 936 890</w:t>
            </w:r>
          </w:p>
        </w:tc>
        <w:tc>
          <w:tcPr>
            <w:tcW w:w="992" w:type="dxa"/>
            <w:shd w:val="clear" w:color="auto" w:fill="FFFFFF" w:themeFill="background1"/>
            <w:vAlign w:val="center"/>
          </w:tcPr>
          <w:p w14:paraId="017E1F67" w14:textId="084F21BE"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9 979 210</w:t>
            </w:r>
          </w:p>
        </w:tc>
        <w:tc>
          <w:tcPr>
            <w:tcW w:w="992" w:type="dxa"/>
            <w:shd w:val="clear" w:color="auto" w:fill="FFFFFF" w:themeFill="background1"/>
            <w:vAlign w:val="center"/>
          </w:tcPr>
          <w:p w14:paraId="5E875303" w14:textId="0A11542A"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9 979 210</w:t>
            </w:r>
          </w:p>
        </w:tc>
        <w:tc>
          <w:tcPr>
            <w:tcW w:w="851" w:type="dxa"/>
            <w:shd w:val="clear" w:color="auto" w:fill="FFFFFF" w:themeFill="background1"/>
            <w:vAlign w:val="center"/>
          </w:tcPr>
          <w:p w14:paraId="08887475"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shd w:val="clear" w:color="auto" w:fill="FFFFFF" w:themeFill="background1"/>
            <w:vAlign w:val="center"/>
          </w:tcPr>
          <w:p w14:paraId="75E86DB0" w14:textId="78FF6FA3"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2 968 525</w:t>
            </w:r>
          </w:p>
        </w:tc>
        <w:tc>
          <w:tcPr>
            <w:tcW w:w="992" w:type="dxa"/>
            <w:shd w:val="clear" w:color="auto" w:fill="FFFFFF" w:themeFill="background1"/>
            <w:vAlign w:val="center"/>
          </w:tcPr>
          <w:p w14:paraId="70C4FA30" w14:textId="5A574AEB"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hAnsi="Times New Roman" w:cs="Times New Roman"/>
                <w:sz w:val="16"/>
                <w:szCs w:val="16"/>
              </w:rPr>
              <w:t>1 314 628</w:t>
            </w:r>
            <w:r w:rsidR="00466E9F" w:rsidRPr="007C6A2B">
              <w:rPr>
                <w:rFonts w:ascii="Times New Roman" w:hAnsi="Times New Roman" w:cs="Times New Roman"/>
                <w:sz w:val="16"/>
                <w:szCs w:val="16"/>
              </w:rPr>
              <w:t xml:space="preserve">  </w:t>
            </w:r>
          </w:p>
        </w:tc>
        <w:tc>
          <w:tcPr>
            <w:tcW w:w="998" w:type="dxa"/>
            <w:shd w:val="clear" w:color="auto" w:fill="FFFFFF" w:themeFill="background1"/>
            <w:vAlign w:val="center"/>
          </w:tcPr>
          <w:p w14:paraId="4FBEEA04" w14:textId="08B587F9"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2 291 510</w:t>
            </w:r>
          </w:p>
        </w:tc>
        <w:tc>
          <w:tcPr>
            <w:tcW w:w="992" w:type="dxa"/>
            <w:shd w:val="clear" w:color="auto" w:fill="FFFFFF" w:themeFill="background1"/>
            <w:vAlign w:val="center"/>
          </w:tcPr>
          <w:p w14:paraId="6A24688D" w14:textId="76A6616B"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1 882 870</w:t>
            </w:r>
          </w:p>
        </w:tc>
        <w:tc>
          <w:tcPr>
            <w:tcW w:w="992" w:type="dxa"/>
            <w:shd w:val="clear" w:color="auto" w:fill="FFFFFF" w:themeFill="background1"/>
            <w:vAlign w:val="center"/>
          </w:tcPr>
          <w:p w14:paraId="11CBE5E8" w14:textId="5DD6658E"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1 882 870</w:t>
            </w:r>
          </w:p>
        </w:tc>
        <w:tc>
          <w:tcPr>
            <w:tcW w:w="992" w:type="dxa"/>
            <w:gridSpan w:val="2"/>
            <w:shd w:val="clear" w:color="auto" w:fill="FFFFFF" w:themeFill="background1"/>
            <w:vAlign w:val="center"/>
          </w:tcPr>
          <w:p w14:paraId="563FB259" w14:textId="57B77B21"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2 291 510</w:t>
            </w:r>
          </w:p>
        </w:tc>
        <w:tc>
          <w:tcPr>
            <w:tcW w:w="993" w:type="dxa"/>
            <w:shd w:val="clear" w:color="auto" w:fill="FFFFFF" w:themeFill="background1"/>
            <w:vAlign w:val="center"/>
          </w:tcPr>
          <w:p w14:paraId="64A9DB98" w14:textId="705B19D9"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2 442 969</w:t>
            </w:r>
          </w:p>
        </w:tc>
        <w:tc>
          <w:tcPr>
            <w:tcW w:w="992" w:type="dxa"/>
            <w:shd w:val="clear" w:color="auto" w:fill="FFFFFF" w:themeFill="background1"/>
            <w:vAlign w:val="center"/>
          </w:tcPr>
          <w:p w14:paraId="635A3932" w14:textId="31964A68"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2 130 913</w:t>
            </w:r>
          </w:p>
        </w:tc>
      </w:tr>
      <w:tr w:rsidR="00466E9F" w14:paraId="4156D003" w14:textId="77777777" w:rsidTr="00F43A27">
        <w:trPr>
          <w:gridAfter w:val="1"/>
          <w:wAfter w:w="28" w:type="dxa"/>
          <w:trHeight w:val="598"/>
          <w:jc w:val="center"/>
        </w:trPr>
        <w:tc>
          <w:tcPr>
            <w:tcW w:w="425" w:type="dxa"/>
            <w:shd w:val="clear" w:color="auto" w:fill="FFFFFF" w:themeFill="background1"/>
          </w:tcPr>
          <w:p w14:paraId="20DED250" w14:textId="77777777" w:rsidR="00466E9F" w:rsidRPr="00E1067B" w:rsidRDefault="00466E9F" w:rsidP="00466E9F">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r w:rsidRPr="00E1067B">
              <w:rPr>
                <w:rFonts w:ascii="Times New Roman" w:eastAsia="Times New Roman" w:hAnsi="Times New Roman" w:cs="Times New Roman"/>
                <w:bCs/>
                <w:sz w:val="20"/>
                <w:szCs w:val="20"/>
                <w:lang w:eastAsia="lv-LV"/>
              </w:rPr>
              <w:t>.</w:t>
            </w:r>
          </w:p>
        </w:tc>
        <w:tc>
          <w:tcPr>
            <w:tcW w:w="1276" w:type="dxa"/>
            <w:shd w:val="clear" w:color="auto" w:fill="FFFFFF" w:themeFill="background1"/>
          </w:tcPr>
          <w:p w14:paraId="1F371CA2" w14:textId="61364EA1" w:rsidR="00466E9F" w:rsidRPr="007C6A2B" w:rsidRDefault="00466E9F" w:rsidP="00466E9F">
            <w:pPr>
              <w:spacing w:after="0" w:line="240" w:lineRule="auto"/>
              <w:rPr>
                <w:rFonts w:ascii="Times New Roman" w:eastAsia="Times New Roman" w:hAnsi="Times New Roman" w:cs="Times New Roman"/>
                <w:bCs/>
                <w:sz w:val="16"/>
                <w:szCs w:val="16"/>
                <w:lang w:eastAsia="lv-LV"/>
              </w:rPr>
            </w:pPr>
            <w:r w:rsidRPr="007C6A2B">
              <w:rPr>
                <w:rFonts w:ascii="Times New Roman" w:hAnsi="Times New Roman" w:cs="Times New Roman"/>
                <w:sz w:val="16"/>
                <w:szCs w:val="16"/>
              </w:rPr>
              <w:t>Zobārstniecības bērniem apjoma palielinājums (apmeklējumi)</w:t>
            </w:r>
            <w:r w:rsidR="00591B74">
              <w:rPr>
                <w:rFonts w:ascii="Times New Roman" w:hAnsi="Times New Roman" w:cs="Times New Roman"/>
                <w:sz w:val="16"/>
                <w:szCs w:val="16"/>
              </w:rPr>
              <w:t>*</w:t>
            </w:r>
          </w:p>
        </w:tc>
        <w:tc>
          <w:tcPr>
            <w:tcW w:w="709" w:type="dxa"/>
            <w:shd w:val="clear" w:color="auto" w:fill="FFFFFF" w:themeFill="background1"/>
            <w:vAlign w:val="center"/>
          </w:tcPr>
          <w:p w14:paraId="703623AE" w14:textId="31C70AAA" w:rsidR="00466E9F" w:rsidRPr="007C6A2B" w:rsidRDefault="00466E9F" w:rsidP="00466E9F">
            <w:pPr>
              <w:spacing w:after="0" w:line="240" w:lineRule="auto"/>
              <w:jc w:val="center"/>
              <w:rPr>
                <w:rFonts w:ascii="Times New Roman" w:eastAsia="Times New Roman" w:hAnsi="Times New Roman" w:cs="Times New Roman"/>
                <w:iCs/>
                <w:sz w:val="16"/>
                <w:szCs w:val="16"/>
                <w:lang w:eastAsia="lv-LV"/>
              </w:rPr>
            </w:pPr>
            <w:r w:rsidRPr="007C6A2B">
              <w:rPr>
                <w:rFonts w:ascii="Times New Roman" w:eastAsia="Times New Roman" w:hAnsi="Times New Roman" w:cs="Times New Roman"/>
                <w:iCs/>
                <w:sz w:val="16"/>
                <w:szCs w:val="16"/>
                <w:lang w:eastAsia="lv-LV"/>
              </w:rPr>
              <w:t>18.47*</w:t>
            </w:r>
          </w:p>
        </w:tc>
        <w:tc>
          <w:tcPr>
            <w:tcW w:w="709" w:type="dxa"/>
            <w:shd w:val="clear" w:color="auto" w:fill="FFFFFF" w:themeFill="background1"/>
            <w:vAlign w:val="center"/>
          </w:tcPr>
          <w:p w14:paraId="04337CD8" w14:textId="56CE2308" w:rsidR="00466E9F" w:rsidRPr="007C6A2B" w:rsidRDefault="00466E9F" w:rsidP="00466E9F">
            <w:pPr>
              <w:spacing w:after="0" w:line="240" w:lineRule="auto"/>
              <w:jc w:val="center"/>
              <w:rPr>
                <w:rFonts w:ascii="Times New Roman" w:eastAsia="Times New Roman" w:hAnsi="Times New Roman" w:cs="Times New Roman"/>
                <w:iCs/>
                <w:sz w:val="16"/>
                <w:szCs w:val="16"/>
                <w:lang w:eastAsia="lv-LV"/>
              </w:rPr>
            </w:pPr>
            <w:r w:rsidRPr="007C6A2B">
              <w:rPr>
                <w:rFonts w:ascii="Times New Roman" w:eastAsia="Times New Roman" w:hAnsi="Times New Roman" w:cs="Times New Roman"/>
                <w:iCs/>
                <w:sz w:val="16"/>
                <w:szCs w:val="16"/>
                <w:lang w:eastAsia="lv-LV"/>
              </w:rPr>
              <w:t>28.35</w:t>
            </w:r>
          </w:p>
        </w:tc>
        <w:tc>
          <w:tcPr>
            <w:tcW w:w="708" w:type="dxa"/>
            <w:shd w:val="clear" w:color="auto" w:fill="FFFFFF" w:themeFill="background1"/>
            <w:vAlign w:val="center"/>
          </w:tcPr>
          <w:p w14:paraId="205236F7" w14:textId="57DE4FF0" w:rsidR="00466E9F" w:rsidRPr="007C6A2B" w:rsidRDefault="007C6A2B" w:rsidP="00466E9F">
            <w:pPr>
              <w:spacing w:after="0" w:line="240" w:lineRule="auto"/>
              <w:jc w:val="center"/>
              <w:rPr>
                <w:rFonts w:ascii="Times New Roman" w:eastAsia="Times New Roman" w:hAnsi="Times New Roman" w:cs="Times New Roman"/>
                <w:iCs/>
                <w:sz w:val="16"/>
                <w:szCs w:val="16"/>
                <w:lang w:eastAsia="lv-LV"/>
              </w:rPr>
            </w:pPr>
            <w:r w:rsidRPr="007C6A2B">
              <w:rPr>
                <w:rFonts w:ascii="Times New Roman" w:eastAsia="Times New Roman" w:hAnsi="Times New Roman" w:cs="Times New Roman"/>
                <w:iCs/>
                <w:sz w:val="16"/>
                <w:szCs w:val="16"/>
                <w:lang w:eastAsia="lv-LV"/>
              </w:rPr>
              <w:t>28.35</w:t>
            </w:r>
          </w:p>
        </w:tc>
        <w:tc>
          <w:tcPr>
            <w:tcW w:w="993" w:type="dxa"/>
            <w:shd w:val="clear" w:color="auto" w:fill="FFFFFF" w:themeFill="background1"/>
            <w:vAlign w:val="center"/>
          </w:tcPr>
          <w:p w14:paraId="0D13597B"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shd w:val="clear" w:color="auto" w:fill="FFFFFF" w:themeFill="background1"/>
            <w:vAlign w:val="center"/>
          </w:tcPr>
          <w:p w14:paraId="3A5C7C8E"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shd w:val="clear" w:color="auto" w:fill="FFFFFF" w:themeFill="background1"/>
            <w:vAlign w:val="center"/>
          </w:tcPr>
          <w:p w14:paraId="09232842"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851" w:type="dxa"/>
            <w:shd w:val="clear" w:color="auto" w:fill="FFFFFF" w:themeFill="background1"/>
            <w:vAlign w:val="center"/>
          </w:tcPr>
          <w:p w14:paraId="24CC2932"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shd w:val="clear" w:color="auto" w:fill="FFFFFF" w:themeFill="background1"/>
            <w:vAlign w:val="center"/>
          </w:tcPr>
          <w:p w14:paraId="47552600"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shd w:val="clear" w:color="auto" w:fill="FFFFFF" w:themeFill="background1"/>
            <w:vAlign w:val="center"/>
          </w:tcPr>
          <w:p w14:paraId="289FA8BD" w14:textId="5E154C5A"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3 760 061</w:t>
            </w:r>
          </w:p>
        </w:tc>
        <w:tc>
          <w:tcPr>
            <w:tcW w:w="998" w:type="dxa"/>
            <w:shd w:val="clear" w:color="auto" w:fill="FFFFFF" w:themeFill="background1"/>
            <w:vAlign w:val="center"/>
          </w:tcPr>
          <w:p w14:paraId="1019333B"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shd w:val="clear" w:color="auto" w:fill="FFFFFF" w:themeFill="background1"/>
            <w:vAlign w:val="center"/>
          </w:tcPr>
          <w:p w14:paraId="31CF065F"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shd w:val="clear" w:color="auto" w:fill="FFFFFF" w:themeFill="background1"/>
            <w:vAlign w:val="center"/>
          </w:tcPr>
          <w:p w14:paraId="6E343D3B"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gridSpan w:val="2"/>
            <w:shd w:val="clear" w:color="auto" w:fill="FFFFFF" w:themeFill="background1"/>
            <w:vAlign w:val="center"/>
          </w:tcPr>
          <w:p w14:paraId="651DEEA7"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3" w:type="dxa"/>
            <w:shd w:val="clear" w:color="auto" w:fill="FFFFFF" w:themeFill="background1"/>
            <w:vAlign w:val="center"/>
          </w:tcPr>
          <w:p w14:paraId="48595E00" w14:textId="77777777" w:rsidR="00466E9F" w:rsidRPr="007C6A2B" w:rsidRDefault="00466E9F"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w:t>
            </w:r>
          </w:p>
        </w:tc>
        <w:tc>
          <w:tcPr>
            <w:tcW w:w="992" w:type="dxa"/>
            <w:shd w:val="clear" w:color="auto" w:fill="FFFFFF" w:themeFill="background1"/>
            <w:vAlign w:val="center"/>
          </w:tcPr>
          <w:p w14:paraId="2777FDF8" w14:textId="0ABB1BF0" w:rsidR="00466E9F" w:rsidRPr="007C6A2B" w:rsidRDefault="007C6A2B" w:rsidP="00466E9F">
            <w:pPr>
              <w:spacing w:after="0" w:line="240" w:lineRule="auto"/>
              <w:jc w:val="center"/>
              <w:rPr>
                <w:rFonts w:ascii="Times New Roman" w:eastAsia="Times New Roman" w:hAnsi="Times New Roman" w:cs="Times New Roman"/>
                <w:bCs/>
                <w:sz w:val="16"/>
                <w:szCs w:val="16"/>
                <w:lang w:eastAsia="lv-LV"/>
              </w:rPr>
            </w:pPr>
            <w:r w:rsidRPr="007C6A2B">
              <w:rPr>
                <w:rFonts w:ascii="Times New Roman" w:eastAsia="Times New Roman" w:hAnsi="Times New Roman" w:cs="Times New Roman"/>
                <w:bCs/>
                <w:sz w:val="16"/>
                <w:szCs w:val="16"/>
                <w:lang w:eastAsia="lv-LV"/>
              </w:rPr>
              <w:t>132 630</w:t>
            </w:r>
          </w:p>
        </w:tc>
      </w:tr>
      <w:tr w:rsidR="00466E9F" w14:paraId="68289A83" w14:textId="77777777" w:rsidTr="00F43A27">
        <w:trPr>
          <w:gridAfter w:val="1"/>
          <w:wAfter w:w="28" w:type="dxa"/>
          <w:trHeight w:val="525"/>
          <w:jc w:val="center"/>
        </w:trPr>
        <w:tc>
          <w:tcPr>
            <w:tcW w:w="425" w:type="dxa"/>
            <w:tcBorders>
              <w:top w:val="single" w:sz="4" w:space="0" w:color="auto"/>
              <w:left w:val="single" w:sz="4" w:space="0" w:color="auto"/>
              <w:bottom w:val="single" w:sz="4" w:space="0" w:color="auto"/>
              <w:right w:val="single" w:sz="4" w:space="0" w:color="auto"/>
            </w:tcBorders>
          </w:tcPr>
          <w:p w14:paraId="3A76D06B" w14:textId="77777777" w:rsidR="00466E9F" w:rsidRPr="00847710" w:rsidRDefault="00466E9F" w:rsidP="00466E9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47710">
              <w:rPr>
                <w:rFonts w:ascii="Times New Roman" w:eastAsia="Times New Roman" w:hAnsi="Times New Roman" w:cs="Times New Roman"/>
                <w:sz w:val="20"/>
                <w:szCs w:val="20"/>
                <w:lang w:eastAsia="lv-LV"/>
              </w:rPr>
              <w:t>.</w:t>
            </w:r>
          </w:p>
        </w:tc>
        <w:tc>
          <w:tcPr>
            <w:tcW w:w="1276" w:type="dxa"/>
            <w:tcBorders>
              <w:top w:val="single" w:sz="4" w:space="0" w:color="auto"/>
              <w:left w:val="single" w:sz="4" w:space="0" w:color="auto"/>
              <w:bottom w:val="single" w:sz="4" w:space="0" w:color="auto"/>
              <w:right w:val="single" w:sz="4" w:space="0" w:color="auto"/>
            </w:tcBorders>
          </w:tcPr>
          <w:p w14:paraId="7B265DBA" w14:textId="442E6A7E" w:rsidR="00466E9F" w:rsidRPr="007C6A2B" w:rsidRDefault="00466E9F" w:rsidP="00466E9F">
            <w:pPr>
              <w:spacing w:after="0" w:line="240" w:lineRule="auto"/>
              <w:rPr>
                <w:rFonts w:ascii="Times New Roman" w:eastAsia="Times New Roman" w:hAnsi="Times New Roman" w:cs="Times New Roman"/>
                <w:sz w:val="16"/>
                <w:szCs w:val="16"/>
                <w:lang w:eastAsia="lv-LV"/>
              </w:rPr>
            </w:pPr>
            <w:r w:rsidRPr="007C6A2B">
              <w:rPr>
                <w:rFonts w:ascii="Times New Roman" w:hAnsi="Times New Roman" w:cs="Times New Roman"/>
                <w:sz w:val="16"/>
                <w:szCs w:val="16"/>
              </w:rPr>
              <w:t>Kompozīts</w:t>
            </w:r>
          </w:p>
        </w:tc>
        <w:tc>
          <w:tcPr>
            <w:tcW w:w="709" w:type="dxa"/>
            <w:tcBorders>
              <w:top w:val="single" w:sz="4" w:space="0" w:color="auto"/>
              <w:left w:val="single" w:sz="4" w:space="0" w:color="auto"/>
              <w:bottom w:val="single" w:sz="4" w:space="0" w:color="auto"/>
              <w:right w:val="single" w:sz="4" w:space="0" w:color="auto"/>
            </w:tcBorders>
          </w:tcPr>
          <w:p w14:paraId="73B87ED7" w14:textId="77777777" w:rsidR="00466E9F" w:rsidRPr="007C6A2B" w:rsidRDefault="00466E9F" w:rsidP="00466E9F">
            <w:pPr>
              <w:spacing w:after="0" w:line="240" w:lineRule="auto"/>
              <w:jc w:val="center"/>
              <w:rPr>
                <w:rFonts w:ascii="Times New Roman" w:eastAsia="Times New Roman" w:hAnsi="Times New Roman" w:cs="Times New Roman"/>
                <w:sz w:val="16"/>
                <w:szCs w:val="16"/>
                <w:lang w:eastAsia="lv-LV"/>
              </w:rPr>
            </w:pPr>
          </w:p>
        </w:tc>
        <w:tc>
          <w:tcPr>
            <w:tcW w:w="709" w:type="dxa"/>
            <w:tcBorders>
              <w:top w:val="single" w:sz="4" w:space="0" w:color="auto"/>
              <w:left w:val="single" w:sz="4" w:space="0" w:color="auto"/>
              <w:bottom w:val="single" w:sz="4" w:space="0" w:color="auto"/>
              <w:right w:val="single" w:sz="4" w:space="0" w:color="auto"/>
            </w:tcBorders>
          </w:tcPr>
          <w:p w14:paraId="7C0C15BB" w14:textId="6803C564" w:rsidR="00466E9F" w:rsidRPr="007C6A2B" w:rsidRDefault="00466E9F" w:rsidP="00466E9F">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6A601" w14:textId="040AE6BA" w:rsidR="00466E9F" w:rsidRPr="007C6A2B" w:rsidRDefault="007C6A2B" w:rsidP="00466E9F">
            <w:pPr>
              <w:spacing w:after="0" w:line="240" w:lineRule="auto"/>
              <w:jc w:val="center"/>
              <w:rPr>
                <w:rFonts w:ascii="Times New Roman" w:eastAsia="Times New Roman" w:hAnsi="Times New Roman" w:cs="Times New Roman"/>
                <w:sz w:val="16"/>
                <w:szCs w:val="16"/>
                <w:lang w:eastAsia="lv-LV"/>
              </w:rPr>
            </w:pPr>
            <w:r w:rsidRPr="007C6A2B">
              <w:rPr>
                <w:rFonts w:ascii="Times New Roman" w:eastAsia="Times New Roman" w:hAnsi="Times New Roman" w:cs="Times New Roman"/>
                <w:sz w:val="16"/>
                <w:szCs w:val="16"/>
                <w:lang w:eastAsia="lv-LV"/>
              </w:rPr>
              <w:t>20.90</w:t>
            </w:r>
          </w:p>
        </w:tc>
        <w:tc>
          <w:tcPr>
            <w:tcW w:w="993" w:type="dxa"/>
            <w:tcBorders>
              <w:top w:val="single" w:sz="4" w:space="0" w:color="auto"/>
              <w:left w:val="single" w:sz="4" w:space="0" w:color="auto"/>
              <w:bottom w:val="single" w:sz="4" w:space="0" w:color="auto"/>
              <w:right w:val="single" w:sz="4" w:space="0" w:color="auto"/>
            </w:tcBorders>
            <w:vAlign w:val="center"/>
          </w:tcPr>
          <w:p w14:paraId="707B2A89" w14:textId="77777777" w:rsidR="00466E9F" w:rsidRPr="007C6A2B" w:rsidRDefault="00466E9F" w:rsidP="00466E9F">
            <w:pPr>
              <w:spacing w:after="0" w:line="240" w:lineRule="auto"/>
              <w:jc w:val="center"/>
              <w:rPr>
                <w:rFonts w:ascii="Times New Roman" w:hAnsi="Times New Roman" w:cs="Times New Roman"/>
                <w:sz w:val="16"/>
                <w:szCs w:val="16"/>
              </w:rPr>
            </w:pPr>
            <w:r w:rsidRPr="007C6A2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401BB01F" w14:textId="77777777" w:rsidR="00466E9F" w:rsidRPr="007C6A2B" w:rsidRDefault="00466E9F" w:rsidP="00466E9F">
            <w:pPr>
              <w:spacing w:after="0" w:line="240" w:lineRule="auto"/>
              <w:jc w:val="center"/>
              <w:rPr>
                <w:rFonts w:ascii="Times New Roman" w:hAnsi="Times New Roman" w:cs="Times New Roman"/>
                <w:sz w:val="16"/>
                <w:szCs w:val="16"/>
              </w:rPr>
            </w:pPr>
            <w:r w:rsidRPr="007C6A2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014073E6" w14:textId="77777777" w:rsidR="00466E9F" w:rsidRPr="007C6A2B" w:rsidRDefault="00466E9F" w:rsidP="00466E9F">
            <w:pPr>
              <w:spacing w:after="0" w:line="240" w:lineRule="auto"/>
              <w:jc w:val="center"/>
              <w:rPr>
                <w:rFonts w:ascii="Times New Roman" w:hAnsi="Times New Roman" w:cs="Times New Roman"/>
                <w:sz w:val="16"/>
                <w:szCs w:val="16"/>
              </w:rPr>
            </w:pPr>
            <w:r w:rsidRPr="007C6A2B">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20AB01D8" w14:textId="77777777" w:rsidR="00466E9F" w:rsidRPr="007C6A2B" w:rsidRDefault="00466E9F" w:rsidP="00466E9F">
            <w:pPr>
              <w:spacing w:after="0" w:line="240" w:lineRule="auto"/>
              <w:jc w:val="center"/>
              <w:rPr>
                <w:rFonts w:ascii="Times New Roman" w:hAnsi="Times New Roman" w:cs="Times New Roman"/>
                <w:sz w:val="16"/>
                <w:szCs w:val="16"/>
              </w:rPr>
            </w:pPr>
            <w:r w:rsidRPr="007C6A2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5B72734A" w14:textId="2896183B" w:rsidR="00466E9F" w:rsidRPr="007C6A2B" w:rsidRDefault="007C6A2B" w:rsidP="00466E9F">
            <w:pPr>
              <w:spacing w:after="0" w:line="240" w:lineRule="auto"/>
              <w:jc w:val="center"/>
              <w:rPr>
                <w:rFonts w:ascii="Times New Roman" w:hAnsi="Times New Roman" w:cs="Times New Roman"/>
                <w:sz w:val="16"/>
                <w:szCs w:val="16"/>
              </w:rPr>
            </w:pPr>
            <w:r w:rsidRPr="007C6A2B">
              <w:rPr>
                <w:rFonts w:ascii="Times New Roman" w:hAnsi="Times New Roman" w:cs="Times New Roman"/>
                <w:sz w:val="16"/>
                <w:szCs w:val="16"/>
              </w:rPr>
              <w:t>766 774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DCF96" w14:textId="426FC26F" w:rsidR="00466E9F" w:rsidRPr="007C6A2B" w:rsidRDefault="007C6A2B" w:rsidP="00466E9F">
            <w:pPr>
              <w:spacing w:after="0" w:line="240" w:lineRule="auto"/>
              <w:jc w:val="center"/>
              <w:rPr>
                <w:rFonts w:ascii="Times New Roman" w:eastAsia="Times New Roman" w:hAnsi="Times New Roman" w:cs="Times New Roman"/>
                <w:sz w:val="16"/>
                <w:szCs w:val="16"/>
                <w:lang w:eastAsia="lv-LV"/>
              </w:rPr>
            </w:pPr>
            <w:r w:rsidRPr="007C6A2B">
              <w:rPr>
                <w:rFonts w:ascii="Times New Roman" w:eastAsia="Times New Roman" w:hAnsi="Times New Roman" w:cs="Times New Roman"/>
                <w:bCs/>
                <w:color w:val="000000"/>
                <w:sz w:val="16"/>
                <w:szCs w:val="16"/>
                <w:lang w:eastAsia="lv-LV"/>
              </w:rPr>
              <w:t>2 423 648</w:t>
            </w:r>
          </w:p>
        </w:tc>
        <w:tc>
          <w:tcPr>
            <w:tcW w:w="998" w:type="dxa"/>
            <w:tcBorders>
              <w:top w:val="single" w:sz="4" w:space="0" w:color="auto"/>
              <w:left w:val="single" w:sz="4" w:space="0" w:color="auto"/>
              <w:bottom w:val="single" w:sz="4" w:space="0" w:color="auto"/>
              <w:right w:val="single" w:sz="4" w:space="0" w:color="auto"/>
            </w:tcBorders>
            <w:vAlign w:val="center"/>
          </w:tcPr>
          <w:p w14:paraId="1CD18CA7" w14:textId="77777777" w:rsidR="00466E9F" w:rsidRPr="007C6A2B" w:rsidRDefault="00466E9F" w:rsidP="00466E9F">
            <w:pPr>
              <w:spacing w:after="0" w:line="240" w:lineRule="auto"/>
              <w:jc w:val="center"/>
              <w:rPr>
                <w:rFonts w:ascii="Times New Roman" w:hAnsi="Times New Roman" w:cs="Times New Roman"/>
                <w:b/>
                <w:bCs/>
                <w:sz w:val="16"/>
                <w:szCs w:val="16"/>
              </w:rPr>
            </w:pPr>
            <w:r w:rsidRPr="007C6A2B">
              <w:rPr>
                <w:rFonts w:ascii="Times New Roman" w:hAnsi="Times New Roman" w:cs="Times New Roman"/>
                <w:b/>
                <w:bCs/>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2E0DB05F" w14:textId="77777777" w:rsidR="00466E9F" w:rsidRPr="007C6A2B" w:rsidRDefault="00466E9F" w:rsidP="00466E9F">
            <w:pPr>
              <w:spacing w:after="0" w:line="240" w:lineRule="auto"/>
              <w:jc w:val="center"/>
              <w:rPr>
                <w:rFonts w:ascii="Times New Roman" w:hAnsi="Times New Roman" w:cs="Times New Roman"/>
                <w:b/>
                <w:bCs/>
                <w:sz w:val="16"/>
                <w:szCs w:val="16"/>
              </w:rPr>
            </w:pPr>
            <w:r w:rsidRPr="007C6A2B">
              <w:rPr>
                <w:rFonts w:ascii="Times New Roman" w:hAnsi="Times New Roman" w:cs="Times New Roman"/>
                <w:b/>
                <w:bCs/>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5E33EDD9" w14:textId="77777777" w:rsidR="00466E9F" w:rsidRPr="007C6A2B" w:rsidRDefault="00466E9F" w:rsidP="00466E9F">
            <w:pPr>
              <w:spacing w:after="0" w:line="240" w:lineRule="auto"/>
              <w:jc w:val="center"/>
              <w:rPr>
                <w:rFonts w:ascii="Times New Roman" w:hAnsi="Times New Roman" w:cs="Times New Roman"/>
                <w:b/>
                <w:bCs/>
                <w:sz w:val="16"/>
                <w:szCs w:val="16"/>
              </w:rPr>
            </w:pPr>
            <w:r w:rsidRPr="007C6A2B">
              <w:rPr>
                <w:rFonts w:ascii="Times New Roman" w:hAnsi="Times New Roman" w:cs="Times New Roman"/>
                <w:b/>
                <w:bCs/>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93886A9" w14:textId="77777777" w:rsidR="00466E9F" w:rsidRPr="007C6A2B" w:rsidRDefault="00466E9F" w:rsidP="00466E9F">
            <w:pPr>
              <w:spacing w:after="0" w:line="240" w:lineRule="auto"/>
              <w:jc w:val="center"/>
              <w:rPr>
                <w:rFonts w:ascii="Times New Roman" w:hAnsi="Times New Roman" w:cs="Times New Roman"/>
                <w:b/>
                <w:bCs/>
                <w:sz w:val="16"/>
                <w:szCs w:val="16"/>
              </w:rPr>
            </w:pPr>
            <w:r w:rsidRPr="007C6A2B">
              <w:rPr>
                <w:rFonts w:ascii="Times New Roman" w:hAnsi="Times New Roman" w:cs="Times New Roman"/>
                <w:b/>
                <w:bCs/>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5892B94A" w14:textId="09D75BA8" w:rsidR="00466E9F" w:rsidRPr="00DD51F5" w:rsidRDefault="007C6A2B" w:rsidP="00466E9F">
            <w:pPr>
              <w:spacing w:after="0" w:line="240" w:lineRule="auto"/>
              <w:jc w:val="center"/>
              <w:rPr>
                <w:rFonts w:ascii="Times New Roman" w:hAnsi="Times New Roman" w:cs="Times New Roman"/>
                <w:bCs/>
                <w:sz w:val="16"/>
                <w:szCs w:val="16"/>
              </w:rPr>
            </w:pPr>
            <w:r w:rsidRPr="00DD51F5">
              <w:rPr>
                <w:rFonts w:ascii="Times New Roman" w:hAnsi="Times New Roman" w:cs="Times New Roman"/>
                <w:bCs/>
                <w:sz w:val="16"/>
                <w:szCs w:val="16"/>
              </w:rPr>
              <w:t>39 270</w:t>
            </w:r>
          </w:p>
        </w:tc>
        <w:tc>
          <w:tcPr>
            <w:tcW w:w="992" w:type="dxa"/>
            <w:tcBorders>
              <w:top w:val="single" w:sz="4" w:space="0" w:color="auto"/>
              <w:left w:val="single" w:sz="4" w:space="0" w:color="auto"/>
              <w:bottom w:val="single" w:sz="4" w:space="0" w:color="auto"/>
              <w:right w:val="single" w:sz="4" w:space="0" w:color="auto"/>
            </w:tcBorders>
            <w:noWrap/>
            <w:vAlign w:val="center"/>
          </w:tcPr>
          <w:p w14:paraId="0FDB390E" w14:textId="5471FAEB" w:rsidR="00466E9F" w:rsidRPr="00DD51F5" w:rsidRDefault="007C6A2B" w:rsidP="00466E9F">
            <w:pPr>
              <w:spacing w:after="0" w:line="240" w:lineRule="auto"/>
              <w:jc w:val="center"/>
              <w:rPr>
                <w:rFonts w:ascii="Times New Roman" w:eastAsia="Times New Roman" w:hAnsi="Times New Roman" w:cs="Times New Roman"/>
                <w:bCs/>
                <w:sz w:val="16"/>
                <w:szCs w:val="16"/>
                <w:lang w:eastAsia="lv-LV"/>
              </w:rPr>
            </w:pPr>
            <w:r w:rsidRPr="00DD51F5">
              <w:rPr>
                <w:rFonts w:ascii="Times New Roman" w:eastAsia="Times New Roman" w:hAnsi="Times New Roman" w:cs="Times New Roman"/>
                <w:bCs/>
                <w:sz w:val="16"/>
                <w:szCs w:val="16"/>
                <w:lang w:eastAsia="lv-LV"/>
              </w:rPr>
              <w:t>115 964</w:t>
            </w:r>
          </w:p>
        </w:tc>
      </w:tr>
      <w:tr w:rsidR="007C6A2B" w14:paraId="486E3C7E" w14:textId="77777777" w:rsidTr="00F43A27">
        <w:trPr>
          <w:gridAfter w:val="1"/>
          <w:wAfter w:w="28" w:type="dxa"/>
          <w:trHeight w:val="296"/>
          <w:jc w:val="center"/>
        </w:trPr>
        <w:tc>
          <w:tcPr>
            <w:tcW w:w="425" w:type="dxa"/>
            <w:shd w:val="clear" w:color="auto" w:fill="FBD4B4" w:themeFill="accent6" w:themeFillTint="66"/>
          </w:tcPr>
          <w:p w14:paraId="78BC77EA" w14:textId="77777777" w:rsidR="007C6A2B" w:rsidRPr="00847710" w:rsidRDefault="007C6A2B" w:rsidP="007C6A2B">
            <w:pPr>
              <w:spacing w:after="0" w:line="240" w:lineRule="auto"/>
              <w:rPr>
                <w:rFonts w:ascii="Times New Roman" w:eastAsia="Times New Roman" w:hAnsi="Times New Roman" w:cs="Times New Roman"/>
                <w:sz w:val="20"/>
                <w:szCs w:val="20"/>
                <w:lang w:eastAsia="lv-LV"/>
              </w:rPr>
            </w:pPr>
          </w:p>
        </w:tc>
        <w:tc>
          <w:tcPr>
            <w:tcW w:w="1276" w:type="dxa"/>
            <w:shd w:val="clear" w:color="auto" w:fill="FBD4B4" w:themeFill="accent6" w:themeFillTint="66"/>
            <w:vAlign w:val="bottom"/>
          </w:tcPr>
          <w:p w14:paraId="71515486" w14:textId="77777777" w:rsidR="007C6A2B" w:rsidRPr="007C6A2B" w:rsidRDefault="007C6A2B" w:rsidP="007C6A2B">
            <w:pPr>
              <w:spacing w:after="0" w:line="240" w:lineRule="auto"/>
              <w:rPr>
                <w:rFonts w:ascii="Times New Roman" w:eastAsia="Times New Roman" w:hAnsi="Times New Roman" w:cs="Times New Roman"/>
                <w:sz w:val="16"/>
                <w:szCs w:val="16"/>
                <w:lang w:eastAsia="lv-LV"/>
              </w:rPr>
            </w:pPr>
            <w:r w:rsidRPr="007C6A2B">
              <w:rPr>
                <w:rFonts w:ascii="Times New Roman" w:eastAsia="Times New Roman" w:hAnsi="Times New Roman" w:cs="Times New Roman"/>
                <w:sz w:val="16"/>
                <w:szCs w:val="16"/>
                <w:lang w:eastAsia="lv-LV"/>
              </w:rPr>
              <w:t>Kopā</w:t>
            </w:r>
          </w:p>
        </w:tc>
        <w:tc>
          <w:tcPr>
            <w:tcW w:w="709" w:type="dxa"/>
            <w:shd w:val="clear" w:color="auto" w:fill="FBD4B4" w:themeFill="accent6" w:themeFillTint="66"/>
          </w:tcPr>
          <w:p w14:paraId="44C8023C" w14:textId="77777777" w:rsidR="007C6A2B" w:rsidRPr="007C6A2B" w:rsidRDefault="007C6A2B" w:rsidP="007C6A2B">
            <w:pPr>
              <w:spacing w:after="0" w:line="240" w:lineRule="auto"/>
              <w:jc w:val="center"/>
              <w:rPr>
                <w:rFonts w:ascii="Times New Roman" w:eastAsia="Times New Roman" w:hAnsi="Times New Roman" w:cs="Times New Roman"/>
                <w:sz w:val="16"/>
                <w:szCs w:val="16"/>
                <w:lang w:eastAsia="lv-LV"/>
              </w:rPr>
            </w:pPr>
          </w:p>
        </w:tc>
        <w:tc>
          <w:tcPr>
            <w:tcW w:w="709" w:type="dxa"/>
            <w:shd w:val="clear" w:color="auto" w:fill="FBD4B4" w:themeFill="accent6" w:themeFillTint="66"/>
          </w:tcPr>
          <w:p w14:paraId="0D19CD2F" w14:textId="07E7056E" w:rsidR="007C6A2B" w:rsidRPr="007C6A2B" w:rsidRDefault="007C6A2B" w:rsidP="007C6A2B">
            <w:pPr>
              <w:spacing w:after="0" w:line="240" w:lineRule="auto"/>
              <w:jc w:val="center"/>
              <w:rPr>
                <w:rFonts w:ascii="Times New Roman" w:eastAsia="Times New Roman" w:hAnsi="Times New Roman" w:cs="Times New Roman"/>
                <w:sz w:val="16"/>
                <w:szCs w:val="16"/>
                <w:lang w:eastAsia="lv-LV"/>
              </w:rPr>
            </w:pPr>
          </w:p>
        </w:tc>
        <w:tc>
          <w:tcPr>
            <w:tcW w:w="708" w:type="dxa"/>
            <w:shd w:val="clear" w:color="auto" w:fill="FBD4B4" w:themeFill="accent6" w:themeFillTint="66"/>
            <w:noWrap/>
            <w:vAlign w:val="bottom"/>
          </w:tcPr>
          <w:p w14:paraId="58249715" w14:textId="76AAAF73" w:rsidR="007C6A2B" w:rsidRPr="00DD51F5" w:rsidRDefault="007C6A2B" w:rsidP="007C6A2B">
            <w:pPr>
              <w:spacing w:after="0" w:line="240" w:lineRule="auto"/>
              <w:jc w:val="center"/>
              <w:rPr>
                <w:rFonts w:ascii="Times New Roman" w:eastAsia="Times New Roman" w:hAnsi="Times New Roman" w:cs="Times New Roman"/>
                <w:b/>
                <w:sz w:val="16"/>
                <w:szCs w:val="16"/>
                <w:lang w:eastAsia="lv-LV"/>
              </w:rPr>
            </w:pPr>
          </w:p>
        </w:tc>
        <w:tc>
          <w:tcPr>
            <w:tcW w:w="993" w:type="dxa"/>
            <w:shd w:val="clear" w:color="auto" w:fill="FBD4B4" w:themeFill="accent6" w:themeFillTint="66"/>
            <w:vAlign w:val="center"/>
          </w:tcPr>
          <w:p w14:paraId="0EC4EAF5" w14:textId="37A4C2EE" w:rsidR="007C6A2B" w:rsidRPr="00DD51F5" w:rsidRDefault="007C6A2B" w:rsidP="007C6A2B">
            <w:pPr>
              <w:spacing w:after="0" w:line="240" w:lineRule="auto"/>
              <w:jc w:val="center"/>
              <w:rPr>
                <w:rFonts w:ascii="Times New Roman" w:hAnsi="Times New Roman" w:cs="Times New Roman"/>
                <w:b/>
                <w:sz w:val="16"/>
                <w:szCs w:val="16"/>
              </w:rPr>
            </w:pPr>
            <w:r w:rsidRPr="00DD51F5">
              <w:rPr>
                <w:rFonts w:ascii="Times New Roman" w:eastAsia="Times New Roman" w:hAnsi="Times New Roman" w:cs="Times New Roman"/>
                <w:b/>
                <w:bCs/>
                <w:sz w:val="16"/>
                <w:szCs w:val="16"/>
                <w:lang w:eastAsia="lv-LV"/>
              </w:rPr>
              <w:t>8 936 890</w:t>
            </w:r>
          </w:p>
        </w:tc>
        <w:tc>
          <w:tcPr>
            <w:tcW w:w="992" w:type="dxa"/>
            <w:shd w:val="clear" w:color="auto" w:fill="FBD4B4" w:themeFill="accent6" w:themeFillTint="66"/>
            <w:vAlign w:val="center"/>
          </w:tcPr>
          <w:p w14:paraId="337662D1" w14:textId="26C04C5F" w:rsidR="007C6A2B" w:rsidRPr="00DD51F5" w:rsidRDefault="007C6A2B" w:rsidP="007C6A2B">
            <w:pPr>
              <w:spacing w:after="0" w:line="240" w:lineRule="auto"/>
              <w:jc w:val="center"/>
              <w:rPr>
                <w:rFonts w:ascii="Times New Roman" w:hAnsi="Times New Roman" w:cs="Times New Roman"/>
                <w:b/>
                <w:sz w:val="16"/>
                <w:szCs w:val="16"/>
              </w:rPr>
            </w:pPr>
            <w:r w:rsidRPr="00DD51F5">
              <w:rPr>
                <w:rFonts w:ascii="Times New Roman" w:eastAsia="Times New Roman" w:hAnsi="Times New Roman" w:cs="Times New Roman"/>
                <w:b/>
                <w:bCs/>
                <w:sz w:val="16"/>
                <w:szCs w:val="16"/>
                <w:lang w:eastAsia="lv-LV"/>
              </w:rPr>
              <w:t>9 979 210</w:t>
            </w:r>
          </w:p>
        </w:tc>
        <w:tc>
          <w:tcPr>
            <w:tcW w:w="992" w:type="dxa"/>
            <w:shd w:val="clear" w:color="auto" w:fill="FBD4B4" w:themeFill="accent6" w:themeFillTint="66"/>
            <w:vAlign w:val="center"/>
          </w:tcPr>
          <w:p w14:paraId="5FB9AD09" w14:textId="40934565" w:rsidR="007C6A2B" w:rsidRPr="00DD51F5" w:rsidRDefault="007C6A2B" w:rsidP="007C6A2B">
            <w:pPr>
              <w:spacing w:after="0" w:line="240" w:lineRule="auto"/>
              <w:jc w:val="center"/>
              <w:rPr>
                <w:rFonts w:ascii="Times New Roman" w:hAnsi="Times New Roman" w:cs="Times New Roman"/>
                <w:b/>
                <w:sz w:val="16"/>
                <w:szCs w:val="16"/>
              </w:rPr>
            </w:pPr>
            <w:r w:rsidRPr="00DD51F5">
              <w:rPr>
                <w:rFonts w:ascii="Times New Roman" w:eastAsia="Times New Roman" w:hAnsi="Times New Roman" w:cs="Times New Roman"/>
                <w:b/>
                <w:bCs/>
                <w:sz w:val="16"/>
                <w:szCs w:val="16"/>
                <w:lang w:eastAsia="lv-LV"/>
              </w:rPr>
              <w:t>9 979 210</w:t>
            </w:r>
          </w:p>
        </w:tc>
        <w:tc>
          <w:tcPr>
            <w:tcW w:w="851" w:type="dxa"/>
            <w:shd w:val="clear" w:color="auto" w:fill="FBD4B4" w:themeFill="accent6" w:themeFillTint="66"/>
            <w:vAlign w:val="center"/>
          </w:tcPr>
          <w:p w14:paraId="71302C8D" w14:textId="77777777" w:rsidR="007C6A2B" w:rsidRPr="00DD51F5" w:rsidRDefault="007C6A2B" w:rsidP="007C6A2B">
            <w:pPr>
              <w:spacing w:after="0" w:line="240" w:lineRule="auto"/>
              <w:jc w:val="center"/>
              <w:rPr>
                <w:rFonts w:ascii="Times New Roman" w:hAnsi="Times New Roman" w:cs="Times New Roman"/>
                <w:b/>
                <w:sz w:val="16"/>
                <w:szCs w:val="16"/>
              </w:rPr>
            </w:pPr>
          </w:p>
        </w:tc>
        <w:tc>
          <w:tcPr>
            <w:tcW w:w="992" w:type="dxa"/>
            <w:shd w:val="clear" w:color="auto" w:fill="FBD4B4" w:themeFill="accent6" w:themeFillTint="66"/>
            <w:vAlign w:val="center"/>
          </w:tcPr>
          <w:p w14:paraId="602A07D8" w14:textId="59BB6AB6" w:rsidR="007C6A2B" w:rsidRPr="00DD51F5" w:rsidRDefault="007C6A2B" w:rsidP="007C6A2B">
            <w:pPr>
              <w:spacing w:after="0" w:line="240" w:lineRule="auto"/>
              <w:jc w:val="center"/>
              <w:rPr>
                <w:rFonts w:ascii="Times New Roman" w:hAnsi="Times New Roman" w:cs="Times New Roman"/>
                <w:b/>
                <w:sz w:val="16"/>
                <w:szCs w:val="16"/>
              </w:rPr>
            </w:pPr>
            <w:r w:rsidRPr="00DD51F5">
              <w:rPr>
                <w:rFonts w:ascii="Times New Roman" w:hAnsi="Times New Roman" w:cs="Times New Roman"/>
                <w:b/>
                <w:sz w:val="16"/>
                <w:szCs w:val="16"/>
              </w:rPr>
              <w:t>3 735 299</w:t>
            </w:r>
          </w:p>
        </w:tc>
        <w:tc>
          <w:tcPr>
            <w:tcW w:w="992" w:type="dxa"/>
            <w:shd w:val="clear" w:color="auto" w:fill="FBD4B4" w:themeFill="accent6" w:themeFillTint="66"/>
            <w:noWrap/>
            <w:vAlign w:val="center"/>
          </w:tcPr>
          <w:p w14:paraId="477BD597" w14:textId="68FB100F" w:rsidR="007C6A2B" w:rsidRPr="00DD51F5" w:rsidRDefault="007C6A2B" w:rsidP="007C6A2B">
            <w:pPr>
              <w:spacing w:after="0" w:line="240" w:lineRule="auto"/>
              <w:jc w:val="center"/>
              <w:rPr>
                <w:rFonts w:ascii="Times New Roman" w:eastAsia="Times New Roman" w:hAnsi="Times New Roman" w:cs="Times New Roman"/>
                <w:b/>
                <w:sz w:val="16"/>
                <w:szCs w:val="16"/>
                <w:lang w:eastAsia="lv-LV"/>
              </w:rPr>
            </w:pPr>
            <w:r w:rsidRPr="00DD51F5">
              <w:rPr>
                <w:rFonts w:ascii="Times New Roman" w:eastAsia="Times New Roman" w:hAnsi="Times New Roman" w:cs="Times New Roman"/>
                <w:b/>
                <w:sz w:val="16"/>
                <w:szCs w:val="16"/>
                <w:lang w:eastAsia="lv-LV"/>
              </w:rPr>
              <w:t>7 498 337</w:t>
            </w:r>
          </w:p>
        </w:tc>
        <w:tc>
          <w:tcPr>
            <w:tcW w:w="998" w:type="dxa"/>
            <w:shd w:val="clear" w:color="auto" w:fill="FBD4B4" w:themeFill="accent6" w:themeFillTint="66"/>
            <w:vAlign w:val="center"/>
          </w:tcPr>
          <w:p w14:paraId="74BDDFD0" w14:textId="4F1F2186" w:rsidR="007C6A2B" w:rsidRPr="00DD51F5" w:rsidRDefault="007C6A2B" w:rsidP="007C6A2B">
            <w:pPr>
              <w:spacing w:after="0" w:line="240" w:lineRule="auto"/>
              <w:jc w:val="center"/>
              <w:rPr>
                <w:rFonts w:ascii="Times New Roman" w:hAnsi="Times New Roman" w:cs="Times New Roman"/>
                <w:b/>
                <w:bCs/>
                <w:sz w:val="16"/>
                <w:szCs w:val="16"/>
              </w:rPr>
            </w:pPr>
            <w:r w:rsidRPr="00DD51F5">
              <w:rPr>
                <w:rFonts w:ascii="Times New Roman" w:eastAsia="Times New Roman" w:hAnsi="Times New Roman" w:cs="Times New Roman"/>
                <w:b/>
                <w:bCs/>
                <w:sz w:val="16"/>
                <w:szCs w:val="16"/>
                <w:lang w:eastAsia="lv-LV"/>
              </w:rPr>
              <w:t>2 291 510</w:t>
            </w:r>
          </w:p>
        </w:tc>
        <w:tc>
          <w:tcPr>
            <w:tcW w:w="992" w:type="dxa"/>
            <w:shd w:val="clear" w:color="auto" w:fill="FBD4B4" w:themeFill="accent6" w:themeFillTint="66"/>
            <w:vAlign w:val="center"/>
          </w:tcPr>
          <w:p w14:paraId="33402639" w14:textId="7855E406" w:rsidR="007C6A2B" w:rsidRPr="00DD51F5" w:rsidRDefault="007C6A2B" w:rsidP="007C6A2B">
            <w:pPr>
              <w:spacing w:after="0" w:line="240" w:lineRule="auto"/>
              <w:jc w:val="center"/>
              <w:rPr>
                <w:rFonts w:ascii="Times New Roman" w:hAnsi="Times New Roman" w:cs="Times New Roman"/>
                <w:b/>
                <w:bCs/>
                <w:sz w:val="16"/>
                <w:szCs w:val="16"/>
              </w:rPr>
            </w:pPr>
            <w:r w:rsidRPr="00DD51F5">
              <w:rPr>
                <w:rFonts w:ascii="Times New Roman" w:eastAsia="Times New Roman" w:hAnsi="Times New Roman" w:cs="Times New Roman"/>
                <w:b/>
                <w:bCs/>
                <w:sz w:val="16"/>
                <w:szCs w:val="16"/>
                <w:lang w:eastAsia="lv-LV"/>
              </w:rPr>
              <w:t>1 882 870</w:t>
            </w:r>
          </w:p>
        </w:tc>
        <w:tc>
          <w:tcPr>
            <w:tcW w:w="992" w:type="dxa"/>
            <w:shd w:val="clear" w:color="auto" w:fill="FBD4B4" w:themeFill="accent6" w:themeFillTint="66"/>
            <w:vAlign w:val="center"/>
          </w:tcPr>
          <w:p w14:paraId="3F0735B2" w14:textId="1219ABED" w:rsidR="007C6A2B" w:rsidRPr="00DD51F5" w:rsidRDefault="007C6A2B" w:rsidP="007C6A2B">
            <w:pPr>
              <w:spacing w:after="0" w:line="240" w:lineRule="auto"/>
              <w:jc w:val="center"/>
              <w:rPr>
                <w:rFonts w:ascii="Times New Roman" w:hAnsi="Times New Roman" w:cs="Times New Roman"/>
                <w:b/>
                <w:bCs/>
                <w:sz w:val="16"/>
                <w:szCs w:val="16"/>
              </w:rPr>
            </w:pPr>
            <w:r w:rsidRPr="00DD51F5">
              <w:rPr>
                <w:rFonts w:ascii="Times New Roman" w:eastAsia="Times New Roman" w:hAnsi="Times New Roman" w:cs="Times New Roman"/>
                <w:b/>
                <w:bCs/>
                <w:sz w:val="16"/>
                <w:szCs w:val="16"/>
                <w:lang w:eastAsia="lv-LV"/>
              </w:rPr>
              <w:t>1 882 870</w:t>
            </w:r>
          </w:p>
        </w:tc>
        <w:tc>
          <w:tcPr>
            <w:tcW w:w="992" w:type="dxa"/>
            <w:gridSpan w:val="2"/>
            <w:shd w:val="clear" w:color="auto" w:fill="FBD4B4" w:themeFill="accent6" w:themeFillTint="66"/>
            <w:vAlign w:val="center"/>
          </w:tcPr>
          <w:p w14:paraId="12A3B11A" w14:textId="7DE54C61" w:rsidR="007C6A2B" w:rsidRPr="00DD51F5" w:rsidRDefault="007C6A2B" w:rsidP="007C6A2B">
            <w:pPr>
              <w:spacing w:after="0" w:line="240" w:lineRule="auto"/>
              <w:jc w:val="center"/>
              <w:rPr>
                <w:rFonts w:ascii="Times New Roman" w:hAnsi="Times New Roman" w:cs="Times New Roman"/>
                <w:b/>
                <w:bCs/>
                <w:sz w:val="16"/>
                <w:szCs w:val="16"/>
              </w:rPr>
            </w:pPr>
            <w:r w:rsidRPr="00DD51F5">
              <w:rPr>
                <w:rFonts w:ascii="Times New Roman" w:eastAsia="Times New Roman" w:hAnsi="Times New Roman" w:cs="Times New Roman"/>
                <w:b/>
                <w:bCs/>
                <w:sz w:val="16"/>
                <w:szCs w:val="16"/>
                <w:lang w:eastAsia="lv-LV"/>
              </w:rPr>
              <w:t>2 291 510</w:t>
            </w:r>
          </w:p>
        </w:tc>
        <w:tc>
          <w:tcPr>
            <w:tcW w:w="993" w:type="dxa"/>
            <w:shd w:val="clear" w:color="auto" w:fill="FBD4B4" w:themeFill="accent6" w:themeFillTint="66"/>
            <w:vAlign w:val="center"/>
          </w:tcPr>
          <w:p w14:paraId="2CCDF834" w14:textId="12F1358E" w:rsidR="007C6A2B" w:rsidRPr="00DD51F5" w:rsidRDefault="007C6A2B" w:rsidP="007C6A2B">
            <w:pPr>
              <w:spacing w:after="0" w:line="240" w:lineRule="auto"/>
              <w:jc w:val="center"/>
              <w:rPr>
                <w:rFonts w:ascii="Times New Roman" w:hAnsi="Times New Roman" w:cs="Times New Roman"/>
                <w:b/>
                <w:bCs/>
                <w:sz w:val="16"/>
                <w:szCs w:val="16"/>
              </w:rPr>
            </w:pPr>
            <w:r w:rsidRPr="00DD51F5">
              <w:rPr>
                <w:rFonts w:ascii="Times New Roman" w:hAnsi="Times New Roman" w:cs="Times New Roman"/>
                <w:b/>
                <w:bCs/>
                <w:sz w:val="16"/>
                <w:szCs w:val="16"/>
              </w:rPr>
              <w:t>2 482 239</w:t>
            </w:r>
          </w:p>
        </w:tc>
        <w:tc>
          <w:tcPr>
            <w:tcW w:w="992" w:type="dxa"/>
            <w:shd w:val="clear" w:color="auto" w:fill="FBD4B4" w:themeFill="accent6" w:themeFillTint="66"/>
            <w:noWrap/>
            <w:vAlign w:val="center"/>
          </w:tcPr>
          <w:p w14:paraId="74B7C0D9" w14:textId="0E3C6730" w:rsidR="007C6A2B" w:rsidRPr="00DD51F5" w:rsidRDefault="007C6A2B" w:rsidP="007C6A2B">
            <w:pPr>
              <w:spacing w:after="0" w:line="240" w:lineRule="auto"/>
              <w:jc w:val="center"/>
              <w:rPr>
                <w:rFonts w:ascii="Times New Roman" w:eastAsia="Times New Roman" w:hAnsi="Times New Roman" w:cs="Times New Roman"/>
                <w:b/>
                <w:bCs/>
                <w:sz w:val="16"/>
                <w:szCs w:val="16"/>
                <w:lang w:eastAsia="lv-LV"/>
              </w:rPr>
            </w:pPr>
            <w:r w:rsidRPr="00DD51F5">
              <w:rPr>
                <w:rFonts w:ascii="Times New Roman" w:eastAsia="Times New Roman" w:hAnsi="Times New Roman" w:cs="Times New Roman"/>
                <w:b/>
                <w:bCs/>
                <w:sz w:val="16"/>
                <w:szCs w:val="16"/>
                <w:lang w:eastAsia="lv-LV"/>
              </w:rPr>
              <w:t>2 379 507</w:t>
            </w:r>
          </w:p>
        </w:tc>
      </w:tr>
    </w:tbl>
    <w:p w14:paraId="51608E2B" w14:textId="39001E49" w:rsidR="00654610" w:rsidRPr="00E11AFF" w:rsidRDefault="00466E9F" w:rsidP="007C6A2B">
      <w:pPr>
        <w:spacing w:after="0" w:line="264" w:lineRule="auto"/>
        <w:rPr>
          <w:rFonts w:ascii="Times New Roman" w:hAnsi="Times New Roman" w:cs="Times New Roman"/>
          <w:b/>
          <w:bCs/>
          <w:sz w:val="20"/>
          <w:szCs w:val="20"/>
        </w:rPr>
      </w:pPr>
      <w:r w:rsidRPr="007C6A2B">
        <w:rPr>
          <w:rFonts w:ascii="Times New Roman" w:hAnsi="Times New Roman" w:cs="Times New Roman"/>
          <w:color w:val="444444"/>
          <w:sz w:val="20"/>
          <w:szCs w:val="20"/>
          <w:shd w:val="clear" w:color="auto" w:fill="FFFFFF"/>
        </w:rPr>
        <w:t xml:space="preserve">*zobārstniecības bērniem apjoma palielinājums bāzes finansējums 2017.-2019.gadam norādīts pie pasākuma Zobārstniecības bērniem tarifa palielinājums </w:t>
      </w:r>
      <w:r w:rsidRPr="00E11AFF">
        <w:rPr>
          <w:rFonts w:ascii="Times New Roman" w:hAnsi="Times New Roman" w:cs="Times New Roman"/>
          <w:color w:val="444444"/>
          <w:sz w:val="20"/>
          <w:szCs w:val="20"/>
          <w:shd w:val="clear" w:color="auto" w:fill="FFFFFF"/>
        </w:rPr>
        <w:t>(pārējie tarifa elementi) manipulācijām</w:t>
      </w:r>
    </w:p>
    <w:p w14:paraId="714696BD" w14:textId="77777777" w:rsidR="00654610" w:rsidRDefault="00654610" w:rsidP="00766E9F">
      <w:pPr>
        <w:spacing w:after="0" w:line="264" w:lineRule="auto"/>
        <w:jc w:val="center"/>
        <w:rPr>
          <w:rFonts w:ascii="Times New Roman" w:hAnsi="Times New Roman" w:cs="Times New Roman"/>
          <w:b/>
          <w:bCs/>
          <w:sz w:val="24"/>
          <w:szCs w:val="24"/>
        </w:rPr>
      </w:pPr>
    </w:p>
    <w:p w14:paraId="69DFF400" w14:textId="4FA098AA" w:rsidR="00654610" w:rsidRDefault="00654610" w:rsidP="00766E9F">
      <w:pPr>
        <w:spacing w:after="0" w:line="264" w:lineRule="auto"/>
        <w:jc w:val="center"/>
        <w:rPr>
          <w:rFonts w:ascii="Times New Roman" w:hAnsi="Times New Roman" w:cs="Times New Roman"/>
          <w:b/>
          <w:bCs/>
          <w:sz w:val="24"/>
          <w:szCs w:val="24"/>
        </w:rPr>
      </w:pPr>
    </w:p>
    <w:p w14:paraId="5F0D847A" w14:textId="77777777" w:rsidR="00654610" w:rsidRPr="00847710" w:rsidRDefault="00654610" w:rsidP="007C6A2B">
      <w:pPr>
        <w:tabs>
          <w:tab w:val="left" w:pos="4536"/>
        </w:tabs>
        <w:spacing w:after="0" w:line="264" w:lineRule="auto"/>
        <w:jc w:val="center"/>
        <w:rPr>
          <w:rFonts w:ascii="Times New Roman" w:hAnsi="Times New Roman" w:cs="Times New Roman"/>
          <w:color w:val="000000"/>
          <w:sz w:val="24"/>
          <w:szCs w:val="24"/>
        </w:rPr>
      </w:pPr>
    </w:p>
    <w:p w14:paraId="3533B80F" w14:textId="77777777" w:rsidR="00654610" w:rsidRDefault="00654610" w:rsidP="00546B7E">
      <w:pPr>
        <w:spacing w:after="0" w:line="264" w:lineRule="auto"/>
        <w:jc w:val="both"/>
        <w:rPr>
          <w:rFonts w:ascii="Times New Roman" w:hAnsi="Times New Roman" w:cs="Times New Roman"/>
          <w:sz w:val="24"/>
          <w:szCs w:val="24"/>
          <w:lang w:eastAsia="lv-LV"/>
        </w:rPr>
        <w:sectPr w:rsidR="00654610" w:rsidSect="007C6A2B">
          <w:pgSz w:w="15840" w:h="12240" w:orient="landscape"/>
          <w:pgMar w:top="1701" w:right="1440" w:bottom="1440" w:left="1440" w:header="709" w:footer="709" w:gutter="0"/>
          <w:cols w:space="708"/>
          <w:docGrid w:linePitch="360"/>
        </w:sectPr>
      </w:pPr>
    </w:p>
    <w:p w14:paraId="02EB6419" w14:textId="2B13E48D" w:rsidR="00812C9E" w:rsidRPr="00847710" w:rsidRDefault="00812C9E" w:rsidP="00546B7E">
      <w:pPr>
        <w:spacing w:after="0" w:line="264" w:lineRule="auto"/>
        <w:jc w:val="both"/>
        <w:rPr>
          <w:rFonts w:ascii="Times New Roman" w:hAnsi="Times New Roman" w:cs="Times New Roman"/>
          <w:sz w:val="24"/>
          <w:szCs w:val="24"/>
          <w:lang w:eastAsia="lv-LV"/>
        </w:rPr>
      </w:pPr>
    </w:p>
    <w:p w14:paraId="45BFEC1A" w14:textId="53724D57" w:rsidR="0055587D" w:rsidRPr="00E93259" w:rsidRDefault="00407B25" w:rsidP="00E93259">
      <w:pPr>
        <w:spacing w:after="120"/>
        <w:ind w:firstLine="720"/>
        <w:jc w:val="both"/>
        <w:rPr>
          <w:rFonts w:ascii="Times New Roman" w:hAnsi="Times New Roman" w:cs="Times New Roman"/>
          <w:sz w:val="24"/>
          <w:szCs w:val="24"/>
        </w:rPr>
      </w:pPr>
      <w:r w:rsidRPr="00E93259">
        <w:rPr>
          <w:rStyle w:val="normaltextrun"/>
          <w:rFonts w:ascii="Times New Roman" w:hAnsi="Times New Roman" w:cs="Times New Roman"/>
          <w:color w:val="000000"/>
          <w:sz w:val="24"/>
          <w:szCs w:val="24"/>
          <w:shd w:val="clear" w:color="auto" w:fill="FFFFFF"/>
        </w:rPr>
        <w:t>Papildus no 2019.gada zobārstniecības apjoma palielinājumam nepieciešami </w:t>
      </w:r>
      <w:r w:rsidRPr="00E93259">
        <w:rPr>
          <w:rStyle w:val="normaltextrun"/>
          <w:rFonts w:ascii="Times New Roman" w:hAnsi="Times New Roman" w:cs="Times New Roman"/>
          <w:b/>
          <w:bCs/>
          <w:color w:val="000000"/>
          <w:sz w:val="24"/>
          <w:szCs w:val="24"/>
          <w:shd w:val="clear" w:color="auto" w:fill="FFFFFF"/>
        </w:rPr>
        <w:t> </w:t>
      </w:r>
      <w:r w:rsidR="007C6A2B">
        <w:rPr>
          <w:rStyle w:val="normaltextrun"/>
          <w:rFonts w:ascii="Times New Roman" w:hAnsi="Times New Roman" w:cs="Times New Roman"/>
          <w:b/>
          <w:bCs/>
          <w:color w:val="000000"/>
          <w:sz w:val="24"/>
          <w:szCs w:val="24"/>
          <w:shd w:val="clear" w:color="auto" w:fill="FFFFFF"/>
        </w:rPr>
        <w:t>3 760 061</w:t>
      </w:r>
      <w:r w:rsidR="008B266F">
        <w:rPr>
          <w:rStyle w:val="normaltextrun"/>
          <w:rFonts w:ascii="Times New Roman" w:hAnsi="Times New Roman" w:cs="Times New Roman"/>
          <w:b/>
          <w:bCs/>
          <w:color w:val="000000"/>
          <w:sz w:val="24"/>
          <w:szCs w:val="24"/>
          <w:shd w:val="clear" w:color="auto" w:fill="FFFFFF"/>
        </w:rPr>
        <w:t> </w:t>
      </w:r>
      <w:r w:rsidRPr="00E93259">
        <w:rPr>
          <w:rStyle w:val="spellingerror"/>
          <w:rFonts w:ascii="Times New Roman" w:hAnsi="Times New Roman" w:cs="Times New Roman"/>
          <w:b/>
          <w:bCs/>
          <w:i/>
          <w:iCs/>
          <w:color w:val="000000"/>
          <w:sz w:val="24"/>
          <w:szCs w:val="24"/>
          <w:shd w:val="clear" w:color="auto" w:fill="FFFFFF"/>
        </w:rPr>
        <w:t>euro</w:t>
      </w:r>
      <w:r w:rsidRPr="00E93259">
        <w:rPr>
          <w:rStyle w:val="normaltextrun"/>
          <w:rFonts w:ascii="Times New Roman" w:hAnsi="Times New Roman" w:cs="Times New Roman"/>
          <w:b/>
          <w:bCs/>
          <w:i/>
          <w:iCs/>
          <w:color w:val="000000"/>
          <w:sz w:val="24"/>
          <w:szCs w:val="24"/>
          <w:shd w:val="clear" w:color="auto" w:fill="FFFFFF"/>
        </w:rPr>
        <w:t> </w:t>
      </w:r>
      <w:r w:rsidRPr="00E93259">
        <w:rPr>
          <w:rStyle w:val="normaltextrun"/>
          <w:rFonts w:ascii="Times New Roman" w:hAnsi="Times New Roman" w:cs="Times New Roman"/>
          <w:color w:val="000000"/>
          <w:sz w:val="24"/>
          <w:szCs w:val="24"/>
          <w:shd w:val="clear" w:color="auto" w:fill="FFFFFF"/>
        </w:rPr>
        <w:t>(</w:t>
      </w:r>
      <w:r w:rsidR="008104BD">
        <w:rPr>
          <w:rStyle w:val="normaltextrun"/>
          <w:rFonts w:ascii="Times New Roman" w:hAnsi="Times New Roman" w:cs="Times New Roman"/>
          <w:color w:val="000000"/>
          <w:sz w:val="24"/>
          <w:szCs w:val="24"/>
          <w:shd w:val="clear" w:color="auto" w:fill="FFFFFF"/>
        </w:rPr>
        <w:t>62</w:t>
      </w:r>
      <w:r w:rsidRPr="00E93259">
        <w:rPr>
          <w:rStyle w:val="normaltextrun"/>
          <w:rFonts w:ascii="Times New Roman" w:hAnsi="Times New Roman" w:cs="Times New Roman"/>
          <w:color w:val="000000"/>
          <w:sz w:val="24"/>
          <w:szCs w:val="24"/>
          <w:shd w:val="clear" w:color="auto" w:fill="FFFFFF"/>
        </w:rPr>
        <w:t>.tabula), lai palielinātu apjomu par 1</w:t>
      </w:r>
      <w:r w:rsidR="007C6A2B">
        <w:rPr>
          <w:rStyle w:val="normaltextrun"/>
          <w:rFonts w:ascii="Times New Roman" w:hAnsi="Times New Roman" w:cs="Times New Roman"/>
          <w:color w:val="000000"/>
          <w:sz w:val="24"/>
          <w:szCs w:val="24"/>
          <w:shd w:val="clear" w:color="auto" w:fill="FFFFFF"/>
        </w:rPr>
        <w:t>32 630</w:t>
      </w:r>
      <w:r w:rsidRPr="00E93259">
        <w:rPr>
          <w:rStyle w:val="normaltextrun"/>
          <w:rFonts w:ascii="Times New Roman" w:hAnsi="Times New Roman" w:cs="Times New Roman"/>
          <w:color w:val="000000"/>
          <w:sz w:val="24"/>
          <w:szCs w:val="24"/>
          <w:shd w:val="clear" w:color="auto" w:fill="FFFFFF"/>
        </w:rPr>
        <w:t> apmeklējumiem, kas sekmēs zobārstniecības pakalpojumu pieejamību bērniem</w:t>
      </w:r>
      <w:r w:rsidR="0055587D" w:rsidRPr="00407B25">
        <w:rPr>
          <w:rFonts w:ascii="Times New Roman" w:hAnsi="Times New Roman" w:cs="Times New Roman"/>
          <w:sz w:val="24"/>
          <w:szCs w:val="24"/>
        </w:rPr>
        <w:t>.</w:t>
      </w:r>
    </w:p>
    <w:p w14:paraId="2FD47E95" w14:textId="77777777" w:rsidR="00FA3B58" w:rsidRPr="00821728" w:rsidRDefault="00FA3B58" w:rsidP="00E93259">
      <w:pPr>
        <w:spacing w:after="120"/>
        <w:ind w:firstLine="720"/>
        <w:jc w:val="both"/>
        <w:rPr>
          <w:rFonts w:ascii="Times New Roman" w:hAnsi="Times New Roman" w:cs="Times New Roman"/>
          <w:sz w:val="24"/>
          <w:szCs w:val="24"/>
        </w:rPr>
      </w:pPr>
    </w:p>
    <w:p w14:paraId="55F8B57C" w14:textId="3CFFC2E8" w:rsidR="00663981" w:rsidRPr="0060314D" w:rsidRDefault="005E1F8E" w:rsidP="00FB3E82">
      <w:pPr>
        <w:pStyle w:val="Heading2"/>
        <w:spacing w:before="0"/>
        <w:jc w:val="center"/>
        <w:rPr>
          <w:rFonts w:ascii="Times New Roman" w:hAnsi="Times New Roman" w:cs="Times New Roman"/>
          <w:b/>
          <w:sz w:val="24"/>
          <w:szCs w:val="24"/>
          <w:lang w:eastAsia="lv-LV"/>
        </w:rPr>
      </w:pPr>
      <w:r w:rsidRPr="00FB3E82">
        <w:rPr>
          <w:rFonts w:ascii="Times New Roman" w:hAnsi="Times New Roman" w:cs="Times New Roman"/>
          <w:b/>
          <w:bCs/>
          <w:color w:val="auto"/>
          <w:sz w:val="24"/>
          <w:szCs w:val="24"/>
          <w:u w:val="single"/>
        </w:rPr>
        <w:t>4.4.</w:t>
      </w:r>
      <w:r w:rsidR="00F35F64">
        <w:rPr>
          <w:rFonts w:ascii="Times New Roman" w:hAnsi="Times New Roman" w:cs="Times New Roman"/>
          <w:b/>
          <w:bCs/>
          <w:color w:val="auto"/>
          <w:sz w:val="24"/>
          <w:szCs w:val="24"/>
          <w:u w:val="single"/>
        </w:rPr>
        <w:t xml:space="preserve"> </w:t>
      </w:r>
      <w:r w:rsidR="00663981" w:rsidRPr="003E7389">
        <w:rPr>
          <w:rFonts w:ascii="Times New Roman" w:hAnsi="Times New Roman" w:cs="Times New Roman"/>
          <w:b/>
          <w:color w:val="auto"/>
          <w:sz w:val="24"/>
          <w:szCs w:val="24"/>
          <w:u w:val="single"/>
          <w:lang w:eastAsia="lv-LV"/>
        </w:rPr>
        <w:t xml:space="preserve">Jaunā reformas </w:t>
      </w:r>
      <w:r w:rsidR="00663981" w:rsidRPr="00750483">
        <w:rPr>
          <w:rFonts w:ascii="Times New Roman" w:hAnsi="Times New Roman" w:cs="Times New Roman"/>
          <w:b/>
          <w:color w:val="auto"/>
          <w:sz w:val="24"/>
          <w:szCs w:val="24"/>
          <w:u w:val="single"/>
          <w:lang w:eastAsia="lv-LV"/>
        </w:rPr>
        <w:t>iniciatīva 2019.gadam - Paplašināt jaundzimušo ģenētiski iedzimto slimību  skrīningu ar jauniem izmeklējumiem agrīnai ārstējamu patoloģiju diagnosticēšanai</w:t>
      </w:r>
    </w:p>
    <w:p w14:paraId="4F51E00F" w14:textId="5F25E680" w:rsidR="00155731" w:rsidRDefault="00155731" w:rsidP="00155731">
      <w:pPr>
        <w:spacing w:after="120"/>
        <w:jc w:val="both"/>
        <w:rPr>
          <w:rFonts w:ascii="Times New Roman" w:hAnsi="Times New Roman" w:cs="Times New Roman"/>
          <w:sz w:val="24"/>
          <w:szCs w:val="24"/>
          <w:shd w:val="clear" w:color="auto" w:fill="FFFFFF"/>
        </w:rPr>
      </w:pPr>
    </w:p>
    <w:p w14:paraId="2A9988E8" w14:textId="77777777" w:rsidR="00155731" w:rsidRDefault="00155731" w:rsidP="00051136">
      <w:pPr>
        <w:spacing w:after="120"/>
        <w:ind w:firstLine="720"/>
        <w:jc w:val="both"/>
        <w:rPr>
          <w:rFonts w:ascii="Times New Roman" w:hAnsi="Times New Roman" w:cs="Times New Roman"/>
          <w:sz w:val="24"/>
          <w:szCs w:val="24"/>
          <w:shd w:val="clear" w:color="auto" w:fill="FFFFFF"/>
        </w:rPr>
      </w:pPr>
      <w:r w:rsidRPr="001C26FC">
        <w:rPr>
          <w:rFonts w:ascii="Times New Roman" w:hAnsi="Times New Roman" w:cs="Times New Roman"/>
          <w:sz w:val="24"/>
          <w:szCs w:val="24"/>
          <w:shd w:val="clear" w:color="auto" w:fill="FFFFFF"/>
        </w:rPr>
        <w:t>Statistikas dati norāda uz to, ka demogrāfijas jomā Latvijā nav vērojama situācijas uzlabošanās. Jau vairāk kā desmit gadus dzimstība nepārsniedz mirstību. Dzemdību un dzimušo skaits Latvijā katru gadu samazinās. Ņemot vērā minēto, būtiski nodrošināt katra jaundzimušā veselības stāvokļa izvērtēšanu, savlaicīgu slimību diagnostiku un atbilstošu ārstēšanu, tādējādi nodrošinot darbspējīga indivīda attīstību</w:t>
      </w:r>
      <w:r>
        <w:rPr>
          <w:rFonts w:ascii="Times New Roman" w:hAnsi="Times New Roman" w:cs="Times New Roman"/>
          <w:sz w:val="24"/>
          <w:szCs w:val="24"/>
          <w:shd w:val="clear" w:color="auto" w:fill="FFFFFF"/>
        </w:rPr>
        <w:t>.</w:t>
      </w:r>
    </w:p>
    <w:p w14:paraId="4A9DF493" w14:textId="6B01A72D" w:rsidR="00663981" w:rsidRDefault="00663981" w:rsidP="00051136">
      <w:pPr>
        <w:spacing w:after="120"/>
        <w:ind w:firstLine="720"/>
        <w:jc w:val="both"/>
        <w:rPr>
          <w:rFonts w:ascii="Times New Roman" w:hAnsi="Times New Roman" w:cs="Times New Roman"/>
          <w:sz w:val="24"/>
          <w:szCs w:val="24"/>
        </w:rPr>
      </w:pPr>
      <w:r w:rsidRPr="006652A8">
        <w:rPr>
          <w:rFonts w:ascii="Times New Roman" w:hAnsi="Times New Roman" w:cs="Times New Roman"/>
          <w:sz w:val="24"/>
          <w:szCs w:val="24"/>
          <w:shd w:val="clear" w:color="auto" w:fill="FFFFFF"/>
        </w:rPr>
        <w:t>Agrīnai diagnostikai un ārstēšanas uzsākšanai ir noteicošā loma jautājumā par bērna izdzīvošanu vai turpmāko attīstību. Latvijā aptuveni 40 bērni ik gadus piedzimst ar kādu no iedzimtām vielmaiņas slimībām.</w:t>
      </w:r>
      <w:r w:rsidR="00155731">
        <w:rPr>
          <w:rFonts w:ascii="Times New Roman" w:hAnsi="Times New Roman" w:cs="Times New Roman"/>
          <w:sz w:val="24"/>
          <w:szCs w:val="24"/>
          <w:shd w:val="clear" w:color="auto" w:fill="FFFFFF"/>
        </w:rPr>
        <w:t xml:space="preserve"> </w:t>
      </w:r>
      <w:r w:rsidR="00155731" w:rsidRPr="00155731">
        <w:rPr>
          <w:rFonts w:ascii="Times New Roman" w:hAnsi="Times New Roman" w:cs="Times New Roman"/>
          <w:sz w:val="24"/>
          <w:szCs w:val="24"/>
        </w:rPr>
        <w:t xml:space="preserve">Ģenētikas nozares speciālisti iesaka papildus esošajiem diviem jaundzimušo </w:t>
      </w:r>
      <w:r w:rsidR="52B20BA9" w:rsidRPr="00E93259">
        <w:rPr>
          <w:rFonts w:ascii="Times New Roman" w:hAnsi="Times New Roman" w:cs="Times New Roman"/>
          <w:sz w:val="24"/>
          <w:szCs w:val="24"/>
        </w:rPr>
        <w:t>skrīningiem uzsākt četru pārmantotu slimību skrīningu (virsnieru hiperplāzija, galaktozēmija, cistiskā fibroze un biotinidāze).</w:t>
      </w:r>
    </w:p>
    <w:p w14:paraId="62C95346" w14:textId="77777777" w:rsidR="00663981" w:rsidRPr="006652A8" w:rsidRDefault="64AB90BD" w:rsidP="00E93259">
      <w:pPr>
        <w:pStyle w:val="NormalWeb"/>
        <w:shd w:val="clear" w:color="auto" w:fill="FFFFFF" w:themeFill="background1"/>
        <w:spacing w:before="0" w:beforeAutospacing="0" w:after="120" w:afterAutospacing="0" w:line="276" w:lineRule="auto"/>
        <w:jc w:val="both"/>
      </w:pPr>
      <w:r>
        <w:t xml:space="preserve">Paplašināta jaundzimušo </w:t>
      </w:r>
      <w:r w:rsidR="52B20BA9">
        <w:t>skrīninga mērķis ir:</w:t>
      </w:r>
    </w:p>
    <w:p w14:paraId="608C7FB1" w14:textId="712445F6" w:rsidR="00663981" w:rsidRPr="006652A8" w:rsidRDefault="64AB90BD" w:rsidP="00E93259">
      <w:pPr>
        <w:pStyle w:val="NormalWeb"/>
        <w:shd w:val="clear" w:color="auto" w:fill="FFFFFF" w:themeFill="background1"/>
        <w:spacing w:before="0" w:beforeAutospacing="0" w:after="120" w:afterAutospacing="0" w:line="276" w:lineRule="auto"/>
        <w:ind w:left="714" w:hanging="357"/>
        <w:jc w:val="both"/>
      </w:pPr>
      <w:r>
        <w:t xml:space="preserve">- identificēt pacientus ar virsnieru </w:t>
      </w:r>
      <w:r w:rsidRPr="3F576A31">
        <w:t>hiperplāziju</w:t>
      </w:r>
      <w:r w:rsidRPr="704995BB">
        <w:t xml:space="preserve"> </w:t>
      </w:r>
      <w:r w:rsidRPr="3F576A31">
        <w:t>presimptomātiski</w:t>
      </w:r>
      <w:r>
        <w:t xml:space="preserve">. Klasiskās virsnieru </w:t>
      </w:r>
      <w:r w:rsidRPr="3F576A31">
        <w:t>hiperplāzijas</w:t>
      </w:r>
      <w:r>
        <w:t xml:space="preserve"> incidence variē starp 1: 10 000 līdz 1: 20 000 dzīvi dzimušo bērnu. Pilnīgs enzīma trūkums ir apmēram 75% gadījumos, kad attīstās iedzimtas virsnieru </w:t>
      </w:r>
      <w:r w:rsidRPr="3F576A31">
        <w:t>hiperplāzijas</w:t>
      </w:r>
      <w:r w:rsidRPr="704995BB">
        <w:t xml:space="preserve"> </w:t>
      </w:r>
      <w:r w:rsidRPr="3F576A31">
        <w:t>sālszaudes</w:t>
      </w:r>
      <w:r>
        <w:t xml:space="preserve"> forma, kam raksturīga </w:t>
      </w:r>
      <w:r w:rsidRPr="00E93259">
        <w:t>hipovolēmija</w:t>
      </w:r>
      <w:r w:rsidRPr="704995BB">
        <w:t xml:space="preserve">, </w:t>
      </w:r>
      <w:r w:rsidRPr="00E93259">
        <w:t>hiponātriēmija</w:t>
      </w:r>
      <w:r w:rsidRPr="704995BB">
        <w:t xml:space="preserve">, </w:t>
      </w:r>
      <w:r w:rsidR="52B20BA9">
        <w:t>hiperkaliēmija</w:t>
      </w:r>
      <w:r w:rsidR="52B20BA9" w:rsidRPr="704995BB">
        <w:t xml:space="preserve">, </w:t>
      </w:r>
      <w:r w:rsidR="52B20BA9">
        <w:t xml:space="preserve">metabola acidoze un hipoglikēmija. Savlaicīgi nediagnosticējot slimību pacientam iestājas nāve. Agrīni diagnosticējot virsnieru hiperplāziju un atbilstoši uzsākot ārstēšanu ar steroīdu aizvietošanas terapiju tiek novērsta mirstība un samazinātas ilgtermiņa veselības problēmas, kā arī nodrošināta darbspējīga indivīda attīstība. </w:t>
      </w:r>
      <w:r w:rsidR="52B20BA9" w:rsidRPr="00E93259">
        <w:rPr>
          <w:i/>
          <w:iCs/>
        </w:rPr>
        <w:t>Meitenēm virsnieru garozas hiperplāzija biežāk tiek diagnosticēta pirms virsnieru krīzes, neskaidro ārējo dzimumorgānu dēļ, kuri dzimšanas brīdī ir tumšāki un virilizēti. Īpaši bīstama šī patoloģija ir zēniem, kuriem patoloģija nav vizualizējama pirms virsnieru krīzes, kas norāda cik svarīgi ir diagnosticēt iedzimtu virsnieru hiperplāziju presimptomātiski</w:t>
      </w:r>
      <w:r w:rsidR="52B20BA9">
        <w:t>. Latvijā 60% gadījumos diagnoze uzstādīta vēlīni, dekompensācijas stadijā, kad jau ir attīstījusies virsnieru krīze</w:t>
      </w:r>
      <w:r w:rsidR="52B20BA9" w:rsidRPr="00E93259">
        <w:rPr>
          <w:vertAlign w:val="superscript"/>
        </w:rPr>
        <w:t>37</w:t>
      </w:r>
      <w:r w:rsidR="52B20BA9" w:rsidRPr="704995BB">
        <w:t>.</w:t>
      </w:r>
    </w:p>
    <w:p w14:paraId="090B8C49" w14:textId="328DA1C0" w:rsidR="00663981" w:rsidRPr="006652A8" w:rsidRDefault="64AB90BD" w:rsidP="00E93259">
      <w:pPr>
        <w:pStyle w:val="NormalWeb"/>
        <w:shd w:val="clear" w:color="auto" w:fill="FFFFFF" w:themeFill="background1"/>
        <w:spacing w:before="0" w:beforeAutospacing="0" w:after="120" w:afterAutospacing="0" w:line="276" w:lineRule="auto"/>
        <w:ind w:left="714" w:hanging="357"/>
        <w:jc w:val="both"/>
      </w:pPr>
      <w:r>
        <w:t xml:space="preserve">- identificēt pacientus ar </w:t>
      </w:r>
      <w:r w:rsidRPr="3F576A31">
        <w:t>galaktozēmiju</w:t>
      </w:r>
      <w:r w:rsidRPr="704995BB">
        <w:t xml:space="preserve"> </w:t>
      </w:r>
      <w:r w:rsidRPr="00E93259">
        <w:t>presimptomātiski</w:t>
      </w:r>
      <w:r w:rsidRPr="3F576A31">
        <w:t xml:space="preserve">. Agrīni diagnosticējot šo saslimšanu un uzsākot agrīnu ārstēšanu izslēdzot no uztura </w:t>
      </w:r>
      <w:r w:rsidR="52B20BA9">
        <w:t xml:space="preserve">galaktozi saturošus produktus (kas izmaksu ziņā ir lētāk kā neārstēto gadījumu ārstēšana), tiek  novērsta mirstība un samazinātas ilgtermiņa veselības problēmas. Klīniskie simptomi parādās </w:t>
      </w:r>
      <w:r w:rsidR="52B20BA9">
        <w:lastRenderedPageBreak/>
        <w:t>pirmajās dzīves nedēļās. Neārstētos gadījumos jaundzimušajam parādās simptomi, sākot ar svara zudumu, vemšanu, diareju, letarģiju un hipotoniju, vēlāk pievienojas arī katarakta, hepatomegālija, dzelte, koagulācijas traucējumi un septicēmija, kas noved pie jaundzimušā nāves. Pēc literatūras datiem, pacientiem, kuriem veikts skrīnings, 93% gadījumos ārstēšana tiek uzsākta pirmo 15 dienu laikā, savukārt pacientu grupā, kurā nav veikts skrīnings, tikai 71% no diagnosticētajiem pacientiem ārstēšana tiek uzsākta 15 dienu laikā, bet tieši agrīna diagnostika un ārstēšana pirmās nedēļas līdz pirmo divu dzīves nedēļu laikā ar laktozi un galaktozi nesaturošu uzturu samazina aknu mazspējas un nāves risku. Latvijā galaktozēmija netiek diagnosticēta un viens no galvenajiem iemesliem ir jaundzimušo skrīninga neesamība. Par to liecina arī epidemioloģiskie dati, piemēram, Igaunijā kopš 1996.gada tiek veikts selektīvs jaundzimušo skrīnings un laika posmā līdz 2008.gadam, veicot apmēram 4 000 selektīvā skrīninga analīzes, diagnosticēti deviņi pacienti ar klasisko galaktozēmiju. Aprēķinātais galaktozēmijas biežums Igaunijā ir 1:19 700, kas ir augstāks nekā vidēji Eiropā. Pēc literatūrā sastopamiem epidemioloģiskiem datiem galaktozēmijas biežums Nīderlandē ir 1:30 000, Īrijā (atskaitot īru-ceļotājus, kur biežums ir 1:430) 1:33 917, Lielbritānijā 1:45 000, 1:50 000 Amerikas Savienotajās valstīs. Pēc Centrālās statistikas pārvaldes datu bāzē atrodamās informācijas 2014.gadā Latvijā ir dzīvi dzimuši 21 746 jaundzimušie, tātad vidēji Latvijā trīs gadu laikā vajadzētu būt diviem līdz trim pacientiem ar galaktozēmiju</w:t>
      </w:r>
      <w:r w:rsidR="52B20BA9" w:rsidRPr="00E93259">
        <w:rPr>
          <w:vertAlign w:val="superscript"/>
        </w:rPr>
        <w:t>38</w:t>
      </w:r>
      <w:r w:rsidR="52B20BA9" w:rsidRPr="704995BB">
        <w:t>.</w:t>
      </w:r>
    </w:p>
    <w:p w14:paraId="1B117DFA" w14:textId="75F4D702" w:rsidR="00663981" w:rsidRPr="006652A8" w:rsidRDefault="64AB90BD" w:rsidP="00E93259">
      <w:pPr>
        <w:pStyle w:val="NormalWeb"/>
        <w:shd w:val="clear" w:color="auto" w:fill="FFFFFF" w:themeFill="background1"/>
        <w:spacing w:before="0" w:beforeAutospacing="0" w:after="120" w:afterAutospacing="0" w:line="276" w:lineRule="auto"/>
        <w:ind w:left="714" w:hanging="357"/>
        <w:jc w:val="both"/>
      </w:pPr>
      <w:r>
        <w:t xml:space="preserve">- identificēt pacientus ar </w:t>
      </w:r>
      <w:r w:rsidRPr="00E93259">
        <w:t>cistisko</w:t>
      </w:r>
      <w:r>
        <w:t xml:space="preserve"> fibrozi </w:t>
      </w:r>
      <w:r w:rsidR="52B20BA9">
        <w:t>presimptomātiski, lai novērstu mirstību un samazinātu ilgtermiņa veselības problēmas, uzsākot agrīnu adekvātu ārstēšanu. Eiropā cistiskās fibrozes incidence ir aptuveni 1:3000 jaundzimušo un katru gadu piedzimst 6-7 bērni ar cistisko fibrozi. Slimības gaitas vieglas pakāpes gadījumos klīniski uzstādīt diagnozi nav iespējams. Novēlotas diagnostikas gadījumā no 6-7 cistiskās fibrozes pacientiem izdzīvo tikai 1-2 pacienti. Nopietnas slimības gaitas gadījumā ārstēšana ir dārga un mazefektīva, tai ir augsta letalitāte līdz 1 gada vecumam</w:t>
      </w:r>
      <w:r w:rsidR="52B20BA9" w:rsidRPr="00E93259">
        <w:rPr>
          <w:vertAlign w:val="superscript"/>
        </w:rPr>
        <w:t>39</w:t>
      </w:r>
      <w:r w:rsidR="52B20BA9">
        <w:t>. Ieviešot cistiskās fibrozes jaundzimušo skrīningu sagaidāms, ka 2020.gadā Latvijā būs divas reizes vairāk izdzīvojušu cistiskās fibrozes pacientu (ap 80), bet daļa no tiem būs ar vieglām slimības izpausmēm, (jo agrīni tiks uzsākta slimības profilakse un mērķtiecīga ārstēšana, nesagaidot slimības komplikācijas, tādējādi samazinot kopējās izmaksas no valsts budžeta) un darbspējīgi, kam nebūs nepieciešams veikt plaušu transplantāciju.</w:t>
      </w:r>
    </w:p>
    <w:p w14:paraId="091A8ECE" w14:textId="630942AD" w:rsidR="00663981" w:rsidRPr="006652A8" w:rsidRDefault="64AB90BD" w:rsidP="00E93259">
      <w:pPr>
        <w:pStyle w:val="NormalWeb"/>
        <w:shd w:val="clear" w:color="auto" w:fill="FFFFFF" w:themeFill="background1"/>
        <w:spacing w:before="0" w:beforeAutospacing="0" w:after="120" w:afterAutospacing="0" w:line="276" w:lineRule="auto"/>
        <w:ind w:left="714" w:hanging="357"/>
        <w:jc w:val="both"/>
      </w:pPr>
      <w:r>
        <w:t xml:space="preserve">- identificēt pacientus ar </w:t>
      </w:r>
      <w:r w:rsidRPr="3F576A31">
        <w:t>biotinidāzi</w:t>
      </w:r>
      <w:r w:rsidRPr="704995BB">
        <w:t xml:space="preserve"> </w:t>
      </w:r>
      <w:r w:rsidRPr="3F576A31">
        <w:t>presimptomātiski</w:t>
      </w:r>
      <w:r>
        <w:t xml:space="preserve">, lai novērstu mirstību un samazinātu ilgtermiņa veselības problēmas, uzsākot agrīnu ārstēšanu ar </w:t>
      </w:r>
      <w:r w:rsidRPr="3F576A31">
        <w:t>biotīnu</w:t>
      </w:r>
      <w:r>
        <w:t xml:space="preserve">. Pēc epidemioloģiskiem datiem, daļēja un pilnīga </w:t>
      </w:r>
      <w:r w:rsidRPr="00E93259">
        <w:t>biotinidāze</w:t>
      </w:r>
      <w:r w:rsidR="52B20BA9">
        <w:t xml:space="preserve"> deficīta kopējā incidence ir 1: 60000-61000. Neārstētos gadījumos, bērniem ar pilnīgu biotinidāzes deficītu, parādās viens vai vairāki no minētajiem simptomiem - hipotonija, letarģija, krampji, elpošanas traucējumi (stridors</w:t>
      </w:r>
      <w:r w:rsidR="52B20BA9" w:rsidRPr="704995BB">
        <w:t xml:space="preserve">, </w:t>
      </w:r>
      <w:r w:rsidR="52B20BA9">
        <w:t>hiperventilācija</w:t>
      </w:r>
      <w:r w:rsidR="52B20BA9" w:rsidRPr="704995BB">
        <w:t xml:space="preserve">), </w:t>
      </w:r>
      <w:r w:rsidR="52B20BA9">
        <w:t xml:space="preserve">ataksija, optiska atrofija, dzirdes zudums, kognitīvi traucējumi, ekzēmas tipa izsitumi, kandidoze, konjunktivīts vai alopēcija. Pilnīga enzīma deficīta gadījumā klīnisko simptomu parādīšanās vecums variē no vienas </w:t>
      </w:r>
      <w:r w:rsidR="52B20BA9">
        <w:lastRenderedPageBreak/>
        <w:t>nedēļas līdz pat desmit gadu vecumam (vidēji 3,5 mēneši). Neārstētos gadījumos biotinidāzes deficīts var novest pie komas un nāves. Terapija ar biotīnu uzlabo vispārējo stāvokli, taču optiskā atrofija, dzirdes zudums un kognitīvais deficīts parasti ir neatgriezeniski. Jaundzimušo skrīningā identificētajiem pacientiem, uzsākot terapiju presimptomātiski, novērojama normāla fiziskā un garīgā attīstība, pacienti ir klīniski veseli.. Ņemot vērā biotinidāzes deficīta incidenci Eiropā, arī Latvijā ir šādi pacienti dažādās vecuma grupās, kuriem nav precīzi uzstādīta diagnoze un kuriem joprojām nepieciešami lieli finansiāli ieguldījumi no valsts budžeta diagnostikai un simptomātiskai terapijai.</w:t>
      </w:r>
      <w:r w:rsidR="52B20BA9" w:rsidRPr="00E93259">
        <w:rPr>
          <w:vertAlign w:val="superscript"/>
        </w:rPr>
        <w:t>40</w:t>
      </w:r>
    </w:p>
    <w:p w14:paraId="648438D5" w14:textId="430E9FD8" w:rsidR="003E7389" w:rsidRPr="00436FB5" w:rsidRDefault="00663981" w:rsidP="00436FB5">
      <w:pPr>
        <w:spacing w:after="120"/>
        <w:ind w:firstLine="720"/>
        <w:jc w:val="both"/>
        <w:rPr>
          <w:rFonts w:ascii="Times New Roman" w:hAnsi="Times New Roman" w:cs="Times New Roman"/>
          <w:sz w:val="24"/>
          <w:szCs w:val="24"/>
          <w:u w:val="single"/>
          <w:shd w:val="clear" w:color="auto" w:fill="FFFFFF"/>
        </w:rPr>
      </w:pPr>
      <w:r w:rsidRPr="006652A8">
        <w:rPr>
          <w:rFonts w:ascii="Times New Roman" w:hAnsi="Times New Roman" w:cs="Times New Roman"/>
          <w:sz w:val="24"/>
          <w:szCs w:val="24"/>
          <w:shd w:val="clear" w:color="auto" w:fill="FFFFFF"/>
        </w:rPr>
        <w:t xml:space="preserve">Jaundzimušo </w:t>
      </w:r>
      <w:r w:rsidR="52B20BA9" w:rsidRPr="00E93259">
        <w:rPr>
          <w:rFonts w:ascii="Times New Roman" w:hAnsi="Times New Roman" w:cs="Times New Roman"/>
          <w:sz w:val="24"/>
          <w:szCs w:val="24"/>
        </w:rPr>
        <w:t xml:space="preserve">skrīningu virsnieru hiperplāzijai veic 17 ES valstis; galaktozēmijai veic 11 ES valstis; cistiskajai fibrozei veic 14 ES valstis, biotinidāzei veic 12 ES valstis. Par labu šai pieejai ir arī tas, ka Latvijā ir pieredze šo slimību ārstēšanā un terapija ir pieejama jau šobrīd. </w:t>
      </w:r>
    </w:p>
    <w:p w14:paraId="07295A82" w14:textId="77777777" w:rsidR="00DE1570" w:rsidRDefault="00DE1570" w:rsidP="007650A2">
      <w:pPr>
        <w:spacing w:after="120"/>
        <w:ind w:firstLine="720"/>
        <w:jc w:val="right"/>
        <w:rPr>
          <w:rFonts w:ascii="Times New Roman" w:hAnsi="Times New Roman" w:cs="Times New Roman"/>
          <w:i/>
          <w:iCs/>
          <w:color w:val="414142"/>
          <w:sz w:val="24"/>
          <w:szCs w:val="24"/>
          <w:shd w:val="clear" w:color="auto" w:fill="FFFFFF"/>
        </w:rPr>
        <w:sectPr w:rsidR="00DE1570" w:rsidSect="005115DB">
          <w:pgSz w:w="12240" w:h="15840"/>
          <w:pgMar w:top="1440" w:right="1440" w:bottom="1440" w:left="1701" w:header="708" w:footer="708" w:gutter="0"/>
          <w:cols w:space="708"/>
          <w:docGrid w:linePitch="360"/>
        </w:sectPr>
      </w:pPr>
    </w:p>
    <w:p w14:paraId="23A47E1C" w14:textId="06D6215D" w:rsidR="00663981" w:rsidRDefault="008104BD" w:rsidP="007650A2">
      <w:pPr>
        <w:spacing w:after="120"/>
        <w:ind w:firstLine="720"/>
        <w:jc w:val="right"/>
        <w:rPr>
          <w:rFonts w:ascii="Times New Roman" w:hAnsi="Times New Roman" w:cs="Times New Roman"/>
          <w:i/>
          <w:iCs/>
          <w:color w:val="414142"/>
          <w:sz w:val="24"/>
          <w:szCs w:val="24"/>
          <w:shd w:val="clear" w:color="auto" w:fill="FFFFFF"/>
        </w:rPr>
      </w:pPr>
      <w:r>
        <w:rPr>
          <w:rFonts w:ascii="Times New Roman" w:hAnsi="Times New Roman" w:cs="Times New Roman"/>
          <w:i/>
          <w:iCs/>
          <w:color w:val="414142"/>
          <w:sz w:val="24"/>
          <w:szCs w:val="24"/>
          <w:shd w:val="clear" w:color="auto" w:fill="FFFFFF"/>
        </w:rPr>
        <w:lastRenderedPageBreak/>
        <w:t>63</w:t>
      </w:r>
      <w:r w:rsidR="00226B25" w:rsidRPr="704995BB">
        <w:rPr>
          <w:rFonts w:ascii="Times New Roman" w:hAnsi="Times New Roman" w:cs="Times New Roman"/>
          <w:i/>
          <w:iCs/>
          <w:color w:val="414142"/>
          <w:sz w:val="24"/>
          <w:szCs w:val="24"/>
          <w:shd w:val="clear" w:color="auto" w:fill="FFFFFF"/>
        </w:rPr>
        <w:t>.tabula</w:t>
      </w:r>
    </w:p>
    <w:p w14:paraId="4A77E37F" w14:textId="41E55CB3" w:rsidR="003056EC" w:rsidRPr="00F756A5" w:rsidRDefault="003056EC" w:rsidP="00E11AFF">
      <w:pPr>
        <w:spacing w:after="120"/>
        <w:ind w:firstLine="720"/>
        <w:jc w:val="center"/>
        <w:rPr>
          <w:rFonts w:ascii="Times New Roman" w:hAnsi="Times New Roman" w:cs="Times New Roman"/>
          <w:b/>
          <w:iCs/>
          <w:sz w:val="24"/>
          <w:szCs w:val="24"/>
          <w:shd w:val="clear" w:color="auto" w:fill="FFFFFF"/>
        </w:rPr>
      </w:pPr>
      <w:r w:rsidRPr="00F756A5">
        <w:rPr>
          <w:rFonts w:ascii="Times New Roman" w:hAnsi="Times New Roman" w:cs="Times New Roman"/>
          <w:b/>
          <w:iCs/>
          <w:sz w:val="24"/>
          <w:szCs w:val="24"/>
          <w:shd w:val="clear" w:color="auto" w:fill="FFFFFF"/>
        </w:rPr>
        <w:t>Jaundzimušo skrīningam nepiecie</w:t>
      </w:r>
      <w:r w:rsidR="00B20B6D" w:rsidRPr="00F756A5">
        <w:rPr>
          <w:rFonts w:ascii="Times New Roman" w:hAnsi="Times New Roman" w:cs="Times New Roman"/>
          <w:b/>
          <w:iCs/>
          <w:sz w:val="24"/>
          <w:szCs w:val="24"/>
          <w:shd w:val="clear" w:color="auto" w:fill="FFFFFF"/>
        </w:rPr>
        <w:t>šamais finansējums 2017., 2018. un 2019.gadam</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993"/>
        <w:gridCol w:w="846"/>
        <w:gridCol w:w="850"/>
        <w:gridCol w:w="851"/>
        <w:gridCol w:w="850"/>
        <w:gridCol w:w="851"/>
        <w:gridCol w:w="992"/>
        <w:gridCol w:w="851"/>
        <w:gridCol w:w="850"/>
        <w:gridCol w:w="851"/>
        <w:gridCol w:w="708"/>
        <w:gridCol w:w="709"/>
        <w:gridCol w:w="851"/>
      </w:tblGrid>
      <w:tr w:rsidR="00B20B6D" w14:paraId="65E8423B" w14:textId="77777777" w:rsidTr="001257DC">
        <w:trPr>
          <w:cantSplit/>
          <w:trHeight w:val="1505"/>
          <w:jc w:val="center"/>
        </w:trPr>
        <w:tc>
          <w:tcPr>
            <w:tcW w:w="567" w:type="dxa"/>
            <w:shd w:val="clear" w:color="auto" w:fill="E36C0A" w:themeFill="accent6" w:themeFillShade="BF"/>
          </w:tcPr>
          <w:p w14:paraId="4BBA55E1" w14:textId="77777777" w:rsidR="00B20B6D" w:rsidRPr="00847710" w:rsidRDefault="00B20B6D" w:rsidP="00D1261D">
            <w:pPr>
              <w:spacing w:after="0" w:line="240" w:lineRule="auto"/>
              <w:rPr>
                <w:rFonts w:ascii="Times New Roman" w:eastAsia="Times New Roman" w:hAnsi="Times New Roman" w:cs="Times New Roman"/>
                <w:b/>
                <w:bCs/>
                <w:sz w:val="20"/>
                <w:szCs w:val="20"/>
                <w:lang w:eastAsia="lv-LV"/>
              </w:rPr>
            </w:pPr>
          </w:p>
        </w:tc>
        <w:tc>
          <w:tcPr>
            <w:tcW w:w="1275" w:type="dxa"/>
            <w:shd w:val="clear" w:color="auto" w:fill="E36C0A" w:themeFill="accent6" w:themeFillShade="BF"/>
            <w:vAlign w:val="center"/>
            <w:hideMark/>
          </w:tcPr>
          <w:p w14:paraId="467D6730" w14:textId="77777777" w:rsidR="00B20B6D" w:rsidRPr="00847710" w:rsidRDefault="00B20B6D" w:rsidP="00D1261D">
            <w:pPr>
              <w:spacing w:after="0" w:line="240" w:lineRule="auto"/>
              <w:rPr>
                <w:rFonts w:ascii="Times New Roman" w:eastAsia="Times New Roman" w:hAnsi="Times New Roman" w:cs="Times New Roman"/>
                <w:b/>
                <w:bCs/>
                <w:sz w:val="20"/>
                <w:szCs w:val="20"/>
                <w:lang w:eastAsia="lv-LV"/>
              </w:rPr>
            </w:pPr>
          </w:p>
        </w:tc>
        <w:tc>
          <w:tcPr>
            <w:tcW w:w="993" w:type="dxa"/>
            <w:shd w:val="clear" w:color="auto" w:fill="E36C0A" w:themeFill="accent6" w:themeFillShade="BF"/>
            <w:textDirection w:val="btLr"/>
            <w:vAlign w:val="center"/>
            <w:hideMark/>
          </w:tcPr>
          <w:p w14:paraId="53EC7D18" w14:textId="5F5A0657" w:rsidR="00B20B6D" w:rsidRPr="00847710" w:rsidRDefault="00B20B6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sidR="00E60428">
              <w:rPr>
                <w:rFonts w:ascii="Times New Roman" w:eastAsia="Times New Roman" w:hAnsi="Times New Roman" w:cs="Times New Roman"/>
                <w:b/>
                <w:bCs/>
                <w:sz w:val="20"/>
                <w:szCs w:val="20"/>
                <w:lang w:eastAsia="lv-LV"/>
              </w:rPr>
              <w:t>vidējās skrīninga</w:t>
            </w:r>
          </w:p>
          <w:p w14:paraId="3287E7B3" w14:textId="77777777" w:rsidR="00B20B6D" w:rsidRPr="00847710" w:rsidRDefault="00B20B6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22D079AC" w14:textId="77777777" w:rsidR="00B20B6D" w:rsidRPr="00847710" w:rsidRDefault="00B20B6D"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2547" w:type="dxa"/>
            <w:gridSpan w:val="3"/>
            <w:shd w:val="clear" w:color="auto" w:fill="E36C0A" w:themeFill="accent6" w:themeFillShade="BF"/>
            <w:textDirection w:val="btLr"/>
            <w:vAlign w:val="center"/>
          </w:tcPr>
          <w:p w14:paraId="32D88571" w14:textId="77777777" w:rsidR="00B20B6D" w:rsidRPr="00847710" w:rsidRDefault="00B20B6D"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693" w:type="dxa"/>
            <w:gridSpan w:val="3"/>
            <w:shd w:val="clear" w:color="auto" w:fill="E36C0A" w:themeFill="accent6" w:themeFillShade="BF"/>
            <w:textDirection w:val="btLr"/>
            <w:vAlign w:val="center"/>
          </w:tcPr>
          <w:p w14:paraId="3783FE3E" w14:textId="77777777" w:rsidR="00B20B6D" w:rsidRPr="00847710" w:rsidRDefault="00B20B6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52" w:type="dxa"/>
            <w:gridSpan w:val="3"/>
            <w:shd w:val="clear" w:color="auto" w:fill="E36C0A" w:themeFill="accent6" w:themeFillShade="BF"/>
            <w:textDirection w:val="btLr"/>
            <w:vAlign w:val="center"/>
          </w:tcPr>
          <w:p w14:paraId="5DBD6138" w14:textId="77777777" w:rsidR="00B20B6D" w:rsidRPr="00847710" w:rsidRDefault="00B20B6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268" w:type="dxa"/>
            <w:gridSpan w:val="3"/>
            <w:shd w:val="clear" w:color="auto" w:fill="E36C0A" w:themeFill="accent6" w:themeFillShade="BF"/>
            <w:textDirection w:val="btLr"/>
            <w:vAlign w:val="center"/>
          </w:tcPr>
          <w:p w14:paraId="4547933C" w14:textId="4B4B00C7" w:rsidR="00B20B6D" w:rsidRPr="00847710" w:rsidRDefault="00B20B6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C104C1">
              <w:rPr>
                <w:rFonts w:ascii="Times New Roman" w:eastAsia="Times New Roman" w:hAnsi="Times New Roman" w:cs="Times New Roman"/>
                <w:b/>
                <w:bCs/>
                <w:sz w:val="20"/>
                <w:szCs w:val="20"/>
                <w:lang w:eastAsia="lv-LV"/>
              </w:rPr>
              <w:t xml:space="preserve">skrīningu </w:t>
            </w:r>
            <w:r w:rsidRPr="00847710">
              <w:rPr>
                <w:rFonts w:ascii="Times New Roman" w:eastAsia="Times New Roman" w:hAnsi="Times New Roman" w:cs="Times New Roman"/>
                <w:b/>
                <w:bCs/>
                <w:sz w:val="20"/>
                <w:szCs w:val="20"/>
                <w:lang w:eastAsia="lv-LV"/>
              </w:rPr>
              <w:t>skaits pēc finansējuma piešķīruma</w:t>
            </w:r>
          </w:p>
        </w:tc>
      </w:tr>
      <w:tr w:rsidR="001257DC" w14:paraId="0E22B2D6" w14:textId="77777777" w:rsidTr="001257DC">
        <w:trPr>
          <w:trHeight w:val="640"/>
          <w:jc w:val="center"/>
        </w:trPr>
        <w:tc>
          <w:tcPr>
            <w:tcW w:w="567" w:type="dxa"/>
            <w:shd w:val="clear" w:color="auto" w:fill="FABF8F" w:themeFill="accent6" w:themeFillTint="99"/>
          </w:tcPr>
          <w:p w14:paraId="1A41BEAF"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p>
        </w:tc>
        <w:tc>
          <w:tcPr>
            <w:tcW w:w="1275" w:type="dxa"/>
            <w:shd w:val="clear" w:color="auto" w:fill="FABF8F" w:themeFill="accent6" w:themeFillTint="99"/>
            <w:vAlign w:val="center"/>
          </w:tcPr>
          <w:p w14:paraId="673CEC9B"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p>
        </w:tc>
        <w:tc>
          <w:tcPr>
            <w:tcW w:w="993" w:type="dxa"/>
            <w:shd w:val="clear" w:color="auto" w:fill="FABF8F" w:themeFill="accent6" w:themeFillTint="99"/>
            <w:vAlign w:val="center"/>
          </w:tcPr>
          <w:p w14:paraId="274DD685" w14:textId="77777777" w:rsidR="00B20B6D" w:rsidRPr="00847710" w:rsidRDefault="00B20B6D"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702B687B"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46" w:type="dxa"/>
            <w:shd w:val="clear" w:color="auto" w:fill="FABF8F" w:themeFill="accent6" w:themeFillTint="99"/>
            <w:vAlign w:val="center"/>
          </w:tcPr>
          <w:p w14:paraId="4C54316A" w14:textId="77777777" w:rsidR="00B20B6D"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54F89DBA" w14:textId="77777777" w:rsidR="00B20B6D" w:rsidRPr="0012317D" w:rsidRDefault="00B20B6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60C7C9D3" w14:textId="77777777" w:rsidR="00B20B6D"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B969B03" w14:textId="77777777" w:rsidR="00B20B6D" w:rsidRPr="0012317D" w:rsidRDefault="00B20B6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0BC5A97F" w14:textId="77777777" w:rsidR="00B20B6D"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390413BA" w14:textId="77777777" w:rsidR="00B20B6D" w:rsidRPr="0012317D" w:rsidRDefault="00B20B6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6C758EF3" w14:textId="77777777" w:rsidR="00B20B6D"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74F9EBF2" w14:textId="77777777" w:rsidR="00B20B6D" w:rsidRPr="0012317D" w:rsidRDefault="00B20B6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32DDA3DE" w14:textId="77777777" w:rsidR="00B20B6D"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7BE44659" w14:textId="77777777" w:rsidR="00B20B6D" w:rsidRPr="0012317D" w:rsidRDefault="00B20B6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7F6BC834" w14:textId="77777777" w:rsidR="00B20B6D" w:rsidRPr="00C86312" w:rsidRDefault="00B20B6D"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64EC671A" w14:textId="77777777" w:rsidR="00B20B6D" w:rsidRPr="00C86312" w:rsidRDefault="00B20B6D"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5C3C4628"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0" w:type="dxa"/>
            <w:shd w:val="clear" w:color="auto" w:fill="FABF8F" w:themeFill="accent6" w:themeFillTint="99"/>
            <w:vAlign w:val="center"/>
          </w:tcPr>
          <w:p w14:paraId="0F5C5416"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64128484"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8" w:type="dxa"/>
            <w:shd w:val="clear" w:color="auto" w:fill="FABF8F" w:themeFill="accent6" w:themeFillTint="99"/>
            <w:vAlign w:val="center"/>
          </w:tcPr>
          <w:p w14:paraId="3572A275"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09CF2891"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6B53EFC8" w14:textId="77777777" w:rsidR="00B20B6D" w:rsidRPr="00847710" w:rsidRDefault="00B20B6D"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1257DC" w14:paraId="012F5803" w14:textId="77777777" w:rsidTr="001257DC">
        <w:trPr>
          <w:trHeight w:val="598"/>
          <w:jc w:val="center"/>
        </w:trPr>
        <w:tc>
          <w:tcPr>
            <w:tcW w:w="567" w:type="dxa"/>
            <w:shd w:val="clear" w:color="auto" w:fill="FFFFFF" w:themeFill="background1"/>
          </w:tcPr>
          <w:p w14:paraId="643373DD" w14:textId="77777777" w:rsidR="00B20B6D" w:rsidRPr="00E1067B" w:rsidRDefault="00B20B6D"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275" w:type="dxa"/>
            <w:shd w:val="clear" w:color="auto" w:fill="FFFFFF" w:themeFill="background1"/>
            <w:vAlign w:val="center"/>
          </w:tcPr>
          <w:p w14:paraId="24F0C100" w14:textId="30933A8A" w:rsidR="00B20B6D" w:rsidRPr="00E1067B" w:rsidRDefault="00861960" w:rsidP="00D1261D">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Jaundzi</w:t>
            </w:r>
            <w:r w:rsidR="00B05B8E">
              <w:rPr>
                <w:rFonts w:ascii="Times New Roman" w:eastAsia="Times New Roman" w:hAnsi="Times New Roman" w:cs="Times New Roman"/>
                <w:bCs/>
                <w:sz w:val="20"/>
                <w:szCs w:val="20"/>
                <w:lang w:eastAsia="lv-LV"/>
              </w:rPr>
              <w:t>mušo skrīnings</w:t>
            </w:r>
          </w:p>
        </w:tc>
        <w:tc>
          <w:tcPr>
            <w:tcW w:w="993" w:type="dxa"/>
            <w:shd w:val="clear" w:color="auto" w:fill="FFFFFF" w:themeFill="background1"/>
            <w:vAlign w:val="center"/>
          </w:tcPr>
          <w:p w14:paraId="4328DD10" w14:textId="1B399853" w:rsidR="00B20B6D" w:rsidRPr="00E1067B" w:rsidRDefault="00B20B6D" w:rsidP="00D1261D">
            <w:pPr>
              <w:spacing w:after="0" w:line="240" w:lineRule="auto"/>
              <w:jc w:val="center"/>
              <w:rPr>
                <w:rFonts w:ascii="Times New Roman" w:eastAsia="Times New Roman" w:hAnsi="Times New Roman" w:cs="Times New Roman"/>
                <w:iCs/>
                <w:sz w:val="20"/>
                <w:szCs w:val="20"/>
                <w:lang w:eastAsia="lv-LV"/>
              </w:rPr>
            </w:pPr>
          </w:p>
        </w:tc>
        <w:tc>
          <w:tcPr>
            <w:tcW w:w="846" w:type="dxa"/>
            <w:shd w:val="clear" w:color="auto" w:fill="FFFFFF" w:themeFill="background1"/>
            <w:vAlign w:val="center"/>
          </w:tcPr>
          <w:p w14:paraId="11B59445" w14:textId="77777777" w:rsidR="00B20B6D" w:rsidRDefault="00B20B6D"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E05CC4A" w14:textId="77777777" w:rsidR="00B20B6D" w:rsidRDefault="00B20B6D"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F7B400C" w14:textId="77777777" w:rsidR="00B20B6D" w:rsidRPr="00E1067B" w:rsidRDefault="00B20B6D"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654EE4A" w14:textId="77777777" w:rsidR="00B20B6D" w:rsidRDefault="00B20B6D"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346763C" w14:textId="77777777" w:rsidR="00B20B6D" w:rsidRDefault="00B20B6D"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31329E42" w14:textId="780609A1" w:rsidR="00B20B6D" w:rsidRPr="004C54D3" w:rsidRDefault="00B05B8E" w:rsidP="00D1261D">
            <w:pPr>
              <w:spacing w:after="0" w:line="240" w:lineRule="auto"/>
              <w:jc w:val="center"/>
              <w:rPr>
                <w:rFonts w:ascii="Times New Roman" w:eastAsia="Times New Roman" w:hAnsi="Times New Roman" w:cs="Times New Roman"/>
                <w:bCs/>
                <w:sz w:val="20"/>
                <w:szCs w:val="20"/>
                <w:lang w:eastAsia="lv-LV"/>
              </w:rPr>
            </w:pPr>
            <w:r w:rsidRPr="004C54D3">
              <w:rPr>
                <w:rFonts w:ascii="Times New Roman" w:hAnsi="Times New Roman" w:cs="Times New Roman"/>
                <w:sz w:val="20"/>
                <w:szCs w:val="20"/>
              </w:rPr>
              <w:t>361 062</w:t>
            </w:r>
            <w:r w:rsidR="00B20B6D" w:rsidRPr="004C54D3">
              <w:rPr>
                <w:rFonts w:ascii="Times New Roman" w:hAnsi="Times New Roman" w:cs="Times New Roman"/>
                <w:sz w:val="20"/>
                <w:szCs w:val="20"/>
              </w:rPr>
              <w:t xml:space="preserve">  </w:t>
            </w:r>
          </w:p>
        </w:tc>
        <w:tc>
          <w:tcPr>
            <w:tcW w:w="851" w:type="dxa"/>
            <w:shd w:val="clear" w:color="auto" w:fill="FFFFFF" w:themeFill="background1"/>
            <w:vAlign w:val="center"/>
          </w:tcPr>
          <w:p w14:paraId="7DEE283C" w14:textId="77777777" w:rsidR="00B20B6D" w:rsidRPr="004C54D3" w:rsidRDefault="00B20B6D" w:rsidP="00D1261D">
            <w:pPr>
              <w:spacing w:after="0" w:line="240" w:lineRule="auto"/>
              <w:jc w:val="center"/>
              <w:rPr>
                <w:rFonts w:ascii="Times New Roman" w:eastAsia="Times New Roman" w:hAnsi="Times New Roman" w:cs="Times New Roman"/>
                <w:bCs/>
                <w:sz w:val="20"/>
                <w:szCs w:val="20"/>
                <w:lang w:eastAsia="lv-LV"/>
              </w:rPr>
            </w:pPr>
            <w:r w:rsidRPr="004C54D3">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348A72F8" w14:textId="77777777" w:rsidR="00B20B6D" w:rsidRPr="004C54D3" w:rsidRDefault="00B20B6D" w:rsidP="00D1261D">
            <w:pPr>
              <w:spacing w:after="0" w:line="240" w:lineRule="auto"/>
              <w:jc w:val="center"/>
              <w:rPr>
                <w:rFonts w:ascii="Times New Roman" w:eastAsia="Times New Roman" w:hAnsi="Times New Roman" w:cs="Times New Roman"/>
                <w:bCs/>
                <w:sz w:val="20"/>
                <w:szCs w:val="20"/>
                <w:lang w:eastAsia="lv-LV"/>
              </w:rPr>
            </w:pPr>
            <w:r w:rsidRPr="004C54D3">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E696099" w14:textId="77777777" w:rsidR="00B20B6D" w:rsidRPr="004C54D3" w:rsidRDefault="00B20B6D" w:rsidP="00D1261D">
            <w:pPr>
              <w:spacing w:after="0" w:line="240" w:lineRule="auto"/>
              <w:jc w:val="center"/>
              <w:rPr>
                <w:rFonts w:ascii="Times New Roman" w:eastAsia="Times New Roman" w:hAnsi="Times New Roman" w:cs="Times New Roman"/>
                <w:bCs/>
                <w:sz w:val="20"/>
                <w:szCs w:val="20"/>
                <w:lang w:eastAsia="lv-LV"/>
              </w:rPr>
            </w:pPr>
            <w:r w:rsidRPr="004C54D3">
              <w:rPr>
                <w:rFonts w:ascii="Times New Roman" w:eastAsia="Times New Roman" w:hAnsi="Times New Roman" w:cs="Times New Roman"/>
                <w:bCs/>
                <w:sz w:val="20"/>
                <w:szCs w:val="20"/>
                <w:lang w:eastAsia="lv-LV"/>
              </w:rPr>
              <w:t>-</w:t>
            </w:r>
          </w:p>
        </w:tc>
        <w:tc>
          <w:tcPr>
            <w:tcW w:w="708" w:type="dxa"/>
            <w:shd w:val="clear" w:color="auto" w:fill="FFFFFF" w:themeFill="background1"/>
            <w:vAlign w:val="center"/>
          </w:tcPr>
          <w:p w14:paraId="6BAB9284" w14:textId="77777777" w:rsidR="00B20B6D" w:rsidRPr="004C54D3" w:rsidRDefault="00B20B6D" w:rsidP="00D1261D">
            <w:pPr>
              <w:spacing w:after="0" w:line="240" w:lineRule="auto"/>
              <w:jc w:val="center"/>
              <w:rPr>
                <w:rFonts w:ascii="Times New Roman" w:eastAsia="Times New Roman" w:hAnsi="Times New Roman" w:cs="Times New Roman"/>
                <w:bCs/>
                <w:sz w:val="20"/>
                <w:szCs w:val="20"/>
                <w:lang w:eastAsia="lv-LV"/>
              </w:rPr>
            </w:pPr>
            <w:r w:rsidRPr="004C54D3">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020AFFD" w14:textId="77777777" w:rsidR="00B20B6D" w:rsidRPr="004C54D3" w:rsidRDefault="00B20B6D" w:rsidP="00D1261D">
            <w:pPr>
              <w:spacing w:after="0" w:line="240" w:lineRule="auto"/>
              <w:jc w:val="center"/>
              <w:rPr>
                <w:rFonts w:ascii="Times New Roman" w:eastAsia="Times New Roman" w:hAnsi="Times New Roman" w:cs="Times New Roman"/>
                <w:bCs/>
                <w:sz w:val="20"/>
                <w:szCs w:val="20"/>
                <w:lang w:eastAsia="lv-LV"/>
              </w:rPr>
            </w:pPr>
            <w:r w:rsidRPr="004C54D3">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10C553F" w14:textId="12958C40" w:rsidR="00B20B6D" w:rsidRPr="004C54D3" w:rsidRDefault="00B05B8E" w:rsidP="00D1261D">
            <w:pPr>
              <w:spacing w:after="0" w:line="240" w:lineRule="auto"/>
              <w:jc w:val="center"/>
              <w:rPr>
                <w:rFonts w:ascii="Times New Roman" w:eastAsia="Times New Roman" w:hAnsi="Times New Roman" w:cs="Times New Roman"/>
                <w:bCs/>
                <w:sz w:val="20"/>
                <w:szCs w:val="20"/>
                <w:lang w:eastAsia="lv-LV"/>
              </w:rPr>
            </w:pPr>
            <w:r w:rsidRPr="004C54D3">
              <w:rPr>
                <w:rFonts w:ascii="Times New Roman" w:eastAsia="Times New Roman" w:hAnsi="Times New Roman" w:cs="Times New Roman"/>
                <w:bCs/>
                <w:sz w:val="20"/>
                <w:szCs w:val="20"/>
                <w:lang w:eastAsia="lv-LV"/>
              </w:rPr>
              <w:t>11 000</w:t>
            </w:r>
          </w:p>
        </w:tc>
      </w:tr>
      <w:tr w:rsidR="001257DC" w14:paraId="2EDDC0F8" w14:textId="77777777" w:rsidTr="001257DC">
        <w:trPr>
          <w:trHeight w:val="296"/>
          <w:jc w:val="center"/>
        </w:trPr>
        <w:tc>
          <w:tcPr>
            <w:tcW w:w="567" w:type="dxa"/>
            <w:shd w:val="clear" w:color="auto" w:fill="FBD4B4" w:themeFill="accent6" w:themeFillTint="66"/>
          </w:tcPr>
          <w:p w14:paraId="27B37831" w14:textId="77777777" w:rsidR="00B20B6D" w:rsidRPr="00847710" w:rsidRDefault="00B20B6D" w:rsidP="00D1261D">
            <w:pPr>
              <w:spacing w:after="0" w:line="240" w:lineRule="auto"/>
              <w:rPr>
                <w:rFonts w:ascii="Times New Roman" w:eastAsia="Times New Roman" w:hAnsi="Times New Roman" w:cs="Times New Roman"/>
                <w:sz w:val="20"/>
                <w:szCs w:val="20"/>
                <w:lang w:eastAsia="lv-LV"/>
              </w:rPr>
            </w:pPr>
          </w:p>
        </w:tc>
        <w:tc>
          <w:tcPr>
            <w:tcW w:w="1275" w:type="dxa"/>
            <w:shd w:val="clear" w:color="auto" w:fill="FBD4B4" w:themeFill="accent6" w:themeFillTint="66"/>
            <w:vAlign w:val="bottom"/>
          </w:tcPr>
          <w:p w14:paraId="2B16B9AF" w14:textId="77777777" w:rsidR="00B20B6D" w:rsidRPr="00847710" w:rsidRDefault="00B20B6D" w:rsidP="00D1261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3" w:type="dxa"/>
            <w:shd w:val="clear" w:color="auto" w:fill="FBD4B4" w:themeFill="accent6" w:themeFillTint="66"/>
            <w:noWrap/>
            <w:vAlign w:val="bottom"/>
          </w:tcPr>
          <w:p w14:paraId="21DE25CC" w14:textId="77777777" w:rsidR="00B20B6D" w:rsidRPr="00847710" w:rsidRDefault="00B20B6D" w:rsidP="00D1261D">
            <w:pPr>
              <w:spacing w:after="0" w:line="240" w:lineRule="auto"/>
              <w:jc w:val="center"/>
              <w:rPr>
                <w:rFonts w:ascii="Times New Roman" w:eastAsia="Times New Roman" w:hAnsi="Times New Roman" w:cs="Times New Roman"/>
                <w:sz w:val="20"/>
                <w:szCs w:val="20"/>
                <w:lang w:eastAsia="lv-LV"/>
              </w:rPr>
            </w:pPr>
          </w:p>
        </w:tc>
        <w:tc>
          <w:tcPr>
            <w:tcW w:w="846" w:type="dxa"/>
            <w:shd w:val="clear" w:color="auto" w:fill="FBD4B4" w:themeFill="accent6" w:themeFillTint="66"/>
            <w:vAlign w:val="center"/>
          </w:tcPr>
          <w:p w14:paraId="625CD7ED" w14:textId="77777777" w:rsidR="00B20B6D" w:rsidRPr="00847710" w:rsidRDefault="00B20B6D" w:rsidP="00D1261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1ED4909E" w14:textId="77777777" w:rsidR="00B20B6D" w:rsidRPr="00847710" w:rsidRDefault="00B20B6D" w:rsidP="00D1261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5BBCB7FE" w14:textId="77777777" w:rsidR="00B20B6D" w:rsidRPr="00847710" w:rsidRDefault="00B20B6D" w:rsidP="00D1261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71EB66C2" w14:textId="77777777" w:rsidR="00B20B6D" w:rsidRPr="00847710" w:rsidRDefault="00B20B6D" w:rsidP="00D1261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6ED2185C" w14:textId="77777777" w:rsidR="00B20B6D" w:rsidRPr="00847710" w:rsidRDefault="00B20B6D" w:rsidP="00D1261D">
            <w:pPr>
              <w:spacing w:after="0" w:line="240" w:lineRule="auto"/>
              <w:jc w:val="center"/>
              <w:rPr>
                <w:rFonts w:ascii="Times New Roman" w:hAnsi="Times New Roman" w:cs="Times New Roman"/>
                <w:sz w:val="20"/>
                <w:szCs w:val="20"/>
              </w:rPr>
            </w:pPr>
          </w:p>
        </w:tc>
        <w:tc>
          <w:tcPr>
            <w:tcW w:w="992" w:type="dxa"/>
            <w:shd w:val="clear" w:color="auto" w:fill="FBD4B4" w:themeFill="accent6" w:themeFillTint="66"/>
            <w:noWrap/>
            <w:vAlign w:val="center"/>
          </w:tcPr>
          <w:p w14:paraId="0CFD733E" w14:textId="744AE22B" w:rsidR="00B20B6D" w:rsidRPr="004C54D3" w:rsidRDefault="00B05B8E" w:rsidP="00D1261D">
            <w:pPr>
              <w:spacing w:after="0" w:line="240" w:lineRule="auto"/>
              <w:jc w:val="center"/>
              <w:rPr>
                <w:rFonts w:ascii="Times New Roman" w:eastAsia="Times New Roman" w:hAnsi="Times New Roman" w:cs="Times New Roman"/>
                <w:b/>
                <w:sz w:val="20"/>
                <w:szCs w:val="20"/>
                <w:lang w:eastAsia="lv-LV"/>
              </w:rPr>
            </w:pPr>
            <w:r w:rsidRPr="004C54D3">
              <w:rPr>
                <w:rFonts w:ascii="Times New Roman" w:hAnsi="Times New Roman" w:cs="Times New Roman"/>
                <w:b/>
                <w:sz w:val="20"/>
                <w:szCs w:val="20"/>
              </w:rPr>
              <w:t xml:space="preserve">361 062  </w:t>
            </w:r>
          </w:p>
        </w:tc>
        <w:tc>
          <w:tcPr>
            <w:tcW w:w="851" w:type="dxa"/>
            <w:shd w:val="clear" w:color="auto" w:fill="FBD4B4" w:themeFill="accent6" w:themeFillTint="66"/>
            <w:vAlign w:val="center"/>
          </w:tcPr>
          <w:p w14:paraId="723AC1B3" w14:textId="77777777" w:rsidR="00B20B6D" w:rsidRPr="004C54D3" w:rsidRDefault="00B20B6D" w:rsidP="00D1261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5325E85D" w14:textId="77777777" w:rsidR="00B20B6D" w:rsidRPr="004C54D3" w:rsidRDefault="00B20B6D" w:rsidP="00D1261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705006D5" w14:textId="77777777" w:rsidR="00B20B6D" w:rsidRPr="004C54D3" w:rsidRDefault="00B20B6D" w:rsidP="00D1261D">
            <w:pPr>
              <w:spacing w:after="0" w:line="240" w:lineRule="auto"/>
              <w:jc w:val="center"/>
              <w:rPr>
                <w:rFonts w:ascii="Times New Roman" w:hAnsi="Times New Roman" w:cs="Times New Roman"/>
                <w:b/>
                <w:bCs/>
                <w:sz w:val="20"/>
                <w:szCs w:val="20"/>
              </w:rPr>
            </w:pPr>
          </w:p>
        </w:tc>
        <w:tc>
          <w:tcPr>
            <w:tcW w:w="708" w:type="dxa"/>
            <w:shd w:val="clear" w:color="auto" w:fill="FBD4B4" w:themeFill="accent6" w:themeFillTint="66"/>
            <w:vAlign w:val="center"/>
          </w:tcPr>
          <w:p w14:paraId="49230B6B" w14:textId="77777777" w:rsidR="00B20B6D" w:rsidRPr="004C54D3" w:rsidRDefault="00B20B6D" w:rsidP="00D1261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6079F364" w14:textId="77777777" w:rsidR="00B20B6D" w:rsidRPr="004C54D3" w:rsidRDefault="00B20B6D" w:rsidP="00D1261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noWrap/>
            <w:vAlign w:val="center"/>
          </w:tcPr>
          <w:p w14:paraId="417B3645" w14:textId="17235909" w:rsidR="00B20B6D" w:rsidRPr="004C54D3" w:rsidRDefault="00B05B8E" w:rsidP="00D1261D">
            <w:pPr>
              <w:spacing w:after="0" w:line="240" w:lineRule="auto"/>
              <w:jc w:val="center"/>
              <w:rPr>
                <w:rFonts w:ascii="Times New Roman" w:eastAsia="Times New Roman" w:hAnsi="Times New Roman" w:cs="Times New Roman"/>
                <w:b/>
                <w:bCs/>
                <w:sz w:val="20"/>
                <w:szCs w:val="20"/>
                <w:lang w:eastAsia="lv-LV"/>
              </w:rPr>
            </w:pPr>
            <w:r w:rsidRPr="004C54D3">
              <w:rPr>
                <w:rFonts w:ascii="Times New Roman" w:eastAsia="Times New Roman" w:hAnsi="Times New Roman" w:cs="Times New Roman"/>
                <w:b/>
                <w:bCs/>
                <w:sz w:val="20"/>
                <w:szCs w:val="20"/>
                <w:lang w:eastAsia="lv-LV"/>
              </w:rPr>
              <w:t>11 000</w:t>
            </w:r>
          </w:p>
        </w:tc>
      </w:tr>
    </w:tbl>
    <w:p w14:paraId="14A1D17C" w14:textId="77777777" w:rsidR="00B20B6D" w:rsidRDefault="00B20B6D" w:rsidP="00E11AFF">
      <w:pPr>
        <w:spacing w:after="120"/>
        <w:ind w:firstLine="720"/>
        <w:jc w:val="center"/>
        <w:rPr>
          <w:rFonts w:ascii="Times New Roman" w:hAnsi="Times New Roman" w:cs="Times New Roman"/>
          <w:b/>
          <w:iCs/>
          <w:color w:val="414142"/>
          <w:sz w:val="24"/>
          <w:szCs w:val="24"/>
          <w:shd w:val="clear" w:color="auto" w:fill="FFFFFF"/>
        </w:rPr>
      </w:pPr>
    </w:p>
    <w:p w14:paraId="33B90527" w14:textId="47D6F45C" w:rsidR="00B20B6D" w:rsidRDefault="00456E2B" w:rsidP="0074041B">
      <w:pPr>
        <w:spacing w:after="120"/>
        <w:ind w:firstLine="720"/>
        <w:jc w:val="right"/>
        <w:rPr>
          <w:rFonts w:ascii="Times New Roman" w:hAnsi="Times New Roman" w:cs="Times New Roman"/>
          <w:i/>
          <w:iCs/>
          <w:color w:val="414142"/>
          <w:sz w:val="24"/>
          <w:szCs w:val="24"/>
          <w:shd w:val="clear" w:color="auto" w:fill="FFFFFF"/>
        </w:rPr>
      </w:pPr>
      <w:r w:rsidRPr="00E11AFF">
        <w:rPr>
          <w:rFonts w:ascii="Times New Roman" w:hAnsi="Times New Roman" w:cs="Times New Roman"/>
          <w:i/>
          <w:iCs/>
          <w:color w:val="414142"/>
          <w:sz w:val="24"/>
          <w:szCs w:val="24"/>
          <w:shd w:val="clear" w:color="auto" w:fill="FFFFFF"/>
        </w:rPr>
        <w:t>6</w:t>
      </w:r>
      <w:r w:rsidR="008104BD">
        <w:rPr>
          <w:rFonts w:ascii="Times New Roman" w:hAnsi="Times New Roman" w:cs="Times New Roman"/>
          <w:i/>
          <w:iCs/>
          <w:color w:val="414142"/>
          <w:sz w:val="24"/>
          <w:szCs w:val="24"/>
          <w:shd w:val="clear" w:color="auto" w:fill="FFFFFF"/>
        </w:rPr>
        <w:t>4</w:t>
      </w:r>
      <w:r w:rsidRPr="00E11AFF">
        <w:rPr>
          <w:rFonts w:ascii="Times New Roman" w:hAnsi="Times New Roman" w:cs="Times New Roman"/>
          <w:i/>
          <w:iCs/>
          <w:color w:val="414142"/>
          <w:sz w:val="24"/>
          <w:szCs w:val="24"/>
          <w:shd w:val="clear" w:color="auto" w:fill="FFFFFF"/>
        </w:rPr>
        <w:t>.tabula</w:t>
      </w:r>
    </w:p>
    <w:p w14:paraId="5861370F" w14:textId="39AEE556" w:rsidR="00456E2B" w:rsidRPr="00235612" w:rsidRDefault="00BE0B84" w:rsidP="00E11AFF">
      <w:pPr>
        <w:spacing w:after="120"/>
        <w:ind w:firstLine="720"/>
        <w:jc w:val="center"/>
        <w:rPr>
          <w:rFonts w:ascii="Times New Roman" w:hAnsi="Times New Roman" w:cs="Times New Roman"/>
          <w:b/>
          <w:iCs/>
          <w:sz w:val="24"/>
          <w:szCs w:val="24"/>
          <w:shd w:val="clear" w:color="auto" w:fill="FFFFFF"/>
        </w:rPr>
      </w:pPr>
      <w:r w:rsidRPr="00235612">
        <w:rPr>
          <w:rFonts w:ascii="Times New Roman" w:hAnsi="Times New Roman" w:cs="Times New Roman"/>
          <w:b/>
          <w:iCs/>
          <w:sz w:val="24"/>
          <w:szCs w:val="24"/>
          <w:shd w:val="clear" w:color="auto" w:fill="FFFFFF"/>
        </w:rPr>
        <w:t>Paplašinātajam jaundzimušo skrīningam nepieciešamais finansējums</w:t>
      </w:r>
    </w:p>
    <w:tbl>
      <w:tblPr>
        <w:tblW w:w="0" w:type="auto"/>
        <w:jc w:val="center"/>
        <w:tblLook w:val="04A0" w:firstRow="1" w:lastRow="0" w:firstColumn="1" w:lastColumn="0" w:noHBand="0" w:noVBand="1"/>
      </w:tblPr>
      <w:tblGrid>
        <w:gridCol w:w="721"/>
        <w:gridCol w:w="2823"/>
        <w:gridCol w:w="846"/>
        <w:gridCol w:w="1014"/>
        <w:gridCol w:w="882"/>
        <w:gridCol w:w="1171"/>
        <w:gridCol w:w="1571"/>
        <w:gridCol w:w="1348"/>
      </w:tblGrid>
      <w:tr w:rsidR="008B1A11" w:rsidRPr="002F442B" w14:paraId="3FEE4BA1" w14:textId="0B23AD3D" w:rsidTr="00E11AFF">
        <w:trPr>
          <w:trHeight w:val="52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886AFEA"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Nr.p.k.</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217A99A"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Manipulācija</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40D2740E"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Manipulācijas kods</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64BB0145"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NVD apmaksāts  (A) / neapmaksāts  (N)</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752C9924"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C</w:t>
            </w:r>
            <w:r w:rsidRPr="002F442B">
              <w:rPr>
                <w:rFonts w:ascii="Times New Roman" w:eastAsia="Times New Roman" w:hAnsi="Times New Roman" w:cs="Times New Roman"/>
                <w:color w:val="000000"/>
                <w:sz w:val="18"/>
                <w:szCs w:val="18"/>
                <w:lang w:eastAsia="lv-LV"/>
              </w:rPr>
              <w:t xml:space="preserve">ena ar PVN, </w:t>
            </w:r>
            <w:r w:rsidRPr="002F442B">
              <w:rPr>
                <w:rFonts w:ascii="Times New Roman" w:eastAsia="Times New Roman" w:hAnsi="Times New Roman" w:cs="Times New Roman"/>
                <w:i/>
                <w:iCs/>
                <w:color w:val="000000"/>
                <w:sz w:val="18"/>
                <w:szCs w:val="18"/>
                <w:lang w:eastAsia="lv-LV"/>
              </w:rPr>
              <w:t>euro</w:t>
            </w:r>
          </w:p>
        </w:tc>
        <w:tc>
          <w:tcPr>
            <w:tcW w:w="4093" w:type="dxa"/>
            <w:gridSpan w:val="3"/>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2B9B667" w14:textId="2ED8541F"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Papildus plānotie izmeklējumi</w:t>
            </w:r>
          </w:p>
        </w:tc>
      </w:tr>
      <w:tr w:rsidR="00E11AFF" w:rsidRPr="002F442B" w14:paraId="4872DDEA" w14:textId="5E1D0644" w:rsidTr="00E11AFF">
        <w:trPr>
          <w:trHeight w:val="1005"/>
          <w:jc w:val="center"/>
        </w:trPr>
        <w:tc>
          <w:tcPr>
            <w:tcW w:w="0" w:type="auto"/>
            <w:vMerge/>
            <w:vAlign w:val="center"/>
            <w:hideMark/>
          </w:tcPr>
          <w:p w14:paraId="33D83F8C" w14:textId="77777777" w:rsidR="008B1A11" w:rsidRPr="002F442B" w:rsidRDefault="008B1A11" w:rsidP="00812A71">
            <w:pPr>
              <w:spacing w:after="0" w:line="240" w:lineRule="auto"/>
              <w:rPr>
                <w:rFonts w:ascii="Times New Roman" w:eastAsia="Times New Roman" w:hAnsi="Times New Roman" w:cs="Times New Roman"/>
                <w:color w:val="000000"/>
                <w:sz w:val="18"/>
                <w:szCs w:val="18"/>
                <w:lang w:eastAsia="lv-LV"/>
              </w:rPr>
            </w:pPr>
          </w:p>
        </w:tc>
        <w:tc>
          <w:tcPr>
            <w:tcW w:w="2823" w:type="dxa"/>
            <w:vMerge/>
            <w:vAlign w:val="center"/>
            <w:hideMark/>
          </w:tcPr>
          <w:p w14:paraId="0A0AB275" w14:textId="77777777" w:rsidR="008B1A11" w:rsidRPr="002F442B" w:rsidRDefault="008B1A11" w:rsidP="00812A71">
            <w:pPr>
              <w:spacing w:after="0" w:line="240" w:lineRule="auto"/>
              <w:rPr>
                <w:rFonts w:ascii="Times New Roman" w:eastAsia="Times New Roman" w:hAnsi="Times New Roman" w:cs="Times New Roman"/>
                <w:color w:val="000000"/>
                <w:sz w:val="18"/>
                <w:szCs w:val="18"/>
                <w:lang w:eastAsia="lv-LV"/>
              </w:rPr>
            </w:pPr>
          </w:p>
        </w:tc>
        <w:tc>
          <w:tcPr>
            <w:tcW w:w="846" w:type="dxa"/>
            <w:vMerge/>
            <w:vAlign w:val="center"/>
            <w:hideMark/>
          </w:tcPr>
          <w:p w14:paraId="576CE8C0" w14:textId="77777777" w:rsidR="008B1A11" w:rsidRPr="002F442B" w:rsidRDefault="008B1A11" w:rsidP="00812A71">
            <w:pPr>
              <w:spacing w:after="0" w:line="240" w:lineRule="auto"/>
              <w:rPr>
                <w:rFonts w:ascii="Times New Roman" w:eastAsia="Times New Roman" w:hAnsi="Times New Roman" w:cs="Times New Roman"/>
                <w:color w:val="000000"/>
                <w:sz w:val="18"/>
                <w:szCs w:val="18"/>
                <w:lang w:eastAsia="lv-LV"/>
              </w:rPr>
            </w:pPr>
          </w:p>
        </w:tc>
        <w:tc>
          <w:tcPr>
            <w:tcW w:w="1014" w:type="dxa"/>
            <w:vMerge/>
            <w:vAlign w:val="center"/>
            <w:hideMark/>
          </w:tcPr>
          <w:p w14:paraId="0829FB13" w14:textId="77777777" w:rsidR="008B1A11" w:rsidRPr="002F442B" w:rsidRDefault="008B1A11" w:rsidP="00812A71">
            <w:pPr>
              <w:spacing w:after="0" w:line="240" w:lineRule="auto"/>
              <w:rPr>
                <w:rFonts w:ascii="Times New Roman" w:eastAsia="Times New Roman" w:hAnsi="Times New Roman" w:cs="Times New Roman"/>
                <w:color w:val="000000"/>
                <w:sz w:val="18"/>
                <w:szCs w:val="18"/>
                <w:lang w:eastAsia="lv-LV"/>
              </w:rPr>
            </w:pPr>
          </w:p>
        </w:tc>
        <w:tc>
          <w:tcPr>
            <w:tcW w:w="882" w:type="dxa"/>
            <w:vMerge/>
            <w:vAlign w:val="center"/>
            <w:hideMark/>
          </w:tcPr>
          <w:p w14:paraId="4D91BBE7" w14:textId="77777777" w:rsidR="008B1A11" w:rsidRPr="002F442B" w:rsidRDefault="008B1A11" w:rsidP="00812A71">
            <w:pPr>
              <w:spacing w:after="0" w:line="240" w:lineRule="auto"/>
              <w:rPr>
                <w:rFonts w:ascii="Times New Roman" w:eastAsia="Times New Roman" w:hAnsi="Times New Roman" w:cs="Times New Roman"/>
                <w:color w:val="000000"/>
                <w:sz w:val="18"/>
                <w:szCs w:val="18"/>
                <w:lang w:eastAsia="lv-LV"/>
              </w:rPr>
            </w:pPr>
          </w:p>
        </w:tc>
        <w:tc>
          <w:tcPr>
            <w:tcW w:w="0" w:type="auto"/>
            <w:tcBorders>
              <w:top w:val="nil"/>
              <w:left w:val="nil"/>
              <w:bottom w:val="single" w:sz="4" w:space="0" w:color="auto"/>
              <w:right w:val="single" w:sz="4" w:space="0" w:color="auto"/>
            </w:tcBorders>
            <w:shd w:val="clear" w:color="auto" w:fill="E36C0A" w:themeFill="accent6" w:themeFillShade="BF"/>
            <w:vAlign w:val="center"/>
            <w:hideMark/>
          </w:tcPr>
          <w:p w14:paraId="6AE26901"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Apjoms gadā</w:t>
            </w:r>
          </w:p>
        </w:tc>
        <w:tc>
          <w:tcPr>
            <w:tcW w:w="0" w:type="auto"/>
            <w:tcBorders>
              <w:top w:val="nil"/>
              <w:left w:val="nil"/>
              <w:bottom w:val="single" w:sz="4" w:space="0" w:color="auto"/>
              <w:right w:val="single" w:sz="4" w:space="0" w:color="auto"/>
            </w:tcBorders>
            <w:shd w:val="clear" w:color="auto" w:fill="E36C0A" w:themeFill="accent6" w:themeFillShade="BF"/>
            <w:vAlign w:val="center"/>
            <w:hideMark/>
          </w:tcPr>
          <w:p w14:paraId="0AE32E46"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Summa gadā, </w:t>
            </w:r>
            <w:r w:rsidRPr="002F442B">
              <w:rPr>
                <w:rFonts w:ascii="Times New Roman" w:eastAsia="Times New Roman" w:hAnsi="Times New Roman" w:cs="Times New Roman"/>
                <w:i/>
                <w:iCs/>
                <w:color w:val="000000"/>
                <w:sz w:val="18"/>
                <w:szCs w:val="18"/>
                <w:lang w:eastAsia="lv-LV"/>
              </w:rPr>
              <w:t>euro</w:t>
            </w:r>
          </w:p>
        </w:tc>
        <w:tc>
          <w:tcPr>
            <w:tcW w:w="1348" w:type="dxa"/>
            <w:tcBorders>
              <w:top w:val="nil"/>
              <w:left w:val="nil"/>
              <w:bottom w:val="single" w:sz="4" w:space="0" w:color="auto"/>
              <w:right w:val="single" w:sz="4" w:space="0" w:color="auto"/>
            </w:tcBorders>
            <w:shd w:val="clear" w:color="auto" w:fill="E36C0A" w:themeFill="accent6" w:themeFillShade="BF"/>
            <w:vAlign w:val="center"/>
          </w:tcPr>
          <w:p w14:paraId="1A864A14" w14:textId="72D654AC"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Nepieciešamais finansējums no 2019.gada 1.jūlija, </w:t>
            </w:r>
            <w:r w:rsidRPr="00E11AFF">
              <w:rPr>
                <w:rFonts w:ascii="Times New Roman" w:eastAsia="Times New Roman" w:hAnsi="Times New Roman" w:cs="Times New Roman"/>
                <w:i/>
                <w:color w:val="000000"/>
                <w:sz w:val="18"/>
                <w:szCs w:val="18"/>
                <w:lang w:eastAsia="lv-LV"/>
              </w:rPr>
              <w:t>euro</w:t>
            </w:r>
          </w:p>
        </w:tc>
      </w:tr>
      <w:tr w:rsidR="008B1A11" w:rsidRPr="002F442B" w14:paraId="2A9B7E27" w14:textId="594B3DC3" w:rsidTr="00E11AFF">
        <w:trPr>
          <w:trHeight w:val="555"/>
          <w:jc w:val="center"/>
        </w:trPr>
        <w:tc>
          <w:tcPr>
            <w:tcW w:w="1038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D41AD" w14:textId="07BAFCDF"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Paplašināts jaundzimušo skrīnings (ar cistiskā fibroze, galaktozēmiju, biotinidāzes deficītu, virsnieru garozas hiperplāziju)</w:t>
            </w:r>
          </w:p>
        </w:tc>
      </w:tr>
      <w:tr w:rsidR="00E11AFF" w:rsidRPr="002F442B" w14:paraId="0851038D" w14:textId="1DD26639" w:rsidTr="00E11AFF">
        <w:trPr>
          <w:trHeight w:val="288"/>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A4365E0" w14:textId="77777777" w:rsidR="008B1A11" w:rsidRPr="002F442B" w:rsidRDefault="008B1A1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i/>
                <w:iCs/>
                <w:color w:val="000000"/>
                <w:sz w:val="18"/>
                <w:szCs w:val="18"/>
                <w:lang w:eastAsia="lv-LV"/>
              </w:rPr>
              <w:t>1</w:t>
            </w:r>
          </w:p>
        </w:tc>
        <w:tc>
          <w:tcPr>
            <w:tcW w:w="2823" w:type="dxa"/>
            <w:tcBorders>
              <w:top w:val="nil"/>
              <w:left w:val="nil"/>
              <w:bottom w:val="single" w:sz="4" w:space="0" w:color="auto"/>
              <w:right w:val="single" w:sz="4" w:space="0" w:color="auto"/>
            </w:tcBorders>
            <w:shd w:val="clear" w:color="auto" w:fill="FFFFFF" w:themeFill="background1"/>
            <w:vAlign w:val="center"/>
            <w:hideMark/>
          </w:tcPr>
          <w:p w14:paraId="76A815B1" w14:textId="77777777" w:rsidR="008B1A11" w:rsidRPr="00DE2D85" w:rsidRDefault="008B1A11" w:rsidP="00812A71">
            <w:pPr>
              <w:spacing w:after="0" w:line="240" w:lineRule="auto"/>
              <w:rPr>
                <w:rFonts w:ascii="Times New Roman" w:eastAsia="Times New Roman" w:hAnsi="Times New Roman" w:cs="Times New Roman"/>
                <w:b/>
                <w:i/>
                <w:iCs/>
                <w:color w:val="000000"/>
                <w:sz w:val="18"/>
                <w:szCs w:val="18"/>
                <w:lang w:eastAsia="lv-LV"/>
              </w:rPr>
            </w:pPr>
            <w:r w:rsidRPr="00DE2D85">
              <w:rPr>
                <w:rFonts w:ascii="Times New Roman" w:eastAsia="Times New Roman" w:hAnsi="Times New Roman" w:cs="Times New Roman"/>
                <w:b/>
                <w:i/>
                <w:iCs/>
                <w:color w:val="000000"/>
                <w:sz w:val="18"/>
                <w:szCs w:val="18"/>
                <w:lang w:eastAsia="lv-LV"/>
              </w:rPr>
              <w:t>Cistiskā fibroze</w:t>
            </w:r>
          </w:p>
        </w:tc>
        <w:tc>
          <w:tcPr>
            <w:tcW w:w="846" w:type="dxa"/>
            <w:tcBorders>
              <w:top w:val="nil"/>
              <w:left w:val="nil"/>
              <w:bottom w:val="single" w:sz="4" w:space="0" w:color="auto"/>
              <w:right w:val="single" w:sz="4" w:space="0" w:color="auto"/>
            </w:tcBorders>
            <w:shd w:val="clear" w:color="auto" w:fill="auto"/>
            <w:vAlign w:val="center"/>
            <w:hideMark/>
          </w:tcPr>
          <w:p w14:paraId="295526E8"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w:t>
            </w:r>
          </w:p>
        </w:tc>
        <w:tc>
          <w:tcPr>
            <w:tcW w:w="1014" w:type="dxa"/>
            <w:tcBorders>
              <w:top w:val="nil"/>
              <w:left w:val="nil"/>
              <w:bottom w:val="single" w:sz="4" w:space="0" w:color="auto"/>
              <w:right w:val="single" w:sz="4" w:space="0" w:color="auto"/>
            </w:tcBorders>
            <w:shd w:val="clear" w:color="auto" w:fill="FFFFFF" w:themeFill="background1"/>
            <w:vAlign w:val="center"/>
            <w:hideMark/>
          </w:tcPr>
          <w:p w14:paraId="42C252A5"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w:t>
            </w:r>
          </w:p>
        </w:tc>
        <w:tc>
          <w:tcPr>
            <w:tcW w:w="882" w:type="dxa"/>
            <w:tcBorders>
              <w:top w:val="nil"/>
              <w:left w:val="nil"/>
              <w:bottom w:val="single" w:sz="4" w:space="0" w:color="auto"/>
              <w:right w:val="single" w:sz="4" w:space="0" w:color="auto"/>
            </w:tcBorders>
            <w:shd w:val="clear" w:color="auto" w:fill="FFFFFF" w:themeFill="background1"/>
            <w:vAlign w:val="center"/>
            <w:hideMark/>
          </w:tcPr>
          <w:p w14:paraId="33E95EE8"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4.11</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AEAB164"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38A40B44" w14:textId="58B3EB32"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90</w:t>
            </w:r>
            <w:r w:rsidR="00BB04AE">
              <w:rPr>
                <w:rFonts w:ascii="Times New Roman" w:eastAsia="Times New Roman" w:hAnsi="Times New Roman" w:cs="Times New Roman"/>
                <w:color w:val="000000"/>
                <w:sz w:val="18"/>
                <w:szCs w:val="18"/>
                <w:lang w:eastAsia="lv-LV"/>
              </w:rPr>
              <w:t xml:space="preserve"> </w:t>
            </w:r>
            <w:r w:rsidRPr="002F442B">
              <w:rPr>
                <w:rFonts w:ascii="Times New Roman" w:eastAsia="Times New Roman" w:hAnsi="Times New Roman" w:cs="Times New Roman"/>
                <w:color w:val="000000"/>
                <w:sz w:val="18"/>
                <w:szCs w:val="18"/>
                <w:lang w:eastAsia="lv-LV"/>
              </w:rPr>
              <w:t>420</w:t>
            </w:r>
          </w:p>
        </w:tc>
        <w:tc>
          <w:tcPr>
            <w:tcW w:w="1348" w:type="dxa"/>
            <w:tcBorders>
              <w:top w:val="nil"/>
              <w:left w:val="nil"/>
              <w:bottom w:val="single" w:sz="4" w:space="0" w:color="auto"/>
              <w:right w:val="single" w:sz="4" w:space="0" w:color="auto"/>
            </w:tcBorders>
            <w:vAlign w:val="center"/>
          </w:tcPr>
          <w:p w14:paraId="2BA85746" w14:textId="608E9340" w:rsidR="008B1A11" w:rsidRPr="002F442B" w:rsidRDefault="00BB04AE" w:rsidP="00812A7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45 210</w:t>
            </w:r>
          </w:p>
        </w:tc>
      </w:tr>
      <w:tr w:rsidR="00E11AFF" w:rsidRPr="002F442B" w14:paraId="6EE710CB" w14:textId="12D6CE9B" w:rsidTr="00E11AFF">
        <w:trPr>
          <w:trHeight w:val="288"/>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701F584" w14:textId="77777777" w:rsidR="008B1A11" w:rsidRPr="002F442B" w:rsidRDefault="008B1A1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i/>
                <w:iCs/>
                <w:color w:val="000000"/>
                <w:sz w:val="18"/>
                <w:szCs w:val="18"/>
                <w:lang w:eastAsia="lv-LV"/>
              </w:rPr>
              <w:t>2</w:t>
            </w:r>
          </w:p>
        </w:tc>
        <w:tc>
          <w:tcPr>
            <w:tcW w:w="2823" w:type="dxa"/>
            <w:tcBorders>
              <w:top w:val="nil"/>
              <w:left w:val="nil"/>
              <w:bottom w:val="single" w:sz="4" w:space="0" w:color="auto"/>
              <w:right w:val="single" w:sz="4" w:space="0" w:color="auto"/>
            </w:tcBorders>
            <w:shd w:val="clear" w:color="auto" w:fill="FFFFFF" w:themeFill="background1"/>
            <w:vAlign w:val="center"/>
            <w:hideMark/>
          </w:tcPr>
          <w:p w14:paraId="113492C3" w14:textId="77777777" w:rsidR="008B1A11" w:rsidRPr="00DE2D85" w:rsidRDefault="008B1A11" w:rsidP="00812A71">
            <w:pPr>
              <w:spacing w:after="0" w:line="240" w:lineRule="auto"/>
              <w:rPr>
                <w:rFonts w:ascii="Times New Roman" w:eastAsia="Times New Roman" w:hAnsi="Times New Roman" w:cs="Times New Roman"/>
                <w:b/>
                <w:i/>
                <w:iCs/>
                <w:color w:val="000000"/>
                <w:sz w:val="18"/>
                <w:szCs w:val="18"/>
                <w:lang w:eastAsia="lv-LV"/>
              </w:rPr>
            </w:pPr>
            <w:r w:rsidRPr="00DE2D85">
              <w:rPr>
                <w:rFonts w:ascii="Times New Roman" w:eastAsia="Times New Roman" w:hAnsi="Times New Roman" w:cs="Times New Roman"/>
                <w:b/>
                <w:i/>
                <w:iCs/>
                <w:color w:val="000000"/>
                <w:sz w:val="18"/>
                <w:szCs w:val="18"/>
                <w:lang w:eastAsia="lv-LV"/>
              </w:rPr>
              <w:t>Galaktozēmija</w:t>
            </w:r>
          </w:p>
        </w:tc>
        <w:tc>
          <w:tcPr>
            <w:tcW w:w="846" w:type="dxa"/>
            <w:tcBorders>
              <w:top w:val="nil"/>
              <w:left w:val="nil"/>
              <w:bottom w:val="single" w:sz="4" w:space="0" w:color="auto"/>
              <w:right w:val="single" w:sz="4" w:space="0" w:color="auto"/>
            </w:tcBorders>
            <w:shd w:val="clear" w:color="auto" w:fill="auto"/>
            <w:vAlign w:val="center"/>
            <w:hideMark/>
          </w:tcPr>
          <w:p w14:paraId="28EEF318"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w:t>
            </w:r>
          </w:p>
        </w:tc>
        <w:tc>
          <w:tcPr>
            <w:tcW w:w="1014" w:type="dxa"/>
            <w:tcBorders>
              <w:top w:val="nil"/>
              <w:left w:val="nil"/>
              <w:bottom w:val="single" w:sz="4" w:space="0" w:color="auto"/>
              <w:right w:val="single" w:sz="4" w:space="0" w:color="auto"/>
            </w:tcBorders>
            <w:shd w:val="clear" w:color="auto" w:fill="FFFFFF" w:themeFill="background1"/>
            <w:vAlign w:val="center"/>
            <w:hideMark/>
          </w:tcPr>
          <w:p w14:paraId="71F0B8A8"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w:t>
            </w:r>
          </w:p>
        </w:tc>
        <w:tc>
          <w:tcPr>
            <w:tcW w:w="882" w:type="dxa"/>
            <w:tcBorders>
              <w:top w:val="nil"/>
              <w:left w:val="nil"/>
              <w:bottom w:val="single" w:sz="4" w:space="0" w:color="auto"/>
              <w:right w:val="single" w:sz="4" w:space="0" w:color="auto"/>
            </w:tcBorders>
            <w:shd w:val="clear" w:color="auto" w:fill="FFFFFF" w:themeFill="background1"/>
            <w:vAlign w:val="center"/>
            <w:hideMark/>
          </w:tcPr>
          <w:p w14:paraId="3AE8F62C"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3.73</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638DA9E"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1E2790B4" w14:textId="0952D20E"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82</w:t>
            </w:r>
            <w:r w:rsidR="00BB04AE">
              <w:rPr>
                <w:rFonts w:ascii="Times New Roman" w:eastAsia="Times New Roman" w:hAnsi="Times New Roman" w:cs="Times New Roman"/>
                <w:color w:val="000000"/>
                <w:sz w:val="18"/>
                <w:szCs w:val="18"/>
                <w:lang w:eastAsia="lv-LV"/>
              </w:rPr>
              <w:t xml:space="preserve"> </w:t>
            </w:r>
            <w:r w:rsidRPr="002F442B">
              <w:rPr>
                <w:rFonts w:ascii="Times New Roman" w:eastAsia="Times New Roman" w:hAnsi="Times New Roman" w:cs="Times New Roman"/>
                <w:color w:val="000000"/>
                <w:sz w:val="18"/>
                <w:szCs w:val="18"/>
                <w:lang w:eastAsia="lv-LV"/>
              </w:rPr>
              <w:t>060</w:t>
            </w:r>
          </w:p>
        </w:tc>
        <w:tc>
          <w:tcPr>
            <w:tcW w:w="1348" w:type="dxa"/>
            <w:tcBorders>
              <w:top w:val="nil"/>
              <w:left w:val="nil"/>
              <w:bottom w:val="single" w:sz="4" w:space="0" w:color="auto"/>
              <w:right w:val="single" w:sz="4" w:space="0" w:color="auto"/>
            </w:tcBorders>
            <w:vAlign w:val="center"/>
          </w:tcPr>
          <w:p w14:paraId="55C0CC8D" w14:textId="2ED780D0" w:rsidR="008B1A11" w:rsidRPr="002F442B" w:rsidRDefault="00BB04AE" w:rsidP="00812A7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41 030</w:t>
            </w:r>
          </w:p>
        </w:tc>
      </w:tr>
      <w:tr w:rsidR="00E11AFF" w:rsidRPr="002F442B" w14:paraId="2E5FE244" w14:textId="6871BE3F" w:rsidTr="00E11AFF">
        <w:trPr>
          <w:trHeight w:val="288"/>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317C3FEC" w14:textId="77777777" w:rsidR="008B1A11" w:rsidRPr="002F442B" w:rsidRDefault="008B1A1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i/>
                <w:iCs/>
                <w:color w:val="000000"/>
                <w:sz w:val="18"/>
                <w:szCs w:val="18"/>
                <w:lang w:eastAsia="lv-LV"/>
              </w:rPr>
              <w:t>3</w:t>
            </w:r>
          </w:p>
        </w:tc>
        <w:tc>
          <w:tcPr>
            <w:tcW w:w="2823" w:type="dxa"/>
            <w:tcBorders>
              <w:top w:val="nil"/>
              <w:left w:val="nil"/>
              <w:bottom w:val="single" w:sz="4" w:space="0" w:color="auto"/>
              <w:right w:val="single" w:sz="4" w:space="0" w:color="auto"/>
            </w:tcBorders>
            <w:shd w:val="clear" w:color="auto" w:fill="FFFFFF" w:themeFill="background1"/>
            <w:vAlign w:val="center"/>
            <w:hideMark/>
          </w:tcPr>
          <w:p w14:paraId="06AD0419" w14:textId="77777777" w:rsidR="008B1A11" w:rsidRPr="00DE2D85" w:rsidRDefault="008B1A11" w:rsidP="00812A71">
            <w:pPr>
              <w:spacing w:after="0" w:line="240" w:lineRule="auto"/>
              <w:rPr>
                <w:rFonts w:ascii="Times New Roman" w:eastAsia="Times New Roman" w:hAnsi="Times New Roman" w:cs="Times New Roman"/>
                <w:b/>
                <w:i/>
                <w:iCs/>
                <w:color w:val="000000"/>
                <w:sz w:val="18"/>
                <w:szCs w:val="18"/>
                <w:lang w:eastAsia="lv-LV"/>
              </w:rPr>
            </w:pPr>
            <w:r w:rsidRPr="00DE2D85">
              <w:rPr>
                <w:rFonts w:ascii="Times New Roman" w:eastAsia="Times New Roman" w:hAnsi="Times New Roman" w:cs="Times New Roman"/>
                <w:b/>
                <w:i/>
                <w:iCs/>
                <w:color w:val="000000"/>
                <w:sz w:val="18"/>
                <w:szCs w:val="18"/>
                <w:lang w:eastAsia="lv-LV"/>
              </w:rPr>
              <w:t>Biotinidāzes deficīts</w:t>
            </w:r>
          </w:p>
        </w:tc>
        <w:tc>
          <w:tcPr>
            <w:tcW w:w="846" w:type="dxa"/>
            <w:tcBorders>
              <w:top w:val="nil"/>
              <w:left w:val="nil"/>
              <w:bottom w:val="single" w:sz="4" w:space="0" w:color="auto"/>
              <w:right w:val="single" w:sz="4" w:space="0" w:color="auto"/>
            </w:tcBorders>
            <w:shd w:val="clear" w:color="auto" w:fill="auto"/>
            <w:vAlign w:val="center"/>
            <w:hideMark/>
          </w:tcPr>
          <w:p w14:paraId="3682F1DF"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w:t>
            </w:r>
          </w:p>
        </w:tc>
        <w:tc>
          <w:tcPr>
            <w:tcW w:w="1014" w:type="dxa"/>
            <w:tcBorders>
              <w:top w:val="nil"/>
              <w:left w:val="nil"/>
              <w:bottom w:val="single" w:sz="4" w:space="0" w:color="auto"/>
              <w:right w:val="single" w:sz="4" w:space="0" w:color="auto"/>
            </w:tcBorders>
            <w:shd w:val="clear" w:color="auto" w:fill="FFFFFF" w:themeFill="background1"/>
            <w:vAlign w:val="center"/>
            <w:hideMark/>
          </w:tcPr>
          <w:p w14:paraId="5885DA17"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w:t>
            </w:r>
          </w:p>
        </w:tc>
        <w:tc>
          <w:tcPr>
            <w:tcW w:w="882" w:type="dxa"/>
            <w:tcBorders>
              <w:top w:val="nil"/>
              <w:left w:val="nil"/>
              <w:bottom w:val="single" w:sz="4" w:space="0" w:color="auto"/>
              <w:right w:val="single" w:sz="4" w:space="0" w:color="auto"/>
            </w:tcBorders>
            <w:shd w:val="clear" w:color="auto" w:fill="FFFFFF" w:themeFill="background1"/>
            <w:vAlign w:val="center"/>
            <w:hideMark/>
          </w:tcPr>
          <w:p w14:paraId="220C9BA5"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4.03</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BBC302"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36351B2A" w14:textId="49512459"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88</w:t>
            </w:r>
            <w:r w:rsidR="00BB04AE">
              <w:rPr>
                <w:rFonts w:ascii="Times New Roman" w:eastAsia="Times New Roman" w:hAnsi="Times New Roman" w:cs="Times New Roman"/>
                <w:color w:val="000000"/>
                <w:sz w:val="18"/>
                <w:szCs w:val="18"/>
                <w:lang w:eastAsia="lv-LV"/>
              </w:rPr>
              <w:t xml:space="preserve"> </w:t>
            </w:r>
            <w:r w:rsidRPr="002F442B">
              <w:rPr>
                <w:rFonts w:ascii="Times New Roman" w:eastAsia="Times New Roman" w:hAnsi="Times New Roman" w:cs="Times New Roman"/>
                <w:color w:val="000000"/>
                <w:sz w:val="18"/>
                <w:szCs w:val="18"/>
                <w:lang w:eastAsia="lv-LV"/>
              </w:rPr>
              <w:t>660</w:t>
            </w:r>
          </w:p>
        </w:tc>
        <w:tc>
          <w:tcPr>
            <w:tcW w:w="1348" w:type="dxa"/>
            <w:tcBorders>
              <w:top w:val="nil"/>
              <w:left w:val="nil"/>
              <w:bottom w:val="single" w:sz="4" w:space="0" w:color="auto"/>
              <w:right w:val="single" w:sz="4" w:space="0" w:color="auto"/>
            </w:tcBorders>
            <w:vAlign w:val="center"/>
          </w:tcPr>
          <w:p w14:paraId="6E9C72F7" w14:textId="0815A572" w:rsidR="008B1A11" w:rsidRPr="002F442B" w:rsidRDefault="00BB04AE" w:rsidP="00812A7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44 330</w:t>
            </w:r>
          </w:p>
        </w:tc>
      </w:tr>
      <w:tr w:rsidR="00E11AFF" w:rsidRPr="002F442B" w14:paraId="007B276D" w14:textId="42D82BC5" w:rsidTr="00E11AFF">
        <w:trPr>
          <w:trHeight w:val="288"/>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F781389" w14:textId="77777777" w:rsidR="008B1A11" w:rsidRPr="002F442B" w:rsidRDefault="008B1A1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i/>
                <w:iCs/>
                <w:color w:val="000000"/>
                <w:sz w:val="18"/>
                <w:szCs w:val="18"/>
                <w:lang w:eastAsia="lv-LV"/>
              </w:rPr>
              <w:t>4</w:t>
            </w:r>
          </w:p>
        </w:tc>
        <w:tc>
          <w:tcPr>
            <w:tcW w:w="2823" w:type="dxa"/>
            <w:tcBorders>
              <w:top w:val="nil"/>
              <w:left w:val="nil"/>
              <w:bottom w:val="single" w:sz="4" w:space="0" w:color="auto"/>
              <w:right w:val="single" w:sz="4" w:space="0" w:color="auto"/>
            </w:tcBorders>
            <w:shd w:val="clear" w:color="auto" w:fill="FFFFFF" w:themeFill="background1"/>
            <w:vAlign w:val="center"/>
            <w:hideMark/>
          </w:tcPr>
          <w:p w14:paraId="2C923787" w14:textId="77777777" w:rsidR="008B1A11" w:rsidRPr="00DE2D85" w:rsidRDefault="008B1A11" w:rsidP="00812A71">
            <w:pPr>
              <w:spacing w:after="0" w:line="240" w:lineRule="auto"/>
              <w:rPr>
                <w:rFonts w:ascii="Times New Roman" w:eastAsia="Times New Roman" w:hAnsi="Times New Roman" w:cs="Times New Roman"/>
                <w:b/>
                <w:i/>
                <w:iCs/>
                <w:color w:val="000000"/>
                <w:sz w:val="18"/>
                <w:szCs w:val="18"/>
                <w:lang w:eastAsia="lv-LV"/>
              </w:rPr>
            </w:pPr>
            <w:r w:rsidRPr="00DE2D85">
              <w:rPr>
                <w:rFonts w:ascii="Times New Roman" w:eastAsia="Times New Roman" w:hAnsi="Times New Roman" w:cs="Times New Roman"/>
                <w:b/>
                <w:i/>
                <w:iCs/>
                <w:color w:val="000000"/>
                <w:sz w:val="18"/>
                <w:szCs w:val="18"/>
                <w:lang w:eastAsia="lv-LV"/>
              </w:rPr>
              <w:t>Virsnieru garozas hiperplāzija</w:t>
            </w:r>
          </w:p>
        </w:tc>
        <w:tc>
          <w:tcPr>
            <w:tcW w:w="846" w:type="dxa"/>
            <w:tcBorders>
              <w:top w:val="nil"/>
              <w:left w:val="nil"/>
              <w:bottom w:val="single" w:sz="4" w:space="0" w:color="auto"/>
              <w:right w:val="single" w:sz="4" w:space="0" w:color="auto"/>
            </w:tcBorders>
            <w:shd w:val="clear" w:color="auto" w:fill="auto"/>
            <w:vAlign w:val="center"/>
            <w:hideMark/>
          </w:tcPr>
          <w:p w14:paraId="0068F7D6"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w:t>
            </w:r>
          </w:p>
        </w:tc>
        <w:tc>
          <w:tcPr>
            <w:tcW w:w="1014" w:type="dxa"/>
            <w:tcBorders>
              <w:top w:val="nil"/>
              <w:left w:val="nil"/>
              <w:bottom w:val="single" w:sz="4" w:space="0" w:color="auto"/>
              <w:right w:val="single" w:sz="4" w:space="0" w:color="auto"/>
            </w:tcBorders>
            <w:shd w:val="clear" w:color="auto" w:fill="FFFFFF" w:themeFill="background1"/>
            <w:vAlign w:val="center"/>
            <w:hideMark/>
          </w:tcPr>
          <w:p w14:paraId="55F86C49"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w:t>
            </w:r>
          </w:p>
        </w:tc>
        <w:tc>
          <w:tcPr>
            <w:tcW w:w="882" w:type="dxa"/>
            <w:tcBorders>
              <w:top w:val="nil"/>
              <w:left w:val="nil"/>
              <w:bottom w:val="single" w:sz="4" w:space="0" w:color="auto"/>
              <w:right w:val="single" w:sz="4" w:space="0" w:color="auto"/>
            </w:tcBorders>
            <w:shd w:val="clear" w:color="auto" w:fill="FFFFFF" w:themeFill="background1"/>
            <w:vAlign w:val="center"/>
            <w:hideMark/>
          </w:tcPr>
          <w:p w14:paraId="365F186B"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4.11</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938984F"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0B380DEE" w14:textId="48EC4C30"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90</w:t>
            </w:r>
            <w:r w:rsidR="00BB04AE">
              <w:rPr>
                <w:rFonts w:ascii="Times New Roman" w:eastAsia="Times New Roman" w:hAnsi="Times New Roman" w:cs="Times New Roman"/>
                <w:color w:val="000000"/>
                <w:sz w:val="18"/>
                <w:szCs w:val="18"/>
                <w:lang w:eastAsia="lv-LV"/>
              </w:rPr>
              <w:t xml:space="preserve"> </w:t>
            </w:r>
            <w:r w:rsidRPr="002F442B">
              <w:rPr>
                <w:rFonts w:ascii="Times New Roman" w:eastAsia="Times New Roman" w:hAnsi="Times New Roman" w:cs="Times New Roman"/>
                <w:color w:val="000000"/>
                <w:sz w:val="18"/>
                <w:szCs w:val="18"/>
                <w:lang w:eastAsia="lv-LV"/>
              </w:rPr>
              <w:t>420</w:t>
            </w:r>
          </w:p>
        </w:tc>
        <w:tc>
          <w:tcPr>
            <w:tcW w:w="1348" w:type="dxa"/>
            <w:tcBorders>
              <w:top w:val="nil"/>
              <w:left w:val="nil"/>
              <w:bottom w:val="single" w:sz="4" w:space="0" w:color="auto"/>
              <w:right w:val="single" w:sz="4" w:space="0" w:color="auto"/>
            </w:tcBorders>
            <w:vAlign w:val="center"/>
          </w:tcPr>
          <w:p w14:paraId="7A140512" w14:textId="166F232B" w:rsidR="008B1A11" w:rsidRPr="002F442B" w:rsidRDefault="004E1B5A" w:rsidP="00812A7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45 210</w:t>
            </w:r>
          </w:p>
        </w:tc>
      </w:tr>
      <w:tr w:rsidR="008B1A11" w:rsidRPr="002F442B" w14:paraId="68707C27" w14:textId="0C9535A0" w:rsidTr="00E11AFF">
        <w:trPr>
          <w:trHeight w:val="288"/>
          <w:jc w:val="center"/>
        </w:trPr>
        <w:tc>
          <w:tcPr>
            <w:tcW w:w="3545"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0FA42A69" w14:textId="77777777" w:rsidR="008B1A11" w:rsidRPr="002F442B" w:rsidRDefault="008B1A11" w:rsidP="00812A71">
            <w:pPr>
              <w:spacing w:after="0" w:line="240" w:lineRule="auto"/>
              <w:jc w:val="right"/>
              <w:rPr>
                <w:rFonts w:ascii="Times New Roman" w:eastAsia="Times New Roman" w:hAnsi="Times New Roman" w:cs="Times New Roman"/>
                <w:b/>
                <w:bCs/>
                <w:color w:val="000000"/>
                <w:sz w:val="18"/>
                <w:szCs w:val="18"/>
                <w:lang w:eastAsia="lv-LV"/>
              </w:rPr>
            </w:pPr>
            <w:r w:rsidRPr="002F442B">
              <w:rPr>
                <w:rFonts w:ascii="Times New Roman" w:eastAsia="Times New Roman" w:hAnsi="Times New Roman" w:cs="Times New Roman"/>
                <w:b/>
                <w:bCs/>
                <w:color w:val="000000"/>
                <w:sz w:val="18"/>
                <w:szCs w:val="18"/>
                <w:lang w:eastAsia="lv-LV"/>
              </w:rPr>
              <w:t>Kopā,</w:t>
            </w:r>
            <w:r w:rsidRPr="002F442B">
              <w:rPr>
                <w:rFonts w:ascii="Times New Roman" w:eastAsia="Times New Roman" w:hAnsi="Times New Roman" w:cs="Times New Roman"/>
                <w:b/>
                <w:bCs/>
                <w:i/>
                <w:iCs/>
                <w:color w:val="000000"/>
                <w:sz w:val="18"/>
                <w:szCs w:val="18"/>
                <w:lang w:eastAsia="lv-LV"/>
              </w:rPr>
              <w:t xml:space="preserve"> euro</w:t>
            </w:r>
            <w:r w:rsidRPr="002F442B">
              <w:rPr>
                <w:rFonts w:ascii="Times New Roman" w:eastAsia="Times New Roman" w:hAnsi="Times New Roman" w:cs="Times New Roman"/>
                <w:b/>
                <w:bCs/>
                <w:color w:val="000000"/>
                <w:sz w:val="18"/>
                <w:szCs w:val="18"/>
                <w:lang w:eastAsia="lv-LV"/>
              </w:rPr>
              <w:t>:</w:t>
            </w:r>
          </w:p>
        </w:tc>
        <w:tc>
          <w:tcPr>
            <w:tcW w:w="846" w:type="dxa"/>
            <w:tcBorders>
              <w:top w:val="nil"/>
              <w:left w:val="nil"/>
              <w:bottom w:val="single" w:sz="4" w:space="0" w:color="auto"/>
              <w:right w:val="single" w:sz="4" w:space="0" w:color="auto"/>
            </w:tcBorders>
            <w:shd w:val="clear" w:color="auto" w:fill="auto"/>
            <w:noWrap/>
            <w:vAlign w:val="center"/>
            <w:hideMark/>
          </w:tcPr>
          <w:p w14:paraId="27FBBF43"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1014" w:type="dxa"/>
            <w:tcBorders>
              <w:top w:val="nil"/>
              <w:left w:val="nil"/>
              <w:bottom w:val="single" w:sz="4" w:space="0" w:color="auto"/>
              <w:right w:val="single" w:sz="4" w:space="0" w:color="auto"/>
            </w:tcBorders>
            <w:shd w:val="clear" w:color="auto" w:fill="auto"/>
            <w:noWrap/>
            <w:vAlign w:val="center"/>
            <w:hideMark/>
          </w:tcPr>
          <w:p w14:paraId="7FE52665"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882" w:type="dxa"/>
            <w:tcBorders>
              <w:top w:val="nil"/>
              <w:left w:val="nil"/>
              <w:bottom w:val="single" w:sz="4" w:space="0" w:color="auto"/>
              <w:right w:val="single" w:sz="4" w:space="0" w:color="auto"/>
            </w:tcBorders>
            <w:shd w:val="clear" w:color="auto" w:fill="auto"/>
            <w:noWrap/>
            <w:vAlign w:val="center"/>
            <w:hideMark/>
          </w:tcPr>
          <w:p w14:paraId="14FEE9F7"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12626EF1" w14:textId="77777777" w:rsidR="008B1A11" w:rsidRPr="002F442B" w:rsidRDefault="008B1A1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6546CE98" w14:textId="77777777" w:rsidR="008B1A11" w:rsidRPr="002F442B" w:rsidRDefault="008B1A11" w:rsidP="00812A71">
            <w:pPr>
              <w:spacing w:after="0" w:line="240" w:lineRule="auto"/>
              <w:jc w:val="center"/>
              <w:rPr>
                <w:rFonts w:ascii="Times New Roman" w:eastAsia="Times New Roman" w:hAnsi="Times New Roman" w:cs="Times New Roman"/>
                <w:b/>
                <w:bCs/>
                <w:color w:val="000000"/>
                <w:sz w:val="18"/>
                <w:szCs w:val="18"/>
                <w:lang w:eastAsia="lv-LV"/>
              </w:rPr>
            </w:pPr>
            <w:r w:rsidRPr="00574271">
              <w:rPr>
                <w:rFonts w:ascii="Times New Roman" w:eastAsia="Times New Roman" w:hAnsi="Times New Roman" w:cs="Times New Roman"/>
                <w:b/>
                <w:bCs/>
                <w:color w:val="000000"/>
                <w:sz w:val="18"/>
                <w:szCs w:val="18"/>
                <w:lang w:eastAsia="lv-LV"/>
              </w:rPr>
              <w:t>351 560</w:t>
            </w:r>
          </w:p>
        </w:tc>
        <w:tc>
          <w:tcPr>
            <w:tcW w:w="1348" w:type="dxa"/>
            <w:tcBorders>
              <w:top w:val="nil"/>
              <w:left w:val="nil"/>
              <w:bottom w:val="single" w:sz="4" w:space="0" w:color="auto"/>
              <w:right w:val="single" w:sz="4" w:space="0" w:color="auto"/>
            </w:tcBorders>
            <w:vAlign w:val="center"/>
          </w:tcPr>
          <w:p w14:paraId="53370335" w14:textId="74A7B8D2" w:rsidR="008B1A11" w:rsidRPr="00574271" w:rsidRDefault="004E1B5A" w:rsidP="00812A71">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175 780</w:t>
            </w:r>
          </w:p>
        </w:tc>
      </w:tr>
    </w:tbl>
    <w:p w14:paraId="1B1D51F9" w14:textId="375FA1D8" w:rsidR="00436FB5" w:rsidRDefault="00436FB5" w:rsidP="00596D9A">
      <w:pPr>
        <w:spacing w:after="0" w:line="240" w:lineRule="auto"/>
        <w:rPr>
          <w:rFonts w:ascii="Times New Roman" w:hAnsi="Times New Roman" w:cs="Times New Roman"/>
          <w:i/>
          <w:sz w:val="24"/>
          <w:szCs w:val="24"/>
          <w:lang w:eastAsia="lv-LV"/>
        </w:rPr>
      </w:pPr>
    </w:p>
    <w:p w14:paraId="3E57C354" w14:textId="10B9C62B" w:rsidR="00663981" w:rsidRPr="007650A2" w:rsidRDefault="005B5AFE" w:rsidP="007650A2">
      <w:pPr>
        <w:spacing w:after="0" w:line="240" w:lineRule="auto"/>
        <w:jc w:val="right"/>
        <w:rPr>
          <w:rFonts w:ascii="Times New Roman" w:hAnsi="Times New Roman" w:cs="Times New Roman"/>
          <w:i/>
          <w:iCs/>
          <w:sz w:val="24"/>
          <w:szCs w:val="24"/>
          <w:lang w:eastAsia="lv-LV"/>
        </w:rPr>
      </w:pPr>
      <w:r>
        <w:rPr>
          <w:rFonts w:ascii="Times New Roman" w:hAnsi="Times New Roman" w:cs="Times New Roman"/>
          <w:i/>
          <w:iCs/>
          <w:sz w:val="24"/>
          <w:szCs w:val="24"/>
          <w:lang w:eastAsia="lv-LV"/>
        </w:rPr>
        <w:t>6</w:t>
      </w:r>
      <w:r w:rsidR="008104BD">
        <w:rPr>
          <w:rFonts w:ascii="Times New Roman" w:hAnsi="Times New Roman" w:cs="Times New Roman"/>
          <w:i/>
          <w:iCs/>
          <w:sz w:val="24"/>
          <w:szCs w:val="24"/>
          <w:lang w:eastAsia="lv-LV"/>
        </w:rPr>
        <w:t>5</w:t>
      </w:r>
      <w:r w:rsidR="00226B25" w:rsidRPr="00E12849">
        <w:rPr>
          <w:rFonts w:ascii="Times New Roman" w:hAnsi="Times New Roman" w:cs="Times New Roman"/>
          <w:i/>
          <w:iCs/>
          <w:sz w:val="24"/>
          <w:szCs w:val="24"/>
          <w:lang w:eastAsia="lv-LV"/>
        </w:rPr>
        <w:t>.tabula</w:t>
      </w:r>
    </w:p>
    <w:p w14:paraId="47ED3B37" w14:textId="77777777" w:rsidR="00663981" w:rsidRPr="002F442B" w:rsidRDefault="00663981" w:rsidP="00663981">
      <w:pPr>
        <w:spacing w:after="0" w:line="240" w:lineRule="auto"/>
        <w:rPr>
          <w:rFonts w:ascii="Times New Roman" w:hAnsi="Times New Roman" w:cs="Times New Roman"/>
          <w:lang w:eastAsia="lv-LV"/>
        </w:rPr>
      </w:pPr>
    </w:p>
    <w:tbl>
      <w:tblPr>
        <w:tblW w:w="0" w:type="auto"/>
        <w:jc w:val="center"/>
        <w:tblLayout w:type="fixed"/>
        <w:tblLook w:val="04A0" w:firstRow="1" w:lastRow="0" w:firstColumn="1" w:lastColumn="0" w:noHBand="0" w:noVBand="1"/>
      </w:tblPr>
      <w:tblGrid>
        <w:gridCol w:w="875"/>
        <w:gridCol w:w="1971"/>
        <w:gridCol w:w="864"/>
        <w:gridCol w:w="850"/>
        <w:gridCol w:w="709"/>
        <w:gridCol w:w="709"/>
        <w:gridCol w:w="977"/>
        <w:gridCol w:w="1291"/>
        <w:gridCol w:w="1417"/>
      </w:tblGrid>
      <w:tr w:rsidR="00663981" w:rsidRPr="002F442B" w14:paraId="3FDBC316" w14:textId="77777777" w:rsidTr="00E11AFF">
        <w:trPr>
          <w:trHeight w:val="405"/>
          <w:jc w:val="center"/>
        </w:trPr>
        <w:tc>
          <w:tcPr>
            <w:tcW w:w="875"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vAlign w:val="center"/>
            <w:hideMark/>
          </w:tcPr>
          <w:p w14:paraId="730594AE"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bookmarkStart w:id="4" w:name="_Hlk526516707"/>
            <w:r w:rsidRPr="002F442B">
              <w:rPr>
                <w:rFonts w:ascii="Times New Roman" w:eastAsia="Times New Roman" w:hAnsi="Times New Roman" w:cs="Times New Roman"/>
                <w:color w:val="000000"/>
                <w:sz w:val="18"/>
                <w:szCs w:val="18"/>
                <w:lang w:eastAsia="lv-LV"/>
              </w:rPr>
              <w:t>Nr.p.k.</w:t>
            </w:r>
          </w:p>
        </w:tc>
        <w:tc>
          <w:tcPr>
            <w:tcW w:w="7371" w:type="dxa"/>
            <w:gridSpan w:val="7"/>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825C009"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Iekārtas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B44F79B"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Papildus nepieciešamie materiāli/ reaģenti gadā, </w:t>
            </w:r>
            <w:r w:rsidRPr="002F442B">
              <w:rPr>
                <w:rFonts w:ascii="Times New Roman" w:eastAsia="Times New Roman" w:hAnsi="Times New Roman" w:cs="Times New Roman"/>
                <w:i/>
                <w:iCs/>
                <w:color w:val="000000"/>
                <w:sz w:val="18"/>
                <w:szCs w:val="18"/>
                <w:lang w:eastAsia="lv-LV"/>
              </w:rPr>
              <w:t>euro</w:t>
            </w:r>
          </w:p>
        </w:tc>
      </w:tr>
      <w:tr w:rsidR="00A27709" w:rsidRPr="002F442B" w14:paraId="22F7C354" w14:textId="77777777" w:rsidTr="00E11AFF">
        <w:trPr>
          <w:trHeight w:val="720"/>
          <w:jc w:val="center"/>
        </w:trPr>
        <w:tc>
          <w:tcPr>
            <w:tcW w:w="875" w:type="dxa"/>
            <w:vMerge/>
            <w:vAlign w:val="center"/>
            <w:hideMark/>
          </w:tcPr>
          <w:p w14:paraId="6CD7EB4C"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1971" w:type="dxa"/>
            <w:tcBorders>
              <w:top w:val="nil"/>
              <w:left w:val="nil"/>
              <w:bottom w:val="single" w:sz="4" w:space="0" w:color="auto"/>
              <w:right w:val="single" w:sz="4" w:space="0" w:color="auto"/>
            </w:tcBorders>
            <w:shd w:val="clear" w:color="auto" w:fill="E36C0A" w:themeFill="accent6" w:themeFillShade="BF"/>
            <w:vAlign w:val="center"/>
            <w:hideMark/>
          </w:tcPr>
          <w:p w14:paraId="326AA750"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Iekārta</w:t>
            </w:r>
          </w:p>
        </w:tc>
        <w:tc>
          <w:tcPr>
            <w:tcW w:w="864" w:type="dxa"/>
            <w:tcBorders>
              <w:top w:val="nil"/>
              <w:left w:val="nil"/>
              <w:bottom w:val="single" w:sz="4" w:space="0" w:color="auto"/>
              <w:right w:val="single" w:sz="4" w:space="0" w:color="auto"/>
            </w:tcBorders>
            <w:shd w:val="clear" w:color="auto" w:fill="E36C0A" w:themeFill="accent6" w:themeFillShade="BF"/>
            <w:vAlign w:val="center"/>
            <w:hideMark/>
          </w:tcPr>
          <w:p w14:paraId="40A186B2"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Vienība</w:t>
            </w:r>
          </w:p>
        </w:tc>
        <w:tc>
          <w:tcPr>
            <w:tcW w:w="850" w:type="dxa"/>
            <w:tcBorders>
              <w:top w:val="nil"/>
              <w:left w:val="nil"/>
              <w:bottom w:val="single" w:sz="4" w:space="0" w:color="auto"/>
              <w:right w:val="single" w:sz="4" w:space="0" w:color="auto"/>
            </w:tcBorders>
            <w:shd w:val="clear" w:color="auto" w:fill="E36C0A" w:themeFill="accent6" w:themeFillShade="BF"/>
            <w:vAlign w:val="center"/>
            <w:hideMark/>
          </w:tcPr>
          <w:p w14:paraId="0FB94451"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1 vienības cena bez PVN, </w:t>
            </w:r>
            <w:r w:rsidRPr="002F442B">
              <w:rPr>
                <w:rFonts w:ascii="Times New Roman" w:eastAsia="Times New Roman" w:hAnsi="Times New Roman" w:cs="Times New Roman"/>
                <w:i/>
                <w:iCs/>
                <w:color w:val="000000"/>
                <w:sz w:val="18"/>
                <w:szCs w:val="18"/>
                <w:lang w:eastAsia="lv-LV"/>
              </w:rPr>
              <w:t>euro</w:t>
            </w:r>
          </w:p>
        </w:tc>
        <w:tc>
          <w:tcPr>
            <w:tcW w:w="709" w:type="dxa"/>
            <w:tcBorders>
              <w:top w:val="nil"/>
              <w:left w:val="nil"/>
              <w:bottom w:val="single" w:sz="4" w:space="0" w:color="auto"/>
              <w:right w:val="single" w:sz="4" w:space="0" w:color="auto"/>
            </w:tcBorders>
            <w:shd w:val="clear" w:color="auto" w:fill="E36C0A" w:themeFill="accent6" w:themeFillShade="BF"/>
            <w:vAlign w:val="center"/>
            <w:hideMark/>
          </w:tcPr>
          <w:p w14:paraId="517E8F3F"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PVN, %</w:t>
            </w:r>
          </w:p>
        </w:tc>
        <w:tc>
          <w:tcPr>
            <w:tcW w:w="709" w:type="dxa"/>
            <w:tcBorders>
              <w:top w:val="nil"/>
              <w:left w:val="nil"/>
              <w:bottom w:val="single" w:sz="4" w:space="0" w:color="auto"/>
              <w:right w:val="single" w:sz="4" w:space="0" w:color="auto"/>
            </w:tcBorders>
            <w:shd w:val="clear" w:color="auto" w:fill="E36C0A" w:themeFill="accent6" w:themeFillShade="BF"/>
            <w:vAlign w:val="center"/>
            <w:hideMark/>
          </w:tcPr>
          <w:p w14:paraId="7F4A4A16" w14:textId="77777777" w:rsidR="00663981" w:rsidRPr="002F442B" w:rsidRDefault="0066398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color w:val="000000"/>
                <w:sz w:val="18"/>
                <w:szCs w:val="18"/>
                <w:lang w:eastAsia="lv-LV"/>
              </w:rPr>
              <w:t>PVN</w:t>
            </w:r>
            <w:r w:rsidRPr="002F442B">
              <w:rPr>
                <w:rFonts w:ascii="Times New Roman" w:eastAsia="Times New Roman" w:hAnsi="Times New Roman" w:cs="Times New Roman"/>
                <w:i/>
                <w:iCs/>
                <w:color w:val="000000"/>
                <w:sz w:val="18"/>
                <w:szCs w:val="18"/>
                <w:lang w:eastAsia="lv-LV"/>
              </w:rPr>
              <w:t>, euro</w:t>
            </w:r>
          </w:p>
        </w:tc>
        <w:tc>
          <w:tcPr>
            <w:tcW w:w="977" w:type="dxa"/>
            <w:tcBorders>
              <w:top w:val="nil"/>
              <w:left w:val="nil"/>
              <w:bottom w:val="single" w:sz="4" w:space="0" w:color="auto"/>
              <w:right w:val="single" w:sz="4" w:space="0" w:color="auto"/>
            </w:tcBorders>
            <w:shd w:val="clear" w:color="auto" w:fill="E36C0A" w:themeFill="accent6" w:themeFillShade="BF"/>
            <w:vAlign w:val="center"/>
            <w:hideMark/>
          </w:tcPr>
          <w:p w14:paraId="600924E7"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1 vienības cena, </w:t>
            </w:r>
            <w:r w:rsidRPr="002F442B">
              <w:rPr>
                <w:rFonts w:ascii="Times New Roman" w:eastAsia="Times New Roman" w:hAnsi="Times New Roman" w:cs="Times New Roman"/>
                <w:i/>
                <w:iCs/>
                <w:color w:val="000000"/>
                <w:sz w:val="18"/>
                <w:szCs w:val="18"/>
                <w:lang w:eastAsia="lv-LV"/>
              </w:rPr>
              <w:t>euro</w:t>
            </w:r>
            <w:r w:rsidRPr="002F442B">
              <w:rPr>
                <w:rFonts w:ascii="Times New Roman" w:eastAsia="Times New Roman" w:hAnsi="Times New Roman" w:cs="Times New Roman"/>
                <w:color w:val="000000"/>
                <w:sz w:val="18"/>
                <w:szCs w:val="18"/>
                <w:lang w:eastAsia="lv-LV"/>
              </w:rPr>
              <w:t xml:space="preserve"> t.s.</w:t>
            </w:r>
            <w:r>
              <w:rPr>
                <w:rFonts w:ascii="Times New Roman" w:eastAsia="Times New Roman" w:hAnsi="Times New Roman" w:cs="Times New Roman"/>
                <w:color w:val="000000"/>
                <w:sz w:val="18"/>
                <w:szCs w:val="18"/>
                <w:lang w:eastAsia="lv-LV"/>
              </w:rPr>
              <w:t xml:space="preserve"> </w:t>
            </w:r>
            <w:r w:rsidRPr="002F442B">
              <w:rPr>
                <w:rFonts w:ascii="Times New Roman" w:eastAsia="Times New Roman" w:hAnsi="Times New Roman" w:cs="Times New Roman"/>
                <w:color w:val="000000"/>
                <w:sz w:val="18"/>
                <w:szCs w:val="18"/>
                <w:lang w:eastAsia="lv-LV"/>
              </w:rPr>
              <w:t>PVN</w:t>
            </w:r>
          </w:p>
        </w:tc>
        <w:tc>
          <w:tcPr>
            <w:tcW w:w="1291" w:type="dxa"/>
            <w:tcBorders>
              <w:top w:val="nil"/>
              <w:left w:val="nil"/>
              <w:bottom w:val="single" w:sz="4" w:space="0" w:color="auto"/>
              <w:right w:val="single" w:sz="4" w:space="0" w:color="auto"/>
            </w:tcBorders>
            <w:shd w:val="clear" w:color="auto" w:fill="E36C0A" w:themeFill="accent6" w:themeFillShade="BF"/>
            <w:vAlign w:val="center"/>
            <w:hideMark/>
          </w:tcPr>
          <w:p w14:paraId="59D995F2"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Kopā, </w:t>
            </w:r>
            <w:r w:rsidRPr="002F442B">
              <w:rPr>
                <w:rFonts w:ascii="Times New Roman" w:eastAsia="Times New Roman" w:hAnsi="Times New Roman" w:cs="Times New Roman"/>
                <w:i/>
                <w:iCs/>
                <w:color w:val="000000"/>
                <w:sz w:val="18"/>
                <w:szCs w:val="18"/>
                <w:lang w:eastAsia="lv-LV"/>
              </w:rPr>
              <w:t>euro</w:t>
            </w:r>
          </w:p>
        </w:tc>
        <w:tc>
          <w:tcPr>
            <w:tcW w:w="1417" w:type="dxa"/>
            <w:vMerge/>
            <w:vAlign w:val="center"/>
            <w:hideMark/>
          </w:tcPr>
          <w:p w14:paraId="0B5A5190"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r>
      <w:tr w:rsidR="00E11AFF" w:rsidRPr="002F442B" w14:paraId="47B1A2E1" w14:textId="77777777" w:rsidTr="00E11AFF">
        <w:trPr>
          <w:trHeight w:val="288"/>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160D21F8"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10DCE044"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Fluoroskan analizators</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04945AE3"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A6F6332"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42 500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E3D5FDD"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3936DF1"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8 925</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49ED630F"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51 425</w:t>
            </w:r>
          </w:p>
        </w:tc>
        <w:tc>
          <w:tcPr>
            <w:tcW w:w="1291" w:type="dxa"/>
            <w:tcBorders>
              <w:top w:val="nil"/>
              <w:left w:val="nil"/>
              <w:bottom w:val="single" w:sz="4" w:space="0" w:color="auto"/>
              <w:right w:val="single" w:sz="4" w:space="0" w:color="auto"/>
            </w:tcBorders>
            <w:shd w:val="clear" w:color="auto" w:fill="FFFFFF" w:themeFill="background1"/>
            <w:noWrap/>
            <w:vAlign w:val="center"/>
            <w:hideMark/>
          </w:tcPr>
          <w:p w14:paraId="32FE0C3E"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51 425</w:t>
            </w:r>
          </w:p>
        </w:tc>
        <w:tc>
          <w:tcPr>
            <w:tcW w:w="1417" w:type="dxa"/>
            <w:tcBorders>
              <w:top w:val="nil"/>
              <w:left w:val="nil"/>
              <w:bottom w:val="single" w:sz="4" w:space="0" w:color="auto"/>
              <w:right w:val="single" w:sz="4" w:space="0" w:color="auto"/>
            </w:tcBorders>
            <w:shd w:val="clear" w:color="auto" w:fill="auto"/>
            <w:noWrap/>
            <w:vAlign w:val="center"/>
            <w:hideMark/>
          </w:tcPr>
          <w:p w14:paraId="57287F8A" w14:textId="1BF41251"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320</w:t>
            </w:r>
            <w:r w:rsidR="00DB6B10">
              <w:rPr>
                <w:rFonts w:ascii="Times New Roman" w:eastAsia="Times New Roman" w:hAnsi="Times New Roman" w:cs="Times New Roman"/>
                <w:color w:val="000000"/>
                <w:sz w:val="18"/>
                <w:szCs w:val="18"/>
                <w:lang w:eastAsia="lv-LV"/>
              </w:rPr>
              <w:t>1</w:t>
            </w:r>
          </w:p>
        </w:tc>
      </w:tr>
      <w:tr w:rsidR="00E11AFF" w:rsidRPr="002F442B" w14:paraId="62FB394D" w14:textId="77777777" w:rsidTr="00E11AFF">
        <w:trPr>
          <w:trHeight w:val="288"/>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4C2721A"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329FF330"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Mikroplašu mazgātājs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3D414491"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BF03723"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4 580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197FDFA2"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9B2F9E1"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962</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42291723"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5 542</w:t>
            </w:r>
          </w:p>
        </w:tc>
        <w:tc>
          <w:tcPr>
            <w:tcW w:w="1291" w:type="dxa"/>
            <w:tcBorders>
              <w:top w:val="nil"/>
              <w:left w:val="nil"/>
              <w:bottom w:val="single" w:sz="4" w:space="0" w:color="auto"/>
              <w:right w:val="single" w:sz="4" w:space="0" w:color="auto"/>
            </w:tcBorders>
            <w:shd w:val="clear" w:color="auto" w:fill="FFFFFF" w:themeFill="background1"/>
            <w:noWrap/>
            <w:vAlign w:val="center"/>
            <w:hideMark/>
          </w:tcPr>
          <w:p w14:paraId="3D6970DB"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5 542</w:t>
            </w:r>
          </w:p>
        </w:tc>
        <w:tc>
          <w:tcPr>
            <w:tcW w:w="1417" w:type="dxa"/>
            <w:tcBorders>
              <w:top w:val="nil"/>
              <w:left w:val="nil"/>
              <w:bottom w:val="single" w:sz="4" w:space="0" w:color="auto"/>
              <w:right w:val="single" w:sz="4" w:space="0" w:color="auto"/>
            </w:tcBorders>
            <w:shd w:val="clear" w:color="auto" w:fill="auto"/>
            <w:noWrap/>
            <w:vAlign w:val="center"/>
            <w:hideMark/>
          </w:tcPr>
          <w:p w14:paraId="111B64EB"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E11AFF" w:rsidRPr="002F442B" w14:paraId="69E80609" w14:textId="77777777" w:rsidTr="00E11AFF">
        <w:trPr>
          <w:trHeight w:val="288"/>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5AD22613"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4B0B7E58"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Mikroplašu inkubators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12FACED6"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ADDAB8E"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22 800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50B28D2"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829F001"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4 788</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7BE94FE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27 588</w:t>
            </w:r>
          </w:p>
        </w:tc>
        <w:tc>
          <w:tcPr>
            <w:tcW w:w="1291" w:type="dxa"/>
            <w:tcBorders>
              <w:top w:val="nil"/>
              <w:left w:val="nil"/>
              <w:bottom w:val="single" w:sz="4" w:space="0" w:color="auto"/>
              <w:right w:val="single" w:sz="4" w:space="0" w:color="auto"/>
            </w:tcBorders>
            <w:shd w:val="clear" w:color="auto" w:fill="FFFFFF" w:themeFill="background1"/>
            <w:noWrap/>
            <w:vAlign w:val="center"/>
            <w:hideMark/>
          </w:tcPr>
          <w:p w14:paraId="40AAF602"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82 764</w:t>
            </w:r>
          </w:p>
        </w:tc>
        <w:tc>
          <w:tcPr>
            <w:tcW w:w="1417" w:type="dxa"/>
            <w:tcBorders>
              <w:top w:val="nil"/>
              <w:left w:val="nil"/>
              <w:bottom w:val="single" w:sz="4" w:space="0" w:color="auto"/>
              <w:right w:val="single" w:sz="4" w:space="0" w:color="auto"/>
            </w:tcBorders>
            <w:shd w:val="clear" w:color="auto" w:fill="auto"/>
            <w:noWrap/>
            <w:vAlign w:val="center"/>
            <w:hideMark/>
          </w:tcPr>
          <w:p w14:paraId="79AC8144"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E11AFF" w:rsidRPr="002F442B" w14:paraId="5A83EE53" w14:textId="77777777" w:rsidTr="00E11AFF">
        <w:trPr>
          <w:trHeight w:val="288"/>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53C7CB0"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4</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7C881140"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Filtrpapīru disku sagatavošanas sistēma</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0B0AAFA0"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4004BD7"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19 500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A6A5239"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BE10364"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4 095</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724BCD0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23 595</w:t>
            </w:r>
          </w:p>
        </w:tc>
        <w:tc>
          <w:tcPr>
            <w:tcW w:w="1291" w:type="dxa"/>
            <w:tcBorders>
              <w:top w:val="nil"/>
              <w:left w:val="nil"/>
              <w:bottom w:val="single" w:sz="4" w:space="0" w:color="auto"/>
              <w:right w:val="single" w:sz="4" w:space="0" w:color="auto"/>
            </w:tcBorders>
            <w:shd w:val="clear" w:color="auto" w:fill="FFFFFF" w:themeFill="background1"/>
            <w:noWrap/>
            <w:vAlign w:val="center"/>
            <w:hideMark/>
          </w:tcPr>
          <w:p w14:paraId="610533C6"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23 595</w:t>
            </w:r>
          </w:p>
        </w:tc>
        <w:tc>
          <w:tcPr>
            <w:tcW w:w="1417" w:type="dxa"/>
            <w:tcBorders>
              <w:top w:val="nil"/>
              <w:left w:val="nil"/>
              <w:bottom w:val="single" w:sz="4" w:space="0" w:color="auto"/>
              <w:right w:val="single" w:sz="4" w:space="0" w:color="auto"/>
            </w:tcBorders>
            <w:shd w:val="clear" w:color="auto" w:fill="auto"/>
            <w:noWrap/>
            <w:vAlign w:val="center"/>
            <w:hideMark/>
          </w:tcPr>
          <w:p w14:paraId="1FA00F9E"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E11AFF" w:rsidRPr="002F442B" w14:paraId="19A08CF5" w14:textId="77777777" w:rsidTr="00E11AFF">
        <w:trPr>
          <w:trHeight w:val="288"/>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125ABC66"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5</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3DFA4B27"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Mikroplašu maisītājs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4621F68D"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FFC61D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3 500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041DD5B"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9D5AFA4"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735</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45C020A3"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4 235</w:t>
            </w:r>
          </w:p>
        </w:tc>
        <w:tc>
          <w:tcPr>
            <w:tcW w:w="1291" w:type="dxa"/>
            <w:tcBorders>
              <w:top w:val="nil"/>
              <w:left w:val="nil"/>
              <w:bottom w:val="single" w:sz="4" w:space="0" w:color="auto"/>
              <w:right w:val="single" w:sz="4" w:space="0" w:color="auto"/>
            </w:tcBorders>
            <w:shd w:val="clear" w:color="auto" w:fill="FFFFFF" w:themeFill="background1"/>
            <w:noWrap/>
            <w:vAlign w:val="center"/>
            <w:hideMark/>
          </w:tcPr>
          <w:p w14:paraId="76B0E2EE"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4 235</w:t>
            </w:r>
          </w:p>
        </w:tc>
        <w:tc>
          <w:tcPr>
            <w:tcW w:w="1417" w:type="dxa"/>
            <w:tcBorders>
              <w:top w:val="nil"/>
              <w:left w:val="nil"/>
              <w:bottom w:val="single" w:sz="4" w:space="0" w:color="auto"/>
              <w:right w:val="single" w:sz="4" w:space="0" w:color="auto"/>
            </w:tcBorders>
            <w:shd w:val="clear" w:color="auto" w:fill="auto"/>
            <w:noWrap/>
            <w:vAlign w:val="center"/>
            <w:hideMark/>
          </w:tcPr>
          <w:p w14:paraId="7AFEBCDE"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E11AFF" w:rsidRPr="002F442B" w14:paraId="48F01A90" w14:textId="77777777" w:rsidTr="00E11AFF">
        <w:trPr>
          <w:trHeight w:val="288"/>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3F4C53AB"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6</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6E329797"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Disku noņēmējs</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25EE7F35"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992D7C4"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12 000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16C46EF"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1E9F24D"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2 520</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170145A6"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14 520</w:t>
            </w:r>
          </w:p>
        </w:tc>
        <w:tc>
          <w:tcPr>
            <w:tcW w:w="1291" w:type="dxa"/>
            <w:tcBorders>
              <w:top w:val="nil"/>
              <w:left w:val="nil"/>
              <w:bottom w:val="single" w:sz="4" w:space="0" w:color="auto"/>
              <w:right w:val="single" w:sz="4" w:space="0" w:color="auto"/>
            </w:tcBorders>
            <w:shd w:val="clear" w:color="auto" w:fill="FFFFFF" w:themeFill="background1"/>
            <w:noWrap/>
            <w:vAlign w:val="center"/>
            <w:hideMark/>
          </w:tcPr>
          <w:p w14:paraId="26D9A45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14 520</w:t>
            </w:r>
          </w:p>
        </w:tc>
        <w:tc>
          <w:tcPr>
            <w:tcW w:w="1417" w:type="dxa"/>
            <w:tcBorders>
              <w:top w:val="nil"/>
              <w:left w:val="nil"/>
              <w:bottom w:val="single" w:sz="4" w:space="0" w:color="auto"/>
              <w:right w:val="single" w:sz="4" w:space="0" w:color="auto"/>
            </w:tcBorders>
            <w:shd w:val="clear" w:color="auto" w:fill="auto"/>
            <w:noWrap/>
            <w:vAlign w:val="center"/>
            <w:hideMark/>
          </w:tcPr>
          <w:p w14:paraId="06821F1C"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E11AFF" w:rsidRPr="002F442B" w14:paraId="40942BC5" w14:textId="77777777" w:rsidTr="00E11AFF">
        <w:trPr>
          <w:trHeight w:val="288"/>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3E37D24A"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7E8B41C3"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Kopā, </w:t>
            </w:r>
            <w:r w:rsidRPr="002F442B">
              <w:rPr>
                <w:rFonts w:ascii="Times New Roman" w:eastAsia="Times New Roman" w:hAnsi="Times New Roman" w:cs="Times New Roman"/>
                <w:i/>
                <w:iCs/>
                <w:sz w:val="18"/>
                <w:szCs w:val="18"/>
                <w:lang w:eastAsia="lv-LV"/>
              </w:rPr>
              <w:t>euro</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3F66D0B9"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6621ED9"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104 880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D465C46"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F4EC36A"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22 025</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3BABBF7B"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126 905</w:t>
            </w:r>
          </w:p>
        </w:tc>
        <w:tc>
          <w:tcPr>
            <w:tcW w:w="1291" w:type="dxa"/>
            <w:tcBorders>
              <w:top w:val="nil"/>
              <w:left w:val="nil"/>
              <w:bottom w:val="nil"/>
              <w:right w:val="single" w:sz="4" w:space="0" w:color="auto"/>
            </w:tcBorders>
            <w:shd w:val="clear" w:color="auto" w:fill="FFFFFF" w:themeFill="background1"/>
            <w:noWrap/>
            <w:vAlign w:val="center"/>
            <w:hideMark/>
          </w:tcPr>
          <w:p w14:paraId="46DDA2D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182 081</w:t>
            </w:r>
          </w:p>
        </w:tc>
        <w:tc>
          <w:tcPr>
            <w:tcW w:w="1417" w:type="dxa"/>
            <w:tcBorders>
              <w:top w:val="nil"/>
              <w:left w:val="nil"/>
              <w:bottom w:val="nil"/>
              <w:right w:val="single" w:sz="4" w:space="0" w:color="auto"/>
            </w:tcBorders>
            <w:shd w:val="clear" w:color="auto" w:fill="auto"/>
            <w:noWrap/>
            <w:vAlign w:val="center"/>
            <w:hideMark/>
          </w:tcPr>
          <w:p w14:paraId="3FBC945B" w14:textId="7D6F681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320</w:t>
            </w:r>
            <w:r w:rsidR="00DB6B10">
              <w:rPr>
                <w:rFonts w:ascii="Times New Roman" w:eastAsia="Times New Roman" w:hAnsi="Times New Roman" w:cs="Times New Roman"/>
                <w:color w:val="000000"/>
                <w:sz w:val="18"/>
                <w:szCs w:val="18"/>
                <w:lang w:eastAsia="lv-LV"/>
              </w:rPr>
              <w:t>1</w:t>
            </w:r>
          </w:p>
        </w:tc>
      </w:tr>
      <w:tr w:rsidR="00663981" w:rsidRPr="002F442B" w14:paraId="520C9690" w14:textId="77777777" w:rsidTr="00E11AFF">
        <w:trPr>
          <w:trHeight w:val="288"/>
          <w:jc w:val="center"/>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F5FEDB3"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6080" w:type="dxa"/>
            <w:gridSpan w:val="6"/>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6E2EAA4A" w14:textId="77777777" w:rsidR="00663981" w:rsidRPr="002F442B" w:rsidRDefault="00663981" w:rsidP="00812A71">
            <w:pPr>
              <w:spacing w:after="0" w:line="240" w:lineRule="auto"/>
              <w:jc w:val="right"/>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Kopā, </w:t>
            </w:r>
            <w:r w:rsidRPr="002F442B">
              <w:rPr>
                <w:rFonts w:ascii="Times New Roman" w:eastAsia="Times New Roman" w:hAnsi="Times New Roman" w:cs="Times New Roman"/>
                <w:i/>
                <w:iCs/>
                <w:sz w:val="18"/>
                <w:szCs w:val="18"/>
                <w:lang w:eastAsia="lv-LV"/>
              </w:rPr>
              <w:t>euro</w:t>
            </w:r>
            <w:r w:rsidRPr="002F442B">
              <w:rPr>
                <w:rFonts w:ascii="Times New Roman" w:eastAsia="Times New Roman" w:hAnsi="Times New Roman" w:cs="Times New Roman"/>
                <w:sz w:val="18"/>
                <w:szCs w:val="18"/>
                <w:lang w:eastAsia="lv-LV"/>
              </w:rPr>
              <w:t xml:space="preserve"> (Iekārtas un papildus nepiecieš</w:t>
            </w:r>
            <w:r>
              <w:rPr>
                <w:rFonts w:ascii="Times New Roman" w:eastAsia="Times New Roman" w:hAnsi="Times New Roman" w:cs="Times New Roman"/>
                <w:sz w:val="18"/>
                <w:szCs w:val="18"/>
                <w:lang w:eastAsia="lv-LV"/>
              </w:rPr>
              <w:t>a</w:t>
            </w:r>
            <w:r w:rsidRPr="002F442B">
              <w:rPr>
                <w:rFonts w:ascii="Times New Roman" w:eastAsia="Times New Roman" w:hAnsi="Times New Roman" w:cs="Times New Roman"/>
                <w:sz w:val="18"/>
                <w:szCs w:val="18"/>
                <w:lang w:eastAsia="lv-LV"/>
              </w:rPr>
              <w:t>mie materiāli/ reaģenti)</w:t>
            </w:r>
          </w:p>
        </w:tc>
        <w:tc>
          <w:tcPr>
            <w:tcW w:w="2708"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F47D6EA" w14:textId="35F9432D" w:rsidR="00663981" w:rsidRPr="002F442B" w:rsidRDefault="00663981" w:rsidP="00812A71">
            <w:pPr>
              <w:spacing w:after="0" w:line="240" w:lineRule="auto"/>
              <w:jc w:val="center"/>
              <w:rPr>
                <w:rFonts w:ascii="Times New Roman" w:eastAsia="Times New Roman" w:hAnsi="Times New Roman" w:cs="Times New Roman"/>
                <w:b/>
                <w:bCs/>
                <w:sz w:val="18"/>
                <w:szCs w:val="18"/>
                <w:lang w:eastAsia="lv-LV"/>
              </w:rPr>
            </w:pPr>
            <w:r w:rsidRPr="00574271">
              <w:rPr>
                <w:rFonts w:ascii="Times New Roman" w:eastAsia="Times New Roman" w:hAnsi="Times New Roman" w:cs="Times New Roman"/>
                <w:b/>
                <w:bCs/>
                <w:sz w:val="18"/>
                <w:szCs w:val="18"/>
                <w:lang w:eastAsia="lv-LV"/>
              </w:rPr>
              <w:t>185 28</w:t>
            </w:r>
            <w:r w:rsidR="00DB6B10">
              <w:rPr>
                <w:rFonts w:ascii="Times New Roman" w:eastAsia="Times New Roman" w:hAnsi="Times New Roman" w:cs="Times New Roman"/>
                <w:b/>
                <w:bCs/>
                <w:sz w:val="18"/>
                <w:szCs w:val="18"/>
                <w:lang w:eastAsia="lv-LV"/>
              </w:rPr>
              <w:t>2</w:t>
            </w:r>
          </w:p>
        </w:tc>
      </w:tr>
      <w:bookmarkEnd w:id="4"/>
    </w:tbl>
    <w:p w14:paraId="47F8FE0F" w14:textId="77777777" w:rsidR="00663981" w:rsidRPr="002F442B" w:rsidRDefault="00663981" w:rsidP="00663981">
      <w:pPr>
        <w:spacing w:after="0" w:line="240" w:lineRule="auto"/>
        <w:rPr>
          <w:rFonts w:ascii="Times New Roman" w:hAnsi="Times New Roman" w:cs="Times New Roman"/>
          <w:lang w:eastAsia="lv-LV"/>
        </w:rPr>
      </w:pPr>
    </w:p>
    <w:tbl>
      <w:tblPr>
        <w:tblW w:w="11528" w:type="dxa"/>
        <w:jc w:val="center"/>
        <w:tblLayout w:type="fixed"/>
        <w:tblLook w:val="04A0" w:firstRow="1" w:lastRow="0" w:firstColumn="1" w:lastColumn="0" w:noHBand="0" w:noVBand="1"/>
      </w:tblPr>
      <w:tblGrid>
        <w:gridCol w:w="851"/>
        <w:gridCol w:w="1826"/>
        <w:gridCol w:w="4553"/>
        <w:gridCol w:w="1275"/>
        <w:gridCol w:w="1276"/>
        <w:gridCol w:w="1701"/>
        <w:gridCol w:w="46"/>
      </w:tblGrid>
      <w:tr w:rsidR="00663981" w:rsidRPr="002F442B" w14:paraId="4D35AFC0" w14:textId="77777777" w:rsidTr="00E11AFF">
        <w:trPr>
          <w:trHeight w:val="300"/>
          <w:jc w:val="center"/>
        </w:trPr>
        <w:tc>
          <w:tcPr>
            <w:tcW w:w="11528" w:type="dxa"/>
            <w:gridSpan w:val="7"/>
            <w:tcBorders>
              <w:top w:val="nil"/>
              <w:left w:val="nil"/>
              <w:bottom w:val="nil"/>
              <w:right w:val="nil"/>
            </w:tcBorders>
            <w:shd w:val="clear" w:color="auto" w:fill="auto"/>
            <w:noWrap/>
            <w:vAlign w:val="center"/>
            <w:hideMark/>
          </w:tcPr>
          <w:p w14:paraId="06749E5E" w14:textId="13692120" w:rsidR="00663981" w:rsidRPr="007650A2" w:rsidRDefault="008104BD" w:rsidP="007650A2">
            <w:pPr>
              <w:spacing w:after="0" w:line="240" w:lineRule="auto"/>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66</w:t>
            </w:r>
            <w:r w:rsidR="00226B25" w:rsidRPr="00E12849">
              <w:rPr>
                <w:rFonts w:ascii="Times New Roman" w:eastAsia="Times New Roman" w:hAnsi="Times New Roman" w:cs="Times New Roman"/>
                <w:i/>
                <w:iCs/>
                <w:color w:val="000000"/>
                <w:sz w:val="24"/>
                <w:szCs w:val="24"/>
                <w:lang w:eastAsia="lv-LV"/>
              </w:rPr>
              <w:t>.tabula</w:t>
            </w:r>
          </w:p>
          <w:p w14:paraId="42EC30D3" w14:textId="77777777" w:rsidR="00663981" w:rsidRPr="00891CB0" w:rsidRDefault="00663981" w:rsidP="00812A71">
            <w:pPr>
              <w:spacing w:after="0" w:line="240" w:lineRule="auto"/>
              <w:jc w:val="center"/>
              <w:rPr>
                <w:rFonts w:ascii="Times New Roman" w:eastAsia="Times New Roman" w:hAnsi="Times New Roman" w:cs="Times New Roman"/>
                <w:b/>
                <w:color w:val="000000"/>
                <w:sz w:val="24"/>
                <w:szCs w:val="24"/>
                <w:lang w:eastAsia="lv-LV"/>
              </w:rPr>
            </w:pPr>
          </w:p>
          <w:p w14:paraId="7A19DCB9" w14:textId="06EAFAD8" w:rsidR="00663981" w:rsidRPr="00891CB0" w:rsidRDefault="00891CB0" w:rsidP="00812A71">
            <w:pPr>
              <w:spacing w:after="0" w:line="240" w:lineRule="auto"/>
              <w:jc w:val="center"/>
              <w:rPr>
                <w:rFonts w:ascii="Times New Roman" w:eastAsia="Times New Roman" w:hAnsi="Times New Roman" w:cs="Times New Roman"/>
                <w:b/>
                <w:sz w:val="24"/>
                <w:szCs w:val="24"/>
                <w:lang w:eastAsia="lv-LV"/>
              </w:rPr>
            </w:pPr>
            <w:r w:rsidRPr="00891CB0">
              <w:rPr>
                <w:rFonts w:ascii="Times New Roman" w:eastAsia="Times New Roman" w:hAnsi="Times New Roman" w:cs="Times New Roman"/>
                <w:b/>
                <w:color w:val="000000"/>
                <w:sz w:val="24"/>
                <w:szCs w:val="24"/>
                <w:lang w:eastAsia="lv-LV"/>
              </w:rPr>
              <w:t>P</w:t>
            </w:r>
            <w:r w:rsidR="00663981" w:rsidRPr="00891CB0">
              <w:rPr>
                <w:rFonts w:ascii="Times New Roman" w:eastAsia="Times New Roman" w:hAnsi="Times New Roman" w:cs="Times New Roman"/>
                <w:b/>
                <w:color w:val="000000"/>
                <w:sz w:val="24"/>
                <w:szCs w:val="24"/>
                <w:lang w:eastAsia="lv-LV"/>
              </w:rPr>
              <w:t xml:space="preserve">apildus nepieciešamie materiāli/ reaģenti </w:t>
            </w:r>
            <w:r w:rsidR="006122B0" w:rsidRPr="00891CB0">
              <w:rPr>
                <w:rFonts w:ascii="Times New Roman" w:eastAsia="Times New Roman" w:hAnsi="Times New Roman" w:cs="Times New Roman"/>
                <w:b/>
                <w:color w:val="000000"/>
                <w:sz w:val="24"/>
                <w:szCs w:val="24"/>
                <w:lang w:eastAsia="lv-LV"/>
              </w:rPr>
              <w:t>2019.</w:t>
            </w:r>
            <w:r w:rsidR="00663981" w:rsidRPr="00891CB0">
              <w:rPr>
                <w:rFonts w:ascii="Times New Roman" w:eastAsia="Times New Roman" w:hAnsi="Times New Roman" w:cs="Times New Roman"/>
                <w:b/>
                <w:color w:val="000000"/>
                <w:sz w:val="24"/>
                <w:szCs w:val="24"/>
                <w:lang w:eastAsia="lv-LV"/>
              </w:rPr>
              <w:t xml:space="preserve">gadā, </w:t>
            </w:r>
            <w:r w:rsidR="00663981" w:rsidRPr="00750483">
              <w:rPr>
                <w:rFonts w:ascii="Times New Roman" w:eastAsia="Times New Roman" w:hAnsi="Times New Roman" w:cs="Times New Roman"/>
                <w:b/>
                <w:i/>
                <w:color w:val="000000"/>
                <w:sz w:val="24"/>
                <w:szCs w:val="24"/>
                <w:lang w:eastAsia="lv-LV"/>
              </w:rPr>
              <w:t>euro</w:t>
            </w:r>
          </w:p>
        </w:tc>
      </w:tr>
      <w:tr w:rsidR="00663981" w:rsidRPr="00804A1A" w14:paraId="37B66DC4" w14:textId="77777777" w:rsidTr="004C54D3">
        <w:trPr>
          <w:gridAfter w:val="1"/>
          <w:wAfter w:w="46" w:type="dxa"/>
          <w:trHeight w:val="416"/>
          <w:jc w:val="center"/>
        </w:trPr>
        <w:tc>
          <w:tcPr>
            <w:tcW w:w="85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FA42D0C"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Nr. p. k.</w:t>
            </w:r>
          </w:p>
        </w:tc>
        <w:tc>
          <w:tcPr>
            <w:tcW w:w="182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860E618"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Metodes ieviešanai un aprobācijai nepieciešamie ārstnieciskie līdzekļi/ piederumi</w:t>
            </w:r>
          </w:p>
        </w:tc>
        <w:tc>
          <w:tcPr>
            <w:tcW w:w="455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8682486"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Paredzētā lietošana (ražotāja apraksts)</w:t>
            </w:r>
          </w:p>
        </w:tc>
        <w:tc>
          <w:tcPr>
            <w:tcW w:w="127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E4E019F"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Aprobācijai nepieciešamais daudzums</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1A0FB8A" w14:textId="1599300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Vienas vienī</w:t>
            </w:r>
            <w:r w:rsidR="00891CB0">
              <w:rPr>
                <w:rFonts w:ascii="Times New Roman" w:eastAsia="Times New Roman" w:hAnsi="Times New Roman" w:cs="Times New Roman"/>
                <w:sz w:val="18"/>
                <w:szCs w:val="18"/>
                <w:lang w:eastAsia="lv-LV"/>
              </w:rPr>
              <w:t>bas izmaksas</w:t>
            </w:r>
            <w:r w:rsidRPr="00804A1A">
              <w:rPr>
                <w:rFonts w:ascii="Times New Roman" w:eastAsia="Times New Roman" w:hAnsi="Times New Roman" w:cs="Times New Roman"/>
                <w:sz w:val="18"/>
                <w:szCs w:val="18"/>
                <w:lang w:eastAsia="lv-LV"/>
              </w:rPr>
              <w:t>,</w:t>
            </w:r>
            <w:r w:rsidRPr="00804A1A">
              <w:rPr>
                <w:rFonts w:ascii="Times New Roman" w:eastAsia="Times New Roman" w:hAnsi="Times New Roman" w:cs="Times New Roman"/>
                <w:i/>
                <w:iCs/>
                <w:sz w:val="18"/>
                <w:szCs w:val="18"/>
                <w:lang w:eastAsia="lv-LV"/>
              </w:rPr>
              <w:t xml:space="preserve"> euro</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7DEC19C"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 xml:space="preserve">Kopējās plānotās izmaksas metodes aprobācijai un ieviešanai, </w:t>
            </w:r>
            <w:r w:rsidRPr="00804A1A">
              <w:rPr>
                <w:rFonts w:ascii="Times New Roman" w:eastAsia="Times New Roman" w:hAnsi="Times New Roman" w:cs="Times New Roman"/>
                <w:i/>
                <w:iCs/>
                <w:sz w:val="18"/>
                <w:szCs w:val="18"/>
                <w:lang w:eastAsia="lv-LV"/>
              </w:rPr>
              <w:t>euro</w:t>
            </w:r>
          </w:p>
        </w:tc>
      </w:tr>
      <w:tr w:rsidR="00663981" w:rsidRPr="002F442B" w14:paraId="016ACF4D" w14:textId="77777777" w:rsidTr="004C54D3">
        <w:trPr>
          <w:gridAfter w:val="1"/>
          <w:wAfter w:w="46" w:type="dxa"/>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9DC7D9"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w:t>
            </w:r>
          </w:p>
        </w:tc>
        <w:tc>
          <w:tcPr>
            <w:tcW w:w="1826" w:type="dxa"/>
            <w:tcBorders>
              <w:top w:val="nil"/>
              <w:left w:val="nil"/>
              <w:bottom w:val="single" w:sz="4" w:space="0" w:color="auto"/>
              <w:right w:val="single" w:sz="4" w:space="0" w:color="auto"/>
            </w:tcBorders>
            <w:shd w:val="clear" w:color="auto" w:fill="auto"/>
            <w:noWrap/>
            <w:vAlign w:val="bottom"/>
            <w:hideMark/>
          </w:tcPr>
          <w:p w14:paraId="7C08D341"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Reaģenti</w:t>
            </w:r>
          </w:p>
        </w:tc>
        <w:tc>
          <w:tcPr>
            <w:tcW w:w="4553" w:type="dxa"/>
            <w:tcBorders>
              <w:top w:val="nil"/>
              <w:left w:val="nil"/>
              <w:bottom w:val="nil"/>
              <w:right w:val="nil"/>
            </w:tcBorders>
            <w:shd w:val="clear" w:color="auto" w:fill="auto"/>
            <w:noWrap/>
            <w:vAlign w:val="bottom"/>
            <w:hideMark/>
          </w:tcPr>
          <w:p w14:paraId="799D5587"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3E7120F"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AC803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BFDC14"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r>
      <w:tr w:rsidR="00E11AFF" w:rsidRPr="002F442B" w14:paraId="320E014D" w14:textId="77777777" w:rsidTr="004C54D3">
        <w:trPr>
          <w:gridAfter w:val="1"/>
          <w:wAfter w:w="46" w:type="dxa"/>
          <w:trHeight w:val="136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9F5CE4"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1.1.</w:t>
            </w:r>
          </w:p>
        </w:tc>
        <w:tc>
          <w:tcPr>
            <w:tcW w:w="1826" w:type="dxa"/>
            <w:tcBorders>
              <w:top w:val="nil"/>
              <w:left w:val="nil"/>
              <w:bottom w:val="single" w:sz="4" w:space="0" w:color="auto"/>
              <w:right w:val="single" w:sz="4" w:space="0" w:color="auto"/>
            </w:tcBorders>
            <w:shd w:val="clear" w:color="auto" w:fill="auto"/>
            <w:noWrap/>
            <w:vAlign w:val="center"/>
            <w:hideMark/>
          </w:tcPr>
          <w:p w14:paraId="71BB7F34"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xml:space="preserve">Neonatal Galactose </w:t>
            </w:r>
          </w:p>
        </w:tc>
        <w:tc>
          <w:tcPr>
            <w:tcW w:w="4553" w:type="dxa"/>
            <w:tcBorders>
              <w:top w:val="single" w:sz="4" w:space="0" w:color="auto"/>
              <w:left w:val="nil"/>
              <w:bottom w:val="single" w:sz="4" w:space="0" w:color="auto"/>
              <w:right w:val="nil"/>
            </w:tcBorders>
            <w:shd w:val="clear" w:color="auto" w:fill="auto"/>
            <w:vAlign w:val="center"/>
            <w:hideMark/>
          </w:tcPr>
          <w:p w14:paraId="410BD451"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Galactose komplekts paredzēts kopējās galaktozes kvantitatīvai fluorometriskai noteikšanai, izmantojot asins paraugus, kas izžāvēti uz filtrpapīra. Testa pamatā ir nepiesaistītās galaktozes un galaktozes, kas atšķelta no galaktozes-1-fosfāta, kombinēta noteikšana.</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DDD0CF3"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2446CB34"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0.741</w:t>
            </w:r>
          </w:p>
        </w:tc>
        <w:tc>
          <w:tcPr>
            <w:tcW w:w="1701" w:type="dxa"/>
            <w:tcBorders>
              <w:top w:val="nil"/>
              <w:left w:val="nil"/>
              <w:bottom w:val="single" w:sz="4" w:space="0" w:color="auto"/>
              <w:right w:val="single" w:sz="4" w:space="0" w:color="auto"/>
            </w:tcBorders>
            <w:shd w:val="clear" w:color="auto" w:fill="auto"/>
            <w:noWrap/>
            <w:vAlign w:val="center"/>
            <w:hideMark/>
          </w:tcPr>
          <w:p w14:paraId="4AEE465B" w14:textId="3D27C2E1"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577.9</w:t>
            </w:r>
            <w:r w:rsidR="00DB6B10">
              <w:rPr>
                <w:rFonts w:ascii="Times New Roman" w:eastAsia="Times New Roman" w:hAnsi="Times New Roman" w:cs="Times New Roman"/>
                <w:color w:val="000000"/>
                <w:sz w:val="18"/>
                <w:szCs w:val="18"/>
                <w:lang w:eastAsia="lv-LV"/>
              </w:rPr>
              <w:t>8</w:t>
            </w:r>
          </w:p>
        </w:tc>
      </w:tr>
      <w:tr w:rsidR="00E11AFF" w:rsidRPr="002F442B" w14:paraId="26731E60" w14:textId="77777777" w:rsidTr="004C54D3">
        <w:trPr>
          <w:gridAfter w:val="1"/>
          <w:wAfter w:w="46" w:type="dxa"/>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54C48E"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lastRenderedPageBreak/>
              <w:t>1.2.</w:t>
            </w:r>
          </w:p>
        </w:tc>
        <w:tc>
          <w:tcPr>
            <w:tcW w:w="1826" w:type="dxa"/>
            <w:tcBorders>
              <w:top w:val="nil"/>
              <w:left w:val="nil"/>
              <w:bottom w:val="single" w:sz="4" w:space="0" w:color="auto"/>
              <w:right w:val="single" w:sz="4" w:space="0" w:color="auto"/>
            </w:tcBorders>
            <w:shd w:val="clear" w:color="auto" w:fill="auto"/>
            <w:noWrap/>
            <w:vAlign w:val="center"/>
            <w:hideMark/>
          </w:tcPr>
          <w:p w14:paraId="750576C4"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17-OH-progesterone</w:t>
            </w:r>
          </w:p>
        </w:tc>
        <w:tc>
          <w:tcPr>
            <w:tcW w:w="4553" w:type="dxa"/>
            <w:tcBorders>
              <w:top w:val="nil"/>
              <w:left w:val="nil"/>
              <w:bottom w:val="single" w:sz="4" w:space="0" w:color="auto"/>
              <w:right w:val="nil"/>
            </w:tcBorders>
            <w:shd w:val="clear" w:color="auto" w:fill="auto"/>
            <w:vAlign w:val="center"/>
            <w:hideMark/>
          </w:tcPr>
          <w:p w14:paraId="6DAA2EB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17-OH-Progesterone FEIA tests ir vienkāršs fluorometrisks enzīmu imunoloģiskais tests, kas ļauj noteikt 17-hidroksiprogestrona steroīda daudzumu asins paraugos, kas izžāvēti uz filtrpapīra.</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CF29E0"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0A8658E9"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1.119</w:t>
            </w:r>
          </w:p>
        </w:tc>
        <w:tc>
          <w:tcPr>
            <w:tcW w:w="1701" w:type="dxa"/>
            <w:tcBorders>
              <w:top w:val="nil"/>
              <w:left w:val="nil"/>
              <w:bottom w:val="single" w:sz="4" w:space="0" w:color="auto"/>
              <w:right w:val="single" w:sz="4" w:space="0" w:color="auto"/>
            </w:tcBorders>
            <w:shd w:val="clear" w:color="auto" w:fill="auto"/>
            <w:noWrap/>
            <w:vAlign w:val="center"/>
            <w:hideMark/>
          </w:tcPr>
          <w:p w14:paraId="5F0D90A6" w14:textId="396C17A4"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872.</w:t>
            </w:r>
            <w:r w:rsidR="00DB6B10">
              <w:rPr>
                <w:rFonts w:ascii="Times New Roman" w:eastAsia="Times New Roman" w:hAnsi="Times New Roman" w:cs="Times New Roman"/>
                <w:color w:val="000000"/>
                <w:sz w:val="18"/>
                <w:szCs w:val="18"/>
                <w:lang w:eastAsia="lv-LV"/>
              </w:rPr>
              <w:t>82</w:t>
            </w:r>
          </w:p>
        </w:tc>
      </w:tr>
      <w:tr w:rsidR="00E11AFF" w:rsidRPr="002F442B" w14:paraId="2B89CEAE" w14:textId="77777777" w:rsidTr="004C54D3">
        <w:trPr>
          <w:gridAfter w:val="1"/>
          <w:wAfter w:w="46" w:type="dxa"/>
          <w:trHeight w:val="10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611C32"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1.3.</w:t>
            </w:r>
          </w:p>
        </w:tc>
        <w:tc>
          <w:tcPr>
            <w:tcW w:w="1826" w:type="dxa"/>
            <w:tcBorders>
              <w:top w:val="nil"/>
              <w:left w:val="nil"/>
              <w:bottom w:val="single" w:sz="4" w:space="0" w:color="auto"/>
              <w:right w:val="single" w:sz="4" w:space="0" w:color="auto"/>
            </w:tcBorders>
            <w:shd w:val="clear" w:color="auto" w:fill="auto"/>
            <w:noWrap/>
            <w:vAlign w:val="center"/>
            <w:hideMark/>
          </w:tcPr>
          <w:p w14:paraId="0D83836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Biotinidase</w:t>
            </w:r>
          </w:p>
        </w:tc>
        <w:tc>
          <w:tcPr>
            <w:tcW w:w="4553" w:type="dxa"/>
            <w:tcBorders>
              <w:top w:val="nil"/>
              <w:left w:val="nil"/>
              <w:bottom w:val="single" w:sz="4" w:space="0" w:color="auto"/>
              <w:right w:val="nil"/>
            </w:tcBorders>
            <w:shd w:val="clear" w:color="auto" w:fill="auto"/>
            <w:vAlign w:val="center"/>
            <w:hideMark/>
          </w:tcPr>
          <w:p w14:paraId="0954ED13"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Biotinidase komplekts paredzēts cilvēka biotinidāzes enzīmiskās aktivitātes noteikšanai, izmantojot asins paraugus, kas izžāvēti uz filtrpapīra. Paredzēts biotinidāzes deficīta skrīningam jaundzimušajiem.</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A179F89"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17501600"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1.038</w:t>
            </w:r>
          </w:p>
        </w:tc>
        <w:tc>
          <w:tcPr>
            <w:tcW w:w="1701" w:type="dxa"/>
            <w:tcBorders>
              <w:top w:val="nil"/>
              <w:left w:val="nil"/>
              <w:bottom w:val="single" w:sz="4" w:space="0" w:color="auto"/>
              <w:right w:val="single" w:sz="4" w:space="0" w:color="auto"/>
            </w:tcBorders>
            <w:shd w:val="clear" w:color="auto" w:fill="auto"/>
            <w:noWrap/>
            <w:vAlign w:val="center"/>
            <w:hideMark/>
          </w:tcPr>
          <w:p w14:paraId="7668BF8F" w14:textId="02D3C99F"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809.</w:t>
            </w:r>
            <w:r w:rsidR="00DB6B10">
              <w:rPr>
                <w:rFonts w:ascii="Times New Roman" w:eastAsia="Times New Roman" w:hAnsi="Times New Roman" w:cs="Times New Roman"/>
                <w:color w:val="000000"/>
                <w:sz w:val="18"/>
                <w:szCs w:val="18"/>
                <w:lang w:eastAsia="lv-LV"/>
              </w:rPr>
              <w:t>64</w:t>
            </w:r>
          </w:p>
        </w:tc>
      </w:tr>
      <w:tr w:rsidR="00E11AFF" w:rsidRPr="002F442B" w14:paraId="12E00CC0" w14:textId="77777777" w:rsidTr="004C54D3">
        <w:trPr>
          <w:gridAfter w:val="1"/>
          <w:wAfter w:w="46" w:type="dxa"/>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CABB41"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1.4.</w:t>
            </w:r>
          </w:p>
        </w:tc>
        <w:tc>
          <w:tcPr>
            <w:tcW w:w="1826" w:type="dxa"/>
            <w:tcBorders>
              <w:top w:val="nil"/>
              <w:left w:val="nil"/>
              <w:bottom w:val="single" w:sz="4" w:space="0" w:color="auto"/>
              <w:right w:val="single" w:sz="4" w:space="0" w:color="auto"/>
            </w:tcBorders>
            <w:shd w:val="clear" w:color="auto" w:fill="auto"/>
            <w:noWrap/>
            <w:vAlign w:val="center"/>
            <w:hideMark/>
          </w:tcPr>
          <w:p w14:paraId="5C7EA8D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IRT</w:t>
            </w:r>
          </w:p>
        </w:tc>
        <w:tc>
          <w:tcPr>
            <w:tcW w:w="4553" w:type="dxa"/>
            <w:tcBorders>
              <w:top w:val="nil"/>
              <w:left w:val="nil"/>
              <w:bottom w:val="single" w:sz="4" w:space="0" w:color="auto"/>
              <w:right w:val="nil"/>
            </w:tcBorders>
            <w:shd w:val="clear" w:color="auto" w:fill="auto"/>
            <w:vAlign w:val="center"/>
            <w:hideMark/>
          </w:tcPr>
          <w:p w14:paraId="02204675"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xml:space="preserve">Neonatal IRT FEIA komplekts paredzēts kvantitatīvai cilvēka imunoreaktīvā tripsinogēna IRT noteikšanai asins paraugos, kas izžāvēti uz filtrpapīra. Paredzēts cistiskās fobrozes diagnosticēšanai.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3B9DC5"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292048F1"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1.119</w:t>
            </w:r>
          </w:p>
        </w:tc>
        <w:tc>
          <w:tcPr>
            <w:tcW w:w="1701" w:type="dxa"/>
            <w:tcBorders>
              <w:top w:val="nil"/>
              <w:left w:val="nil"/>
              <w:bottom w:val="single" w:sz="4" w:space="0" w:color="auto"/>
              <w:right w:val="single" w:sz="4" w:space="0" w:color="auto"/>
            </w:tcBorders>
            <w:shd w:val="clear" w:color="auto" w:fill="auto"/>
            <w:noWrap/>
            <w:vAlign w:val="center"/>
            <w:hideMark/>
          </w:tcPr>
          <w:p w14:paraId="569AFCC6" w14:textId="11EA807A"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872.</w:t>
            </w:r>
            <w:r w:rsidR="00DB6B10">
              <w:rPr>
                <w:rFonts w:ascii="Times New Roman" w:eastAsia="Times New Roman" w:hAnsi="Times New Roman" w:cs="Times New Roman"/>
                <w:color w:val="000000"/>
                <w:sz w:val="18"/>
                <w:szCs w:val="18"/>
                <w:lang w:eastAsia="lv-LV"/>
              </w:rPr>
              <w:t>82</w:t>
            </w:r>
          </w:p>
        </w:tc>
      </w:tr>
      <w:tr w:rsidR="00663981" w:rsidRPr="002F442B" w14:paraId="56332BB8" w14:textId="77777777" w:rsidTr="004C54D3">
        <w:trPr>
          <w:gridAfter w:val="1"/>
          <w:wAfter w:w="46" w:type="dxa"/>
          <w:trHeight w:val="28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55ECE7"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w:t>
            </w:r>
          </w:p>
        </w:tc>
        <w:tc>
          <w:tcPr>
            <w:tcW w:w="1826" w:type="dxa"/>
            <w:tcBorders>
              <w:top w:val="nil"/>
              <w:left w:val="nil"/>
              <w:bottom w:val="single" w:sz="4" w:space="0" w:color="auto"/>
              <w:right w:val="single" w:sz="4" w:space="0" w:color="auto"/>
            </w:tcBorders>
            <w:shd w:val="clear" w:color="auto" w:fill="auto"/>
            <w:noWrap/>
            <w:vAlign w:val="bottom"/>
            <w:hideMark/>
          </w:tcPr>
          <w:p w14:paraId="536E3AE0"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Laboratorijas piederumi</w:t>
            </w:r>
            <w:r>
              <w:rPr>
                <w:rFonts w:ascii="Times New Roman" w:eastAsia="Times New Roman" w:hAnsi="Times New Roman" w:cs="Times New Roman"/>
                <w:color w:val="000000"/>
                <w:sz w:val="18"/>
                <w:szCs w:val="18"/>
                <w:lang w:eastAsia="lv-LV"/>
              </w:rPr>
              <w:t>, tai skaitā:</w:t>
            </w:r>
          </w:p>
        </w:tc>
        <w:tc>
          <w:tcPr>
            <w:tcW w:w="4553" w:type="dxa"/>
            <w:tcBorders>
              <w:top w:val="nil"/>
              <w:left w:val="nil"/>
              <w:bottom w:val="single" w:sz="4" w:space="0" w:color="auto"/>
              <w:right w:val="single" w:sz="4" w:space="0" w:color="auto"/>
            </w:tcBorders>
            <w:shd w:val="clear" w:color="auto" w:fill="auto"/>
            <w:noWrap/>
            <w:vAlign w:val="bottom"/>
            <w:hideMark/>
          </w:tcPr>
          <w:p w14:paraId="46D57EDD"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70B5D0"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FB91A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0F8A23"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r>
      <w:tr w:rsidR="00663981" w:rsidRPr="002F442B" w14:paraId="70870AB6" w14:textId="77777777" w:rsidTr="004C54D3">
        <w:trPr>
          <w:gridAfter w:val="1"/>
          <w:wAfter w:w="46" w:type="dxa"/>
          <w:trHeight w:val="28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2104DE"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2.1.</w:t>
            </w:r>
          </w:p>
        </w:tc>
        <w:tc>
          <w:tcPr>
            <w:tcW w:w="1826" w:type="dxa"/>
            <w:tcBorders>
              <w:top w:val="nil"/>
              <w:left w:val="nil"/>
              <w:bottom w:val="single" w:sz="4" w:space="0" w:color="auto"/>
              <w:right w:val="single" w:sz="4" w:space="0" w:color="auto"/>
            </w:tcBorders>
            <w:shd w:val="clear" w:color="auto" w:fill="auto"/>
            <w:vAlign w:val="center"/>
            <w:hideMark/>
          </w:tcPr>
          <w:p w14:paraId="01C47605" w14:textId="77777777" w:rsidR="00663981" w:rsidRPr="001B7367" w:rsidRDefault="00663981" w:rsidP="00812A71">
            <w:pPr>
              <w:spacing w:after="0" w:line="240" w:lineRule="auto"/>
              <w:jc w:val="right"/>
              <w:rPr>
                <w:rFonts w:ascii="Times New Roman" w:eastAsia="Times New Roman" w:hAnsi="Times New Roman" w:cs="Times New Roman"/>
                <w:i/>
                <w:color w:val="000000"/>
                <w:sz w:val="18"/>
                <w:szCs w:val="18"/>
                <w:lang w:eastAsia="lv-LV"/>
              </w:rPr>
            </w:pPr>
            <w:r w:rsidRPr="001B7367">
              <w:rPr>
                <w:rFonts w:ascii="Times New Roman" w:eastAsia="Times New Roman" w:hAnsi="Times New Roman" w:cs="Times New Roman"/>
                <w:i/>
                <w:color w:val="000000"/>
                <w:sz w:val="18"/>
                <w:szCs w:val="18"/>
                <w:lang w:eastAsia="lv-LV"/>
              </w:rPr>
              <w:t>Pipešu uzgalis 0,5-250mkl, universālais</w:t>
            </w:r>
          </w:p>
        </w:tc>
        <w:tc>
          <w:tcPr>
            <w:tcW w:w="4553" w:type="dxa"/>
            <w:tcBorders>
              <w:top w:val="nil"/>
              <w:left w:val="nil"/>
              <w:bottom w:val="single" w:sz="4" w:space="0" w:color="auto"/>
              <w:right w:val="single" w:sz="4" w:space="0" w:color="auto"/>
            </w:tcBorders>
            <w:shd w:val="clear" w:color="auto" w:fill="auto"/>
            <w:noWrap/>
            <w:vAlign w:val="center"/>
            <w:hideMark/>
          </w:tcPr>
          <w:p w14:paraId="68F04839"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w:t>
            </w:r>
          </w:p>
        </w:tc>
        <w:tc>
          <w:tcPr>
            <w:tcW w:w="1275" w:type="dxa"/>
            <w:tcBorders>
              <w:top w:val="nil"/>
              <w:left w:val="nil"/>
              <w:bottom w:val="single" w:sz="4" w:space="0" w:color="auto"/>
              <w:right w:val="single" w:sz="4" w:space="0" w:color="auto"/>
            </w:tcBorders>
            <w:shd w:val="clear" w:color="auto" w:fill="auto"/>
            <w:noWrap/>
            <w:vAlign w:val="center"/>
            <w:hideMark/>
          </w:tcPr>
          <w:p w14:paraId="650FAB91"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2535C9FF"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0.030</w:t>
            </w:r>
          </w:p>
        </w:tc>
        <w:tc>
          <w:tcPr>
            <w:tcW w:w="1701" w:type="dxa"/>
            <w:tcBorders>
              <w:top w:val="nil"/>
              <w:left w:val="nil"/>
              <w:bottom w:val="single" w:sz="4" w:space="0" w:color="auto"/>
              <w:right w:val="single" w:sz="4" w:space="0" w:color="auto"/>
            </w:tcBorders>
            <w:shd w:val="clear" w:color="auto" w:fill="auto"/>
            <w:noWrap/>
            <w:vAlign w:val="center"/>
            <w:hideMark/>
          </w:tcPr>
          <w:p w14:paraId="1B92F9D4"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23.40</w:t>
            </w:r>
          </w:p>
        </w:tc>
      </w:tr>
      <w:tr w:rsidR="00663981" w:rsidRPr="002F442B" w14:paraId="05C59B29" w14:textId="77777777" w:rsidTr="004C54D3">
        <w:trPr>
          <w:gridAfter w:val="1"/>
          <w:wAfter w:w="46" w:type="dxa"/>
          <w:trHeight w:val="408"/>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B2DA03"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2.2.</w:t>
            </w:r>
          </w:p>
        </w:tc>
        <w:tc>
          <w:tcPr>
            <w:tcW w:w="1826" w:type="dxa"/>
            <w:tcBorders>
              <w:top w:val="nil"/>
              <w:left w:val="nil"/>
              <w:bottom w:val="single" w:sz="4" w:space="0" w:color="auto"/>
              <w:right w:val="single" w:sz="4" w:space="0" w:color="auto"/>
            </w:tcBorders>
            <w:shd w:val="clear" w:color="auto" w:fill="auto"/>
            <w:vAlign w:val="center"/>
            <w:hideMark/>
          </w:tcPr>
          <w:p w14:paraId="73625C29" w14:textId="77777777" w:rsidR="00663981" w:rsidRPr="001B7367" w:rsidRDefault="00663981" w:rsidP="00812A71">
            <w:pPr>
              <w:spacing w:after="0" w:line="240" w:lineRule="auto"/>
              <w:jc w:val="right"/>
              <w:rPr>
                <w:rFonts w:ascii="Times New Roman" w:eastAsia="Times New Roman" w:hAnsi="Times New Roman" w:cs="Times New Roman"/>
                <w:i/>
                <w:color w:val="000000"/>
                <w:sz w:val="18"/>
                <w:szCs w:val="18"/>
                <w:lang w:eastAsia="lv-LV"/>
              </w:rPr>
            </w:pPr>
            <w:r w:rsidRPr="001B7367">
              <w:rPr>
                <w:rFonts w:ascii="Times New Roman" w:eastAsia="Times New Roman" w:hAnsi="Times New Roman" w:cs="Times New Roman"/>
                <w:i/>
                <w:color w:val="000000"/>
                <w:sz w:val="18"/>
                <w:szCs w:val="18"/>
                <w:lang w:eastAsia="lv-LV"/>
              </w:rPr>
              <w:t>Mērcilindrs stikla ar "snīpi"100ml graduēts ar iedaļu 1ml</w:t>
            </w:r>
          </w:p>
        </w:tc>
        <w:tc>
          <w:tcPr>
            <w:tcW w:w="4553" w:type="dxa"/>
            <w:tcBorders>
              <w:top w:val="nil"/>
              <w:left w:val="nil"/>
              <w:bottom w:val="single" w:sz="4" w:space="0" w:color="auto"/>
              <w:right w:val="single" w:sz="4" w:space="0" w:color="auto"/>
            </w:tcBorders>
            <w:shd w:val="clear" w:color="auto" w:fill="auto"/>
            <w:noWrap/>
            <w:vAlign w:val="center"/>
            <w:hideMark/>
          </w:tcPr>
          <w:p w14:paraId="1F767E24"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w:t>
            </w:r>
          </w:p>
        </w:tc>
        <w:tc>
          <w:tcPr>
            <w:tcW w:w="1275" w:type="dxa"/>
            <w:tcBorders>
              <w:top w:val="nil"/>
              <w:left w:val="nil"/>
              <w:bottom w:val="single" w:sz="4" w:space="0" w:color="auto"/>
              <w:right w:val="single" w:sz="4" w:space="0" w:color="auto"/>
            </w:tcBorders>
            <w:shd w:val="clear" w:color="auto" w:fill="auto"/>
            <w:noWrap/>
            <w:vAlign w:val="center"/>
            <w:hideMark/>
          </w:tcPr>
          <w:p w14:paraId="1FD1FEA0"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w:t>
            </w:r>
          </w:p>
        </w:tc>
        <w:tc>
          <w:tcPr>
            <w:tcW w:w="1276" w:type="dxa"/>
            <w:tcBorders>
              <w:top w:val="nil"/>
              <w:left w:val="nil"/>
              <w:bottom w:val="single" w:sz="4" w:space="0" w:color="auto"/>
              <w:right w:val="single" w:sz="4" w:space="0" w:color="auto"/>
            </w:tcBorders>
            <w:shd w:val="clear" w:color="auto" w:fill="auto"/>
            <w:noWrap/>
            <w:vAlign w:val="center"/>
            <w:hideMark/>
          </w:tcPr>
          <w:p w14:paraId="562207E8"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7.275</w:t>
            </w:r>
          </w:p>
        </w:tc>
        <w:tc>
          <w:tcPr>
            <w:tcW w:w="1701" w:type="dxa"/>
            <w:tcBorders>
              <w:top w:val="nil"/>
              <w:left w:val="nil"/>
              <w:bottom w:val="single" w:sz="4" w:space="0" w:color="auto"/>
              <w:right w:val="single" w:sz="4" w:space="0" w:color="auto"/>
            </w:tcBorders>
            <w:shd w:val="clear" w:color="auto" w:fill="auto"/>
            <w:noWrap/>
            <w:vAlign w:val="center"/>
            <w:hideMark/>
          </w:tcPr>
          <w:p w14:paraId="72962991"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14.55</w:t>
            </w:r>
          </w:p>
        </w:tc>
      </w:tr>
      <w:tr w:rsidR="00663981" w:rsidRPr="002F442B" w14:paraId="50212BB5" w14:textId="77777777" w:rsidTr="004C54D3">
        <w:trPr>
          <w:gridAfter w:val="1"/>
          <w:wAfter w:w="46" w:type="dxa"/>
          <w:trHeight w:val="288"/>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8DE3490"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2.3.</w:t>
            </w:r>
          </w:p>
        </w:tc>
        <w:tc>
          <w:tcPr>
            <w:tcW w:w="1826" w:type="dxa"/>
            <w:tcBorders>
              <w:top w:val="nil"/>
              <w:left w:val="nil"/>
              <w:bottom w:val="single" w:sz="4" w:space="0" w:color="auto"/>
              <w:right w:val="single" w:sz="4" w:space="0" w:color="auto"/>
            </w:tcBorders>
            <w:shd w:val="clear" w:color="auto" w:fill="auto"/>
            <w:vAlign w:val="center"/>
            <w:hideMark/>
          </w:tcPr>
          <w:p w14:paraId="4F93226C" w14:textId="77777777" w:rsidR="00663981" w:rsidRPr="001B7367" w:rsidRDefault="00663981" w:rsidP="00812A71">
            <w:pPr>
              <w:spacing w:after="0" w:line="240" w:lineRule="auto"/>
              <w:jc w:val="right"/>
              <w:rPr>
                <w:rFonts w:ascii="Times New Roman" w:eastAsia="Times New Roman" w:hAnsi="Times New Roman" w:cs="Times New Roman"/>
                <w:i/>
                <w:color w:val="000000"/>
                <w:sz w:val="18"/>
                <w:szCs w:val="18"/>
                <w:lang w:eastAsia="lv-LV"/>
              </w:rPr>
            </w:pPr>
            <w:r w:rsidRPr="001B7367">
              <w:rPr>
                <w:rFonts w:ascii="Times New Roman" w:eastAsia="Times New Roman" w:hAnsi="Times New Roman" w:cs="Times New Roman"/>
                <w:i/>
                <w:color w:val="000000"/>
                <w:sz w:val="18"/>
                <w:szCs w:val="18"/>
                <w:lang w:eastAsia="lv-LV"/>
              </w:rPr>
              <w:t>Vārglāze 1000ml stikla,zema,graduēta</w:t>
            </w:r>
          </w:p>
        </w:tc>
        <w:tc>
          <w:tcPr>
            <w:tcW w:w="4553" w:type="dxa"/>
            <w:tcBorders>
              <w:top w:val="nil"/>
              <w:left w:val="nil"/>
              <w:bottom w:val="single" w:sz="4" w:space="0" w:color="auto"/>
              <w:right w:val="single" w:sz="4" w:space="0" w:color="auto"/>
            </w:tcBorders>
            <w:shd w:val="clear" w:color="auto" w:fill="auto"/>
            <w:noWrap/>
            <w:vAlign w:val="center"/>
            <w:hideMark/>
          </w:tcPr>
          <w:p w14:paraId="5A9C6638"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w:t>
            </w:r>
          </w:p>
        </w:tc>
        <w:tc>
          <w:tcPr>
            <w:tcW w:w="1275" w:type="dxa"/>
            <w:tcBorders>
              <w:top w:val="nil"/>
              <w:left w:val="nil"/>
              <w:bottom w:val="single" w:sz="4" w:space="0" w:color="auto"/>
              <w:right w:val="single" w:sz="4" w:space="0" w:color="auto"/>
            </w:tcBorders>
            <w:shd w:val="clear" w:color="auto" w:fill="auto"/>
            <w:noWrap/>
            <w:vAlign w:val="center"/>
            <w:hideMark/>
          </w:tcPr>
          <w:p w14:paraId="3D0A5C25"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w:t>
            </w:r>
          </w:p>
        </w:tc>
        <w:tc>
          <w:tcPr>
            <w:tcW w:w="1276" w:type="dxa"/>
            <w:tcBorders>
              <w:top w:val="nil"/>
              <w:left w:val="nil"/>
              <w:bottom w:val="single" w:sz="4" w:space="0" w:color="auto"/>
              <w:right w:val="single" w:sz="4" w:space="0" w:color="auto"/>
            </w:tcBorders>
            <w:shd w:val="clear" w:color="auto" w:fill="auto"/>
            <w:noWrap/>
            <w:vAlign w:val="center"/>
            <w:hideMark/>
          </w:tcPr>
          <w:p w14:paraId="517DBD33"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5.385</w:t>
            </w:r>
          </w:p>
        </w:tc>
        <w:tc>
          <w:tcPr>
            <w:tcW w:w="1701" w:type="dxa"/>
            <w:tcBorders>
              <w:top w:val="nil"/>
              <w:left w:val="nil"/>
              <w:bottom w:val="single" w:sz="4" w:space="0" w:color="auto"/>
              <w:right w:val="single" w:sz="4" w:space="0" w:color="auto"/>
            </w:tcBorders>
            <w:shd w:val="clear" w:color="auto" w:fill="auto"/>
            <w:noWrap/>
            <w:vAlign w:val="center"/>
            <w:hideMark/>
          </w:tcPr>
          <w:p w14:paraId="5FD02B7C" w14:textId="6C4F8623"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5.3</w:t>
            </w:r>
            <w:r w:rsidR="00DB6B10">
              <w:rPr>
                <w:rFonts w:ascii="Times New Roman" w:eastAsia="Times New Roman" w:hAnsi="Times New Roman" w:cs="Times New Roman"/>
                <w:color w:val="000000"/>
                <w:sz w:val="18"/>
                <w:szCs w:val="18"/>
                <w:lang w:eastAsia="lv-LV"/>
              </w:rPr>
              <w:t>9</w:t>
            </w:r>
          </w:p>
        </w:tc>
      </w:tr>
      <w:tr w:rsidR="00663981" w:rsidRPr="002F442B" w14:paraId="0D149F51" w14:textId="77777777" w:rsidTr="004C54D3">
        <w:trPr>
          <w:gridAfter w:val="1"/>
          <w:wAfter w:w="46" w:type="dxa"/>
          <w:trHeight w:val="288"/>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969BAB"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2.5.</w:t>
            </w:r>
          </w:p>
        </w:tc>
        <w:tc>
          <w:tcPr>
            <w:tcW w:w="1826" w:type="dxa"/>
            <w:tcBorders>
              <w:top w:val="nil"/>
              <w:left w:val="nil"/>
              <w:bottom w:val="single" w:sz="4" w:space="0" w:color="auto"/>
              <w:right w:val="single" w:sz="4" w:space="0" w:color="auto"/>
            </w:tcBorders>
            <w:shd w:val="clear" w:color="auto" w:fill="auto"/>
            <w:vAlign w:val="center"/>
            <w:hideMark/>
          </w:tcPr>
          <w:p w14:paraId="63DEAB96" w14:textId="77777777" w:rsidR="00663981" w:rsidRPr="001B7367" w:rsidRDefault="00663981" w:rsidP="00812A71">
            <w:pPr>
              <w:spacing w:after="0" w:line="240" w:lineRule="auto"/>
              <w:jc w:val="right"/>
              <w:rPr>
                <w:rFonts w:ascii="Times New Roman" w:eastAsia="Times New Roman" w:hAnsi="Times New Roman" w:cs="Times New Roman"/>
                <w:i/>
                <w:color w:val="000000"/>
                <w:sz w:val="18"/>
                <w:szCs w:val="18"/>
                <w:lang w:eastAsia="lv-LV"/>
              </w:rPr>
            </w:pPr>
            <w:r w:rsidRPr="001B7367">
              <w:rPr>
                <w:rFonts w:ascii="Times New Roman" w:eastAsia="Times New Roman" w:hAnsi="Times New Roman" w:cs="Times New Roman"/>
                <w:i/>
                <w:color w:val="000000"/>
                <w:sz w:val="18"/>
                <w:szCs w:val="18"/>
                <w:lang w:eastAsia="lv-LV"/>
              </w:rPr>
              <w:t>Cimdi lateksa nesterili nepūderēti M</w:t>
            </w:r>
          </w:p>
        </w:tc>
        <w:tc>
          <w:tcPr>
            <w:tcW w:w="4553" w:type="dxa"/>
            <w:tcBorders>
              <w:top w:val="nil"/>
              <w:left w:val="nil"/>
              <w:bottom w:val="single" w:sz="4" w:space="0" w:color="auto"/>
              <w:right w:val="single" w:sz="4" w:space="0" w:color="auto"/>
            </w:tcBorders>
            <w:shd w:val="clear" w:color="auto" w:fill="auto"/>
            <w:noWrap/>
            <w:vAlign w:val="center"/>
            <w:hideMark/>
          </w:tcPr>
          <w:p w14:paraId="706989BB"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w:t>
            </w:r>
          </w:p>
        </w:tc>
        <w:tc>
          <w:tcPr>
            <w:tcW w:w="1275" w:type="dxa"/>
            <w:tcBorders>
              <w:top w:val="nil"/>
              <w:left w:val="nil"/>
              <w:bottom w:val="single" w:sz="4" w:space="0" w:color="auto"/>
              <w:right w:val="single" w:sz="4" w:space="0" w:color="auto"/>
            </w:tcBorders>
            <w:shd w:val="clear" w:color="auto" w:fill="auto"/>
            <w:noWrap/>
            <w:vAlign w:val="center"/>
            <w:hideMark/>
          </w:tcPr>
          <w:p w14:paraId="1BD5CEE3"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746E88FE"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0.031</w:t>
            </w:r>
          </w:p>
        </w:tc>
        <w:tc>
          <w:tcPr>
            <w:tcW w:w="1701" w:type="dxa"/>
            <w:tcBorders>
              <w:top w:val="nil"/>
              <w:left w:val="nil"/>
              <w:bottom w:val="single" w:sz="4" w:space="0" w:color="auto"/>
              <w:right w:val="single" w:sz="4" w:space="0" w:color="auto"/>
            </w:tcBorders>
            <w:shd w:val="clear" w:color="auto" w:fill="auto"/>
            <w:noWrap/>
            <w:vAlign w:val="center"/>
            <w:hideMark/>
          </w:tcPr>
          <w:p w14:paraId="4F8A70C2" w14:textId="41D9D7F0"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24.</w:t>
            </w:r>
            <w:r w:rsidR="00DB6B10">
              <w:rPr>
                <w:rFonts w:ascii="Times New Roman" w:eastAsia="Times New Roman" w:hAnsi="Times New Roman" w:cs="Times New Roman"/>
                <w:color w:val="000000"/>
                <w:sz w:val="18"/>
                <w:szCs w:val="18"/>
                <w:lang w:eastAsia="lv-LV"/>
              </w:rPr>
              <w:t>18</w:t>
            </w:r>
          </w:p>
        </w:tc>
      </w:tr>
      <w:tr w:rsidR="00663981" w:rsidRPr="002F442B" w14:paraId="2B74BB37" w14:textId="77777777" w:rsidTr="004C54D3">
        <w:trPr>
          <w:gridAfter w:val="1"/>
          <w:wAfter w:w="46" w:type="dxa"/>
          <w:trHeight w:val="450"/>
          <w:jc w:val="center"/>
        </w:trPr>
        <w:tc>
          <w:tcPr>
            <w:tcW w:w="851" w:type="dxa"/>
            <w:tcBorders>
              <w:top w:val="nil"/>
              <w:left w:val="nil"/>
              <w:bottom w:val="nil"/>
              <w:right w:val="nil"/>
            </w:tcBorders>
            <w:shd w:val="clear" w:color="auto" w:fill="auto"/>
            <w:noWrap/>
            <w:vAlign w:val="bottom"/>
            <w:hideMark/>
          </w:tcPr>
          <w:p w14:paraId="6B309BEC"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p>
        </w:tc>
        <w:tc>
          <w:tcPr>
            <w:tcW w:w="1826" w:type="dxa"/>
            <w:tcBorders>
              <w:top w:val="nil"/>
              <w:left w:val="nil"/>
              <w:bottom w:val="nil"/>
              <w:right w:val="nil"/>
            </w:tcBorders>
            <w:shd w:val="clear" w:color="auto" w:fill="auto"/>
            <w:noWrap/>
            <w:vAlign w:val="bottom"/>
            <w:hideMark/>
          </w:tcPr>
          <w:p w14:paraId="42DAA119" w14:textId="77777777" w:rsidR="00663981" w:rsidRPr="00804A1A" w:rsidRDefault="00663981" w:rsidP="00812A71">
            <w:pPr>
              <w:spacing w:after="0" w:line="240" w:lineRule="auto"/>
              <w:rPr>
                <w:rFonts w:ascii="Times New Roman" w:eastAsia="Times New Roman" w:hAnsi="Times New Roman" w:cs="Times New Roman"/>
                <w:sz w:val="18"/>
                <w:szCs w:val="18"/>
                <w:lang w:eastAsia="lv-LV"/>
              </w:rPr>
            </w:pPr>
          </w:p>
        </w:tc>
        <w:tc>
          <w:tcPr>
            <w:tcW w:w="4553" w:type="dxa"/>
            <w:tcBorders>
              <w:top w:val="nil"/>
              <w:left w:val="nil"/>
              <w:bottom w:val="nil"/>
              <w:right w:val="nil"/>
            </w:tcBorders>
            <w:shd w:val="clear" w:color="auto" w:fill="auto"/>
            <w:noWrap/>
            <w:vAlign w:val="bottom"/>
            <w:hideMark/>
          </w:tcPr>
          <w:p w14:paraId="5863195E" w14:textId="77777777" w:rsidR="00663981" w:rsidRPr="00804A1A" w:rsidRDefault="00663981" w:rsidP="00812A71">
            <w:pPr>
              <w:spacing w:after="0" w:line="240" w:lineRule="auto"/>
              <w:rPr>
                <w:rFonts w:ascii="Times New Roman" w:eastAsia="Times New Roman" w:hAnsi="Times New Roman" w:cs="Times New Roman"/>
                <w:sz w:val="18"/>
                <w:szCs w:val="18"/>
                <w:lang w:eastAsia="lv-LV"/>
              </w:rPr>
            </w:pPr>
          </w:p>
        </w:tc>
        <w:tc>
          <w:tcPr>
            <w:tcW w:w="1275" w:type="dxa"/>
            <w:tcBorders>
              <w:top w:val="nil"/>
              <w:left w:val="nil"/>
              <w:bottom w:val="nil"/>
              <w:right w:val="nil"/>
            </w:tcBorders>
            <w:shd w:val="clear" w:color="auto" w:fill="auto"/>
            <w:noWrap/>
            <w:vAlign w:val="bottom"/>
            <w:hideMark/>
          </w:tcPr>
          <w:p w14:paraId="6CD10A74" w14:textId="77777777" w:rsidR="00663981" w:rsidRPr="00804A1A" w:rsidRDefault="00663981" w:rsidP="00812A71">
            <w:pPr>
              <w:spacing w:after="0" w:line="240" w:lineRule="auto"/>
              <w:rPr>
                <w:rFonts w:ascii="Times New Roman" w:eastAsia="Times New Roman" w:hAnsi="Times New Roman" w:cs="Times New Roman"/>
                <w:sz w:val="18"/>
                <w:szCs w:val="18"/>
                <w:lang w:eastAsia="lv-LV"/>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A8B0625"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xml:space="preserve">Kopā, </w:t>
            </w:r>
            <w:r w:rsidRPr="00804A1A">
              <w:rPr>
                <w:rFonts w:ascii="Times New Roman" w:eastAsia="Times New Roman" w:hAnsi="Times New Roman" w:cs="Times New Roman"/>
                <w:i/>
                <w:iCs/>
                <w:color w:val="000000"/>
                <w:sz w:val="18"/>
                <w:szCs w:val="18"/>
                <w:lang w:eastAsia="lv-LV"/>
              </w:rPr>
              <w:t>euro</w:t>
            </w:r>
          </w:p>
        </w:tc>
        <w:tc>
          <w:tcPr>
            <w:tcW w:w="1701" w:type="dxa"/>
            <w:tcBorders>
              <w:top w:val="nil"/>
              <w:left w:val="nil"/>
              <w:bottom w:val="single" w:sz="4" w:space="0" w:color="auto"/>
              <w:right w:val="single" w:sz="4" w:space="0" w:color="auto"/>
            </w:tcBorders>
            <w:shd w:val="clear" w:color="auto" w:fill="auto"/>
            <w:noWrap/>
            <w:vAlign w:val="center"/>
            <w:hideMark/>
          </w:tcPr>
          <w:p w14:paraId="3277729D" w14:textId="5D3DE954" w:rsidR="00663981" w:rsidRPr="00804A1A" w:rsidRDefault="00663981" w:rsidP="00812A71">
            <w:pPr>
              <w:spacing w:after="0" w:line="240" w:lineRule="auto"/>
              <w:jc w:val="center"/>
              <w:rPr>
                <w:rFonts w:ascii="Times New Roman" w:eastAsia="Times New Roman" w:hAnsi="Times New Roman" w:cs="Times New Roman"/>
                <w:b/>
                <w:bCs/>
                <w:color w:val="000000"/>
                <w:sz w:val="18"/>
                <w:szCs w:val="18"/>
                <w:lang w:eastAsia="lv-LV"/>
              </w:rPr>
            </w:pPr>
            <w:r w:rsidRPr="00574271">
              <w:rPr>
                <w:rFonts w:ascii="Times New Roman" w:eastAsia="Times New Roman" w:hAnsi="Times New Roman" w:cs="Times New Roman"/>
                <w:b/>
                <w:bCs/>
                <w:color w:val="000000"/>
                <w:sz w:val="18"/>
                <w:szCs w:val="18"/>
                <w:lang w:eastAsia="lv-LV"/>
              </w:rPr>
              <w:t>320</w:t>
            </w:r>
            <w:r w:rsidR="00DB6B10">
              <w:rPr>
                <w:rFonts w:ascii="Times New Roman" w:eastAsia="Times New Roman" w:hAnsi="Times New Roman" w:cs="Times New Roman"/>
                <w:b/>
                <w:bCs/>
                <w:color w:val="000000"/>
                <w:sz w:val="18"/>
                <w:szCs w:val="18"/>
                <w:lang w:eastAsia="lv-LV"/>
              </w:rPr>
              <w:t>1</w:t>
            </w:r>
          </w:p>
        </w:tc>
      </w:tr>
    </w:tbl>
    <w:p w14:paraId="4D9CC806" w14:textId="77777777" w:rsidR="004C54D3" w:rsidRDefault="004C54D3" w:rsidP="007650A2">
      <w:pPr>
        <w:pStyle w:val="Heading2"/>
        <w:spacing w:before="0" w:after="120"/>
        <w:ind w:firstLine="720"/>
        <w:jc w:val="both"/>
        <w:rPr>
          <w:rFonts w:ascii="Times New Roman" w:hAnsi="Times New Roman" w:cs="Times New Roman"/>
          <w:bCs/>
          <w:color w:val="auto"/>
          <w:sz w:val="24"/>
          <w:szCs w:val="24"/>
        </w:rPr>
      </w:pPr>
    </w:p>
    <w:p w14:paraId="1A996E29" w14:textId="51CD5759" w:rsidR="003E7389" w:rsidRDefault="003E7389" w:rsidP="007650A2">
      <w:pPr>
        <w:pStyle w:val="Heading2"/>
        <w:spacing w:before="0" w:after="120"/>
        <w:ind w:firstLine="720"/>
        <w:jc w:val="both"/>
        <w:rPr>
          <w:rFonts w:ascii="Times New Roman" w:hAnsi="Times New Roman" w:cs="Times New Roman"/>
          <w:color w:val="auto"/>
          <w:sz w:val="24"/>
          <w:szCs w:val="24"/>
          <w:lang w:eastAsia="lv-LV"/>
        </w:rPr>
      </w:pPr>
      <w:r w:rsidRPr="00FB3E82">
        <w:rPr>
          <w:rFonts w:ascii="Times New Roman" w:hAnsi="Times New Roman" w:cs="Times New Roman"/>
          <w:bCs/>
          <w:color w:val="auto"/>
          <w:sz w:val="24"/>
          <w:szCs w:val="24"/>
        </w:rPr>
        <w:t xml:space="preserve">Lai no 2019.gada 1.jūlija uzsāktu </w:t>
      </w:r>
      <w:r w:rsidRPr="00FB3E82">
        <w:rPr>
          <w:rFonts w:ascii="Times New Roman" w:hAnsi="Times New Roman" w:cs="Times New Roman"/>
          <w:color w:val="auto"/>
          <w:sz w:val="24"/>
          <w:szCs w:val="24"/>
          <w:lang w:eastAsia="lv-LV"/>
        </w:rPr>
        <w:t xml:space="preserve">jaundzimušo ģenētiski iedzimto slimību  skrīningu nepieciešami </w:t>
      </w:r>
      <w:r w:rsidR="003F6583">
        <w:rPr>
          <w:rFonts w:ascii="Times New Roman" w:hAnsi="Times New Roman" w:cs="Times New Roman"/>
          <w:b/>
          <w:color w:val="auto"/>
          <w:sz w:val="24"/>
          <w:szCs w:val="24"/>
          <w:lang w:eastAsia="lv-LV"/>
        </w:rPr>
        <w:t>361 062</w:t>
      </w:r>
      <w:r w:rsidRPr="00FB3E82">
        <w:rPr>
          <w:rFonts w:ascii="Times New Roman" w:hAnsi="Times New Roman" w:cs="Times New Roman"/>
          <w:b/>
          <w:color w:val="auto"/>
          <w:sz w:val="24"/>
          <w:szCs w:val="24"/>
          <w:lang w:eastAsia="lv-LV"/>
        </w:rPr>
        <w:t xml:space="preserve"> </w:t>
      </w:r>
      <w:r w:rsidRPr="00FB3E82">
        <w:rPr>
          <w:rFonts w:ascii="Times New Roman" w:hAnsi="Times New Roman" w:cs="Times New Roman"/>
          <w:b/>
          <w:i/>
          <w:color w:val="auto"/>
          <w:sz w:val="24"/>
          <w:szCs w:val="24"/>
          <w:lang w:eastAsia="lv-LV"/>
        </w:rPr>
        <w:t>euro</w:t>
      </w:r>
      <w:r w:rsidR="00DD69AE">
        <w:rPr>
          <w:rFonts w:ascii="Times New Roman" w:hAnsi="Times New Roman" w:cs="Times New Roman"/>
          <w:b/>
          <w:i/>
          <w:color w:val="auto"/>
          <w:sz w:val="24"/>
          <w:szCs w:val="24"/>
          <w:lang w:eastAsia="lv-LV"/>
        </w:rPr>
        <w:t xml:space="preserve"> </w:t>
      </w:r>
      <w:r w:rsidR="00DD69AE" w:rsidRPr="00FB3E82">
        <w:rPr>
          <w:rFonts w:ascii="Times New Roman" w:hAnsi="Times New Roman" w:cs="Times New Roman"/>
          <w:color w:val="auto"/>
          <w:sz w:val="24"/>
          <w:szCs w:val="24"/>
          <w:lang w:eastAsia="lv-LV"/>
        </w:rPr>
        <w:t>(</w:t>
      </w:r>
      <w:r w:rsidR="008104BD">
        <w:rPr>
          <w:rFonts w:ascii="Times New Roman" w:hAnsi="Times New Roman" w:cs="Times New Roman"/>
          <w:color w:val="auto"/>
          <w:sz w:val="24"/>
          <w:szCs w:val="24"/>
          <w:lang w:eastAsia="lv-LV"/>
        </w:rPr>
        <w:t>64. 6</w:t>
      </w:r>
      <w:r w:rsidR="003C7A2D">
        <w:rPr>
          <w:rFonts w:ascii="Times New Roman" w:hAnsi="Times New Roman" w:cs="Times New Roman"/>
          <w:color w:val="auto"/>
          <w:sz w:val="24"/>
          <w:szCs w:val="24"/>
          <w:lang w:eastAsia="lv-LV"/>
        </w:rPr>
        <w:t>5</w:t>
      </w:r>
      <w:r w:rsidR="00DD69AE" w:rsidRPr="00FB3E82">
        <w:rPr>
          <w:rFonts w:ascii="Times New Roman" w:hAnsi="Times New Roman" w:cs="Times New Roman"/>
          <w:color w:val="auto"/>
          <w:sz w:val="24"/>
          <w:szCs w:val="24"/>
          <w:lang w:eastAsia="lv-LV"/>
        </w:rPr>
        <w:t xml:space="preserve">. un </w:t>
      </w:r>
      <w:r w:rsidR="008104BD">
        <w:rPr>
          <w:rFonts w:ascii="Times New Roman" w:hAnsi="Times New Roman" w:cs="Times New Roman"/>
          <w:color w:val="auto"/>
          <w:sz w:val="24"/>
          <w:szCs w:val="24"/>
          <w:lang w:eastAsia="lv-LV"/>
        </w:rPr>
        <w:t>6</w:t>
      </w:r>
      <w:r w:rsidR="003C7A2D">
        <w:rPr>
          <w:rFonts w:ascii="Times New Roman" w:hAnsi="Times New Roman" w:cs="Times New Roman"/>
          <w:color w:val="auto"/>
          <w:sz w:val="24"/>
          <w:szCs w:val="24"/>
          <w:lang w:eastAsia="lv-LV"/>
        </w:rPr>
        <w:t>6</w:t>
      </w:r>
      <w:r w:rsidR="00DD69AE" w:rsidRPr="00FB3E82">
        <w:rPr>
          <w:rFonts w:ascii="Times New Roman" w:hAnsi="Times New Roman" w:cs="Times New Roman"/>
          <w:color w:val="auto"/>
          <w:sz w:val="24"/>
          <w:szCs w:val="24"/>
          <w:lang w:eastAsia="lv-LV"/>
        </w:rPr>
        <w:t>.tabula)</w:t>
      </w:r>
      <w:r w:rsidRPr="00FB3E82">
        <w:rPr>
          <w:rFonts w:ascii="Times New Roman" w:hAnsi="Times New Roman" w:cs="Times New Roman"/>
          <w:color w:val="auto"/>
          <w:sz w:val="24"/>
          <w:szCs w:val="24"/>
          <w:lang w:eastAsia="lv-LV"/>
        </w:rPr>
        <w:t>.</w:t>
      </w:r>
    </w:p>
    <w:tbl>
      <w:tblPr>
        <w:tblStyle w:val="TableGrid"/>
        <w:tblW w:w="13483" w:type="dxa"/>
        <w:tblLook w:val="04A0" w:firstRow="1" w:lastRow="0" w:firstColumn="1" w:lastColumn="0" w:noHBand="0" w:noVBand="1"/>
      </w:tblPr>
      <w:tblGrid>
        <w:gridCol w:w="13483"/>
      </w:tblGrid>
      <w:tr w:rsidR="00681BFD" w14:paraId="7B1591EC" w14:textId="77777777" w:rsidTr="00E11AFF">
        <w:trPr>
          <w:trHeight w:val="830"/>
        </w:trPr>
        <w:tc>
          <w:tcPr>
            <w:tcW w:w="13483" w:type="dxa"/>
          </w:tcPr>
          <w:p w14:paraId="1BF758C7" w14:textId="7B96E13E" w:rsidR="00681BFD" w:rsidRPr="00FB3E82" w:rsidRDefault="00761BFB" w:rsidP="00FB3E82">
            <w:pPr>
              <w:spacing w:after="120"/>
              <w:ind w:firstLine="720"/>
              <w:jc w:val="both"/>
              <w:rPr>
                <w:rFonts w:ascii="Times New Roman" w:hAnsi="Times New Roman"/>
                <w:b/>
                <w:sz w:val="24"/>
                <w:szCs w:val="24"/>
                <w:shd w:val="clear" w:color="auto" w:fill="FFFFFF"/>
              </w:rPr>
            </w:pPr>
            <w:r w:rsidRPr="64AB90BD">
              <w:rPr>
                <w:rFonts w:ascii="Times New Roman" w:hAnsi="Times New Roman"/>
                <w:b/>
                <w:bCs/>
                <w:sz w:val="24"/>
                <w:szCs w:val="24"/>
                <w:lang w:eastAsia="lv-LV"/>
              </w:rPr>
              <w:t xml:space="preserve">Reformas rezultāts – </w:t>
            </w:r>
            <w:r w:rsidRPr="64AB90BD">
              <w:rPr>
                <w:rFonts w:ascii="Times New Roman" w:hAnsi="Times New Roman"/>
                <w:b/>
                <w:bCs/>
                <w:sz w:val="24"/>
                <w:szCs w:val="24"/>
                <w:shd w:val="clear" w:color="auto" w:fill="FFFFFF"/>
              </w:rPr>
              <w:t xml:space="preserve">Paplašinot ģenētisko </w:t>
            </w:r>
            <w:r w:rsidR="52B20BA9" w:rsidRPr="00E93259">
              <w:rPr>
                <w:rFonts w:ascii="Times New Roman" w:hAnsi="Times New Roman"/>
                <w:b/>
                <w:bCs/>
                <w:sz w:val="24"/>
                <w:szCs w:val="24"/>
              </w:rPr>
              <w:t>skrīningu jaundzimušajiem tiks nodrošināta savlaicīga minēto saslimšanu diagnostika un ārstēšana, samazināsies jaundzimušo mirstība, palielināsies dzīvildze un pieaugs darbspējīgu iedzīvotāju skaits, kas varētu dot ieguldījumu valsts attīstībā un ekonomikā.</w:t>
            </w:r>
          </w:p>
        </w:tc>
      </w:tr>
    </w:tbl>
    <w:p w14:paraId="099ECAAE" w14:textId="77777777" w:rsidR="00DE1570" w:rsidRDefault="00DE1570" w:rsidP="00FB3E82">
      <w:pPr>
        <w:rPr>
          <w:lang w:eastAsia="lv-LV"/>
        </w:rPr>
        <w:sectPr w:rsidR="00DE1570" w:rsidSect="00E11AFF">
          <w:pgSz w:w="15840" w:h="12240" w:orient="landscape"/>
          <w:pgMar w:top="1701" w:right="1440" w:bottom="1440" w:left="1440" w:header="709" w:footer="709" w:gutter="0"/>
          <w:cols w:space="708"/>
          <w:docGrid w:linePitch="360"/>
        </w:sectPr>
      </w:pPr>
    </w:p>
    <w:p w14:paraId="52E6E5F2" w14:textId="0CD9CCFB" w:rsidR="00066B3E" w:rsidRPr="00235612" w:rsidRDefault="00066B3E" w:rsidP="000C29E1">
      <w:pPr>
        <w:pStyle w:val="Heading2"/>
        <w:spacing w:before="0" w:after="120"/>
        <w:jc w:val="center"/>
        <w:rPr>
          <w:rFonts w:ascii="Times New Roman" w:hAnsi="Times New Roman" w:cs="Times New Roman"/>
          <w:b/>
          <w:color w:val="auto"/>
          <w:sz w:val="24"/>
          <w:szCs w:val="24"/>
          <w:u w:val="single"/>
        </w:rPr>
      </w:pPr>
      <w:r w:rsidRPr="00235612">
        <w:rPr>
          <w:rFonts w:ascii="Times New Roman" w:hAnsi="Times New Roman" w:cs="Times New Roman"/>
          <w:b/>
          <w:bCs/>
          <w:color w:val="auto"/>
          <w:sz w:val="24"/>
          <w:szCs w:val="24"/>
          <w:u w:val="single"/>
        </w:rPr>
        <w:lastRenderedPageBreak/>
        <w:t xml:space="preserve">4.5. </w:t>
      </w:r>
      <w:r w:rsidR="00891CB0" w:rsidRPr="00235612">
        <w:rPr>
          <w:rFonts w:ascii="Times New Roman" w:hAnsi="Times New Roman" w:cs="Times New Roman"/>
          <w:b/>
          <w:color w:val="auto"/>
          <w:sz w:val="24"/>
          <w:szCs w:val="24"/>
          <w:u w:val="single"/>
        </w:rPr>
        <w:t>Jauns reformu pasākums 2019.gadam - Vējbaku 2.pote</w:t>
      </w:r>
    </w:p>
    <w:p w14:paraId="642F0904" w14:textId="0DECC056" w:rsidR="00795EAD" w:rsidRPr="00795EAD" w:rsidRDefault="00795EAD">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Vējbakas ir ļoti lipīga infekcijas slimība, kas izplatās gaisa pilienu ceļā. Vīruss ir tik izturīgs, ka var tikt pārnests no vienas telpas uz citu pat ar gaisa plūsmu. Teorētiski tas nozīmē, ka var inficēties pat no cilvēka, kurš šobrīd neatrodas vienā telpā ar veselo personu. Infekciozi pēc saskares ar vējbaku pacientiem ir pat 90% indivīdu</w:t>
      </w:r>
      <w:r w:rsidRPr="00795EAD">
        <w:rPr>
          <w:rStyle w:val="FootnoteReference"/>
          <w:rFonts w:ascii="Times New Roman" w:hAnsi="Times New Roman" w:cs="Times New Roman"/>
          <w:sz w:val="24"/>
          <w:szCs w:val="24"/>
        </w:rPr>
        <w:footnoteReference w:id="31"/>
      </w:r>
      <w:r w:rsidRPr="00795EAD">
        <w:rPr>
          <w:rFonts w:ascii="Times New Roman" w:hAnsi="Times New Roman" w:cs="Times New Roman"/>
          <w:sz w:val="24"/>
          <w:szCs w:val="24"/>
        </w:rPr>
        <w:t>.</w:t>
      </w:r>
    </w:p>
    <w:p w14:paraId="7B79D6EF" w14:textId="32621B5A"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2008.gadā tika uzsākta vakcinācija pret vējbakām, ieviešot bērnu vakcinācijas kalendārā vakcināciju pret vējbakām ar vienu devu atbilstoši tā laika vakcinācijas praksei. Savukārt 2012.gadā, pamatojoties uz jaunākajiem zinātniskajiem pētījumiem, vakcinācijai pret vējbakām tika rekomendēts lietot divas devas. Atbilstoši šīm rekomendācijām vakcinācija pret vējbakām ar otro devu tika plānota no 2014.gada, kad bērni, kas 2008.gadā saņēma pirmo vējbaku devu, kļuva septiņus gadus veci.</w:t>
      </w:r>
    </w:p>
    <w:p w14:paraId="0C379207" w14:textId="11C8E2E3"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Kā liecina patreizējā pieredze, bērniem, kas saņēmuši vienu pretvējbaku vakcinācijas devu 12-15 mēnešu vecumā, skolas vecumā samazinās imunitāte pret vējbaku ierosinātāju un viņi var inficēties ar šo vīrusu (visbiežāk vējbakas attīstās bērniem vecumā no 4 līdz 10 gadiem</w:t>
      </w:r>
      <w:r w:rsidRPr="00795EAD">
        <w:rPr>
          <w:rStyle w:val="FootnoteReference"/>
          <w:rFonts w:ascii="Times New Roman" w:hAnsi="Times New Roman" w:cs="Times New Roman"/>
          <w:sz w:val="24"/>
          <w:szCs w:val="24"/>
        </w:rPr>
        <w:footnoteReference w:id="32"/>
      </w:r>
      <w:r w:rsidRPr="00795EAD">
        <w:rPr>
          <w:rFonts w:ascii="Times New Roman" w:hAnsi="Times New Roman" w:cs="Times New Roman"/>
          <w:sz w:val="24"/>
          <w:szCs w:val="24"/>
        </w:rPr>
        <w:t>),</w:t>
      </w:r>
      <w:r w:rsidR="00E97468">
        <w:rPr>
          <w:rFonts w:ascii="Times New Roman" w:hAnsi="Times New Roman" w:cs="Times New Roman"/>
          <w:sz w:val="24"/>
          <w:szCs w:val="24"/>
        </w:rPr>
        <w:t xml:space="preserve"> </w:t>
      </w:r>
      <w:r w:rsidRPr="00795EAD">
        <w:rPr>
          <w:rFonts w:ascii="Times New Roman" w:hAnsi="Times New Roman" w:cs="Times New Roman"/>
          <w:sz w:val="24"/>
          <w:szCs w:val="24"/>
        </w:rPr>
        <w:t xml:space="preserve"> kas šiem vakcinētajiem bērniem parasti izraisa vieglu slimības formu, bet inficēšanās riskam tiek pakļauti citi skolas vecuma bērni, kuri dažādu iemeslu dēļ nav saņēmuši pirmo pretvējbaku vakcīnas devu un nav pārslimojuši vējbakas. Nevakcinētiem skolas vecuma bērniem inficēšanās gadījumā ir augstāks risks saslimt ar smagu vējbaku formu. </w:t>
      </w:r>
      <w:r w:rsidR="001768F7">
        <w:rPr>
          <w:rFonts w:ascii="Times New Roman" w:hAnsi="Times New Roman" w:cs="Times New Roman"/>
          <w:sz w:val="24"/>
          <w:szCs w:val="24"/>
        </w:rPr>
        <w:t xml:space="preserve">Tiek prognozētas, ka 2019.gadā no 7-12 gadiem būs neaizsargāti vairāk kā 70 000 </w:t>
      </w:r>
      <w:r w:rsidR="00EC1DB2">
        <w:rPr>
          <w:rFonts w:ascii="Times New Roman" w:hAnsi="Times New Roman" w:cs="Times New Roman"/>
          <w:sz w:val="24"/>
          <w:szCs w:val="24"/>
        </w:rPr>
        <w:t xml:space="preserve">bērnu no </w:t>
      </w:r>
      <w:r w:rsidR="001768F7">
        <w:rPr>
          <w:rFonts w:ascii="Times New Roman" w:hAnsi="Times New Roman" w:cs="Times New Roman"/>
          <w:sz w:val="24"/>
          <w:szCs w:val="24"/>
        </w:rPr>
        <w:t>saslimšanas ar vējbakām.</w:t>
      </w:r>
    </w:p>
    <w:p w14:paraId="4AE9CC1E" w14:textId="4A01824B" w:rsid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Slimību profilakses un kontroles centra dati apliecina, ka saslimstība samazinājusies visās vecuma grupās, tomēr joprojām pietiekami bieži slimo nevakcinēti pusaudži un bērni vecumā virs 7 gadiem, kā arī nav izslēgta uzliesmojumu iespēja. Slimību profilakses un kontroles centra datu analīze parāda, ka pieaugušo īpatsvars saslimušo struktūrā kopš 2008.gada ir pieaudzis no 3,4% līdz 6,5% 2017. gadā, bet skolas vecuma bērnu un pusaudžu īpatsvars (vecumā no 7-17 gadiem) no 21,5% 2008. gadā līdz 35,9% 2017. gadā</w:t>
      </w:r>
      <w:r w:rsidR="00975FF6">
        <w:rPr>
          <w:rFonts w:ascii="Times New Roman" w:hAnsi="Times New Roman" w:cs="Times New Roman"/>
          <w:sz w:val="24"/>
          <w:szCs w:val="24"/>
        </w:rPr>
        <w:t xml:space="preserve">. </w:t>
      </w:r>
      <w:r w:rsidR="008F2D32">
        <w:rPr>
          <w:rFonts w:ascii="Times New Roman" w:hAnsi="Times New Roman" w:cs="Times New Roman"/>
          <w:sz w:val="24"/>
          <w:szCs w:val="24"/>
        </w:rPr>
        <w:t>(</w:t>
      </w:r>
      <w:r w:rsidR="00883B9B">
        <w:rPr>
          <w:rFonts w:ascii="Times New Roman" w:hAnsi="Times New Roman" w:cs="Times New Roman"/>
          <w:sz w:val="24"/>
          <w:szCs w:val="24"/>
        </w:rPr>
        <w:t>3</w:t>
      </w:r>
      <w:r w:rsidR="008F2D32">
        <w:rPr>
          <w:rFonts w:ascii="Times New Roman" w:hAnsi="Times New Roman" w:cs="Times New Roman"/>
          <w:sz w:val="24"/>
          <w:szCs w:val="24"/>
        </w:rPr>
        <w:t>.attēls)</w:t>
      </w:r>
      <w:r w:rsidRPr="00795EAD">
        <w:rPr>
          <w:rFonts w:ascii="Times New Roman" w:hAnsi="Times New Roman" w:cs="Times New Roman"/>
          <w:sz w:val="24"/>
          <w:szCs w:val="24"/>
        </w:rPr>
        <w:t>.</w:t>
      </w:r>
    </w:p>
    <w:p w14:paraId="52CF6243" w14:textId="77777777" w:rsidR="00596D9A" w:rsidRDefault="00596D9A" w:rsidP="00F33843">
      <w:pPr>
        <w:spacing w:after="120"/>
        <w:ind w:firstLine="720"/>
        <w:jc w:val="right"/>
        <w:rPr>
          <w:rFonts w:ascii="Times New Roman" w:hAnsi="Times New Roman" w:cs="Times New Roman"/>
          <w:sz w:val="24"/>
          <w:szCs w:val="24"/>
        </w:rPr>
      </w:pPr>
    </w:p>
    <w:p w14:paraId="1778B03B" w14:textId="77777777" w:rsidR="00596D9A" w:rsidRDefault="00596D9A" w:rsidP="00F33843">
      <w:pPr>
        <w:spacing w:after="120"/>
        <w:ind w:firstLine="720"/>
        <w:jc w:val="right"/>
        <w:rPr>
          <w:rFonts w:ascii="Times New Roman" w:hAnsi="Times New Roman" w:cs="Times New Roman"/>
          <w:sz w:val="24"/>
          <w:szCs w:val="24"/>
        </w:rPr>
      </w:pPr>
    </w:p>
    <w:p w14:paraId="7B90158E" w14:textId="77777777" w:rsidR="00596D9A" w:rsidRDefault="00596D9A" w:rsidP="00F33843">
      <w:pPr>
        <w:spacing w:after="120"/>
        <w:ind w:firstLine="720"/>
        <w:jc w:val="right"/>
        <w:rPr>
          <w:rFonts w:ascii="Times New Roman" w:hAnsi="Times New Roman" w:cs="Times New Roman"/>
          <w:sz w:val="24"/>
          <w:szCs w:val="24"/>
        </w:rPr>
      </w:pPr>
    </w:p>
    <w:p w14:paraId="1BD01EE0" w14:textId="77777777" w:rsidR="00596D9A" w:rsidRDefault="00596D9A" w:rsidP="00F33843">
      <w:pPr>
        <w:spacing w:after="120"/>
        <w:ind w:firstLine="720"/>
        <w:jc w:val="right"/>
        <w:rPr>
          <w:rFonts w:ascii="Times New Roman" w:hAnsi="Times New Roman" w:cs="Times New Roman"/>
          <w:sz w:val="24"/>
          <w:szCs w:val="24"/>
        </w:rPr>
      </w:pPr>
    </w:p>
    <w:p w14:paraId="3C1E777C" w14:textId="77777777" w:rsidR="001257DC" w:rsidRDefault="001257DC" w:rsidP="00F33843">
      <w:pPr>
        <w:spacing w:after="120"/>
        <w:ind w:firstLine="720"/>
        <w:jc w:val="right"/>
        <w:rPr>
          <w:rFonts w:ascii="Times New Roman" w:hAnsi="Times New Roman" w:cs="Times New Roman"/>
          <w:sz w:val="24"/>
          <w:szCs w:val="24"/>
        </w:rPr>
      </w:pPr>
    </w:p>
    <w:p w14:paraId="61C7DB20" w14:textId="0B50F6F3" w:rsidR="008F2D32" w:rsidRDefault="00883B9B" w:rsidP="00F33843">
      <w:pPr>
        <w:spacing w:after="120"/>
        <w:ind w:firstLine="720"/>
        <w:jc w:val="right"/>
        <w:rPr>
          <w:rFonts w:ascii="Times New Roman" w:hAnsi="Times New Roman" w:cs="Times New Roman"/>
          <w:sz w:val="24"/>
          <w:szCs w:val="24"/>
        </w:rPr>
      </w:pPr>
      <w:r>
        <w:rPr>
          <w:rFonts w:ascii="Times New Roman" w:hAnsi="Times New Roman" w:cs="Times New Roman"/>
          <w:sz w:val="24"/>
          <w:szCs w:val="24"/>
        </w:rPr>
        <w:lastRenderedPageBreak/>
        <w:t>3</w:t>
      </w:r>
      <w:r w:rsidR="008F2D32">
        <w:rPr>
          <w:rFonts w:ascii="Times New Roman" w:hAnsi="Times New Roman" w:cs="Times New Roman"/>
          <w:sz w:val="24"/>
          <w:szCs w:val="24"/>
        </w:rPr>
        <w:t>.attēls</w:t>
      </w:r>
    </w:p>
    <w:p w14:paraId="738DF695" w14:textId="09588C96" w:rsidR="008F2D32" w:rsidRPr="008F2D32" w:rsidRDefault="008F2D32" w:rsidP="00F33843">
      <w:pPr>
        <w:spacing w:after="120"/>
        <w:ind w:firstLine="720"/>
        <w:jc w:val="center"/>
        <w:rPr>
          <w:rFonts w:ascii="Times New Roman" w:hAnsi="Times New Roman" w:cs="Times New Roman"/>
          <w:sz w:val="24"/>
          <w:szCs w:val="24"/>
        </w:rPr>
      </w:pPr>
      <w:r w:rsidRPr="00F33843">
        <w:rPr>
          <w:rFonts w:ascii="Times New Roman" w:hAnsi="Times New Roman" w:cs="Times New Roman"/>
          <w:b/>
          <w:bCs/>
          <w:sz w:val="24"/>
          <w:szCs w:val="24"/>
        </w:rPr>
        <w:t>Vējbaku gadījumu īpatsvars dažādās vecuma grupās 2007. – 2017. gads</w:t>
      </w:r>
    </w:p>
    <w:p w14:paraId="1DCF3823" w14:textId="07B89EC5" w:rsidR="008F2D32" w:rsidRPr="00795EAD" w:rsidRDefault="008F2D32" w:rsidP="00051136">
      <w:pPr>
        <w:spacing w:after="120"/>
        <w:ind w:firstLine="720"/>
        <w:jc w:val="both"/>
        <w:rPr>
          <w:rFonts w:ascii="Times New Roman" w:hAnsi="Times New Roman" w:cs="Times New Roman"/>
          <w:sz w:val="24"/>
          <w:szCs w:val="24"/>
        </w:rPr>
      </w:pPr>
      <w:r>
        <w:rPr>
          <w:noProof/>
          <w:lang w:val="en-US"/>
        </w:rPr>
        <w:drawing>
          <wp:inline distT="0" distB="0" distL="0" distR="0" wp14:anchorId="3B5B76B1" wp14:editId="3EE53CF1">
            <wp:extent cx="5099050" cy="216535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D7A61A" w14:textId="58686A03" w:rsidR="00BC228E" w:rsidRDefault="006849C3" w:rsidP="0005113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Kā liecina SPKC dati kopš 2008.gada, kad uzsākta vakcinācija pret vējbakām saslimušo vidū palinās saslimušo virs 7 gadiem īpatsvars no 22% 2008.gadā līdz 42% 2017.gadā.  </w:t>
      </w:r>
      <w:r w:rsidR="00BC228E">
        <w:rPr>
          <w:rFonts w:ascii="Times New Roman" w:hAnsi="Times New Roman" w:cs="Times New Roman"/>
          <w:sz w:val="24"/>
          <w:szCs w:val="24"/>
        </w:rPr>
        <w:t>Līdz ar to var secināt, ka mazi bērni vairs neslimos</w:t>
      </w:r>
      <w:r>
        <w:rPr>
          <w:rFonts w:ascii="Times New Roman" w:hAnsi="Times New Roman" w:cs="Times New Roman"/>
          <w:sz w:val="24"/>
          <w:szCs w:val="24"/>
        </w:rPr>
        <w:t xml:space="preserve"> ar šo infekciju</w:t>
      </w:r>
      <w:r w:rsidR="00BC228E">
        <w:rPr>
          <w:rFonts w:ascii="Times New Roman" w:hAnsi="Times New Roman" w:cs="Times New Roman"/>
          <w:sz w:val="24"/>
          <w:szCs w:val="24"/>
        </w:rPr>
        <w:t>, bet turpin</w:t>
      </w:r>
      <w:r>
        <w:rPr>
          <w:rFonts w:ascii="Times New Roman" w:hAnsi="Times New Roman" w:cs="Times New Roman"/>
          <w:sz w:val="24"/>
          <w:szCs w:val="24"/>
        </w:rPr>
        <w:t>ās</w:t>
      </w:r>
      <w:r w:rsidR="00BC228E">
        <w:rPr>
          <w:rFonts w:ascii="Times New Roman" w:hAnsi="Times New Roman" w:cs="Times New Roman"/>
          <w:sz w:val="24"/>
          <w:szCs w:val="24"/>
        </w:rPr>
        <w:t xml:space="preserve"> slimot pieaugušie un skolas vecuma bērni</w:t>
      </w:r>
      <w:r>
        <w:rPr>
          <w:rFonts w:ascii="Times New Roman" w:hAnsi="Times New Roman" w:cs="Times New Roman"/>
          <w:sz w:val="24"/>
          <w:szCs w:val="24"/>
        </w:rPr>
        <w:t>.</w:t>
      </w:r>
      <w:r w:rsidR="00BC228E">
        <w:rPr>
          <w:rFonts w:ascii="Times New Roman" w:hAnsi="Times New Roman" w:cs="Times New Roman"/>
          <w:sz w:val="24"/>
          <w:szCs w:val="24"/>
        </w:rPr>
        <w:t xml:space="preserve"> </w:t>
      </w:r>
      <w:r>
        <w:rPr>
          <w:rFonts w:ascii="Times New Roman" w:hAnsi="Times New Roman" w:cs="Times New Roman"/>
          <w:sz w:val="24"/>
          <w:szCs w:val="24"/>
        </w:rPr>
        <w:t>Kā liecina praktiskā pieredze bērniem virz 7 gadiem un pieaugušajiem inficējoties ar vējbakām ir augstāks risks šīs slimības izraisītām komplikācijām</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Bez tam slimības dēļ izraisīta darba nespējas dēļ tiks kavētas mācības vai  darba pienākumu izpilde. </w:t>
      </w:r>
      <w:r w:rsidR="00BC228E">
        <w:rPr>
          <w:rFonts w:ascii="Times New Roman" w:hAnsi="Times New Roman" w:cs="Times New Roman"/>
          <w:sz w:val="24"/>
          <w:szCs w:val="24"/>
        </w:rPr>
        <w:t>Tā kā pieaugs kohorta ar nevakcinētiem pieaug</w:t>
      </w:r>
      <w:r w:rsidR="00BF0AE1">
        <w:rPr>
          <w:rFonts w:ascii="Times New Roman" w:hAnsi="Times New Roman" w:cs="Times New Roman"/>
          <w:sz w:val="24"/>
          <w:szCs w:val="24"/>
        </w:rPr>
        <w:t>ušajiem un skolas vecuma bērniem</w:t>
      </w:r>
      <w:r w:rsidR="008473E2">
        <w:rPr>
          <w:rFonts w:ascii="Times New Roman" w:hAnsi="Times New Roman" w:cs="Times New Roman"/>
          <w:sz w:val="24"/>
          <w:szCs w:val="24"/>
        </w:rPr>
        <w:t>,</w:t>
      </w:r>
      <w:r w:rsidR="00BF0AE1">
        <w:rPr>
          <w:rFonts w:ascii="Times New Roman" w:hAnsi="Times New Roman" w:cs="Times New Roman"/>
          <w:sz w:val="24"/>
          <w:szCs w:val="24"/>
        </w:rPr>
        <w:t xml:space="preserve"> </w:t>
      </w:r>
      <w:r w:rsidR="00BC228E">
        <w:rPr>
          <w:rFonts w:ascii="Times New Roman" w:hAnsi="Times New Roman" w:cs="Times New Roman"/>
          <w:sz w:val="24"/>
          <w:szCs w:val="24"/>
        </w:rPr>
        <w:t xml:space="preserve">šīs grupas īpatsvars turpinās aizvien pieaugt, līdz ar to </w:t>
      </w:r>
      <w:r w:rsidR="008473E2">
        <w:rPr>
          <w:rFonts w:ascii="Times New Roman" w:hAnsi="Times New Roman" w:cs="Times New Roman"/>
          <w:sz w:val="24"/>
          <w:szCs w:val="24"/>
        </w:rPr>
        <w:t xml:space="preserve">nepieciešams </w:t>
      </w:r>
      <w:r w:rsidR="00BC228E">
        <w:rPr>
          <w:rFonts w:ascii="Times New Roman" w:hAnsi="Times New Roman" w:cs="Times New Roman"/>
          <w:sz w:val="24"/>
          <w:szCs w:val="24"/>
        </w:rPr>
        <w:t>ieviest</w:t>
      </w:r>
      <w:r w:rsidR="008473E2">
        <w:rPr>
          <w:rFonts w:ascii="Times New Roman" w:hAnsi="Times New Roman" w:cs="Times New Roman"/>
          <w:sz w:val="24"/>
          <w:szCs w:val="24"/>
        </w:rPr>
        <w:t xml:space="preserve"> otro</w:t>
      </w:r>
      <w:r w:rsidR="00BC228E">
        <w:rPr>
          <w:rFonts w:ascii="Times New Roman" w:hAnsi="Times New Roman" w:cs="Times New Roman"/>
          <w:sz w:val="24"/>
          <w:szCs w:val="24"/>
        </w:rPr>
        <w:t xml:space="preserve"> </w:t>
      </w:r>
      <w:r w:rsidR="008473E2">
        <w:rPr>
          <w:rFonts w:ascii="Times New Roman" w:hAnsi="Times New Roman" w:cs="Times New Roman"/>
          <w:sz w:val="24"/>
          <w:szCs w:val="24"/>
        </w:rPr>
        <w:t>vējbaku vakcīnas devu</w:t>
      </w:r>
      <w:r w:rsidR="00BC228E">
        <w:rPr>
          <w:rFonts w:ascii="Times New Roman" w:hAnsi="Times New Roman" w:cs="Times New Roman"/>
          <w:sz w:val="24"/>
          <w:szCs w:val="24"/>
        </w:rPr>
        <w:t>.</w:t>
      </w:r>
    </w:p>
    <w:p w14:paraId="59CDCE69" w14:textId="2A5DD88F" w:rsidR="001C7643" w:rsidRDefault="001C7643" w:rsidP="001C7643">
      <w:pPr>
        <w:spacing w:after="120"/>
        <w:ind w:firstLine="720"/>
        <w:jc w:val="right"/>
        <w:rPr>
          <w:rFonts w:ascii="Times New Roman" w:hAnsi="Times New Roman" w:cs="Times New Roman"/>
          <w:sz w:val="24"/>
          <w:szCs w:val="24"/>
        </w:rPr>
      </w:pPr>
      <w:r>
        <w:rPr>
          <w:rFonts w:ascii="Times New Roman" w:hAnsi="Times New Roman" w:cs="Times New Roman"/>
          <w:sz w:val="24"/>
          <w:szCs w:val="24"/>
        </w:rPr>
        <w:t>4.attēls</w:t>
      </w:r>
    </w:p>
    <w:p w14:paraId="4774670A" w14:textId="77777777" w:rsidR="001C7643" w:rsidRPr="00D4560A" w:rsidRDefault="001C7643" w:rsidP="001C7643">
      <w:pPr>
        <w:jc w:val="center"/>
        <w:rPr>
          <w:rFonts w:ascii="Times New Roman" w:hAnsi="Times New Roman" w:cs="Times New Roman"/>
          <w:sz w:val="24"/>
          <w:szCs w:val="24"/>
        </w:rPr>
      </w:pPr>
      <w:r w:rsidRPr="008C4F37">
        <w:rPr>
          <w:rFonts w:ascii="Times New Roman" w:hAnsi="Times New Roman" w:cs="Times New Roman"/>
          <w:b/>
          <w:bCs/>
          <w:sz w:val="24"/>
          <w:szCs w:val="24"/>
        </w:rPr>
        <w:t>Vējbaku gadījumu skaits pusaudžiem un pieaugušajiem 2007. – 2017. gads</w:t>
      </w:r>
    </w:p>
    <w:p w14:paraId="57A1BCC1" w14:textId="49A835A2" w:rsidR="001C7643" w:rsidRPr="00795EAD" w:rsidRDefault="001C7643" w:rsidP="001C7643">
      <w:pPr>
        <w:spacing w:after="120"/>
        <w:ind w:firstLine="720"/>
        <w:jc w:val="center"/>
        <w:rPr>
          <w:rFonts w:ascii="Times New Roman" w:hAnsi="Times New Roman" w:cs="Times New Roman"/>
          <w:sz w:val="24"/>
          <w:szCs w:val="24"/>
        </w:rPr>
      </w:pPr>
      <w:r w:rsidRPr="008C4F37">
        <w:rPr>
          <w:rFonts w:ascii="Times New Roman" w:hAnsi="Times New Roman" w:cs="Times New Roman"/>
          <w:noProof/>
          <w:sz w:val="24"/>
          <w:szCs w:val="24"/>
          <w:lang w:val="en-US"/>
        </w:rPr>
        <w:drawing>
          <wp:inline distT="0" distB="0" distL="0" distR="0" wp14:anchorId="72D314F2" wp14:editId="28C1EA22">
            <wp:extent cx="4025900" cy="2070100"/>
            <wp:effectExtent l="0" t="0" r="1270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14E48C" w14:textId="77777777" w:rsidR="001C7643" w:rsidRDefault="001C7643" w:rsidP="00051136">
      <w:pPr>
        <w:spacing w:after="120"/>
        <w:ind w:firstLine="720"/>
        <w:jc w:val="both"/>
        <w:rPr>
          <w:rFonts w:ascii="Times New Roman" w:hAnsi="Times New Roman" w:cs="Times New Roman"/>
          <w:sz w:val="24"/>
          <w:szCs w:val="24"/>
        </w:rPr>
      </w:pPr>
    </w:p>
    <w:p w14:paraId="06486FDF" w14:textId="52FF366C"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lastRenderedPageBreak/>
        <w:t>Ieviešot divu devu pretvējbaku vakcināciju būtiski tiek samazināta vīrusa cirkulācija populācijā, veicinot infekcijas izskaušanu. Tādēļ ir ļoti būtiski ieviest pilnu vakcinācijas kursu pret vējbakām, jo tikai pieaugot vakcinēto bērnu skaitam un samazinoties kopējam vējbaku saslimšanas gadījumu skaitam, tiek panākta arī kolektīvā imunitāte, kas ļauj pasargāt no saslimšanas ar vējbakām tos bērnus, kurus kādu medicīnisku apstākļu dēļ nedrīkst vakcinēt, vai ļauj pasargāt no saslimšanas ar vējbakām bērnus, kuri nav sasnieguši vakcinācijai nepieciešamo vecumu.</w:t>
      </w:r>
    </w:p>
    <w:p w14:paraId="23F870BD"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Lai gan parasti vējbakas uzskata par tipisku bērnu slimību, ar tām var inficēties arī pieaugušo vecumā, bet īpaši bīstami tas ir grūtniecības laikā, jo saslimšana ar vējbakām var radīt grūtniecības komplikācijas. Riska grupā ir arī jaundzimušie, pusaudži, pieaugušie un pacienti ar traucētu imūnsistēmas darbību.</w:t>
      </w:r>
    </w:p>
    <w:p w14:paraId="0D09DB61"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Ja bērns saslimst ar vējbakām, tiek noteikti infekcijas slimību ierobežojošie pasākumi. Tas rada slogu arī ekonomikai kopumā (netiešās izmaksas darba kavējumiem, kas ir saistītas ar slimu bērnu kopšanu), jo rada bērna vecāku darba ražīguma samazinājumu un darba kavējumus. Ja bērns ir saslimis ar vējbakām, svarīgi ir ievērot izolācijas ilgumu, kas parasti ir piecas dienas pēc pēdējo izsitumu parādīšanās. Vidējais bērna hospitalizācijas laiks (pēc VISUMS datiem) ir četras dienas (0-2 gadus veciem bērniem hospitalizācijas diapazons ir 2-6 dienas; 0-17 gadu vecumā – 1-7 dienas). Pievienojoties komplikācijām, pacienti stacionārā pavada vidēji 17 dienas.</w:t>
      </w:r>
      <w:r w:rsidRPr="00795EAD">
        <w:rPr>
          <w:rStyle w:val="FootnoteReference"/>
          <w:rFonts w:ascii="Times New Roman" w:hAnsi="Times New Roman" w:cs="Times New Roman"/>
          <w:sz w:val="24"/>
          <w:szCs w:val="24"/>
        </w:rPr>
        <w:footnoteReference w:id="34"/>
      </w:r>
      <w:r w:rsidRPr="00795EAD">
        <w:rPr>
          <w:rFonts w:ascii="Times New Roman" w:hAnsi="Times New Roman" w:cs="Times New Roman"/>
          <w:sz w:val="24"/>
          <w:szCs w:val="24"/>
        </w:rPr>
        <w:t xml:space="preserve"> Tas ļauj aprēķināt, ka viens no bērna vecākiem zaudē sākot no 32 darba stundām (pieņemot, ka ir 8 stundu darba diena) līdz vidēji 136 darba stundām.</w:t>
      </w:r>
    </w:p>
    <w:p w14:paraId="4E31CE1C" w14:textId="0E7FFC71"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 xml:space="preserve">Saslimšanas </w:t>
      </w:r>
      <w:r w:rsidRPr="00795EAD">
        <w:rPr>
          <w:rFonts w:ascii="Times New Roman" w:hAnsi="Times New Roman" w:cs="Times New Roman"/>
          <w:color w:val="000000"/>
          <w:sz w:val="24"/>
          <w:szCs w:val="24"/>
        </w:rPr>
        <w:t xml:space="preserve">gadījumā ar vējbakām ir jānosaka šīs saslimušās personas kontaktpersonas. Kontaktpersonām (īpaši svarīgi </w:t>
      </w:r>
      <w:r w:rsidRPr="00795EAD">
        <w:rPr>
          <w:rFonts w:ascii="Times New Roman" w:hAnsi="Times New Roman" w:cs="Times New Roman"/>
          <w:sz w:val="24"/>
          <w:szCs w:val="24"/>
        </w:rPr>
        <w:t>grūtniecēm</w:t>
      </w:r>
      <w:r w:rsidRPr="00795EAD">
        <w:rPr>
          <w:rFonts w:ascii="Times New Roman" w:hAnsi="Times New Roman" w:cs="Times New Roman"/>
          <w:color w:val="000000"/>
          <w:sz w:val="24"/>
          <w:szCs w:val="24"/>
        </w:rPr>
        <w:t>) ir jāveic primārās medicīniskās pārbaudes un laboratoriskās pārbaudes (</w:t>
      </w:r>
      <w:r w:rsidRPr="00795EAD">
        <w:rPr>
          <w:rFonts w:ascii="Times New Roman" w:hAnsi="Times New Roman" w:cs="Times New Roman"/>
          <w:sz w:val="24"/>
          <w:szCs w:val="24"/>
        </w:rPr>
        <w:t>asins parauga seroloģiskā izmeklēšana dinamikā – divas reizes ar intervālu 10 dienas</w:t>
      </w:r>
      <w:r w:rsidRPr="00795EAD">
        <w:rPr>
          <w:rFonts w:ascii="Times New Roman" w:hAnsi="Times New Roman" w:cs="Times New Roman"/>
          <w:color w:val="000000"/>
          <w:sz w:val="24"/>
          <w:szCs w:val="24"/>
        </w:rPr>
        <w:t xml:space="preserve">), piemēram, IgM klases antivielu noteikšana ir 8,28 </w:t>
      </w:r>
      <w:r w:rsidRPr="00FB3E82">
        <w:rPr>
          <w:rFonts w:ascii="Times New Roman" w:hAnsi="Times New Roman" w:cs="Times New Roman"/>
          <w:i/>
          <w:color w:val="000000"/>
          <w:sz w:val="24"/>
          <w:szCs w:val="24"/>
        </w:rPr>
        <w:t>e</w:t>
      </w:r>
      <w:r w:rsidR="00DD69AE" w:rsidRPr="00FB3E82">
        <w:rPr>
          <w:rFonts w:ascii="Times New Roman" w:hAnsi="Times New Roman" w:cs="Times New Roman"/>
          <w:i/>
          <w:color w:val="000000"/>
          <w:sz w:val="24"/>
          <w:szCs w:val="24"/>
        </w:rPr>
        <w:t>u</w:t>
      </w:r>
      <w:r w:rsidRPr="00FB3E82">
        <w:rPr>
          <w:rFonts w:ascii="Times New Roman" w:hAnsi="Times New Roman" w:cs="Times New Roman"/>
          <w:i/>
          <w:color w:val="000000"/>
          <w:sz w:val="24"/>
          <w:szCs w:val="24"/>
        </w:rPr>
        <w:t>ro</w:t>
      </w:r>
      <w:r w:rsidRPr="00795EAD">
        <w:rPr>
          <w:rFonts w:ascii="Times New Roman" w:hAnsi="Times New Roman" w:cs="Times New Roman"/>
          <w:color w:val="000000"/>
          <w:sz w:val="24"/>
          <w:szCs w:val="24"/>
        </w:rPr>
        <w:t xml:space="preserve">, IgG klases antivielu noteikšana </w:t>
      </w:r>
      <w:r w:rsidRPr="00795EAD">
        <w:rPr>
          <w:rFonts w:ascii="Times New Roman" w:hAnsi="Times New Roman" w:cs="Times New Roman"/>
          <w:sz w:val="24"/>
          <w:szCs w:val="24"/>
        </w:rPr>
        <w:t xml:space="preserve">– </w:t>
      </w:r>
      <w:r w:rsidRPr="00795EAD">
        <w:rPr>
          <w:rFonts w:ascii="Times New Roman" w:hAnsi="Times New Roman" w:cs="Times New Roman"/>
          <w:color w:val="000000"/>
          <w:sz w:val="24"/>
          <w:szCs w:val="24"/>
        </w:rPr>
        <w:t xml:space="preserve">6,91 </w:t>
      </w:r>
      <w:r w:rsidRPr="00FB3E82">
        <w:rPr>
          <w:rFonts w:ascii="Times New Roman" w:hAnsi="Times New Roman" w:cs="Times New Roman"/>
          <w:i/>
          <w:color w:val="000000"/>
          <w:sz w:val="24"/>
          <w:szCs w:val="24"/>
        </w:rPr>
        <w:t>e</w:t>
      </w:r>
      <w:r w:rsidR="00DD69AE" w:rsidRPr="00FB3E82">
        <w:rPr>
          <w:rFonts w:ascii="Times New Roman" w:hAnsi="Times New Roman" w:cs="Times New Roman"/>
          <w:i/>
          <w:color w:val="000000"/>
          <w:sz w:val="24"/>
          <w:szCs w:val="24"/>
        </w:rPr>
        <w:t>u</w:t>
      </w:r>
      <w:r w:rsidRPr="00FB3E82">
        <w:rPr>
          <w:rFonts w:ascii="Times New Roman" w:hAnsi="Times New Roman" w:cs="Times New Roman"/>
          <w:i/>
          <w:color w:val="000000"/>
          <w:sz w:val="24"/>
          <w:szCs w:val="24"/>
        </w:rPr>
        <w:t>ro</w:t>
      </w:r>
      <w:r w:rsidRPr="00795EAD">
        <w:rPr>
          <w:rFonts w:ascii="Times New Roman" w:hAnsi="Times New Roman" w:cs="Times New Roman"/>
          <w:color w:val="000000"/>
          <w:sz w:val="24"/>
          <w:szCs w:val="24"/>
        </w:rPr>
        <w:t xml:space="preserve">; jāveic medicīniskā novērošana </w:t>
      </w:r>
      <w:r w:rsidRPr="00795EAD">
        <w:rPr>
          <w:rFonts w:ascii="Times New Roman" w:hAnsi="Times New Roman" w:cs="Times New Roman"/>
          <w:sz w:val="24"/>
          <w:szCs w:val="24"/>
        </w:rPr>
        <w:t>21 dienu</w:t>
      </w:r>
      <w:r w:rsidRPr="00795EAD">
        <w:rPr>
          <w:rFonts w:ascii="Times New Roman" w:hAnsi="Times New Roman" w:cs="Times New Roman"/>
          <w:color w:val="000000"/>
          <w:sz w:val="24"/>
          <w:szCs w:val="24"/>
        </w:rPr>
        <w:t>, kas no valsts budžeta prasa papildu finanšu līdzekļus.</w:t>
      </w:r>
    </w:p>
    <w:p w14:paraId="67BCF903"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Arī nevakcinētiem bērniem nav ieteicams apmeklēt infekcijas skarto bērnudārzu vai skolu.</w:t>
      </w:r>
    </w:p>
    <w:p w14:paraId="57A9D70F" w14:textId="18185499"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Kā liecina Slimību profilakses un kontroles centra dati, pretvējbaku vakcinācijas ar vienu devu imunizācijas līmenis ir 85%, tas nozīmē, ka 15% attiecīgās vecuma grupas bērni ir pakļauti vējbaku infekcijas riskam.</w:t>
      </w:r>
    </w:p>
    <w:p w14:paraId="29AC34AA" w14:textId="5BE2B5DF" w:rsidR="00795EAD" w:rsidRPr="00E93259" w:rsidRDefault="008104BD" w:rsidP="00E93259">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67</w:t>
      </w:r>
      <w:r w:rsidR="0096028F" w:rsidRPr="00E12849">
        <w:rPr>
          <w:rFonts w:ascii="Times New Roman" w:hAnsi="Times New Roman" w:cs="Times New Roman"/>
          <w:i/>
          <w:iCs/>
          <w:sz w:val="24"/>
          <w:szCs w:val="24"/>
        </w:rPr>
        <w:t>.tabula</w:t>
      </w:r>
    </w:p>
    <w:p w14:paraId="7A392FE9" w14:textId="77777777" w:rsidR="00795EAD" w:rsidRPr="00E93259" w:rsidRDefault="00795EAD" w:rsidP="00E93259">
      <w:pPr>
        <w:spacing w:after="0" w:line="240" w:lineRule="auto"/>
        <w:ind w:firstLine="720"/>
        <w:jc w:val="center"/>
        <w:rPr>
          <w:rFonts w:ascii="Times New Roman" w:hAnsi="Times New Roman" w:cs="Times New Roman"/>
          <w:b/>
          <w:bCs/>
          <w:sz w:val="24"/>
          <w:szCs w:val="24"/>
        </w:rPr>
      </w:pPr>
      <w:r w:rsidRPr="00E12849">
        <w:rPr>
          <w:rFonts w:ascii="Times New Roman" w:hAnsi="Times New Roman" w:cs="Times New Roman"/>
          <w:b/>
          <w:bCs/>
          <w:sz w:val="24"/>
          <w:szCs w:val="24"/>
        </w:rPr>
        <w:t>Bērnu imunizācijas līmenis pret vējbakām 2008.-2017.gadā</w:t>
      </w:r>
    </w:p>
    <w:tbl>
      <w:tblPr>
        <w:tblStyle w:val="TableGrid"/>
        <w:tblW w:w="9097" w:type="dxa"/>
        <w:tblLayout w:type="fixed"/>
        <w:tblLook w:val="04A0" w:firstRow="1" w:lastRow="0" w:firstColumn="1" w:lastColumn="0" w:noHBand="0" w:noVBand="1"/>
      </w:tblPr>
      <w:tblGrid>
        <w:gridCol w:w="945"/>
        <w:gridCol w:w="709"/>
        <w:gridCol w:w="827"/>
        <w:gridCol w:w="827"/>
        <w:gridCol w:w="827"/>
        <w:gridCol w:w="827"/>
        <w:gridCol w:w="827"/>
        <w:gridCol w:w="827"/>
        <w:gridCol w:w="827"/>
        <w:gridCol w:w="827"/>
        <w:gridCol w:w="827"/>
      </w:tblGrid>
      <w:tr w:rsidR="0EB27452" w14:paraId="23827950" w14:textId="77777777" w:rsidTr="00E93259">
        <w:tc>
          <w:tcPr>
            <w:tcW w:w="945" w:type="dxa"/>
          </w:tcPr>
          <w:p w14:paraId="00AFFE27" w14:textId="231FD79D" w:rsidR="0EB27452" w:rsidRDefault="0EB27452">
            <w:r w:rsidRPr="00E93259">
              <w:rPr>
                <w:rFonts w:ascii="Times New Roman" w:eastAsia="Times New Roman" w:hAnsi="Times New Roman"/>
              </w:rPr>
              <w:t>Vējbakas (1. deva)</w:t>
            </w:r>
          </w:p>
        </w:tc>
        <w:tc>
          <w:tcPr>
            <w:tcW w:w="709" w:type="dxa"/>
          </w:tcPr>
          <w:p w14:paraId="05DD5859" w14:textId="2DA305C6" w:rsidR="0EB27452" w:rsidRDefault="0EB27452">
            <w:r w:rsidRPr="00E93259">
              <w:rPr>
                <w:rFonts w:ascii="Times New Roman" w:eastAsia="Times New Roman" w:hAnsi="Times New Roman"/>
              </w:rPr>
              <w:t>2008.</w:t>
            </w:r>
          </w:p>
        </w:tc>
        <w:tc>
          <w:tcPr>
            <w:tcW w:w="827" w:type="dxa"/>
          </w:tcPr>
          <w:p w14:paraId="392F7612" w14:textId="3128CDD5" w:rsidR="0EB27452" w:rsidRDefault="0EB27452">
            <w:r w:rsidRPr="00E93259">
              <w:rPr>
                <w:rFonts w:ascii="Times New Roman" w:eastAsia="Times New Roman" w:hAnsi="Times New Roman"/>
              </w:rPr>
              <w:t>2009.</w:t>
            </w:r>
          </w:p>
        </w:tc>
        <w:tc>
          <w:tcPr>
            <w:tcW w:w="827" w:type="dxa"/>
          </w:tcPr>
          <w:p w14:paraId="34D63D64" w14:textId="55DDD17E" w:rsidR="0EB27452" w:rsidRDefault="0EB27452">
            <w:r w:rsidRPr="00E93259">
              <w:rPr>
                <w:rFonts w:ascii="Times New Roman" w:eastAsia="Times New Roman" w:hAnsi="Times New Roman"/>
              </w:rPr>
              <w:t>2010.</w:t>
            </w:r>
          </w:p>
        </w:tc>
        <w:tc>
          <w:tcPr>
            <w:tcW w:w="827" w:type="dxa"/>
          </w:tcPr>
          <w:p w14:paraId="08773273" w14:textId="53A854DA" w:rsidR="0EB27452" w:rsidRDefault="0EB27452">
            <w:r w:rsidRPr="00E93259">
              <w:rPr>
                <w:rFonts w:ascii="Times New Roman" w:eastAsia="Times New Roman" w:hAnsi="Times New Roman"/>
              </w:rPr>
              <w:t>2011.</w:t>
            </w:r>
          </w:p>
        </w:tc>
        <w:tc>
          <w:tcPr>
            <w:tcW w:w="827" w:type="dxa"/>
          </w:tcPr>
          <w:p w14:paraId="600B3556" w14:textId="002CED82" w:rsidR="0EB27452" w:rsidRDefault="0EB27452">
            <w:r w:rsidRPr="00E93259">
              <w:rPr>
                <w:rFonts w:ascii="Times New Roman" w:eastAsia="Times New Roman" w:hAnsi="Times New Roman"/>
              </w:rPr>
              <w:t>2012.</w:t>
            </w:r>
          </w:p>
        </w:tc>
        <w:tc>
          <w:tcPr>
            <w:tcW w:w="827" w:type="dxa"/>
          </w:tcPr>
          <w:p w14:paraId="3165FB67" w14:textId="36A6F89F" w:rsidR="0EB27452" w:rsidRDefault="0EB27452">
            <w:r w:rsidRPr="00E93259">
              <w:rPr>
                <w:rFonts w:ascii="Times New Roman" w:eastAsia="Times New Roman" w:hAnsi="Times New Roman"/>
              </w:rPr>
              <w:t>2013.</w:t>
            </w:r>
          </w:p>
        </w:tc>
        <w:tc>
          <w:tcPr>
            <w:tcW w:w="827" w:type="dxa"/>
          </w:tcPr>
          <w:p w14:paraId="5B991080" w14:textId="16307A0D" w:rsidR="0EB27452" w:rsidRDefault="0EB27452">
            <w:r w:rsidRPr="00E93259">
              <w:rPr>
                <w:rFonts w:ascii="Times New Roman" w:eastAsia="Times New Roman" w:hAnsi="Times New Roman"/>
              </w:rPr>
              <w:t>2014.</w:t>
            </w:r>
          </w:p>
        </w:tc>
        <w:tc>
          <w:tcPr>
            <w:tcW w:w="827" w:type="dxa"/>
          </w:tcPr>
          <w:p w14:paraId="0C970328" w14:textId="6B25994A" w:rsidR="0EB27452" w:rsidRDefault="0EB27452">
            <w:r w:rsidRPr="00E93259">
              <w:rPr>
                <w:rFonts w:ascii="Times New Roman" w:eastAsia="Times New Roman" w:hAnsi="Times New Roman"/>
              </w:rPr>
              <w:t>2015.</w:t>
            </w:r>
          </w:p>
        </w:tc>
        <w:tc>
          <w:tcPr>
            <w:tcW w:w="827" w:type="dxa"/>
          </w:tcPr>
          <w:p w14:paraId="51048196" w14:textId="6E213AE5" w:rsidR="0EB27452" w:rsidRDefault="0EB27452">
            <w:r w:rsidRPr="00E93259">
              <w:rPr>
                <w:rFonts w:ascii="Times New Roman" w:eastAsia="Times New Roman" w:hAnsi="Times New Roman"/>
              </w:rPr>
              <w:t>2016.</w:t>
            </w:r>
          </w:p>
        </w:tc>
        <w:tc>
          <w:tcPr>
            <w:tcW w:w="827" w:type="dxa"/>
          </w:tcPr>
          <w:p w14:paraId="43432E3F" w14:textId="307CA5E3" w:rsidR="0EB27452" w:rsidRDefault="0EB27452">
            <w:r w:rsidRPr="00E93259">
              <w:rPr>
                <w:rFonts w:ascii="Times New Roman" w:eastAsia="Times New Roman" w:hAnsi="Times New Roman"/>
              </w:rPr>
              <w:t>2017.</w:t>
            </w:r>
          </w:p>
        </w:tc>
      </w:tr>
      <w:tr w:rsidR="0EB27452" w14:paraId="184566FB" w14:textId="77777777" w:rsidTr="00E93259">
        <w:tc>
          <w:tcPr>
            <w:tcW w:w="945" w:type="dxa"/>
          </w:tcPr>
          <w:p w14:paraId="0365F625" w14:textId="316D9D37" w:rsidR="0EB27452" w:rsidRDefault="0EB27452"/>
        </w:tc>
        <w:tc>
          <w:tcPr>
            <w:tcW w:w="709" w:type="dxa"/>
          </w:tcPr>
          <w:p w14:paraId="52755D65" w14:textId="31DECE7D" w:rsidR="0EB27452" w:rsidRDefault="0EB27452">
            <w:r w:rsidRPr="00E93259">
              <w:rPr>
                <w:rFonts w:ascii="Times New Roman" w:eastAsia="Times New Roman" w:hAnsi="Times New Roman"/>
              </w:rPr>
              <w:t>48,1%</w:t>
            </w:r>
          </w:p>
        </w:tc>
        <w:tc>
          <w:tcPr>
            <w:tcW w:w="827" w:type="dxa"/>
          </w:tcPr>
          <w:p w14:paraId="2FF987C4" w14:textId="09AFF540" w:rsidR="0EB27452" w:rsidRDefault="0EB27452">
            <w:r w:rsidRPr="00E93259">
              <w:rPr>
                <w:rFonts w:ascii="Times New Roman" w:eastAsia="Times New Roman" w:hAnsi="Times New Roman"/>
              </w:rPr>
              <w:t>64,4%</w:t>
            </w:r>
          </w:p>
        </w:tc>
        <w:tc>
          <w:tcPr>
            <w:tcW w:w="827" w:type="dxa"/>
          </w:tcPr>
          <w:p w14:paraId="2426DEE5" w14:textId="7E1121C9" w:rsidR="0EB27452" w:rsidRDefault="0EB27452">
            <w:r w:rsidRPr="00E93259">
              <w:rPr>
                <w:rFonts w:ascii="Times New Roman" w:eastAsia="Times New Roman" w:hAnsi="Times New Roman"/>
              </w:rPr>
              <w:t>80,3%</w:t>
            </w:r>
          </w:p>
        </w:tc>
        <w:tc>
          <w:tcPr>
            <w:tcW w:w="827" w:type="dxa"/>
          </w:tcPr>
          <w:p w14:paraId="5219BD03" w14:textId="72170898" w:rsidR="0EB27452" w:rsidRDefault="0EB27452">
            <w:r w:rsidRPr="00E93259">
              <w:rPr>
                <w:rFonts w:ascii="Times New Roman" w:eastAsia="Times New Roman" w:hAnsi="Times New Roman"/>
              </w:rPr>
              <w:t>80,9%</w:t>
            </w:r>
          </w:p>
        </w:tc>
        <w:tc>
          <w:tcPr>
            <w:tcW w:w="827" w:type="dxa"/>
          </w:tcPr>
          <w:p w14:paraId="2E5409F1" w14:textId="62971252" w:rsidR="0EB27452" w:rsidRDefault="0EB27452">
            <w:r w:rsidRPr="00E93259">
              <w:rPr>
                <w:rFonts w:ascii="Times New Roman" w:eastAsia="Times New Roman" w:hAnsi="Times New Roman"/>
              </w:rPr>
              <w:t>76,0%</w:t>
            </w:r>
          </w:p>
        </w:tc>
        <w:tc>
          <w:tcPr>
            <w:tcW w:w="827" w:type="dxa"/>
          </w:tcPr>
          <w:p w14:paraId="78FFE34C" w14:textId="575EDBA9" w:rsidR="0EB27452" w:rsidRDefault="0EB27452">
            <w:r w:rsidRPr="00E93259">
              <w:rPr>
                <w:rFonts w:ascii="Times New Roman" w:eastAsia="Times New Roman" w:hAnsi="Times New Roman"/>
              </w:rPr>
              <w:t>77,2%</w:t>
            </w:r>
          </w:p>
        </w:tc>
        <w:tc>
          <w:tcPr>
            <w:tcW w:w="827" w:type="dxa"/>
          </w:tcPr>
          <w:p w14:paraId="20DD252A" w14:textId="789527D0" w:rsidR="0EB27452" w:rsidRDefault="0EB27452">
            <w:r w:rsidRPr="00E93259">
              <w:rPr>
                <w:rFonts w:ascii="Times New Roman" w:eastAsia="Times New Roman" w:hAnsi="Times New Roman"/>
              </w:rPr>
              <w:t>85,2%</w:t>
            </w:r>
          </w:p>
        </w:tc>
        <w:tc>
          <w:tcPr>
            <w:tcW w:w="827" w:type="dxa"/>
          </w:tcPr>
          <w:p w14:paraId="59AF8906" w14:textId="0ED17711" w:rsidR="0EB27452" w:rsidRDefault="0EB27452">
            <w:r w:rsidRPr="00E93259">
              <w:rPr>
                <w:rFonts w:ascii="Times New Roman" w:eastAsia="Times New Roman" w:hAnsi="Times New Roman"/>
              </w:rPr>
              <w:t>85,6%</w:t>
            </w:r>
          </w:p>
        </w:tc>
        <w:tc>
          <w:tcPr>
            <w:tcW w:w="827" w:type="dxa"/>
          </w:tcPr>
          <w:p w14:paraId="1C403570" w14:textId="232231C2" w:rsidR="0EB27452" w:rsidRDefault="0EB27452">
            <w:r w:rsidRPr="00E93259">
              <w:rPr>
                <w:rFonts w:ascii="Times New Roman" w:eastAsia="Times New Roman" w:hAnsi="Times New Roman"/>
              </w:rPr>
              <w:t>82,3%</w:t>
            </w:r>
          </w:p>
        </w:tc>
        <w:tc>
          <w:tcPr>
            <w:tcW w:w="827" w:type="dxa"/>
          </w:tcPr>
          <w:p w14:paraId="33317CA0" w14:textId="7410A09A" w:rsidR="0EB27452" w:rsidRDefault="0EB27452">
            <w:r w:rsidRPr="00E93259">
              <w:rPr>
                <w:rFonts w:ascii="Times New Roman" w:eastAsia="Times New Roman" w:hAnsi="Times New Roman"/>
              </w:rPr>
              <w:t>85,2%</w:t>
            </w:r>
          </w:p>
        </w:tc>
      </w:tr>
    </w:tbl>
    <w:p w14:paraId="7BC1AC5E" w14:textId="77777777" w:rsidR="00795EAD" w:rsidRPr="00795EAD" w:rsidRDefault="00795EAD" w:rsidP="00E93259">
      <w:pPr>
        <w:spacing w:after="0" w:line="240" w:lineRule="auto"/>
        <w:jc w:val="both"/>
        <w:rPr>
          <w:rFonts w:ascii="Times New Roman" w:hAnsi="Times New Roman" w:cs="Times New Roman"/>
          <w:sz w:val="24"/>
          <w:szCs w:val="24"/>
        </w:rPr>
      </w:pPr>
      <w:r w:rsidRPr="00795EAD">
        <w:rPr>
          <w:rFonts w:ascii="Times New Roman" w:hAnsi="Times New Roman" w:cs="Times New Roman"/>
          <w:sz w:val="24"/>
          <w:szCs w:val="24"/>
        </w:rPr>
        <w:lastRenderedPageBreak/>
        <w:t>Avots: Slimību profilakses un kontroles centrs</w:t>
      </w:r>
    </w:p>
    <w:p w14:paraId="4FFE7E92" w14:textId="77777777" w:rsidR="00795EAD" w:rsidRPr="00795EAD" w:rsidRDefault="00795EAD" w:rsidP="00795EAD">
      <w:pPr>
        <w:spacing w:after="0" w:line="240" w:lineRule="auto"/>
        <w:ind w:firstLine="720"/>
        <w:jc w:val="both"/>
        <w:rPr>
          <w:rFonts w:ascii="Times New Roman" w:hAnsi="Times New Roman" w:cs="Times New Roman"/>
          <w:sz w:val="24"/>
          <w:szCs w:val="24"/>
        </w:rPr>
      </w:pPr>
    </w:p>
    <w:p w14:paraId="514D9446" w14:textId="56196A4B" w:rsid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Vējbaku vakcīnas efektivitāti parāda saslimstības ar vējbakām samazināšanās laika posmā kopš vējbaku vakcīnas ieviešanas.</w:t>
      </w:r>
    </w:p>
    <w:p w14:paraId="280FA155" w14:textId="11B1B1AC" w:rsidR="0096028F" w:rsidRPr="00795EAD" w:rsidRDefault="001C7643" w:rsidP="000C29E1">
      <w:pPr>
        <w:spacing w:after="120"/>
        <w:ind w:firstLine="720"/>
        <w:jc w:val="right"/>
        <w:rPr>
          <w:rFonts w:ascii="Times New Roman" w:hAnsi="Times New Roman" w:cs="Times New Roman"/>
          <w:sz w:val="24"/>
          <w:szCs w:val="24"/>
        </w:rPr>
      </w:pPr>
      <w:r>
        <w:rPr>
          <w:rFonts w:ascii="Times New Roman" w:hAnsi="Times New Roman" w:cs="Times New Roman"/>
          <w:sz w:val="24"/>
          <w:szCs w:val="24"/>
        </w:rPr>
        <w:t>5</w:t>
      </w:r>
      <w:r w:rsidR="0096028F">
        <w:rPr>
          <w:rFonts w:ascii="Times New Roman" w:hAnsi="Times New Roman" w:cs="Times New Roman"/>
          <w:sz w:val="24"/>
          <w:szCs w:val="24"/>
        </w:rPr>
        <w:t>.attēls</w:t>
      </w:r>
    </w:p>
    <w:p w14:paraId="283E1BDF" w14:textId="77777777" w:rsidR="00795EAD" w:rsidRPr="00795EAD" w:rsidRDefault="00795EAD" w:rsidP="00F55EDC">
      <w:pPr>
        <w:spacing w:after="0" w:line="240" w:lineRule="auto"/>
        <w:jc w:val="center"/>
        <w:rPr>
          <w:rFonts w:ascii="Times New Roman" w:hAnsi="Times New Roman" w:cs="Times New Roman"/>
          <w:sz w:val="24"/>
          <w:szCs w:val="24"/>
        </w:rPr>
      </w:pPr>
      <w:r w:rsidRPr="00795EAD">
        <w:rPr>
          <w:rFonts w:ascii="Times New Roman" w:hAnsi="Times New Roman" w:cs="Times New Roman"/>
          <w:noProof/>
          <w:sz w:val="24"/>
          <w:szCs w:val="24"/>
          <w:lang w:val="en-US"/>
        </w:rPr>
        <w:drawing>
          <wp:inline distT="0" distB="0" distL="0" distR="0" wp14:anchorId="2C43BA03" wp14:editId="6EBCBFD5">
            <wp:extent cx="4731385" cy="2733675"/>
            <wp:effectExtent l="0" t="0" r="12065" b="9525"/>
            <wp:docPr id="3" name="Chart 3">
              <a:extLst xmlns:a="http://schemas.openxmlformats.org/drawingml/2006/main">
                <a:ext uri="{FF2B5EF4-FFF2-40B4-BE49-F238E27FC236}">
                  <a16:creationId xmlns:a16="http://schemas.microsoft.com/office/drawing/2014/main" id="{372FA437-3E66-4546-84FA-FB04F322D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BFF6B3" w14:textId="77777777" w:rsidR="00795EAD" w:rsidRPr="00F30E8C" w:rsidRDefault="00795EAD" w:rsidP="00795EAD">
      <w:pPr>
        <w:spacing w:after="0" w:line="240" w:lineRule="auto"/>
        <w:ind w:firstLine="720"/>
        <w:jc w:val="both"/>
        <w:rPr>
          <w:rFonts w:ascii="Times New Roman" w:hAnsi="Times New Roman" w:cs="Times New Roman"/>
          <w:sz w:val="20"/>
          <w:szCs w:val="20"/>
        </w:rPr>
      </w:pPr>
      <w:r w:rsidRPr="00F30E8C">
        <w:rPr>
          <w:rFonts w:ascii="Times New Roman" w:hAnsi="Times New Roman" w:cs="Times New Roman"/>
          <w:sz w:val="20"/>
          <w:szCs w:val="20"/>
        </w:rPr>
        <w:t>Avots: Slimību profilakses un kontroles centrs</w:t>
      </w:r>
    </w:p>
    <w:p w14:paraId="6C68362C" w14:textId="77777777" w:rsidR="00795EAD" w:rsidRPr="00795EAD" w:rsidRDefault="00795EAD" w:rsidP="00795EAD">
      <w:pPr>
        <w:spacing w:after="0" w:line="240" w:lineRule="auto"/>
        <w:ind w:firstLine="720"/>
        <w:jc w:val="both"/>
        <w:rPr>
          <w:rFonts w:ascii="Times New Roman" w:hAnsi="Times New Roman" w:cs="Times New Roman"/>
          <w:sz w:val="24"/>
          <w:szCs w:val="24"/>
        </w:rPr>
      </w:pPr>
    </w:p>
    <w:p w14:paraId="74F32DA4" w14:textId="68F9C16A" w:rsid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 xml:space="preserve">Statistikas dati parāda, ka kopš vakcinācijas uzsākšanas saslimušo skaits 2017.gadā ir bijis vismazākais visā novērošanas periodā – 1 564 gadījumi, norādot uz kopēju saslimstības ar vējbakām samazināšanos par 77,5% salīdzinājumā ar 2008.gadu, kad valsts apmaksāta vakcinācija tikai tika uzsākta. </w:t>
      </w:r>
    </w:p>
    <w:p w14:paraId="77909999" w14:textId="52D0056B" w:rsidR="00D4560A" w:rsidRDefault="001C7643" w:rsidP="000C0914">
      <w:pPr>
        <w:spacing w:after="120"/>
        <w:ind w:firstLine="720"/>
        <w:jc w:val="right"/>
        <w:rPr>
          <w:rFonts w:ascii="Times New Roman" w:hAnsi="Times New Roman" w:cs="Times New Roman"/>
          <w:sz w:val="24"/>
          <w:szCs w:val="24"/>
        </w:rPr>
      </w:pPr>
      <w:r>
        <w:rPr>
          <w:rFonts w:ascii="Times New Roman" w:hAnsi="Times New Roman" w:cs="Times New Roman"/>
          <w:sz w:val="24"/>
          <w:szCs w:val="24"/>
        </w:rPr>
        <w:t>6</w:t>
      </w:r>
      <w:r w:rsidR="00D4560A">
        <w:rPr>
          <w:rFonts w:ascii="Times New Roman" w:hAnsi="Times New Roman" w:cs="Times New Roman"/>
          <w:sz w:val="24"/>
          <w:szCs w:val="24"/>
        </w:rPr>
        <w:t>.attēls</w:t>
      </w:r>
    </w:p>
    <w:p w14:paraId="493A1DDF" w14:textId="5598D651" w:rsidR="00D4560A" w:rsidRPr="00D4560A" w:rsidRDefault="00D4560A" w:rsidP="000C0914">
      <w:pPr>
        <w:spacing w:after="120"/>
        <w:ind w:firstLine="720"/>
        <w:jc w:val="center"/>
        <w:rPr>
          <w:rFonts w:ascii="Times New Roman" w:hAnsi="Times New Roman" w:cs="Times New Roman"/>
          <w:sz w:val="24"/>
          <w:szCs w:val="24"/>
        </w:rPr>
      </w:pPr>
      <w:r w:rsidRPr="000C0914">
        <w:rPr>
          <w:rFonts w:ascii="Times New Roman" w:hAnsi="Times New Roman" w:cs="Times New Roman"/>
          <w:b/>
          <w:bCs/>
          <w:sz w:val="24"/>
          <w:szCs w:val="24"/>
        </w:rPr>
        <w:t>Vējbaku gadījumu skaits bērniem 2007. – 2017. gads</w:t>
      </w:r>
    </w:p>
    <w:p w14:paraId="69F56AC7" w14:textId="09EC452B" w:rsidR="00D4560A" w:rsidRDefault="00D4560A" w:rsidP="000C0914">
      <w:pPr>
        <w:spacing w:after="120"/>
        <w:ind w:firstLine="720"/>
        <w:jc w:val="center"/>
        <w:rPr>
          <w:rFonts w:ascii="Times New Roman" w:hAnsi="Times New Roman" w:cs="Times New Roman"/>
          <w:sz w:val="24"/>
          <w:szCs w:val="24"/>
        </w:rPr>
      </w:pPr>
      <w:r>
        <w:rPr>
          <w:noProof/>
          <w:lang w:val="en-US"/>
        </w:rPr>
        <w:drawing>
          <wp:inline distT="0" distB="0" distL="0" distR="0" wp14:anchorId="498A97CE" wp14:editId="6C11B600">
            <wp:extent cx="3949700" cy="2247900"/>
            <wp:effectExtent l="0" t="0" r="1270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2AEFEE"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lastRenderedPageBreak/>
        <w:t>Bērnu vakcinācija pret vējbakām jau ar vienu devu ir sasniegusi pietiekami labus rezultātus, tādēļ ļoti būtiski ir ieviest pilnu vakcinācijas kursu. Arī Eiropas Slimību profilakses un kontroles centrs (</w:t>
      </w:r>
      <w:r w:rsidRPr="00795EAD">
        <w:rPr>
          <w:rFonts w:ascii="Times New Roman" w:hAnsi="Times New Roman" w:cs="Times New Roman"/>
          <w:i/>
          <w:sz w:val="24"/>
          <w:szCs w:val="24"/>
        </w:rPr>
        <w:t>ECDC GUIDANCE Varicella vaccination in the European Union</w:t>
      </w:r>
      <w:r w:rsidRPr="00795EAD">
        <w:rPr>
          <w:rFonts w:ascii="Times New Roman" w:hAnsi="Times New Roman" w:cs="Times New Roman"/>
          <w:sz w:val="24"/>
          <w:szCs w:val="24"/>
        </w:rPr>
        <w:t xml:space="preserve">; 2015) secina, ka tajās valstīs, kas ir ieviesušas vispārēju vakcināciju pret vējbakām bērniem, ir strauji samazinājusies saslimstība ar šo infekciju un vējbaku komplikācijām, samazinājusies hospitalizācija un nāves gadījumi visās vecuma grupās gan vakcinētiem, gan nevakcinētiem indivīdiem. Tomēr divu devu vakcinācijas shēma dod augstākus rezultātus un vakcīnas efektivitāti nekā vienas devas vakcinācija. </w:t>
      </w:r>
    </w:p>
    <w:p w14:paraId="7A4340F8" w14:textId="36564F53"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Pretvējbaku vakcinācija arī ir devusi ieguvumu veselības aprūpes budžetam, jo ievērojami ir samazinājies ar vējbaku infekciju stacionēto bērnu skaits. Ja 2007. gadā tika ziņots par 163 stacionēšanas gadījumiem, tad 2017.gadā tikai par 50 stacionēšanas gadījumiem (no šiem 50 hospitalizācijas gadījumiem tikai 18 stacionētie bija bērni). Visintensīvāk stacionēšanas biežums ir samazinājies ar vakcināciju aptvertajā vecuma grupā. Reģistrēto vējbaku saslimstības gadījumu analīze liecina, ka vakcinācijas rezultātā ievērojami samazinājies (par 87%) hospitalizēto bērnu skaits vecumgrupā „0-2gadi” (54 hospitalizācijas 2007. gadā un septiņas hospitalizācijas 2017. gadā). Kādā retrospektīvā pētījumā noskaidrots, ka 79% no visiem pacientiem hospitalizē tieši vējbaku komplikāciju, nevis pašas slimības dēļ</w:t>
      </w:r>
      <w:r w:rsidRPr="00795EAD">
        <w:rPr>
          <w:rStyle w:val="FootnoteReference"/>
          <w:rFonts w:ascii="Times New Roman" w:hAnsi="Times New Roman" w:cs="Times New Roman"/>
          <w:sz w:val="24"/>
          <w:szCs w:val="24"/>
        </w:rPr>
        <w:footnoteReference w:id="35"/>
      </w:r>
      <w:r w:rsidRPr="00795EAD">
        <w:rPr>
          <w:rFonts w:ascii="Times New Roman" w:hAnsi="Times New Roman" w:cs="Times New Roman"/>
          <w:sz w:val="24"/>
          <w:szCs w:val="24"/>
        </w:rPr>
        <w:t>.</w:t>
      </w:r>
    </w:p>
    <w:p w14:paraId="01205D30" w14:textId="507163B8"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Ierobežojot vējbaku izplatību tiek samazināts vējbaku infekcijas izraisītu veselības problēmu gadījumu skaits un komplikāciju skaits. Zinātniskie pētījumi liecina, ka 2-6% vējbaku pacientu attīstās komplikācijas un līdz pat 80% gadījumu komplikācijas attīstās iepriekš veseliem pacientiem</w:t>
      </w:r>
      <w:r w:rsidRPr="00795EAD">
        <w:rPr>
          <w:rStyle w:val="FootnoteReference"/>
          <w:rFonts w:ascii="Times New Roman" w:hAnsi="Times New Roman" w:cs="Times New Roman"/>
          <w:sz w:val="24"/>
          <w:szCs w:val="24"/>
        </w:rPr>
        <w:footnoteReference w:id="36"/>
      </w:r>
      <w:r w:rsidRPr="00795EAD">
        <w:rPr>
          <w:rFonts w:ascii="Times New Roman" w:hAnsi="Times New Roman" w:cs="Times New Roman"/>
          <w:sz w:val="24"/>
          <w:szCs w:val="24"/>
        </w:rPr>
        <w:t xml:space="preserve">. Visbiežākās vējbaku komplikācijas iepriekš veseliem pacientiem ir ādas, plaušu vai kaulu bakteriāla superinfekcija, ko pamatā izraisa </w:t>
      </w:r>
      <w:r w:rsidRPr="00E12849">
        <w:rPr>
          <w:rFonts w:ascii="Times New Roman" w:hAnsi="Times New Roman" w:cs="Times New Roman"/>
          <w:i/>
          <w:iCs/>
          <w:sz w:val="24"/>
          <w:szCs w:val="24"/>
        </w:rPr>
        <w:t>Staphylococcus aureus</w:t>
      </w:r>
      <w:r w:rsidRPr="00795EAD">
        <w:rPr>
          <w:rFonts w:ascii="Times New Roman" w:hAnsi="Times New Roman" w:cs="Times New Roman"/>
          <w:sz w:val="24"/>
          <w:szCs w:val="24"/>
        </w:rPr>
        <w:t xml:space="preserve"> vai A grupas β hemolītiskie streptokoki</w:t>
      </w:r>
      <w:r w:rsidRPr="00795EAD">
        <w:rPr>
          <w:rStyle w:val="FootnoteReference"/>
          <w:rFonts w:ascii="Times New Roman" w:hAnsi="Times New Roman" w:cs="Times New Roman"/>
          <w:sz w:val="24"/>
          <w:szCs w:val="24"/>
        </w:rPr>
        <w:footnoteReference w:id="37"/>
      </w:r>
      <w:r w:rsidRPr="00795EAD">
        <w:rPr>
          <w:rFonts w:ascii="Times New Roman" w:hAnsi="Times New Roman" w:cs="Times New Roman"/>
          <w:sz w:val="24"/>
          <w:szCs w:val="24"/>
        </w:rPr>
        <w:t>. Vējbaku cerebellīts kā vējbaku komplikācija attīstās vienam no 4000 pacientu un ir viena no visbiežākajām komplikācijām</w:t>
      </w:r>
      <w:r w:rsidRPr="00795EAD">
        <w:rPr>
          <w:rStyle w:val="FootnoteReference"/>
          <w:rFonts w:ascii="Times New Roman" w:hAnsi="Times New Roman" w:cs="Times New Roman"/>
          <w:sz w:val="24"/>
          <w:szCs w:val="24"/>
        </w:rPr>
        <w:footnoteReference w:id="38"/>
      </w:r>
      <w:r w:rsidRPr="00795EAD">
        <w:rPr>
          <w:rFonts w:ascii="Times New Roman" w:hAnsi="Times New Roman" w:cs="Times New Roman"/>
          <w:sz w:val="24"/>
          <w:szCs w:val="24"/>
        </w:rPr>
        <w:t>. Mirstības rādītāji vējbaku pneimonijas gadījumā jaundzimušajiem ir ļoti augsti – līdz 30%</w:t>
      </w:r>
      <w:r w:rsidRPr="00795EAD">
        <w:rPr>
          <w:rStyle w:val="FootnoteReference"/>
          <w:rFonts w:ascii="Times New Roman" w:hAnsi="Times New Roman" w:cs="Times New Roman"/>
          <w:sz w:val="24"/>
          <w:szCs w:val="24"/>
        </w:rPr>
        <w:footnoteReference w:id="39"/>
      </w:r>
      <w:r w:rsidRPr="00795EAD">
        <w:rPr>
          <w:rFonts w:ascii="Times New Roman" w:hAnsi="Times New Roman" w:cs="Times New Roman"/>
          <w:sz w:val="24"/>
          <w:szCs w:val="24"/>
        </w:rPr>
        <w:t>. Kardioloģiskas komplikācijas kā vējbaku komplikācija ir salīdzinoši reti un ar augstiem mirstības rādītājiem</w:t>
      </w:r>
      <w:r w:rsidRPr="00795EAD">
        <w:rPr>
          <w:rStyle w:val="FootnoteReference"/>
          <w:rFonts w:ascii="Times New Roman" w:hAnsi="Times New Roman" w:cs="Times New Roman"/>
          <w:sz w:val="24"/>
          <w:szCs w:val="24"/>
        </w:rPr>
        <w:footnoteReference w:id="40"/>
      </w:r>
      <w:r w:rsidRPr="00795EAD">
        <w:rPr>
          <w:rFonts w:ascii="Times New Roman" w:hAnsi="Times New Roman" w:cs="Times New Roman"/>
          <w:sz w:val="24"/>
          <w:szCs w:val="24"/>
        </w:rPr>
        <w:t>.</w:t>
      </w:r>
    </w:p>
    <w:p w14:paraId="796845BB" w14:textId="23E8B471" w:rsidR="00C5644C" w:rsidRPr="0066793A" w:rsidRDefault="00795EAD" w:rsidP="00054C3E">
      <w:pPr>
        <w:spacing w:after="120"/>
        <w:ind w:firstLine="720"/>
        <w:jc w:val="both"/>
        <w:rPr>
          <w:rFonts w:ascii="Times New Roman" w:hAnsi="Times New Roman" w:cs="Times New Roman"/>
          <w:sz w:val="24"/>
          <w:szCs w:val="24"/>
        </w:rPr>
        <w:sectPr w:rsidR="00C5644C" w:rsidRPr="0066793A" w:rsidSect="00333B64">
          <w:pgSz w:w="12240" w:h="15840"/>
          <w:pgMar w:top="1440" w:right="1440" w:bottom="1440" w:left="1701" w:header="708" w:footer="708" w:gutter="0"/>
          <w:cols w:space="708"/>
          <w:docGrid w:linePitch="360"/>
        </w:sectPr>
      </w:pPr>
      <w:r w:rsidRPr="00795EAD">
        <w:rPr>
          <w:rFonts w:ascii="Times New Roman" w:hAnsi="Times New Roman" w:cs="Times New Roman"/>
          <w:sz w:val="24"/>
          <w:szCs w:val="24"/>
        </w:rPr>
        <w:t xml:space="preserve">Ja netiek ieviests pilns vakcinācijas kurss pret vējbakām, tas grauj kopējo vakcinācijas politiku valstī, jo bērnu vecāki nereti ir neizpratnē, kāpēc slimo viņu vakcinētie bērni, kā arī netiek nodrošināta Pasaules Veselības organizācijas rekomendācijām atbilstoša vakcinācijas </w:t>
      </w:r>
    </w:p>
    <w:p w14:paraId="7F5D9571" w14:textId="77777777" w:rsidR="00E87C01" w:rsidRDefault="00E87C01" w:rsidP="0066793A">
      <w:pPr>
        <w:spacing w:after="120"/>
        <w:rPr>
          <w:rFonts w:ascii="Times New Roman" w:hAnsi="Times New Roman" w:cs="Times New Roman"/>
          <w:i/>
          <w:sz w:val="24"/>
          <w:szCs w:val="24"/>
        </w:rPr>
      </w:pPr>
    </w:p>
    <w:p w14:paraId="091F231A" w14:textId="5D6B3122" w:rsidR="00E87C01" w:rsidRPr="00795EAD" w:rsidRDefault="0066793A" w:rsidP="0066793A">
      <w:pPr>
        <w:spacing w:after="120"/>
        <w:jc w:val="both"/>
        <w:rPr>
          <w:rFonts w:ascii="Times New Roman" w:hAnsi="Times New Roman" w:cs="Times New Roman"/>
          <w:sz w:val="24"/>
          <w:szCs w:val="24"/>
        </w:rPr>
      </w:pPr>
      <w:r w:rsidRPr="00795EAD">
        <w:rPr>
          <w:rFonts w:ascii="Times New Roman" w:hAnsi="Times New Roman" w:cs="Times New Roman"/>
          <w:sz w:val="24"/>
          <w:szCs w:val="24"/>
        </w:rPr>
        <w:t>politika. Pasaules Veselības organizācija rekomendē, lai novērstu vējbaku infekcijas izraisīto sabiedrības veselības slogu, pretvējbaku vakcīnas aptverei ir jābūt ≥80 %. Savukārt neieviešot pilnu pretvējbaku vakcinācijas kursu var tikt negatīvi ietekmēta jau esošā vakcinācijas aptvere (ar vienu devu), to pakāpeniski samazinot, jo vecākiem var ra</w:t>
      </w:r>
      <w:r>
        <w:rPr>
          <w:rFonts w:ascii="Times New Roman" w:hAnsi="Times New Roman" w:cs="Times New Roman"/>
          <w:sz w:val="24"/>
          <w:szCs w:val="24"/>
        </w:rPr>
        <w:t xml:space="preserve">sties nepareizs priekšstats par </w:t>
      </w:r>
      <w:r w:rsidR="00E87C01" w:rsidRPr="00795EAD">
        <w:rPr>
          <w:rFonts w:ascii="Times New Roman" w:hAnsi="Times New Roman" w:cs="Times New Roman"/>
          <w:sz w:val="24"/>
          <w:szCs w:val="24"/>
        </w:rPr>
        <w:t xml:space="preserve">pretvējbaku vakcinācijas nozīmi (vecāki var izvēlēties nevakcinēt savus bērnus, ja netiek nodrošināts pilns vakcinācijas kurss, vai daļēji vakcinēts bērns vēlāk saslimst ar vējbakām). </w:t>
      </w:r>
    </w:p>
    <w:p w14:paraId="4B072639" w14:textId="7FBB299F" w:rsidR="00E87C01" w:rsidRDefault="00E87C01" w:rsidP="00E87C01">
      <w:pPr>
        <w:spacing w:after="120"/>
        <w:ind w:firstLine="720"/>
        <w:jc w:val="both"/>
        <w:rPr>
          <w:rFonts w:ascii="Times New Roman" w:hAnsi="Times New Roman" w:cs="Times New Roman"/>
          <w:i/>
          <w:sz w:val="24"/>
          <w:szCs w:val="24"/>
        </w:rPr>
      </w:pPr>
      <w:r w:rsidRPr="00795EAD">
        <w:rPr>
          <w:rFonts w:ascii="Times New Roman" w:hAnsi="Times New Roman" w:cs="Times New Roman"/>
          <w:sz w:val="24"/>
          <w:szCs w:val="24"/>
        </w:rPr>
        <w:t xml:space="preserve">Sekas, ja ar 2019. gadu bērni nesāks saņemt pretvējbaku vakcīnas otro devu un populāciju kopumā, ir sekojošas – kopējā saslimstība ar vējbakām populācijā samazināsies lēnāk, </w:t>
      </w:r>
      <w:r w:rsidRPr="00795EAD">
        <w:rPr>
          <w:rFonts w:ascii="Times New Roman" w:hAnsi="Times New Roman" w:cs="Times New Roman"/>
          <w:color w:val="000000"/>
          <w:sz w:val="24"/>
          <w:szCs w:val="24"/>
        </w:rPr>
        <w:t>jo vakcīnas efektivitāte, vakcinējot ar vienu devu, vidēji ir 85 %. Attiecīgi aptuveni 25 % bērnu joprojām saslims ar vējbakām un attiecīgi kolektīvā imunitāte pret vējbakām arī veidosies lēnāk (parasti citas personas inficējas no slima cilvēka (t.sk. bērna) tieša kontakta veidā)</w:t>
      </w:r>
      <w:r>
        <w:rPr>
          <w:rFonts w:ascii="Times New Roman" w:hAnsi="Times New Roman" w:cs="Times New Roman"/>
          <w:color w:val="000000"/>
          <w:sz w:val="24"/>
          <w:szCs w:val="24"/>
        </w:rPr>
        <w:t>.</w:t>
      </w:r>
    </w:p>
    <w:p w14:paraId="3A855398" w14:textId="3C7E0EB6" w:rsidR="00BD35B1" w:rsidRDefault="00BD35B1" w:rsidP="00E11AFF">
      <w:pPr>
        <w:spacing w:after="120"/>
        <w:ind w:firstLine="720"/>
        <w:jc w:val="right"/>
        <w:rPr>
          <w:rFonts w:ascii="Times New Roman" w:hAnsi="Times New Roman" w:cs="Times New Roman"/>
          <w:i/>
          <w:sz w:val="24"/>
          <w:szCs w:val="24"/>
        </w:rPr>
      </w:pPr>
      <w:r>
        <w:rPr>
          <w:rFonts w:ascii="Times New Roman" w:hAnsi="Times New Roman" w:cs="Times New Roman"/>
          <w:i/>
          <w:sz w:val="24"/>
          <w:szCs w:val="24"/>
        </w:rPr>
        <w:t>6</w:t>
      </w:r>
      <w:r w:rsidR="008104BD">
        <w:rPr>
          <w:rFonts w:ascii="Times New Roman" w:hAnsi="Times New Roman" w:cs="Times New Roman"/>
          <w:i/>
          <w:sz w:val="24"/>
          <w:szCs w:val="24"/>
        </w:rPr>
        <w:t>8</w:t>
      </w:r>
      <w:r>
        <w:rPr>
          <w:rFonts w:ascii="Times New Roman" w:hAnsi="Times New Roman" w:cs="Times New Roman"/>
          <w:i/>
          <w:sz w:val="24"/>
          <w:szCs w:val="24"/>
        </w:rPr>
        <w:t>.tabula</w:t>
      </w:r>
    </w:p>
    <w:p w14:paraId="61E000B9" w14:textId="026065C7" w:rsidR="00C5644C" w:rsidRPr="00E11AFF" w:rsidRDefault="00C5644C" w:rsidP="00E11AFF">
      <w:pPr>
        <w:spacing w:after="120"/>
        <w:ind w:firstLine="720"/>
        <w:jc w:val="center"/>
        <w:rPr>
          <w:rFonts w:ascii="Times New Roman" w:hAnsi="Times New Roman" w:cs="Times New Roman"/>
          <w:b/>
          <w:sz w:val="24"/>
          <w:szCs w:val="24"/>
        </w:rPr>
      </w:pPr>
      <w:r w:rsidRPr="00E11AFF">
        <w:rPr>
          <w:rFonts w:ascii="Times New Roman" w:hAnsi="Times New Roman" w:cs="Times New Roman"/>
          <w:b/>
          <w:sz w:val="24"/>
          <w:szCs w:val="24"/>
        </w:rPr>
        <w:t>Vējbaku vakcinācijai nepieciešamais finansējums 2017.</w:t>
      </w:r>
      <w:r w:rsidR="005B5171" w:rsidRPr="00E11AFF">
        <w:rPr>
          <w:rFonts w:ascii="Times New Roman" w:hAnsi="Times New Roman" w:cs="Times New Roman"/>
          <w:b/>
          <w:sz w:val="24"/>
          <w:szCs w:val="24"/>
        </w:rPr>
        <w:t>,</w:t>
      </w:r>
      <w:r w:rsidR="005B5171">
        <w:rPr>
          <w:rFonts w:ascii="Times New Roman" w:hAnsi="Times New Roman" w:cs="Times New Roman"/>
          <w:b/>
          <w:sz w:val="24"/>
          <w:szCs w:val="24"/>
        </w:rPr>
        <w:t xml:space="preserve"> </w:t>
      </w:r>
      <w:r w:rsidR="005B5171" w:rsidRPr="00E11AFF">
        <w:rPr>
          <w:rFonts w:ascii="Times New Roman" w:hAnsi="Times New Roman" w:cs="Times New Roman"/>
          <w:b/>
          <w:sz w:val="24"/>
          <w:szCs w:val="24"/>
        </w:rPr>
        <w:t>2018. un 2019.gadam</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988"/>
        <w:gridCol w:w="850"/>
        <w:gridCol w:w="851"/>
        <w:gridCol w:w="850"/>
        <w:gridCol w:w="851"/>
        <w:gridCol w:w="850"/>
        <w:gridCol w:w="993"/>
        <w:gridCol w:w="708"/>
        <w:gridCol w:w="709"/>
        <w:gridCol w:w="709"/>
        <w:gridCol w:w="709"/>
        <w:gridCol w:w="850"/>
        <w:gridCol w:w="851"/>
      </w:tblGrid>
      <w:tr w:rsidR="00E92141" w14:paraId="764FF4DB" w14:textId="77777777" w:rsidTr="008967B9">
        <w:trPr>
          <w:cantSplit/>
          <w:trHeight w:val="1505"/>
          <w:jc w:val="center"/>
        </w:trPr>
        <w:tc>
          <w:tcPr>
            <w:tcW w:w="425" w:type="dxa"/>
            <w:shd w:val="clear" w:color="auto" w:fill="E36C0A" w:themeFill="accent6" w:themeFillShade="BF"/>
          </w:tcPr>
          <w:p w14:paraId="712AB172" w14:textId="77777777" w:rsidR="00E92141" w:rsidRPr="00847710" w:rsidRDefault="00E92141" w:rsidP="00D1261D">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vAlign w:val="center"/>
            <w:hideMark/>
          </w:tcPr>
          <w:p w14:paraId="0DE668D7" w14:textId="77777777" w:rsidR="00E92141" w:rsidRPr="00847710" w:rsidRDefault="00E92141" w:rsidP="00D1261D">
            <w:pPr>
              <w:spacing w:after="0" w:line="240" w:lineRule="auto"/>
              <w:rPr>
                <w:rFonts w:ascii="Times New Roman" w:eastAsia="Times New Roman" w:hAnsi="Times New Roman" w:cs="Times New Roman"/>
                <w:b/>
                <w:bCs/>
                <w:sz w:val="20"/>
                <w:szCs w:val="20"/>
                <w:lang w:eastAsia="lv-LV"/>
              </w:rPr>
            </w:pPr>
          </w:p>
        </w:tc>
        <w:tc>
          <w:tcPr>
            <w:tcW w:w="988" w:type="dxa"/>
            <w:shd w:val="clear" w:color="auto" w:fill="E36C0A" w:themeFill="accent6" w:themeFillShade="BF"/>
            <w:textDirection w:val="btLr"/>
            <w:vAlign w:val="center"/>
            <w:hideMark/>
          </w:tcPr>
          <w:p w14:paraId="5B50AE7C" w14:textId="185BBDB0" w:rsidR="00E92141" w:rsidRPr="00847710" w:rsidRDefault="00E9214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 xml:space="preserve">vidējās </w:t>
            </w:r>
            <w:r w:rsidR="00355C52">
              <w:rPr>
                <w:rFonts w:ascii="Times New Roman" w:eastAsia="Times New Roman" w:hAnsi="Times New Roman" w:cs="Times New Roman"/>
                <w:b/>
                <w:bCs/>
                <w:sz w:val="20"/>
                <w:szCs w:val="20"/>
                <w:lang w:eastAsia="lv-LV"/>
              </w:rPr>
              <w:t>vakcīnas</w:t>
            </w:r>
          </w:p>
          <w:p w14:paraId="4142B598" w14:textId="77777777" w:rsidR="00E92141" w:rsidRPr="00847710" w:rsidRDefault="00E9214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373D6D4C" w14:textId="77777777" w:rsidR="00E92141" w:rsidRPr="00847710" w:rsidRDefault="00E92141"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2551" w:type="dxa"/>
            <w:gridSpan w:val="3"/>
            <w:shd w:val="clear" w:color="auto" w:fill="E36C0A" w:themeFill="accent6" w:themeFillShade="BF"/>
            <w:textDirection w:val="btLr"/>
            <w:vAlign w:val="center"/>
          </w:tcPr>
          <w:p w14:paraId="4A96D7B9" w14:textId="77777777" w:rsidR="00E92141" w:rsidRPr="00847710" w:rsidRDefault="00E92141"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694" w:type="dxa"/>
            <w:gridSpan w:val="3"/>
            <w:shd w:val="clear" w:color="auto" w:fill="E36C0A" w:themeFill="accent6" w:themeFillShade="BF"/>
            <w:textDirection w:val="btLr"/>
            <w:vAlign w:val="center"/>
          </w:tcPr>
          <w:p w14:paraId="17DEA941" w14:textId="77777777" w:rsidR="00E92141" w:rsidRPr="00847710" w:rsidRDefault="00E9214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6" w:type="dxa"/>
            <w:gridSpan w:val="3"/>
            <w:shd w:val="clear" w:color="auto" w:fill="E36C0A" w:themeFill="accent6" w:themeFillShade="BF"/>
            <w:textDirection w:val="btLr"/>
            <w:vAlign w:val="center"/>
          </w:tcPr>
          <w:p w14:paraId="540FDC4F" w14:textId="77777777" w:rsidR="00E92141" w:rsidRPr="00847710" w:rsidRDefault="00E9214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410" w:type="dxa"/>
            <w:gridSpan w:val="3"/>
            <w:shd w:val="clear" w:color="auto" w:fill="E36C0A" w:themeFill="accent6" w:themeFillShade="BF"/>
            <w:textDirection w:val="btLr"/>
            <w:vAlign w:val="center"/>
          </w:tcPr>
          <w:p w14:paraId="7F83974A" w14:textId="46E2FBB9" w:rsidR="00E92141" w:rsidRPr="00847710" w:rsidRDefault="00E9214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E87C01">
              <w:rPr>
                <w:rFonts w:ascii="Times New Roman" w:eastAsia="Times New Roman" w:hAnsi="Times New Roman" w:cs="Times New Roman"/>
                <w:b/>
                <w:bCs/>
                <w:sz w:val="20"/>
                <w:szCs w:val="20"/>
                <w:lang w:eastAsia="lv-LV"/>
              </w:rPr>
              <w:t>vakcināciju</w:t>
            </w:r>
            <w:r>
              <w:rPr>
                <w:rFonts w:ascii="Times New Roman" w:eastAsia="Times New Roman" w:hAnsi="Times New Roman" w:cs="Times New Roman"/>
                <w:b/>
                <w:bCs/>
                <w:sz w:val="20"/>
                <w:szCs w:val="20"/>
                <w:lang w:eastAsia="lv-LV"/>
              </w:rPr>
              <w:t xml:space="preserve"> </w:t>
            </w:r>
            <w:r w:rsidRPr="00847710">
              <w:rPr>
                <w:rFonts w:ascii="Times New Roman" w:eastAsia="Times New Roman" w:hAnsi="Times New Roman" w:cs="Times New Roman"/>
                <w:b/>
                <w:bCs/>
                <w:sz w:val="20"/>
                <w:szCs w:val="20"/>
                <w:lang w:eastAsia="lv-LV"/>
              </w:rPr>
              <w:t>skaits pēc finansējuma piešķīruma</w:t>
            </w:r>
          </w:p>
        </w:tc>
      </w:tr>
      <w:tr w:rsidR="008967B9" w14:paraId="267DA60E" w14:textId="77777777" w:rsidTr="008967B9">
        <w:trPr>
          <w:trHeight w:val="640"/>
          <w:jc w:val="center"/>
        </w:trPr>
        <w:tc>
          <w:tcPr>
            <w:tcW w:w="425" w:type="dxa"/>
            <w:shd w:val="clear" w:color="auto" w:fill="FABF8F" w:themeFill="accent6" w:themeFillTint="99"/>
          </w:tcPr>
          <w:p w14:paraId="747162E0"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3CEB2C2D"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p>
        </w:tc>
        <w:tc>
          <w:tcPr>
            <w:tcW w:w="988" w:type="dxa"/>
            <w:shd w:val="clear" w:color="auto" w:fill="FABF8F" w:themeFill="accent6" w:themeFillTint="99"/>
            <w:vAlign w:val="center"/>
          </w:tcPr>
          <w:p w14:paraId="250A9D7B" w14:textId="77777777" w:rsidR="00E92141" w:rsidRPr="00847710" w:rsidRDefault="00E92141"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23483713"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2475A101" w14:textId="77777777" w:rsidR="00E92141"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4FAE79AE" w14:textId="77777777" w:rsidR="00E92141" w:rsidRPr="0012317D" w:rsidRDefault="00E9214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737EEBA3" w14:textId="77777777" w:rsidR="00E92141"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722CDD7" w14:textId="77777777" w:rsidR="00E92141" w:rsidRPr="0012317D" w:rsidRDefault="00E9214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3D3F943C" w14:textId="77777777" w:rsidR="00E92141"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4B26A78D" w14:textId="77777777" w:rsidR="00E92141" w:rsidRPr="0012317D" w:rsidRDefault="00E9214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24F69953" w14:textId="77777777" w:rsidR="00E92141"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2364DB79" w14:textId="77777777" w:rsidR="00E92141" w:rsidRPr="0012317D" w:rsidRDefault="00E9214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6F446E05" w14:textId="77777777" w:rsidR="00E92141"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2F3DB772" w14:textId="77777777" w:rsidR="00E92141" w:rsidRPr="0012317D" w:rsidRDefault="00E9214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3" w:type="dxa"/>
            <w:shd w:val="clear" w:color="auto" w:fill="FABF8F" w:themeFill="accent6" w:themeFillTint="99"/>
            <w:vAlign w:val="center"/>
          </w:tcPr>
          <w:p w14:paraId="6DB34D2E" w14:textId="77777777" w:rsidR="00E92141" w:rsidRPr="00C86312" w:rsidRDefault="00E92141"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2A4C377" w14:textId="77777777" w:rsidR="00E92141" w:rsidRPr="00C86312" w:rsidRDefault="00E92141"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8" w:type="dxa"/>
            <w:shd w:val="clear" w:color="auto" w:fill="FABF8F" w:themeFill="accent6" w:themeFillTint="99"/>
            <w:vAlign w:val="center"/>
          </w:tcPr>
          <w:p w14:paraId="55EB797B"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45A047F0"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30F49D60"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334647E3"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0" w:type="dxa"/>
            <w:shd w:val="clear" w:color="auto" w:fill="FABF8F" w:themeFill="accent6" w:themeFillTint="99"/>
            <w:vAlign w:val="center"/>
          </w:tcPr>
          <w:p w14:paraId="2A40AB67"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0DFC6364" w14:textId="77777777" w:rsidR="00E92141" w:rsidRPr="00847710" w:rsidRDefault="00E92141"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8967B9" w14:paraId="26F6F6FC" w14:textId="77777777" w:rsidTr="008967B9">
        <w:trPr>
          <w:trHeight w:val="598"/>
          <w:jc w:val="center"/>
        </w:trPr>
        <w:tc>
          <w:tcPr>
            <w:tcW w:w="425" w:type="dxa"/>
            <w:shd w:val="clear" w:color="auto" w:fill="FFFFFF" w:themeFill="background1"/>
          </w:tcPr>
          <w:p w14:paraId="3D583FCD" w14:textId="77777777" w:rsidR="005B5171" w:rsidRPr="00E1067B" w:rsidRDefault="005B5171" w:rsidP="005B517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134" w:type="dxa"/>
            <w:shd w:val="clear" w:color="auto" w:fill="FFFFFF" w:themeFill="background1"/>
            <w:vAlign w:val="center"/>
          </w:tcPr>
          <w:p w14:paraId="7D9477B5" w14:textId="072EDAA5" w:rsidR="005B5171" w:rsidRPr="00E1067B" w:rsidRDefault="005B5171" w:rsidP="005B5171">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Vējbaku vakcinācija</w:t>
            </w:r>
          </w:p>
        </w:tc>
        <w:tc>
          <w:tcPr>
            <w:tcW w:w="988" w:type="dxa"/>
            <w:shd w:val="clear" w:color="auto" w:fill="FFFFFF" w:themeFill="background1"/>
            <w:vAlign w:val="center"/>
          </w:tcPr>
          <w:p w14:paraId="43C14B99" w14:textId="02DD484E" w:rsidR="005B5171" w:rsidRPr="00E1067B" w:rsidRDefault="00F72933" w:rsidP="005B51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26.17</w:t>
            </w:r>
          </w:p>
        </w:tc>
        <w:tc>
          <w:tcPr>
            <w:tcW w:w="850" w:type="dxa"/>
            <w:shd w:val="clear" w:color="auto" w:fill="FFFFFF" w:themeFill="background1"/>
            <w:vAlign w:val="center"/>
          </w:tcPr>
          <w:p w14:paraId="697DF556" w14:textId="77777777" w:rsidR="005B5171" w:rsidRDefault="005B5171" w:rsidP="005B517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2039CC65" w14:textId="77777777" w:rsidR="005B5171" w:rsidRDefault="005B5171" w:rsidP="005B517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4630499" w14:textId="77777777" w:rsidR="005B5171" w:rsidRPr="00E1067B" w:rsidRDefault="005B5171" w:rsidP="005B517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45B44D7B" w14:textId="77777777" w:rsidR="005B5171" w:rsidRDefault="005B5171" w:rsidP="005B517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310D30BD" w14:textId="77777777" w:rsidR="005B5171" w:rsidRDefault="005B5171" w:rsidP="005B517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6213A052" w14:textId="0459B75D" w:rsidR="005B5171" w:rsidRPr="00054C3E" w:rsidRDefault="005B5171" w:rsidP="005B5171">
            <w:pPr>
              <w:spacing w:after="0" w:line="240" w:lineRule="auto"/>
              <w:jc w:val="center"/>
              <w:rPr>
                <w:rFonts w:ascii="Times New Roman" w:eastAsia="Times New Roman" w:hAnsi="Times New Roman" w:cs="Times New Roman"/>
                <w:bCs/>
                <w:sz w:val="20"/>
                <w:szCs w:val="20"/>
                <w:lang w:eastAsia="lv-LV"/>
              </w:rPr>
            </w:pPr>
            <w:r w:rsidRPr="00054C3E">
              <w:rPr>
                <w:rFonts w:ascii="Times New Roman" w:hAnsi="Times New Roman"/>
                <w:bCs/>
                <w:sz w:val="20"/>
                <w:szCs w:val="20"/>
              </w:rPr>
              <w:t>663 906</w:t>
            </w:r>
          </w:p>
        </w:tc>
        <w:tc>
          <w:tcPr>
            <w:tcW w:w="708" w:type="dxa"/>
            <w:shd w:val="clear" w:color="auto" w:fill="FFFFFF" w:themeFill="background1"/>
            <w:vAlign w:val="center"/>
          </w:tcPr>
          <w:p w14:paraId="25FA4594" w14:textId="77777777" w:rsidR="005B5171" w:rsidRPr="00054C3E" w:rsidRDefault="005B5171" w:rsidP="005B5171">
            <w:pPr>
              <w:spacing w:after="0" w:line="240" w:lineRule="auto"/>
              <w:jc w:val="center"/>
              <w:rPr>
                <w:rFonts w:ascii="Times New Roman" w:eastAsia="Times New Roman" w:hAnsi="Times New Roman" w:cs="Times New Roman"/>
                <w:bCs/>
                <w:sz w:val="20"/>
                <w:szCs w:val="20"/>
                <w:lang w:eastAsia="lv-LV"/>
              </w:rPr>
            </w:pPr>
            <w:r w:rsidRPr="00054C3E">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0D4C05CD" w14:textId="77777777" w:rsidR="005B5171" w:rsidRPr="00054C3E" w:rsidRDefault="005B5171" w:rsidP="005B5171">
            <w:pPr>
              <w:spacing w:after="0" w:line="240" w:lineRule="auto"/>
              <w:jc w:val="center"/>
              <w:rPr>
                <w:rFonts w:ascii="Times New Roman" w:eastAsia="Times New Roman" w:hAnsi="Times New Roman" w:cs="Times New Roman"/>
                <w:bCs/>
                <w:sz w:val="20"/>
                <w:szCs w:val="20"/>
                <w:lang w:eastAsia="lv-LV"/>
              </w:rPr>
            </w:pPr>
            <w:r w:rsidRPr="00054C3E">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8874471" w14:textId="77777777" w:rsidR="005B5171" w:rsidRPr="00054C3E" w:rsidRDefault="005B5171" w:rsidP="005B5171">
            <w:pPr>
              <w:spacing w:after="0" w:line="240" w:lineRule="auto"/>
              <w:jc w:val="center"/>
              <w:rPr>
                <w:rFonts w:ascii="Times New Roman" w:eastAsia="Times New Roman" w:hAnsi="Times New Roman" w:cs="Times New Roman"/>
                <w:bCs/>
                <w:sz w:val="20"/>
                <w:szCs w:val="20"/>
                <w:lang w:eastAsia="lv-LV"/>
              </w:rPr>
            </w:pPr>
            <w:r w:rsidRPr="00054C3E">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8597B04" w14:textId="77777777" w:rsidR="005B5171" w:rsidRPr="00054C3E" w:rsidRDefault="005B5171" w:rsidP="005B5171">
            <w:pPr>
              <w:spacing w:after="0" w:line="240" w:lineRule="auto"/>
              <w:jc w:val="center"/>
              <w:rPr>
                <w:rFonts w:ascii="Times New Roman" w:eastAsia="Times New Roman" w:hAnsi="Times New Roman" w:cs="Times New Roman"/>
                <w:bCs/>
                <w:sz w:val="20"/>
                <w:szCs w:val="20"/>
                <w:lang w:eastAsia="lv-LV"/>
              </w:rPr>
            </w:pPr>
            <w:r w:rsidRPr="00054C3E">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BD12BBB" w14:textId="77777777" w:rsidR="005B5171" w:rsidRPr="00054C3E" w:rsidRDefault="005B5171" w:rsidP="005B5171">
            <w:pPr>
              <w:spacing w:after="0" w:line="240" w:lineRule="auto"/>
              <w:jc w:val="center"/>
              <w:rPr>
                <w:rFonts w:ascii="Times New Roman" w:eastAsia="Times New Roman" w:hAnsi="Times New Roman" w:cs="Times New Roman"/>
                <w:bCs/>
                <w:sz w:val="20"/>
                <w:szCs w:val="20"/>
                <w:lang w:eastAsia="lv-LV"/>
              </w:rPr>
            </w:pPr>
            <w:r w:rsidRPr="00054C3E">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028798A0" w14:textId="199309C2" w:rsidR="005B5171" w:rsidRPr="00054C3E" w:rsidRDefault="004B2232" w:rsidP="005B5171">
            <w:pPr>
              <w:spacing w:after="0" w:line="240" w:lineRule="auto"/>
              <w:jc w:val="center"/>
              <w:rPr>
                <w:rFonts w:ascii="Times New Roman" w:eastAsia="Times New Roman" w:hAnsi="Times New Roman" w:cs="Times New Roman"/>
                <w:bCs/>
                <w:sz w:val="20"/>
                <w:szCs w:val="20"/>
                <w:lang w:eastAsia="lv-LV"/>
              </w:rPr>
            </w:pPr>
            <w:r w:rsidRPr="00054C3E">
              <w:rPr>
                <w:rFonts w:ascii="Times New Roman" w:eastAsia="Times New Roman" w:hAnsi="Times New Roman" w:cs="Times New Roman"/>
                <w:bCs/>
                <w:sz w:val="20"/>
                <w:szCs w:val="20"/>
                <w:lang w:eastAsia="lv-LV"/>
              </w:rPr>
              <w:t>25 369</w:t>
            </w:r>
          </w:p>
        </w:tc>
      </w:tr>
      <w:tr w:rsidR="008967B9" w14:paraId="4EAFB60E" w14:textId="77777777" w:rsidTr="008967B9">
        <w:trPr>
          <w:trHeight w:val="296"/>
          <w:jc w:val="center"/>
        </w:trPr>
        <w:tc>
          <w:tcPr>
            <w:tcW w:w="425" w:type="dxa"/>
            <w:shd w:val="clear" w:color="auto" w:fill="FBD4B4" w:themeFill="accent6" w:themeFillTint="66"/>
          </w:tcPr>
          <w:p w14:paraId="6B6DF89D" w14:textId="77777777" w:rsidR="005B5171" w:rsidRPr="00847710" w:rsidRDefault="005B5171" w:rsidP="005B5171">
            <w:pPr>
              <w:spacing w:after="0" w:line="240" w:lineRule="auto"/>
              <w:rPr>
                <w:rFonts w:ascii="Times New Roman" w:eastAsia="Times New Roman" w:hAnsi="Times New Roman" w:cs="Times New Roman"/>
                <w:sz w:val="20"/>
                <w:szCs w:val="20"/>
                <w:lang w:eastAsia="lv-LV"/>
              </w:rPr>
            </w:pPr>
          </w:p>
        </w:tc>
        <w:tc>
          <w:tcPr>
            <w:tcW w:w="1134" w:type="dxa"/>
            <w:shd w:val="clear" w:color="auto" w:fill="FBD4B4" w:themeFill="accent6" w:themeFillTint="66"/>
            <w:vAlign w:val="bottom"/>
          </w:tcPr>
          <w:p w14:paraId="74E7926C" w14:textId="77777777" w:rsidR="005B5171" w:rsidRPr="00847710" w:rsidRDefault="005B5171" w:rsidP="005B517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88" w:type="dxa"/>
            <w:shd w:val="clear" w:color="auto" w:fill="FBD4B4" w:themeFill="accent6" w:themeFillTint="66"/>
            <w:noWrap/>
            <w:vAlign w:val="bottom"/>
          </w:tcPr>
          <w:p w14:paraId="72E92EF2" w14:textId="77777777" w:rsidR="005B5171" w:rsidRPr="00847710" w:rsidRDefault="005B5171" w:rsidP="005B5171">
            <w:pPr>
              <w:spacing w:after="0" w:line="240" w:lineRule="auto"/>
              <w:jc w:val="center"/>
              <w:rPr>
                <w:rFonts w:ascii="Times New Roman" w:eastAsia="Times New Roman" w:hAnsi="Times New Roman" w:cs="Times New Roman"/>
                <w:sz w:val="20"/>
                <w:szCs w:val="20"/>
                <w:lang w:eastAsia="lv-LV"/>
              </w:rPr>
            </w:pPr>
          </w:p>
        </w:tc>
        <w:tc>
          <w:tcPr>
            <w:tcW w:w="850" w:type="dxa"/>
            <w:shd w:val="clear" w:color="auto" w:fill="FBD4B4" w:themeFill="accent6" w:themeFillTint="66"/>
            <w:vAlign w:val="center"/>
          </w:tcPr>
          <w:p w14:paraId="76BAE189" w14:textId="77777777" w:rsidR="005B5171" w:rsidRPr="00847710" w:rsidRDefault="005B5171" w:rsidP="005B5171">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7A6B4D10" w14:textId="77777777" w:rsidR="005B5171" w:rsidRPr="00847710" w:rsidRDefault="005B5171" w:rsidP="005B5171">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0178483E" w14:textId="77777777" w:rsidR="005B5171" w:rsidRPr="00847710" w:rsidRDefault="005B5171" w:rsidP="005B5171">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7E781583" w14:textId="77777777" w:rsidR="005B5171" w:rsidRPr="00847710" w:rsidRDefault="005B5171" w:rsidP="005B5171">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5FDE3C20" w14:textId="77777777" w:rsidR="005B5171" w:rsidRPr="00847710" w:rsidRDefault="005B5171" w:rsidP="005B5171">
            <w:pPr>
              <w:spacing w:after="0" w:line="240" w:lineRule="auto"/>
              <w:jc w:val="center"/>
              <w:rPr>
                <w:rFonts w:ascii="Times New Roman" w:hAnsi="Times New Roman" w:cs="Times New Roman"/>
                <w:sz w:val="20"/>
                <w:szCs w:val="20"/>
              </w:rPr>
            </w:pPr>
          </w:p>
        </w:tc>
        <w:tc>
          <w:tcPr>
            <w:tcW w:w="993" w:type="dxa"/>
            <w:shd w:val="clear" w:color="auto" w:fill="FBD4B4" w:themeFill="accent6" w:themeFillTint="66"/>
            <w:noWrap/>
            <w:vAlign w:val="center"/>
          </w:tcPr>
          <w:p w14:paraId="6BB56E77" w14:textId="4051E295" w:rsidR="005B5171" w:rsidRPr="00054C3E" w:rsidRDefault="005B5171" w:rsidP="005B5171">
            <w:pPr>
              <w:spacing w:after="0" w:line="240" w:lineRule="auto"/>
              <w:jc w:val="center"/>
              <w:rPr>
                <w:rFonts w:ascii="Times New Roman" w:eastAsia="Times New Roman" w:hAnsi="Times New Roman" w:cs="Times New Roman"/>
                <w:b/>
                <w:sz w:val="20"/>
                <w:szCs w:val="20"/>
                <w:lang w:eastAsia="lv-LV"/>
              </w:rPr>
            </w:pPr>
            <w:r w:rsidRPr="00054C3E">
              <w:rPr>
                <w:rFonts w:ascii="Times New Roman" w:hAnsi="Times New Roman"/>
                <w:b/>
                <w:bCs/>
                <w:sz w:val="20"/>
                <w:szCs w:val="20"/>
              </w:rPr>
              <w:t>663 906</w:t>
            </w:r>
          </w:p>
        </w:tc>
        <w:tc>
          <w:tcPr>
            <w:tcW w:w="708" w:type="dxa"/>
            <w:shd w:val="clear" w:color="auto" w:fill="FBD4B4" w:themeFill="accent6" w:themeFillTint="66"/>
            <w:vAlign w:val="center"/>
          </w:tcPr>
          <w:p w14:paraId="2A5BB914" w14:textId="77777777" w:rsidR="005B5171" w:rsidRPr="00054C3E" w:rsidRDefault="005B5171" w:rsidP="005B5171">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1BD7F2D5" w14:textId="77777777" w:rsidR="005B5171" w:rsidRPr="00054C3E" w:rsidRDefault="005B5171" w:rsidP="005B5171">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468BA28E" w14:textId="77777777" w:rsidR="005B5171" w:rsidRPr="00054C3E" w:rsidRDefault="005B5171" w:rsidP="005B5171">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75E7FEDE" w14:textId="77777777" w:rsidR="005B5171" w:rsidRPr="00054C3E" w:rsidRDefault="005B5171" w:rsidP="005B5171">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60299052" w14:textId="77777777" w:rsidR="005B5171" w:rsidRPr="00054C3E" w:rsidRDefault="005B5171" w:rsidP="005B5171">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noWrap/>
            <w:vAlign w:val="center"/>
          </w:tcPr>
          <w:p w14:paraId="3592756D" w14:textId="4DA63E4E" w:rsidR="005B5171" w:rsidRPr="00054C3E" w:rsidRDefault="004B2232" w:rsidP="005B5171">
            <w:pPr>
              <w:spacing w:after="0" w:line="240" w:lineRule="auto"/>
              <w:jc w:val="center"/>
              <w:rPr>
                <w:rFonts w:ascii="Times New Roman" w:eastAsia="Times New Roman" w:hAnsi="Times New Roman" w:cs="Times New Roman"/>
                <w:b/>
                <w:bCs/>
                <w:color w:val="FF0000"/>
                <w:sz w:val="20"/>
                <w:szCs w:val="20"/>
                <w:lang w:eastAsia="lv-LV"/>
              </w:rPr>
            </w:pPr>
            <w:r w:rsidRPr="00054C3E">
              <w:rPr>
                <w:rFonts w:ascii="Times New Roman" w:eastAsia="Times New Roman" w:hAnsi="Times New Roman" w:cs="Times New Roman"/>
                <w:b/>
                <w:bCs/>
                <w:sz w:val="20"/>
                <w:szCs w:val="20"/>
                <w:lang w:eastAsia="lv-LV"/>
              </w:rPr>
              <w:t>25 369</w:t>
            </w:r>
          </w:p>
        </w:tc>
      </w:tr>
    </w:tbl>
    <w:p w14:paraId="5A3EE4E5" w14:textId="77777777" w:rsidR="00C5644C" w:rsidRDefault="00C5644C" w:rsidP="00BD35B1">
      <w:pPr>
        <w:spacing w:after="120"/>
        <w:ind w:firstLine="720"/>
        <w:jc w:val="right"/>
        <w:rPr>
          <w:rFonts w:ascii="Times New Roman" w:hAnsi="Times New Roman" w:cs="Times New Roman"/>
          <w:sz w:val="24"/>
          <w:szCs w:val="24"/>
        </w:rPr>
        <w:sectPr w:rsidR="00C5644C" w:rsidSect="00333B64">
          <w:pgSz w:w="15840" w:h="12240" w:orient="landscape"/>
          <w:pgMar w:top="1701" w:right="1440" w:bottom="1440" w:left="1440" w:header="709" w:footer="709" w:gutter="0"/>
          <w:cols w:space="708"/>
          <w:docGrid w:linePitch="360"/>
        </w:sectPr>
      </w:pPr>
    </w:p>
    <w:p w14:paraId="6800F3BE" w14:textId="77777777" w:rsidR="00F1511A" w:rsidRDefault="00F1511A" w:rsidP="00E11AFF">
      <w:pPr>
        <w:spacing w:after="120"/>
        <w:ind w:firstLine="720"/>
        <w:jc w:val="right"/>
        <w:rPr>
          <w:rFonts w:ascii="Times New Roman" w:hAnsi="Times New Roman" w:cs="Times New Roman"/>
          <w:sz w:val="24"/>
          <w:szCs w:val="24"/>
        </w:rPr>
      </w:pPr>
    </w:p>
    <w:p w14:paraId="1EC3AD7B" w14:textId="2289C786" w:rsidR="00FB604A" w:rsidRPr="00E93259" w:rsidRDefault="005B5AFE" w:rsidP="00E93259">
      <w:pPr>
        <w:spacing w:after="120"/>
        <w:ind w:firstLine="720"/>
        <w:jc w:val="right"/>
        <w:rPr>
          <w:rFonts w:ascii="Times New Roman" w:hAnsi="Times New Roman" w:cs="Times New Roman"/>
          <w:sz w:val="24"/>
          <w:szCs w:val="24"/>
        </w:rPr>
      </w:pPr>
      <w:r>
        <w:rPr>
          <w:rFonts w:ascii="Times New Roman" w:hAnsi="Times New Roman" w:cs="Times New Roman"/>
          <w:sz w:val="24"/>
          <w:szCs w:val="24"/>
        </w:rPr>
        <w:t>6</w:t>
      </w:r>
      <w:r w:rsidR="008104BD">
        <w:rPr>
          <w:rFonts w:ascii="Times New Roman" w:hAnsi="Times New Roman" w:cs="Times New Roman"/>
          <w:sz w:val="24"/>
          <w:szCs w:val="24"/>
        </w:rPr>
        <w:t>9</w:t>
      </w:r>
      <w:r w:rsidR="00FB604A" w:rsidRPr="00B72424">
        <w:rPr>
          <w:rFonts w:ascii="Times New Roman" w:hAnsi="Times New Roman" w:cs="Times New Roman"/>
          <w:sz w:val="24"/>
          <w:szCs w:val="24"/>
        </w:rPr>
        <w:t>.tabula</w:t>
      </w:r>
    </w:p>
    <w:p w14:paraId="022A96FA" w14:textId="400891EF" w:rsidR="00FB604A" w:rsidRPr="00E93259" w:rsidRDefault="00FB604A" w:rsidP="00E93259">
      <w:pPr>
        <w:spacing w:after="120"/>
        <w:ind w:firstLine="720"/>
        <w:jc w:val="center"/>
        <w:rPr>
          <w:rFonts w:ascii="Times New Roman" w:hAnsi="Times New Roman" w:cs="Times New Roman"/>
          <w:b/>
          <w:bCs/>
          <w:sz w:val="24"/>
          <w:szCs w:val="24"/>
        </w:rPr>
      </w:pPr>
      <w:r w:rsidRPr="00E93259">
        <w:rPr>
          <w:rFonts w:ascii="Times New Roman" w:hAnsi="Times New Roman" w:cs="Times New Roman"/>
          <w:b/>
          <w:bCs/>
          <w:sz w:val="24"/>
          <w:szCs w:val="24"/>
        </w:rPr>
        <w:t>Vējbaku vakcinācijai nepieciešamais finansējums</w:t>
      </w:r>
    </w:p>
    <w:tbl>
      <w:tblPr>
        <w:tblStyle w:val="TableGrid"/>
        <w:tblW w:w="9164" w:type="dxa"/>
        <w:jc w:val="center"/>
        <w:tblLook w:val="04A0" w:firstRow="1" w:lastRow="0" w:firstColumn="1" w:lastColumn="0" w:noHBand="0" w:noVBand="1"/>
      </w:tblPr>
      <w:tblGrid>
        <w:gridCol w:w="1277"/>
        <w:gridCol w:w="1283"/>
        <w:gridCol w:w="1328"/>
        <w:gridCol w:w="1316"/>
        <w:gridCol w:w="1271"/>
        <w:gridCol w:w="1327"/>
        <w:gridCol w:w="1362"/>
      </w:tblGrid>
      <w:tr w:rsidR="00FB604A" w14:paraId="5AA214AF" w14:textId="77777777" w:rsidTr="00E93259">
        <w:trPr>
          <w:jc w:val="center"/>
        </w:trPr>
        <w:tc>
          <w:tcPr>
            <w:tcW w:w="1299" w:type="dxa"/>
            <w:shd w:val="clear" w:color="auto" w:fill="E36C0A" w:themeFill="accent6" w:themeFillShade="BF"/>
            <w:vAlign w:val="center"/>
          </w:tcPr>
          <w:p w14:paraId="5DE6477E" w14:textId="4F2DF82E" w:rsidR="00FB604A" w:rsidRPr="00E93259" w:rsidRDefault="00FB604A" w:rsidP="00E93259">
            <w:pPr>
              <w:jc w:val="center"/>
              <w:rPr>
                <w:rFonts w:ascii="Times New Roman" w:hAnsi="Times New Roman"/>
                <w:b/>
                <w:bCs/>
                <w:color w:val="000000" w:themeColor="text1"/>
              </w:rPr>
            </w:pPr>
            <w:r w:rsidRPr="00E93259">
              <w:rPr>
                <w:rFonts w:ascii="Times New Roman" w:hAnsi="Times New Roman"/>
                <w:b/>
                <w:bCs/>
                <w:color w:val="000000"/>
              </w:rPr>
              <w:t>Gads, kurā saņēmuši 1.devu</w:t>
            </w:r>
          </w:p>
        </w:tc>
        <w:tc>
          <w:tcPr>
            <w:tcW w:w="1300" w:type="dxa"/>
            <w:shd w:val="clear" w:color="auto" w:fill="E36C0A" w:themeFill="accent6" w:themeFillShade="BF"/>
            <w:vAlign w:val="center"/>
          </w:tcPr>
          <w:p w14:paraId="665183D7" w14:textId="53B5752C" w:rsidR="00FB604A" w:rsidRPr="00E93259" w:rsidRDefault="00FE5428" w:rsidP="00E93259">
            <w:pPr>
              <w:jc w:val="center"/>
              <w:rPr>
                <w:rFonts w:ascii="Times New Roman" w:hAnsi="Times New Roman"/>
                <w:b/>
                <w:bCs/>
                <w:color w:val="000000" w:themeColor="text1"/>
              </w:rPr>
            </w:pPr>
            <w:r w:rsidRPr="00E12849">
              <w:rPr>
                <w:rFonts w:ascii="Times New Roman" w:hAnsi="Times New Roman"/>
                <w:b/>
                <w:bCs/>
                <w:color w:val="000000"/>
              </w:rPr>
              <w:t>B</w:t>
            </w:r>
            <w:r w:rsidR="00FB604A" w:rsidRPr="00E93259">
              <w:rPr>
                <w:rFonts w:ascii="Times New Roman" w:hAnsi="Times New Roman"/>
                <w:b/>
                <w:bCs/>
                <w:color w:val="000000"/>
              </w:rPr>
              <w:t>ērnu vecums 2019.gadā</w:t>
            </w:r>
          </w:p>
        </w:tc>
        <w:tc>
          <w:tcPr>
            <w:tcW w:w="1300" w:type="dxa"/>
            <w:shd w:val="clear" w:color="auto" w:fill="E36C0A" w:themeFill="accent6" w:themeFillShade="BF"/>
            <w:vAlign w:val="center"/>
          </w:tcPr>
          <w:p w14:paraId="603BAB7E" w14:textId="43F0B76D" w:rsidR="00FB604A" w:rsidRPr="00E93259" w:rsidRDefault="00FB604A" w:rsidP="00E93259">
            <w:pPr>
              <w:jc w:val="center"/>
              <w:rPr>
                <w:rFonts w:ascii="Times New Roman" w:hAnsi="Times New Roman"/>
                <w:b/>
                <w:bCs/>
              </w:rPr>
            </w:pPr>
            <w:r w:rsidRPr="00E93259">
              <w:rPr>
                <w:rFonts w:ascii="Times New Roman" w:hAnsi="Times New Roman"/>
                <w:b/>
                <w:bCs/>
              </w:rPr>
              <w:t xml:space="preserve">Aprēķinātais vakcinējamo bērnu skaits (50% aptvere) </w:t>
            </w:r>
          </w:p>
        </w:tc>
        <w:tc>
          <w:tcPr>
            <w:tcW w:w="1300" w:type="dxa"/>
            <w:shd w:val="clear" w:color="auto" w:fill="E36C0A" w:themeFill="accent6" w:themeFillShade="BF"/>
            <w:vAlign w:val="center"/>
          </w:tcPr>
          <w:p w14:paraId="6C2ED930" w14:textId="0CDDBF8D" w:rsidR="00FB604A" w:rsidRPr="00E93259" w:rsidRDefault="00FB604A" w:rsidP="00E93259">
            <w:pPr>
              <w:jc w:val="center"/>
              <w:rPr>
                <w:rFonts w:ascii="Times New Roman" w:hAnsi="Times New Roman"/>
                <w:b/>
                <w:bCs/>
              </w:rPr>
            </w:pPr>
            <w:r w:rsidRPr="00E93259">
              <w:rPr>
                <w:rFonts w:ascii="Times New Roman" w:hAnsi="Times New Roman"/>
                <w:b/>
                <w:bCs/>
              </w:rPr>
              <w:t>Prognozētais daudzums (vakcīnas devās, šļirces gabalos)</w:t>
            </w:r>
          </w:p>
        </w:tc>
        <w:tc>
          <w:tcPr>
            <w:tcW w:w="1300" w:type="dxa"/>
            <w:shd w:val="clear" w:color="auto" w:fill="E36C0A" w:themeFill="accent6" w:themeFillShade="BF"/>
            <w:vAlign w:val="center"/>
          </w:tcPr>
          <w:p w14:paraId="5C4EED2A" w14:textId="454E3125" w:rsidR="00FB604A" w:rsidRPr="00E93259" w:rsidRDefault="00FB604A" w:rsidP="00E93259">
            <w:pPr>
              <w:jc w:val="center"/>
              <w:rPr>
                <w:rFonts w:ascii="Times New Roman" w:hAnsi="Times New Roman"/>
                <w:b/>
                <w:bCs/>
                <w:color w:val="000000" w:themeColor="text1"/>
              </w:rPr>
            </w:pPr>
            <w:r w:rsidRPr="00E93259">
              <w:rPr>
                <w:rFonts w:ascii="Times New Roman" w:hAnsi="Times New Roman"/>
                <w:b/>
                <w:bCs/>
                <w:color w:val="000000"/>
              </w:rPr>
              <w:t xml:space="preserve">1 vienības cena </w:t>
            </w:r>
            <w:r w:rsidRPr="00E93259">
              <w:rPr>
                <w:rFonts w:ascii="Times New Roman" w:hAnsi="Times New Roman"/>
                <w:b/>
                <w:bCs/>
                <w:i/>
                <w:iCs/>
                <w:color w:val="000000"/>
              </w:rPr>
              <w:t>euro</w:t>
            </w:r>
            <w:r w:rsidRPr="00E93259">
              <w:rPr>
                <w:rFonts w:ascii="Times New Roman" w:hAnsi="Times New Roman"/>
                <w:b/>
                <w:bCs/>
                <w:color w:val="000000"/>
              </w:rPr>
              <w:t xml:space="preserve"> (bez PVN)</w:t>
            </w:r>
          </w:p>
        </w:tc>
        <w:tc>
          <w:tcPr>
            <w:tcW w:w="1300" w:type="dxa"/>
            <w:shd w:val="clear" w:color="auto" w:fill="E36C0A" w:themeFill="accent6" w:themeFillShade="BF"/>
            <w:vAlign w:val="center"/>
          </w:tcPr>
          <w:p w14:paraId="5AED3F4B" w14:textId="03CD5F7F" w:rsidR="00FB604A" w:rsidRPr="00E24E0D" w:rsidRDefault="00FB604A" w:rsidP="00E93259">
            <w:pPr>
              <w:spacing w:after="120"/>
              <w:jc w:val="center"/>
              <w:rPr>
                <w:rFonts w:ascii="Times New Roman" w:hAnsi="Times New Roman"/>
                <w:b/>
                <w:bCs/>
                <w:i/>
                <w:iCs/>
              </w:rPr>
            </w:pPr>
            <w:r w:rsidRPr="00DE5AEF">
              <w:rPr>
                <w:rFonts w:ascii="Times New Roman" w:hAnsi="Times New Roman"/>
                <w:b/>
                <w:bCs/>
              </w:rPr>
              <w:t>Kopā nepieciešams no 2019.gada 1.aprīļa</w:t>
            </w:r>
            <w:r w:rsidRPr="00E24E0D">
              <w:rPr>
                <w:rFonts w:ascii="Times New Roman" w:hAnsi="Times New Roman"/>
                <w:b/>
                <w:bCs/>
              </w:rPr>
              <w:t xml:space="preserve"> ar 12% PVN </w:t>
            </w:r>
            <w:r w:rsidRPr="00E24E0D">
              <w:rPr>
                <w:rFonts w:ascii="Times New Roman" w:hAnsi="Times New Roman"/>
                <w:b/>
                <w:bCs/>
                <w:i/>
                <w:iCs/>
              </w:rPr>
              <w:t>euro</w:t>
            </w:r>
          </w:p>
        </w:tc>
        <w:tc>
          <w:tcPr>
            <w:tcW w:w="1365" w:type="dxa"/>
            <w:shd w:val="clear" w:color="auto" w:fill="E36C0A" w:themeFill="accent6" w:themeFillShade="BF"/>
            <w:vAlign w:val="center"/>
          </w:tcPr>
          <w:p w14:paraId="357B909F" w14:textId="66284420" w:rsidR="6494A521" w:rsidRPr="00E93259" w:rsidRDefault="3BD2E139" w:rsidP="00E93259">
            <w:pPr>
              <w:spacing w:after="120"/>
              <w:jc w:val="center"/>
              <w:rPr>
                <w:rFonts w:ascii="Times New Roman" w:hAnsi="Times New Roman"/>
                <w:b/>
                <w:bCs/>
                <w:i/>
                <w:iCs/>
              </w:rPr>
            </w:pPr>
            <w:r w:rsidRPr="00E93259">
              <w:rPr>
                <w:rFonts w:ascii="Times New Roman" w:hAnsi="Times New Roman"/>
                <w:b/>
                <w:bCs/>
              </w:rPr>
              <w:t xml:space="preserve">Kopā nepieciešams </w:t>
            </w:r>
            <w:r w:rsidR="00DE5AEF">
              <w:rPr>
                <w:rFonts w:ascii="Times New Roman" w:hAnsi="Times New Roman"/>
                <w:b/>
                <w:bCs/>
              </w:rPr>
              <w:t>2019.</w:t>
            </w:r>
            <w:r w:rsidR="03F31F4B" w:rsidRPr="00E93259">
              <w:rPr>
                <w:rFonts w:ascii="Times New Roman" w:hAnsi="Times New Roman"/>
                <w:b/>
                <w:bCs/>
              </w:rPr>
              <w:t>gadam</w:t>
            </w:r>
            <w:r w:rsidRPr="00E93259">
              <w:rPr>
                <w:rFonts w:ascii="Times New Roman" w:hAnsi="Times New Roman"/>
                <w:b/>
                <w:bCs/>
              </w:rPr>
              <w:t xml:space="preserve"> ar 12% PVN </w:t>
            </w:r>
            <w:r w:rsidRPr="00E93259">
              <w:rPr>
                <w:rFonts w:ascii="Times New Roman" w:hAnsi="Times New Roman"/>
                <w:b/>
                <w:bCs/>
                <w:i/>
                <w:iCs/>
              </w:rPr>
              <w:t>euro</w:t>
            </w:r>
          </w:p>
          <w:p w14:paraId="39271AA4" w14:textId="7C8BE457" w:rsidR="6494A521" w:rsidRPr="00E93259" w:rsidRDefault="6494A521" w:rsidP="00E93259">
            <w:pPr>
              <w:jc w:val="center"/>
              <w:rPr>
                <w:rFonts w:ascii="Times New Roman" w:hAnsi="Times New Roman"/>
                <w:b/>
                <w:bCs/>
              </w:rPr>
            </w:pPr>
          </w:p>
        </w:tc>
      </w:tr>
      <w:tr w:rsidR="00FB604A" w14:paraId="6D2346E9" w14:textId="77777777" w:rsidTr="00E93259">
        <w:trPr>
          <w:jc w:val="center"/>
        </w:trPr>
        <w:tc>
          <w:tcPr>
            <w:tcW w:w="1299" w:type="dxa"/>
            <w:vAlign w:val="center"/>
          </w:tcPr>
          <w:p w14:paraId="170061C2" w14:textId="77777777" w:rsidR="00FB604A" w:rsidRPr="00E93259" w:rsidRDefault="00FB604A" w:rsidP="00E93259">
            <w:pPr>
              <w:spacing w:after="120"/>
              <w:jc w:val="center"/>
              <w:rPr>
                <w:rFonts w:ascii="Times New Roman" w:hAnsi="Times New Roman"/>
              </w:rPr>
            </w:pPr>
          </w:p>
        </w:tc>
        <w:tc>
          <w:tcPr>
            <w:tcW w:w="1300" w:type="dxa"/>
            <w:vAlign w:val="center"/>
          </w:tcPr>
          <w:p w14:paraId="04B2FD56" w14:textId="77777777" w:rsidR="00FB604A" w:rsidRPr="00E93259" w:rsidRDefault="00FB604A" w:rsidP="00E93259">
            <w:pPr>
              <w:spacing w:after="120"/>
              <w:jc w:val="center"/>
              <w:rPr>
                <w:rFonts w:ascii="Times New Roman" w:hAnsi="Times New Roman"/>
              </w:rPr>
            </w:pPr>
          </w:p>
        </w:tc>
        <w:tc>
          <w:tcPr>
            <w:tcW w:w="1300" w:type="dxa"/>
            <w:vAlign w:val="center"/>
          </w:tcPr>
          <w:p w14:paraId="61AD8603" w14:textId="304CC9E6" w:rsidR="00FB604A" w:rsidRPr="00E93259" w:rsidRDefault="00FB604A" w:rsidP="00E93259">
            <w:pPr>
              <w:spacing w:after="120"/>
              <w:jc w:val="center"/>
              <w:rPr>
                <w:rFonts w:ascii="Times New Roman" w:hAnsi="Times New Roman"/>
              </w:rPr>
            </w:pPr>
            <w:r w:rsidRPr="00E93259">
              <w:rPr>
                <w:rFonts w:ascii="Times New Roman" w:hAnsi="Times New Roman"/>
                <w:b/>
                <w:bCs/>
              </w:rPr>
              <w:t>36 540</w:t>
            </w:r>
          </w:p>
        </w:tc>
        <w:tc>
          <w:tcPr>
            <w:tcW w:w="1300" w:type="dxa"/>
            <w:vAlign w:val="center"/>
          </w:tcPr>
          <w:p w14:paraId="58FAFCA7" w14:textId="1FCB8173" w:rsidR="00FB604A" w:rsidRPr="00E93259" w:rsidRDefault="00FB604A" w:rsidP="00E93259">
            <w:pPr>
              <w:spacing w:after="120"/>
              <w:jc w:val="center"/>
              <w:rPr>
                <w:rFonts w:ascii="Times New Roman" w:hAnsi="Times New Roman"/>
              </w:rPr>
            </w:pPr>
            <w:r w:rsidRPr="00E93259">
              <w:rPr>
                <w:rFonts w:ascii="Times New Roman" w:hAnsi="Times New Roman"/>
              </w:rPr>
              <w:t>36 540.16</w:t>
            </w:r>
          </w:p>
        </w:tc>
        <w:tc>
          <w:tcPr>
            <w:tcW w:w="1300" w:type="dxa"/>
            <w:vAlign w:val="center"/>
          </w:tcPr>
          <w:p w14:paraId="2FBB6B29" w14:textId="5D31E700" w:rsidR="00FB604A" w:rsidRPr="00E93259" w:rsidRDefault="00FB604A" w:rsidP="00E93259">
            <w:pPr>
              <w:spacing w:after="120"/>
              <w:jc w:val="center"/>
              <w:rPr>
                <w:rFonts w:ascii="Times New Roman" w:hAnsi="Times New Roman"/>
              </w:rPr>
            </w:pPr>
            <w:r w:rsidRPr="00E93259">
              <w:rPr>
                <w:rFonts w:ascii="Times New Roman" w:hAnsi="Times New Roman"/>
                <w:color w:val="000000"/>
              </w:rPr>
              <w:t>21.63</w:t>
            </w:r>
          </w:p>
        </w:tc>
        <w:tc>
          <w:tcPr>
            <w:tcW w:w="1300" w:type="dxa"/>
            <w:vAlign w:val="center"/>
          </w:tcPr>
          <w:p w14:paraId="440ACB3A" w14:textId="735CFDD6" w:rsidR="00FB604A" w:rsidRPr="00DE6B9A" w:rsidRDefault="7A0481CF" w:rsidP="00E93259">
            <w:pPr>
              <w:spacing w:after="120" w:line="276" w:lineRule="auto"/>
              <w:jc w:val="center"/>
              <w:rPr>
                <w:rFonts w:ascii="Times New Roman" w:hAnsi="Times New Roman"/>
                <w:b/>
                <w:bCs/>
              </w:rPr>
            </w:pPr>
            <w:r w:rsidRPr="00E24E0D">
              <w:rPr>
                <w:rFonts w:ascii="Times New Roman" w:hAnsi="Times New Roman"/>
                <w:b/>
                <w:bCs/>
              </w:rPr>
              <w:t>663 90</w:t>
            </w:r>
            <w:r w:rsidR="2E839652" w:rsidRPr="00E24E0D">
              <w:rPr>
                <w:rFonts w:ascii="Times New Roman" w:hAnsi="Times New Roman"/>
                <w:b/>
                <w:bCs/>
              </w:rPr>
              <w:t>6</w:t>
            </w:r>
          </w:p>
        </w:tc>
        <w:tc>
          <w:tcPr>
            <w:tcW w:w="1365" w:type="dxa"/>
            <w:vAlign w:val="center"/>
          </w:tcPr>
          <w:p w14:paraId="5F4AF415" w14:textId="3928F786" w:rsidR="6494A521" w:rsidRPr="00E93259" w:rsidRDefault="7A0481CF" w:rsidP="00E93259">
            <w:pPr>
              <w:jc w:val="center"/>
              <w:rPr>
                <w:rFonts w:ascii="Times New Roman" w:hAnsi="Times New Roman"/>
                <w:b/>
                <w:bCs/>
              </w:rPr>
            </w:pPr>
            <w:r w:rsidRPr="00E93259">
              <w:rPr>
                <w:rFonts w:ascii="Times New Roman" w:hAnsi="Times New Roman"/>
                <w:b/>
                <w:bCs/>
              </w:rPr>
              <w:t>885 208</w:t>
            </w:r>
          </w:p>
        </w:tc>
      </w:tr>
      <w:tr w:rsidR="00FB604A" w14:paraId="541E7CC7" w14:textId="77777777" w:rsidTr="00E93259">
        <w:trPr>
          <w:jc w:val="center"/>
        </w:trPr>
        <w:tc>
          <w:tcPr>
            <w:tcW w:w="1299" w:type="dxa"/>
            <w:vAlign w:val="center"/>
          </w:tcPr>
          <w:p w14:paraId="7D64467C" w14:textId="7059ED9E" w:rsidR="00FB604A" w:rsidRPr="00E93259" w:rsidRDefault="00FB604A" w:rsidP="00E93259">
            <w:pPr>
              <w:spacing w:after="120"/>
              <w:jc w:val="center"/>
              <w:rPr>
                <w:rFonts w:ascii="Times New Roman" w:hAnsi="Times New Roman"/>
              </w:rPr>
            </w:pPr>
            <w:r w:rsidRPr="00E93259">
              <w:rPr>
                <w:rFonts w:ascii="Times New Roman" w:hAnsi="Times New Roman"/>
              </w:rPr>
              <w:t>2008</w:t>
            </w:r>
          </w:p>
        </w:tc>
        <w:tc>
          <w:tcPr>
            <w:tcW w:w="1300" w:type="dxa"/>
            <w:vAlign w:val="center"/>
          </w:tcPr>
          <w:p w14:paraId="0AF10E58" w14:textId="2A738C50" w:rsidR="00FB604A" w:rsidRPr="00E93259" w:rsidRDefault="00FB604A" w:rsidP="00E93259">
            <w:pPr>
              <w:spacing w:after="120"/>
              <w:jc w:val="center"/>
              <w:rPr>
                <w:rFonts w:ascii="Times New Roman" w:hAnsi="Times New Roman"/>
              </w:rPr>
            </w:pPr>
            <w:r w:rsidRPr="00E93259">
              <w:rPr>
                <w:rFonts w:ascii="Times New Roman" w:hAnsi="Times New Roman"/>
              </w:rPr>
              <w:t>12 gadi</w:t>
            </w:r>
          </w:p>
        </w:tc>
        <w:tc>
          <w:tcPr>
            <w:tcW w:w="1300" w:type="dxa"/>
            <w:vAlign w:val="center"/>
          </w:tcPr>
          <w:p w14:paraId="5CBFECDB" w14:textId="0CEA51E7" w:rsidR="00FB604A" w:rsidRPr="00E93259" w:rsidRDefault="00FB604A" w:rsidP="00E93259">
            <w:pPr>
              <w:spacing w:after="120"/>
              <w:jc w:val="center"/>
              <w:rPr>
                <w:rFonts w:ascii="Times New Roman" w:hAnsi="Times New Roman"/>
              </w:rPr>
            </w:pPr>
            <w:r w:rsidRPr="00E93259">
              <w:rPr>
                <w:rFonts w:ascii="Times New Roman" w:hAnsi="Times New Roman"/>
              </w:rPr>
              <w:t>4 157</w:t>
            </w:r>
          </w:p>
        </w:tc>
        <w:tc>
          <w:tcPr>
            <w:tcW w:w="1300" w:type="dxa"/>
            <w:vAlign w:val="center"/>
          </w:tcPr>
          <w:p w14:paraId="49EE71D0" w14:textId="77777777" w:rsidR="00FB604A" w:rsidRPr="00E93259" w:rsidRDefault="00FB604A" w:rsidP="00E93259">
            <w:pPr>
              <w:spacing w:after="120"/>
              <w:jc w:val="center"/>
              <w:rPr>
                <w:rFonts w:ascii="Times New Roman" w:hAnsi="Times New Roman"/>
              </w:rPr>
            </w:pPr>
          </w:p>
        </w:tc>
        <w:tc>
          <w:tcPr>
            <w:tcW w:w="1300" w:type="dxa"/>
            <w:vAlign w:val="center"/>
          </w:tcPr>
          <w:p w14:paraId="5B9113C0" w14:textId="77777777" w:rsidR="00FB604A" w:rsidRPr="00E93259" w:rsidRDefault="00FB604A" w:rsidP="00E93259">
            <w:pPr>
              <w:spacing w:after="120"/>
              <w:jc w:val="center"/>
              <w:rPr>
                <w:rFonts w:ascii="Times New Roman" w:hAnsi="Times New Roman"/>
              </w:rPr>
            </w:pPr>
          </w:p>
        </w:tc>
        <w:tc>
          <w:tcPr>
            <w:tcW w:w="1300" w:type="dxa"/>
            <w:vAlign w:val="center"/>
          </w:tcPr>
          <w:p w14:paraId="67AF88C3" w14:textId="77777777" w:rsidR="00FB604A" w:rsidRPr="00E93259" w:rsidRDefault="00FB604A" w:rsidP="00E93259">
            <w:pPr>
              <w:spacing w:after="120"/>
              <w:jc w:val="center"/>
              <w:rPr>
                <w:rFonts w:ascii="Times New Roman" w:hAnsi="Times New Roman"/>
              </w:rPr>
            </w:pPr>
          </w:p>
        </w:tc>
        <w:tc>
          <w:tcPr>
            <w:tcW w:w="1365" w:type="dxa"/>
            <w:vAlign w:val="center"/>
          </w:tcPr>
          <w:p w14:paraId="5E31578B" w14:textId="66B9BBA4" w:rsidR="6494A521" w:rsidRPr="00E93259" w:rsidRDefault="6494A521" w:rsidP="00E93259">
            <w:pPr>
              <w:jc w:val="center"/>
              <w:rPr>
                <w:rFonts w:ascii="Times New Roman" w:hAnsi="Times New Roman"/>
              </w:rPr>
            </w:pPr>
          </w:p>
        </w:tc>
      </w:tr>
      <w:tr w:rsidR="00FB604A" w14:paraId="0149436C" w14:textId="77777777" w:rsidTr="00E93259">
        <w:trPr>
          <w:jc w:val="center"/>
        </w:trPr>
        <w:tc>
          <w:tcPr>
            <w:tcW w:w="1299" w:type="dxa"/>
            <w:vAlign w:val="center"/>
          </w:tcPr>
          <w:p w14:paraId="30A5B343" w14:textId="44FDB78A" w:rsidR="00FB604A" w:rsidRPr="00E93259" w:rsidRDefault="00FB604A" w:rsidP="00E93259">
            <w:pPr>
              <w:spacing w:after="120"/>
              <w:jc w:val="center"/>
              <w:rPr>
                <w:rFonts w:ascii="Times New Roman" w:hAnsi="Times New Roman"/>
              </w:rPr>
            </w:pPr>
            <w:r w:rsidRPr="00E93259">
              <w:rPr>
                <w:rFonts w:ascii="Times New Roman" w:hAnsi="Times New Roman"/>
              </w:rPr>
              <w:t>2009</w:t>
            </w:r>
          </w:p>
        </w:tc>
        <w:tc>
          <w:tcPr>
            <w:tcW w:w="1300" w:type="dxa"/>
            <w:vAlign w:val="center"/>
          </w:tcPr>
          <w:p w14:paraId="5FDAEA6E" w14:textId="2DDA917C" w:rsidR="00FB604A" w:rsidRPr="00E93259" w:rsidRDefault="00FB604A" w:rsidP="00E93259">
            <w:pPr>
              <w:spacing w:after="120"/>
              <w:jc w:val="center"/>
              <w:rPr>
                <w:rFonts w:ascii="Times New Roman" w:hAnsi="Times New Roman"/>
              </w:rPr>
            </w:pPr>
            <w:r w:rsidRPr="00E93259">
              <w:rPr>
                <w:rFonts w:ascii="Times New Roman" w:hAnsi="Times New Roman"/>
              </w:rPr>
              <w:t>11 gadi</w:t>
            </w:r>
          </w:p>
        </w:tc>
        <w:tc>
          <w:tcPr>
            <w:tcW w:w="1300" w:type="dxa"/>
            <w:vAlign w:val="center"/>
          </w:tcPr>
          <w:p w14:paraId="6C6056AC" w14:textId="1454BA20" w:rsidR="00FB604A" w:rsidRPr="00E93259" w:rsidRDefault="00FB604A" w:rsidP="00E93259">
            <w:pPr>
              <w:spacing w:after="120"/>
              <w:jc w:val="center"/>
              <w:rPr>
                <w:rFonts w:ascii="Times New Roman" w:hAnsi="Times New Roman"/>
              </w:rPr>
            </w:pPr>
            <w:r w:rsidRPr="00E93259">
              <w:rPr>
                <w:rFonts w:ascii="Times New Roman" w:hAnsi="Times New Roman"/>
              </w:rPr>
              <w:t>5 824</w:t>
            </w:r>
          </w:p>
        </w:tc>
        <w:tc>
          <w:tcPr>
            <w:tcW w:w="1300" w:type="dxa"/>
            <w:vAlign w:val="center"/>
          </w:tcPr>
          <w:p w14:paraId="46EA0716" w14:textId="77777777" w:rsidR="00FB604A" w:rsidRPr="00E93259" w:rsidRDefault="00FB604A" w:rsidP="00E93259">
            <w:pPr>
              <w:spacing w:after="120"/>
              <w:jc w:val="center"/>
              <w:rPr>
                <w:rFonts w:ascii="Times New Roman" w:hAnsi="Times New Roman"/>
              </w:rPr>
            </w:pPr>
          </w:p>
        </w:tc>
        <w:tc>
          <w:tcPr>
            <w:tcW w:w="1300" w:type="dxa"/>
            <w:vAlign w:val="center"/>
          </w:tcPr>
          <w:p w14:paraId="1B1EA18C" w14:textId="77777777" w:rsidR="00FB604A" w:rsidRPr="00E93259" w:rsidRDefault="00FB604A" w:rsidP="00E93259">
            <w:pPr>
              <w:spacing w:after="120"/>
              <w:jc w:val="center"/>
              <w:rPr>
                <w:rFonts w:ascii="Times New Roman" w:hAnsi="Times New Roman"/>
              </w:rPr>
            </w:pPr>
          </w:p>
        </w:tc>
        <w:tc>
          <w:tcPr>
            <w:tcW w:w="1300" w:type="dxa"/>
            <w:vAlign w:val="center"/>
          </w:tcPr>
          <w:p w14:paraId="01284770" w14:textId="77777777" w:rsidR="00FB604A" w:rsidRPr="00E93259" w:rsidRDefault="00FB604A" w:rsidP="00E93259">
            <w:pPr>
              <w:spacing w:after="120"/>
              <w:jc w:val="center"/>
              <w:rPr>
                <w:rFonts w:ascii="Times New Roman" w:hAnsi="Times New Roman"/>
              </w:rPr>
            </w:pPr>
          </w:p>
        </w:tc>
        <w:tc>
          <w:tcPr>
            <w:tcW w:w="1365" w:type="dxa"/>
            <w:vAlign w:val="center"/>
          </w:tcPr>
          <w:p w14:paraId="72072CF8" w14:textId="24F3BF04" w:rsidR="6494A521" w:rsidRPr="00E93259" w:rsidRDefault="6494A521" w:rsidP="00E93259">
            <w:pPr>
              <w:jc w:val="center"/>
              <w:rPr>
                <w:rFonts w:ascii="Times New Roman" w:hAnsi="Times New Roman"/>
              </w:rPr>
            </w:pPr>
          </w:p>
        </w:tc>
      </w:tr>
      <w:tr w:rsidR="00FB604A" w14:paraId="3198773D" w14:textId="77777777" w:rsidTr="00E93259">
        <w:trPr>
          <w:jc w:val="center"/>
        </w:trPr>
        <w:tc>
          <w:tcPr>
            <w:tcW w:w="1299" w:type="dxa"/>
            <w:vAlign w:val="center"/>
          </w:tcPr>
          <w:p w14:paraId="72AC2E65" w14:textId="54770DC3" w:rsidR="00FB604A" w:rsidRPr="00E93259" w:rsidRDefault="00FB604A" w:rsidP="00E93259">
            <w:pPr>
              <w:spacing w:after="120"/>
              <w:jc w:val="center"/>
              <w:rPr>
                <w:rFonts w:ascii="Times New Roman" w:hAnsi="Times New Roman"/>
              </w:rPr>
            </w:pPr>
            <w:r w:rsidRPr="00E93259">
              <w:rPr>
                <w:rFonts w:ascii="Times New Roman" w:hAnsi="Times New Roman"/>
              </w:rPr>
              <w:t>2010</w:t>
            </w:r>
          </w:p>
        </w:tc>
        <w:tc>
          <w:tcPr>
            <w:tcW w:w="1300" w:type="dxa"/>
            <w:vAlign w:val="center"/>
          </w:tcPr>
          <w:p w14:paraId="527CCBD1" w14:textId="350C1345" w:rsidR="00FB604A" w:rsidRPr="00E93259" w:rsidRDefault="00FB604A" w:rsidP="00E93259">
            <w:pPr>
              <w:spacing w:after="120"/>
              <w:jc w:val="center"/>
              <w:rPr>
                <w:rFonts w:ascii="Times New Roman" w:hAnsi="Times New Roman"/>
              </w:rPr>
            </w:pPr>
            <w:r w:rsidRPr="00E93259">
              <w:rPr>
                <w:rFonts w:ascii="Times New Roman" w:hAnsi="Times New Roman"/>
              </w:rPr>
              <w:t>10 gadi</w:t>
            </w:r>
          </w:p>
        </w:tc>
        <w:tc>
          <w:tcPr>
            <w:tcW w:w="1300" w:type="dxa"/>
            <w:vAlign w:val="center"/>
          </w:tcPr>
          <w:p w14:paraId="18A3EA78" w14:textId="117521BD" w:rsidR="00FB604A" w:rsidRPr="00E93259" w:rsidRDefault="00FB604A" w:rsidP="00E93259">
            <w:pPr>
              <w:spacing w:after="120"/>
              <w:jc w:val="center"/>
              <w:rPr>
                <w:rFonts w:ascii="Times New Roman" w:hAnsi="Times New Roman"/>
              </w:rPr>
            </w:pPr>
            <w:r w:rsidRPr="00E93259">
              <w:rPr>
                <w:rFonts w:ascii="Times New Roman" w:hAnsi="Times New Roman"/>
              </w:rPr>
              <w:t>7 426</w:t>
            </w:r>
          </w:p>
        </w:tc>
        <w:tc>
          <w:tcPr>
            <w:tcW w:w="1300" w:type="dxa"/>
            <w:vAlign w:val="center"/>
          </w:tcPr>
          <w:p w14:paraId="6366B364" w14:textId="77777777" w:rsidR="00FB604A" w:rsidRPr="00E93259" w:rsidRDefault="00FB604A" w:rsidP="00E93259">
            <w:pPr>
              <w:spacing w:after="120"/>
              <w:jc w:val="center"/>
              <w:rPr>
                <w:rFonts w:ascii="Times New Roman" w:hAnsi="Times New Roman"/>
              </w:rPr>
            </w:pPr>
          </w:p>
        </w:tc>
        <w:tc>
          <w:tcPr>
            <w:tcW w:w="1300" w:type="dxa"/>
            <w:vAlign w:val="center"/>
          </w:tcPr>
          <w:p w14:paraId="75FCED33" w14:textId="77777777" w:rsidR="00FB604A" w:rsidRPr="00E93259" w:rsidRDefault="00FB604A" w:rsidP="00E93259">
            <w:pPr>
              <w:spacing w:after="120"/>
              <w:jc w:val="center"/>
              <w:rPr>
                <w:rFonts w:ascii="Times New Roman" w:hAnsi="Times New Roman"/>
              </w:rPr>
            </w:pPr>
          </w:p>
        </w:tc>
        <w:tc>
          <w:tcPr>
            <w:tcW w:w="1300" w:type="dxa"/>
            <w:vAlign w:val="center"/>
          </w:tcPr>
          <w:p w14:paraId="0324B09F" w14:textId="77777777" w:rsidR="00FB604A" w:rsidRPr="00E93259" w:rsidRDefault="00FB604A" w:rsidP="00E93259">
            <w:pPr>
              <w:spacing w:after="120"/>
              <w:jc w:val="center"/>
              <w:rPr>
                <w:rFonts w:ascii="Times New Roman" w:hAnsi="Times New Roman"/>
              </w:rPr>
            </w:pPr>
          </w:p>
        </w:tc>
        <w:tc>
          <w:tcPr>
            <w:tcW w:w="1365" w:type="dxa"/>
            <w:vAlign w:val="center"/>
          </w:tcPr>
          <w:p w14:paraId="0B4B1ADF" w14:textId="07D043C1" w:rsidR="6494A521" w:rsidRPr="00E93259" w:rsidRDefault="6494A521" w:rsidP="00E93259">
            <w:pPr>
              <w:jc w:val="center"/>
              <w:rPr>
                <w:rFonts w:ascii="Times New Roman" w:hAnsi="Times New Roman"/>
              </w:rPr>
            </w:pPr>
          </w:p>
        </w:tc>
      </w:tr>
      <w:tr w:rsidR="00FB604A" w14:paraId="31B214A2" w14:textId="77777777" w:rsidTr="00E93259">
        <w:trPr>
          <w:jc w:val="center"/>
        </w:trPr>
        <w:tc>
          <w:tcPr>
            <w:tcW w:w="1299" w:type="dxa"/>
            <w:vAlign w:val="center"/>
          </w:tcPr>
          <w:p w14:paraId="412330D6" w14:textId="7657C981" w:rsidR="00FB604A" w:rsidRPr="00E93259" w:rsidRDefault="00FB604A" w:rsidP="00E93259">
            <w:pPr>
              <w:spacing w:after="120"/>
              <w:jc w:val="center"/>
              <w:rPr>
                <w:rFonts w:ascii="Times New Roman" w:hAnsi="Times New Roman"/>
              </w:rPr>
            </w:pPr>
            <w:r w:rsidRPr="00E93259">
              <w:rPr>
                <w:rFonts w:ascii="Times New Roman" w:hAnsi="Times New Roman"/>
              </w:rPr>
              <w:t>2011</w:t>
            </w:r>
          </w:p>
        </w:tc>
        <w:tc>
          <w:tcPr>
            <w:tcW w:w="1300" w:type="dxa"/>
            <w:vAlign w:val="center"/>
          </w:tcPr>
          <w:p w14:paraId="7E154BC5" w14:textId="2B4C1403" w:rsidR="00FB604A" w:rsidRPr="00E93259" w:rsidRDefault="00FB604A" w:rsidP="00E93259">
            <w:pPr>
              <w:spacing w:after="120"/>
              <w:jc w:val="center"/>
              <w:rPr>
                <w:rFonts w:ascii="Times New Roman" w:hAnsi="Times New Roman"/>
              </w:rPr>
            </w:pPr>
            <w:r w:rsidRPr="00E93259">
              <w:rPr>
                <w:rFonts w:ascii="Times New Roman" w:hAnsi="Times New Roman"/>
              </w:rPr>
              <w:t>9 gadi</w:t>
            </w:r>
          </w:p>
        </w:tc>
        <w:tc>
          <w:tcPr>
            <w:tcW w:w="1300" w:type="dxa"/>
            <w:vAlign w:val="center"/>
          </w:tcPr>
          <w:p w14:paraId="1208B017" w14:textId="559C0768" w:rsidR="00FB604A" w:rsidRPr="00E93259" w:rsidRDefault="00FB604A" w:rsidP="00E93259">
            <w:pPr>
              <w:spacing w:after="120"/>
              <w:jc w:val="center"/>
              <w:rPr>
                <w:rFonts w:ascii="Times New Roman" w:hAnsi="Times New Roman"/>
              </w:rPr>
            </w:pPr>
            <w:r w:rsidRPr="00E93259">
              <w:rPr>
                <w:rFonts w:ascii="Times New Roman" w:hAnsi="Times New Roman"/>
              </w:rPr>
              <w:t>7 035</w:t>
            </w:r>
          </w:p>
        </w:tc>
        <w:tc>
          <w:tcPr>
            <w:tcW w:w="1300" w:type="dxa"/>
            <w:vAlign w:val="center"/>
          </w:tcPr>
          <w:p w14:paraId="72582F01" w14:textId="77777777" w:rsidR="00FB604A" w:rsidRPr="00E93259" w:rsidRDefault="00FB604A" w:rsidP="00E93259">
            <w:pPr>
              <w:spacing w:after="120"/>
              <w:jc w:val="center"/>
              <w:rPr>
                <w:rFonts w:ascii="Times New Roman" w:hAnsi="Times New Roman"/>
              </w:rPr>
            </w:pPr>
          </w:p>
        </w:tc>
        <w:tc>
          <w:tcPr>
            <w:tcW w:w="1300" w:type="dxa"/>
            <w:vAlign w:val="center"/>
          </w:tcPr>
          <w:p w14:paraId="3C103299" w14:textId="77777777" w:rsidR="00FB604A" w:rsidRPr="00E93259" w:rsidRDefault="00FB604A" w:rsidP="00E93259">
            <w:pPr>
              <w:spacing w:after="120"/>
              <w:jc w:val="center"/>
              <w:rPr>
                <w:rFonts w:ascii="Times New Roman" w:hAnsi="Times New Roman"/>
              </w:rPr>
            </w:pPr>
          </w:p>
        </w:tc>
        <w:tc>
          <w:tcPr>
            <w:tcW w:w="1300" w:type="dxa"/>
            <w:vAlign w:val="center"/>
          </w:tcPr>
          <w:p w14:paraId="5471ED86" w14:textId="77777777" w:rsidR="00FB604A" w:rsidRPr="00E93259" w:rsidRDefault="00FB604A" w:rsidP="00E93259">
            <w:pPr>
              <w:spacing w:after="120"/>
              <w:jc w:val="center"/>
              <w:rPr>
                <w:rFonts w:ascii="Times New Roman" w:hAnsi="Times New Roman"/>
              </w:rPr>
            </w:pPr>
          </w:p>
        </w:tc>
        <w:tc>
          <w:tcPr>
            <w:tcW w:w="1365" w:type="dxa"/>
            <w:vAlign w:val="center"/>
          </w:tcPr>
          <w:p w14:paraId="0728834E" w14:textId="3D49491A" w:rsidR="6494A521" w:rsidRPr="00E93259" w:rsidRDefault="6494A521" w:rsidP="00E93259">
            <w:pPr>
              <w:jc w:val="center"/>
              <w:rPr>
                <w:rFonts w:ascii="Times New Roman" w:hAnsi="Times New Roman"/>
              </w:rPr>
            </w:pPr>
          </w:p>
        </w:tc>
      </w:tr>
      <w:tr w:rsidR="00FB604A" w14:paraId="3D140BDC" w14:textId="77777777" w:rsidTr="00E93259">
        <w:trPr>
          <w:jc w:val="center"/>
        </w:trPr>
        <w:tc>
          <w:tcPr>
            <w:tcW w:w="1299" w:type="dxa"/>
            <w:vAlign w:val="center"/>
          </w:tcPr>
          <w:p w14:paraId="17CE545C" w14:textId="20DA47A3" w:rsidR="00FB604A" w:rsidRPr="00E93259" w:rsidRDefault="00FB604A" w:rsidP="00E93259">
            <w:pPr>
              <w:spacing w:after="120"/>
              <w:jc w:val="center"/>
              <w:rPr>
                <w:rFonts w:ascii="Times New Roman" w:hAnsi="Times New Roman"/>
              </w:rPr>
            </w:pPr>
            <w:r w:rsidRPr="00E93259">
              <w:rPr>
                <w:rFonts w:ascii="Times New Roman" w:hAnsi="Times New Roman"/>
              </w:rPr>
              <w:t>2012</w:t>
            </w:r>
          </w:p>
        </w:tc>
        <w:tc>
          <w:tcPr>
            <w:tcW w:w="1300" w:type="dxa"/>
            <w:vAlign w:val="center"/>
          </w:tcPr>
          <w:p w14:paraId="6187082A" w14:textId="20A877AE" w:rsidR="00FB604A" w:rsidRPr="00E93259" w:rsidRDefault="00FB604A" w:rsidP="00E93259">
            <w:pPr>
              <w:spacing w:after="120"/>
              <w:jc w:val="center"/>
              <w:rPr>
                <w:rFonts w:ascii="Times New Roman" w:hAnsi="Times New Roman"/>
              </w:rPr>
            </w:pPr>
            <w:r w:rsidRPr="00E93259">
              <w:rPr>
                <w:rFonts w:ascii="Times New Roman" w:hAnsi="Times New Roman"/>
              </w:rPr>
              <w:t>8 gadi</w:t>
            </w:r>
          </w:p>
        </w:tc>
        <w:tc>
          <w:tcPr>
            <w:tcW w:w="1300" w:type="dxa"/>
            <w:vAlign w:val="center"/>
          </w:tcPr>
          <w:p w14:paraId="14511CAF" w14:textId="5DD50003" w:rsidR="00FB604A" w:rsidRPr="00E93259" w:rsidRDefault="00FB604A" w:rsidP="00E93259">
            <w:pPr>
              <w:spacing w:after="120"/>
              <w:jc w:val="center"/>
              <w:rPr>
                <w:rFonts w:ascii="Times New Roman" w:hAnsi="Times New Roman"/>
              </w:rPr>
            </w:pPr>
            <w:r w:rsidRPr="00E93259">
              <w:rPr>
                <w:rFonts w:ascii="Times New Roman" w:hAnsi="Times New Roman"/>
              </w:rPr>
              <w:t>5 960</w:t>
            </w:r>
          </w:p>
        </w:tc>
        <w:tc>
          <w:tcPr>
            <w:tcW w:w="1300" w:type="dxa"/>
            <w:vAlign w:val="center"/>
          </w:tcPr>
          <w:p w14:paraId="06C62EDC" w14:textId="77777777" w:rsidR="00FB604A" w:rsidRPr="00E93259" w:rsidRDefault="00FB604A" w:rsidP="00E93259">
            <w:pPr>
              <w:spacing w:after="120"/>
              <w:jc w:val="center"/>
              <w:rPr>
                <w:rFonts w:ascii="Times New Roman" w:hAnsi="Times New Roman"/>
              </w:rPr>
            </w:pPr>
          </w:p>
        </w:tc>
        <w:tc>
          <w:tcPr>
            <w:tcW w:w="1300" w:type="dxa"/>
            <w:vAlign w:val="center"/>
          </w:tcPr>
          <w:p w14:paraId="7C0053C2" w14:textId="77777777" w:rsidR="00FB604A" w:rsidRPr="00E93259" w:rsidRDefault="00FB604A" w:rsidP="00E93259">
            <w:pPr>
              <w:spacing w:after="120"/>
              <w:jc w:val="center"/>
              <w:rPr>
                <w:rFonts w:ascii="Times New Roman" w:hAnsi="Times New Roman"/>
              </w:rPr>
            </w:pPr>
          </w:p>
        </w:tc>
        <w:tc>
          <w:tcPr>
            <w:tcW w:w="1300" w:type="dxa"/>
            <w:vAlign w:val="center"/>
          </w:tcPr>
          <w:p w14:paraId="339A2F44" w14:textId="77777777" w:rsidR="00FB604A" w:rsidRPr="00E93259" w:rsidRDefault="00FB604A" w:rsidP="00E93259">
            <w:pPr>
              <w:spacing w:after="120"/>
              <w:jc w:val="center"/>
              <w:rPr>
                <w:rFonts w:ascii="Times New Roman" w:hAnsi="Times New Roman"/>
              </w:rPr>
            </w:pPr>
          </w:p>
        </w:tc>
        <w:tc>
          <w:tcPr>
            <w:tcW w:w="1365" w:type="dxa"/>
            <w:vAlign w:val="center"/>
          </w:tcPr>
          <w:p w14:paraId="60116AAF" w14:textId="5FD5EB15" w:rsidR="6494A521" w:rsidRPr="00E93259" w:rsidRDefault="6494A521" w:rsidP="00E93259">
            <w:pPr>
              <w:jc w:val="center"/>
              <w:rPr>
                <w:rFonts w:ascii="Times New Roman" w:hAnsi="Times New Roman"/>
              </w:rPr>
            </w:pPr>
          </w:p>
        </w:tc>
      </w:tr>
      <w:tr w:rsidR="00FB604A" w14:paraId="67C6D4B2" w14:textId="77777777" w:rsidTr="00E93259">
        <w:trPr>
          <w:jc w:val="center"/>
        </w:trPr>
        <w:tc>
          <w:tcPr>
            <w:tcW w:w="1299" w:type="dxa"/>
            <w:vAlign w:val="center"/>
          </w:tcPr>
          <w:p w14:paraId="4517CDB0" w14:textId="70FAEFBC" w:rsidR="00FB604A" w:rsidRPr="00E93259" w:rsidRDefault="00FB604A" w:rsidP="00E93259">
            <w:pPr>
              <w:spacing w:after="120"/>
              <w:jc w:val="center"/>
              <w:rPr>
                <w:rFonts w:ascii="Times New Roman" w:hAnsi="Times New Roman"/>
              </w:rPr>
            </w:pPr>
            <w:r w:rsidRPr="00E93259">
              <w:rPr>
                <w:rFonts w:ascii="Times New Roman" w:hAnsi="Times New Roman"/>
              </w:rPr>
              <w:t>2013</w:t>
            </w:r>
          </w:p>
        </w:tc>
        <w:tc>
          <w:tcPr>
            <w:tcW w:w="1300" w:type="dxa"/>
            <w:vAlign w:val="center"/>
          </w:tcPr>
          <w:p w14:paraId="3D3ABFD1" w14:textId="7A0417B6" w:rsidR="00FB604A" w:rsidRPr="00E93259" w:rsidRDefault="00FB604A" w:rsidP="00E93259">
            <w:pPr>
              <w:spacing w:after="120"/>
              <w:jc w:val="center"/>
              <w:rPr>
                <w:rFonts w:ascii="Times New Roman" w:hAnsi="Times New Roman"/>
              </w:rPr>
            </w:pPr>
            <w:r w:rsidRPr="00E93259">
              <w:rPr>
                <w:rFonts w:ascii="Times New Roman" w:hAnsi="Times New Roman"/>
              </w:rPr>
              <w:t>7 gadi</w:t>
            </w:r>
          </w:p>
        </w:tc>
        <w:tc>
          <w:tcPr>
            <w:tcW w:w="1300" w:type="dxa"/>
            <w:vAlign w:val="center"/>
          </w:tcPr>
          <w:p w14:paraId="11DD7777" w14:textId="4F6E6E1F" w:rsidR="00FB604A" w:rsidRPr="00E93259" w:rsidRDefault="00FB604A" w:rsidP="00E93259">
            <w:pPr>
              <w:spacing w:after="120"/>
              <w:jc w:val="center"/>
              <w:rPr>
                <w:rFonts w:ascii="Times New Roman" w:hAnsi="Times New Roman"/>
              </w:rPr>
            </w:pPr>
            <w:r w:rsidRPr="00E93259">
              <w:rPr>
                <w:rFonts w:ascii="Times New Roman" w:hAnsi="Times New Roman"/>
              </w:rPr>
              <w:t>6 137</w:t>
            </w:r>
          </w:p>
        </w:tc>
        <w:tc>
          <w:tcPr>
            <w:tcW w:w="1300" w:type="dxa"/>
            <w:vAlign w:val="center"/>
          </w:tcPr>
          <w:p w14:paraId="783CCF18" w14:textId="77777777" w:rsidR="00FB604A" w:rsidRPr="00E93259" w:rsidRDefault="00FB604A" w:rsidP="00E93259">
            <w:pPr>
              <w:spacing w:after="120"/>
              <w:jc w:val="center"/>
              <w:rPr>
                <w:rFonts w:ascii="Times New Roman" w:hAnsi="Times New Roman"/>
              </w:rPr>
            </w:pPr>
          </w:p>
        </w:tc>
        <w:tc>
          <w:tcPr>
            <w:tcW w:w="1300" w:type="dxa"/>
            <w:vAlign w:val="center"/>
          </w:tcPr>
          <w:p w14:paraId="4FE1B4C5" w14:textId="77777777" w:rsidR="00FB604A" w:rsidRPr="00E93259" w:rsidRDefault="00FB604A" w:rsidP="00E93259">
            <w:pPr>
              <w:spacing w:after="120"/>
              <w:jc w:val="center"/>
              <w:rPr>
                <w:rFonts w:ascii="Times New Roman" w:hAnsi="Times New Roman"/>
              </w:rPr>
            </w:pPr>
          </w:p>
        </w:tc>
        <w:tc>
          <w:tcPr>
            <w:tcW w:w="1300" w:type="dxa"/>
            <w:vAlign w:val="center"/>
          </w:tcPr>
          <w:p w14:paraId="20E0B685" w14:textId="77777777" w:rsidR="00FB604A" w:rsidRPr="00E93259" w:rsidRDefault="00FB604A" w:rsidP="00E93259">
            <w:pPr>
              <w:spacing w:after="120"/>
              <w:jc w:val="center"/>
              <w:rPr>
                <w:rFonts w:ascii="Times New Roman" w:hAnsi="Times New Roman"/>
              </w:rPr>
            </w:pPr>
          </w:p>
        </w:tc>
        <w:tc>
          <w:tcPr>
            <w:tcW w:w="1365" w:type="dxa"/>
            <w:vAlign w:val="center"/>
          </w:tcPr>
          <w:p w14:paraId="53DCF8C4" w14:textId="56F6B891" w:rsidR="6494A521" w:rsidRPr="00E93259" w:rsidRDefault="6494A521" w:rsidP="00E93259">
            <w:pPr>
              <w:jc w:val="center"/>
              <w:rPr>
                <w:rFonts w:ascii="Times New Roman" w:hAnsi="Times New Roman"/>
              </w:rPr>
            </w:pPr>
          </w:p>
        </w:tc>
      </w:tr>
    </w:tbl>
    <w:p w14:paraId="1FF25B89" w14:textId="77777777" w:rsidR="0050450B" w:rsidRDefault="0050450B" w:rsidP="00051136">
      <w:pPr>
        <w:spacing w:after="120"/>
        <w:ind w:firstLine="720"/>
        <w:jc w:val="both"/>
        <w:rPr>
          <w:rFonts w:ascii="Times New Roman" w:hAnsi="Times New Roman" w:cs="Times New Roman"/>
          <w:sz w:val="24"/>
          <w:szCs w:val="24"/>
        </w:rPr>
      </w:pPr>
    </w:p>
    <w:p w14:paraId="7D9489B6" w14:textId="2769C1AA" w:rsidR="00891CB0" w:rsidRDefault="00EF671F" w:rsidP="0005113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Papildus </w:t>
      </w:r>
      <w:r w:rsidR="00865C5D">
        <w:rPr>
          <w:rFonts w:ascii="Times New Roman" w:hAnsi="Times New Roman" w:cs="Times New Roman"/>
          <w:sz w:val="24"/>
          <w:szCs w:val="24"/>
        </w:rPr>
        <w:t xml:space="preserve">no 2019.gada 1.aprīļa </w:t>
      </w:r>
      <w:r>
        <w:rPr>
          <w:rFonts w:ascii="Times New Roman" w:hAnsi="Times New Roman" w:cs="Times New Roman"/>
          <w:sz w:val="24"/>
          <w:szCs w:val="24"/>
        </w:rPr>
        <w:t>nepieciešami</w:t>
      </w:r>
      <w:r w:rsidR="00795EAD" w:rsidRPr="00795EAD">
        <w:rPr>
          <w:rFonts w:ascii="Times New Roman" w:hAnsi="Times New Roman" w:cs="Times New Roman"/>
          <w:sz w:val="24"/>
          <w:szCs w:val="24"/>
        </w:rPr>
        <w:t xml:space="preserve"> </w:t>
      </w:r>
      <w:r w:rsidR="00865C5D">
        <w:rPr>
          <w:rFonts w:ascii="Times New Roman" w:hAnsi="Times New Roman" w:cs="Times New Roman"/>
          <w:b/>
          <w:sz w:val="24"/>
          <w:szCs w:val="24"/>
        </w:rPr>
        <w:t>663 906</w:t>
      </w:r>
      <w:r w:rsidR="00795EAD" w:rsidRPr="00795EAD">
        <w:rPr>
          <w:rFonts w:ascii="Times New Roman" w:hAnsi="Times New Roman" w:cs="Times New Roman"/>
          <w:b/>
          <w:sz w:val="24"/>
          <w:szCs w:val="24"/>
        </w:rPr>
        <w:t xml:space="preserve"> </w:t>
      </w:r>
      <w:r w:rsidR="00795EAD" w:rsidRPr="00091426">
        <w:rPr>
          <w:rFonts w:ascii="Times New Roman" w:hAnsi="Times New Roman" w:cs="Times New Roman"/>
          <w:b/>
          <w:i/>
          <w:sz w:val="24"/>
          <w:szCs w:val="24"/>
        </w:rPr>
        <w:t>euro</w:t>
      </w:r>
      <w:r w:rsidR="00FE5428">
        <w:rPr>
          <w:rFonts w:ascii="Times New Roman" w:hAnsi="Times New Roman" w:cs="Times New Roman"/>
          <w:b/>
          <w:i/>
          <w:sz w:val="24"/>
          <w:szCs w:val="24"/>
        </w:rPr>
        <w:t xml:space="preserve"> </w:t>
      </w:r>
      <w:r w:rsidR="00FE5428" w:rsidRPr="00E93259">
        <w:rPr>
          <w:rFonts w:ascii="Times New Roman" w:hAnsi="Times New Roman" w:cs="Times New Roman"/>
          <w:sz w:val="24"/>
          <w:szCs w:val="24"/>
        </w:rPr>
        <w:t xml:space="preserve">(gadam  885 208 </w:t>
      </w:r>
      <w:r w:rsidR="00FE5428" w:rsidRPr="00E93259">
        <w:rPr>
          <w:rFonts w:ascii="Times New Roman" w:hAnsi="Times New Roman" w:cs="Times New Roman"/>
          <w:i/>
          <w:sz w:val="24"/>
          <w:szCs w:val="24"/>
        </w:rPr>
        <w:t>euro</w:t>
      </w:r>
      <w:r w:rsidR="00FE5428" w:rsidRPr="00E93259">
        <w:rPr>
          <w:rFonts w:ascii="Times New Roman" w:hAnsi="Times New Roman" w:cs="Times New Roman"/>
          <w:sz w:val="24"/>
          <w:szCs w:val="24"/>
        </w:rPr>
        <w:t>)</w:t>
      </w:r>
      <w:r w:rsidR="00036EA5">
        <w:rPr>
          <w:rFonts w:ascii="Times New Roman" w:hAnsi="Times New Roman" w:cs="Times New Roman"/>
          <w:sz w:val="24"/>
          <w:szCs w:val="24"/>
        </w:rPr>
        <w:t xml:space="preserve"> (</w:t>
      </w:r>
      <w:r w:rsidR="005B5AFE">
        <w:rPr>
          <w:rFonts w:ascii="Times New Roman" w:hAnsi="Times New Roman" w:cs="Times New Roman"/>
          <w:sz w:val="24"/>
          <w:szCs w:val="24"/>
        </w:rPr>
        <w:t>6</w:t>
      </w:r>
      <w:r w:rsidR="008104BD">
        <w:rPr>
          <w:rFonts w:ascii="Times New Roman" w:hAnsi="Times New Roman" w:cs="Times New Roman"/>
          <w:sz w:val="24"/>
          <w:szCs w:val="24"/>
        </w:rPr>
        <w:t>9</w:t>
      </w:r>
      <w:r w:rsidR="00036EA5">
        <w:rPr>
          <w:rFonts w:ascii="Times New Roman" w:hAnsi="Times New Roman" w:cs="Times New Roman"/>
          <w:sz w:val="24"/>
          <w:szCs w:val="24"/>
        </w:rPr>
        <w:t>.tabula)</w:t>
      </w:r>
      <w:r w:rsidR="00051136" w:rsidRPr="00FE542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89"/>
      </w:tblGrid>
      <w:tr w:rsidR="00DD69AE" w14:paraId="464B7A8C" w14:textId="77777777" w:rsidTr="00DD69AE">
        <w:tc>
          <w:tcPr>
            <w:tcW w:w="9089" w:type="dxa"/>
          </w:tcPr>
          <w:p w14:paraId="03614973" w14:textId="366D0955" w:rsidR="00DD69AE" w:rsidRPr="00FB3E82" w:rsidRDefault="00DD69AE" w:rsidP="00795EAD">
            <w:pPr>
              <w:jc w:val="both"/>
              <w:rPr>
                <w:rFonts w:ascii="Times New Roman" w:hAnsi="Times New Roman"/>
                <w:b/>
                <w:sz w:val="24"/>
                <w:szCs w:val="24"/>
              </w:rPr>
            </w:pPr>
            <w:r w:rsidRPr="00FB3E82">
              <w:rPr>
                <w:rFonts w:ascii="Times New Roman" w:hAnsi="Times New Roman"/>
                <w:b/>
                <w:sz w:val="24"/>
                <w:szCs w:val="24"/>
              </w:rPr>
              <w:t>Reformas rezultāts - tiek samazināta vīrusa cirkulācija populācijā, veicinot infekcijas izskaušanu.</w:t>
            </w:r>
          </w:p>
        </w:tc>
      </w:tr>
    </w:tbl>
    <w:p w14:paraId="58F763A6" w14:textId="25B6BCFC" w:rsidR="00166B1A" w:rsidRDefault="00166B1A" w:rsidP="00795EAD">
      <w:pPr>
        <w:spacing w:after="0" w:line="240" w:lineRule="auto"/>
        <w:ind w:firstLine="720"/>
        <w:jc w:val="both"/>
        <w:rPr>
          <w:rFonts w:ascii="Times New Roman" w:hAnsi="Times New Roman" w:cs="Times New Roman"/>
          <w:sz w:val="24"/>
          <w:szCs w:val="24"/>
        </w:rPr>
      </w:pPr>
    </w:p>
    <w:p w14:paraId="62EBE379" w14:textId="670046CE" w:rsidR="00795EAD" w:rsidRPr="00122030" w:rsidRDefault="00166B1A" w:rsidP="00122030">
      <w:pPr>
        <w:spacing w:after="0" w:line="240" w:lineRule="auto"/>
        <w:ind w:firstLine="720"/>
        <w:jc w:val="center"/>
        <w:rPr>
          <w:rFonts w:ascii="Times New Roman" w:hAnsi="Times New Roman" w:cs="Times New Roman"/>
          <w:b/>
          <w:sz w:val="24"/>
          <w:szCs w:val="24"/>
          <w:u w:val="single"/>
        </w:rPr>
      </w:pPr>
      <w:r w:rsidRPr="00166B1A">
        <w:rPr>
          <w:rFonts w:ascii="Times New Roman" w:hAnsi="Times New Roman" w:cs="Times New Roman"/>
          <w:b/>
          <w:sz w:val="24"/>
          <w:szCs w:val="24"/>
          <w:u w:val="single"/>
        </w:rPr>
        <w:t>4.6.</w:t>
      </w:r>
      <w:r>
        <w:rPr>
          <w:rFonts w:ascii="Times New Roman" w:hAnsi="Times New Roman" w:cs="Times New Roman"/>
          <w:b/>
          <w:sz w:val="24"/>
          <w:szCs w:val="24"/>
          <w:u w:val="single"/>
        </w:rPr>
        <w:t xml:space="preserve"> </w:t>
      </w:r>
      <w:r w:rsidR="00091426">
        <w:rPr>
          <w:rFonts w:ascii="Times New Roman" w:hAnsi="Times New Roman" w:cs="Times New Roman"/>
          <w:b/>
          <w:sz w:val="24"/>
          <w:szCs w:val="24"/>
          <w:u w:val="single"/>
        </w:rPr>
        <w:t>Gripas vakcīna bērniem un grūtniecēm</w:t>
      </w:r>
    </w:p>
    <w:p w14:paraId="7AE9F6B5" w14:textId="77777777" w:rsidR="00B10FC3" w:rsidRPr="00B10FC3" w:rsidRDefault="00B10FC3" w:rsidP="00795EAD">
      <w:pPr>
        <w:spacing w:after="0" w:line="240" w:lineRule="auto"/>
        <w:ind w:firstLine="720"/>
        <w:jc w:val="both"/>
        <w:rPr>
          <w:rFonts w:ascii="Times New Roman" w:hAnsi="Times New Roman" w:cs="Times New Roman"/>
          <w:b/>
          <w:i/>
          <w:sz w:val="24"/>
          <w:szCs w:val="24"/>
          <w:u w:val="single"/>
        </w:rPr>
      </w:pPr>
    </w:p>
    <w:p w14:paraId="2A6098B6" w14:textId="1AD31918" w:rsidR="00122030" w:rsidRDefault="64AB90BD" w:rsidP="00E93259">
      <w:pPr>
        <w:pStyle w:val="NormalWeb"/>
        <w:shd w:val="clear" w:color="auto" w:fill="FFFFFF" w:themeFill="background1"/>
        <w:spacing w:before="0" w:beforeAutospacing="0" w:after="120" w:afterAutospacing="0" w:line="276" w:lineRule="auto"/>
        <w:ind w:firstLine="720"/>
        <w:jc w:val="both"/>
        <w:textAlignment w:val="baseline"/>
      </w:pPr>
      <w:r>
        <w:t xml:space="preserve">Gripa ir akūta, sevišķi lipīga vīrusu infekcija, kas skar elpceļus. Salīdzinot ar citām infekcijas slimībām, gripai ir straujš izplatīšanās ātrums un tā biežāk izraisa komplikācijas, kā arī gripa biežāk izraisa smagas slimības formas. Tādēļ gripas epidēmijas laikā 2 - 5 reizes pieaug </w:t>
      </w:r>
      <w:r w:rsidR="52B20BA9">
        <w:t xml:space="preserve">hospitalizāciju skaits un cilvēku vēršanās biežums pēc medicīniskās palīdzības. Katru sezonu gripas epidēmijas dēļ valsts cieš zaudējumus. Gripas sezonas laikā dzīvību zaudē vairāki desmiti iedzīvotāju, kā arī gripas infekcijas un ar to saistītās komplikācijas prasa papildus veselības aprūpes resursus. </w:t>
      </w:r>
    </w:p>
    <w:p w14:paraId="7CBBCC50" w14:textId="77777777" w:rsidR="00BD53C3" w:rsidRPr="00E93259" w:rsidRDefault="00BD53C3" w:rsidP="00E93259">
      <w:pPr>
        <w:shd w:val="clear" w:color="auto" w:fill="FFFFFF" w:themeFill="background1"/>
        <w:spacing w:after="120"/>
        <w:ind w:firstLine="720"/>
        <w:jc w:val="both"/>
        <w:rPr>
          <w:rFonts w:ascii="Times New Roman" w:eastAsia="Times New Roman" w:hAnsi="Times New Roman" w:cs="Times New Roman"/>
          <w:color w:val="000000" w:themeColor="text1"/>
          <w:sz w:val="24"/>
          <w:szCs w:val="24"/>
          <w:lang w:eastAsia="lv-LV"/>
        </w:rPr>
      </w:pPr>
      <w:r w:rsidRPr="00C77297">
        <w:rPr>
          <w:rFonts w:ascii="Times New Roman" w:eastAsia="Times New Roman" w:hAnsi="Times New Roman" w:cs="Times New Roman"/>
          <w:color w:val="000000"/>
          <w:sz w:val="24"/>
          <w:szCs w:val="24"/>
          <w:lang w:eastAsia="lv-LV"/>
        </w:rPr>
        <w:t>Šāda pieeja kavē cilvēku vakcinēšanos pret gripu un vakcinācijas aptvere pret gripu Latvijā ir ļoti kritiski zema.</w:t>
      </w:r>
    </w:p>
    <w:p w14:paraId="4B9A0808" w14:textId="77777777" w:rsidR="00BD53C3" w:rsidRPr="00E93259" w:rsidRDefault="00BD53C3" w:rsidP="00E93259">
      <w:pPr>
        <w:shd w:val="clear" w:color="auto" w:fill="FFFFFF" w:themeFill="background1"/>
        <w:spacing w:after="120"/>
        <w:ind w:firstLine="720"/>
        <w:jc w:val="both"/>
        <w:rPr>
          <w:rFonts w:ascii="Times New Roman" w:eastAsia="Times New Roman" w:hAnsi="Times New Roman" w:cs="Times New Roman"/>
          <w:color w:val="000000" w:themeColor="text1"/>
          <w:sz w:val="24"/>
          <w:szCs w:val="24"/>
          <w:lang w:eastAsia="lv-LV"/>
        </w:rPr>
      </w:pPr>
      <w:r w:rsidRPr="00C77297">
        <w:rPr>
          <w:rFonts w:ascii="Times New Roman" w:eastAsia="Times New Roman" w:hAnsi="Times New Roman" w:cs="Times New Roman"/>
          <w:color w:val="000000"/>
          <w:sz w:val="24"/>
          <w:szCs w:val="24"/>
          <w:lang w:eastAsia="lv-LV"/>
        </w:rPr>
        <w:t>2013./2014. gripas sezonā tika vakcinēti 69 bērni vecumā līdz diviem gadiem, 2014./2015. gripas sezonā – 87 bērni, 2015./2016. gripas sezonā – 51 bērns, 2016./2017. gripas sezonā – 363 bērni, 2017./2018. gripas sezonā – 606 bērni. </w:t>
      </w:r>
    </w:p>
    <w:p w14:paraId="10F55449" w14:textId="1C79F016" w:rsidR="00BD53C3" w:rsidRPr="00E93259" w:rsidRDefault="00BD53C3" w:rsidP="00E93259">
      <w:pPr>
        <w:shd w:val="clear" w:color="auto" w:fill="FFFFFF" w:themeFill="background1"/>
        <w:spacing w:after="120"/>
        <w:ind w:firstLine="720"/>
        <w:jc w:val="both"/>
        <w:rPr>
          <w:rFonts w:ascii="Times New Roman" w:eastAsia="Times New Roman" w:hAnsi="Times New Roman" w:cs="Times New Roman"/>
          <w:color w:val="000000" w:themeColor="text1"/>
          <w:sz w:val="24"/>
          <w:szCs w:val="24"/>
          <w:lang w:eastAsia="lv-LV"/>
        </w:rPr>
      </w:pPr>
      <w:r w:rsidRPr="00C77297">
        <w:rPr>
          <w:rFonts w:ascii="Times New Roman" w:eastAsia="Times New Roman" w:hAnsi="Times New Roman" w:cs="Times New Roman"/>
          <w:color w:val="000000"/>
          <w:sz w:val="24"/>
          <w:szCs w:val="24"/>
          <w:lang w:eastAsia="lv-LV"/>
        </w:rPr>
        <w:lastRenderedPageBreak/>
        <w:t>2017./2018. gripas sezonā tika vakcinētas 192 grūtnieces, 2016./2017. gripas sezonā – 185 grūtnieces. Savukārt iepriekšējās gripas sezonās, izmantojot valsts paredzēto kompensāciju, vakcinējās apmēram 10 grūtnieces.</w:t>
      </w:r>
    </w:p>
    <w:p w14:paraId="2F7675E0" w14:textId="2EAF352F" w:rsidR="00BD53C3" w:rsidRPr="00BD53C3" w:rsidRDefault="00BD53C3" w:rsidP="00E93259">
      <w:pPr>
        <w:pStyle w:val="NormalWeb"/>
        <w:shd w:val="clear" w:color="auto" w:fill="FFFFFF" w:themeFill="background1"/>
        <w:spacing w:before="0" w:beforeAutospacing="0" w:after="120" w:afterAutospacing="0" w:line="276" w:lineRule="auto"/>
        <w:ind w:firstLine="720"/>
        <w:jc w:val="both"/>
        <w:textAlignment w:val="baseline"/>
      </w:pPr>
      <w:r w:rsidRPr="00C77297">
        <w:rPr>
          <w:color w:val="000000"/>
          <w:shd w:val="clear" w:color="auto" w:fill="FFFFFF"/>
        </w:rPr>
        <w:t>Latvijā 2011. gadā no gripas nomira pieci bērni (vecums: 8 mēneši, 13 mēneši, 5 gadi, 7 gadi), 2013. gadā no gripas nomira viens bērns (vecums: 1 mēnesis), 2018. gadā (janv.-nov.) no gripas nomira divi bērni (vecums: 1 gads, 6 gadi). 2015./2016. gada gripas epidēmiskajā sezonā nomira divas grūtnieces (26 un 35 gadi).</w:t>
      </w:r>
    </w:p>
    <w:p w14:paraId="56CF387C" w14:textId="013BE040" w:rsidR="00122030" w:rsidRPr="00750483" w:rsidRDefault="64AB90BD" w:rsidP="00E93259">
      <w:pPr>
        <w:pStyle w:val="NormalWeb"/>
        <w:shd w:val="clear" w:color="auto" w:fill="FFFFFF" w:themeFill="background1"/>
        <w:spacing w:before="0" w:beforeAutospacing="0" w:after="120" w:afterAutospacing="0" w:line="276" w:lineRule="auto"/>
        <w:ind w:firstLine="720"/>
        <w:jc w:val="both"/>
        <w:textAlignment w:val="baseline"/>
      </w:pPr>
      <w:r>
        <w:t xml:space="preserve">Atbilstoši SPKC datiem 2017. - 2018.gada gripas sezonas laikā tika zaudētas 1 584 765 darba dienas, jeb 52 825 mēneši. Ņemot vērā to, ka vidējā mēneša alga valstī 2017.gada oktobrī - 2018.gada maijā bija vidēji 955 </w:t>
      </w:r>
      <w:r w:rsidRPr="704995BB">
        <w:rPr>
          <w:i/>
          <w:iCs/>
        </w:rPr>
        <w:t>euro</w:t>
      </w:r>
      <w:r w:rsidRPr="00E93259">
        <w:rPr>
          <w:i/>
          <w:iCs/>
        </w:rPr>
        <w:t xml:space="preserve"> </w:t>
      </w:r>
      <w:r w:rsidRPr="00E93259">
        <w:t xml:space="preserve">(bruto), minimālie minēto slimību nodarītie ekonomiskie zaudējumi darba kavējumu dēļ šajā sezonā pārsniedza 50 447 875 </w:t>
      </w:r>
      <w:r w:rsidRPr="00E93259">
        <w:rPr>
          <w:i/>
          <w:iCs/>
        </w:rPr>
        <w:t>euro</w:t>
      </w:r>
      <w:r w:rsidR="52B20BA9">
        <w:t>. Jāņem vērā, ka faktiskie zaudējumi bija lielāki, jo šajā aprēķinā netika ņemti vērā darba kavējumi, kas saistīti ar slima bērna kopšanu, kā arī zaudētie potenciālie dzīves gadi sakarā ar nāves gadījumiem.</w:t>
      </w:r>
    </w:p>
    <w:p w14:paraId="66B6D9FE" w14:textId="476193B4" w:rsidR="00122030" w:rsidRPr="00750483" w:rsidRDefault="64AB90BD" w:rsidP="00E93259">
      <w:pPr>
        <w:pStyle w:val="NormalWeb"/>
        <w:shd w:val="clear" w:color="auto" w:fill="FFFFFF" w:themeFill="background1"/>
        <w:spacing w:before="0" w:beforeAutospacing="0" w:after="120" w:afterAutospacing="0" w:line="276" w:lineRule="auto"/>
        <w:ind w:firstLine="720"/>
        <w:jc w:val="both"/>
        <w:textAlignment w:val="baseline"/>
      </w:pPr>
      <w:r>
        <w:t xml:space="preserve">Atbilstoši NVD datiem augšējo elpceļu infekciju, gripas un pneimoniju ārstēšanas izmaksas 2017.-2018.gada gripas epidēmijas laikā sasniedza 11 164 828 </w:t>
      </w:r>
      <w:r w:rsidRPr="704995BB">
        <w:rPr>
          <w:i/>
          <w:iCs/>
        </w:rPr>
        <w:t>euro</w:t>
      </w:r>
      <w:r w:rsidRPr="00E93259">
        <w:rPr>
          <w:i/>
          <w:iCs/>
        </w:rPr>
        <w:t xml:space="preserve">. </w:t>
      </w:r>
      <w:r w:rsidRPr="00E93259">
        <w:t xml:space="preserve">Papildus minētajam ambulatorās izmaksas saistībā ar minētajām diagnozēm, kas ietvertas fiksētajos maksājumos, piemaksās un ģimenes ārstu </w:t>
      </w:r>
      <w:r w:rsidR="52B20BA9">
        <w:t xml:space="preserve">kapitācijas nauda, kā arī stacionārās izmaksas uzņemšanas un observācijas nodaļās kopā veidoja 15 479 963 </w:t>
      </w:r>
      <w:r w:rsidR="52B20BA9" w:rsidRPr="00E93259">
        <w:rPr>
          <w:i/>
          <w:iCs/>
        </w:rPr>
        <w:t xml:space="preserve">euro. </w:t>
      </w:r>
    </w:p>
    <w:p w14:paraId="0FD5C329" w14:textId="4611B140" w:rsidR="00122030" w:rsidRPr="00122030" w:rsidRDefault="00122030" w:rsidP="00E93259">
      <w:pPr>
        <w:pStyle w:val="NormalWeb"/>
        <w:shd w:val="clear" w:color="auto" w:fill="FFFFFF" w:themeFill="background1"/>
        <w:spacing w:before="0" w:beforeAutospacing="0" w:after="120" w:afterAutospacing="0" w:line="276" w:lineRule="auto"/>
        <w:ind w:firstLine="720"/>
        <w:jc w:val="both"/>
        <w:textAlignment w:val="baseline"/>
      </w:pPr>
      <w:r w:rsidRPr="704995BB">
        <w:t> </w:t>
      </w:r>
      <w:r w:rsidR="00E85CDA" w:rsidRPr="3F576A31">
        <w:t> </w:t>
      </w:r>
      <w:r w:rsidR="00E85CDA" w:rsidRPr="64AB90BD">
        <w:t>Pasaules Veselības organizācijas (</w:t>
      </w:r>
      <w:r w:rsidR="00E85CDA" w:rsidRPr="001B1AEF">
        <w:rPr>
          <w:rStyle w:val="Emphasis"/>
        </w:rPr>
        <w:t>turpmāk – PVO</w:t>
      </w:r>
      <w:r w:rsidR="00E85CDA" w:rsidRPr="64AB90BD">
        <w:t>) rekomendācijās (</w:t>
      </w:r>
      <w:r w:rsidR="00E85CDA" w:rsidRPr="3F576A31">
        <w:rPr>
          <w:i/>
          <w:iCs/>
        </w:rPr>
        <w:t>Vaccines against influenza. WHO Position Paper November 2012</w:t>
      </w:r>
      <w:r w:rsidR="00E85CDA" w:rsidRPr="64AB90BD">
        <w:t xml:space="preserve">) </w:t>
      </w:r>
      <w:r w:rsidR="52B20BA9">
        <w:t>un Eiropas Padomes rekomendācijām￼</w:t>
      </w:r>
      <w:r w:rsidRPr="704995BB">
        <w:footnoteReference w:id="41"/>
      </w:r>
      <w:r w:rsidR="52B20BA9">
        <w:t xml:space="preserve"> un Eiropas Padomes rekomendācijām￼</w:t>
      </w:r>
      <w:r w:rsidRPr="704995BB">
        <w:footnoteReference w:id="42"/>
      </w:r>
      <w:r w:rsidR="52B20BA9">
        <w:t xml:space="preserve"> un Eiropas Padomes rekomendācijām</w:t>
      </w:r>
      <w:r w:rsidRPr="00E93259">
        <w:rPr>
          <w:rStyle w:val="FootnoteReference"/>
        </w:rPr>
        <w:footnoteReference w:id="43"/>
      </w:r>
      <w:r w:rsidR="52B20BA9">
        <w:t xml:space="preserve">, lai novērstu gripas izraisīto apdraudējumu sabiedrībai, ir jāsasniedz 75% pretgripas vakcinācijas aptvere riska populācijā. </w:t>
      </w:r>
    </w:p>
    <w:p w14:paraId="16ACC63A" w14:textId="77777777" w:rsidR="00122030" w:rsidRPr="00122030" w:rsidRDefault="64AB90BD" w:rsidP="00E93259">
      <w:pPr>
        <w:pStyle w:val="NormalWeb"/>
        <w:shd w:val="clear" w:color="auto" w:fill="FFFFFF" w:themeFill="background1"/>
        <w:spacing w:before="0" w:beforeAutospacing="0" w:after="120" w:afterAutospacing="0" w:line="276" w:lineRule="auto"/>
        <w:ind w:firstLine="720"/>
        <w:jc w:val="both"/>
        <w:textAlignment w:val="baseline"/>
      </w:pPr>
      <w:r>
        <w:t>Pēc SPKC datiem pret gripu vakcinēto iedzīvotāju īpatsvars 2017. -2018.gada sezonā bija augstāks nekā iepriekšējās sezonās, bet tas tomēr bija ļoti zems - 2,24%. Bērnu vecumā no 6 mēnešu līdz 23 mēnešu vecumam vakcinācijas īpatsvars bija 1,89%, arī grūtnieču vakcinācijas īpatsvars bija ap 1%. Tādēļ ir jāveic pasākumi, lai uzlabotu vakcinācijas aptveres palielināšanos riska grupu iedzīvotājiem, tai skaitā uzlabojot vakcinācijas pieejamību.</w:t>
      </w:r>
    </w:p>
    <w:p w14:paraId="7D3D59BC" w14:textId="77777777" w:rsidR="00122030" w:rsidRPr="00122030" w:rsidRDefault="00122030" w:rsidP="0035175D">
      <w:pPr>
        <w:spacing w:after="120"/>
        <w:ind w:firstLine="720"/>
        <w:jc w:val="both"/>
        <w:rPr>
          <w:rStyle w:val="Emphasis"/>
          <w:rFonts w:ascii="Times New Roman" w:hAnsi="Times New Roman" w:cs="Times New Roman"/>
          <w:i w:val="0"/>
          <w:sz w:val="24"/>
          <w:szCs w:val="24"/>
        </w:rPr>
      </w:pPr>
      <w:r w:rsidRPr="00122030">
        <w:rPr>
          <w:rFonts w:ascii="Times New Roman" w:hAnsi="Times New Roman" w:cs="Times New Roman"/>
          <w:sz w:val="24"/>
          <w:szCs w:val="24"/>
        </w:rPr>
        <w:t xml:space="preserve">Pašreiz </w:t>
      </w:r>
      <w:r w:rsidRPr="00122030">
        <w:rPr>
          <w:rFonts w:ascii="Times New Roman" w:hAnsi="Times New Roman" w:cs="Times New Roman"/>
          <w:iCs/>
          <w:sz w:val="24"/>
          <w:szCs w:val="24"/>
        </w:rPr>
        <w:t xml:space="preserve">no ambulatorai aprūpei nepieciešamo zāļu kompensācijas līdzekļiem gripas vakcīna tiek kompensēta vairāku riska grupu iedzīvotājiem, tai skaitā grūtniecēm 50 % apmērā un bērniem līdz divu gadu vecumam 100 % apmērā. Esošā vakcīnu kompensācijas sistēma paredz no valsts budžeta kompensējamo zāļu receptes izrakstīšanu, vakcīnas pasūtīšanu aptiekā, kas ir sarežģīta procedūra un ierobežo vakcinācijas procesu, kā arī var ietekmēt pretgripas </w:t>
      </w:r>
      <w:r w:rsidRPr="00122030">
        <w:rPr>
          <w:rFonts w:ascii="Times New Roman" w:hAnsi="Times New Roman" w:cs="Times New Roman"/>
          <w:iCs/>
          <w:sz w:val="24"/>
          <w:szCs w:val="24"/>
        </w:rPr>
        <w:lastRenderedPageBreak/>
        <w:t xml:space="preserve">vakcīnu efektivitāti un drošumu, ja netiek ievērots vakcīnu uzglabāšanas režīms posmā starp aptieku un vakcinācijas iestādi. Lai mazinātu slogu ārstiem un uzlabotu pretgripas vakcīnas pieejamību, kā arī lai nodrošinātu vienotu pieeju no valsts budžeta līdzekļiem apmaksātu vakcīnu nodrošināšanai, pretgripas vakcīnas grūtniecēm un bērniem līdz 2 gadu vecumam iekļaušana vakcinācijas kalendārā no 2019.gada gripas sezonas sākuma ir paredzēta politikas plānošanas dokumentā </w:t>
      </w:r>
      <w:r w:rsidRPr="00122030">
        <w:rPr>
          <w:rFonts w:ascii="Times New Roman" w:hAnsi="Times New Roman" w:cs="Times New Roman"/>
          <w:sz w:val="24"/>
          <w:szCs w:val="24"/>
        </w:rPr>
        <w:t>"</w:t>
      </w:r>
      <w:r w:rsidRPr="00122030">
        <w:rPr>
          <w:rFonts w:ascii="Times New Roman" w:hAnsi="Times New Roman" w:cs="Times New Roman"/>
          <w:iCs/>
          <w:sz w:val="24"/>
          <w:szCs w:val="24"/>
        </w:rPr>
        <w:t>Mātes un bērna veselības uzlabošanas plāns 2018.-2020. gadam</w:t>
      </w:r>
      <w:r w:rsidRPr="00122030">
        <w:rPr>
          <w:rFonts w:ascii="Times New Roman" w:hAnsi="Times New Roman" w:cs="Times New Roman"/>
          <w:sz w:val="24"/>
          <w:szCs w:val="24"/>
        </w:rPr>
        <w:t xml:space="preserve">". </w:t>
      </w:r>
    </w:p>
    <w:p w14:paraId="35A88A1E" w14:textId="486A7CB6" w:rsidR="00122030" w:rsidRDefault="00122030" w:rsidP="0035175D">
      <w:pPr>
        <w:spacing w:after="120"/>
        <w:ind w:firstLine="720"/>
        <w:jc w:val="both"/>
        <w:rPr>
          <w:rFonts w:ascii="Times New Roman" w:hAnsi="Times New Roman" w:cs="Times New Roman"/>
          <w:sz w:val="24"/>
          <w:szCs w:val="24"/>
        </w:rPr>
      </w:pPr>
      <w:r w:rsidRPr="00122030">
        <w:rPr>
          <w:rFonts w:ascii="Times New Roman" w:hAnsi="Times New Roman" w:cs="Times New Roman"/>
          <w:sz w:val="24"/>
          <w:szCs w:val="24"/>
        </w:rPr>
        <w:t>Veicot minēto pasākumu, tiks atvieglota iespēja pretgripas vakcīnas saņemšanai grūtniecēm un bērniem līdz divu gadu vecumam. Iekļaujot pretgripas vakcīnu vakcinācijas kalendārā, to centralizēti iepirks NVD un sadarbībā ar SPKC veiks vakcīnu sadali vakcinācijas iestādēm. Tādējādi ārstiem nebūs jāizraksta receptes vakcīnas iegādei un jāveic vakcīnu pasūtījums no aptiekām. Vienlaicīgi vakcīna būs pieejamāka pacientiem, jo pretgripas vakcīnu varēs saņemt, apmeklējot vakcinācijas kabinetu vienā apmeklējuma reizē (nebūs nepieciešams saņemt recepti un  veikt vakcīnas iegādi). Līdz ar to tiek prognozēts, ka ievērojami palielināsies vakcinēto grūtnieču un bērnu līdz 2 gadu vecumam vakcinācijas aptvere, vienlaicīgi samazinot vīrusa cirkulāciju sabiedrībā kopumā. Perspektīvā, rodot papildus resursus, tiks plānota arī pārējo riska grupu – personu virs 65 gadiem un ar hroniskām elpceļu slimībām slimojošo personu pretgripas vakcinācijas iekļaušana vakcinācijas kalendārā.</w:t>
      </w:r>
    </w:p>
    <w:p w14:paraId="383F25AA" w14:textId="2170BF67" w:rsidR="00D34A6B" w:rsidRDefault="00D34A6B" w:rsidP="0035175D">
      <w:pPr>
        <w:spacing w:after="120"/>
        <w:ind w:firstLine="720"/>
        <w:jc w:val="both"/>
        <w:rPr>
          <w:rFonts w:ascii="Times New Roman" w:hAnsi="Times New Roman" w:cs="Times New Roman"/>
          <w:sz w:val="24"/>
          <w:szCs w:val="24"/>
        </w:rPr>
      </w:pPr>
      <w:r>
        <w:rPr>
          <w:rFonts w:ascii="Times New Roman" w:hAnsi="Times New Roman" w:cs="Times New Roman"/>
          <w:sz w:val="24"/>
          <w:szCs w:val="24"/>
        </w:rPr>
        <w:t>Iegādājoties pretgripas vakcīnu centralizētā iepirkumā, kurā piedalās vairāki pretendenti, pastāv iespēja samazināt vakcīnas cenas, tiek atvieglota vakcinācijas procedūra, jo vakcīna tiks piegādāta vakcinācijas iestādēm, kas uzreiz veiks vakcināc</w:t>
      </w:r>
      <w:r w:rsidR="00F97D3A">
        <w:rPr>
          <w:rFonts w:ascii="Times New Roman" w:hAnsi="Times New Roman" w:cs="Times New Roman"/>
          <w:sz w:val="24"/>
          <w:szCs w:val="24"/>
        </w:rPr>
        <w:t>i</w:t>
      </w:r>
      <w:r>
        <w:rPr>
          <w:rFonts w:ascii="Times New Roman" w:hAnsi="Times New Roman" w:cs="Times New Roman"/>
          <w:sz w:val="24"/>
          <w:szCs w:val="24"/>
        </w:rPr>
        <w:t>ju, tādējādi tiks atsolgoti ģimenes ārsti, kam vairs nebūs jāizraksta kompensējamās receptes pretgripas vakcīnai un personām būs vienkāršak vakcīnu saņemt. Tādējādi tiek plānots, ka noņemot šķeršļus pretgripas vakcīnas saņemšanai pretgripas vakcinā</w:t>
      </w:r>
      <w:r w:rsidR="00F97D3A">
        <w:rPr>
          <w:rFonts w:ascii="Times New Roman" w:hAnsi="Times New Roman" w:cs="Times New Roman"/>
          <w:sz w:val="24"/>
          <w:szCs w:val="24"/>
        </w:rPr>
        <w:t>i</w:t>
      </w:r>
      <w:r>
        <w:rPr>
          <w:rFonts w:ascii="Times New Roman" w:hAnsi="Times New Roman" w:cs="Times New Roman"/>
          <w:sz w:val="24"/>
          <w:szCs w:val="24"/>
        </w:rPr>
        <w:t>cjas aptvere varētu palielināties līdz 20% grūtniecēm (šobrīd tā ir 1%) un bērnu līdz 2 gadu vecumam vakcinācjas aptvere varētu palielināties pat līdz 70% (šobrīd tā ir 1,89%).</w:t>
      </w:r>
    </w:p>
    <w:p w14:paraId="3FA0784D" w14:textId="77777777" w:rsidR="00CD3B8F" w:rsidRDefault="00CD3B8F" w:rsidP="00CD3B8F">
      <w:pPr>
        <w:spacing w:after="120"/>
        <w:ind w:firstLine="720"/>
        <w:jc w:val="right"/>
        <w:rPr>
          <w:rFonts w:ascii="Times New Roman" w:hAnsi="Times New Roman" w:cs="Times New Roman"/>
          <w:i/>
          <w:sz w:val="24"/>
          <w:szCs w:val="24"/>
        </w:rPr>
        <w:sectPr w:rsidR="00CD3B8F" w:rsidSect="00333B64">
          <w:pgSz w:w="12240" w:h="15840"/>
          <w:pgMar w:top="1440" w:right="1440" w:bottom="1440" w:left="1701" w:header="708" w:footer="708" w:gutter="0"/>
          <w:cols w:space="708"/>
          <w:docGrid w:linePitch="360"/>
        </w:sectPr>
      </w:pPr>
    </w:p>
    <w:p w14:paraId="6E7C0064" w14:textId="384CBDDA" w:rsidR="00CD3B8F" w:rsidRDefault="008104BD" w:rsidP="00E11AFF">
      <w:pPr>
        <w:spacing w:after="120"/>
        <w:ind w:firstLine="720"/>
        <w:jc w:val="right"/>
        <w:rPr>
          <w:rFonts w:ascii="Times New Roman" w:hAnsi="Times New Roman" w:cs="Times New Roman"/>
          <w:i/>
          <w:sz w:val="24"/>
          <w:szCs w:val="24"/>
        </w:rPr>
      </w:pPr>
      <w:r>
        <w:rPr>
          <w:rFonts w:ascii="Times New Roman" w:hAnsi="Times New Roman" w:cs="Times New Roman"/>
          <w:i/>
          <w:sz w:val="24"/>
          <w:szCs w:val="24"/>
        </w:rPr>
        <w:lastRenderedPageBreak/>
        <w:t>70</w:t>
      </w:r>
      <w:r w:rsidR="00CD3B8F" w:rsidRPr="00E11AFF">
        <w:rPr>
          <w:rFonts w:ascii="Times New Roman" w:hAnsi="Times New Roman" w:cs="Times New Roman"/>
          <w:i/>
          <w:sz w:val="24"/>
          <w:szCs w:val="24"/>
        </w:rPr>
        <w:t>.tabula</w:t>
      </w:r>
    </w:p>
    <w:p w14:paraId="4B31D44E" w14:textId="02394E23" w:rsidR="0074041B" w:rsidRPr="00E11AFF" w:rsidRDefault="0074041B" w:rsidP="00E11AFF">
      <w:pPr>
        <w:spacing w:after="120"/>
        <w:ind w:firstLine="720"/>
        <w:jc w:val="center"/>
        <w:rPr>
          <w:rFonts w:ascii="Times New Roman" w:hAnsi="Times New Roman" w:cs="Times New Roman"/>
          <w:b/>
          <w:sz w:val="24"/>
          <w:szCs w:val="24"/>
        </w:rPr>
      </w:pPr>
      <w:r w:rsidRPr="00E11AFF">
        <w:rPr>
          <w:rFonts w:ascii="Times New Roman" w:hAnsi="Times New Roman" w:cs="Times New Roman"/>
          <w:b/>
          <w:sz w:val="24"/>
          <w:szCs w:val="24"/>
        </w:rPr>
        <w:t>Gribas vakcīnai bērniem un grūtniecēm nepieciešamais finansējums 2017., 2018 un 2019.gadam</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992"/>
        <w:gridCol w:w="846"/>
        <w:gridCol w:w="851"/>
        <w:gridCol w:w="850"/>
        <w:gridCol w:w="851"/>
        <w:gridCol w:w="850"/>
        <w:gridCol w:w="993"/>
        <w:gridCol w:w="708"/>
        <w:gridCol w:w="709"/>
        <w:gridCol w:w="709"/>
        <w:gridCol w:w="850"/>
        <w:gridCol w:w="851"/>
        <w:gridCol w:w="709"/>
      </w:tblGrid>
      <w:tr w:rsidR="00CD3B8F" w14:paraId="72A81615" w14:textId="77777777" w:rsidTr="008967B9">
        <w:trPr>
          <w:cantSplit/>
          <w:trHeight w:val="1505"/>
          <w:jc w:val="center"/>
        </w:trPr>
        <w:tc>
          <w:tcPr>
            <w:tcW w:w="425" w:type="dxa"/>
            <w:shd w:val="clear" w:color="auto" w:fill="E36C0A" w:themeFill="accent6" w:themeFillShade="BF"/>
          </w:tcPr>
          <w:p w14:paraId="02DE718D" w14:textId="77777777" w:rsidR="00CD3B8F" w:rsidRPr="00847710" w:rsidRDefault="00CD3B8F" w:rsidP="00D1261D">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vAlign w:val="center"/>
            <w:hideMark/>
          </w:tcPr>
          <w:p w14:paraId="2AB6D8B5" w14:textId="77777777" w:rsidR="00CD3B8F" w:rsidRPr="00847710" w:rsidRDefault="00CD3B8F" w:rsidP="00D1261D">
            <w:pPr>
              <w:spacing w:after="0" w:line="240" w:lineRule="auto"/>
              <w:rPr>
                <w:rFonts w:ascii="Times New Roman" w:eastAsia="Times New Roman" w:hAnsi="Times New Roman" w:cs="Times New Roman"/>
                <w:b/>
                <w:bCs/>
                <w:sz w:val="20"/>
                <w:szCs w:val="20"/>
                <w:lang w:eastAsia="lv-LV"/>
              </w:rPr>
            </w:pPr>
          </w:p>
        </w:tc>
        <w:tc>
          <w:tcPr>
            <w:tcW w:w="992" w:type="dxa"/>
            <w:shd w:val="clear" w:color="auto" w:fill="E36C0A" w:themeFill="accent6" w:themeFillShade="BF"/>
            <w:textDirection w:val="btLr"/>
            <w:vAlign w:val="center"/>
            <w:hideMark/>
          </w:tcPr>
          <w:p w14:paraId="43A47139" w14:textId="77777777" w:rsidR="00CD3B8F" w:rsidRPr="00847710" w:rsidRDefault="00CD3B8F"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vakcīnas</w:t>
            </w:r>
          </w:p>
          <w:p w14:paraId="16985D8B" w14:textId="77777777" w:rsidR="00CD3B8F" w:rsidRPr="00847710" w:rsidRDefault="00CD3B8F"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6E495C0F" w14:textId="77777777" w:rsidR="00CD3B8F" w:rsidRPr="00847710" w:rsidRDefault="00CD3B8F"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2547" w:type="dxa"/>
            <w:gridSpan w:val="3"/>
            <w:shd w:val="clear" w:color="auto" w:fill="E36C0A" w:themeFill="accent6" w:themeFillShade="BF"/>
            <w:textDirection w:val="btLr"/>
            <w:vAlign w:val="center"/>
          </w:tcPr>
          <w:p w14:paraId="0F5D9EFE" w14:textId="77777777" w:rsidR="00CD3B8F" w:rsidRPr="00847710" w:rsidRDefault="00CD3B8F"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694" w:type="dxa"/>
            <w:gridSpan w:val="3"/>
            <w:shd w:val="clear" w:color="auto" w:fill="E36C0A" w:themeFill="accent6" w:themeFillShade="BF"/>
            <w:textDirection w:val="btLr"/>
            <w:vAlign w:val="center"/>
          </w:tcPr>
          <w:p w14:paraId="15A92D59" w14:textId="77777777" w:rsidR="00CD3B8F" w:rsidRPr="00847710" w:rsidRDefault="00CD3B8F"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6" w:type="dxa"/>
            <w:gridSpan w:val="3"/>
            <w:shd w:val="clear" w:color="auto" w:fill="E36C0A" w:themeFill="accent6" w:themeFillShade="BF"/>
            <w:textDirection w:val="btLr"/>
            <w:vAlign w:val="center"/>
          </w:tcPr>
          <w:p w14:paraId="163D7638" w14:textId="77777777" w:rsidR="00CD3B8F" w:rsidRPr="00847710" w:rsidRDefault="00CD3B8F"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410" w:type="dxa"/>
            <w:gridSpan w:val="3"/>
            <w:shd w:val="clear" w:color="auto" w:fill="E36C0A" w:themeFill="accent6" w:themeFillShade="BF"/>
            <w:textDirection w:val="btLr"/>
            <w:vAlign w:val="center"/>
          </w:tcPr>
          <w:p w14:paraId="4EECEF60" w14:textId="5A978727" w:rsidR="00CD3B8F" w:rsidRPr="00847710" w:rsidRDefault="00CD3B8F"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1F6686">
              <w:rPr>
                <w:rFonts w:ascii="Times New Roman" w:eastAsia="Times New Roman" w:hAnsi="Times New Roman" w:cs="Times New Roman"/>
                <w:b/>
                <w:bCs/>
                <w:sz w:val="20"/>
                <w:szCs w:val="20"/>
                <w:lang w:eastAsia="lv-LV"/>
              </w:rPr>
              <w:t xml:space="preserve">vakcinācijui </w:t>
            </w:r>
            <w:r w:rsidRPr="00847710">
              <w:rPr>
                <w:rFonts w:ascii="Times New Roman" w:eastAsia="Times New Roman" w:hAnsi="Times New Roman" w:cs="Times New Roman"/>
                <w:b/>
                <w:bCs/>
                <w:sz w:val="20"/>
                <w:szCs w:val="20"/>
                <w:lang w:eastAsia="lv-LV"/>
              </w:rPr>
              <w:t>skaits pēc finansējuma piešķīruma</w:t>
            </w:r>
          </w:p>
        </w:tc>
      </w:tr>
      <w:tr w:rsidR="008967B9" w14:paraId="4E91D1EF" w14:textId="77777777" w:rsidTr="008967B9">
        <w:trPr>
          <w:trHeight w:val="640"/>
          <w:jc w:val="center"/>
        </w:trPr>
        <w:tc>
          <w:tcPr>
            <w:tcW w:w="425" w:type="dxa"/>
            <w:shd w:val="clear" w:color="auto" w:fill="FABF8F" w:themeFill="accent6" w:themeFillTint="99"/>
          </w:tcPr>
          <w:p w14:paraId="35640629"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594D2756"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p>
        </w:tc>
        <w:tc>
          <w:tcPr>
            <w:tcW w:w="992" w:type="dxa"/>
            <w:shd w:val="clear" w:color="auto" w:fill="FABF8F" w:themeFill="accent6" w:themeFillTint="99"/>
            <w:vAlign w:val="center"/>
          </w:tcPr>
          <w:p w14:paraId="7FEB0347" w14:textId="77777777" w:rsidR="00CD3B8F" w:rsidRPr="00847710" w:rsidRDefault="00CD3B8F"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75E9B05A"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46" w:type="dxa"/>
            <w:shd w:val="clear" w:color="auto" w:fill="FABF8F" w:themeFill="accent6" w:themeFillTint="99"/>
            <w:vAlign w:val="center"/>
          </w:tcPr>
          <w:p w14:paraId="211F6CC0" w14:textId="77777777" w:rsidR="00CD3B8F"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4D9BC58F" w14:textId="77777777" w:rsidR="00CD3B8F" w:rsidRPr="0012317D" w:rsidRDefault="00CD3B8F"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6BF6E78C" w14:textId="77777777" w:rsidR="00CD3B8F"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7A1DD593" w14:textId="77777777" w:rsidR="00CD3B8F" w:rsidRPr="0012317D" w:rsidRDefault="00CD3B8F"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65976202" w14:textId="77777777" w:rsidR="00CD3B8F"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7B97DF6F" w14:textId="77777777" w:rsidR="00CD3B8F" w:rsidRPr="0012317D" w:rsidRDefault="00CD3B8F"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0C639712" w14:textId="77777777" w:rsidR="00CD3B8F"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63A736D3" w14:textId="77777777" w:rsidR="00CD3B8F" w:rsidRPr="0012317D" w:rsidRDefault="00CD3B8F"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20EF19B7" w14:textId="77777777" w:rsidR="00CD3B8F"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0FBA4BE3" w14:textId="77777777" w:rsidR="00CD3B8F" w:rsidRPr="0012317D" w:rsidRDefault="00CD3B8F"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3" w:type="dxa"/>
            <w:shd w:val="clear" w:color="auto" w:fill="FABF8F" w:themeFill="accent6" w:themeFillTint="99"/>
            <w:vAlign w:val="center"/>
          </w:tcPr>
          <w:p w14:paraId="78FE0519" w14:textId="77777777" w:rsidR="00CD3B8F" w:rsidRPr="00C86312" w:rsidRDefault="00CD3B8F"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441694C8" w14:textId="77777777" w:rsidR="00CD3B8F" w:rsidRPr="00C86312" w:rsidRDefault="00CD3B8F"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8" w:type="dxa"/>
            <w:shd w:val="clear" w:color="auto" w:fill="FABF8F" w:themeFill="accent6" w:themeFillTint="99"/>
            <w:vAlign w:val="center"/>
          </w:tcPr>
          <w:p w14:paraId="31568A82"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600C6C80"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57AB4B15"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0" w:type="dxa"/>
            <w:shd w:val="clear" w:color="auto" w:fill="FABF8F" w:themeFill="accent6" w:themeFillTint="99"/>
            <w:vAlign w:val="center"/>
          </w:tcPr>
          <w:p w14:paraId="616C43A3"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116BAA58"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6A72BB8C" w14:textId="77777777" w:rsidR="00CD3B8F" w:rsidRPr="00847710" w:rsidRDefault="00CD3B8F"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8967B9" w14:paraId="0711F11A" w14:textId="77777777" w:rsidTr="008967B9">
        <w:trPr>
          <w:trHeight w:val="598"/>
          <w:jc w:val="center"/>
        </w:trPr>
        <w:tc>
          <w:tcPr>
            <w:tcW w:w="425" w:type="dxa"/>
            <w:shd w:val="clear" w:color="auto" w:fill="FFFFFF" w:themeFill="background1"/>
          </w:tcPr>
          <w:p w14:paraId="4B2FA320" w14:textId="77777777" w:rsidR="00CD3B8F" w:rsidRPr="00E1067B"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134" w:type="dxa"/>
            <w:shd w:val="clear" w:color="auto" w:fill="FFFFFF" w:themeFill="background1"/>
            <w:vAlign w:val="center"/>
          </w:tcPr>
          <w:p w14:paraId="7D91F2A4" w14:textId="4B31B5C4" w:rsidR="00CD3B8F" w:rsidRPr="00E1067B" w:rsidRDefault="0074041B" w:rsidP="00D1261D">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Gribas </w:t>
            </w:r>
            <w:r w:rsidR="00CD3B8F">
              <w:rPr>
                <w:rFonts w:ascii="Times New Roman" w:eastAsia="Times New Roman" w:hAnsi="Times New Roman" w:cs="Times New Roman"/>
                <w:bCs/>
                <w:sz w:val="20"/>
                <w:szCs w:val="20"/>
                <w:lang w:eastAsia="lv-LV"/>
              </w:rPr>
              <w:t>vakcinācija</w:t>
            </w:r>
          </w:p>
        </w:tc>
        <w:tc>
          <w:tcPr>
            <w:tcW w:w="992" w:type="dxa"/>
            <w:shd w:val="clear" w:color="auto" w:fill="FFFFFF" w:themeFill="background1"/>
            <w:vAlign w:val="center"/>
          </w:tcPr>
          <w:p w14:paraId="63166C9F" w14:textId="51DD69B6" w:rsidR="00CD3B8F" w:rsidRPr="00E1067B" w:rsidRDefault="008A4E22" w:rsidP="00D1261D">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11.61</w:t>
            </w:r>
          </w:p>
        </w:tc>
        <w:tc>
          <w:tcPr>
            <w:tcW w:w="846" w:type="dxa"/>
            <w:shd w:val="clear" w:color="auto" w:fill="FFFFFF" w:themeFill="background1"/>
            <w:vAlign w:val="center"/>
          </w:tcPr>
          <w:p w14:paraId="6E51F117" w14:textId="77777777" w:rsidR="00CD3B8F"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89AFDAF" w14:textId="77777777" w:rsidR="00CD3B8F"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D030601" w14:textId="77777777" w:rsidR="00CD3B8F" w:rsidRPr="00E1067B"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080A2FA1" w14:textId="77777777" w:rsidR="00CD3B8F"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9D1F01C" w14:textId="77777777" w:rsidR="00CD3B8F"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55F513A0" w14:textId="73F04C91" w:rsidR="00CD3B8F" w:rsidRPr="00030FAC" w:rsidRDefault="008A4E22" w:rsidP="00D1261D">
            <w:pPr>
              <w:spacing w:after="0" w:line="240" w:lineRule="auto"/>
              <w:jc w:val="center"/>
              <w:rPr>
                <w:rFonts w:ascii="Times New Roman" w:eastAsia="Times New Roman" w:hAnsi="Times New Roman" w:cs="Times New Roman"/>
                <w:bCs/>
                <w:sz w:val="16"/>
                <w:szCs w:val="16"/>
                <w:lang w:eastAsia="lv-LV"/>
              </w:rPr>
            </w:pPr>
            <w:r>
              <w:rPr>
                <w:rFonts w:ascii="Times New Roman" w:hAnsi="Times New Roman"/>
                <w:bCs/>
                <w:sz w:val="16"/>
                <w:szCs w:val="16"/>
              </w:rPr>
              <w:t>48 826</w:t>
            </w:r>
          </w:p>
        </w:tc>
        <w:tc>
          <w:tcPr>
            <w:tcW w:w="708" w:type="dxa"/>
            <w:shd w:val="clear" w:color="auto" w:fill="FFFFFF" w:themeFill="background1"/>
            <w:vAlign w:val="center"/>
          </w:tcPr>
          <w:p w14:paraId="35FEB678" w14:textId="77777777" w:rsidR="00CD3B8F" w:rsidRPr="00E1067B"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07AAEF2A" w14:textId="77777777" w:rsidR="00CD3B8F" w:rsidRPr="00E1067B"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43A5E25E" w14:textId="77777777" w:rsidR="00CD3B8F" w:rsidRPr="00E1067B"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DEA0E42" w14:textId="77777777" w:rsidR="00CD3B8F"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2731D936" w14:textId="77777777" w:rsidR="00CD3B8F" w:rsidRDefault="00CD3B8F"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E66C149" w14:textId="3721A832" w:rsidR="00CD3B8F" w:rsidRPr="00E1067B" w:rsidRDefault="008A4E22" w:rsidP="00D126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4 206</w:t>
            </w:r>
          </w:p>
        </w:tc>
      </w:tr>
      <w:tr w:rsidR="008967B9" w14:paraId="377BBE7A" w14:textId="77777777" w:rsidTr="008967B9">
        <w:trPr>
          <w:trHeight w:val="296"/>
          <w:jc w:val="center"/>
        </w:trPr>
        <w:tc>
          <w:tcPr>
            <w:tcW w:w="425" w:type="dxa"/>
            <w:shd w:val="clear" w:color="auto" w:fill="FBD4B4" w:themeFill="accent6" w:themeFillTint="66"/>
          </w:tcPr>
          <w:p w14:paraId="565B3548" w14:textId="77777777" w:rsidR="00CD3B8F" w:rsidRPr="00847710" w:rsidRDefault="00CD3B8F" w:rsidP="00D1261D">
            <w:pPr>
              <w:spacing w:after="0" w:line="240" w:lineRule="auto"/>
              <w:rPr>
                <w:rFonts w:ascii="Times New Roman" w:eastAsia="Times New Roman" w:hAnsi="Times New Roman" w:cs="Times New Roman"/>
                <w:sz w:val="20"/>
                <w:szCs w:val="20"/>
                <w:lang w:eastAsia="lv-LV"/>
              </w:rPr>
            </w:pPr>
          </w:p>
        </w:tc>
        <w:tc>
          <w:tcPr>
            <w:tcW w:w="1134" w:type="dxa"/>
            <w:shd w:val="clear" w:color="auto" w:fill="FBD4B4" w:themeFill="accent6" w:themeFillTint="66"/>
            <w:vAlign w:val="bottom"/>
          </w:tcPr>
          <w:p w14:paraId="0417E5E6" w14:textId="77777777" w:rsidR="00CD3B8F" w:rsidRPr="00847710" w:rsidRDefault="00CD3B8F" w:rsidP="00D1261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2" w:type="dxa"/>
            <w:shd w:val="clear" w:color="auto" w:fill="FBD4B4" w:themeFill="accent6" w:themeFillTint="66"/>
            <w:noWrap/>
            <w:vAlign w:val="bottom"/>
          </w:tcPr>
          <w:p w14:paraId="23DB5AC2" w14:textId="77777777" w:rsidR="00CD3B8F" w:rsidRPr="00847710" w:rsidRDefault="00CD3B8F" w:rsidP="00D1261D">
            <w:pPr>
              <w:spacing w:after="0" w:line="240" w:lineRule="auto"/>
              <w:jc w:val="center"/>
              <w:rPr>
                <w:rFonts w:ascii="Times New Roman" w:eastAsia="Times New Roman" w:hAnsi="Times New Roman" w:cs="Times New Roman"/>
                <w:sz w:val="20"/>
                <w:szCs w:val="20"/>
                <w:lang w:eastAsia="lv-LV"/>
              </w:rPr>
            </w:pPr>
          </w:p>
        </w:tc>
        <w:tc>
          <w:tcPr>
            <w:tcW w:w="846" w:type="dxa"/>
            <w:shd w:val="clear" w:color="auto" w:fill="FBD4B4" w:themeFill="accent6" w:themeFillTint="66"/>
            <w:vAlign w:val="center"/>
          </w:tcPr>
          <w:p w14:paraId="313592C7" w14:textId="77777777" w:rsidR="00CD3B8F" w:rsidRPr="00847710" w:rsidRDefault="00CD3B8F" w:rsidP="00D1261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6F4CAF03" w14:textId="77777777" w:rsidR="00CD3B8F" w:rsidRPr="00847710" w:rsidRDefault="00CD3B8F" w:rsidP="00D1261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6BE2F44F" w14:textId="77777777" w:rsidR="00CD3B8F" w:rsidRPr="00847710" w:rsidRDefault="00CD3B8F" w:rsidP="00D1261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7CC35C07" w14:textId="77777777" w:rsidR="00CD3B8F" w:rsidRPr="00847710" w:rsidRDefault="00CD3B8F" w:rsidP="00D1261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6DAE76F2" w14:textId="77777777" w:rsidR="00CD3B8F" w:rsidRPr="00847710" w:rsidRDefault="00CD3B8F" w:rsidP="00D1261D">
            <w:pPr>
              <w:spacing w:after="0" w:line="240" w:lineRule="auto"/>
              <w:jc w:val="center"/>
              <w:rPr>
                <w:rFonts w:ascii="Times New Roman" w:hAnsi="Times New Roman" w:cs="Times New Roman"/>
                <w:sz w:val="20"/>
                <w:szCs w:val="20"/>
              </w:rPr>
            </w:pPr>
          </w:p>
        </w:tc>
        <w:tc>
          <w:tcPr>
            <w:tcW w:w="993" w:type="dxa"/>
            <w:shd w:val="clear" w:color="auto" w:fill="FBD4B4" w:themeFill="accent6" w:themeFillTint="66"/>
            <w:noWrap/>
            <w:vAlign w:val="center"/>
          </w:tcPr>
          <w:p w14:paraId="59160C3C" w14:textId="72137D8D" w:rsidR="00CD3B8F" w:rsidRPr="00030FAC" w:rsidRDefault="008A4E22" w:rsidP="00D1261D">
            <w:pPr>
              <w:spacing w:after="0" w:line="240" w:lineRule="auto"/>
              <w:jc w:val="center"/>
              <w:rPr>
                <w:rFonts w:ascii="Times New Roman" w:eastAsia="Times New Roman" w:hAnsi="Times New Roman" w:cs="Times New Roman"/>
                <w:sz w:val="16"/>
                <w:szCs w:val="16"/>
                <w:lang w:eastAsia="lv-LV"/>
              </w:rPr>
            </w:pPr>
            <w:r>
              <w:rPr>
                <w:rFonts w:ascii="Times New Roman" w:hAnsi="Times New Roman"/>
                <w:bCs/>
                <w:sz w:val="16"/>
                <w:szCs w:val="16"/>
              </w:rPr>
              <w:t>48 826</w:t>
            </w:r>
          </w:p>
        </w:tc>
        <w:tc>
          <w:tcPr>
            <w:tcW w:w="708" w:type="dxa"/>
            <w:shd w:val="clear" w:color="auto" w:fill="FBD4B4" w:themeFill="accent6" w:themeFillTint="66"/>
            <w:vAlign w:val="center"/>
          </w:tcPr>
          <w:p w14:paraId="3DE05069" w14:textId="77777777" w:rsidR="00CD3B8F" w:rsidRPr="00AE3965" w:rsidRDefault="00CD3B8F" w:rsidP="00D1261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61799439" w14:textId="77777777" w:rsidR="00CD3B8F" w:rsidRPr="00AE3965" w:rsidRDefault="00CD3B8F" w:rsidP="00D1261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103844DF" w14:textId="77777777" w:rsidR="00CD3B8F" w:rsidRPr="00AE3965" w:rsidRDefault="00CD3B8F" w:rsidP="00D1261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59B6E3A5" w14:textId="77777777" w:rsidR="00CD3B8F" w:rsidRPr="00AE3965" w:rsidRDefault="00CD3B8F" w:rsidP="00D1261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58481977" w14:textId="77777777" w:rsidR="00CD3B8F" w:rsidRPr="00AE3965" w:rsidRDefault="00CD3B8F" w:rsidP="00D1261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noWrap/>
            <w:vAlign w:val="center"/>
          </w:tcPr>
          <w:p w14:paraId="6105D2FB" w14:textId="6528E3A5" w:rsidR="00CD3B8F" w:rsidRPr="00C86312" w:rsidRDefault="008A4E22" w:rsidP="00D1261D">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eastAsia="Times New Roman" w:hAnsi="Times New Roman" w:cs="Times New Roman"/>
                <w:bCs/>
                <w:sz w:val="20"/>
                <w:szCs w:val="20"/>
                <w:lang w:eastAsia="lv-LV"/>
              </w:rPr>
              <w:t>4 206</w:t>
            </w:r>
          </w:p>
        </w:tc>
      </w:tr>
    </w:tbl>
    <w:p w14:paraId="0969B40E" w14:textId="305E3224" w:rsidR="007A2216" w:rsidRDefault="007A2216" w:rsidP="00CD3B8F">
      <w:pPr>
        <w:spacing w:after="120"/>
        <w:ind w:firstLine="720"/>
        <w:jc w:val="right"/>
        <w:rPr>
          <w:rFonts w:ascii="Times New Roman" w:hAnsi="Times New Roman" w:cs="Times New Roman"/>
          <w:i/>
          <w:sz w:val="24"/>
          <w:szCs w:val="24"/>
        </w:rPr>
      </w:pPr>
    </w:p>
    <w:p w14:paraId="07A94F85" w14:textId="77777777" w:rsidR="007A2216" w:rsidRDefault="007A2216" w:rsidP="007A2216">
      <w:pPr>
        <w:spacing w:after="120"/>
        <w:ind w:firstLine="720"/>
        <w:jc w:val="both"/>
        <w:rPr>
          <w:rFonts w:ascii="Times New Roman" w:hAnsi="Times New Roman" w:cs="Times New Roman"/>
          <w:b/>
          <w:i/>
          <w:sz w:val="24"/>
          <w:szCs w:val="24"/>
        </w:rPr>
      </w:pPr>
      <w:r>
        <w:rPr>
          <w:rFonts w:ascii="Times New Roman" w:hAnsi="Times New Roman" w:cs="Times New Roman"/>
          <w:sz w:val="24"/>
          <w:szCs w:val="24"/>
        </w:rPr>
        <w:tab/>
      </w:r>
      <w:r w:rsidRPr="00122030">
        <w:rPr>
          <w:rFonts w:ascii="Times New Roman" w:hAnsi="Times New Roman" w:cs="Times New Roman"/>
          <w:sz w:val="24"/>
          <w:szCs w:val="24"/>
        </w:rPr>
        <w:t>Paplašinot pretgripas vakcinācijas aptveri, ne tikai tiks paaugstināta iedzīvotāju aizsardzība pret gripas inficēšanās riskiem, samazināts gripas izraisīto komplikāciju un nāves gadījumu risks, bet tiks samazināta gripas izraisīto saslimšanas gadījumu ietekmē uz veselības budžetu un tautsaimniecību kopumā.</w:t>
      </w:r>
      <w:r>
        <w:rPr>
          <w:rFonts w:ascii="Times New Roman" w:hAnsi="Times New Roman" w:cs="Times New Roman"/>
          <w:sz w:val="24"/>
          <w:szCs w:val="24"/>
        </w:rPr>
        <w:t xml:space="preserve">No </w:t>
      </w:r>
      <w:r w:rsidRPr="00122030">
        <w:rPr>
          <w:rFonts w:ascii="Times New Roman" w:hAnsi="Times New Roman" w:cs="Times New Roman"/>
          <w:sz w:val="24"/>
          <w:szCs w:val="24"/>
        </w:rPr>
        <w:t>2019. gad</w:t>
      </w:r>
      <w:r>
        <w:rPr>
          <w:rFonts w:ascii="Times New Roman" w:hAnsi="Times New Roman" w:cs="Times New Roman"/>
          <w:sz w:val="24"/>
          <w:szCs w:val="24"/>
        </w:rPr>
        <w:t>a 1.oktobra</w:t>
      </w:r>
      <w:r w:rsidRPr="00122030">
        <w:rPr>
          <w:rFonts w:ascii="Times New Roman" w:hAnsi="Times New Roman" w:cs="Times New Roman"/>
          <w:sz w:val="24"/>
          <w:szCs w:val="24"/>
        </w:rPr>
        <w:t xml:space="preserve"> nepieciešami</w:t>
      </w:r>
      <w:r>
        <w:rPr>
          <w:rFonts w:ascii="Times New Roman" w:hAnsi="Times New Roman" w:cs="Times New Roman"/>
          <w:sz w:val="24"/>
          <w:szCs w:val="24"/>
        </w:rPr>
        <w:t xml:space="preserve"> </w:t>
      </w:r>
      <w:r w:rsidRPr="00E93259">
        <w:rPr>
          <w:rFonts w:ascii="Times New Roman" w:hAnsi="Times New Roman" w:cs="Times New Roman"/>
          <w:b/>
          <w:sz w:val="24"/>
          <w:szCs w:val="24"/>
        </w:rPr>
        <w:t xml:space="preserve">48 826 </w:t>
      </w:r>
      <w:r w:rsidRPr="00E93259">
        <w:rPr>
          <w:rFonts w:ascii="Times New Roman" w:hAnsi="Times New Roman" w:cs="Times New Roman"/>
          <w:b/>
          <w:i/>
          <w:sz w:val="24"/>
          <w:szCs w:val="24"/>
        </w:rPr>
        <w:t>euro</w:t>
      </w:r>
      <w:r>
        <w:rPr>
          <w:rFonts w:ascii="Times New Roman" w:hAnsi="Times New Roman" w:cs="Times New Roman"/>
          <w:i/>
          <w:sz w:val="24"/>
          <w:szCs w:val="24"/>
        </w:rPr>
        <w:t xml:space="preserve"> </w:t>
      </w:r>
      <w:r w:rsidRPr="00E93259">
        <w:rPr>
          <w:rFonts w:ascii="Times New Roman" w:hAnsi="Times New Roman" w:cs="Times New Roman"/>
          <w:sz w:val="24"/>
          <w:szCs w:val="24"/>
        </w:rPr>
        <w:t xml:space="preserve">(gadam nepieciešami </w:t>
      </w:r>
      <w:r w:rsidRPr="000332EC">
        <w:rPr>
          <w:rFonts w:ascii="Times New Roman" w:hAnsi="Times New Roman" w:cs="Times New Roman"/>
          <w:b/>
          <w:sz w:val="24"/>
          <w:szCs w:val="24"/>
        </w:rPr>
        <w:t>195</w:t>
      </w:r>
      <w:r>
        <w:rPr>
          <w:rFonts w:ascii="Times New Roman" w:hAnsi="Times New Roman" w:cs="Times New Roman"/>
          <w:b/>
          <w:sz w:val="24"/>
          <w:szCs w:val="24"/>
        </w:rPr>
        <w:t> </w:t>
      </w:r>
      <w:r w:rsidRPr="00122030">
        <w:rPr>
          <w:rFonts w:ascii="Times New Roman" w:hAnsi="Times New Roman" w:cs="Times New Roman"/>
          <w:b/>
          <w:sz w:val="24"/>
          <w:szCs w:val="24"/>
        </w:rPr>
        <w:t>304</w:t>
      </w:r>
      <w:r>
        <w:rPr>
          <w:rFonts w:ascii="Times New Roman" w:hAnsi="Times New Roman" w:cs="Times New Roman"/>
          <w:b/>
          <w:sz w:val="24"/>
          <w:szCs w:val="24"/>
        </w:rPr>
        <w:t> </w:t>
      </w:r>
      <w:r w:rsidRPr="00122030">
        <w:rPr>
          <w:rFonts w:ascii="Times New Roman" w:hAnsi="Times New Roman" w:cs="Times New Roman"/>
          <w:b/>
          <w:i/>
          <w:sz w:val="24"/>
          <w:szCs w:val="24"/>
        </w:rPr>
        <w:t>euro</w:t>
      </w:r>
      <w:r>
        <w:rPr>
          <w:rFonts w:ascii="Times New Roman" w:hAnsi="Times New Roman" w:cs="Times New Roman"/>
          <w:b/>
          <w:i/>
          <w:sz w:val="24"/>
          <w:szCs w:val="24"/>
        </w:rPr>
        <w:t xml:space="preserve">) </w:t>
      </w:r>
      <w:r w:rsidRPr="00EA2B59">
        <w:rPr>
          <w:rFonts w:ascii="Times New Roman" w:hAnsi="Times New Roman" w:cs="Times New Roman"/>
          <w:sz w:val="24"/>
          <w:szCs w:val="24"/>
        </w:rPr>
        <w:t>(</w:t>
      </w:r>
      <w:r>
        <w:rPr>
          <w:rFonts w:ascii="Times New Roman" w:hAnsi="Times New Roman" w:cs="Times New Roman"/>
          <w:sz w:val="24"/>
          <w:szCs w:val="24"/>
        </w:rPr>
        <w:t>70.</w:t>
      </w:r>
      <w:r w:rsidRPr="00EA2B59">
        <w:rPr>
          <w:rFonts w:ascii="Times New Roman" w:hAnsi="Times New Roman" w:cs="Times New Roman"/>
          <w:sz w:val="24"/>
          <w:szCs w:val="24"/>
        </w:rPr>
        <w:t>tabula),</w:t>
      </w:r>
      <w:r>
        <w:rPr>
          <w:rFonts w:ascii="Times New Roman" w:hAnsi="Times New Roman" w:cs="Times New Roman"/>
          <w:b/>
          <w:i/>
          <w:sz w:val="24"/>
          <w:szCs w:val="24"/>
        </w:rPr>
        <w:t xml:space="preserve"> </w:t>
      </w:r>
      <w:r>
        <w:rPr>
          <w:rFonts w:ascii="Times New Roman" w:hAnsi="Times New Roman" w:cs="Times New Roman"/>
          <w:sz w:val="24"/>
          <w:szCs w:val="24"/>
        </w:rPr>
        <w:t>lai nodrošinātu grūtnieču un bērnu līdz 2 gadu vecumam vakcināciju pret gripu</w:t>
      </w:r>
      <w:r w:rsidRPr="00122030">
        <w:rPr>
          <w:rFonts w:ascii="Times New Roman" w:hAnsi="Times New Roman" w:cs="Times New Roman"/>
          <w:b/>
          <w:i/>
          <w:sz w:val="24"/>
          <w:szCs w:val="24"/>
        </w:rPr>
        <w:t>.</w:t>
      </w:r>
    </w:p>
    <w:p w14:paraId="28B6500B" w14:textId="43C214EB" w:rsidR="007A2216" w:rsidRDefault="007A2216" w:rsidP="007A2216">
      <w:pPr>
        <w:tabs>
          <w:tab w:val="left" w:pos="4365"/>
        </w:tabs>
        <w:rPr>
          <w:rFonts w:ascii="Times New Roman" w:hAnsi="Times New Roman" w:cs="Times New Roman"/>
          <w:sz w:val="24"/>
          <w:szCs w:val="24"/>
        </w:rPr>
      </w:pPr>
    </w:p>
    <w:p w14:paraId="538618AF" w14:textId="5A6DDCF2" w:rsidR="00CD3B8F" w:rsidRPr="007A2216" w:rsidRDefault="007A2216" w:rsidP="007A2216">
      <w:pPr>
        <w:tabs>
          <w:tab w:val="left" w:pos="4365"/>
        </w:tabs>
        <w:rPr>
          <w:rFonts w:ascii="Times New Roman" w:hAnsi="Times New Roman" w:cs="Times New Roman"/>
          <w:sz w:val="24"/>
          <w:szCs w:val="24"/>
        </w:rPr>
        <w:sectPr w:rsidR="00CD3B8F" w:rsidRPr="007A2216" w:rsidSect="00333B64">
          <w:pgSz w:w="15840" w:h="12240" w:orient="landscape"/>
          <w:pgMar w:top="1701" w:right="1440" w:bottom="1440" w:left="1440" w:header="709" w:footer="709" w:gutter="0"/>
          <w:cols w:space="708"/>
          <w:docGrid w:linePitch="360"/>
        </w:sectPr>
      </w:pPr>
      <w:r>
        <w:rPr>
          <w:rFonts w:ascii="Times New Roman" w:hAnsi="Times New Roman" w:cs="Times New Roman"/>
          <w:sz w:val="24"/>
          <w:szCs w:val="24"/>
        </w:rPr>
        <w:tab/>
      </w:r>
    </w:p>
    <w:p w14:paraId="14D58FE7" w14:textId="3806E471" w:rsidR="00122030" w:rsidRPr="00E93259" w:rsidRDefault="008104BD" w:rsidP="00E93259">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lastRenderedPageBreak/>
        <w:t>71</w:t>
      </w:r>
      <w:r w:rsidR="0096028F" w:rsidRPr="6C65616A">
        <w:rPr>
          <w:rFonts w:ascii="Times New Roman" w:hAnsi="Times New Roman" w:cs="Times New Roman"/>
          <w:i/>
          <w:iCs/>
          <w:sz w:val="24"/>
          <w:szCs w:val="24"/>
        </w:rPr>
        <w:t>.tabula</w:t>
      </w:r>
    </w:p>
    <w:p w14:paraId="6B14742B" w14:textId="5AA54D3A" w:rsidR="00122030" w:rsidRDefault="00122030" w:rsidP="00122030">
      <w:pPr>
        <w:pStyle w:val="tvhtml"/>
        <w:spacing w:before="0" w:beforeAutospacing="0" w:after="0" w:afterAutospacing="0"/>
        <w:jc w:val="center"/>
        <w:rPr>
          <w:lang w:val="lv-LV"/>
        </w:rPr>
      </w:pPr>
      <w:r>
        <w:rPr>
          <w:lang w:val="lv-LV"/>
        </w:rPr>
        <w:t>G</w:t>
      </w:r>
      <w:r w:rsidRPr="0065350C">
        <w:rPr>
          <w:lang w:val="lv-LV"/>
        </w:rPr>
        <w:t xml:space="preserve">rūtnieču un bērnu līdz 2 gadu </w:t>
      </w:r>
      <w:r>
        <w:rPr>
          <w:lang w:val="lv-LV"/>
        </w:rPr>
        <w:t xml:space="preserve">vecumam vakcināciju pret gripu </w:t>
      </w:r>
      <w:r w:rsidR="00E42260">
        <w:rPr>
          <w:lang w:val="lv-LV"/>
        </w:rPr>
        <w:t>nepieciešamais finansējums</w:t>
      </w:r>
    </w:p>
    <w:p w14:paraId="0AB98591" w14:textId="77777777" w:rsidR="00122030" w:rsidRPr="00B779D6" w:rsidRDefault="00122030" w:rsidP="00122030">
      <w:pPr>
        <w:pStyle w:val="tvhtml"/>
        <w:spacing w:before="0" w:beforeAutospacing="0" w:after="0" w:afterAutospacing="0" w:line="293" w:lineRule="atLeast"/>
        <w:jc w:val="right"/>
        <w:rPr>
          <w:i/>
          <w:lang w:val="lv-LV"/>
        </w:rPr>
      </w:pPr>
    </w:p>
    <w:tbl>
      <w:tblPr>
        <w:tblW w:w="11226" w:type="dxa"/>
        <w:jc w:val="center"/>
        <w:tblLayout w:type="fixed"/>
        <w:tblLook w:val="04A0" w:firstRow="1" w:lastRow="0" w:firstColumn="1" w:lastColumn="0" w:noHBand="0" w:noVBand="1"/>
      </w:tblPr>
      <w:tblGrid>
        <w:gridCol w:w="737"/>
        <w:gridCol w:w="1276"/>
        <w:gridCol w:w="983"/>
        <w:gridCol w:w="859"/>
        <w:gridCol w:w="851"/>
        <w:gridCol w:w="709"/>
        <w:gridCol w:w="1275"/>
        <w:gridCol w:w="578"/>
        <w:gridCol w:w="1389"/>
        <w:gridCol w:w="1294"/>
        <w:gridCol w:w="1275"/>
      </w:tblGrid>
      <w:tr w:rsidR="008A4E22" w14:paraId="0AC580B7" w14:textId="77777777" w:rsidTr="008967B9">
        <w:trPr>
          <w:trHeight w:val="480"/>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CD8B" w14:textId="77777777" w:rsidR="00122030" w:rsidRPr="00122030" w:rsidRDefault="00122030" w:rsidP="008967B9">
            <w:pPr>
              <w:ind w:left="-927" w:firstLine="927"/>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Gads</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2EAF403"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Vakcinācijas izmaksas </w:t>
            </w:r>
          </w:p>
          <w:p w14:paraId="7A9FD880"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i/>
                <w:iCs/>
                <w:sz w:val="16"/>
                <w:szCs w:val="16"/>
              </w:rPr>
              <w:t>(4-valentā vakcīna *)</w:t>
            </w:r>
            <w:r w:rsidRPr="00122030">
              <w:rPr>
                <w:rFonts w:ascii="Times New Roman" w:hAnsi="Times New Roman" w:cs="Times New Roman"/>
                <w:bCs/>
                <w:sz w:val="16"/>
                <w:szCs w:val="16"/>
              </w:rPr>
              <w:t xml:space="preserve">, </w:t>
            </w:r>
            <w:r w:rsidRPr="00122030">
              <w:rPr>
                <w:rFonts w:ascii="Times New Roman" w:hAnsi="Times New Roman" w:cs="Times New Roman"/>
                <w:bCs/>
                <w:i/>
                <w:iCs/>
                <w:sz w:val="16"/>
                <w:szCs w:val="16"/>
              </w:rPr>
              <w:t>euro</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6141964B"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Jaundzimušie</w:t>
            </w:r>
          </w:p>
        </w:tc>
        <w:tc>
          <w:tcPr>
            <w:tcW w:w="196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C2F9563"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Grūtnieces</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882BE26"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Kopā nepieciešamais finansējums, </w:t>
            </w:r>
            <w:r w:rsidRPr="00122030">
              <w:rPr>
                <w:rFonts w:ascii="Times New Roman" w:hAnsi="Times New Roman" w:cs="Times New Roman"/>
                <w:bCs/>
                <w:i/>
                <w:iCs/>
                <w:sz w:val="16"/>
                <w:szCs w:val="16"/>
              </w:rPr>
              <w:t>euro</w:t>
            </w:r>
          </w:p>
        </w:tc>
        <w:tc>
          <w:tcPr>
            <w:tcW w:w="1275" w:type="dxa"/>
            <w:vMerge w:val="restart"/>
            <w:tcBorders>
              <w:top w:val="single" w:sz="4" w:space="0" w:color="auto"/>
              <w:left w:val="single" w:sz="8" w:space="0" w:color="auto"/>
              <w:bottom w:val="single" w:sz="4" w:space="0" w:color="auto"/>
              <w:right w:val="single" w:sz="4" w:space="0" w:color="auto"/>
            </w:tcBorders>
            <w:shd w:val="clear" w:color="auto" w:fill="E36C0A" w:themeFill="accent6" w:themeFillShade="BF"/>
            <w:vAlign w:val="center"/>
          </w:tcPr>
          <w:p w14:paraId="4177E7E4" w14:textId="4B427F56" w:rsidR="2E839652" w:rsidRPr="00E93259" w:rsidRDefault="2E839652" w:rsidP="00E93259">
            <w:pPr>
              <w:jc w:val="center"/>
              <w:rPr>
                <w:rFonts w:ascii="Times New Roman" w:hAnsi="Times New Roman" w:cs="Times New Roman"/>
                <w:sz w:val="16"/>
                <w:szCs w:val="16"/>
              </w:rPr>
            </w:pPr>
            <w:r w:rsidRPr="00E93259">
              <w:rPr>
                <w:rFonts w:ascii="Times New Roman" w:hAnsi="Times New Roman" w:cs="Times New Roman"/>
                <w:sz w:val="16"/>
                <w:szCs w:val="16"/>
              </w:rPr>
              <w:t>Kopā nepieciešamais finansējums</w:t>
            </w:r>
            <w:r w:rsidR="4A4D1815" w:rsidRPr="00E93259">
              <w:rPr>
                <w:rFonts w:ascii="Times New Roman" w:hAnsi="Times New Roman" w:cs="Times New Roman"/>
                <w:sz w:val="16"/>
                <w:szCs w:val="16"/>
              </w:rPr>
              <w:t xml:space="preserve"> no 2019.gada 1.oktobra</w:t>
            </w:r>
            <w:r w:rsidRPr="00E93259">
              <w:rPr>
                <w:rFonts w:ascii="Times New Roman" w:hAnsi="Times New Roman" w:cs="Times New Roman"/>
                <w:sz w:val="16"/>
                <w:szCs w:val="16"/>
              </w:rPr>
              <w:t xml:space="preserve">, </w:t>
            </w:r>
            <w:r w:rsidRPr="00E93259">
              <w:rPr>
                <w:rFonts w:ascii="Times New Roman" w:hAnsi="Times New Roman" w:cs="Times New Roman"/>
                <w:i/>
                <w:iCs/>
                <w:sz w:val="16"/>
                <w:szCs w:val="16"/>
              </w:rPr>
              <w:t>euro</w:t>
            </w:r>
          </w:p>
        </w:tc>
      </w:tr>
      <w:tr w:rsidR="00E11AFF" w14:paraId="51DCE6CC" w14:textId="77777777" w:rsidTr="008967B9">
        <w:trPr>
          <w:trHeight w:val="540"/>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55E795D7" w14:textId="77777777" w:rsidR="00122030" w:rsidRPr="00122030" w:rsidRDefault="00122030" w:rsidP="008967B9">
            <w:pPr>
              <w:jc w:val="center"/>
              <w:rPr>
                <w:rFonts w:ascii="Times New Roman" w:hAnsi="Times New Roman" w:cs="Times New Roman"/>
                <w:bCs/>
                <w:color w:val="000000"/>
                <w:sz w:val="16"/>
                <w:szCs w:val="16"/>
              </w:rPr>
            </w:pPr>
          </w:p>
        </w:tc>
        <w:tc>
          <w:tcPr>
            <w:tcW w:w="3118" w:type="dxa"/>
            <w:gridSpan w:val="3"/>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06C3D23" w14:textId="77777777" w:rsidR="00122030" w:rsidRPr="00122030" w:rsidRDefault="00122030" w:rsidP="006522DB">
            <w:pPr>
              <w:rPr>
                <w:rFonts w:ascii="Times New Roman" w:hAnsi="Times New Roman" w:cs="Times New Roman"/>
                <w:bCs/>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43722DFF"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Aptvere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E5B7804"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Nepieciešamais finansējums (aprēķins ar 2 vakcīnas devām), </w:t>
            </w:r>
            <w:r w:rsidRPr="00122030">
              <w:rPr>
                <w:rFonts w:ascii="Times New Roman" w:hAnsi="Times New Roman" w:cs="Times New Roman"/>
                <w:bCs/>
                <w:i/>
                <w:iCs/>
                <w:sz w:val="16"/>
                <w:szCs w:val="16"/>
              </w:rPr>
              <w:t>euro</w:t>
            </w:r>
          </w:p>
        </w:tc>
        <w:tc>
          <w:tcPr>
            <w:tcW w:w="57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6617E5E7"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Aptvere</w:t>
            </w:r>
          </w:p>
        </w:tc>
        <w:tc>
          <w:tcPr>
            <w:tcW w:w="1389" w:type="dxa"/>
            <w:vMerge w:val="restart"/>
            <w:tcBorders>
              <w:top w:val="nil"/>
              <w:left w:val="single" w:sz="4" w:space="0" w:color="auto"/>
              <w:bottom w:val="single" w:sz="4" w:space="0" w:color="000000" w:themeColor="text1"/>
              <w:right w:val="single" w:sz="8" w:space="0" w:color="auto"/>
            </w:tcBorders>
            <w:shd w:val="clear" w:color="auto" w:fill="E36C0A" w:themeFill="accent6" w:themeFillShade="BF"/>
            <w:vAlign w:val="center"/>
            <w:hideMark/>
          </w:tcPr>
          <w:p w14:paraId="3DDBAE74"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Nepieciešamais finansējums </w:t>
            </w:r>
          </w:p>
          <w:p w14:paraId="2FC06252"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(aprēķins ar 1 vakcīnas devu), </w:t>
            </w:r>
            <w:r w:rsidRPr="00122030">
              <w:rPr>
                <w:rFonts w:ascii="Times New Roman" w:hAnsi="Times New Roman" w:cs="Times New Roman"/>
                <w:bCs/>
                <w:i/>
                <w:iCs/>
                <w:sz w:val="16"/>
                <w:szCs w:val="16"/>
              </w:rPr>
              <w:t>euro</w:t>
            </w:r>
          </w:p>
        </w:tc>
        <w:tc>
          <w:tcPr>
            <w:tcW w:w="1294" w:type="dxa"/>
            <w:vMerge/>
            <w:shd w:val="clear" w:color="auto" w:fill="E36C0A" w:themeFill="accent6" w:themeFillShade="BF"/>
            <w:vAlign w:val="center"/>
          </w:tcPr>
          <w:p w14:paraId="0288B6E3" w14:textId="77777777" w:rsidR="00122030" w:rsidRPr="00122030" w:rsidRDefault="00122030" w:rsidP="006522DB">
            <w:pPr>
              <w:rPr>
                <w:rFonts w:ascii="Times New Roman" w:hAnsi="Times New Roman" w:cs="Times New Roman"/>
                <w:b/>
                <w:bCs/>
                <w:sz w:val="16"/>
                <w:szCs w:val="16"/>
              </w:rPr>
            </w:pPr>
          </w:p>
        </w:tc>
        <w:tc>
          <w:tcPr>
            <w:tcW w:w="1275" w:type="dxa"/>
            <w:vMerge/>
          </w:tcPr>
          <w:p w14:paraId="4715DB37" w14:textId="77777777" w:rsidR="006877FF" w:rsidRDefault="006877FF"/>
        </w:tc>
      </w:tr>
      <w:tr w:rsidR="00E11AFF" w14:paraId="474DB374" w14:textId="77777777" w:rsidTr="008967B9">
        <w:trPr>
          <w:trHeight w:val="660"/>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228F1321" w14:textId="77777777" w:rsidR="00122030" w:rsidRPr="00122030" w:rsidRDefault="00122030" w:rsidP="008967B9">
            <w:pPr>
              <w:jc w:val="center"/>
              <w:rPr>
                <w:rFonts w:ascii="Times New Roman" w:hAnsi="Times New Roman" w:cs="Times New Roman"/>
                <w:bCs/>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D9C7F"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 xml:space="preserve">Vakcīnas lieltirgotavas cena </w:t>
            </w:r>
          </w:p>
          <w:p w14:paraId="01C9A73B"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cena ar 12 % PVN **</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135E9"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 xml:space="preserve">Piegādātāja uzcenojums (loģistika) 5% </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DFD53"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Kopā </w:t>
            </w:r>
          </w:p>
        </w:tc>
        <w:tc>
          <w:tcPr>
            <w:tcW w:w="85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A8BFCD1"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 xml:space="preserve">Bērni no 0-1 gadiem </w:t>
            </w:r>
          </w:p>
        </w:tc>
        <w:tc>
          <w:tcPr>
            <w:tcW w:w="70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76EC973"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 xml:space="preserve">Bērni no 1-2 gadiem </w:t>
            </w:r>
          </w:p>
        </w:tc>
        <w:tc>
          <w:tcPr>
            <w:tcW w:w="1275"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0330D5B" w14:textId="77777777" w:rsidR="00122030" w:rsidRPr="00122030" w:rsidRDefault="00122030" w:rsidP="006522DB">
            <w:pPr>
              <w:rPr>
                <w:rFonts w:ascii="Times New Roman" w:hAnsi="Times New Roman" w:cs="Times New Roman"/>
                <w:b/>
                <w:bCs/>
                <w:sz w:val="16"/>
                <w:szCs w:val="16"/>
              </w:rPr>
            </w:pPr>
          </w:p>
        </w:tc>
        <w:tc>
          <w:tcPr>
            <w:tcW w:w="57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119427F7" w14:textId="77777777" w:rsidR="00122030" w:rsidRPr="00122030" w:rsidRDefault="00122030" w:rsidP="006522DB">
            <w:pPr>
              <w:rPr>
                <w:rFonts w:ascii="Times New Roman" w:hAnsi="Times New Roman" w:cs="Times New Roman"/>
                <w:sz w:val="16"/>
                <w:szCs w:val="16"/>
              </w:rPr>
            </w:pPr>
          </w:p>
        </w:tc>
        <w:tc>
          <w:tcPr>
            <w:tcW w:w="1389" w:type="dxa"/>
            <w:vMerge/>
            <w:tcBorders>
              <w:left w:val="single" w:sz="4" w:space="0" w:color="auto"/>
            </w:tcBorders>
            <w:shd w:val="clear" w:color="auto" w:fill="E36C0A" w:themeFill="accent6" w:themeFillShade="BF"/>
            <w:vAlign w:val="center"/>
            <w:hideMark/>
          </w:tcPr>
          <w:p w14:paraId="7BCDE247" w14:textId="77777777" w:rsidR="00122030" w:rsidRPr="00122030" w:rsidRDefault="00122030" w:rsidP="006522DB">
            <w:pPr>
              <w:rPr>
                <w:rFonts w:ascii="Times New Roman" w:hAnsi="Times New Roman" w:cs="Times New Roman"/>
                <w:b/>
                <w:bCs/>
                <w:sz w:val="16"/>
                <w:szCs w:val="16"/>
              </w:rPr>
            </w:pPr>
          </w:p>
        </w:tc>
        <w:tc>
          <w:tcPr>
            <w:tcW w:w="1294" w:type="dxa"/>
            <w:vMerge/>
            <w:shd w:val="clear" w:color="auto" w:fill="E36C0A" w:themeFill="accent6" w:themeFillShade="BF"/>
            <w:vAlign w:val="center"/>
          </w:tcPr>
          <w:p w14:paraId="246EBCCC" w14:textId="77777777" w:rsidR="00122030" w:rsidRPr="00122030" w:rsidRDefault="00122030" w:rsidP="006522DB">
            <w:pPr>
              <w:rPr>
                <w:rFonts w:ascii="Times New Roman" w:hAnsi="Times New Roman" w:cs="Times New Roman"/>
                <w:b/>
                <w:bCs/>
                <w:sz w:val="16"/>
                <w:szCs w:val="16"/>
              </w:rPr>
            </w:pPr>
          </w:p>
        </w:tc>
        <w:tc>
          <w:tcPr>
            <w:tcW w:w="1275" w:type="dxa"/>
            <w:vMerge/>
          </w:tcPr>
          <w:p w14:paraId="1BB3E881" w14:textId="77777777" w:rsidR="006877FF" w:rsidRDefault="006877FF"/>
        </w:tc>
      </w:tr>
      <w:tr w:rsidR="008A4E22" w14:paraId="1A2C9D54" w14:textId="77777777" w:rsidTr="008967B9">
        <w:trPr>
          <w:trHeight w:val="147"/>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0AEA3EB6" w14:textId="77777777" w:rsidR="00122030" w:rsidRPr="00122030" w:rsidRDefault="00122030" w:rsidP="008967B9">
            <w:pPr>
              <w:jc w:val="center"/>
              <w:rPr>
                <w:rFonts w:ascii="Times New Roman" w:hAnsi="Times New Roman" w:cs="Times New Roman"/>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74903A" w14:textId="77777777" w:rsidR="00122030" w:rsidRPr="00122030" w:rsidRDefault="00122030" w:rsidP="006522DB">
            <w:pPr>
              <w:rPr>
                <w:rFonts w:ascii="Times New Roman" w:hAnsi="Times New Roman" w:cs="Times New Roman"/>
                <w:sz w:val="16"/>
                <w:szCs w:val="16"/>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2DCDDF2F" w14:textId="77777777" w:rsidR="00122030" w:rsidRPr="00122030" w:rsidRDefault="00122030" w:rsidP="006522DB">
            <w:pPr>
              <w:rPr>
                <w:rFonts w:ascii="Times New Roman" w:hAnsi="Times New Roman" w:cs="Times New Roman"/>
                <w:sz w:val="16"/>
                <w:szCs w:val="16"/>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4DF7C6F2" w14:textId="77777777" w:rsidR="00122030" w:rsidRPr="00122030" w:rsidRDefault="00122030" w:rsidP="006522DB">
            <w:pPr>
              <w:rPr>
                <w:rFonts w:ascii="Times New Roman" w:hAnsi="Times New Roman" w:cs="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80696"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65B6"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20%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E7B9F3" w14:textId="77777777" w:rsidR="00122030" w:rsidRPr="00122030" w:rsidRDefault="00122030" w:rsidP="006522DB">
            <w:pPr>
              <w:rPr>
                <w:rFonts w:ascii="Times New Roman" w:hAnsi="Times New Roman" w:cs="Times New Roman"/>
                <w:b/>
                <w:bCs/>
                <w:sz w:val="16"/>
                <w:szCs w:val="16"/>
              </w:rPr>
            </w:pP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5A062"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20%</w:t>
            </w:r>
          </w:p>
        </w:tc>
        <w:tc>
          <w:tcPr>
            <w:tcW w:w="1389" w:type="dxa"/>
            <w:vMerge/>
            <w:vAlign w:val="center"/>
            <w:hideMark/>
          </w:tcPr>
          <w:p w14:paraId="357681E1" w14:textId="77777777" w:rsidR="00122030" w:rsidRPr="00122030" w:rsidRDefault="00122030" w:rsidP="006522DB">
            <w:pPr>
              <w:rPr>
                <w:rFonts w:ascii="Times New Roman" w:hAnsi="Times New Roman" w:cs="Times New Roman"/>
                <w:b/>
                <w:bCs/>
                <w:sz w:val="16"/>
                <w:szCs w:val="16"/>
              </w:rPr>
            </w:pPr>
          </w:p>
        </w:tc>
        <w:tc>
          <w:tcPr>
            <w:tcW w:w="1294" w:type="dxa"/>
            <w:vMerge/>
            <w:vAlign w:val="center"/>
            <w:hideMark/>
          </w:tcPr>
          <w:p w14:paraId="1E616A02" w14:textId="77777777" w:rsidR="00122030" w:rsidRPr="00122030" w:rsidRDefault="00122030" w:rsidP="006522DB">
            <w:pPr>
              <w:rPr>
                <w:rFonts w:ascii="Times New Roman" w:hAnsi="Times New Roman" w:cs="Times New Roman"/>
                <w:b/>
                <w:bCs/>
                <w:sz w:val="16"/>
                <w:szCs w:val="16"/>
              </w:rPr>
            </w:pPr>
          </w:p>
        </w:tc>
        <w:tc>
          <w:tcPr>
            <w:tcW w:w="1275" w:type="dxa"/>
            <w:vMerge/>
          </w:tcPr>
          <w:p w14:paraId="2036C313" w14:textId="77777777" w:rsidR="006877FF" w:rsidRDefault="006877FF"/>
        </w:tc>
      </w:tr>
      <w:tr w:rsidR="00E11AFF" w14:paraId="5EE7BDCA" w14:textId="77777777" w:rsidTr="008967B9">
        <w:trPr>
          <w:trHeight w:val="309"/>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67BF" w14:textId="77777777" w:rsidR="00122030" w:rsidRPr="00122030" w:rsidRDefault="00122030" w:rsidP="008967B9">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4E81F"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11.06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D005"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0.55</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E12BB"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4B47"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2 076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1B73E"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4 259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F6DD6"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147 098.70</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79F0"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4 152</w:t>
            </w:r>
          </w:p>
        </w:tc>
        <w:tc>
          <w:tcPr>
            <w:tcW w:w="1389" w:type="dxa"/>
            <w:tcBorders>
              <w:top w:val="nil"/>
              <w:left w:val="nil"/>
              <w:bottom w:val="single" w:sz="4" w:space="0" w:color="auto"/>
              <w:right w:val="nil"/>
            </w:tcBorders>
            <w:shd w:val="clear" w:color="auto" w:fill="auto"/>
            <w:noWrap/>
            <w:vAlign w:val="center"/>
            <w:hideMark/>
          </w:tcPr>
          <w:p w14:paraId="6B33EC2A"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48 204.72</w:t>
            </w:r>
          </w:p>
        </w:tc>
        <w:tc>
          <w:tcPr>
            <w:tcW w:w="1294" w:type="dxa"/>
            <w:tcBorders>
              <w:top w:val="nil"/>
              <w:left w:val="single" w:sz="8" w:space="0" w:color="auto"/>
              <w:bottom w:val="single" w:sz="4" w:space="0" w:color="auto"/>
              <w:right w:val="single" w:sz="4" w:space="0" w:color="auto"/>
            </w:tcBorders>
            <w:shd w:val="clear" w:color="auto" w:fill="FBD4B4" w:themeFill="accent6" w:themeFillTint="66"/>
            <w:noWrap/>
            <w:vAlign w:val="center"/>
            <w:hideMark/>
          </w:tcPr>
          <w:p w14:paraId="41F7EA63" w14:textId="77777777" w:rsidR="00122030" w:rsidRPr="00122030" w:rsidRDefault="00122030" w:rsidP="006522DB">
            <w:pPr>
              <w:jc w:val="center"/>
              <w:rPr>
                <w:rFonts w:ascii="Times New Roman" w:hAnsi="Times New Roman" w:cs="Times New Roman"/>
                <w:b/>
                <w:bCs/>
                <w:sz w:val="16"/>
                <w:szCs w:val="16"/>
              </w:rPr>
            </w:pPr>
            <w:r w:rsidRPr="00122030">
              <w:rPr>
                <w:rFonts w:ascii="Times New Roman" w:hAnsi="Times New Roman" w:cs="Times New Roman"/>
                <w:b/>
                <w:bCs/>
                <w:sz w:val="16"/>
                <w:szCs w:val="16"/>
              </w:rPr>
              <w:t>195 304</w:t>
            </w:r>
          </w:p>
        </w:tc>
        <w:tc>
          <w:tcPr>
            <w:tcW w:w="1275" w:type="dxa"/>
            <w:tcBorders>
              <w:top w:val="nil"/>
              <w:left w:val="single" w:sz="8" w:space="0" w:color="auto"/>
              <w:bottom w:val="single" w:sz="4" w:space="0" w:color="auto"/>
              <w:right w:val="single" w:sz="4" w:space="0" w:color="auto"/>
            </w:tcBorders>
            <w:shd w:val="clear" w:color="auto" w:fill="FBD4B4" w:themeFill="accent6" w:themeFillTint="66"/>
            <w:vAlign w:val="center"/>
          </w:tcPr>
          <w:p w14:paraId="36EEC089" w14:textId="2266783D" w:rsidR="2E839652" w:rsidRPr="00E93259" w:rsidRDefault="4A4D1815" w:rsidP="00E93259">
            <w:pPr>
              <w:jc w:val="center"/>
              <w:rPr>
                <w:rFonts w:ascii="Times New Roman" w:hAnsi="Times New Roman" w:cs="Times New Roman"/>
                <w:b/>
                <w:bCs/>
                <w:sz w:val="16"/>
                <w:szCs w:val="16"/>
              </w:rPr>
            </w:pPr>
            <w:r w:rsidRPr="00E93259">
              <w:rPr>
                <w:rFonts w:ascii="Times New Roman" w:hAnsi="Times New Roman" w:cs="Times New Roman"/>
                <w:b/>
                <w:bCs/>
                <w:sz w:val="16"/>
                <w:szCs w:val="16"/>
              </w:rPr>
              <w:t>48 826</w:t>
            </w:r>
          </w:p>
        </w:tc>
      </w:tr>
      <w:tr w:rsidR="00E11AFF" w14:paraId="5B17D842" w14:textId="77777777" w:rsidTr="008967B9">
        <w:trPr>
          <w:trHeight w:val="270"/>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B68E8D0" w14:textId="77777777" w:rsidR="00122030" w:rsidRPr="00122030" w:rsidRDefault="00122030" w:rsidP="008967B9">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2020</w:t>
            </w:r>
          </w:p>
        </w:tc>
        <w:tc>
          <w:tcPr>
            <w:tcW w:w="1276" w:type="dxa"/>
            <w:tcBorders>
              <w:top w:val="nil"/>
              <w:left w:val="nil"/>
              <w:bottom w:val="single" w:sz="4" w:space="0" w:color="auto"/>
              <w:right w:val="single" w:sz="4" w:space="0" w:color="auto"/>
            </w:tcBorders>
            <w:shd w:val="clear" w:color="auto" w:fill="auto"/>
            <w:noWrap/>
            <w:vAlign w:val="center"/>
            <w:hideMark/>
          </w:tcPr>
          <w:p w14:paraId="02B86C20"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11.06</w:t>
            </w:r>
          </w:p>
        </w:tc>
        <w:tc>
          <w:tcPr>
            <w:tcW w:w="983" w:type="dxa"/>
            <w:tcBorders>
              <w:top w:val="nil"/>
              <w:left w:val="nil"/>
              <w:bottom w:val="single" w:sz="4" w:space="0" w:color="auto"/>
              <w:right w:val="single" w:sz="4" w:space="0" w:color="auto"/>
            </w:tcBorders>
            <w:shd w:val="clear" w:color="auto" w:fill="auto"/>
            <w:noWrap/>
            <w:vAlign w:val="center"/>
            <w:hideMark/>
          </w:tcPr>
          <w:p w14:paraId="7818C523"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0.55</w:t>
            </w:r>
          </w:p>
        </w:tc>
        <w:tc>
          <w:tcPr>
            <w:tcW w:w="859" w:type="dxa"/>
            <w:tcBorders>
              <w:top w:val="nil"/>
              <w:left w:val="nil"/>
              <w:bottom w:val="single" w:sz="4" w:space="0" w:color="auto"/>
              <w:right w:val="single" w:sz="8" w:space="0" w:color="auto"/>
            </w:tcBorders>
            <w:shd w:val="clear" w:color="auto" w:fill="auto"/>
            <w:noWrap/>
            <w:vAlign w:val="center"/>
            <w:hideMark/>
          </w:tcPr>
          <w:p w14:paraId="694FD4CA"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11.61</w:t>
            </w:r>
          </w:p>
        </w:tc>
        <w:tc>
          <w:tcPr>
            <w:tcW w:w="851" w:type="dxa"/>
            <w:tcBorders>
              <w:top w:val="nil"/>
              <w:left w:val="nil"/>
              <w:bottom w:val="single" w:sz="4" w:space="0" w:color="auto"/>
              <w:right w:val="single" w:sz="4" w:space="0" w:color="auto"/>
            </w:tcBorders>
            <w:shd w:val="clear" w:color="auto" w:fill="auto"/>
            <w:noWrap/>
            <w:vAlign w:val="center"/>
            <w:hideMark/>
          </w:tcPr>
          <w:p w14:paraId="36A32AB7"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2 012</w:t>
            </w:r>
          </w:p>
        </w:tc>
        <w:tc>
          <w:tcPr>
            <w:tcW w:w="709" w:type="dxa"/>
            <w:tcBorders>
              <w:top w:val="nil"/>
              <w:left w:val="nil"/>
              <w:bottom w:val="single" w:sz="4" w:space="0" w:color="auto"/>
              <w:right w:val="single" w:sz="4" w:space="0" w:color="auto"/>
            </w:tcBorders>
            <w:shd w:val="clear" w:color="auto" w:fill="auto"/>
            <w:noWrap/>
            <w:vAlign w:val="center"/>
            <w:hideMark/>
          </w:tcPr>
          <w:p w14:paraId="2CAA8673"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4 152</w:t>
            </w:r>
          </w:p>
        </w:tc>
        <w:tc>
          <w:tcPr>
            <w:tcW w:w="1275" w:type="dxa"/>
            <w:tcBorders>
              <w:top w:val="nil"/>
              <w:left w:val="nil"/>
              <w:bottom w:val="single" w:sz="4" w:space="0" w:color="auto"/>
              <w:right w:val="single" w:sz="4" w:space="0" w:color="auto"/>
            </w:tcBorders>
            <w:shd w:val="clear" w:color="auto" w:fill="auto"/>
            <w:noWrap/>
            <w:vAlign w:val="center"/>
            <w:hideMark/>
          </w:tcPr>
          <w:p w14:paraId="24F4A6B2"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143 128.08</w:t>
            </w:r>
          </w:p>
        </w:tc>
        <w:tc>
          <w:tcPr>
            <w:tcW w:w="578" w:type="dxa"/>
            <w:tcBorders>
              <w:top w:val="nil"/>
              <w:left w:val="nil"/>
              <w:bottom w:val="single" w:sz="4" w:space="0" w:color="auto"/>
              <w:right w:val="single" w:sz="4" w:space="0" w:color="auto"/>
            </w:tcBorders>
            <w:shd w:val="clear" w:color="auto" w:fill="auto"/>
            <w:noWrap/>
            <w:vAlign w:val="center"/>
            <w:hideMark/>
          </w:tcPr>
          <w:p w14:paraId="58ABC7FD"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4 024</w:t>
            </w:r>
          </w:p>
        </w:tc>
        <w:tc>
          <w:tcPr>
            <w:tcW w:w="1389" w:type="dxa"/>
            <w:tcBorders>
              <w:top w:val="nil"/>
              <w:left w:val="nil"/>
              <w:bottom w:val="single" w:sz="4" w:space="0" w:color="auto"/>
              <w:right w:val="nil"/>
            </w:tcBorders>
            <w:shd w:val="clear" w:color="auto" w:fill="auto"/>
            <w:noWrap/>
            <w:vAlign w:val="center"/>
            <w:hideMark/>
          </w:tcPr>
          <w:p w14:paraId="51242022"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46 718.64</w:t>
            </w:r>
          </w:p>
        </w:tc>
        <w:tc>
          <w:tcPr>
            <w:tcW w:w="1294" w:type="dxa"/>
            <w:tcBorders>
              <w:top w:val="nil"/>
              <w:left w:val="single" w:sz="8" w:space="0" w:color="auto"/>
              <w:bottom w:val="single" w:sz="4" w:space="0" w:color="auto"/>
              <w:right w:val="single" w:sz="4" w:space="0" w:color="auto"/>
            </w:tcBorders>
            <w:shd w:val="clear" w:color="auto" w:fill="FBD4B4" w:themeFill="accent6" w:themeFillTint="66"/>
            <w:noWrap/>
            <w:vAlign w:val="center"/>
            <w:hideMark/>
          </w:tcPr>
          <w:p w14:paraId="71F18F6A" w14:textId="77777777" w:rsidR="00122030" w:rsidRPr="00122030" w:rsidRDefault="00122030" w:rsidP="006522DB">
            <w:pPr>
              <w:jc w:val="center"/>
              <w:rPr>
                <w:rFonts w:ascii="Times New Roman" w:hAnsi="Times New Roman" w:cs="Times New Roman"/>
                <w:b/>
                <w:bCs/>
                <w:sz w:val="16"/>
                <w:szCs w:val="16"/>
              </w:rPr>
            </w:pPr>
            <w:r w:rsidRPr="00122030">
              <w:rPr>
                <w:rFonts w:ascii="Times New Roman" w:hAnsi="Times New Roman" w:cs="Times New Roman"/>
                <w:b/>
                <w:bCs/>
                <w:sz w:val="16"/>
                <w:szCs w:val="16"/>
              </w:rPr>
              <w:t>189 847</w:t>
            </w:r>
          </w:p>
        </w:tc>
        <w:tc>
          <w:tcPr>
            <w:tcW w:w="1275" w:type="dxa"/>
            <w:tcBorders>
              <w:top w:val="nil"/>
              <w:left w:val="single" w:sz="8" w:space="0" w:color="auto"/>
              <w:bottom w:val="single" w:sz="4" w:space="0" w:color="auto"/>
              <w:right w:val="single" w:sz="4" w:space="0" w:color="auto"/>
            </w:tcBorders>
            <w:shd w:val="clear" w:color="auto" w:fill="FBD4B4" w:themeFill="accent6" w:themeFillTint="66"/>
            <w:vAlign w:val="center"/>
          </w:tcPr>
          <w:p w14:paraId="5100D633" w14:textId="20BF2978" w:rsidR="2E839652" w:rsidRPr="00E93259" w:rsidRDefault="2E839652" w:rsidP="00E93259">
            <w:pPr>
              <w:jc w:val="center"/>
              <w:rPr>
                <w:rFonts w:ascii="Times New Roman" w:hAnsi="Times New Roman" w:cs="Times New Roman"/>
                <w:b/>
                <w:bCs/>
                <w:sz w:val="16"/>
                <w:szCs w:val="16"/>
              </w:rPr>
            </w:pPr>
          </w:p>
        </w:tc>
      </w:tr>
      <w:tr w:rsidR="00E11AFF" w14:paraId="0A9A7E74" w14:textId="77777777" w:rsidTr="008967B9">
        <w:trPr>
          <w:trHeight w:val="27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CD03478" w14:textId="77777777" w:rsidR="00122030" w:rsidRPr="00122030" w:rsidRDefault="00122030" w:rsidP="008967B9">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2021</w:t>
            </w:r>
          </w:p>
        </w:tc>
        <w:tc>
          <w:tcPr>
            <w:tcW w:w="1276" w:type="dxa"/>
            <w:tcBorders>
              <w:top w:val="nil"/>
              <w:left w:val="nil"/>
              <w:bottom w:val="single" w:sz="4" w:space="0" w:color="auto"/>
              <w:right w:val="single" w:sz="4" w:space="0" w:color="auto"/>
            </w:tcBorders>
            <w:shd w:val="clear" w:color="auto" w:fill="auto"/>
            <w:noWrap/>
            <w:vAlign w:val="center"/>
            <w:hideMark/>
          </w:tcPr>
          <w:p w14:paraId="1A79A6EE"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11.06</w:t>
            </w:r>
          </w:p>
        </w:tc>
        <w:tc>
          <w:tcPr>
            <w:tcW w:w="983" w:type="dxa"/>
            <w:tcBorders>
              <w:top w:val="nil"/>
              <w:left w:val="nil"/>
              <w:bottom w:val="single" w:sz="4" w:space="0" w:color="auto"/>
              <w:right w:val="single" w:sz="4" w:space="0" w:color="auto"/>
            </w:tcBorders>
            <w:shd w:val="clear" w:color="auto" w:fill="auto"/>
            <w:noWrap/>
            <w:vAlign w:val="center"/>
            <w:hideMark/>
          </w:tcPr>
          <w:p w14:paraId="4805A8F0"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0.55</w:t>
            </w:r>
          </w:p>
        </w:tc>
        <w:tc>
          <w:tcPr>
            <w:tcW w:w="859" w:type="dxa"/>
            <w:tcBorders>
              <w:top w:val="nil"/>
              <w:left w:val="nil"/>
              <w:bottom w:val="single" w:sz="4" w:space="0" w:color="auto"/>
              <w:right w:val="single" w:sz="8" w:space="0" w:color="auto"/>
            </w:tcBorders>
            <w:shd w:val="clear" w:color="auto" w:fill="auto"/>
            <w:noWrap/>
            <w:vAlign w:val="center"/>
            <w:hideMark/>
          </w:tcPr>
          <w:p w14:paraId="1C2EED09"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11.61</w:t>
            </w:r>
          </w:p>
        </w:tc>
        <w:tc>
          <w:tcPr>
            <w:tcW w:w="851" w:type="dxa"/>
            <w:tcBorders>
              <w:top w:val="nil"/>
              <w:left w:val="nil"/>
              <w:bottom w:val="single" w:sz="4" w:space="0" w:color="auto"/>
              <w:right w:val="single" w:sz="4" w:space="0" w:color="auto"/>
            </w:tcBorders>
            <w:shd w:val="clear" w:color="auto" w:fill="auto"/>
            <w:noWrap/>
            <w:vAlign w:val="center"/>
            <w:hideMark/>
          </w:tcPr>
          <w:p w14:paraId="4F4830AF"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1 940</w:t>
            </w:r>
          </w:p>
        </w:tc>
        <w:tc>
          <w:tcPr>
            <w:tcW w:w="709" w:type="dxa"/>
            <w:tcBorders>
              <w:top w:val="nil"/>
              <w:left w:val="nil"/>
              <w:bottom w:val="single" w:sz="4" w:space="0" w:color="auto"/>
              <w:right w:val="single" w:sz="4" w:space="0" w:color="auto"/>
            </w:tcBorders>
            <w:shd w:val="clear" w:color="auto" w:fill="auto"/>
            <w:noWrap/>
            <w:vAlign w:val="center"/>
            <w:hideMark/>
          </w:tcPr>
          <w:p w14:paraId="1F808F2E"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4 024</w:t>
            </w:r>
          </w:p>
        </w:tc>
        <w:tc>
          <w:tcPr>
            <w:tcW w:w="1275" w:type="dxa"/>
            <w:tcBorders>
              <w:top w:val="nil"/>
              <w:left w:val="nil"/>
              <w:bottom w:val="single" w:sz="4" w:space="0" w:color="auto"/>
              <w:right w:val="single" w:sz="4" w:space="0" w:color="auto"/>
            </w:tcBorders>
            <w:shd w:val="clear" w:color="auto" w:fill="auto"/>
            <w:noWrap/>
            <w:vAlign w:val="center"/>
            <w:hideMark/>
          </w:tcPr>
          <w:p w14:paraId="220196E1"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138 484.08</w:t>
            </w:r>
          </w:p>
        </w:tc>
        <w:tc>
          <w:tcPr>
            <w:tcW w:w="578" w:type="dxa"/>
            <w:tcBorders>
              <w:top w:val="nil"/>
              <w:left w:val="nil"/>
              <w:bottom w:val="single" w:sz="4" w:space="0" w:color="auto"/>
              <w:right w:val="single" w:sz="4" w:space="0" w:color="auto"/>
            </w:tcBorders>
            <w:shd w:val="clear" w:color="auto" w:fill="auto"/>
            <w:noWrap/>
            <w:vAlign w:val="center"/>
            <w:hideMark/>
          </w:tcPr>
          <w:p w14:paraId="3205EDF0"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3 880</w:t>
            </w:r>
          </w:p>
        </w:tc>
        <w:tc>
          <w:tcPr>
            <w:tcW w:w="1389" w:type="dxa"/>
            <w:tcBorders>
              <w:top w:val="nil"/>
              <w:left w:val="nil"/>
              <w:bottom w:val="single" w:sz="4" w:space="0" w:color="auto"/>
              <w:right w:val="nil"/>
            </w:tcBorders>
            <w:shd w:val="clear" w:color="auto" w:fill="auto"/>
            <w:noWrap/>
            <w:vAlign w:val="center"/>
            <w:hideMark/>
          </w:tcPr>
          <w:p w14:paraId="2885CC82"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45 046.80</w:t>
            </w:r>
          </w:p>
        </w:tc>
        <w:tc>
          <w:tcPr>
            <w:tcW w:w="1294" w:type="dxa"/>
            <w:tcBorders>
              <w:top w:val="nil"/>
              <w:left w:val="single" w:sz="8" w:space="0" w:color="auto"/>
              <w:bottom w:val="single" w:sz="4" w:space="0" w:color="auto"/>
              <w:right w:val="single" w:sz="4" w:space="0" w:color="auto"/>
            </w:tcBorders>
            <w:shd w:val="clear" w:color="auto" w:fill="FBD4B4" w:themeFill="accent6" w:themeFillTint="66"/>
            <w:noWrap/>
            <w:vAlign w:val="center"/>
            <w:hideMark/>
          </w:tcPr>
          <w:p w14:paraId="3003532C" w14:textId="77777777" w:rsidR="00122030" w:rsidRPr="00122030" w:rsidRDefault="00122030" w:rsidP="006522DB">
            <w:pPr>
              <w:jc w:val="center"/>
              <w:rPr>
                <w:rFonts w:ascii="Times New Roman" w:hAnsi="Times New Roman" w:cs="Times New Roman"/>
                <w:b/>
                <w:bCs/>
                <w:sz w:val="16"/>
                <w:szCs w:val="16"/>
              </w:rPr>
            </w:pPr>
            <w:r w:rsidRPr="00122030">
              <w:rPr>
                <w:rFonts w:ascii="Times New Roman" w:hAnsi="Times New Roman" w:cs="Times New Roman"/>
                <w:b/>
                <w:bCs/>
                <w:sz w:val="16"/>
                <w:szCs w:val="16"/>
              </w:rPr>
              <w:t>183 531</w:t>
            </w:r>
          </w:p>
        </w:tc>
        <w:tc>
          <w:tcPr>
            <w:tcW w:w="1275" w:type="dxa"/>
            <w:tcBorders>
              <w:top w:val="nil"/>
              <w:left w:val="single" w:sz="8" w:space="0" w:color="auto"/>
              <w:bottom w:val="single" w:sz="4" w:space="0" w:color="auto"/>
              <w:right w:val="single" w:sz="4" w:space="0" w:color="auto"/>
            </w:tcBorders>
            <w:shd w:val="clear" w:color="auto" w:fill="FBD4B4" w:themeFill="accent6" w:themeFillTint="66"/>
            <w:vAlign w:val="center"/>
          </w:tcPr>
          <w:p w14:paraId="134BB9EB" w14:textId="5530E729" w:rsidR="2E839652" w:rsidRPr="00E93259" w:rsidRDefault="2E839652" w:rsidP="00E93259">
            <w:pPr>
              <w:jc w:val="center"/>
              <w:rPr>
                <w:rFonts w:ascii="Times New Roman" w:hAnsi="Times New Roman" w:cs="Times New Roman"/>
                <w:b/>
                <w:bCs/>
                <w:sz w:val="16"/>
                <w:szCs w:val="16"/>
              </w:rPr>
            </w:pPr>
          </w:p>
        </w:tc>
      </w:tr>
    </w:tbl>
    <w:p w14:paraId="63F1D5D8" w14:textId="77777777" w:rsidR="00122030" w:rsidRPr="00122030" w:rsidRDefault="00122030" w:rsidP="00122030">
      <w:pPr>
        <w:pStyle w:val="tvhtml"/>
        <w:spacing w:before="0" w:beforeAutospacing="0" w:after="0" w:afterAutospacing="0"/>
        <w:jc w:val="both"/>
        <w:rPr>
          <w:i/>
          <w:sz w:val="20"/>
          <w:szCs w:val="20"/>
          <w:lang w:val="lv-LV"/>
        </w:rPr>
      </w:pPr>
      <w:r w:rsidRPr="00122030">
        <w:rPr>
          <w:i/>
          <w:sz w:val="20"/>
          <w:szCs w:val="20"/>
          <w:lang w:val="lv-LV"/>
        </w:rPr>
        <w:t>* 4-valentā gripas vakcīna (Vaxigrip Tetra) saskaņā ar lietošanas instrukciju paredzēta no 6 mēnešu vecuma; bērniem no 6 mēn.-24 mēn. nepieciešamas 2 devas, pieaugušajiem – 1 deva.</w:t>
      </w:r>
    </w:p>
    <w:p w14:paraId="37CC514A" w14:textId="4FA5B807" w:rsidR="00122030" w:rsidRPr="00122030" w:rsidRDefault="00122030" w:rsidP="00122030">
      <w:pPr>
        <w:spacing w:after="0" w:line="240" w:lineRule="auto"/>
        <w:jc w:val="both"/>
        <w:rPr>
          <w:rFonts w:ascii="Times New Roman" w:hAnsi="Times New Roman" w:cs="Times New Roman"/>
          <w:sz w:val="20"/>
          <w:szCs w:val="20"/>
        </w:rPr>
      </w:pPr>
      <w:r w:rsidRPr="00122030">
        <w:rPr>
          <w:rFonts w:ascii="Times New Roman" w:hAnsi="Times New Roman" w:cs="Times New Roman"/>
          <w:i/>
          <w:sz w:val="20"/>
          <w:szCs w:val="20"/>
        </w:rPr>
        <w:t>** 4-valentās gripas vakcīnas (Vaxigrip Tetra) cena aprēķināta atbilstoši 2005. gada 25. oktobra Ministru kabineta noteikumiem Nr.803 "Noteikumi par zāļu cenu veidošanas principiem".</w:t>
      </w:r>
    </w:p>
    <w:p w14:paraId="06DF3136" w14:textId="77777777" w:rsidR="0096028F" w:rsidRDefault="0096028F" w:rsidP="00E11AFF">
      <w:pPr>
        <w:spacing w:after="0" w:line="240" w:lineRule="auto"/>
        <w:ind w:firstLine="720"/>
        <w:rPr>
          <w:rFonts w:ascii="Times New Roman" w:hAnsi="Times New Roman" w:cs="Times New Roman"/>
          <w:sz w:val="24"/>
          <w:szCs w:val="24"/>
        </w:rPr>
      </w:pPr>
    </w:p>
    <w:p w14:paraId="7665829F" w14:textId="7B6FB35B" w:rsidR="00122030" w:rsidRPr="00E93259" w:rsidRDefault="008104BD" w:rsidP="00E93259">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72</w:t>
      </w:r>
      <w:r w:rsidR="0096028F" w:rsidRPr="6C65616A">
        <w:rPr>
          <w:rFonts w:ascii="Times New Roman" w:hAnsi="Times New Roman" w:cs="Times New Roman"/>
          <w:i/>
          <w:iCs/>
          <w:sz w:val="24"/>
          <w:szCs w:val="24"/>
        </w:rPr>
        <w:t>.tabula</w:t>
      </w:r>
    </w:p>
    <w:p w14:paraId="1F571AC2" w14:textId="31CA67C7" w:rsidR="00EC1771" w:rsidRPr="00E93259" w:rsidRDefault="00EC1771" w:rsidP="00046D3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Grūtnieču un jaundzimušo skaits</w:t>
      </w:r>
    </w:p>
    <w:tbl>
      <w:tblPr>
        <w:tblW w:w="5807" w:type="dxa"/>
        <w:jc w:val="center"/>
        <w:tblLayout w:type="fixed"/>
        <w:tblLook w:val="04A0" w:firstRow="1" w:lastRow="0" w:firstColumn="1" w:lastColumn="0" w:noHBand="0" w:noVBand="1"/>
      </w:tblPr>
      <w:tblGrid>
        <w:gridCol w:w="699"/>
        <w:gridCol w:w="1139"/>
        <w:gridCol w:w="1843"/>
        <w:gridCol w:w="2126"/>
      </w:tblGrid>
      <w:tr w:rsidR="002864C2" w14:paraId="56191CCA" w14:textId="77777777" w:rsidTr="00E11AFF">
        <w:trPr>
          <w:trHeight w:val="235"/>
          <w:jc w:val="center"/>
        </w:trPr>
        <w:tc>
          <w:tcPr>
            <w:tcW w:w="69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F340A0" w14:textId="77777777" w:rsidR="002864C2" w:rsidRPr="002864C2" w:rsidRDefault="002864C2" w:rsidP="006522DB">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Gads</w:t>
            </w:r>
          </w:p>
        </w:tc>
        <w:tc>
          <w:tcPr>
            <w:tcW w:w="5108" w:type="dxa"/>
            <w:gridSpan w:val="3"/>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090313BE" w14:textId="77777777" w:rsidR="002864C2" w:rsidRPr="002864C2" w:rsidRDefault="002864C2" w:rsidP="006522DB">
            <w:pPr>
              <w:jc w:val="center"/>
              <w:rPr>
                <w:rFonts w:ascii="Times New Roman" w:hAnsi="Times New Roman" w:cs="Times New Roman"/>
                <w:bCs/>
                <w:sz w:val="20"/>
                <w:szCs w:val="20"/>
              </w:rPr>
            </w:pPr>
            <w:r w:rsidRPr="002864C2">
              <w:rPr>
                <w:rFonts w:ascii="Times New Roman" w:hAnsi="Times New Roman" w:cs="Times New Roman"/>
                <w:bCs/>
                <w:sz w:val="20"/>
                <w:szCs w:val="20"/>
              </w:rPr>
              <w:t>Grūtnieču un jaundzimušo skaits *</w:t>
            </w:r>
          </w:p>
        </w:tc>
      </w:tr>
      <w:tr w:rsidR="002864C2" w14:paraId="4F6D6AE7" w14:textId="77777777" w:rsidTr="00E11AFF">
        <w:trPr>
          <w:trHeight w:val="362"/>
          <w:jc w:val="center"/>
        </w:trPr>
        <w:tc>
          <w:tcPr>
            <w:tcW w:w="699" w:type="dxa"/>
            <w:vMerge/>
            <w:tcBorders>
              <w:top w:val="single" w:sz="4" w:space="0" w:color="auto"/>
              <w:left w:val="single" w:sz="4" w:space="0" w:color="auto"/>
              <w:bottom w:val="single" w:sz="4" w:space="0" w:color="auto"/>
              <w:right w:val="single" w:sz="4" w:space="0" w:color="000000"/>
            </w:tcBorders>
            <w:vAlign w:val="center"/>
            <w:hideMark/>
          </w:tcPr>
          <w:p w14:paraId="1C725723" w14:textId="77777777" w:rsidR="002864C2" w:rsidRPr="002864C2" w:rsidRDefault="002864C2" w:rsidP="006522DB">
            <w:pPr>
              <w:rPr>
                <w:rFonts w:ascii="Times New Roman" w:hAnsi="Times New Roman" w:cs="Times New Roman"/>
                <w:bCs/>
                <w:color w:val="000000"/>
                <w:sz w:val="20"/>
                <w:szCs w:val="20"/>
              </w:rPr>
            </w:pPr>
          </w:p>
        </w:tc>
        <w:tc>
          <w:tcPr>
            <w:tcW w:w="1139" w:type="dxa"/>
            <w:tcBorders>
              <w:top w:val="nil"/>
              <w:left w:val="nil"/>
              <w:bottom w:val="single" w:sz="4" w:space="0" w:color="auto"/>
              <w:right w:val="single" w:sz="4" w:space="0" w:color="auto"/>
            </w:tcBorders>
            <w:shd w:val="clear" w:color="auto" w:fill="auto"/>
            <w:vAlign w:val="center"/>
            <w:hideMark/>
          </w:tcPr>
          <w:p w14:paraId="6985A6D0"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Grūtnieces</w:t>
            </w:r>
          </w:p>
        </w:tc>
        <w:tc>
          <w:tcPr>
            <w:tcW w:w="1843" w:type="dxa"/>
            <w:tcBorders>
              <w:top w:val="nil"/>
              <w:left w:val="nil"/>
              <w:bottom w:val="single" w:sz="4" w:space="0" w:color="auto"/>
              <w:right w:val="single" w:sz="4" w:space="0" w:color="auto"/>
            </w:tcBorders>
            <w:shd w:val="clear" w:color="auto" w:fill="auto"/>
            <w:vAlign w:val="center"/>
            <w:hideMark/>
          </w:tcPr>
          <w:p w14:paraId="475D763E"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 xml:space="preserve">Bērni 0 - 1 gadiem </w:t>
            </w:r>
          </w:p>
        </w:tc>
        <w:tc>
          <w:tcPr>
            <w:tcW w:w="2126" w:type="dxa"/>
            <w:tcBorders>
              <w:top w:val="nil"/>
              <w:left w:val="nil"/>
              <w:bottom w:val="single" w:sz="4" w:space="0" w:color="auto"/>
              <w:right w:val="single" w:sz="4" w:space="0" w:color="auto"/>
            </w:tcBorders>
            <w:shd w:val="clear" w:color="auto" w:fill="auto"/>
            <w:vAlign w:val="center"/>
            <w:hideMark/>
          </w:tcPr>
          <w:p w14:paraId="678E0BF4"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 xml:space="preserve">Bērni 1 -2 gadiem </w:t>
            </w:r>
          </w:p>
        </w:tc>
      </w:tr>
      <w:tr w:rsidR="002864C2" w14:paraId="0B4DE71A" w14:textId="77777777" w:rsidTr="00E11AFF">
        <w:trPr>
          <w:trHeight w:val="34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3AB02E6" w14:textId="77777777" w:rsidR="002864C2" w:rsidRPr="002864C2" w:rsidRDefault="002864C2" w:rsidP="006522DB">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429B095F"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20 760</w:t>
            </w:r>
          </w:p>
        </w:tc>
        <w:tc>
          <w:tcPr>
            <w:tcW w:w="1843" w:type="dxa"/>
            <w:tcBorders>
              <w:top w:val="nil"/>
              <w:left w:val="nil"/>
              <w:bottom w:val="single" w:sz="4" w:space="0" w:color="auto"/>
              <w:right w:val="single" w:sz="4" w:space="0" w:color="auto"/>
            </w:tcBorders>
            <w:shd w:val="clear" w:color="auto" w:fill="auto"/>
            <w:noWrap/>
            <w:vAlign w:val="center"/>
            <w:hideMark/>
          </w:tcPr>
          <w:p w14:paraId="50C356DB"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20 760</w:t>
            </w:r>
          </w:p>
        </w:tc>
        <w:tc>
          <w:tcPr>
            <w:tcW w:w="2126" w:type="dxa"/>
            <w:tcBorders>
              <w:top w:val="nil"/>
              <w:left w:val="nil"/>
              <w:bottom w:val="single" w:sz="4" w:space="0" w:color="auto"/>
              <w:right w:val="single" w:sz="4" w:space="0" w:color="auto"/>
            </w:tcBorders>
            <w:shd w:val="clear" w:color="auto" w:fill="auto"/>
            <w:noWrap/>
            <w:vAlign w:val="center"/>
            <w:hideMark/>
          </w:tcPr>
          <w:p w14:paraId="70E7E520"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21 294</w:t>
            </w:r>
          </w:p>
        </w:tc>
      </w:tr>
      <w:tr w:rsidR="002864C2" w14:paraId="491BC1C6" w14:textId="77777777" w:rsidTr="00E11AFF">
        <w:trPr>
          <w:trHeight w:val="25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6A78844" w14:textId="77777777" w:rsidR="002864C2" w:rsidRPr="002864C2" w:rsidRDefault="002864C2" w:rsidP="006522DB">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2020</w:t>
            </w:r>
          </w:p>
        </w:tc>
        <w:tc>
          <w:tcPr>
            <w:tcW w:w="1139" w:type="dxa"/>
            <w:tcBorders>
              <w:top w:val="nil"/>
              <w:left w:val="nil"/>
              <w:bottom w:val="single" w:sz="4" w:space="0" w:color="auto"/>
              <w:right w:val="single" w:sz="4" w:space="0" w:color="auto"/>
            </w:tcBorders>
            <w:shd w:val="clear" w:color="auto" w:fill="auto"/>
            <w:noWrap/>
            <w:vAlign w:val="center"/>
            <w:hideMark/>
          </w:tcPr>
          <w:p w14:paraId="24237EE8"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20 118</w:t>
            </w:r>
          </w:p>
        </w:tc>
        <w:tc>
          <w:tcPr>
            <w:tcW w:w="1843" w:type="dxa"/>
            <w:tcBorders>
              <w:top w:val="nil"/>
              <w:left w:val="nil"/>
              <w:bottom w:val="single" w:sz="4" w:space="0" w:color="auto"/>
              <w:right w:val="single" w:sz="4" w:space="0" w:color="auto"/>
            </w:tcBorders>
            <w:shd w:val="clear" w:color="auto" w:fill="auto"/>
            <w:noWrap/>
            <w:vAlign w:val="center"/>
            <w:hideMark/>
          </w:tcPr>
          <w:p w14:paraId="00C85AD5"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20 118</w:t>
            </w:r>
          </w:p>
        </w:tc>
        <w:tc>
          <w:tcPr>
            <w:tcW w:w="2126" w:type="dxa"/>
            <w:tcBorders>
              <w:top w:val="nil"/>
              <w:left w:val="nil"/>
              <w:bottom w:val="single" w:sz="4" w:space="0" w:color="auto"/>
              <w:right w:val="single" w:sz="4" w:space="0" w:color="auto"/>
            </w:tcBorders>
            <w:shd w:val="clear" w:color="auto" w:fill="auto"/>
            <w:noWrap/>
            <w:vAlign w:val="center"/>
            <w:hideMark/>
          </w:tcPr>
          <w:p w14:paraId="21515AF9"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20 760</w:t>
            </w:r>
          </w:p>
        </w:tc>
      </w:tr>
      <w:tr w:rsidR="002864C2" w14:paraId="23F92D87" w14:textId="77777777" w:rsidTr="00E11AFF">
        <w:trPr>
          <w:trHeight w:val="14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8E59A90" w14:textId="77777777" w:rsidR="002864C2" w:rsidRPr="002864C2" w:rsidRDefault="002864C2" w:rsidP="006522DB">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2021</w:t>
            </w:r>
          </w:p>
        </w:tc>
        <w:tc>
          <w:tcPr>
            <w:tcW w:w="1139" w:type="dxa"/>
            <w:tcBorders>
              <w:top w:val="nil"/>
              <w:left w:val="nil"/>
              <w:bottom w:val="single" w:sz="4" w:space="0" w:color="auto"/>
              <w:right w:val="single" w:sz="4" w:space="0" w:color="auto"/>
            </w:tcBorders>
            <w:shd w:val="clear" w:color="auto" w:fill="auto"/>
            <w:noWrap/>
            <w:vAlign w:val="center"/>
            <w:hideMark/>
          </w:tcPr>
          <w:p w14:paraId="2B676F5D"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19 400</w:t>
            </w:r>
          </w:p>
        </w:tc>
        <w:tc>
          <w:tcPr>
            <w:tcW w:w="1843" w:type="dxa"/>
            <w:tcBorders>
              <w:top w:val="nil"/>
              <w:left w:val="nil"/>
              <w:bottom w:val="single" w:sz="4" w:space="0" w:color="auto"/>
              <w:right w:val="single" w:sz="4" w:space="0" w:color="auto"/>
            </w:tcBorders>
            <w:shd w:val="clear" w:color="auto" w:fill="auto"/>
            <w:noWrap/>
            <w:vAlign w:val="center"/>
            <w:hideMark/>
          </w:tcPr>
          <w:p w14:paraId="3A280F96"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19 400</w:t>
            </w:r>
          </w:p>
        </w:tc>
        <w:tc>
          <w:tcPr>
            <w:tcW w:w="2126" w:type="dxa"/>
            <w:tcBorders>
              <w:top w:val="nil"/>
              <w:left w:val="nil"/>
              <w:bottom w:val="single" w:sz="4" w:space="0" w:color="auto"/>
              <w:right w:val="single" w:sz="4" w:space="0" w:color="auto"/>
            </w:tcBorders>
            <w:shd w:val="clear" w:color="auto" w:fill="auto"/>
            <w:noWrap/>
            <w:vAlign w:val="center"/>
            <w:hideMark/>
          </w:tcPr>
          <w:p w14:paraId="2DEACE4D"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20 118</w:t>
            </w:r>
          </w:p>
        </w:tc>
      </w:tr>
    </w:tbl>
    <w:p w14:paraId="3F8DADA2" w14:textId="057A50CE" w:rsidR="002864C2" w:rsidRDefault="002864C2" w:rsidP="002864C2">
      <w:pPr>
        <w:pStyle w:val="tvhtml"/>
        <w:spacing w:before="0" w:beforeAutospacing="0" w:after="0" w:afterAutospacing="0"/>
        <w:jc w:val="both"/>
        <w:rPr>
          <w:i/>
          <w:iCs/>
          <w:sz w:val="20"/>
          <w:szCs w:val="20"/>
          <w:lang w:val="lv-LV"/>
        </w:rPr>
      </w:pPr>
      <w:r w:rsidRPr="002864C2">
        <w:rPr>
          <w:i/>
          <w:iCs/>
          <w:sz w:val="20"/>
          <w:szCs w:val="20"/>
          <w:lang w:val="lv-LV"/>
        </w:rPr>
        <w:t>*2019.-2021. gada aprēķiniem tiek izmantots SPKC prognozētais dzemdību skaits norādītajā gadā.</w:t>
      </w:r>
    </w:p>
    <w:p w14:paraId="0663CDDA" w14:textId="77777777" w:rsidR="008A4E22" w:rsidRDefault="008A4E22" w:rsidP="002864C2">
      <w:pPr>
        <w:pStyle w:val="tvhtml"/>
        <w:spacing w:before="0" w:beforeAutospacing="0" w:after="0" w:afterAutospacing="0"/>
        <w:jc w:val="both"/>
        <w:rPr>
          <w:i/>
          <w:iCs/>
          <w:sz w:val="20"/>
          <w:szCs w:val="20"/>
          <w:lang w:val="lv-LV"/>
        </w:rPr>
        <w:sectPr w:rsidR="008A4E22" w:rsidSect="00333B64">
          <w:pgSz w:w="15840" w:h="12240" w:orient="landscape"/>
          <w:pgMar w:top="1701" w:right="1440" w:bottom="1440" w:left="1440" w:header="709" w:footer="709" w:gutter="0"/>
          <w:cols w:space="708"/>
          <w:docGrid w:linePitch="360"/>
        </w:sectPr>
      </w:pPr>
    </w:p>
    <w:p w14:paraId="407A95B9" w14:textId="0CADE62C" w:rsidR="009A73E3" w:rsidRPr="002864C2" w:rsidRDefault="009A73E3" w:rsidP="002864C2">
      <w:pPr>
        <w:pStyle w:val="tvhtml"/>
        <w:spacing w:before="0" w:beforeAutospacing="0" w:after="0" w:afterAutospacing="0"/>
        <w:jc w:val="both"/>
        <w:rPr>
          <w:i/>
          <w:iCs/>
          <w:sz w:val="20"/>
          <w:szCs w:val="20"/>
          <w:lang w:val="lv-LV"/>
        </w:rPr>
      </w:pPr>
    </w:p>
    <w:tbl>
      <w:tblPr>
        <w:tblStyle w:val="TableGrid"/>
        <w:tblW w:w="0" w:type="auto"/>
        <w:tblLook w:val="04A0" w:firstRow="1" w:lastRow="0" w:firstColumn="1" w:lastColumn="0" w:noHBand="0" w:noVBand="1"/>
      </w:tblPr>
      <w:tblGrid>
        <w:gridCol w:w="9089"/>
      </w:tblGrid>
      <w:tr w:rsidR="004632FF" w14:paraId="60767E75" w14:textId="77777777" w:rsidTr="004632FF">
        <w:tc>
          <w:tcPr>
            <w:tcW w:w="9089" w:type="dxa"/>
          </w:tcPr>
          <w:p w14:paraId="0F69949A" w14:textId="2ADF55EA" w:rsidR="004632FF" w:rsidRPr="009A73E3" w:rsidRDefault="009A73E3" w:rsidP="00122030">
            <w:pPr>
              <w:jc w:val="both"/>
              <w:rPr>
                <w:rFonts w:ascii="Times New Roman" w:hAnsi="Times New Roman"/>
                <w:b/>
                <w:sz w:val="24"/>
                <w:szCs w:val="24"/>
              </w:rPr>
            </w:pPr>
            <w:r w:rsidRPr="009A73E3">
              <w:rPr>
                <w:rFonts w:ascii="Times New Roman" w:hAnsi="Times New Roman"/>
                <w:b/>
                <w:sz w:val="24"/>
                <w:szCs w:val="24"/>
              </w:rPr>
              <w:t xml:space="preserve">Reformas rezultāts - tiks paaugstināta iedzīvotāju aizsardzība pret gripas inficēšanās riskiem, samazināts gripas izraisīto komplikāciju un nāves gadījumu risks, </w:t>
            </w:r>
            <w:r w:rsidR="003B3433">
              <w:rPr>
                <w:rFonts w:ascii="Times New Roman" w:hAnsi="Times New Roman"/>
                <w:b/>
                <w:sz w:val="24"/>
                <w:szCs w:val="24"/>
              </w:rPr>
              <w:t>kā arī</w:t>
            </w:r>
            <w:r w:rsidRPr="009A73E3">
              <w:rPr>
                <w:rFonts w:ascii="Times New Roman" w:hAnsi="Times New Roman"/>
                <w:b/>
                <w:sz w:val="24"/>
                <w:szCs w:val="24"/>
              </w:rPr>
              <w:t xml:space="preserve"> tiks samazināta gripas izraisīto saslimšanas gadījumu ietekm</w:t>
            </w:r>
            <w:r w:rsidR="003B3433">
              <w:rPr>
                <w:rFonts w:ascii="Times New Roman" w:hAnsi="Times New Roman"/>
                <w:b/>
                <w:sz w:val="24"/>
                <w:szCs w:val="24"/>
              </w:rPr>
              <w:t>e</w:t>
            </w:r>
            <w:r w:rsidRPr="009A73E3">
              <w:rPr>
                <w:rFonts w:ascii="Times New Roman" w:hAnsi="Times New Roman"/>
                <w:b/>
                <w:sz w:val="24"/>
                <w:szCs w:val="24"/>
              </w:rPr>
              <w:t xml:space="preserve"> uz veselības budžetu un tautsaimniecību kopumā</w:t>
            </w:r>
          </w:p>
        </w:tc>
      </w:tr>
    </w:tbl>
    <w:p w14:paraId="2742A651" w14:textId="77777777" w:rsidR="002864C2" w:rsidRPr="00795EAD" w:rsidRDefault="002864C2" w:rsidP="00122030">
      <w:pPr>
        <w:spacing w:after="0" w:line="240" w:lineRule="auto"/>
        <w:ind w:firstLine="720"/>
        <w:jc w:val="both"/>
        <w:rPr>
          <w:rFonts w:ascii="Times New Roman" w:hAnsi="Times New Roman" w:cs="Times New Roman"/>
          <w:sz w:val="24"/>
          <w:szCs w:val="24"/>
        </w:rPr>
      </w:pPr>
    </w:p>
    <w:p w14:paraId="5C480F63" w14:textId="084AA76F" w:rsidR="00B8551A" w:rsidRPr="00D46212" w:rsidRDefault="0071331A" w:rsidP="00D46212">
      <w:pPr>
        <w:pStyle w:val="Heading2"/>
        <w:spacing w:before="0" w:after="200"/>
        <w:ind w:left="425"/>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 xml:space="preserve">5. </w:t>
      </w:r>
      <w:r w:rsidR="000A1217" w:rsidRPr="00901A9F">
        <w:rPr>
          <w:rStyle w:val="Heading1Char"/>
          <w:rFonts w:ascii="Times New Roman" w:hAnsi="Times New Roman" w:cs="Times New Roman"/>
          <w:b/>
          <w:bCs/>
          <w:color w:val="auto"/>
          <w:sz w:val="24"/>
          <w:szCs w:val="24"/>
        </w:rPr>
        <w:t xml:space="preserve"> </w:t>
      </w:r>
      <w:r w:rsidRPr="004D4B58">
        <w:rPr>
          <w:rStyle w:val="Heading1Char"/>
          <w:rFonts w:ascii="Times New Roman" w:hAnsi="Times New Roman" w:cs="Times New Roman"/>
          <w:b/>
          <w:color w:val="auto"/>
          <w:sz w:val="24"/>
          <w:szCs w:val="24"/>
        </w:rPr>
        <w:t>Kardiovas</w:t>
      </w:r>
      <w:r w:rsidR="002B6BD1" w:rsidRPr="00890961">
        <w:rPr>
          <w:rStyle w:val="Heading1Char"/>
          <w:rFonts w:ascii="Times New Roman" w:hAnsi="Times New Roman" w:cs="Times New Roman"/>
          <w:b/>
          <w:bCs/>
          <w:color w:val="auto"/>
          <w:sz w:val="24"/>
          <w:szCs w:val="24"/>
        </w:rPr>
        <w:t>kulārās</w:t>
      </w:r>
      <w:r w:rsidR="002B6BD1" w:rsidRPr="00583196">
        <w:rPr>
          <w:rStyle w:val="Heading1Char"/>
          <w:rFonts w:ascii="Times New Roman" w:hAnsi="Times New Roman" w:cs="Times New Roman"/>
          <w:b/>
          <w:bCs/>
          <w:color w:val="auto"/>
          <w:sz w:val="24"/>
          <w:szCs w:val="24"/>
        </w:rPr>
        <w:t xml:space="preserve"> saslimstības mazināšana</w:t>
      </w:r>
      <w:r w:rsidRPr="00301B7F">
        <w:rPr>
          <w:rStyle w:val="Heading1Char"/>
          <w:rFonts w:ascii="Times New Roman" w:hAnsi="Times New Roman" w:cs="Times New Roman"/>
          <w:b/>
          <w:bCs/>
          <w:color w:val="auto"/>
          <w:sz w:val="24"/>
          <w:szCs w:val="24"/>
        </w:rPr>
        <w:t xml:space="preserve"> un slimību ārstēšanas efektivitātes uzlabošana</w:t>
      </w:r>
    </w:p>
    <w:p w14:paraId="4B7338D1" w14:textId="77777777" w:rsidR="00263C24" w:rsidRPr="00EE3DB9" w:rsidRDefault="00263C24" w:rsidP="002F53B4">
      <w:pPr>
        <w:pStyle w:val="CommentText"/>
        <w:spacing w:after="120" w:line="276" w:lineRule="auto"/>
        <w:ind w:firstLine="720"/>
        <w:jc w:val="both"/>
        <w:rPr>
          <w:rFonts w:ascii="Times New Roman" w:hAnsi="Times New Roman" w:cs="Times New Roman"/>
          <w:sz w:val="24"/>
          <w:szCs w:val="24"/>
        </w:rPr>
      </w:pPr>
      <w:r w:rsidRPr="00EE3DB9">
        <w:rPr>
          <w:rFonts w:ascii="Times New Roman" w:hAnsi="Times New Roman" w:cs="Times New Roman"/>
          <w:sz w:val="24"/>
          <w:szCs w:val="24"/>
        </w:rPr>
        <w:t>Sirds un asinsvadu slimības (turpmāk tekstā – SAS) ir nozīmīga sabiedrības veselības problēma Latvijā, ko vienlaikus apliecina augstie mirstības, saslimstības un hospitalizācijas rādītāji, turklāt SAS ir visizplatītākais nāves cēlonis Latvijā. SAS profilakse un agrīna diagnostika  primārā veselības aprūpes līmenī var mazināt SAS radītās sekas.</w:t>
      </w:r>
    </w:p>
    <w:p w14:paraId="35DA30D3" w14:textId="77777777" w:rsidR="00263C24" w:rsidRPr="00EE3DB9" w:rsidRDefault="00263C24" w:rsidP="002F53B4">
      <w:pPr>
        <w:pStyle w:val="NoSpacing"/>
        <w:spacing w:after="120" w:line="276" w:lineRule="auto"/>
        <w:ind w:firstLine="720"/>
        <w:jc w:val="both"/>
        <w:rPr>
          <w:rFonts w:ascii="Times New Roman" w:hAnsi="Times New Roman" w:cs="Times New Roman"/>
          <w:sz w:val="24"/>
          <w:szCs w:val="24"/>
        </w:rPr>
      </w:pPr>
      <w:r w:rsidRPr="00EE3DB9">
        <w:rPr>
          <w:rFonts w:ascii="Times New Roman" w:hAnsi="Times New Roman" w:cs="Times New Roman"/>
          <w:sz w:val="24"/>
          <w:szCs w:val="24"/>
        </w:rPr>
        <w:t xml:space="preserve">Ar Latvijas kardioloģijas biedrības ekspertiem ir izstrādāta kārtība, kādā sniedzami veselības aprūpes pakalpojumi sirds un asinsvadu slimību profilaksei ar mērķi ieviest primāro profilaksi SAS primārās veselības aprūpes līmenī. Šī kārtība stājās spēkā ar 2018.gada 1.augustu, tāpēc pie sākotnējā programmas ieviešanas šī apguve ir mazāka, bet ieviestā programma ir svarīgs profilakses līdzeklis SAS diagnostikai primārās veselības aprūpes līmenī. </w:t>
      </w:r>
    </w:p>
    <w:p w14:paraId="2006BC74" w14:textId="48593A1F" w:rsidR="00980976" w:rsidRPr="00847710" w:rsidRDefault="0071331A" w:rsidP="00263C24">
      <w:pPr>
        <w:pStyle w:val="NoSpacing"/>
        <w:spacing w:after="120" w:line="276" w:lineRule="auto"/>
        <w:ind w:firstLine="720"/>
        <w:jc w:val="both"/>
        <w:rPr>
          <w:rFonts w:ascii="Times New Roman" w:hAnsi="Times New Roman" w:cs="Times New Roman"/>
          <w:color w:val="000000"/>
          <w:sz w:val="24"/>
          <w:szCs w:val="24"/>
        </w:rPr>
      </w:pPr>
      <w:r w:rsidRPr="00847710">
        <w:rPr>
          <w:rFonts w:ascii="Times New Roman" w:hAnsi="Times New Roman" w:cs="Times New Roman"/>
          <w:color w:val="000000"/>
          <w:sz w:val="24"/>
          <w:szCs w:val="24"/>
        </w:rPr>
        <w:t xml:space="preserve">Izvērtējot pacientu veselības stāvokli un novērtējot SAS risku, pacienti, kuriem būs konstatēts augsts vai ļoti augsts SAS risks, nepieciešamības gadījumā tiks nosūtīti pie kardiologa, kurš veiks tālāko pacienta padziļinātu izmeklēšanu, medikamentu terapijas piemērošanu, nepieciešamības gadījumā nosūtīs uz papildus diagnostiskiem izmeklējumiem vai stacionārai ārstēšanai un nozīmēs adekvātu ārstēšanu. Lai visiem Latvijas iedzīvotājiem vienmērīgu kardiologu veselības aprūpes pakalpojumu pieejamību, nepieciešams nodrošināt kardiologu pieejamību visā Latvijas teritorijā. </w:t>
      </w:r>
      <w:r w:rsidR="00980976" w:rsidRPr="00847710">
        <w:rPr>
          <w:rFonts w:ascii="Times New Roman" w:hAnsi="Times New Roman" w:cs="Times New Roman"/>
          <w:color w:val="000000"/>
          <w:sz w:val="24"/>
          <w:szCs w:val="24"/>
        </w:rPr>
        <w:t xml:space="preserve">Kopumā reformu uzsākšanai SAS profilakses </w:t>
      </w:r>
      <w:r w:rsidR="00980976">
        <w:rPr>
          <w:rFonts w:ascii="Times New Roman" w:hAnsi="Times New Roman" w:cs="Times New Roman"/>
          <w:color w:val="000000"/>
          <w:sz w:val="24"/>
          <w:szCs w:val="24"/>
        </w:rPr>
        <w:t>turpinā</w:t>
      </w:r>
      <w:r w:rsidR="00980976" w:rsidRPr="00847710">
        <w:rPr>
          <w:rFonts w:ascii="Times New Roman" w:hAnsi="Times New Roman" w:cs="Times New Roman"/>
          <w:color w:val="000000"/>
          <w:sz w:val="24"/>
          <w:szCs w:val="24"/>
        </w:rPr>
        <w:t>šanai 201</w:t>
      </w:r>
      <w:r w:rsidR="00980976">
        <w:rPr>
          <w:rFonts w:ascii="Times New Roman" w:hAnsi="Times New Roman" w:cs="Times New Roman"/>
          <w:color w:val="000000"/>
          <w:sz w:val="24"/>
          <w:szCs w:val="24"/>
        </w:rPr>
        <w:t>9</w:t>
      </w:r>
      <w:r w:rsidR="00980976" w:rsidRPr="00847710">
        <w:rPr>
          <w:rFonts w:ascii="Times New Roman" w:hAnsi="Times New Roman" w:cs="Times New Roman"/>
          <w:color w:val="000000"/>
          <w:sz w:val="24"/>
          <w:szCs w:val="24"/>
        </w:rPr>
        <w:t xml:space="preserve">.gadā nepieciešams finansējums </w:t>
      </w:r>
      <w:r w:rsidR="00980976" w:rsidRPr="001D650F">
        <w:rPr>
          <w:rFonts w:ascii="Times New Roman" w:hAnsi="Times New Roman" w:cs="Times New Roman"/>
          <w:b/>
          <w:color w:val="000000"/>
          <w:sz w:val="24"/>
          <w:szCs w:val="24"/>
        </w:rPr>
        <w:t>2</w:t>
      </w:r>
      <w:r w:rsidR="00FD4C60">
        <w:rPr>
          <w:rFonts w:ascii="Times New Roman" w:hAnsi="Times New Roman" w:cs="Times New Roman"/>
          <w:b/>
          <w:color w:val="000000"/>
          <w:sz w:val="24"/>
          <w:szCs w:val="24"/>
        </w:rPr>
        <w:t> 594 17</w:t>
      </w:r>
      <w:r w:rsidR="00545E1F">
        <w:rPr>
          <w:rFonts w:ascii="Times New Roman" w:hAnsi="Times New Roman" w:cs="Times New Roman"/>
          <w:b/>
          <w:color w:val="000000"/>
          <w:sz w:val="24"/>
          <w:szCs w:val="24"/>
        </w:rPr>
        <w:t>9</w:t>
      </w:r>
      <w:r w:rsidR="00980976" w:rsidRPr="001D650F">
        <w:rPr>
          <w:rFonts w:ascii="Times New Roman" w:hAnsi="Times New Roman" w:cs="Times New Roman"/>
          <w:b/>
          <w:color w:val="000000"/>
          <w:sz w:val="24"/>
          <w:szCs w:val="24"/>
        </w:rPr>
        <w:t xml:space="preserve"> </w:t>
      </w:r>
      <w:r w:rsidR="00980976" w:rsidRPr="001D650F">
        <w:rPr>
          <w:rFonts w:ascii="Times New Roman" w:hAnsi="Times New Roman" w:cs="Times New Roman"/>
          <w:b/>
          <w:i/>
          <w:color w:val="000000"/>
          <w:sz w:val="24"/>
          <w:szCs w:val="24"/>
        </w:rPr>
        <w:t>euro</w:t>
      </w:r>
      <w:r w:rsidR="00980976">
        <w:rPr>
          <w:rFonts w:ascii="Times New Roman" w:hAnsi="Times New Roman" w:cs="Times New Roman"/>
          <w:color w:val="000000"/>
          <w:sz w:val="24"/>
          <w:szCs w:val="24"/>
        </w:rPr>
        <w:t xml:space="preserve"> apmērā</w:t>
      </w:r>
      <w:r w:rsidR="00E96FAC">
        <w:rPr>
          <w:rFonts w:ascii="Times New Roman" w:hAnsi="Times New Roman" w:cs="Times New Roman"/>
          <w:color w:val="000000"/>
          <w:sz w:val="24"/>
          <w:szCs w:val="24"/>
        </w:rPr>
        <w:t xml:space="preserve"> (</w:t>
      </w:r>
      <w:r w:rsidR="0024145F">
        <w:rPr>
          <w:rFonts w:ascii="Times New Roman" w:hAnsi="Times New Roman" w:cs="Times New Roman"/>
          <w:color w:val="000000"/>
          <w:sz w:val="24"/>
          <w:szCs w:val="24"/>
        </w:rPr>
        <w:t>73</w:t>
      </w:r>
      <w:r w:rsidR="00E96FAC">
        <w:rPr>
          <w:rFonts w:ascii="Times New Roman" w:hAnsi="Times New Roman" w:cs="Times New Roman"/>
          <w:color w:val="000000"/>
          <w:sz w:val="24"/>
          <w:szCs w:val="24"/>
        </w:rPr>
        <w:t xml:space="preserve">., </w:t>
      </w:r>
      <w:r w:rsidR="00C22FE1">
        <w:rPr>
          <w:rFonts w:ascii="Times New Roman" w:hAnsi="Times New Roman" w:cs="Times New Roman"/>
          <w:color w:val="000000"/>
          <w:sz w:val="24"/>
          <w:szCs w:val="24"/>
        </w:rPr>
        <w:t>7</w:t>
      </w:r>
      <w:r w:rsidR="0024145F">
        <w:rPr>
          <w:rFonts w:ascii="Times New Roman" w:hAnsi="Times New Roman" w:cs="Times New Roman"/>
          <w:color w:val="000000"/>
          <w:sz w:val="24"/>
          <w:szCs w:val="24"/>
        </w:rPr>
        <w:t>4</w:t>
      </w:r>
      <w:r w:rsidR="00E96FAC">
        <w:rPr>
          <w:rFonts w:ascii="Times New Roman" w:hAnsi="Times New Roman" w:cs="Times New Roman"/>
          <w:color w:val="000000"/>
          <w:sz w:val="24"/>
          <w:szCs w:val="24"/>
        </w:rPr>
        <w:t xml:space="preserve">., </w:t>
      </w:r>
      <w:r w:rsidR="00C22FE1">
        <w:rPr>
          <w:rFonts w:ascii="Times New Roman" w:hAnsi="Times New Roman" w:cs="Times New Roman"/>
          <w:color w:val="000000"/>
          <w:sz w:val="24"/>
          <w:szCs w:val="24"/>
        </w:rPr>
        <w:t>7</w:t>
      </w:r>
      <w:r w:rsidR="0024145F">
        <w:rPr>
          <w:rFonts w:ascii="Times New Roman" w:hAnsi="Times New Roman" w:cs="Times New Roman"/>
          <w:color w:val="000000"/>
          <w:sz w:val="24"/>
          <w:szCs w:val="24"/>
        </w:rPr>
        <w:t>5</w:t>
      </w:r>
      <w:r w:rsidR="00E96FAC">
        <w:rPr>
          <w:rFonts w:ascii="Times New Roman" w:hAnsi="Times New Roman" w:cs="Times New Roman"/>
          <w:color w:val="000000"/>
          <w:sz w:val="24"/>
          <w:szCs w:val="24"/>
        </w:rPr>
        <w:t xml:space="preserve">. un </w:t>
      </w:r>
      <w:r w:rsidR="00C22FE1">
        <w:rPr>
          <w:rFonts w:ascii="Times New Roman" w:hAnsi="Times New Roman" w:cs="Times New Roman"/>
          <w:color w:val="000000"/>
          <w:sz w:val="24"/>
          <w:szCs w:val="24"/>
        </w:rPr>
        <w:t>7</w:t>
      </w:r>
      <w:r w:rsidR="0024145F">
        <w:rPr>
          <w:rFonts w:ascii="Times New Roman" w:hAnsi="Times New Roman" w:cs="Times New Roman"/>
          <w:color w:val="000000"/>
          <w:sz w:val="24"/>
          <w:szCs w:val="24"/>
        </w:rPr>
        <w:t>6</w:t>
      </w:r>
      <w:r w:rsidR="00E96FAC">
        <w:rPr>
          <w:rFonts w:ascii="Times New Roman" w:hAnsi="Times New Roman" w:cs="Times New Roman"/>
          <w:color w:val="000000"/>
          <w:sz w:val="24"/>
          <w:szCs w:val="24"/>
        </w:rPr>
        <w:t>.tabula)</w:t>
      </w:r>
      <w:r w:rsidR="00980976" w:rsidRPr="00847710">
        <w:rPr>
          <w:rFonts w:ascii="Times New Roman" w:hAnsi="Times New Roman" w:cs="Times New Roman"/>
          <w:color w:val="000000"/>
          <w:sz w:val="24"/>
          <w:szCs w:val="24"/>
        </w:rPr>
        <w:t>.</w:t>
      </w:r>
    </w:p>
    <w:p w14:paraId="6D4A776C" w14:textId="43E823E3" w:rsidR="00B165D5" w:rsidRPr="00847710" w:rsidRDefault="008104BD" w:rsidP="00B165D5">
      <w:pPr>
        <w:pStyle w:val="ListParagraph"/>
        <w:spacing w:after="0" w:line="240" w:lineRule="auto"/>
        <w:ind w:left="357"/>
        <w:jc w:val="right"/>
        <w:rPr>
          <w:rFonts w:ascii="Times New Roman" w:hAnsi="Times New Roman"/>
          <w:sz w:val="24"/>
          <w:szCs w:val="24"/>
          <w:lang w:val="lv-LV"/>
        </w:rPr>
      </w:pPr>
      <w:r>
        <w:rPr>
          <w:rFonts w:ascii="Times New Roman" w:hAnsi="Times New Roman"/>
          <w:sz w:val="24"/>
          <w:szCs w:val="24"/>
          <w:lang w:val="lv-LV"/>
        </w:rPr>
        <w:t>73</w:t>
      </w:r>
      <w:r w:rsidR="0071331A" w:rsidRPr="00847710">
        <w:rPr>
          <w:rFonts w:ascii="Times New Roman" w:hAnsi="Times New Roman"/>
          <w:sz w:val="24"/>
          <w:szCs w:val="24"/>
          <w:lang w:val="lv-LV"/>
        </w:rPr>
        <w:t>.</w:t>
      </w:r>
      <w:r>
        <w:rPr>
          <w:rFonts w:ascii="Times New Roman" w:hAnsi="Times New Roman"/>
          <w:i/>
          <w:iCs/>
          <w:sz w:val="24"/>
          <w:szCs w:val="24"/>
          <w:lang w:val="lv-LV"/>
        </w:rPr>
        <w:t>tabula</w:t>
      </w:r>
    </w:p>
    <w:p w14:paraId="5CD4596D" w14:textId="2B143E7A" w:rsidR="00B165D5" w:rsidRPr="00F60978" w:rsidRDefault="00980976">
      <w:pPr>
        <w:pStyle w:val="ListParagraph"/>
        <w:spacing w:after="0" w:line="240" w:lineRule="auto"/>
        <w:ind w:left="357"/>
        <w:jc w:val="center"/>
        <w:rPr>
          <w:rFonts w:ascii="Times New Roman" w:hAnsi="Times New Roman"/>
          <w:b/>
          <w:bCs/>
          <w:sz w:val="24"/>
          <w:szCs w:val="24"/>
          <w:lang w:val="lv-LV"/>
        </w:rPr>
      </w:pPr>
      <w:r>
        <w:rPr>
          <w:rFonts w:ascii="Times New Roman" w:hAnsi="Times New Roman"/>
          <w:b/>
          <w:bCs/>
          <w:sz w:val="24"/>
          <w:szCs w:val="24"/>
          <w:lang w:val="lv-LV"/>
        </w:rPr>
        <w:t>Kardiovaskulāro saslimšanu risks, pielietojot SCORE metodi</w:t>
      </w:r>
      <w:r w:rsidR="0071331A" w:rsidRPr="00BD7921">
        <w:rPr>
          <w:rFonts w:ascii="Times New Roman" w:hAnsi="Times New Roman"/>
          <w:b/>
          <w:bCs/>
          <w:sz w:val="24"/>
          <w:szCs w:val="24"/>
          <w:lang w:val="lv-LV"/>
        </w:rPr>
        <w:t xml:space="preserve"> nepieciešamo līdzekļu sadalījums</w:t>
      </w:r>
      <w:r>
        <w:rPr>
          <w:rFonts w:ascii="Times New Roman" w:hAnsi="Times New Roman"/>
          <w:b/>
          <w:bCs/>
          <w:sz w:val="24"/>
          <w:szCs w:val="24"/>
          <w:lang w:val="lv-LV"/>
        </w:rPr>
        <w:t xml:space="preserve"> 2019.gadam</w:t>
      </w:r>
    </w:p>
    <w:p w14:paraId="597799B7" w14:textId="77777777" w:rsidR="00B165D5" w:rsidRPr="00847710" w:rsidRDefault="00B165D5" w:rsidP="00B165D5">
      <w:pPr>
        <w:pStyle w:val="ListParagraph"/>
        <w:spacing w:after="0" w:line="240" w:lineRule="auto"/>
        <w:ind w:left="357"/>
        <w:jc w:val="center"/>
        <w:rPr>
          <w:rFonts w:ascii="Times New Roman" w:hAnsi="Times New Roman"/>
          <w:b/>
          <w:sz w:val="24"/>
          <w:szCs w:val="24"/>
          <w:lang w:val="lv-LV"/>
        </w:rPr>
      </w:pPr>
    </w:p>
    <w:tbl>
      <w:tblPr>
        <w:tblW w:w="8739" w:type="dxa"/>
        <w:tblLayout w:type="fixed"/>
        <w:tblLook w:val="04A0" w:firstRow="1" w:lastRow="0" w:firstColumn="1" w:lastColumn="0" w:noHBand="0" w:noVBand="1"/>
      </w:tblPr>
      <w:tblGrid>
        <w:gridCol w:w="1696"/>
        <w:gridCol w:w="1276"/>
        <w:gridCol w:w="851"/>
        <w:gridCol w:w="992"/>
        <w:gridCol w:w="1276"/>
        <w:gridCol w:w="1372"/>
        <w:gridCol w:w="1276"/>
      </w:tblGrid>
      <w:tr w:rsidR="00980976" w14:paraId="12EA929B" w14:textId="77777777" w:rsidTr="00980976">
        <w:trPr>
          <w:trHeight w:val="522"/>
        </w:trPr>
        <w:tc>
          <w:tcPr>
            <w:tcW w:w="1696"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4C520992"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PVA posms</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0246073A"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Laboratorija, </w:t>
            </w:r>
            <w:r w:rsidRPr="00980976">
              <w:rPr>
                <w:rFonts w:ascii="Times New Roman" w:eastAsia="Times New Roman" w:hAnsi="Times New Roman" w:cs="Times New Roman"/>
                <w:i/>
                <w:color w:val="000000"/>
                <w:sz w:val="20"/>
                <w:szCs w:val="20"/>
                <w:lang w:eastAsia="lv-LV"/>
              </w:rPr>
              <w:t>euro</w:t>
            </w:r>
          </w:p>
        </w:tc>
        <w:tc>
          <w:tcPr>
            <w:tcW w:w="85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38FDFBC"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PVA, </w:t>
            </w:r>
            <w:r w:rsidRPr="00980976">
              <w:rPr>
                <w:rFonts w:ascii="Times New Roman" w:eastAsia="Times New Roman" w:hAnsi="Times New Roman" w:cs="Times New Roman"/>
                <w:i/>
                <w:color w:val="000000"/>
                <w:sz w:val="20"/>
                <w:szCs w:val="20"/>
                <w:lang w:eastAsia="lv-LV"/>
              </w:rPr>
              <w:t>euro</w:t>
            </w:r>
          </w:p>
        </w:tc>
        <w:tc>
          <w:tcPr>
            <w:tcW w:w="99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1871AD2"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Mērķa grupa</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71CCDDE"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Aptveres koeficents*</w:t>
            </w:r>
          </w:p>
        </w:tc>
        <w:tc>
          <w:tcPr>
            <w:tcW w:w="137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712A6D9"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Laboratorijas finansējums, </w:t>
            </w:r>
            <w:r w:rsidRPr="00980976">
              <w:rPr>
                <w:rFonts w:ascii="Times New Roman" w:eastAsia="Times New Roman" w:hAnsi="Times New Roman" w:cs="Times New Roman"/>
                <w:i/>
                <w:color w:val="000000"/>
                <w:sz w:val="20"/>
                <w:szCs w:val="20"/>
                <w:lang w:eastAsia="lv-LV"/>
              </w:rPr>
              <w:t>euro</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197AD92"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PVA finansējums, </w:t>
            </w:r>
            <w:r w:rsidRPr="00980976">
              <w:rPr>
                <w:rFonts w:ascii="Times New Roman" w:eastAsia="Times New Roman" w:hAnsi="Times New Roman" w:cs="Times New Roman"/>
                <w:i/>
                <w:color w:val="000000"/>
                <w:sz w:val="20"/>
                <w:szCs w:val="20"/>
                <w:lang w:eastAsia="lv-LV"/>
              </w:rPr>
              <w:t>euro</w:t>
            </w:r>
          </w:p>
        </w:tc>
      </w:tr>
      <w:tr w:rsidR="00980976" w14:paraId="4A655A5D" w14:textId="77777777" w:rsidTr="00980976">
        <w:trPr>
          <w:trHeight w:val="300"/>
        </w:trPr>
        <w:tc>
          <w:tcPr>
            <w:tcW w:w="169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7FCA02" w14:textId="77777777" w:rsidR="00CD0431"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Pacientu riska novērtēšana</w:t>
            </w:r>
          </w:p>
          <w:p w14:paraId="4C07129C" w14:textId="72303575"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 (1 posms PVA praksē)</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661BD65"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1.00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2EAB938D"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6.34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748431F"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158 647</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A43A6E5"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0.5</w:t>
            </w:r>
          </w:p>
        </w:tc>
        <w:tc>
          <w:tcPr>
            <w:tcW w:w="13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0668698"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79 324</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846422C"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502 911</w:t>
            </w:r>
          </w:p>
        </w:tc>
      </w:tr>
    </w:tbl>
    <w:p w14:paraId="6C0E0B68" w14:textId="77777777" w:rsidR="006E4C98" w:rsidRDefault="006E4C98" w:rsidP="006E4C98">
      <w:pPr>
        <w:pStyle w:val="NoSpacing"/>
        <w:spacing w:line="264" w:lineRule="auto"/>
        <w:ind w:firstLine="720"/>
        <w:jc w:val="right"/>
        <w:rPr>
          <w:rFonts w:ascii="Times New Roman" w:hAnsi="Times New Roman" w:cs="Times New Roman"/>
          <w:sz w:val="24"/>
          <w:szCs w:val="24"/>
        </w:rPr>
      </w:pPr>
    </w:p>
    <w:p w14:paraId="6449F214" w14:textId="77777777" w:rsidR="008967B9" w:rsidRDefault="008967B9" w:rsidP="00E93259">
      <w:pPr>
        <w:pStyle w:val="NoSpacing"/>
        <w:spacing w:line="264" w:lineRule="auto"/>
        <w:ind w:firstLine="720"/>
        <w:jc w:val="right"/>
        <w:rPr>
          <w:rFonts w:ascii="Times New Roman" w:hAnsi="Times New Roman" w:cs="Times New Roman"/>
          <w:i/>
          <w:iCs/>
          <w:sz w:val="24"/>
          <w:szCs w:val="24"/>
        </w:rPr>
      </w:pPr>
    </w:p>
    <w:p w14:paraId="32060356" w14:textId="77777777" w:rsidR="008967B9" w:rsidRDefault="008967B9" w:rsidP="00E93259">
      <w:pPr>
        <w:pStyle w:val="NoSpacing"/>
        <w:spacing w:line="264" w:lineRule="auto"/>
        <w:ind w:firstLine="720"/>
        <w:jc w:val="right"/>
        <w:rPr>
          <w:rFonts w:ascii="Times New Roman" w:hAnsi="Times New Roman" w:cs="Times New Roman"/>
          <w:i/>
          <w:iCs/>
          <w:sz w:val="24"/>
          <w:szCs w:val="24"/>
        </w:rPr>
      </w:pPr>
    </w:p>
    <w:p w14:paraId="3A5E302E" w14:textId="77777777" w:rsidR="008967B9" w:rsidRDefault="008967B9" w:rsidP="00E93259">
      <w:pPr>
        <w:pStyle w:val="NoSpacing"/>
        <w:spacing w:line="264" w:lineRule="auto"/>
        <w:ind w:firstLine="720"/>
        <w:jc w:val="right"/>
        <w:rPr>
          <w:rFonts w:ascii="Times New Roman" w:hAnsi="Times New Roman" w:cs="Times New Roman"/>
          <w:i/>
          <w:iCs/>
          <w:sz w:val="24"/>
          <w:szCs w:val="24"/>
        </w:rPr>
      </w:pPr>
    </w:p>
    <w:p w14:paraId="0B75B974" w14:textId="77777777" w:rsidR="008967B9" w:rsidRDefault="008967B9" w:rsidP="00E93259">
      <w:pPr>
        <w:pStyle w:val="NoSpacing"/>
        <w:spacing w:line="264" w:lineRule="auto"/>
        <w:ind w:firstLine="720"/>
        <w:jc w:val="right"/>
        <w:rPr>
          <w:rFonts w:ascii="Times New Roman" w:hAnsi="Times New Roman" w:cs="Times New Roman"/>
          <w:i/>
          <w:iCs/>
          <w:sz w:val="24"/>
          <w:szCs w:val="24"/>
        </w:rPr>
      </w:pPr>
    </w:p>
    <w:p w14:paraId="7471D866" w14:textId="4A6B24F5" w:rsidR="00305E78" w:rsidRPr="00E93259" w:rsidRDefault="00C22FE1" w:rsidP="00E93259">
      <w:pPr>
        <w:pStyle w:val="NoSpacing"/>
        <w:spacing w:line="264"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lastRenderedPageBreak/>
        <w:t>7</w:t>
      </w:r>
      <w:r w:rsidR="008104BD">
        <w:rPr>
          <w:rFonts w:ascii="Times New Roman" w:hAnsi="Times New Roman" w:cs="Times New Roman"/>
          <w:i/>
          <w:iCs/>
          <w:sz w:val="24"/>
          <w:szCs w:val="24"/>
        </w:rPr>
        <w:t>4</w:t>
      </w:r>
      <w:r w:rsidR="006E4C98" w:rsidRPr="6C65616A">
        <w:rPr>
          <w:rFonts w:ascii="Times New Roman" w:hAnsi="Times New Roman" w:cs="Times New Roman"/>
          <w:i/>
          <w:iCs/>
          <w:sz w:val="24"/>
          <w:szCs w:val="24"/>
        </w:rPr>
        <w:t>.tabula</w:t>
      </w:r>
    </w:p>
    <w:p w14:paraId="1ACA50E3" w14:textId="49E16729" w:rsidR="006E4C98" w:rsidRPr="00E351C0" w:rsidRDefault="00E351C0" w:rsidP="00E351C0">
      <w:pPr>
        <w:pStyle w:val="NoSpacing"/>
        <w:spacing w:line="264" w:lineRule="auto"/>
        <w:ind w:firstLine="720"/>
        <w:jc w:val="center"/>
        <w:rPr>
          <w:rFonts w:ascii="Times New Roman" w:hAnsi="Times New Roman" w:cs="Times New Roman"/>
          <w:b/>
          <w:sz w:val="24"/>
          <w:szCs w:val="24"/>
        </w:rPr>
      </w:pPr>
      <w:r>
        <w:rPr>
          <w:rFonts w:ascii="Times New Roman" w:hAnsi="Times New Roman" w:cs="Times New Roman"/>
          <w:b/>
          <w:sz w:val="24"/>
          <w:szCs w:val="24"/>
        </w:rPr>
        <w:t>Laboratoriskie izmeklējumi PVA praksē 2019.gadā</w:t>
      </w:r>
    </w:p>
    <w:tbl>
      <w:tblPr>
        <w:tblW w:w="8739" w:type="dxa"/>
        <w:tblLayout w:type="fixed"/>
        <w:tblLook w:val="04A0" w:firstRow="1" w:lastRow="0" w:firstColumn="1" w:lastColumn="0" w:noHBand="0" w:noVBand="1"/>
      </w:tblPr>
      <w:tblGrid>
        <w:gridCol w:w="4203"/>
        <w:gridCol w:w="1701"/>
        <w:gridCol w:w="1134"/>
        <w:gridCol w:w="1701"/>
      </w:tblGrid>
      <w:tr w:rsidR="006E4C98" w14:paraId="0DE47FFB" w14:textId="77777777" w:rsidTr="00E93259">
        <w:trPr>
          <w:trHeight w:val="509"/>
        </w:trPr>
        <w:tc>
          <w:tcPr>
            <w:tcW w:w="4203"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3236968"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08F9692"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Viena izmeklējuma tarifs, </w:t>
            </w:r>
            <w:r w:rsidRPr="00BA35EF">
              <w:rPr>
                <w:rFonts w:ascii="Times New Roman" w:eastAsia="Times New Roman" w:hAnsi="Times New Roman" w:cs="Times New Roman"/>
                <w:i/>
                <w:color w:val="000000"/>
                <w:sz w:val="16"/>
                <w:szCs w:val="16"/>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F902612"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līdzekļi, </w:t>
            </w:r>
            <w:r w:rsidRPr="00BA35EF">
              <w:rPr>
                <w:rFonts w:ascii="Times New Roman" w:eastAsia="Times New Roman" w:hAnsi="Times New Roman" w:cs="Times New Roman"/>
                <w:i/>
                <w:color w:val="000000"/>
                <w:sz w:val="16"/>
                <w:szCs w:val="16"/>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81161DF"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 </w:t>
            </w:r>
            <w:r w:rsidRPr="00BA35EF">
              <w:rPr>
                <w:rFonts w:ascii="Times New Roman" w:eastAsia="Times New Roman" w:hAnsi="Times New Roman" w:cs="Times New Roman"/>
                <w:i/>
                <w:color w:val="000000"/>
                <w:sz w:val="16"/>
                <w:szCs w:val="16"/>
                <w:lang w:eastAsia="lv-LV"/>
              </w:rPr>
              <w:t>euro</w:t>
            </w:r>
          </w:p>
        </w:tc>
      </w:tr>
      <w:tr w:rsidR="006E4C98" w14:paraId="1373BB2B" w14:textId="77777777" w:rsidTr="00E93259">
        <w:trPr>
          <w:trHeight w:val="509"/>
        </w:trPr>
        <w:tc>
          <w:tcPr>
            <w:tcW w:w="4203" w:type="dxa"/>
            <w:vMerge/>
            <w:vAlign w:val="center"/>
            <w:hideMark/>
          </w:tcPr>
          <w:p w14:paraId="120E7D1A"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p>
        </w:tc>
        <w:tc>
          <w:tcPr>
            <w:tcW w:w="1701" w:type="dxa"/>
            <w:vMerge/>
            <w:vAlign w:val="center"/>
            <w:hideMark/>
          </w:tcPr>
          <w:p w14:paraId="50E21BC5"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p>
        </w:tc>
        <w:tc>
          <w:tcPr>
            <w:tcW w:w="1134" w:type="dxa"/>
            <w:vMerge/>
            <w:vAlign w:val="center"/>
            <w:hideMark/>
          </w:tcPr>
          <w:p w14:paraId="0D503FCB"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p>
        </w:tc>
        <w:tc>
          <w:tcPr>
            <w:tcW w:w="1701" w:type="dxa"/>
            <w:vMerge/>
            <w:vAlign w:val="center"/>
            <w:hideMark/>
          </w:tcPr>
          <w:p w14:paraId="5AABFF73"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p>
        </w:tc>
      </w:tr>
      <w:tr w:rsidR="006E4C98" w14:paraId="120ACA1A" w14:textId="77777777" w:rsidTr="00E93259">
        <w:trPr>
          <w:trHeight w:val="212"/>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E012AC"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Glikoze asinīs (41095)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4393737"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207ED95"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532343D"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0.51</w:t>
            </w:r>
          </w:p>
        </w:tc>
      </w:tr>
      <w:tr w:rsidR="006E4C98" w14:paraId="73F9CFD9" w14:textId="77777777" w:rsidTr="00E93259">
        <w:trPr>
          <w:trHeight w:val="144"/>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F7F4ED"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Holesterīns (41056 vai 41057)</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D7C0BC1"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0.98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ADBB4EB"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9B871FD"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r>
      <w:tr w:rsidR="006E4C98" w14:paraId="753CB448" w14:textId="77777777" w:rsidTr="00E93259">
        <w:trPr>
          <w:trHeight w:val="90"/>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A7A8F9"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SCORE noteikšana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80A3D16"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BD64CA9"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5747B6CD"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w:t>
            </w:r>
          </w:p>
        </w:tc>
      </w:tr>
      <w:tr w:rsidR="006E4C98" w14:paraId="1EDE1950" w14:textId="77777777" w:rsidTr="00E93259">
        <w:trPr>
          <w:trHeight w:val="177"/>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DD17E2" w14:textId="77777777" w:rsidR="006E4C98" w:rsidRPr="00BA35EF" w:rsidRDefault="006E4C98" w:rsidP="00D071CB">
            <w:pPr>
              <w:spacing w:after="0" w:line="240" w:lineRule="auto"/>
              <w:jc w:val="right"/>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Kopā, </w:t>
            </w:r>
            <w:r w:rsidRPr="00BA35EF">
              <w:rPr>
                <w:rFonts w:ascii="Times New Roman" w:eastAsia="Times New Roman" w:hAnsi="Times New Roman" w:cs="Times New Roman"/>
                <w:i/>
                <w:color w:val="000000"/>
                <w:sz w:val="16"/>
                <w:szCs w:val="16"/>
                <w:lang w:eastAsia="lv-LV"/>
              </w:rPr>
              <w:t>euro</w:t>
            </w:r>
            <w:r w:rsidRPr="00BA35EF">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0E9F7F8" w14:textId="77777777" w:rsidR="006E4C98" w:rsidRPr="00BA35EF" w:rsidRDefault="006E4C98" w:rsidP="00D071CB">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7.34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ADAA7C8" w14:textId="77777777" w:rsidR="006E4C98" w:rsidRPr="00BA35EF" w:rsidRDefault="006E4C98" w:rsidP="00D071CB">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6.34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1637075" w14:textId="77777777" w:rsidR="006E4C98" w:rsidRPr="00BA35EF" w:rsidRDefault="006E4C98" w:rsidP="00D071CB">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1.00</w:t>
            </w:r>
          </w:p>
        </w:tc>
      </w:tr>
      <w:tr w:rsidR="006E4C98" w14:paraId="4C70EDEF" w14:textId="77777777" w:rsidTr="00E93259">
        <w:trPr>
          <w:trHeight w:val="330"/>
        </w:trPr>
        <w:tc>
          <w:tcPr>
            <w:tcW w:w="5904" w:type="dxa"/>
            <w:gridSpan w:val="2"/>
            <w:tcBorders>
              <w:top w:val="nil"/>
              <w:left w:val="nil"/>
              <w:bottom w:val="nil"/>
              <w:right w:val="nil"/>
            </w:tcBorders>
            <w:shd w:val="clear" w:color="auto" w:fill="FFFFFF" w:themeFill="background1"/>
            <w:noWrap/>
            <w:vAlign w:val="center"/>
            <w:hideMark/>
          </w:tcPr>
          <w:p w14:paraId="497DDF9D" w14:textId="77777777" w:rsidR="006E4C98" w:rsidRPr="00BA35EF" w:rsidRDefault="006E4C98" w:rsidP="00D071CB">
            <w:pPr>
              <w:spacing w:after="0" w:line="240" w:lineRule="auto"/>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auto" w:fill="FFFFFF" w:themeFill="background1"/>
            <w:noWrap/>
            <w:vAlign w:val="bottom"/>
            <w:hideMark/>
          </w:tcPr>
          <w:p w14:paraId="7CF863CC" w14:textId="77777777" w:rsidR="006E4C98" w:rsidRPr="00BA35EF" w:rsidRDefault="006E4C98" w:rsidP="00D071CB">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c>
          <w:tcPr>
            <w:tcW w:w="1701" w:type="dxa"/>
            <w:tcBorders>
              <w:top w:val="nil"/>
              <w:left w:val="nil"/>
              <w:bottom w:val="nil"/>
              <w:right w:val="nil"/>
            </w:tcBorders>
            <w:shd w:val="clear" w:color="auto" w:fill="FFFFFF" w:themeFill="background1"/>
            <w:noWrap/>
            <w:vAlign w:val="bottom"/>
            <w:hideMark/>
          </w:tcPr>
          <w:p w14:paraId="60197A2D" w14:textId="77777777" w:rsidR="006E4C98" w:rsidRPr="00BA35EF" w:rsidRDefault="006E4C98" w:rsidP="00D071CB">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r>
    </w:tbl>
    <w:p w14:paraId="0F0C2800" w14:textId="79A55C97" w:rsidR="003233EC" w:rsidRPr="00E93259" w:rsidRDefault="00C22FE1" w:rsidP="00E93259">
      <w:pPr>
        <w:pStyle w:val="NoSpacing"/>
        <w:spacing w:line="264" w:lineRule="auto"/>
        <w:jc w:val="right"/>
        <w:rPr>
          <w:rFonts w:ascii="Times New Roman" w:eastAsia="Times New Roman" w:hAnsi="Times New Roman" w:cs="Times New Roman"/>
          <w:i/>
          <w:iCs/>
          <w:sz w:val="24"/>
          <w:szCs w:val="24"/>
          <w:lang w:eastAsia="lv-LV" w:bidi="lv-LV"/>
        </w:rPr>
      </w:pPr>
      <w:r>
        <w:rPr>
          <w:rFonts w:ascii="Times New Roman" w:eastAsia="Times New Roman" w:hAnsi="Times New Roman" w:cs="Times New Roman"/>
          <w:i/>
          <w:iCs/>
          <w:sz w:val="24"/>
          <w:szCs w:val="24"/>
          <w:shd w:val="clear" w:color="auto" w:fill="FFFFFF"/>
          <w:lang w:eastAsia="lv-LV" w:bidi="lv-LV"/>
        </w:rPr>
        <w:t>7</w:t>
      </w:r>
      <w:r w:rsidR="008104BD">
        <w:rPr>
          <w:rFonts w:ascii="Times New Roman" w:eastAsia="Times New Roman" w:hAnsi="Times New Roman" w:cs="Times New Roman"/>
          <w:i/>
          <w:iCs/>
          <w:sz w:val="24"/>
          <w:szCs w:val="24"/>
          <w:shd w:val="clear" w:color="auto" w:fill="FFFFFF"/>
          <w:lang w:eastAsia="lv-LV" w:bidi="lv-LV"/>
        </w:rPr>
        <w:t>5</w:t>
      </w:r>
      <w:r w:rsidR="0096028F" w:rsidRPr="704995BB">
        <w:rPr>
          <w:rFonts w:ascii="Times New Roman" w:eastAsia="Times New Roman" w:hAnsi="Times New Roman" w:cs="Times New Roman"/>
          <w:i/>
          <w:iCs/>
          <w:sz w:val="24"/>
          <w:szCs w:val="24"/>
          <w:shd w:val="clear" w:color="auto" w:fill="FFFFFF"/>
          <w:lang w:eastAsia="lv-LV" w:bidi="lv-LV"/>
        </w:rPr>
        <w:t>.tabula</w:t>
      </w:r>
    </w:p>
    <w:p w14:paraId="09F7C50B" w14:textId="5F80494B" w:rsidR="00E351C0" w:rsidRPr="00967C02" w:rsidRDefault="00E351C0" w:rsidP="00967C02">
      <w:pPr>
        <w:pStyle w:val="NoSpacing"/>
        <w:spacing w:line="264" w:lineRule="auto"/>
        <w:ind w:firstLine="720"/>
        <w:jc w:val="center"/>
        <w:rPr>
          <w:rFonts w:ascii="Times New Roman" w:eastAsia="Times New Roman" w:hAnsi="Times New Roman" w:cs="Times New Roman"/>
          <w:b/>
          <w:sz w:val="24"/>
          <w:szCs w:val="24"/>
          <w:shd w:val="clear" w:color="auto" w:fill="FFFFFF"/>
          <w:lang w:eastAsia="lv-LV" w:bidi="lv-LV"/>
        </w:rPr>
      </w:pPr>
      <w:r w:rsidRPr="64AB90BD">
        <w:rPr>
          <w:rFonts w:ascii="Times New Roman" w:eastAsia="Times New Roman" w:hAnsi="Times New Roman" w:cs="Times New Roman"/>
          <w:b/>
          <w:bCs/>
          <w:sz w:val="24"/>
          <w:szCs w:val="24"/>
          <w:shd w:val="clear" w:color="auto" w:fill="FFFFFF"/>
          <w:lang w:eastAsia="lv-LV" w:bidi="lv-LV"/>
        </w:rPr>
        <w:t>Rīcība pēc sirds un asinsvadu slimības riska vērtējuma noteikšanai nepieciešamais finansējums 2019.gadam (2 posms – tālākie izmeklējumi)</w:t>
      </w:r>
    </w:p>
    <w:tbl>
      <w:tblPr>
        <w:tblW w:w="8075" w:type="dxa"/>
        <w:jc w:val="center"/>
        <w:tblLayout w:type="fixed"/>
        <w:tblLook w:val="04A0" w:firstRow="1" w:lastRow="0" w:firstColumn="1" w:lastColumn="0" w:noHBand="0" w:noVBand="1"/>
      </w:tblPr>
      <w:tblGrid>
        <w:gridCol w:w="1018"/>
        <w:gridCol w:w="652"/>
        <w:gridCol w:w="607"/>
        <w:gridCol w:w="647"/>
        <w:gridCol w:w="663"/>
        <w:gridCol w:w="839"/>
        <w:gridCol w:w="557"/>
        <w:gridCol w:w="1011"/>
        <w:gridCol w:w="185"/>
        <w:gridCol w:w="736"/>
        <w:gridCol w:w="24"/>
        <w:gridCol w:w="1136"/>
      </w:tblGrid>
      <w:tr w:rsidR="00E351C0" w14:paraId="28FFADCE" w14:textId="77777777" w:rsidTr="00252943">
        <w:trPr>
          <w:trHeight w:val="869"/>
          <w:jc w:val="center"/>
        </w:trPr>
        <w:tc>
          <w:tcPr>
            <w:tcW w:w="101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1E4E863"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Riska grupa</w:t>
            </w:r>
          </w:p>
        </w:tc>
        <w:tc>
          <w:tcPr>
            <w:tcW w:w="652"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65B3E73E"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Laboratorija</w:t>
            </w:r>
          </w:p>
        </w:tc>
        <w:tc>
          <w:tcPr>
            <w:tcW w:w="607"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41BB2817"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w:t>
            </w:r>
          </w:p>
        </w:tc>
        <w:tc>
          <w:tcPr>
            <w:tcW w:w="647"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43FDC9C8"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SAVA</w:t>
            </w:r>
          </w:p>
        </w:tc>
        <w:tc>
          <w:tcPr>
            <w:tcW w:w="66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A32C5CF"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Kopā</w:t>
            </w:r>
          </w:p>
        </w:tc>
        <w:tc>
          <w:tcPr>
            <w:tcW w:w="839"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08DB9355"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Mērķa grupa</w:t>
            </w:r>
          </w:p>
        </w:tc>
        <w:tc>
          <w:tcPr>
            <w:tcW w:w="557"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6AAFE48A" w14:textId="683FA78E" w:rsidR="00E351C0" w:rsidRPr="00BA35EF" w:rsidRDefault="001303C3" w:rsidP="00D071CB">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Aptveres koeficients</w:t>
            </w:r>
            <w:r w:rsidR="00E351C0" w:rsidRPr="00BA35EF">
              <w:rPr>
                <w:rFonts w:ascii="Times New Roman" w:eastAsia="Times New Roman" w:hAnsi="Times New Roman" w:cs="Times New Roman"/>
                <w:bCs/>
                <w:color w:val="000000"/>
                <w:sz w:val="16"/>
                <w:szCs w:val="16"/>
                <w:lang w:eastAsia="lv-LV"/>
              </w:rPr>
              <w:t>*</w:t>
            </w:r>
          </w:p>
        </w:tc>
        <w:tc>
          <w:tcPr>
            <w:tcW w:w="1011"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78DF78F7"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Laboratorijas finansējums, </w:t>
            </w:r>
            <w:r w:rsidRPr="00BA35EF">
              <w:rPr>
                <w:rFonts w:ascii="Times New Roman" w:eastAsia="Times New Roman" w:hAnsi="Times New Roman" w:cs="Times New Roman"/>
                <w:bCs/>
                <w:i/>
                <w:iCs/>
                <w:color w:val="000000"/>
                <w:sz w:val="16"/>
                <w:szCs w:val="16"/>
                <w:lang w:eastAsia="lv-LV"/>
              </w:rPr>
              <w:t>euro</w:t>
            </w:r>
          </w:p>
        </w:tc>
        <w:tc>
          <w:tcPr>
            <w:tcW w:w="921" w:type="dxa"/>
            <w:gridSpan w:val="2"/>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30309F15"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finansējums, </w:t>
            </w:r>
            <w:r w:rsidRPr="00BA35EF">
              <w:rPr>
                <w:rFonts w:ascii="Times New Roman" w:eastAsia="Times New Roman" w:hAnsi="Times New Roman" w:cs="Times New Roman"/>
                <w:bCs/>
                <w:i/>
                <w:iCs/>
                <w:color w:val="000000"/>
                <w:sz w:val="16"/>
                <w:szCs w:val="16"/>
                <w:lang w:eastAsia="lv-LV"/>
              </w:rPr>
              <w:t>euro</w:t>
            </w:r>
          </w:p>
        </w:tc>
        <w:tc>
          <w:tcPr>
            <w:tcW w:w="1160" w:type="dxa"/>
            <w:gridSpan w:val="2"/>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5453AC23"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SAVA finansējums, </w:t>
            </w:r>
            <w:r w:rsidRPr="00BA35EF">
              <w:rPr>
                <w:rFonts w:ascii="Times New Roman" w:eastAsia="Times New Roman" w:hAnsi="Times New Roman" w:cs="Times New Roman"/>
                <w:bCs/>
                <w:i/>
                <w:iCs/>
                <w:color w:val="000000"/>
                <w:sz w:val="16"/>
                <w:szCs w:val="16"/>
                <w:lang w:eastAsia="lv-LV"/>
              </w:rPr>
              <w:t>euro</w:t>
            </w:r>
          </w:p>
        </w:tc>
      </w:tr>
      <w:tr w:rsidR="00E351C0" w14:paraId="73A12433" w14:textId="77777777" w:rsidTr="00252943">
        <w:trPr>
          <w:trHeight w:val="145"/>
          <w:jc w:val="center"/>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BB91AC"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D06B8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B9A6DB"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42FBCB"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4C28B9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71E876"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31 643</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EFD11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34E0C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125 670.17</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A01D8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35 990.75</w:t>
            </w:r>
          </w:p>
        </w:tc>
        <w:tc>
          <w:tcPr>
            <w:tcW w:w="116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992806"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157 496.70</w:t>
            </w:r>
          </w:p>
        </w:tc>
      </w:tr>
      <w:tr w:rsidR="00E351C0" w14:paraId="4566F56B" w14:textId="77777777" w:rsidTr="00252943">
        <w:trPr>
          <w:trHeight w:val="233"/>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F6B74F"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1EE31211"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0838CAC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05C7FB6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404605A"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16F156E8"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439FBF93"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14:paraId="6285343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86 947.36</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2B30ABDF"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23 992.32</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053E62F5"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246 169.09</w:t>
            </w:r>
          </w:p>
        </w:tc>
      </w:tr>
      <w:tr w:rsidR="00E351C0" w14:paraId="71FAD15B" w14:textId="77777777" w:rsidTr="00252943">
        <w:trPr>
          <w:trHeight w:val="137"/>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E1EE5A"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0B81BC6E"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0B267140"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5CD35AF2"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354E6AF"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5B228936"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56F6BAF3"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14:paraId="526EF06A"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74 902.47</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050A012E"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16 972.28</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6BDC000D"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214 467.94</w:t>
            </w:r>
          </w:p>
        </w:tc>
      </w:tr>
      <w:tr w:rsidR="00E351C0" w14:paraId="0C1951D7" w14:textId="77777777" w:rsidTr="00252943">
        <w:trPr>
          <w:trHeight w:val="225"/>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3E79C8"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7DD2D2E2"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1BF1112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0A2BD21F"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E28B7A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72.8</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0B19FA41"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7EA243C3"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14:paraId="320E79DD"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52 974.09</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7065EE05"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11 314.86</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116934C0"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276 091.82</w:t>
            </w:r>
          </w:p>
        </w:tc>
      </w:tr>
      <w:tr w:rsidR="00E351C0" w14:paraId="08DF0B62" w14:textId="77777777" w:rsidTr="00252943">
        <w:trPr>
          <w:trHeight w:val="143"/>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655F66"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Kopā, </w:t>
            </w:r>
            <w:r w:rsidRPr="00BA35EF">
              <w:rPr>
                <w:rFonts w:ascii="Times New Roman" w:eastAsia="Times New Roman" w:hAnsi="Times New Roman" w:cs="Times New Roman"/>
                <w:bCs/>
                <w:i/>
                <w:color w:val="000000"/>
                <w:sz w:val="16"/>
                <w:szCs w:val="16"/>
                <w:lang w:eastAsia="lv-LV"/>
              </w:rPr>
              <w:t>euro</w:t>
            </w:r>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4609B208" w14:textId="77777777" w:rsidR="00E351C0" w:rsidRPr="00BA35EF" w:rsidRDefault="00E351C0" w:rsidP="00D071CB">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tcPr>
          <w:p w14:paraId="7CFFBEE9" w14:textId="77777777" w:rsidR="00E351C0" w:rsidRPr="00BA35EF" w:rsidRDefault="00E351C0" w:rsidP="00D071CB">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340 494</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tcPr>
          <w:p w14:paraId="7A4BE0F5" w14:textId="77777777" w:rsidR="00E351C0" w:rsidRPr="00BA35EF" w:rsidRDefault="00E351C0" w:rsidP="00D071CB">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88 270</w:t>
            </w:r>
          </w:p>
        </w:tc>
        <w:tc>
          <w:tcPr>
            <w:tcW w:w="1160" w:type="dxa"/>
            <w:gridSpan w:val="2"/>
            <w:tcBorders>
              <w:top w:val="nil"/>
              <w:left w:val="nil"/>
              <w:bottom w:val="single" w:sz="4" w:space="0" w:color="auto"/>
              <w:right w:val="single" w:sz="4" w:space="0" w:color="auto"/>
            </w:tcBorders>
            <w:shd w:val="clear" w:color="auto" w:fill="F2F2F2" w:themeFill="background1" w:themeFillShade="F2"/>
            <w:vAlign w:val="center"/>
          </w:tcPr>
          <w:p w14:paraId="4C0221FF" w14:textId="77777777" w:rsidR="00E351C0" w:rsidRPr="00BA35EF" w:rsidRDefault="00E351C0" w:rsidP="00D071CB">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894 226</w:t>
            </w:r>
          </w:p>
        </w:tc>
      </w:tr>
      <w:tr w:rsidR="00E351C0" w14:paraId="3F85B6D7" w14:textId="77777777" w:rsidTr="00252943">
        <w:trPr>
          <w:trHeight w:val="315"/>
          <w:jc w:val="center"/>
        </w:trPr>
        <w:tc>
          <w:tcPr>
            <w:tcW w:w="6179" w:type="dxa"/>
            <w:gridSpan w:val="9"/>
            <w:tcBorders>
              <w:top w:val="nil"/>
              <w:left w:val="nil"/>
              <w:bottom w:val="nil"/>
              <w:right w:val="nil"/>
            </w:tcBorders>
            <w:shd w:val="clear" w:color="auto" w:fill="auto"/>
            <w:noWrap/>
            <w:vAlign w:val="center"/>
            <w:hideMark/>
          </w:tcPr>
          <w:p w14:paraId="6FC4569C" w14:textId="77777777" w:rsidR="00E351C0" w:rsidRPr="00BA35EF" w:rsidRDefault="00E351C0" w:rsidP="00D071CB">
            <w:pPr>
              <w:spacing w:after="0" w:line="240" w:lineRule="auto"/>
              <w:outlineLvl w:val="1"/>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pieņemts, ka 3 % pacienti iespējams neveiks tālākos izmeklējumus</w:t>
            </w:r>
          </w:p>
        </w:tc>
        <w:tc>
          <w:tcPr>
            <w:tcW w:w="760" w:type="dxa"/>
            <w:gridSpan w:val="2"/>
            <w:tcBorders>
              <w:top w:val="nil"/>
              <w:left w:val="nil"/>
              <w:bottom w:val="nil"/>
              <w:right w:val="nil"/>
            </w:tcBorders>
            <w:shd w:val="clear" w:color="auto" w:fill="auto"/>
            <w:noWrap/>
            <w:vAlign w:val="center"/>
            <w:hideMark/>
          </w:tcPr>
          <w:p w14:paraId="5A3B9EB9" w14:textId="77777777" w:rsidR="00E351C0" w:rsidRPr="00BA35EF" w:rsidRDefault="00E351C0" w:rsidP="00D071CB">
            <w:pPr>
              <w:spacing w:after="0" w:line="240" w:lineRule="auto"/>
              <w:outlineLvl w:val="1"/>
              <w:rPr>
                <w:rFonts w:ascii="Times New Roman" w:eastAsia="Times New Roman" w:hAnsi="Times New Roman" w:cs="Times New Roman"/>
                <w:i/>
                <w:iCs/>
                <w:color w:val="000000"/>
                <w:sz w:val="20"/>
                <w:szCs w:val="20"/>
                <w:lang w:eastAsia="lv-LV"/>
              </w:rPr>
            </w:pPr>
          </w:p>
        </w:tc>
        <w:tc>
          <w:tcPr>
            <w:tcW w:w="1136" w:type="dxa"/>
            <w:tcBorders>
              <w:top w:val="nil"/>
              <w:left w:val="nil"/>
              <w:bottom w:val="nil"/>
              <w:right w:val="nil"/>
            </w:tcBorders>
            <w:shd w:val="clear" w:color="auto" w:fill="auto"/>
            <w:noWrap/>
            <w:vAlign w:val="center"/>
            <w:hideMark/>
          </w:tcPr>
          <w:p w14:paraId="3C450962" w14:textId="77777777" w:rsidR="00E351C0" w:rsidRPr="00BA35EF" w:rsidRDefault="00E351C0" w:rsidP="00D071CB">
            <w:pPr>
              <w:spacing w:after="0" w:line="240" w:lineRule="auto"/>
              <w:outlineLvl w:val="1"/>
              <w:rPr>
                <w:rFonts w:ascii="Times New Roman" w:eastAsia="Times New Roman" w:hAnsi="Times New Roman" w:cs="Times New Roman"/>
                <w:sz w:val="20"/>
                <w:szCs w:val="20"/>
                <w:lang w:eastAsia="lv-LV"/>
              </w:rPr>
            </w:pPr>
          </w:p>
        </w:tc>
      </w:tr>
    </w:tbl>
    <w:p w14:paraId="174D6A48" w14:textId="18DDFF5E" w:rsidR="00980976" w:rsidRPr="00E93259" w:rsidRDefault="008104BD" w:rsidP="00E93259">
      <w:pPr>
        <w:pStyle w:val="NoSpacing"/>
        <w:spacing w:line="264"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76</w:t>
      </w:r>
      <w:r w:rsidR="00F16F47" w:rsidRPr="6C65616A">
        <w:rPr>
          <w:rFonts w:ascii="Times New Roman" w:hAnsi="Times New Roman" w:cs="Times New Roman"/>
          <w:i/>
          <w:iCs/>
          <w:sz w:val="24"/>
          <w:szCs w:val="24"/>
        </w:rPr>
        <w:t>.tabula</w:t>
      </w:r>
    </w:p>
    <w:p w14:paraId="1A156C54" w14:textId="20E1AEB2" w:rsidR="00D071CB" w:rsidRPr="00DC5512" w:rsidRDefault="00DC5512" w:rsidP="00DC5512">
      <w:pPr>
        <w:pStyle w:val="NoSpacing"/>
        <w:spacing w:line="264" w:lineRule="auto"/>
        <w:ind w:firstLine="720"/>
        <w:jc w:val="center"/>
        <w:rPr>
          <w:rFonts w:ascii="Times New Roman" w:hAnsi="Times New Roman" w:cs="Times New Roman"/>
          <w:b/>
          <w:sz w:val="24"/>
          <w:szCs w:val="24"/>
        </w:rPr>
      </w:pPr>
      <w:r w:rsidRPr="00DC5512">
        <w:rPr>
          <w:rFonts w:ascii="Times New Roman" w:hAnsi="Times New Roman" w:cs="Times New Roman"/>
          <w:b/>
          <w:sz w:val="24"/>
          <w:szCs w:val="24"/>
        </w:rPr>
        <w:t>Medikamentiem nepieciešamais finansējums 2019.gadam</w:t>
      </w:r>
    </w:p>
    <w:tbl>
      <w:tblPr>
        <w:tblW w:w="8814" w:type="dxa"/>
        <w:jc w:val="center"/>
        <w:tblLayout w:type="fixed"/>
        <w:tblLook w:val="04A0" w:firstRow="1" w:lastRow="0" w:firstColumn="1" w:lastColumn="0" w:noHBand="0" w:noVBand="1"/>
      </w:tblPr>
      <w:tblGrid>
        <w:gridCol w:w="2020"/>
        <w:gridCol w:w="1580"/>
        <w:gridCol w:w="940"/>
        <w:gridCol w:w="1300"/>
        <w:gridCol w:w="989"/>
        <w:gridCol w:w="1985"/>
      </w:tblGrid>
      <w:tr w:rsidR="00D071CB" w14:paraId="067BAC02" w14:textId="77777777" w:rsidTr="00D071CB">
        <w:trPr>
          <w:trHeight w:val="675"/>
          <w:jc w:val="center"/>
        </w:trPr>
        <w:tc>
          <w:tcPr>
            <w:tcW w:w="202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43E4D1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Medikamentoza ārstēšana</w:t>
            </w:r>
          </w:p>
        </w:tc>
        <w:tc>
          <w:tcPr>
            <w:tcW w:w="15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520C8C4"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Medikamentu vidējās izmaksas</w:t>
            </w:r>
          </w:p>
        </w:tc>
        <w:tc>
          <w:tcPr>
            <w:tcW w:w="94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5C2FDBE"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Mērķa grupa</w:t>
            </w:r>
          </w:p>
        </w:tc>
        <w:tc>
          <w:tcPr>
            <w:tcW w:w="13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48D2324" w14:textId="37A75404" w:rsidR="00D071CB" w:rsidRPr="00BA35EF" w:rsidRDefault="001303C3" w:rsidP="00D071CB">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Aptveres koe</w:t>
            </w:r>
            <w:r w:rsidR="00D071CB" w:rsidRPr="00BA35EF">
              <w:rPr>
                <w:rFonts w:ascii="Times New Roman" w:eastAsia="Times New Roman" w:hAnsi="Times New Roman" w:cs="Times New Roman"/>
                <w:color w:val="000000"/>
                <w:sz w:val="16"/>
                <w:szCs w:val="16"/>
                <w:lang w:eastAsia="lv-LV"/>
              </w:rPr>
              <w:t>fic</w:t>
            </w:r>
            <w:r>
              <w:rPr>
                <w:rFonts w:ascii="Times New Roman" w:eastAsia="Times New Roman" w:hAnsi="Times New Roman" w:cs="Times New Roman"/>
                <w:color w:val="000000"/>
                <w:sz w:val="16"/>
                <w:szCs w:val="16"/>
                <w:lang w:eastAsia="lv-LV"/>
              </w:rPr>
              <w:t>i</w:t>
            </w:r>
            <w:r w:rsidR="00D071CB" w:rsidRPr="00BA35EF">
              <w:rPr>
                <w:rFonts w:ascii="Times New Roman" w:eastAsia="Times New Roman" w:hAnsi="Times New Roman" w:cs="Times New Roman"/>
                <w:color w:val="000000"/>
                <w:sz w:val="16"/>
                <w:szCs w:val="16"/>
                <w:lang w:eastAsia="lv-LV"/>
              </w:rPr>
              <w:t>ents 2018. gadā</w:t>
            </w:r>
          </w:p>
        </w:tc>
        <w:tc>
          <w:tcPr>
            <w:tcW w:w="98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589C9A3" w14:textId="76805393"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Apt</w:t>
            </w:r>
            <w:r w:rsidR="001303C3">
              <w:rPr>
                <w:rFonts w:ascii="Times New Roman" w:eastAsia="Times New Roman" w:hAnsi="Times New Roman" w:cs="Times New Roman"/>
                <w:color w:val="000000"/>
                <w:sz w:val="16"/>
                <w:szCs w:val="16"/>
                <w:lang w:eastAsia="lv-LV"/>
              </w:rPr>
              <w:t>v</w:t>
            </w:r>
            <w:r w:rsidRPr="00BA35EF">
              <w:rPr>
                <w:rFonts w:ascii="Times New Roman" w:eastAsia="Times New Roman" w:hAnsi="Times New Roman" w:cs="Times New Roman"/>
                <w:color w:val="000000"/>
                <w:sz w:val="16"/>
                <w:szCs w:val="16"/>
                <w:lang w:eastAsia="lv-LV"/>
              </w:rPr>
              <w:t>eres koeficients 2019.gadā</w:t>
            </w:r>
          </w:p>
        </w:tc>
        <w:tc>
          <w:tcPr>
            <w:tcW w:w="198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209367A" w14:textId="0A017F61"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Fina</w:t>
            </w:r>
            <w:r w:rsidR="001303C3">
              <w:rPr>
                <w:rFonts w:ascii="Times New Roman" w:eastAsia="Times New Roman" w:hAnsi="Times New Roman" w:cs="Times New Roman"/>
                <w:color w:val="000000"/>
                <w:sz w:val="16"/>
                <w:szCs w:val="16"/>
                <w:lang w:eastAsia="lv-LV"/>
              </w:rPr>
              <w:t>n</w:t>
            </w:r>
            <w:r w:rsidRPr="00BA35EF">
              <w:rPr>
                <w:rFonts w:ascii="Times New Roman" w:eastAsia="Times New Roman" w:hAnsi="Times New Roman" w:cs="Times New Roman"/>
                <w:color w:val="000000"/>
                <w:sz w:val="16"/>
                <w:szCs w:val="16"/>
                <w:lang w:eastAsia="lv-LV"/>
              </w:rPr>
              <w:t>sējums medikamentiem</w:t>
            </w:r>
          </w:p>
        </w:tc>
      </w:tr>
      <w:tr w:rsidR="00D071CB" w14:paraId="34F7B73D" w14:textId="77777777" w:rsidTr="00D071CB">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82795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3-4%</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766D7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8.64</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B52BDDA"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304A60E9"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74A948"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068EF272"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173 140</w:t>
            </w:r>
          </w:p>
        </w:tc>
      </w:tr>
      <w:tr w:rsidR="00D071CB" w14:paraId="1A0363A7" w14:textId="77777777" w:rsidTr="00D071CB">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3D5F00"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5-9%</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72538D"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16.76</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3FC05D0"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3677E23E"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2F2AA8"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1C844979"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237 588</w:t>
            </w:r>
          </w:p>
        </w:tc>
      </w:tr>
      <w:tr w:rsidR="00D071CB" w14:paraId="1426EF0E" w14:textId="77777777" w:rsidTr="00D071CB">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12B618"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&gt;=10%*</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E06194"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29.44</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0C40B5"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31B46B4"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58745742"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02446016"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278 226</w:t>
            </w:r>
          </w:p>
        </w:tc>
      </w:tr>
      <w:tr w:rsidR="00D071CB" w14:paraId="43754688" w14:textId="77777777" w:rsidTr="00D071CB">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ADB55F" w14:textId="77777777" w:rsidR="00D071CB" w:rsidRPr="00BA35EF" w:rsidRDefault="00D071CB" w:rsidP="00D071CB">
            <w:pPr>
              <w:spacing w:after="0" w:line="240" w:lineRule="auto"/>
              <w:jc w:val="right"/>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Kopā, </w:t>
            </w:r>
            <w:r w:rsidRPr="00BA35EF">
              <w:rPr>
                <w:rFonts w:ascii="Times New Roman" w:eastAsia="Times New Roman" w:hAnsi="Times New Roman" w:cs="Times New Roman"/>
                <w:i/>
                <w:color w:val="000000"/>
                <w:sz w:val="16"/>
                <w:szCs w:val="16"/>
                <w:lang w:eastAsia="lv-LV"/>
              </w:rPr>
              <w:t>euro</w:t>
            </w:r>
            <w:r w:rsidRPr="00BA35EF">
              <w:rPr>
                <w:rFonts w:ascii="Times New Roman" w:eastAsia="Times New Roman" w:hAnsi="Times New Roman" w:cs="Times New Roman"/>
                <w:color w:val="000000"/>
                <w:sz w:val="16"/>
                <w:szCs w:val="16"/>
                <w:lang w:eastAsia="lv-LV"/>
              </w:rPr>
              <w:t>:</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13BA5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AE0FB6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1A00DA"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349F81E3"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6646C15F" w14:textId="384F87EA" w:rsidR="00D071CB" w:rsidRPr="00BA35EF" w:rsidRDefault="00D071CB" w:rsidP="00D071CB">
            <w:pPr>
              <w:spacing w:after="0" w:line="240" w:lineRule="auto"/>
              <w:jc w:val="center"/>
              <w:rPr>
                <w:rFonts w:ascii="Times New Roman" w:eastAsia="Times New Roman" w:hAnsi="Times New Roman" w:cs="Times New Roman"/>
                <w:b/>
                <w:color w:val="000000"/>
                <w:sz w:val="16"/>
                <w:szCs w:val="16"/>
                <w:lang w:eastAsia="lv-LV"/>
              </w:rPr>
            </w:pPr>
            <w:r w:rsidRPr="00BA35EF">
              <w:rPr>
                <w:rFonts w:ascii="Times New Roman" w:eastAsia="Times New Roman" w:hAnsi="Times New Roman" w:cs="Times New Roman"/>
                <w:b/>
                <w:color w:val="000000"/>
                <w:sz w:val="16"/>
                <w:szCs w:val="16"/>
                <w:lang w:eastAsia="lv-LV"/>
              </w:rPr>
              <w:t>688 95</w:t>
            </w:r>
            <w:r w:rsidR="00F521C4">
              <w:rPr>
                <w:rFonts w:ascii="Times New Roman" w:eastAsia="Times New Roman" w:hAnsi="Times New Roman" w:cs="Times New Roman"/>
                <w:b/>
                <w:color w:val="000000"/>
                <w:sz w:val="16"/>
                <w:szCs w:val="16"/>
                <w:lang w:eastAsia="lv-LV"/>
              </w:rPr>
              <w:t>4</w:t>
            </w:r>
          </w:p>
        </w:tc>
      </w:tr>
    </w:tbl>
    <w:p w14:paraId="149DC940" w14:textId="77777777" w:rsidR="00D071CB" w:rsidRDefault="00D071CB" w:rsidP="00817CCE">
      <w:pPr>
        <w:pStyle w:val="NoSpacing"/>
        <w:spacing w:line="264" w:lineRule="auto"/>
        <w:ind w:firstLine="720"/>
        <w:jc w:val="both"/>
        <w:rPr>
          <w:rFonts w:ascii="Times New Roman" w:hAnsi="Times New Roman" w:cs="Times New Roman"/>
          <w:sz w:val="24"/>
          <w:szCs w:val="24"/>
        </w:rPr>
      </w:pPr>
    </w:p>
    <w:p w14:paraId="1DB92FC3" w14:textId="443081A7" w:rsidR="00E351C0" w:rsidRDefault="00972729" w:rsidP="00972729">
      <w:pPr>
        <w:pStyle w:val="NoSpacing"/>
        <w:spacing w:line="264"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5.1. </w:t>
      </w:r>
      <w:r w:rsidRPr="00972729">
        <w:rPr>
          <w:rFonts w:ascii="Times New Roman" w:hAnsi="Times New Roman" w:cs="Times New Roman"/>
          <w:b/>
          <w:sz w:val="24"/>
          <w:szCs w:val="24"/>
        </w:rPr>
        <w:t>Transkatetrāla aortas vārstuļa implantācija</w:t>
      </w:r>
    </w:p>
    <w:p w14:paraId="44292F70" w14:textId="77777777" w:rsidR="00972729" w:rsidRPr="00972729" w:rsidRDefault="00972729" w:rsidP="00972729">
      <w:pPr>
        <w:pStyle w:val="NoSpacing"/>
        <w:spacing w:line="264" w:lineRule="auto"/>
        <w:ind w:firstLine="720"/>
        <w:jc w:val="center"/>
        <w:rPr>
          <w:rFonts w:ascii="Times New Roman" w:hAnsi="Times New Roman" w:cs="Times New Roman"/>
          <w:b/>
          <w:sz w:val="24"/>
          <w:szCs w:val="24"/>
        </w:rPr>
      </w:pPr>
    </w:p>
    <w:p w14:paraId="24CD2BF2" w14:textId="77777777" w:rsidR="003E42C2" w:rsidRDefault="003E42C2" w:rsidP="0035175D">
      <w:pPr>
        <w:pStyle w:val="NoSpacing"/>
        <w:spacing w:after="120" w:line="276" w:lineRule="auto"/>
        <w:ind w:firstLine="720"/>
        <w:jc w:val="both"/>
        <w:rPr>
          <w:rFonts w:ascii="Times New Roman" w:hAnsi="Times New Roman" w:cs="Times New Roman"/>
          <w:sz w:val="24"/>
          <w:szCs w:val="24"/>
        </w:rPr>
      </w:pPr>
      <w:r w:rsidRPr="00847710">
        <w:rPr>
          <w:rFonts w:ascii="Times New Roman" w:hAnsi="Times New Roman" w:cs="Times New Roman"/>
          <w:sz w:val="24"/>
          <w:szCs w:val="24"/>
        </w:rPr>
        <w:t>Aortas vārstuļa stenoze ir visizplatītākā sirds vārstuļu saslimšana rietumu pasaulē un viens no biežākajiem kardiovaskulāro slimību izraisītas nāves cēloņiem aiz koronārās sirds slimības, sirds mazspējas un hipertensijas</w:t>
      </w:r>
      <w:r>
        <w:rPr>
          <w:rFonts w:ascii="Times New Roman" w:hAnsi="Times New Roman" w:cs="Times New Roman"/>
          <w:sz w:val="24"/>
          <w:szCs w:val="24"/>
        </w:rPr>
        <w:t>.</w:t>
      </w:r>
    </w:p>
    <w:p w14:paraId="1E598C41" w14:textId="723CE294" w:rsidR="00D22762" w:rsidRPr="00847710" w:rsidRDefault="0071331A" w:rsidP="0035175D">
      <w:pPr>
        <w:pStyle w:val="NoSpacing"/>
        <w:spacing w:after="120" w:line="276" w:lineRule="auto"/>
        <w:ind w:firstLine="720"/>
        <w:jc w:val="both"/>
        <w:rPr>
          <w:rFonts w:ascii="Times New Roman" w:hAnsi="Times New Roman" w:cs="Times New Roman"/>
          <w:sz w:val="24"/>
          <w:szCs w:val="24"/>
        </w:rPr>
      </w:pPr>
      <w:r w:rsidRPr="00847710">
        <w:rPr>
          <w:rFonts w:ascii="Times New Roman" w:hAnsi="Times New Roman" w:cs="Times New Roman"/>
          <w:sz w:val="24"/>
          <w:szCs w:val="24"/>
        </w:rPr>
        <w:t>Pakalpojuma mērķa grupa ir pacienti ar aortas vārstuļa stenozi, kam vecuma vai blakusslimību dēļ ķirurģiska aortas vārstuļa maiņa ir neiespējama</w:t>
      </w:r>
      <w:r w:rsidR="00B473E3" w:rsidRPr="00847710">
        <w:rPr>
          <w:rFonts w:ascii="Times New Roman" w:hAnsi="Times New Roman" w:cs="Times New Roman"/>
          <w:sz w:val="24"/>
          <w:szCs w:val="24"/>
        </w:rPr>
        <w:t xml:space="preserve">. </w:t>
      </w:r>
    </w:p>
    <w:p w14:paraId="6C665F25" w14:textId="30343D9A" w:rsidR="00B30E39" w:rsidRPr="00820900" w:rsidRDefault="0003424A" w:rsidP="0035175D">
      <w:pPr>
        <w:spacing w:after="120"/>
        <w:ind w:firstLine="720"/>
        <w:jc w:val="both"/>
        <w:rPr>
          <w:rFonts w:ascii="Times New Roman" w:hAnsi="Times New Roman" w:cs="Times New Roman"/>
          <w:i/>
          <w:iCs/>
          <w:sz w:val="24"/>
          <w:szCs w:val="24"/>
        </w:rPr>
      </w:pPr>
      <w:r>
        <w:rPr>
          <w:rFonts w:ascii="Times New Roman" w:hAnsi="Times New Roman" w:cs="Times New Roman"/>
          <w:sz w:val="24"/>
          <w:szCs w:val="24"/>
        </w:rPr>
        <w:t xml:space="preserve">Turpinot 2018.gadā iesākto 2019.gadā </w:t>
      </w:r>
      <w:r w:rsidR="0071331A" w:rsidRPr="00847710">
        <w:rPr>
          <w:rFonts w:ascii="Times New Roman" w:hAnsi="Times New Roman" w:cs="Times New Roman"/>
          <w:sz w:val="24"/>
          <w:szCs w:val="24"/>
        </w:rPr>
        <w:t xml:space="preserve">TAVI plānots veikt 75 pacientiem, </w:t>
      </w:r>
      <w:r w:rsidR="009054AD" w:rsidRPr="00847710">
        <w:rPr>
          <w:rFonts w:ascii="Times New Roman" w:eastAsia="Times New Roman" w:hAnsi="Times New Roman" w:cs="Times New Roman"/>
          <w:noProof/>
          <w:sz w:val="24"/>
          <w:szCs w:val="24"/>
          <w:lang w:bidi="gu-IN"/>
        </w:rPr>
        <w:t xml:space="preserve">kur viena pacienta operācijai plānots manipulāciju finansējums 24 588,94 </w:t>
      </w:r>
      <w:r w:rsidR="009054AD" w:rsidRPr="003B6E07">
        <w:rPr>
          <w:rFonts w:ascii="Times New Roman" w:eastAsia="Times New Roman" w:hAnsi="Times New Roman" w:cs="Times New Roman"/>
          <w:i/>
          <w:noProof/>
          <w:sz w:val="24"/>
          <w:szCs w:val="24"/>
          <w:lang w:bidi="gu-IN"/>
        </w:rPr>
        <w:t>euro</w:t>
      </w:r>
      <w:r w:rsidR="009054AD" w:rsidRPr="00847710">
        <w:rPr>
          <w:rFonts w:ascii="Times New Roman" w:eastAsia="Times New Roman" w:hAnsi="Times New Roman" w:cs="Times New Roman"/>
          <w:noProof/>
          <w:sz w:val="24"/>
          <w:szCs w:val="24"/>
          <w:lang w:bidi="gu-IN"/>
        </w:rPr>
        <w:t xml:space="preserve">, samaksa par 6 gultas dienām 411,06 </w:t>
      </w:r>
      <w:r w:rsidR="009054AD" w:rsidRPr="003B6E07">
        <w:rPr>
          <w:rFonts w:ascii="Times New Roman" w:eastAsia="Times New Roman" w:hAnsi="Times New Roman" w:cs="Times New Roman"/>
          <w:i/>
          <w:noProof/>
          <w:sz w:val="24"/>
          <w:szCs w:val="24"/>
          <w:lang w:bidi="gu-IN"/>
        </w:rPr>
        <w:t>euro</w:t>
      </w:r>
      <w:r w:rsidR="00AF56CC">
        <w:rPr>
          <w:rFonts w:ascii="Times New Roman" w:eastAsia="Times New Roman" w:hAnsi="Times New Roman" w:cs="Times New Roman"/>
          <w:noProof/>
          <w:sz w:val="24"/>
          <w:szCs w:val="24"/>
          <w:lang w:bidi="gu-IN"/>
        </w:rPr>
        <w:t xml:space="preserve"> (6*</w:t>
      </w:r>
      <w:r w:rsidR="009054AD" w:rsidRPr="00847710">
        <w:rPr>
          <w:rFonts w:ascii="Times New Roman" w:eastAsia="Times New Roman" w:hAnsi="Times New Roman" w:cs="Times New Roman"/>
          <w:noProof/>
          <w:sz w:val="24"/>
          <w:szCs w:val="24"/>
          <w:lang w:bidi="gu-IN"/>
        </w:rPr>
        <w:t xml:space="preserve">68,51 </w:t>
      </w:r>
      <w:r w:rsidR="009054AD" w:rsidRPr="003B6E07">
        <w:rPr>
          <w:rFonts w:ascii="Times New Roman" w:eastAsia="Times New Roman" w:hAnsi="Times New Roman" w:cs="Times New Roman"/>
          <w:i/>
          <w:noProof/>
          <w:sz w:val="24"/>
          <w:szCs w:val="24"/>
          <w:lang w:bidi="gu-IN"/>
        </w:rPr>
        <w:t>euro</w:t>
      </w:r>
      <w:r w:rsidR="009054AD" w:rsidRPr="00847710">
        <w:rPr>
          <w:rFonts w:ascii="Times New Roman" w:eastAsia="Times New Roman" w:hAnsi="Times New Roman" w:cs="Times New Roman"/>
          <w:noProof/>
          <w:sz w:val="24"/>
          <w:szCs w:val="24"/>
          <w:lang w:bidi="gu-IN"/>
        </w:rPr>
        <w:t xml:space="preserve">), kopā 25 000 </w:t>
      </w:r>
      <w:r w:rsidR="009054AD" w:rsidRPr="003B6E07">
        <w:rPr>
          <w:rFonts w:ascii="Times New Roman" w:eastAsia="Times New Roman" w:hAnsi="Times New Roman" w:cs="Times New Roman"/>
          <w:i/>
          <w:noProof/>
          <w:sz w:val="24"/>
          <w:szCs w:val="24"/>
          <w:lang w:bidi="gu-IN"/>
        </w:rPr>
        <w:t>euro</w:t>
      </w:r>
      <w:r w:rsidR="009054AD" w:rsidRPr="00847710">
        <w:rPr>
          <w:rFonts w:ascii="Times New Roman" w:eastAsia="Times New Roman" w:hAnsi="Times New Roman" w:cs="Times New Roman"/>
          <w:noProof/>
          <w:sz w:val="24"/>
          <w:szCs w:val="24"/>
          <w:lang w:bidi="gu-IN"/>
        </w:rPr>
        <w:t xml:space="preserve">, plānojot 75 pacientus gadā, finansiālā ietekme </w:t>
      </w:r>
      <w:r w:rsidR="009054AD" w:rsidRPr="0012317D">
        <w:rPr>
          <w:rFonts w:ascii="Times New Roman" w:eastAsia="Times New Roman" w:hAnsi="Times New Roman" w:cs="Times New Roman"/>
          <w:b/>
          <w:bCs/>
          <w:sz w:val="24"/>
          <w:szCs w:val="24"/>
          <w:lang w:bidi="gu-IN"/>
        </w:rPr>
        <w:t xml:space="preserve">1 875 000 </w:t>
      </w:r>
      <w:r w:rsidR="009054AD" w:rsidRPr="003B6E07">
        <w:rPr>
          <w:rFonts w:ascii="Times New Roman" w:eastAsia="Times New Roman" w:hAnsi="Times New Roman" w:cs="Times New Roman"/>
          <w:b/>
          <w:bCs/>
          <w:i/>
          <w:sz w:val="24"/>
          <w:szCs w:val="24"/>
          <w:lang w:bidi="gu-IN"/>
        </w:rPr>
        <w:t>euro</w:t>
      </w:r>
      <w:r w:rsidR="000252AF">
        <w:rPr>
          <w:rFonts w:ascii="Times New Roman" w:eastAsia="Times New Roman" w:hAnsi="Times New Roman" w:cs="Times New Roman"/>
          <w:b/>
          <w:bCs/>
          <w:i/>
          <w:sz w:val="24"/>
          <w:szCs w:val="24"/>
          <w:lang w:bidi="gu-IN"/>
        </w:rPr>
        <w:t xml:space="preserve"> </w:t>
      </w:r>
      <w:r w:rsidR="000252AF" w:rsidRPr="00EA2B59">
        <w:rPr>
          <w:rFonts w:ascii="Times New Roman" w:eastAsia="Times New Roman" w:hAnsi="Times New Roman" w:cs="Times New Roman"/>
          <w:bCs/>
          <w:sz w:val="24"/>
          <w:szCs w:val="24"/>
          <w:lang w:bidi="gu-IN"/>
        </w:rPr>
        <w:t>(</w:t>
      </w:r>
      <w:r w:rsidR="00C22FE1">
        <w:rPr>
          <w:rFonts w:ascii="Times New Roman" w:eastAsia="Times New Roman" w:hAnsi="Times New Roman" w:cs="Times New Roman"/>
          <w:bCs/>
          <w:sz w:val="24"/>
          <w:szCs w:val="24"/>
          <w:lang w:bidi="gu-IN"/>
        </w:rPr>
        <w:t>7</w:t>
      </w:r>
      <w:r w:rsidR="008104BD">
        <w:rPr>
          <w:rFonts w:ascii="Times New Roman" w:eastAsia="Times New Roman" w:hAnsi="Times New Roman" w:cs="Times New Roman"/>
          <w:bCs/>
          <w:sz w:val="24"/>
          <w:szCs w:val="24"/>
          <w:lang w:bidi="gu-IN"/>
        </w:rPr>
        <w:t>7</w:t>
      </w:r>
      <w:r w:rsidR="000252AF" w:rsidRPr="00EA2B59">
        <w:rPr>
          <w:rFonts w:ascii="Times New Roman" w:eastAsia="Times New Roman" w:hAnsi="Times New Roman" w:cs="Times New Roman"/>
          <w:bCs/>
          <w:sz w:val="24"/>
          <w:szCs w:val="24"/>
          <w:lang w:bidi="gu-IN"/>
        </w:rPr>
        <w:t>.tabula)</w:t>
      </w:r>
      <w:r w:rsidR="00686D78" w:rsidRPr="000252AF">
        <w:rPr>
          <w:rFonts w:ascii="Times New Roman" w:hAnsi="Times New Roman" w:cs="Times New Roman"/>
          <w:sz w:val="24"/>
          <w:szCs w:val="24"/>
        </w:rPr>
        <w:t>.</w:t>
      </w:r>
      <w:r w:rsidR="00313541" w:rsidRPr="00847710">
        <w:rPr>
          <w:rFonts w:ascii="Times New Roman" w:hAnsi="Times New Roman" w:cs="Times New Roman"/>
          <w:sz w:val="24"/>
          <w:szCs w:val="24"/>
        </w:rPr>
        <w:t xml:space="preserve"> Plānotais apjoms 75 pacientiem nosegs nepieciešamo operāciju apjomu 90-100% apmērā</w:t>
      </w:r>
      <w:r w:rsidR="0071331A" w:rsidRPr="57326167">
        <w:rPr>
          <w:rFonts w:ascii="Times New Roman" w:hAnsi="Times New Roman" w:cs="Times New Roman"/>
          <w:i/>
          <w:iCs/>
          <w:sz w:val="24"/>
          <w:szCs w:val="24"/>
        </w:rPr>
        <w:t>.</w:t>
      </w:r>
    </w:p>
    <w:p w14:paraId="50666F79" w14:textId="77777777" w:rsidR="00D27C1A" w:rsidRDefault="00D27C1A" w:rsidP="6C65616A">
      <w:pPr>
        <w:spacing w:after="120"/>
        <w:jc w:val="right"/>
        <w:rPr>
          <w:rFonts w:ascii="Times New Roman" w:hAnsi="Times New Roman" w:cs="Times New Roman"/>
          <w:i/>
          <w:iCs/>
          <w:sz w:val="24"/>
          <w:szCs w:val="24"/>
        </w:rPr>
        <w:sectPr w:rsidR="00D27C1A" w:rsidSect="00333B64">
          <w:pgSz w:w="12240" w:h="15840"/>
          <w:pgMar w:top="1440" w:right="1440" w:bottom="1440" w:left="1701" w:header="708" w:footer="708" w:gutter="0"/>
          <w:cols w:space="708"/>
          <w:docGrid w:linePitch="360"/>
        </w:sectPr>
      </w:pPr>
    </w:p>
    <w:p w14:paraId="2E5CFDDC" w14:textId="1C34718E" w:rsidR="00F616B3" w:rsidRPr="00E93259" w:rsidRDefault="00C22FE1" w:rsidP="6C65616A">
      <w:pPr>
        <w:spacing w:after="120"/>
        <w:jc w:val="right"/>
        <w:rPr>
          <w:rFonts w:ascii="Times New Roman" w:hAnsi="Times New Roman" w:cs="Times New Roman"/>
          <w:i/>
          <w:iCs/>
          <w:sz w:val="24"/>
          <w:szCs w:val="24"/>
        </w:rPr>
      </w:pPr>
      <w:r>
        <w:rPr>
          <w:rFonts w:ascii="Times New Roman" w:hAnsi="Times New Roman" w:cs="Times New Roman"/>
          <w:i/>
          <w:iCs/>
          <w:sz w:val="24"/>
          <w:szCs w:val="24"/>
        </w:rPr>
        <w:lastRenderedPageBreak/>
        <w:t>7</w:t>
      </w:r>
      <w:r w:rsidR="008104BD">
        <w:rPr>
          <w:rFonts w:ascii="Times New Roman" w:hAnsi="Times New Roman" w:cs="Times New Roman"/>
          <w:i/>
          <w:iCs/>
          <w:sz w:val="24"/>
          <w:szCs w:val="24"/>
        </w:rPr>
        <w:t>7</w:t>
      </w:r>
      <w:r w:rsidR="0071331A" w:rsidRPr="6C65616A">
        <w:rPr>
          <w:rFonts w:ascii="Times New Roman" w:hAnsi="Times New Roman" w:cs="Times New Roman"/>
          <w:i/>
          <w:iCs/>
          <w:sz w:val="24"/>
          <w:szCs w:val="24"/>
        </w:rPr>
        <w:t xml:space="preserve">.tabula </w:t>
      </w:r>
    </w:p>
    <w:p w14:paraId="24559F88" w14:textId="759CECB2" w:rsidR="00CD0431" w:rsidRDefault="0071331A" w:rsidP="00961079">
      <w:pPr>
        <w:jc w:val="center"/>
        <w:rPr>
          <w:rFonts w:ascii="Times New Roman" w:hAnsi="Times New Roman" w:cs="Times New Roman"/>
          <w:b/>
          <w:bCs/>
          <w:sz w:val="24"/>
          <w:szCs w:val="24"/>
        </w:rPr>
      </w:pPr>
      <w:r w:rsidRPr="0012317D">
        <w:rPr>
          <w:rFonts w:ascii="Times New Roman" w:hAnsi="Times New Roman" w:cs="Times New Roman"/>
          <w:b/>
          <w:bCs/>
          <w:sz w:val="24"/>
          <w:szCs w:val="24"/>
        </w:rPr>
        <w:t>TAVI pakalpojumu nodrošināšanai nepieciešamais finansējums</w:t>
      </w:r>
      <w:r w:rsidR="00D27C1A">
        <w:rPr>
          <w:rFonts w:ascii="Times New Roman" w:hAnsi="Times New Roman" w:cs="Times New Roman"/>
          <w:b/>
          <w:bCs/>
          <w:sz w:val="24"/>
          <w:szCs w:val="24"/>
        </w:rPr>
        <w:t xml:space="preserve"> 2017., 2018. un 2019.gadam</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988"/>
        <w:gridCol w:w="850"/>
        <w:gridCol w:w="851"/>
        <w:gridCol w:w="850"/>
        <w:gridCol w:w="851"/>
        <w:gridCol w:w="1134"/>
        <w:gridCol w:w="1134"/>
        <w:gridCol w:w="850"/>
        <w:gridCol w:w="851"/>
        <w:gridCol w:w="850"/>
        <w:gridCol w:w="851"/>
        <w:gridCol w:w="708"/>
        <w:gridCol w:w="709"/>
      </w:tblGrid>
      <w:tr w:rsidR="00CD0431" w14:paraId="5FD0FBE0" w14:textId="77777777" w:rsidTr="00C63B8F">
        <w:trPr>
          <w:cantSplit/>
          <w:trHeight w:val="1505"/>
          <w:jc w:val="center"/>
        </w:trPr>
        <w:tc>
          <w:tcPr>
            <w:tcW w:w="425" w:type="dxa"/>
            <w:shd w:val="clear" w:color="auto" w:fill="E36C0A" w:themeFill="accent6" w:themeFillShade="BF"/>
          </w:tcPr>
          <w:p w14:paraId="242D86A2" w14:textId="77777777" w:rsidR="00CD0431" w:rsidRPr="00847710" w:rsidRDefault="00CD0431" w:rsidP="00D1261D">
            <w:pPr>
              <w:spacing w:after="0" w:line="240" w:lineRule="auto"/>
              <w:rPr>
                <w:rFonts w:ascii="Times New Roman" w:eastAsia="Times New Roman" w:hAnsi="Times New Roman" w:cs="Times New Roman"/>
                <w:b/>
                <w:bCs/>
                <w:sz w:val="20"/>
                <w:szCs w:val="20"/>
                <w:lang w:eastAsia="lv-LV"/>
              </w:rPr>
            </w:pPr>
          </w:p>
        </w:tc>
        <w:tc>
          <w:tcPr>
            <w:tcW w:w="1276" w:type="dxa"/>
            <w:shd w:val="clear" w:color="auto" w:fill="E36C0A" w:themeFill="accent6" w:themeFillShade="BF"/>
            <w:vAlign w:val="center"/>
            <w:hideMark/>
          </w:tcPr>
          <w:p w14:paraId="0192C999" w14:textId="77777777" w:rsidR="00CD0431" w:rsidRPr="00847710" w:rsidRDefault="00CD0431" w:rsidP="00D1261D">
            <w:pPr>
              <w:spacing w:after="0" w:line="240" w:lineRule="auto"/>
              <w:rPr>
                <w:rFonts w:ascii="Times New Roman" w:eastAsia="Times New Roman" w:hAnsi="Times New Roman" w:cs="Times New Roman"/>
                <w:b/>
                <w:bCs/>
                <w:sz w:val="20"/>
                <w:szCs w:val="20"/>
                <w:lang w:eastAsia="lv-LV"/>
              </w:rPr>
            </w:pPr>
          </w:p>
        </w:tc>
        <w:tc>
          <w:tcPr>
            <w:tcW w:w="988" w:type="dxa"/>
            <w:shd w:val="clear" w:color="auto" w:fill="E36C0A" w:themeFill="accent6" w:themeFillShade="BF"/>
            <w:textDirection w:val="btLr"/>
            <w:vAlign w:val="center"/>
            <w:hideMark/>
          </w:tcPr>
          <w:p w14:paraId="774CB6C4" w14:textId="27BF2F5A" w:rsidR="00CD0431" w:rsidRPr="00847710" w:rsidRDefault="00CD043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ārstēšanas</w:t>
            </w:r>
          </w:p>
          <w:p w14:paraId="550C6248" w14:textId="77777777" w:rsidR="00CD0431" w:rsidRPr="00847710" w:rsidRDefault="00CD043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7234AE2" w14:textId="77777777" w:rsidR="00CD0431" w:rsidRPr="00847710" w:rsidRDefault="00CD0431"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2551" w:type="dxa"/>
            <w:gridSpan w:val="3"/>
            <w:shd w:val="clear" w:color="auto" w:fill="E36C0A" w:themeFill="accent6" w:themeFillShade="BF"/>
            <w:textDirection w:val="btLr"/>
            <w:vAlign w:val="center"/>
          </w:tcPr>
          <w:p w14:paraId="7FFC9B10" w14:textId="77777777" w:rsidR="00CD0431" w:rsidRPr="00847710" w:rsidRDefault="00CD0431"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3119" w:type="dxa"/>
            <w:gridSpan w:val="3"/>
            <w:shd w:val="clear" w:color="auto" w:fill="E36C0A" w:themeFill="accent6" w:themeFillShade="BF"/>
            <w:textDirection w:val="btLr"/>
            <w:vAlign w:val="center"/>
          </w:tcPr>
          <w:p w14:paraId="18D5A249" w14:textId="77777777" w:rsidR="00CD0431" w:rsidRPr="00847710" w:rsidRDefault="00CD043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51" w:type="dxa"/>
            <w:gridSpan w:val="3"/>
            <w:shd w:val="clear" w:color="auto" w:fill="E36C0A" w:themeFill="accent6" w:themeFillShade="BF"/>
            <w:textDirection w:val="btLr"/>
            <w:vAlign w:val="center"/>
          </w:tcPr>
          <w:p w14:paraId="56BF8C88" w14:textId="77777777" w:rsidR="00CD0431" w:rsidRPr="00847710" w:rsidRDefault="00CD043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268" w:type="dxa"/>
            <w:gridSpan w:val="3"/>
            <w:shd w:val="clear" w:color="auto" w:fill="E36C0A" w:themeFill="accent6" w:themeFillShade="BF"/>
            <w:textDirection w:val="btLr"/>
            <w:vAlign w:val="center"/>
          </w:tcPr>
          <w:p w14:paraId="0D7F1839" w14:textId="4FE629D6" w:rsidR="00CD0431" w:rsidRPr="00847710" w:rsidRDefault="00CD0431"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961079">
              <w:rPr>
                <w:rFonts w:ascii="Times New Roman" w:eastAsia="Times New Roman" w:hAnsi="Times New Roman" w:cs="Times New Roman"/>
                <w:b/>
                <w:bCs/>
                <w:sz w:val="20"/>
                <w:szCs w:val="20"/>
                <w:lang w:eastAsia="lv-LV"/>
              </w:rPr>
              <w:t>pakalpojumu</w:t>
            </w:r>
            <w:r w:rsidRPr="00847710">
              <w:rPr>
                <w:rFonts w:ascii="Times New Roman" w:eastAsia="Times New Roman" w:hAnsi="Times New Roman" w:cs="Times New Roman"/>
                <w:b/>
                <w:bCs/>
                <w:sz w:val="20"/>
                <w:szCs w:val="20"/>
                <w:lang w:eastAsia="lv-LV"/>
              </w:rPr>
              <w:t>skaits pēc finansējuma piešķīruma</w:t>
            </w:r>
          </w:p>
        </w:tc>
      </w:tr>
      <w:tr w:rsidR="00CD0431" w14:paraId="66BB88CE" w14:textId="77777777" w:rsidTr="00C63B8F">
        <w:trPr>
          <w:trHeight w:val="640"/>
          <w:jc w:val="center"/>
        </w:trPr>
        <w:tc>
          <w:tcPr>
            <w:tcW w:w="425" w:type="dxa"/>
            <w:shd w:val="clear" w:color="auto" w:fill="FABF8F" w:themeFill="accent6" w:themeFillTint="99"/>
          </w:tcPr>
          <w:p w14:paraId="6F5BB0EA"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p>
        </w:tc>
        <w:tc>
          <w:tcPr>
            <w:tcW w:w="1276" w:type="dxa"/>
            <w:shd w:val="clear" w:color="auto" w:fill="FABF8F" w:themeFill="accent6" w:themeFillTint="99"/>
            <w:vAlign w:val="center"/>
          </w:tcPr>
          <w:p w14:paraId="2B9EFA78"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p>
        </w:tc>
        <w:tc>
          <w:tcPr>
            <w:tcW w:w="988" w:type="dxa"/>
            <w:shd w:val="clear" w:color="auto" w:fill="FABF8F" w:themeFill="accent6" w:themeFillTint="99"/>
            <w:vAlign w:val="center"/>
          </w:tcPr>
          <w:p w14:paraId="0CFB9202" w14:textId="77777777" w:rsidR="00CD0431" w:rsidRPr="00847710" w:rsidRDefault="00CD0431"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2A1D03FC"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362EA94C" w14:textId="77777777" w:rsidR="00CD0431"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7219EC7" w14:textId="77777777" w:rsidR="00CD0431" w:rsidRPr="0012317D" w:rsidRDefault="00CD043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1FD50DCA" w14:textId="77777777" w:rsidR="00CD0431"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4B7EBB86" w14:textId="77777777" w:rsidR="00CD0431" w:rsidRPr="0012317D" w:rsidRDefault="00CD043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57ECE5E9" w14:textId="77777777" w:rsidR="00CD0431"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363CFA81" w14:textId="77777777" w:rsidR="00CD0431" w:rsidRPr="0012317D" w:rsidRDefault="00CD043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5C62FF0D" w14:textId="77777777" w:rsidR="00CD0431"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5CDF8DE8" w14:textId="77777777" w:rsidR="00CD0431" w:rsidRPr="0012317D" w:rsidRDefault="00CD043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0753E49C" w14:textId="77777777" w:rsidR="00CD0431"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3875FAA8" w14:textId="77777777" w:rsidR="00CD0431" w:rsidRPr="0012317D" w:rsidRDefault="00CD0431"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211DCB89" w14:textId="77777777" w:rsidR="00CD0431" w:rsidRPr="00C86312" w:rsidRDefault="00CD0431"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0F160BB5" w14:textId="77777777" w:rsidR="00CD0431" w:rsidRPr="00C86312" w:rsidRDefault="00CD0431"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5BCBD66D"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35EDEBDD"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037E5614"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1" w:type="dxa"/>
            <w:shd w:val="clear" w:color="auto" w:fill="FABF8F" w:themeFill="accent6" w:themeFillTint="99"/>
            <w:vAlign w:val="center"/>
          </w:tcPr>
          <w:p w14:paraId="20B8FA1C"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8" w:type="dxa"/>
            <w:shd w:val="clear" w:color="auto" w:fill="FABF8F" w:themeFill="accent6" w:themeFillTint="99"/>
            <w:vAlign w:val="center"/>
          </w:tcPr>
          <w:p w14:paraId="735FCA87"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3CE98C63" w14:textId="77777777" w:rsidR="00CD0431" w:rsidRPr="00847710" w:rsidRDefault="00CD0431"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CD0431" w14:paraId="5D9CFDA7" w14:textId="77777777" w:rsidTr="00C63B8F">
        <w:trPr>
          <w:trHeight w:val="598"/>
          <w:jc w:val="center"/>
        </w:trPr>
        <w:tc>
          <w:tcPr>
            <w:tcW w:w="425" w:type="dxa"/>
            <w:shd w:val="clear" w:color="auto" w:fill="FFFFFF" w:themeFill="background1"/>
          </w:tcPr>
          <w:p w14:paraId="437C34AE" w14:textId="77777777" w:rsidR="00CD0431" w:rsidRPr="00E1067B"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276" w:type="dxa"/>
            <w:shd w:val="clear" w:color="auto" w:fill="FFFFFF" w:themeFill="background1"/>
            <w:vAlign w:val="center"/>
          </w:tcPr>
          <w:p w14:paraId="0EFDDBFE" w14:textId="1479BCDB" w:rsidR="00CD0431" w:rsidRPr="00E1067B" w:rsidRDefault="00CD0431" w:rsidP="00CD0431">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TAVI pakalpojumi</w:t>
            </w:r>
          </w:p>
        </w:tc>
        <w:tc>
          <w:tcPr>
            <w:tcW w:w="988" w:type="dxa"/>
            <w:shd w:val="clear" w:color="auto" w:fill="FFFFFF" w:themeFill="background1"/>
            <w:vAlign w:val="center"/>
          </w:tcPr>
          <w:p w14:paraId="3BED5E83" w14:textId="1D187598" w:rsidR="00CD0431" w:rsidRPr="00E1067B" w:rsidRDefault="00CD0431" w:rsidP="00CD0431">
            <w:pPr>
              <w:spacing w:after="0" w:line="240" w:lineRule="auto"/>
              <w:jc w:val="center"/>
              <w:rPr>
                <w:rFonts w:ascii="Times New Roman" w:eastAsia="Times New Roman" w:hAnsi="Times New Roman" w:cs="Times New Roman"/>
                <w:iCs/>
                <w:sz w:val="20"/>
                <w:szCs w:val="20"/>
                <w:lang w:eastAsia="lv-LV"/>
              </w:rPr>
            </w:pPr>
            <w:r w:rsidRPr="00847710">
              <w:rPr>
                <w:rFonts w:ascii="Times New Roman" w:hAnsi="Times New Roman" w:cs="Times New Roman"/>
                <w:sz w:val="20"/>
                <w:szCs w:val="20"/>
              </w:rPr>
              <w:t>25 000</w:t>
            </w:r>
          </w:p>
        </w:tc>
        <w:tc>
          <w:tcPr>
            <w:tcW w:w="850" w:type="dxa"/>
            <w:shd w:val="clear" w:color="auto" w:fill="FFFFFF" w:themeFill="background1"/>
            <w:vAlign w:val="center"/>
          </w:tcPr>
          <w:p w14:paraId="1C4FAD1F" w14:textId="77777777" w:rsidR="00CD0431"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7B13675" w14:textId="77777777" w:rsidR="00CD0431"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4830930" w14:textId="77777777" w:rsidR="00CD0431" w:rsidRPr="00E1067B"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2043261" w14:textId="77777777" w:rsidR="00CD0431"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060D9912" w14:textId="5C55C971" w:rsidR="00CD0431" w:rsidRDefault="00CD0431" w:rsidP="00CD0431">
            <w:pPr>
              <w:spacing w:after="0" w:line="240" w:lineRule="auto"/>
              <w:jc w:val="center"/>
              <w:rPr>
                <w:rFonts w:ascii="Times New Roman" w:eastAsia="Times New Roman" w:hAnsi="Times New Roman" w:cs="Times New Roman"/>
                <w:bCs/>
                <w:sz w:val="20"/>
                <w:szCs w:val="20"/>
                <w:lang w:eastAsia="lv-LV"/>
              </w:rPr>
            </w:pPr>
            <w:r w:rsidRPr="00847710">
              <w:rPr>
                <w:rFonts w:ascii="Times New Roman" w:hAnsi="Times New Roman" w:cs="Times New Roman"/>
                <w:sz w:val="20"/>
                <w:szCs w:val="20"/>
              </w:rPr>
              <w:t>1 875 000</w:t>
            </w:r>
          </w:p>
        </w:tc>
        <w:tc>
          <w:tcPr>
            <w:tcW w:w="1134" w:type="dxa"/>
            <w:shd w:val="clear" w:color="auto" w:fill="FFFFFF" w:themeFill="background1"/>
            <w:vAlign w:val="center"/>
          </w:tcPr>
          <w:p w14:paraId="52B5F53F" w14:textId="65582284" w:rsidR="00CD0431" w:rsidRPr="00030FAC" w:rsidRDefault="00CD0431" w:rsidP="00CD0431">
            <w:pPr>
              <w:spacing w:after="0" w:line="240" w:lineRule="auto"/>
              <w:jc w:val="center"/>
              <w:rPr>
                <w:rFonts w:ascii="Times New Roman" w:eastAsia="Times New Roman" w:hAnsi="Times New Roman" w:cs="Times New Roman"/>
                <w:bCs/>
                <w:sz w:val="16"/>
                <w:szCs w:val="16"/>
                <w:lang w:eastAsia="lv-LV"/>
              </w:rPr>
            </w:pPr>
            <w:r w:rsidRPr="00847710">
              <w:rPr>
                <w:rFonts w:ascii="Times New Roman" w:hAnsi="Times New Roman" w:cs="Times New Roman"/>
                <w:sz w:val="20"/>
                <w:szCs w:val="20"/>
              </w:rPr>
              <w:t>1 875 000</w:t>
            </w:r>
          </w:p>
        </w:tc>
        <w:tc>
          <w:tcPr>
            <w:tcW w:w="850" w:type="dxa"/>
            <w:shd w:val="clear" w:color="auto" w:fill="FFFFFF" w:themeFill="background1"/>
            <w:vAlign w:val="center"/>
          </w:tcPr>
          <w:p w14:paraId="298E4416" w14:textId="77777777" w:rsidR="00CD0431" w:rsidRPr="00E1067B"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1D6BD6F" w14:textId="77777777" w:rsidR="00CD0431" w:rsidRPr="00E1067B"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362E2311" w14:textId="77777777" w:rsidR="00CD0431" w:rsidRPr="00E1067B"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2304118E" w14:textId="77777777" w:rsidR="00CD0431" w:rsidRDefault="00CD0431" w:rsidP="00CD0431">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8" w:type="dxa"/>
            <w:shd w:val="clear" w:color="auto" w:fill="FFFFFF" w:themeFill="background1"/>
            <w:vAlign w:val="center"/>
          </w:tcPr>
          <w:p w14:paraId="6E2227E9" w14:textId="09218DA4" w:rsidR="00CD0431" w:rsidRPr="005C62FF" w:rsidRDefault="00CD0431" w:rsidP="00CD0431">
            <w:pPr>
              <w:spacing w:after="0" w:line="240" w:lineRule="auto"/>
              <w:jc w:val="center"/>
              <w:rPr>
                <w:rFonts w:ascii="Times New Roman" w:eastAsia="Times New Roman" w:hAnsi="Times New Roman" w:cs="Times New Roman"/>
                <w:bCs/>
                <w:sz w:val="20"/>
                <w:szCs w:val="20"/>
                <w:lang w:eastAsia="lv-LV"/>
              </w:rPr>
            </w:pPr>
            <w:r w:rsidRPr="005C62FF">
              <w:rPr>
                <w:rFonts w:ascii="Times New Roman" w:hAnsi="Times New Roman" w:cs="Times New Roman"/>
                <w:bCs/>
                <w:sz w:val="20"/>
                <w:szCs w:val="20"/>
              </w:rPr>
              <w:t>75</w:t>
            </w:r>
          </w:p>
        </w:tc>
        <w:tc>
          <w:tcPr>
            <w:tcW w:w="709" w:type="dxa"/>
            <w:shd w:val="clear" w:color="auto" w:fill="FFFFFF" w:themeFill="background1"/>
            <w:vAlign w:val="center"/>
          </w:tcPr>
          <w:p w14:paraId="2F61FFBF" w14:textId="5C94699B" w:rsidR="00CD0431" w:rsidRPr="005C62FF" w:rsidRDefault="00CD0431" w:rsidP="00CD0431">
            <w:pPr>
              <w:spacing w:after="0" w:line="240" w:lineRule="auto"/>
              <w:jc w:val="center"/>
              <w:rPr>
                <w:rFonts w:ascii="Times New Roman" w:eastAsia="Times New Roman" w:hAnsi="Times New Roman" w:cs="Times New Roman"/>
                <w:bCs/>
                <w:sz w:val="20"/>
                <w:szCs w:val="20"/>
                <w:lang w:eastAsia="lv-LV"/>
              </w:rPr>
            </w:pPr>
            <w:r w:rsidRPr="005C62FF">
              <w:rPr>
                <w:rFonts w:ascii="Times New Roman" w:hAnsi="Times New Roman" w:cs="Times New Roman"/>
                <w:bCs/>
                <w:sz w:val="20"/>
                <w:szCs w:val="20"/>
              </w:rPr>
              <w:t>75</w:t>
            </w:r>
          </w:p>
        </w:tc>
      </w:tr>
      <w:tr w:rsidR="00E11AFF" w14:paraId="2191958D" w14:textId="77777777" w:rsidTr="00C63B8F">
        <w:trPr>
          <w:trHeight w:val="296"/>
          <w:jc w:val="center"/>
        </w:trPr>
        <w:tc>
          <w:tcPr>
            <w:tcW w:w="425" w:type="dxa"/>
            <w:shd w:val="clear" w:color="auto" w:fill="FBD4B4" w:themeFill="accent6" w:themeFillTint="66"/>
          </w:tcPr>
          <w:p w14:paraId="6ABBE381" w14:textId="77777777" w:rsidR="00CD0431" w:rsidRPr="00847710" w:rsidRDefault="00CD0431" w:rsidP="00CD0431">
            <w:pPr>
              <w:spacing w:after="0" w:line="240" w:lineRule="auto"/>
              <w:rPr>
                <w:rFonts w:ascii="Times New Roman" w:eastAsia="Times New Roman" w:hAnsi="Times New Roman" w:cs="Times New Roman"/>
                <w:sz w:val="20"/>
                <w:szCs w:val="20"/>
                <w:lang w:eastAsia="lv-LV"/>
              </w:rPr>
            </w:pPr>
          </w:p>
        </w:tc>
        <w:tc>
          <w:tcPr>
            <w:tcW w:w="1276" w:type="dxa"/>
            <w:shd w:val="clear" w:color="auto" w:fill="FBD4B4" w:themeFill="accent6" w:themeFillTint="66"/>
            <w:vAlign w:val="bottom"/>
          </w:tcPr>
          <w:p w14:paraId="4513C506" w14:textId="77777777" w:rsidR="00CD0431" w:rsidRPr="00847710" w:rsidRDefault="00CD0431" w:rsidP="00CD043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88" w:type="dxa"/>
            <w:shd w:val="clear" w:color="auto" w:fill="FBD4B4" w:themeFill="accent6" w:themeFillTint="66"/>
            <w:noWrap/>
            <w:vAlign w:val="bottom"/>
          </w:tcPr>
          <w:p w14:paraId="227A4602" w14:textId="5922117B" w:rsidR="00CD0431" w:rsidRPr="00847710" w:rsidRDefault="00CD0431" w:rsidP="00CD0431">
            <w:pPr>
              <w:spacing w:after="0" w:line="240" w:lineRule="auto"/>
              <w:jc w:val="center"/>
              <w:rPr>
                <w:rFonts w:ascii="Times New Roman" w:eastAsia="Times New Roman" w:hAnsi="Times New Roman" w:cs="Times New Roman"/>
                <w:sz w:val="20"/>
                <w:szCs w:val="20"/>
                <w:lang w:eastAsia="lv-LV"/>
              </w:rPr>
            </w:pPr>
          </w:p>
        </w:tc>
        <w:tc>
          <w:tcPr>
            <w:tcW w:w="850" w:type="dxa"/>
            <w:shd w:val="clear" w:color="auto" w:fill="FBD4B4" w:themeFill="accent6" w:themeFillTint="66"/>
            <w:vAlign w:val="center"/>
          </w:tcPr>
          <w:p w14:paraId="47DC7180" w14:textId="77777777" w:rsidR="00CD0431" w:rsidRPr="00847710" w:rsidRDefault="00CD0431" w:rsidP="00CD0431">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6EFB0CDF" w14:textId="77777777" w:rsidR="00CD0431" w:rsidRPr="00847710" w:rsidRDefault="00CD0431" w:rsidP="00CD0431">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3029AAE4" w14:textId="77777777" w:rsidR="00CD0431" w:rsidRPr="00847710" w:rsidRDefault="00CD0431" w:rsidP="00CD0431">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498DCB9D" w14:textId="77777777" w:rsidR="00CD0431" w:rsidRPr="00847710" w:rsidRDefault="00CD0431" w:rsidP="00CD0431">
            <w:pPr>
              <w:spacing w:after="0" w:line="240" w:lineRule="auto"/>
              <w:jc w:val="center"/>
              <w:rPr>
                <w:rFonts w:ascii="Times New Roman" w:hAnsi="Times New Roman" w:cs="Times New Roman"/>
                <w:sz w:val="20"/>
                <w:szCs w:val="20"/>
              </w:rPr>
            </w:pPr>
          </w:p>
        </w:tc>
        <w:tc>
          <w:tcPr>
            <w:tcW w:w="1134" w:type="dxa"/>
            <w:shd w:val="clear" w:color="auto" w:fill="FBD4B4" w:themeFill="accent6" w:themeFillTint="66"/>
            <w:vAlign w:val="bottom"/>
          </w:tcPr>
          <w:p w14:paraId="5FC91741" w14:textId="621DE710" w:rsidR="00CD0431" w:rsidRPr="005C62FF" w:rsidRDefault="00CD0431" w:rsidP="00CD0431">
            <w:pPr>
              <w:spacing w:after="0" w:line="240" w:lineRule="auto"/>
              <w:jc w:val="center"/>
              <w:rPr>
                <w:rFonts w:ascii="Times New Roman" w:hAnsi="Times New Roman" w:cs="Times New Roman"/>
                <w:b/>
                <w:sz w:val="20"/>
                <w:szCs w:val="20"/>
              </w:rPr>
            </w:pPr>
            <w:r w:rsidRPr="005C62FF">
              <w:rPr>
                <w:rFonts w:ascii="Times New Roman" w:hAnsi="Times New Roman" w:cs="Times New Roman"/>
                <w:b/>
                <w:sz w:val="20"/>
                <w:szCs w:val="20"/>
              </w:rPr>
              <w:t>1 875 000</w:t>
            </w:r>
          </w:p>
        </w:tc>
        <w:tc>
          <w:tcPr>
            <w:tcW w:w="1134" w:type="dxa"/>
            <w:shd w:val="clear" w:color="auto" w:fill="FBD4B4" w:themeFill="accent6" w:themeFillTint="66"/>
            <w:noWrap/>
            <w:vAlign w:val="bottom"/>
          </w:tcPr>
          <w:p w14:paraId="408E14EB" w14:textId="53E156BF" w:rsidR="00CD0431" w:rsidRPr="005C62FF" w:rsidRDefault="00CD0431" w:rsidP="00CD0431">
            <w:pPr>
              <w:spacing w:after="0" w:line="240" w:lineRule="auto"/>
              <w:jc w:val="center"/>
              <w:rPr>
                <w:rFonts w:ascii="Times New Roman" w:eastAsia="Times New Roman" w:hAnsi="Times New Roman" w:cs="Times New Roman"/>
                <w:b/>
                <w:sz w:val="16"/>
                <w:szCs w:val="16"/>
                <w:lang w:eastAsia="lv-LV"/>
              </w:rPr>
            </w:pPr>
            <w:r w:rsidRPr="005C62FF">
              <w:rPr>
                <w:rFonts w:ascii="Times New Roman" w:hAnsi="Times New Roman" w:cs="Times New Roman"/>
                <w:b/>
                <w:sz w:val="20"/>
                <w:szCs w:val="20"/>
              </w:rPr>
              <w:t>1 875 000</w:t>
            </w:r>
          </w:p>
        </w:tc>
        <w:tc>
          <w:tcPr>
            <w:tcW w:w="850" w:type="dxa"/>
            <w:shd w:val="clear" w:color="auto" w:fill="FBD4B4" w:themeFill="accent6" w:themeFillTint="66"/>
            <w:vAlign w:val="center"/>
          </w:tcPr>
          <w:p w14:paraId="25C56253" w14:textId="77777777" w:rsidR="00CD0431" w:rsidRPr="005C62FF" w:rsidRDefault="00CD0431" w:rsidP="00CD0431">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2059D3A9" w14:textId="77777777" w:rsidR="00CD0431" w:rsidRPr="005C62FF" w:rsidRDefault="00CD0431" w:rsidP="00CD0431">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3119B524" w14:textId="77777777" w:rsidR="00CD0431" w:rsidRPr="005C62FF" w:rsidRDefault="00CD0431" w:rsidP="00CD0431">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4246E924" w14:textId="77777777" w:rsidR="00CD0431" w:rsidRPr="005C62FF" w:rsidRDefault="00CD0431" w:rsidP="00CD0431">
            <w:pPr>
              <w:spacing w:after="0" w:line="240" w:lineRule="auto"/>
              <w:jc w:val="center"/>
              <w:rPr>
                <w:rFonts w:ascii="Times New Roman" w:hAnsi="Times New Roman" w:cs="Times New Roman"/>
                <w:b/>
                <w:bCs/>
                <w:sz w:val="20"/>
                <w:szCs w:val="20"/>
              </w:rPr>
            </w:pPr>
          </w:p>
        </w:tc>
        <w:tc>
          <w:tcPr>
            <w:tcW w:w="708" w:type="dxa"/>
            <w:shd w:val="clear" w:color="auto" w:fill="FBD4B4" w:themeFill="accent6" w:themeFillTint="66"/>
            <w:vAlign w:val="bottom"/>
          </w:tcPr>
          <w:p w14:paraId="356AD35C" w14:textId="67438E97" w:rsidR="00CD0431" w:rsidRPr="005C62FF" w:rsidRDefault="00CD0431" w:rsidP="00CD0431">
            <w:pPr>
              <w:spacing w:after="0" w:line="240" w:lineRule="auto"/>
              <w:jc w:val="center"/>
              <w:rPr>
                <w:rFonts w:ascii="Times New Roman" w:hAnsi="Times New Roman" w:cs="Times New Roman"/>
                <w:b/>
                <w:bCs/>
                <w:sz w:val="20"/>
                <w:szCs w:val="20"/>
              </w:rPr>
            </w:pPr>
            <w:r w:rsidRPr="005C62FF">
              <w:rPr>
                <w:rFonts w:ascii="Times New Roman" w:hAnsi="Times New Roman" w:cs="Times New Roman"/>
                <w:b/>
                <w:bCs/>
                <w:sz w:val="20"/>
                <w:szCs w:val="20"/>
              </w:rPr>
              <w:t>75</w:t>
            </w:r>
          </w:p>
        </w:tc>
        <w:tc>
          <w:tcPr>
            <w:tcW w:w="709" w:type="dxa"/>
            <w:shd w:val="clear" w:color="auto" w:fill="FBD4B4" w:themeFill="accent6" w:themeFillTint="66"/>
            <w:noWrap/>
            <w:vAlign w:val="bottom"/>
          </w:tcPr>
          <w:p w14:paraId="5E3B3C9F" w14:textId="6DC93A9A" w:rsidR="00CD0431" w:rsidRPr="005C62FF" w:rsidRDefault="00CD0431" w:rsidP="00CD0431">
            <w:pPr>
              <w:spacing w:after="0" w:line="240" w:lineRule="auto"/>
              <w:jc w:val="center"/>
              <w:rPr>
                <w:rFonts w:ascii="Times New Roman" w:eastAsia="Times New Roman" w:hAnsi="Times New Roman" w:cs="Times New Roman"/>
                <w:b/>
                <w:bCs/>
                <w:sz w:val="20"/>
                <w:szCs w:val="20"/>
                <w:lang w:eastAsia="lv-LV"/>
              </w:rPr>
            </w:pPr>
            <w:r w:rsidRPr="005C62FF">
              <w:rPr>
                <w:rFonts w:ascii="Times New Roman" w:hAnsi="Times New Roman" w:cs="Times New Roman"/>
                <w:b/>
                <w:bCs/>
                <w:sz w:val="20"/>
                <w:szCs w:val="20"/>
              </w:rPr>
              <w:t>75</w:t>
            </w:r>
          </w:p>
        </w:tc>
      </w:tr>
    </w:tbl>
    <w:p w14:paraId="4293338D" w14:textId="77777777" w:rsidR="00CD0431" w:rsidRPr="00847710" w:rsidRDefault="00CD0431" w:rsidP="00F616B3">
      <w:pPr>
        <w:jc w:val="center"/>
        <w:rPr>
          <w:rFonts w:ascii="Times New Roman" w:hAnsi="Times New Roman" w:cs="Times New Roman"/>
          <w:color w:val="000000"/>
          <w:sz w:val="24"/>
          <w:szCs w:val="24"/>
        </w:rPr>
      </w:pPr>
    </w:p>
    <w:p w14:paraId="23E2EDAF" w14:textId="77777777" w:rsidR="00D27C1A" w:rsidRDefault="00D27C1A" w:rsidP="005C7AF4">
      <w:pPr>
        <w:spacing w:after="120"/>
        <w:rPr>
          <w:rFonts w:ascii="Times New Roman" w:hAnsi="Times New Roman" w:cs="Times New Roman"/>
          <w:b/>
          <w:sz w:val="24"/>
          <w:szCs w:val="24"/>
        </w:rPr>
        <w:sectPr w:rsidR="00D27C1A" w:rsidSect="00333B64">
          <w:pgSz w:w="15840" w:h="12240" w:orient="landscape"/>
          <w:pgMar w:top="1701" w:right="1440" w:bottom="1440" w:left="1440" w:header="709" w:footer="709" w:gutter="0"/>
          <w:cols w:space="708"/>
          <w:docGrid w:linePitch="360"/>
        </w:sectPr>
      </w:pPr>
    </w:p>
    <w:p w14:paraId="373C193A" w14:textId="3A6B2830" w:rsidR="000930F6" w:rsidRPr="00ED653E" w:rsidRDefault="005C7AF4" w:rsidP="005C7AF4">
      <w:pPr>
        <w:tabs>
          <w:tab w:val="left" w:pos="2775"/>
        </w:tabs>
        <w:spacing w:after="12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5C7AF4">
        <w:rPr>
          <w:rFonts w:ascii="Times New Roman" w:hAnsi="Times New Roman" w:cs="Times New Roman"/>
          <w:b/>
          <w:sz w:val="24"/>
          <w:szCs w:val="24"/>
        </w:rPr>
        <w:t>5</w:t>
      </w:r>
      <w:r w:rsidR="000930F6" w:rsidRPr="005C7AF4">
        <w:rPr>
          <w:rFonts w:ascii="Times New Roman" w:hAnsi="Times New Roman" w:cs="Times New Roman"/>
          <w:b/>
          <w:sz w:val="24"/>
          <w:szCs w:val="24"/>
        </w:rPr>
        <w:t>.</w:t>
      </w:r>
      <w:r w:rsidR="000930F6" w:rsidRPr="00ED653E">
        <w:rPr>
          <w:rFonts w:ascii="Times New Roman" w:hAnsi="Times New Roman" w:cs="Times New Roman"/>
          <w:b/>
          <w:sz w:val="24"/>
          <w:szCs w:val="24"/>
        </w:rPr>
        <w:t>2. Asinsrites sistēmas slimības medikamentoza ārstēšana</w:t>
      </w:r>
    </w:p>
    <w:p w14:paraId="17A08A1C" w14:textId="77777777" w:rsidR="000930F6" w:rsidRPr="00847710" w:rsidRDefault="000930F6" w:rsidP="005C7AF4">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Lai gan zāļu kompensācijas sistēma piedāvā plašas izvēles iespējas asinsrites sistēmas slimību ārstēšanā, hroniska finansējuma trūkuma dēļ Latvijā šobrīd netiek izmantotas visas iespējas, kas spētu paildzināt pacientu mūžu, novēršot priekšlaicīgu nāvi no slimībām, kas ir ārstējamas. </w:t>
      </w:r>
    </w:p>
    <w:p w14:paraId="30475F95" w14:textId="364432EB" w:rsidR="000930F6" w:rsidRDefault="000930F6" w:rsidP="005C7AF4">
      <w:pPr>
        <w:spacing w:after="120" w:line="240" w:lineRule="auto"/>
        <w:ind w:firstLine="709"/>
        <w:jc w:val="both"/>
        <w:rPr>
          <w:rFonts w:ascii="Times New Roman" w:hAnsi="Times New Roman" w:cs="Times New Roman"/>
          <w:i/>
          <w:iCs/>
          <w:sz w:val="24"/>
          <w:szCs w:val="24"/>
        </w:rPr>
      </w:pPr>
      <w:r w:rsidRPr="000A0A73">
        <w:rPr>
          <w:rFonts w:ascii="Times New Roman" w:hAnsi="Times New Roman" w:cs="Times New Roman"/>
          <w:sz w:val="24"/>
          <w:szCs w:val="24"/>
        </w:rPr>
        <w:t xml:space="preserve">Lai situāciju uzlabotu, </w:t>
      </w:r>
      <w:r>
        <w:rPr>
          <w:rFonts w:ascii="Times New Roman" w:hAnsi="Times New Roman" w:cs="Times New Roman"/>
          <w:sz w:val="24"/>
          <w:szCs w:val="24"/>
        </w:rPr>
        <w:t xml:space="preserve">2018.gadā tika </w:t>
      </w:r>
      <w:r w:rsidRPr="000A0A73">
        <w:rPr>
          <w:rFonts w:ascii="Times New Roman" w:hAnsi="Times New Roman" w:cs="Times New Roman"/>
          <w:sz w:val="24"/>
          <w:szCs w:val="24"/>
        </w:rPr>
        <w:t>paredzēts kompensējamo zāļu sarakstu papildināt ar jauniem medikamentiem. Tik</w:t>
      </w:r>
      <w:r>
        <w:rPr>
          <w:rFonts w:ascii="Times New Roman" w:hAnsi="Times New Roman" w:cs="Times New Roman"/>
          <w:sz w:val="24"/>
          <w:szCs w:val="24"/>
        </w:rPr>
        <w:t>a</w:t>
      </w:r>
      <w:r w:rsidRPr="000A0A73">
        <w:rPr>
          <w:rFonts w:ascii="Times New Roman" w:hAnsi="Times New Roman" w:cs="Times New Roman"/>
          <w:sz w:val="24"/>
          <w:szCs w:val="24"/>
        </w:rPr>
        <w:t xml:space="preserve"> nodrošināta jaunu inovatīvu zāļu nodrošināšana sirds mazspējas, priekškambaru mirdzēšanas un plandīšanās pacientiem, uzlabota terapijas pieejamība pacientiem, kam pēc akūta koronāra sindroma veikta stentēšana, jaunu diagnožu iekļaušana</w:t>
      </w:r>
      <w:r>
        <w:rPr>
          <w:rFonts w:ascii="Times New Roman" w:hAnsi="Times New Roman" w:cs="Times New Roman"/>
          <w:sz w:val="24"/>
          <w:szCs w:val="24"/>
        </w:rPr>
        <w:t xml:space="preserve"> </w:t>
      </w:r>
      <w:r w:rsidRPr="000A0A73">
        <w:rPr>
          <w:rFonts w:ascii="Times New Roman" w:hAnsi="Times New Roman" w:cs="Times New Roman"/>
          <w:sz w:val="24"/>
          <w:szCs w:val="24"/>
        </w:rPr>
        <w:t>- plaušu embolija, dziļo vēnu tromboze, kurās jauno zāļu savlaicīga lietošana novērš letālas komplikācijas</w:t>
      </w:r>
      <w:r w:rsidRPr="00847710">
        <w:rPr>
          <w:rFonts w:ascii="Times New Roman" w:hAnsi="Times New Roman" w:cs="Times New Roman"/>
          <w:sz w:val="24"/>
          <w:szCs w:val="24"/>
        </w:rPr>
        <w:t xml:space="preserve">, </w:t>
      </w:r>
      <w:r>
        <w:rPr>
          <w:rFonts w:ascii="Times New Roman" w:hAnsi="Times New Roman" w:cs="Times New Roman"/>
          <w:sz w:val="24"/>
          <w:szCs w:val="24"/>
        </w:rPr>
        <w:t xml:space="preserve">lai turpinātu terapijas nodrošināšanu 2018.gadā uzsākušajiem pacientiem 2019.gadā ir nepieciešami </w:t>
      </w:r>
      <w:r w:rsidRPr="00C157F9">
        <w:rPr>
          <w:rFonts w:ascii="Times New Roman" w:hAnsi="Times New Roman" w:cs="Times New Roman"/>
          <w:b/>
          <w:sz w:val="24"/>
          <w:szCs w:val="24"/>
        </w:rPr>
        <w:t xml:space="preserve">3 050 494 </w:t>
      </w:r>
      <w:r w:rsidRPr="00C157F9">
        <w:rPr>
          <w:rFonts w:ascii="Times New Roman" w:hAnsi="Times New Roman" w:cs="Times New Roman"/>
          <w:b/>
          <w:i/>
          <w:sz w:val="24"/>
          <w:szCs w:val="24"/>
        </w:rPr>
        <w:t>euro</w:t>
      </w:r>
      <w:r>
        <w:rPr>
          <w:rFonts w:ascii="Times New Roman" w:hAnsi="Times New Roman" w:cs="Times New Roman"/>
          <w:b/>
          <w:i/>
          <w:sz w:val="24"/>
          <w:szCs w:val="24"/>
        </w:rPr>
        <w:t xml:space="preserve"> </w:t>
      </w:r>
      <w:r w:rsidRPr="00EA2B59">
        <w:rPr>
          <w:rFonts w:ascii="Times New Roman" w:hAnsi="Times New Roman" w:cs="Times New Roman"/>
          <w:sz w:val="24"/>
          <w:szCs w:val="24"/>
        </w:rPr>
        <w:t>(</w:t>
      </w:r>
      <w:r>
        <w:rPr>
          <w:rFonts w:ascii="Times New Roman" w:hAnsi="Times New Roman" w:cs="Times New Roman"/>
          <w:sz w:val="24"/>
          <w:szCs w:val="24"/>
        </w:rPr>
        <w:t>78</w:t>
      </w:r>
      <w:r w:rsidRPr="00EA2B59">
        <w:rPr>
          <w:rFonts w:ascii="Times New Roman" w:hAnsi="Times New Roman" w:cs="Times New Roman"/>
          <w:sz w:val="24"/>
          <w:szCs w:val="24"/>
        </w:rPr>
        <w:t>.tabula)</w:t>
      </w:r>
      <w:r w:rsidRPr="000252AF">
        <w:rPr>
          <w:rFonts w:ascii="Times New Roman" w:hAnsi="Times New Roman" w:cs="Times New Roman"/>
          <w:sz w:val="24"/>
          <w:szCs w:val="24"/>
        </w:rPr>
        <w:t>.</w:t>
      </w:r>
      <w:r>
        <w:rPr>
          <w:rFonts w:ascii="Times New Roman" w:hAnsi="Times New Roman" w:cs="Times New Roman"/>
          <w:sz w:val="24"/>
          <w:szCs w:val="24"/>
        </w:rPr>
        <w:t xml:space="preserve"> 2019.gadā tiek saglabāts 2018.gadā plānotais k</w:t>
      </w:r>
      <w:r w:rsidRPr="008104BD">
        <w:rPr>
          <w:rFonts w:ascii="Times New Roman" w:hAnsi="Times New Roman" w:cs="Times New Roman"/>
          <w:sz w:val="24"/>
          <w:szCs w:val="24"/>
        </w:rPr>
        <w:t>ompensējamos medikamentus saņēmušo pacientu</w:t>
      </w:r>
      <w:r>
        <w:rPr>
          <w:rFonts w:ascii="Times New Roman" w:hAnsi="Times New Roman" w:cs="Times New Roman"/>
          <w:sz w:val="24"/>
          <w:szCs w:val="24"/>
        </w:rPr>
        <w:t>, ņemot vērā, ka gada laikā notiek dabiskas pacintu skaita izmaiņas – jauni pacienti aizstāj jau izārstētos, mirušos un terapiju pārtraukušos</w:t>
      </w:r>
      <w:r w:rsidR="005C7AF4">
        <w:rPr>
          <w:rFonts w:ascii="Times New Roman" w:hAnsi="Times New Roman" w:cs="Times New Roman"/>
          <w:sz w:val="24"/>
          <w:szCs w:val="24"/>
        </w:rPr>
        <w:t>.</w:t>
      </w:r>
    </w:p>
    <w:p w14:paraId="10709B42" w14:textId="34DE117E" w:rsidR="00C737CC" w:rsidRPr="00E93259" w:rsidRDefault="008104BD" w:rsidP="6C65616A">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78</w:t>
      </w:r>
      <w:r w:rsidR="0071331A" w:rsidRPr="6C65616A">
        <w:rPr>
          <w:rFonts w:ascii="Times New Roman" w:hAnsi="Times New Roman" w:cs="Times New Roman"/>
          <w:i/>
          <w:iCs/>
          <w:sz w:val="24"/>
          <w:szCs w:val="24"/>
        </w:rPr>
        <w:t>.tabula</w:t>
      </w:r>
    </w:p>
    <w:p w14:paraId="4B00E627" w14:textId="10BA4D43" w:rsidR="00C737CC" w:rsidRDefault="0071331A" w:rsidP="001855A8">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pacientiem diagnožu grupā “</w:t>
      </w:r>
      <w:r w:rsidR="00455E8B" w:rsidRPr="00901A9F">
        <w:rPr>
          <w:rFonts w:ascii="Times New Roman" w:hAnsi="Times New Roman" w:cs="Times New Roman"/>
          <w:b/>
          <w:bCs/>
          <w:sz w:val="24"/>
          <w:szCs w:val="24"/>
        </w:rPr>
        <w:t xml:space="preserve">Asinsrites </w:t>
      </w:r>
      <w:r w:rsidR="00455E8B" w:rsidRPr="0078794A">
        <w:rPr>
          <w:rFonts w:ascii="Times New Roman" w:hAnsi="Times New Roman" w:cs="Times New Roman"/>
          <w:b/>
          <w:bCs/>
          <w:sz w:val="24"/>
          <w:szCs w:val="24"/>
        </w:rPr>
        <w:t>sistēmas slimības</w:t>
      </w:r>
      <w:r w:rsidRPr="00BD7921">
        <w:rPr>
          <w:rFonts w:ascii="Times New Roman" w:hAnsi="Times New Roman" w:cs="Times New Roman"/>
          <w:b/>
          <w:bCs/>
          <w:sz w:val="24"/>
          <w:szCs w:val="24"/>
        </w:rPr>
        <w:t>”</w:t>
      </w:r>
      <w:r w:rsidR="00205789">
        <w:rPr>
          <w:rFonts w:ascii="Times New Roman" w:hAnsi="Times New Roman" w:cs="Times New Roman"/>
          <w:b/>
          <w:bCs/>
          <w:sz w:val="24"/>
          <w:szCs w:val="24"/>
        </w:rPr>
        <w:t xml:space="preserve"> 2017., 2018. un 2019.gadā</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992"/>
        <w:gridCol w:w="851"/>
        <w:gridCol w:w="850"/>
        <w:gridCol w:w="851"/>
        <w:gridCol w:w="850"/>
        <w:gridCol w:w="1134"/>
        <w:gridCol w:w="1134"/>
        <w:gridCol w:w="704"/>
        <w:gridCol w:w="851"/>
        <w:gridCol w:w="850"/>
        <w:gridCol w:w="851"/>
        <w:gridCol w:w="850"/>
        <w:gridCol w:w="709"/>
      </w:tblGrid>
      <w:tr w:rsidR="00E9331D" w14:paraId="3DA990CF" w14:textId="77777777" w:rsidTr="001F0390">
        <w:trPr>
          <w:cantSplit/>
          <w:trHeight w:val="1505"/>
          <w:jc w:val="center"/>
        </w:trPr>
        <w:tc>
          <w:tcPr>
            <w:tcW w:w="425" w:type="dxa"/>
            <w:shd w:val="clear" w:color="auto" w:fill="E36C0A" w:themeFill="accent6" w:themeFillShade="BF"/>
          </w:tcPr>
          <w:p w14:paraId="4CF0417B" w14:textId="77777777" w:rsidR="00E9331D" w:rsidRPr="00847710" w:rsidRDefault="00E9331D" w:rsidP="00D1261D">
            <w:pPr>
              <w:spacing w:after="0" w:line="240" w:lineRule="auto"/>
              <w:rPr>
                <w:rFonts w:ascii="Times New Roman" w:eastAsia="Times New Roman" w:hAnsi="Times New Roman" w:cs="Times New Roman"/>
                <w:b/>
                <w:bCs/>
                <w:sz w:val="20"/>
                <w:szCs w:val="20"/>
                <w:lang w:eastAsia="lv-LV"/>
              </w:rPr>
            </w:pPr>
          </w:p>
        </w:tc>
        <w:tc>
          <w:tcPr>
            <w:tcW w:w="1843" w:type="dxa"/>
            <w:shd w:val="clear" w:color="auto" w:fill="E36C0A" w:themeFill="accent6" w:themeFillShade="BF"/>
            <w:vAlign w:val="center"/>
            <w:hideMark/>
          </w:tcPr>
          <w:p w14:paraId="380CEF7D" w14:textId="77777777" w:rsidR="00E9331D" w:rsidRPr="00847710" w:rsidRDefault="00E9331D" w:rsidP="00D1261D">
            <w:pPr>
              <w:spacing w:after="0" w:line="240" w:lineRule="auto"/>
              <w:rPr>
                <w:rFonts w:ascii="Times New Roman" w:eastAsia="Times New Roman" w:hAnsi="Times New Roman" w:cs="Times New Roman"/>
                <w:b/>
                <w:bCs/>
                <w:sz w:val="20"/>
                <w:szCs w:val="20"/>
                <w:lang w:eastAsia="lv-LV"/>
              </w:rPr>
            </w:pPr>
          </w:p>
        </w:tc>
        <w:tc>
          <w:tcPr>
            <w:tcW w:w="992" w:type="dxa"/>
            <w:shd w:val="clear" w:color="auto" w:fill="E36C0A" w:themeFill="accent6" w:themeFillShade="BF"/>
            <w:textDirection w:val="btLr"/>
            <w:vAlign w:val="center"/>
            <w:hideMark/>
          </w:tcPr>
          <w:p w14:paraId="634C6626" w14:textId="77777777" w:rsidR="00E9331D" w:rsidRPr="00847710" w:rsidRDefault="00E9331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ārstēšanas</w:t>
            </w:r>
          </w:p>
          <w:p w14:paraId="04F7B48C" w14:textId="77777777" w:rsidR="00E9331D" w:rsidRPr="00847710" w:rsidRDefault="00E9331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2DD61230" w14:textId="77777777" w:rsidR="00E9331D" w:rsidRPr="00847710" w:rsidRDefault="00E9331D"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2552" w:type="dxa"/>
            <w:gridSpan w:val="3"/>
            <w:shd w:val="clear" w:color="auto" w:fill="E36C0A" w:themeFill="accent6" w:themeFillShade="BF"/>
            <w:textDirection w:val="btLr"/>
            <w:vAlign w:val="center"/>
          </w:tcPr>
          <w:p w14:paraId="08847F2D" w14:textId="77777777" w:rsidR="00E9331D" w:rsidRPr="00847710" w:rsidRDefault="00E9331D"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3118" w:type="dxa"/>
            <w:gridSpan w:val="3"/>
            <w:shd w:val="clear" w:color="auto" w:fill="E36C0A" w:themeFill="accent6" w:themeFillShade="BF"/>
            <w:textDirection w:val="btLr"/>
            <w:vAlign w:val="center"/>
          </w:tcPr>
          <w:p w14:paraId="5E0F9C9D" w14:textId="77777777" w:rsidR="00E9331D" w:rsidRPr="00847710" w:rsidRDefault="00E9331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405" w:type="dxa"/>
            <w:gridSpan w:val="3"/>
            <w:shd w:val="clear" w:color="auto" w:fill="E36C0A" w:themeFill="accent6" w:themeFillShade="BF"/>
            <w:textDirection w:val="btLr"/>
            <w:vAlign w:val="center"/>
          </w:tcPr>
          <w:p w14:paraId="17F826E1" w14:textId="77777777" w:rsidR="00E9331D" w:rsidRPr="00847710" w:rsidRDefault="00E9331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410" w:type="dxa"/>
            <w:gridSpan w:val="3"/>
            <w:shd w:val="clear" w:color="auto" w:fill="E36C0A" w:themeFill="accent6" w:themeFillShade="BF"/>
            <w:textDirection w:val="btLr"/>
            <w:vAlign w:val="center"/>
          </w:tcPr>
          <w:p w14:paraId="25F8322C" w14:textId="277ED5A8" w:rsidR="00E9331D" w:rsidRPr="00847710" w:rsidRDefault="00E9331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E828CE">
              <w:rPr>
                <w:rFonts w:ascii="Times New Roman" w:eastAsia="Times New Roman" w:hAnsi="Times New Roman" w:cs="Times New Roman"/>
                <w:b/>
                <w:bCs/>
                <w:sz w:val="20"/>
                <w:szCs w:val="20"/>
                <w:lang w:eastAsia="lv-LV"/>
              </w:rPr>
              <w:t xml:space="preserve">pakalpojumu </w:t>
            </w:r>
            <w:r w:rsidRPr="00847710">
              <w:rPr>
                <w:rFonts w:ascii="Times New Roman" w:eastAsia="Times New Roman" w:hAnsi="Times New Roman" w:cs="Times New Roman"/>
                <w:b/>
                <w:bCs/>
                <w:sz w:val="20"/>
                <w:szCs w:val="20"/>
                <w:lang w:eastAsia="lv-LV"/>
              </w:rPr>
              <w:t>skaits pēc finansējuma piešķīruma</w:t>
            </w:r>
          </w:p>
        </w:tc>
      </w:tr>
      <w:tr w:rsidR="00E9331D" w14:paraId="01A1E718" w14:textId="77777777" w:rsidTr="001F0390">
        <w:trPr>
          <w:trHeight w:val="640"/>
          <w:jc w:val="center"/>
        </w:trPr>
        <w:tc>
          <w:tcPr>
            <w:tcW w:w="425" w:type="dxa"/>
            <w:shd w:val="clear" w:color="auto" w:fill="FABF8F" w:themeFill="accent6" w:themeFillTint="99"/>
          </w:tcPr>
          <w:p w14:paraId="2D253256"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p>
        </w:tc>
        <w:tc>
          <w:tcPr>
            <w:tcW w:w="1843" w:type="dxa"/>
            <w:shd w:val="clear" w:color="auto" w:fill="FABF8F" w:themeFill="accent6" w:themeFillTint="99"/>
            <w:vAlign w:val="center"/>
          </w:tcPr>
          <w:p w14:paraId="0708DE9E"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p>
        </w:tc>
        <w:tc>
          <w:tcPr>
            <w:tcW w:w="992" w:type="dxa"/>
            <w:shd w:val="clear" w:color="auto" w:fill="FABF8F" w:themeFill="accent6" w:themeFillTint="99"/>
            <w:vAlign w:val="center"/>
          </w:tcPr>
          <w:p w14:paraId="7A5110E9" w14:textId="77777777" w:rsidR="00E9331D" w:rsidRPr="00847710" w:rsidRDefault="00E9331D"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1302BFB8"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6B81C018" w14:textId="77777777" w:rsidR="00E9331D"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6BB35925" w14:textId="77777777" w:rsidR="00E9331D" w:rsidRPr="0012317D" w:rsidRDefault="00E9331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5A6FC72B" w14:textId="77777777" w:rsidR="00E9331D"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0D3897AA" w14:textId="77777777" w:rsidR="00E9331D" w:rsidRPr="0012317D" w:rsidRDefault="00E9331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4F1EFC78" w14:textId="77777777" w:rsidR="00E9331D"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72C86BC5" w14:textId="77777777" w:rsidR="00E9331D" w:rsidRPr="0012317D" w:rsidRDefault="00E9331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0DDB5F27" w14:textId="77777777" w:rsidR="00E9331D"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3DE14F0" w14:textId="77777777" w:rsidR="00E9331D" w:rsidRPr="0012317D" w:rsidRDefault="00E9331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69D616BF" w14:textId="77777777" w:rsidR="00E9331D"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55339C3D" w14:textId="77777777" w:rsidR="00E9331D" w:rsidRPr="0012317D" w:rsidRDefault="00E9331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37FDBDDB" w14:textId="77777777" w:rsidR="00E9331D" w:rsidRPr="00C86312" w:rsidRDefault="00E9331D"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C695167" w14:textId="77777777" w:rsidR="00E9331D" w:rsidRPr="00C86312" w:rsidRDefault="00E9331D"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4" w:type="dxa"/>
            <w:shd w:val="clear" w:color="auto" w:fill="FABF8F" w:themeFill="accent6" w:themeFillTint="99"/>
            <w:vAlign w:val="center"/>
          </w:tcPr>
          <w:p w14:paraId="0F64A3E7"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22F09356"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0251097C"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1" w:type="dxa"/>
            <w:shd w:val="clear" w:color="auto" w:fill="FABF8F" w:themeFill="accent6" w:themeFillTint="99"/>
            <w:vAlign w:val="center"/>
          </w:tcPr>
          <w:p w14:paraId="79E59935"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0" w:type="dxa"/>
            <w:shd w:val="clear" w:color="auto" w:fill="FABF8F" w:themeFill="accent6" w:themeFillTint="99"/>
            <w:vAlign w:val="center"/>
          </w:tcPr>
          <w:p w14:paraId="78338B2D"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6C6F371B" w14:textId="77777777" w:rsidR="00E9331D" w:rsidRPr="00847710" w:rsidRDefault="00E9331D"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E11AFF" w14:paraId="1E4A9BED" w14:textId="77777777" w:rsidTr="001F0390">
        <w:trPr>
          <w:trHeight w:val="598"/>
          <w:jc w:val="center"/>
        </w:trPr>
        <w:tc>
          <w:tcPr>
            <w:tcW w:w="425" w:type="dxa"/>
            <w:shd w:val="clear" w:color="auto" w:fill="FFFFFF" w:themeFill="background1"/>
          </w:tcPr>
          <w:p w14:paraId="3B2B46EE" w14:textId="77777777" w:rsidR="00E9331D" w:rsidRPr="00E1067B"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843" w:type="dxa"/>
            <w:shd w:val="clear" w:color="auto" w:fill="FFFFFF" w:themeFill="background1"/>
            <w:vAlign w:val="center"/>
          </w:tcPr>
          <w:p w14:paraId="064CEFAF" w14:textId="75A7160C" w:rsidR="00E9331D" w:rsidRPr="00E1067B" w:rsidRDefault="00E9331D" w:rsidP="00E9331D">
            <w:pPr>
              <w:spacing w:after="0" w:line="240" w:lineRule="auto"/>
              <w:rPr>
                <w:rFonts w:ascii="Times New Roman" w:eastAsia="Times New Roman" w:hAnsi="Times New Roman" w:cs="Times New Roman"/>
                <w:bCs/>
                <w:sz w:val="20"/>
                <w:szCs w:val="20"/>
                <w:lang w:eastAsia="lv-LV"/>
              </w:rPr>
            </w:pPr>
            <w:r w:rsidRPr="00847710">
              <w:rPr>
                <w:rFonts w:ascii="Times New Roman" w:eastAsia="Times New Roman" w:hAnsi="Times New Roman" w:cs="Times New Roman"/>
                <w:sz w:val="20"/>
                <w:szCs w:val="20"/>
                <w:lang w:eastAsia="lv-LV"/>
              </w:rPr>
              <w:t>Kompensējamos medikamentus saņēmušo pacientu un līdzekļu pieaugums asinsrites sistēmas slimību pacientiem</w:t>
            </w:r>
          </w:p>
        </w:tc>
        <w:tc>
          <w:tcPr>
            <w:tcW w:w="992" w:type="dxa"/>
            <w:shd w:val="clear" w:color="auto" w:fill="FFFFFF" w:themeFill="background1"/>
            <w:vAlign w:val="center"/>
          </w:tcPr>
          <w:p w14:paraId="5093B5A2" w14:textId="3883C5C3" w:rsidR="00E9331D" w:rsidRPr="00E1067B" w:rsidRDefault="00E9331D" w:rsidP="00E9331D">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586.07</w:t>
            </w:r>
          </w:p>
        </w:tc>
        <w:tc>
          <w:tcPr>
            <w:tcW w:w="851" w:type="dxa"/>
            <w:shd w:val="clear" w:color="auto" w:fill="FFFFFF" w:themeFill="background1"/>
            <w:vAlign w:val="center"/>
          </w:tcPr>
          <w:p w14:paraId="4DABF65F" w14:textId="77777777" w:rsidR="00E9331D"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9177147" w14:textId="77777777" w:rsidR="00E9331D"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36197AB" w14:textId="77777777" w:rsidR="00E9331D" w:rsidRPr="00E1067B"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2046406" w14:textId="77777777" w:rsidR="00E9331D"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7D7DF90B" w14:textId="66095F8C" w:rsidR="00E9331D" w:rsidRDefault="00E9331D" w:rsidP="00E9331D">
            <w:pPr>
              <w:spacing w:after="0" w:line="240" w:lineRule="auto"/>
              <w:jc w:val="center"/>
              <w:rPr>
                <w:rFonts w:ascii="Times New Roman" w:eastAsia="Times New Roman" w:hAnsi="Times New Roman" w:cs="Times New Roman"/>
                <w:bCs/>
                <w:sz w:val="20"/>
                <w:szCs w:val="20"/>
                <w:lang w:eastAsia="lv-LV"/>
              </w:rPr>
            </w:pPr>
            <w:r w:rsidRPr="00920404">
              <w:rPr>
                <w:rFonts w:ascii="Times New Roman" w:hAnsi="Times New Roman" w:cs="Times New Roman"/>
                <w:sz w:val="20"/>
                <w:szCs w:val="20"/>
              </w:rPr>
              <w:t>3 050 494</w:t>
            </w:r>
          </w:p>
        </w:tc>
        <w:tc>
          <w:tcPr>
            <w:tcW w:w="1134" w:type="dxa"/>
            <w:shd w:val="clear" w:color="auto" w:fill="FFFFFF" w:themeFill="background1"/>
            <w:vAlign w:val="center"/>
          </w:tcPr>
          <w:p w14:paraId="64C8040C" w14:textId="215F1052" w:rsidR="00E9331D" w:rsidRPr="00030FAC" w:rsidRDefault="00E9331D" w:rsidP="00E9331D">
            <w:pPr>
              <w:spacing w:after="0" w:line="240" w:lineRule="auto"/>
              <w:jc w:val="center"/>
              <w:rPr>
                <w:rFonts w:ascii="Times New Roman" w:eastAsia="Times New Roman" w:hAnsi="Times New Roman" w:cs="Times New Roman"/>
                <w:bCs/>
                <w:sz w:val="16"/>
                <w:szCs w:val="16"/>
                <w:lang w:eastAsia="lv-LV"/>
              </w:rPr>
            </w:pPr>
            <w:r w:rsidRPr="001428B4">
              <w:rPr>
                <w:rFonts w:ascii="Times New Roman" w:hAnsi="Times New Roman" w:cs="Times New Roman"/>
                <w:sz w:val="20"/>
                <w:szCs w:val="20"/>
              </w:rPr>
              <w:t>3 050 494</w:t>
            </w:r>
          </w:p>
        </w:tc>
        <w:tc>
          <w:tcPr>
            <w:tcW w:w="704" w:type="dxa"/>
            <w:shd w:val="clear" w:color="auto" w:fill="FFFFFF" w:themeFill="background1"/>
            <w:vAlign w:val="center"/>
          </w:tcPr>
          <w:p w14:paraId="6850243D" w14:textId="77777777" w:rsidR="00E9331D" w:rsidRPr="00E1067B"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58B16DE" w14:textId="77777777" w:rsidR="00E9331D" w:rsidRPr="00E1067B"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3F93345" w14:textId="77777777" w:rsidR="00E9331D" w:rsidRPr="00E1067B"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2A3091C5" w14:textId="77777777" w:rsidR="00E9331D" w:rsidRDefault="00E9331D" w:rsidP="00E9331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454F2C8" w14:textId="487E835D" w:rsidR="00E9331D" w:rsidRPr="007B0206" w:rsidRDefault="00E9331D" w:rsidP="00E9331D">
            <w:pPr>
              <w:spacing w:after="0" w:line="240" w:lineRule="auto"/>
              <w:jc w:val="center"/>
              <w:rPr>
                <w:rFonts w:ascii="Times New Roman" w:eastAsia="Times New Roman" w:hAnsi="Times New Roman" w:cs="Times New Roman"/>
                <w:bCs/>
                <w:sz w:val="20"/>
                <w:szCs w:val="20"/>
                <w:lang w:eastAsia="lv-LV"/>
              </w:rPr>
            </w:pPr>
            <w:r w:rsidRPr="007B0206">
              <w:rPr>
                <w:rFonts w:ascii="Times New Roman" w:hAnsi="Times New Roman" w:cs="Times New Roman"/>
                <w:bCs/>
                <w:sz w:val="20"/>
                <w:szCs w:val="20"/>
              </w:rPr>
              <w:t>5 205</w:t>
            </w:r>
          </w:p>
        </w:tc>
        <w:tc>
          <w:tcPr>
            <w:tcW w:w="709" w:type="dxa"/>
            <w:shd w:val="clear" w:color="auto" w:fill="FFFFFF" w:themeFill="background1"/>
            <w:vAlign w:val="center"/>
          </w:tcPr>
          <w:p w14:paraId="69F2AFAE" w14:textId="2AC19D27" w:rsidR="00E9331D" w:rsidRPr="007B0206" w:rsidRDefault="00E9331D" w:rsidP="00E9331D">
            <w:pPr>
              <w:spacing w:after="0" w:line="240" w:lineRule="auto"/>
              <w:jc w:val="center"/>
              <w:rPr>
                <w:rFonts w:ascii="Times New Roman" w:eastAsia="Times New Roman" w:hAnsi="Times New Roman" w:cs="Times New Roman"/>
                <w:bCs/>
                <w:sz w:val="20"/>
                <w:szCs w:val="20"/>
                <w:lang w:eastAsia="lv-LV"/>
              </w:rPr>
            </w:pPr>
            <w:r w:rsidRPr="007B0206">
              <w:rPr>
                <w:rFonts w:ascii="Times New Roman" w:hAnsi="Times New Roman" w:cs="Times New Roman"/>
                <w:bCs/>
                <w:sz w:val="20"/>
                <w:szCs w:val="20"/>
              </w:rPr>
              <w:t>5 205</w:t>
            </w:r>
          </w:p>
        </w:tc>
      </w:tr>
      <w:tr w:rsidR="00E11AFF" w14:paraId="1FE3B5D5" w14:textId="77777777" w:rsidTr="001F0390">
        <w:trPr>
          <w:trHeight w:val="296"/>
          <w:jc w:val="center"/>
        </w:trPr>
        <w:tc>
          <w:tcPr>
            <w:tcW w:w="425" w:type="dxa"/>
            <w:shd w:val="clear" w:color="auto" w:fill="FBD4B4" w:themeFill="accent6" w:themeFillTint="66"/>
          </w:tcPr>
          <w:p w14:paraId="2F4C9449" w14:textId="77777777" w:rsidR="00E9331D" w:rsidRPr="00847710" w:rsidRDefault="00E9331D" w:rsidP="00E9331D">
            <w:pPr>
              <w:spacing w:after="0" w:line="240" w:lineRule="auto"/>
              <w:rPr>
                <w:rFonts w:ascii="Times New Roman" w:eastAsia="Times New Roman" w:hAnsi="Times New Roman" w:cs="Times New Roman"/>
                <w:sz w:val="20"/>
                <w:szCs w:val="20"/>
                <w:lang w:eastAsia="lv-LV"/>
              </w:rPr>
            </w:pPr>
          </w:p>
        </w:tc>
        <w:tc>
          <w:tcPr>
            <w:tcW w:w="1843" w:type="dxa"/>
            <w:shd w:val="clear" w:color="auto" w:fill="FBD4B4" w:themeFill="accent6" w:themeFillTint="66"/>
            <w:vAlign w:val="bottom"/>
          </w:tcPr>
          <w:p w14:paraId="27E18F69" w14:textId="77777777" w:rsidR="00E9331D" w:rsidRPr="00847710" w:rsidRDefault="00E9331D" w:rsidP="00E9331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2" w:type="dxa"/>
            <w:shd w:val="clear" w:color="auto" w:fill="FBD4B4" w:themeFill="accent6" w:themeFillTint="66"/>
            <w:noWrap/>
            <w:vAlign w:val="bottom"/>
          </w:tcPr>
          <w:p w14:paraId="13476F49" w14:textId="3246972B" w:rsidR="00E9331D" w:rsidRPr="00847710" w:rsidRDefault="00E9331D" w:rsidP="00E9331D">
            <w:pPr>
              <w:spacing w:after="0" w:line="240" w:lineRule="auto"/>
              <w:jc w:val="center"/>
              <w:rPr>
                <w:rFonts w:ascii="Times New Roman" w:eastAsia="Times New Roman" w:hAnsi="Times New Roman" w:cs="Times New Roman"/>
                <w:sz w:val="20"/>
                <w:szCs w:val="20"/>
                <w:lang w:eastAsia="lv-LV"/>
              </w:rPr>
            </w:pPr>
          </w:p>
        </w:tc>
        <w:tc>
          <w:tcPr>
            <w:tcW w:w="851" w:type="dxa"/>
            <w:shd w:val="clear" w:color="auto" w:fill="FBD4B4" w:themeFill="accent6" w:themeFillTint="66"/>
            <w:vAlign w:val="center"/>
          </w:tcPr>
          <w:p w14:paraId="36850994" w14:textId="77777777" w:rsidR="00E9331D" w:rsidRPr="00847710" w:rsidRDefault="00E9331D" w:rsidP="00E9331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28CD463D" w14:textId="77777777" w:rsidR="00E9331D" w:rsidRPr="00847710" w:rsidRDefault="00E9331D" w:rsidP="00E9331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660C52F9" w14:textId="77777777" w:rsidR="00E9331D" w:rsidRPr="00847710" w:rsidRDefault="00E9331D" w:rsidP="00E9331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01D7F8DF" w14:textId="77777777" w:rsidR="00E9331D" w:rsidRPr="00847710" w:rsidRDefault="00E9331D" w:rsidP="00E9331D">
            <w:pPr>
              <w:spacing w:after="0" w:line="240" w:lineRule="auto"/>
              <w:jc w:val="center"/>
              <w:rPr>
                <w:rFonts w:ascii="Times New Roman" w:hAnsi="Times New Roman" w:cs="Times New Roman"/>
                <w:sz w:val="20"/>
                <w:szCs w:val="20"/>
              </w:rPr>
            </w:pPr>
          </w:p>
        </w:tc>
        <w:tc>
          <w:tcPr>
            <w:tcW w:w="1134" w:type="dxa"/>
            <w:shd w:val="clear" w:color="auto" w:fill="FBD4B4" w:themeFill="accent6" w:themeFillTint="66"/>
            <w:vAlign w:val="center"/>
          </w:tcPr>
          <w:p w14:paraId="55733164" w14:textId="685C3DAF" w:rsidR="00E9331D" w:rsidRPr="007B0206" w:rsidRDefault="00E9331D" w:rsidP="00E9331D">
            <w:pPr>
              <w:spacing w:after="0" w:line="240" w:lineRule="auto"/>
              <w:jc w:val="center"/>
              <w:rPr>
                <w:rFonts w:ascii="Times New Roman" w:hAnsi="Times New Roman" w:cs="Times New Roman"/>
                <w:b/>
                <w:sz w:val="20"/>
                <w:szCs w:val="20"/>
              </w:rPr>
            </w:pPr>
            <w:r w:rsidRPr="007B0206">
              <w:rPr>
                <w:rFonts w:ascii="Times New Roman" w:hAnsi="Times New Roman" w:cs="Times New Roman"/>
                <w:b/>
                <w:sz w:val="20"/>
                <w:szCs w:val="20"/>
              </w:rPr>
              <w:t>3 050 494</w:t>
            </w:r>
          </w:p>
        </w:tc>
        <w:tc>
          <w:tcPr>
            <w:tcW w:w="1134" w:type="dxa"/>
            <w:shd w:val="clear" w:color="auto" w:fill="FBD4B4" w:themeFill="accent6" w:themeFillTint="66"/>
            <w:noWrap/>
            <w:vAlign w:val="center"/>
          </w:tcPr>
          <w:p w14:paraId="3F3AB3E1" w14:textId="7C998AF2" w:rsidR="00E9331D" w:rsidRPr="007B0206" w:rsidRDefault="00E9331D" w:rsidP="00E9331D">
            <w:pPr>
              <w:spacing w:after="0" w:line="240" w:lineRule="auto"/>
              <w:jc w:val="center"/>
              <w:rPr>
                <w:rFonts w:ascii="Times New Roman" w:eastAsia="Times New Roman" w:hAnsi="Times New Roman" w:cs="Times New Roman"/>
                <w:b/>
                <w:sz w:val="16"/>
                <w:szCs w:val="16"/>
                <w:lang w:eastAsia="lv-LV"/>
              </w:rPr>
            </w:pPr>
            <w:r w:rsidRPr="007B0206">
              <w:rPr>
                <w:rFonts w:ascii="Times New Roman" w:hAnsi="Times New Roman" w:cs="Times New Roman"/>
                <w:b/>
                <w:sz w:val="20"/>
                <w:szCs w:val="20"/>
              </w:rPr>
              <w:t>3 050 494</w:t>
            </w:r>
          </w:p>
        </w:tc>
        <w:tc>
          <w:tcPr>
            <w:tcW w:w="704" w:type="dxa"/>
            <w:shd w:val="clear" w:color="auto" w:fill="FBD4B4" w:themeFill="accent6" w:themeFillTint="66"/>
            <w:vAlign w:val="center"/>
          </w:tcPr>
          <w:p w14:paraId="4A139475" w14:textId="77777777" w:rsidR="00E9331D" w:rsidRPr="007B0206" w:rsidRDefault="00E9331D" w:rsidP="00E9331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6C331E8C" w14:textId="77777777" w:rsidR="00E9331D" w:rsidRPr="007B0206" w:rsidRDefault="00E9331D" w:rsidP="00E9331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0027DD18" w14:textId="77777777" w:rsidR="00E9331D" w:rsidRPr="007B0206" w:rsidRDefault="00E9331D" w:rsidP="00E9331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14599B7E" w14:textId="77777777" w:rsidR="00E9331D" w:rsidRPr="007B0206" w:rsidRDefault="00E9331D" w:rsidP="00E9331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4CAEE5F9" w14:textId="7B269E4A" w:rsidR="00E9331D" w:rsidRPr="007B0206" w:rsidRDefault="00E9331D" w:rsidP="00E9331D">
            <w:pPr>
              <w:spacing w:after="0" w:line="240" w:lineRule="auto"/>
              <w:jc w:val="center"/>
              <w:rPr>
                <w:rFonts w:ascii="Times New Roman" w:hAnsi="Times New Roman" w:cs="Times New Roman"/>
                <w:b/>
                <w:bCs/>
                <w:sz w:val="20"/>
                <w:szCs w:val="20"/>
              </w:rPr>
            </w:pPr>
            <w:r w:rsidRPr="007B0206">
              <w:rPr>
                <w:rFonts w:ascii="Times New Roman" w:hAnsi="Times New Roman" w:cs="Times New Roman"/>
                <w:b/>
                <w:bCs/>
                <w:sz w:val="20"/>
                <w:szCs w:val="20"/>
              </w:rPr>
              <w:t>5 205</w:t>
            </w:r>
          </w:p>
        </w:tc>
        <w:tc>
          <w:tcPr>
            <w:tcW w:w="709" w:type="dxa"/>
            <w:shd w:val="clear" w:color="auto" w:fill="FBD4B4" w:themeFill="accent6" w:themeFillTint="66"/>
            <w:noWrap/>
            <w:vAlign w:val="center"/>
          </w:tcPr>
          <w:p w14:paraId="6CB96850" w14:textId="187551E2" w:rsidR="00E9331D" w:rsidRPr="007B0206" w:rsidRDefault="00E9331D" w:rsidP="00E9331D">
            <w:pPr>
              <w:spacing w:after="0" w:line="240" w:lineRule="auto"/>
              <w:jc w:val="center"/>
              <w:rPr>
                <w:rFonts w:ascii="Times New Roman" w:eastAsia="Times New Roman" w:hAnsi="Times New Roman" w:cs="Times New Roman"/>
                <w:b/>
                <w:bCs/>
                <w:sz w:val="20"/>
                <w:szCs w:val="20"/>
                <w:lang w:eastAsia="lv-LV"/>
              </w:rPr>
            </w:pPr>
            <w:r w:rsidRPr="007B0206">
              <w:rPr>
                <w:rFonts w:ascii="Times New Roman" w:hAnsi="Times New Roman" w:cs="Times New Roman"/>
                <w:b/>
                <w:bCs/>
                <w:sz w:val="20"/>
                <w:szCs w:val="20"/>
              </w:rPr>
              <w:t>5 205</w:t>
            </w:r>
          </w:p>
        </w:tc>
      </w:tr>
    </w:tbl>
    <w:p w14:paraId="721AFF1F" w14:textId="77777777" w:rsidR="00E9331D" w:rsidRDefault="00E9331D" w:rsidP="005A7E2B">
      <w:pPr>
        <w:spacing w:after="0" w:line="240" w:lineRule="auto"/>
        <w:jc w:val="both"/>
        <w:rPr>
          <w:rFonts w:ascii="Times New Roman" w:hAnsi="Times New Roman" w:cs="Times New Roman"/>
          <w:sz w:val="24"/>
          <w:szCs w:val="24"/>
        </w:rPr>
        <w:sectPr w:rsidR="00E9331D" w:rsidSect="00333B64">
          <w:pgSz w:w="15840" w:h="12240" w:orient="landscape"/>
          <w:pgMar w:top="1701" w:right="1440" w:bottom="1440" w:left="1440" w:header="709" w:footer="709" w:gutter="0"/>
          <w:cols w:space="708"/>
          <w:docGrid w:linePitch="360"/>
        </w:sectPr>
      </w:pPr>
    </w:p>
    <w:p w14:paraId="3FC1C01C" w14:textId="76E1C5E8" w:rsidR="000930F6" w:rsidRPr="00ED653E" w:rsidRDefault="000930F6" w:rsidP="000930F6">
      <w:pPr>
        <w:spacing w:after="12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ED653E">
        <w:rPr>
          <w:rFonts w:ascii="Times New Roman" w:hAnsi="Times New Roman" w:cs="Times New Roman"/>
          <w:b/>
          <w:sz w:val="24"/>
          <w:szCs w:val="24"/>
        </w:rPr>
        <w:t xml:space="preserve">. </w:t>
      </w:r>
      <w:r>
        <w:rPr>
          <w:rFonts w:ascii="Times New Roman" w:hAnsi="Times New Roman" w:cs="Times New Roman"/>
          <w:b/>
          <w:sz w:val="24"/>
          <w:szCs w:val="24"/>
        </w:rPr>
        <w:t>Medicīnas tehnoloģiju reforma</w:t>
      </w:r>
    </w:p>
    <w:p w14:paraId="1F7967B6" w14:textId="6AB93F0F" w:rsidR="000930F6" w:rsidRPr="000930F6" w:rsidRDefault="000930F6" w:rsidP="000930F6">
      <w:pPr>
        <w:pStyle w:val="naiskr"/>
        <w:spacing w:before="0" w:beforeAutospacing="0" w:after="120" w:afterAutospacing="0" w:line="276" w:lineRule="auto"/>
        <w:ind w:firstLine="720"/>
        <w:jc w:val="both"/>
        <w:rPr>
          <w:rFonts w:eastAsia="Calibri"/>
          <w:shd w:val="clear" w:color="auto" w:fill="FFFFFF"/>
        </w:rPr>
      </w:pPr>
      <w:r w:rsidRPr="00276D50">
        <w:rPr>
          <w:rFonts w:eastAsia="Calibri"/>
          <w:shd w:val="clear" w:color="auto" w:fill="FFFFFF"/>
        </w:rPr>
        <w:t xml:space="preserve">Lai nodrošinātu neatliekamās medicīniskās palīdzību 24/7 režīmā </w:t>
      </w:r>
      <w:r>
        <w:rPr>
          <w:rFonts w:eastAsia="Calibri"/>
          <w:shd w:val="clear" w:color="auto" w:fill="FFFFFF"/>
        </w:rPr>
        <w:t xml:space="preserve">invazīvajā kardioloģijā akūta miokarda infarkta ārstēšanā, kā arī ļautu attīstīt neatliekamu endovaskulāru ārstēšanu pacientiem ar akūtu insultu, palielinātu diagnostisko un ārstniecisko izmeklējumu skaitu,  paaugstinātu veikto operāciju drošumu (gadījumā, ja pēkšņi nedarbojas viens angiogrāfs, ir iespēja turpināt operāciju ar otru), paplašinātu sniegto medicīnisko pakalpojumu klāstu, t.i. palielināt perifēro asinsvadu </w:t>
      </w:r>
      <w:r w:rsidRPr="006B5B15">
        <w:rPr>
          <w:rFonts w:eastAsia="Calibri"/>
          <w:shd w:val="clear" w:color="auto" w:fill="FFFFFF"/>
        </w:rPr>
        <w:t>angiogrāfijas</w:t>
      </w:r>
      <w:r>
        <w:rPr>
          <w:rFonts w:eastAsia="Calibri"/>
          <w:shd w:val="clear" w:color="auto" w:fill="FFFFFF"/>
        </w:rPr>
        <w:t xml:space="preserve"> un angioplastijas ir nepieciešams ieviest jaunas tehnoloģijas SAS slimību modernā un uz rezultātu vērstā diagnostikā.</w:t>
      </w:r>
      <w:r w:rsidRPr="00E93259">
        <w:rPr>
          <w:rFonts w:eastAsia="Calibri"/>
        </w:rPr>
        <w:t xml:space="preserve"> 2018.gadā tika uzsākta programma angiogrāfijas iekāru nomaiņai, nomainot 4 angiogrāfijas iekārtas. 2019.gadā plānots iegādāties vēl 2 zemākas specifikācijas angiogrāfijas iekārtas VSIA “Paula Stradiņa klīniskā universitātes slimnīca” un VSIA “Bērnu klīniskā univer</w:t>
      </w:r>
      <w:r>
        <w:rPr>
          <w:rFonts w:eastAsia="Calibri"/>
        </w:rPr>
        <w:t>sitātes slimnīca” vajadzībām (79</w:t>
      </w:r>
      <w:r w:rsidRPr="00E93259">
        <w:rPr>
          <w:rFonts w:eastAsia="Calibri"/>
        </w:rPr>
        <w:t>.tabula). VSIA “Bērnu klīniskā universitātes slimnīca” ir vienīgā vieta Latvijā, kur tiek nodrošinātas augstākās sarežģītības kardioloģiskās intervences bērniem. Angiogrāfs tiek intensīvi lietots gan kardioloģisko operāciju laikā, gan diagnostiskās procedūrās.</w:t>
      </w:r>
    </w:p>
    <w:p w14:paraId="7186DA73" w14:textId="056C1BF6" w:rsidR="006B5B15" w:rsidRPr="00E93259" w:rsidRDefault="00DB330E" w:rsidP="6C65616A">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7</w:t>
      </w:r>
      <w:r w:rsidR="008104BD">
        <w:rPr>
          <w:rFonts w:ascii="Times New Roman" w:hAnsi="Times New Roman" w:cs="Times New Roman"/>
          <w:i/>
          <w:iCs/>
          <w:sz w:val="24"/>
          <w:szCs w:val="24"/>
        </w:rPr>
        <w:t>9</w:t>
      </w:r>
      <w:r w:rsidR="006B5B15" w:rsidRPr="6C65616A">
        <w:rPr>
          <w:rFonts w:ascii="Times New Roman" w:hAnsi="Times New Roman" w:cs="Times New Roman"/>
          <w:i/>
          <w:iCs/>
          <w:sz w:val="24"/>
          <w:szCs w:val="24"/>
        </w:rPr>
        <w:t>.tabula</w:t>
      </w:r>
    </w:p>
    <w:p w14:paraId="60558069" w14:textId="4C75B1CF" w:rsidR="006B5B15" w:rsidRDefault="006B5B15" w:rsidP="006B5B15">
      <w:pPr>
        <w:jc w:val="center"/>
        <w:rPr>
          <w:rFonts w:ascii="Times New Roman" w:hAnsi="Times New Roman" w:cs="Times New Roman"/>
          <w:b/>
          <w:bCs/>
          <w:sz w:val="24"/>
          <w:szCs w:val="24"/>
        </w:rPr>
      </w:pPr>
      <w:r w:rsidRPr="0012317D">
        <w:rPr>
          <w:rFonts w:ascii="Times New Roman" w:hAnsi="Times New Roman" w:cs="Times New Roman"/>
          <w:b/>
          <w:bCs/>
          <w:sz w:val="24"/>
          <w:szCs w:val="24"/>
        </w:rPr>
        <w:t>Angiogrāfu iegādei nepieciešamais finansējums</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992"/>
        <w:gridCol w:w="851"/>
        <w:gridCol w:w="850"/>
        <w:gridCol w:w="851"/>
        <w:gridCol w:w="850"/>
        <w:gridCol w:w="1134"/>
        <w:gridCol w:w="1134"/>
        <w:gridCol w:w="851"/>
        <w:gridCol w:w="850"/>
        <w:gridCol w:w="851"/>
        <w:gridCol w:w="850"/>
        <w:gridCol w:w="851"/>
        <w:gridCol w:w="704"/>
      </w:tblGrid>
      <w:tr w:rsidR="0048290D" w14:paraId="02DFD0F7" w14:textId="77777777" w:rsidTr="00C63B8F">
        <w:trPr>
          <w:cantSplit/>
          <w:trHeight w:val="1505"/>
          <w:jc w:val="center"/>
        </w:trPr>
        <w:tc>
          <w:tcPr>
            <w:tcW w:w="425" w:type="dxa"/>
            <w:shd w:val="clear" w:color="auto" w:fill="E36C0A" w:themeFill="accent6" w:themeFillShade="BF"/>
          </w:tcPr>
          <w:p w14:paraId="5B09DF83" w14:textId="77777777" w:rsidR="0048290D" w:rsidRPr="00847710" w:rsidRDefault="0048290D" w:rsidP="00D1261D">
            <w:pPr>
              <w:spacing w:after="0" w:line="240" w:lineRule="auto"/>
              <w:rPr>
                <w:rFonts w:ascii="Times New Roman" w:eastAsia="Times New Roman" w:hAnsi="Times New Roman" w:cs="Times New Roman"/>
                <w:b/>
                <w:bCs/>
                <w:sz w:val="20"/>
                <w:szCs w:val="20"/>
                <w:lang w:eastAsia="lv-LV"/>
              </w:rPr>
            </w:pPr>
          </w:p>
        </w:tc>
        <w:tc>
          <w:tcPr>
            <w:tcW w:w="1276" w:type="dxa"/>
            <w:shd w:val="clear" w:color="auto" w:fill="E36C0A" w:themeFill="accent6" w:themeFillShade="BF"/>
            <w:vAlign w:val="center"/>
            <w:hideMark/>
          </w:tcPr>
          <w:p w14:paraId="24D0815A" w14:textId="77777777" w:rsidR="0048290D" w:rsidRPr="00847710" w:rsidRDefault="0048290D" w:rsidP="00D1261D">
            <w:pPr>
              <w:spacing w:after="0" w:line="240" w:lineRule="auto"/>
              <w:rPr>
                <w:rFonts w:ascii="Times New Roman" w:eastAsia="Times New Roman" w:hAnsi="Times New Roman" w:cs="Times New Roman"/>
                <w:b/>
                <w:bCs/>
                <w:sz w:val="20"/>
                <w:szCs w:val="20"/>
                <w:lang w:eastAsia="lv-LV"/>
              </w:rPr>
            </w:pPr>
          </w:p>
        </w:tc>
        <w:tc>
          <w:tcPr>
            <w:tcW w:w="992" w:type="dxa"/>
            <w:shd w:val="clear" w:color="auto" w:fill="E36C0A" w:themeFill="accent6" w:themeFillShade="BF"/>
            <w:textDirection w:val="btLr"/>
            <w:vAlign w:val="center"/>
            <w:hideMark/>
          </w:tcPr>
          <w:p w14:paraId="6DFF2E96" w14:textId="51E935C1" w:rsidR="0048290D" w:rsidRPr="00847710" w:rsidRDefault="0048290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 xml:space="preserve">vidējās </w:t>
            </w:r>
            <w:r w:rsidR="00DC7466">
              <w:rPr>
                <w:rFonts w:ascii="Times New Roman" w:eastAsia="Times New Roman" w:hAnsi="Times New Roman" w:cs="Times New Roman"/>
                <w:b/>
                <w:bCs/>
                <w:sz w:val="20"/>
                <w:szCs w:val="20"/>
                <w:lang w:eastAsia="lv-LV"/>
              </w:rPr>
              <w:t>iekārtas</w:t>
            </w:r>
          </w:p>
          <w:p w14:paraId="71AB28F9" w14:textId="77777777" w:rsidR="0048290D" w:rsidRPr="00847710" w:rsidRDefault="0048290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4E4FDBA8" w14:textId="77777777" w:rsidR="0048290D" w:rsidRPr="00847710" w:rsidRDefault="0048290D"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2552" w:type="dxa"/>
            <w:gridSpan w:val="3"/>
            <w:shd w:val="clear" w:color="auto" w:fill="E36C0A" w:themeFill="accent6" w:themeFillShade="BF"/>
            <w:textDirection w:val="btLr"/>
            <w:vAlign w:val="center"/>
          </w:tcPr>
          <w:p w14:paraId="68AA97F7" w14:textId="77777777" w:rsidR="0048290D" w:rsidRPr="00847710" w:rsidRDefault="0048290D"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3118" w:type="dxa"/>
            <w:gridSpan w:val="3"/>
            <w:shd w:val="clear" w:color="auto" w:fill="E36C0A" w:themeFill="accent6" w:themeFillShade="BF"/>
            <w:textDirection w:val="btLr"/>
            <w:vAlign w:val="center"/>
          </w:tcPr>
          <w:p w14:paraId="7394DA0F" w14:textId="77777777" w:rsidR="0048290D" w:rsidRPr="00847710" w:rsidRDefault="0048290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52" w:type="dxa"/>
            <w:gridSpan w:val="3"/>
            <w:shd w:val="clear" w:color="auto" w:fill="E36C0A" w:themeFill="accent6" w:themeFillShade="BF"/>
            <w:textDirection w:val="btLr"/>
            <w:vAlign w:val="center"/>
          </w:tcPr>
          <w:p w14:paraId="307E70E7" w14:textId="77777777" w:rsidR="0048290D" w:rsidRPr="00847710" w:rsidRDefault="0048290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405" w:type="dxa"/>
            <w:gridSpan w:val="3"/>
            <w:shd w:val="clear" w:color="auto" w:fill="E36C0A" w:themeFill="accent6" w:themeFillShade="BF"/>
            <w:textDirection w:val="btLr"/>
            <w:vAlign w:val="center"/>
          </w:tcPr>
          <w:p w14:paraId="7DBE26B4" w14:textId="2C473D56" w:rsidR="0048290D" w:rsidRPr="00847710" w:rsidRDefault="0048290D"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8C7A9C">
              <w:rPr>
                <w:rFonts w:ascii="Times New Roman" w:eastAsia="Times New Roman" w:hAnsi="Times New Roman" w:cs="Times New Roman"/>
                <w:b/>
                <w:bCs/>
                <w:sz w:val="20"/>
                <w:szCs w:val="20"/>
                <w:lang w:eastAsia="lv-LV"/>
              </w:rPr>
              <w:t xml:space="preserve">iekārtu </w:t>
            </w:r>
            <w:r w:rsidRPr="00847710">
              <w:rPr>
                <w:rFonts w:ascii="Times New Roman" w:eastAsia="Times New Roman" w:hAnsi="Times New Roman" w:cs="Times New Roman"/>
                <w:b/>
                <w:bCs/>
                <w:sz w:val="20"/>
                <w:szCs w:val="20"/>
                <w:lang w:eastAsia="lv-LV"/>
              </w:rPr>
              <w:t>skaits pēc finansējuma piešķīruma</w:t>
            </w:r>
          </w:p>
        </w:tc>
      </w:tr>
      <w:tr w:rsidR="0048290D" w14:paraId="1A677823" w14:textId="77777777" w:rsidTr="00C63B8F">
        <w:trPr>
          <w:trHeight w:val="640"/>
          <w:jc w:val="center"/>
        </w:trPr>
        <w:tc>
          <w:tcPr>
            <w:tcW w:w="425" w:type="dxa"/>
            <w:shd w:val="clear" w:color="auto" w:fill="FABF8F" w:themeFill="accent6" w:themeFillTint="99"/>
          </w:tcPr>
          <w:p w14:paraId="5F6033B9"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p>
        </w:tc>
        <w:tc>
          <w:tcPr>
            <w:tcW w:w="1276" w:type="dxa"/>
            <w:shd w:val="clear" w:color="auto" w:fill="FABF8F" w:themeFill="accent6" w:themeFillTint="99"/>
            <w:vAlign w:val="center"/>
          </w:tcPr>
          <w:p w14:paraId="08AD2F8E"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p>
        </w:tc>
        <w:tc>
          <w:tcPr>
            <w:tcW w:w="992" w:type="dxa"/>
            <w:shd w:val="clear" w:color="auto" w:fill="FABF8F" w:themeFill="accent6" w:themeFillTint="99"/>
            <w:vAlign w:val="center"/>
          </w:tcPr>
          <w:p w14:paraId="770621EA" w14:textId="77777777" w:rsidR="0048290D" w:rsidRPr="00847710" w:rsidRDefault="0048290D"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41500B37"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36CB048A" w14:textId="77777777" w:rsidR="0048290D"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2579E785" w14:textId="77777777" w:rsidR="0048290D" w:rsidRPr="0012317D" w:rsidRDefault="0048290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50B3946F" w14:textId="77777777" w:rsidR="0048290D"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14524C3B" w14:textId="77777777" w:rsidR="0048290D" w:rsidRPr="0012317D" w:rsidRDefault="0048290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3443281C" w14:textId="77777777" w:rsidR="0048290D"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0F668840" w14:textId="77777777" w:rsidR="0048290D" w:rsidRPr="0012317D" w:rsidRDefault="0048290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6B85BD10" w14:textId="77777777" w:rsidR="0048290D"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4B30966" w14:textId="77777777" w:rsidR="0048290D" w:rsidRPr="0012317D" w:rsidRDefault="0048290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637C47D3" w14:textId="77777777" w:rsidR="0048290D"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31DC4537" w14:textId="77777777" w:rsidR="0048290D" w:rsidRPr="0012317D" w:rsidRDefault="0048290D"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6A582778" w14:textId="77777777" w:rsidR="0048290D" w:rsidRPr="00C86312" w:rsidRDefault="0048290D"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52EF144A" w14:textId="77777777" w:rsidR="0048290D" w:rsidRPr="00C86312" w:rsidRDefault="0048290D"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38EA31BA"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0" w:type="dxa"/>
            <w:shd w:val="clear" w:color="auto" w:fill="FABF8F" w:themeFill="accent6" w:themeFillTint="99"/>
            <w:vAlign w:val="center"/>
          </w:tcPr>
          <w:p w14:paraId="0B82740E"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26AAFB81"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0" w:type="dxa"/>
            <w:shd w:val="clear" w:color="auto" w:fill="FABF8F" w:themeFill="accent6" w:themeFillTint="99"/>
            <w:vAlign w:val="center"/>
          </w:tcPr>
          <w:p w14:paraId="087F431B"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153E21FA"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4" w:type="dxa"/>
            <w:shd w:val="clear" w:color="auto" w:fill="FABF8F" w:themeFill="accent6" w:themeFillTint="99"/>
            <w:vAlign w:val="center"/>
          </w:tcPr>
          <w:p w14:paraId="0BAA2C05" w14:textId="77777777" w:rsidR="0048290D" w:rsidRPr="00847710" w:rsidRDefault="0048290D"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E11AFF" w14:paraId="26BC55D2" w14:textId="77777777" w:rsidTr="00C63B8F">
        <w:trPr>
          <w:trHeight w:val="598"/>
          <w:jc w:val="center"/>
        </w:trPr>
        <w:tc>
          <w:tcPr>
            <w:tcW w:w="425" w:type="dxa"/>
            <w:shd w:val="clear" w:color="auto" w:fill="FFFFFF" w:themeFill="background1"/>
          </w:tcPr>
          <w:p w14:paraId="0E7892A9" w14:textId="77777777" w:rsidR="0048290D" w:rsidRPr="00E1067B"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276" w:type="dxa"/>
            <w:shd w:val="clear" w:color="auto" w:fill="FFFFFF" w:themeFill="background1"/>
            <w:vAlign w:val="center"/>
          </w:tcPr>
          <w:p w14:paraId="429F1CDC" w14:textId="4A427960" w:rsidR="0048290D" w:rsidRPr="00E1067B" w:rsidRDefault="0048290D" w:rsidP="0048290D">
            <w:pPr>
              <w:spacing w:after="0" w:line="240" w:lineRule="auto"/>
              <w:rPr>
                <w:rFonts w:ascii="Times New Roman" w:eastAsia="Times New Roman" w:hAnsi="Times New Roman" w:cs="Times New Roman"/>
                <w:bCs/>
                <w:sz w:val="20"/>
                <w:szCs w:val="20"/>
                <w:lang w:eastAsia="lv-LV"/>
              </w:rPr>
            </w:pPr>
            <w:r w:rsidRPr="00847710">
              <w:rPr>
                <w:rFonts w:ascii="Times New Roman" w:eastAsia="Times New Roman" w:hAnsi="Times New Roman" w:cs="Times New Roman"/>
                <w:sz w:val="20"/>
                <w:szCs w:val="20"/>
                <w:lang w:eastAsia="lv-LV"/>
              </w:rPr>
              <w:t>Angiogrāfu iegāde</w:t>
            </w:r>
          </w:p>
        </w:tc>
        <w:tc>
          <w:tcPr>
            <w:tcW w:w="992" w:type="dxa"/>
            <w:shd w:val="clear" w:color="auto" w:fill="FFFFFF" w:themeFill="background1"/>
            <w:vAlign w:val="center"/>
          </w:tcPr>
          <w:p w14:paraId="6D22F7FD" w14:textId="75A5B567" w:rsidR="0048290D" w:rsidRPr="00E1067B" w:rsidRDefault="0048290D" w:rsidP="0048290D">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950 000</w:t>
            </w:r>
          </w:p>
        </w:tc>
        <w:tc>
          <w:tcPr>
            <w:tcW w:w="851" w:type="dxa"/>
            <w:shd w:val="clear" w:color="auto" w:fill="FFFFFF" w:themeFill="background1"/>
            <w:vAlign w:val="center"/>
          </w:tcPr>
          <w:p w14:paraId="71909D78" w14:textId="77777777" w:rsidR="0048290D"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3F5E879" w14:textId="77777777" w:rsidR="0048290D"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1BE448BE" w14:textId="77777777" w:rsidR="0048290D" w:rsidRPr="00E1067B"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FC7723F" w14:textId="77777777" w:rsidR="0048290D"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4176B0D4" w14:textId="12F76537" w:rsidR="0048290D"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hAnsi="Times New Roman" w:cs="Times New Roman"/>
                <w:sz w:val="20"/>
                <w:szCs w:val="20"/>
              </w:rPr>
              <w:t>4 500 000</w:t>
            </w:r>
          </w:p>
        </w:tc>
        <w:tc>
          <w:tcPr>
            <w:tcW w:w="1134" w:type="dxa"/>
            <w:shd w:val="clear" w:color="auto" w:fill="FFFFFF" w:themeFill="background1"/>
            <w:vAlign w:val="center"/>
          </w:tcPr>
          <w:p w14:paraId="016A9BF9" w14:textId="3FE2F9E0" w:rsidR="0048290D" w:rsidRPr="00030FAC" w:rsidRDefault="0048290D" w:rsidP="0048290D">
            <w:pPr>
              <w:spacing w:after="0" w:line="240" w:lineRule="auto"/>
              <w:jc w:val="center"/>
              <w:rPr>
                <w:rFonts w:ascii="Times New Roman" w:eastAsia="Times New Roman" w:hAnsi="Times New Roman" w:cs="Times New Roman"/>
                <w:bCs/>
                <w:sz w:val="16"/>
                <w:szCs w:val="16"/>
                <w:lang w:eastAsia="lv-LV"/>
              </w:rPr>
            </w:pPr>
            <w:r>
              <w:rPr>
                <w:rFonts w:ascii="Times New Roman" w:hAnsi="Times New Roman" w:cs="Times New Roman"/>
                <w:sz w:val="20"/>
                <w:szCs w:val="20"/>
              </w:rPr>
              <w:t>1 900</w:t>
            </w:r>
            <w:r w:rsidRPr="00847710">
              <w:rPr>
                <w:rFonts w:ascii="Times New Roman" w:hAnsi="Times New Roman" w:cs="Times New Roman"/>
                <w:sz w:val="20"/>
                <w:szCs w:val="20"/>
              </w:rPr>
              <w:t xml:space="preserve"> 000 </w:t>
            </w:r>
          </w:p>
        </w:tc>
        <w:tc>
          <w:tcPr>
            <w:tcW w:w="851" w:type="dxa"/>
            <w:shd w:val="clear" w:color="auto" w:fill="FFFFFF" w:themeFill="background1"/>
            <w:vAlign w:val="center"/>
          </w:tcPr>
          <w:p w14:paraId="71EE4298" w14:textId="77777777" w:rsidR="0048290D" w:rsidRPr="00E1067B"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C7DC8B0" w14:textId="77777777" w:rsidR="0048290D" w:rsidRPr="00E1067B"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088FCE6" w14:textId="77777777" w:rsidR="0048290D" w:rsidRPr="00E1067B"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25AF227" w14:textId="77777777" w:rsidR="0048290D" w:rsidRDefault="0048290D" w:rsidP="0048290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6087989" w14:textId="06C8A72E" w:rsidR="0048290D" w:rsidRPr="001A4687" w:rsidRDefault="0048290D" w:rsidP="0048290D">
            <w:pPr>
              <w:spacing w:after="0" w:line="240" w:lineRule="auto"/>
              <w:jc w:val="center"/>
              <w:rPr>
                <w:rFonts w:ascii="Times New Roman" w:eastAsia="Times New Roman" w:hAnsi="Times New Roman" w:cs="Times New Roman"/>
                <w:bCs/>
                <w:sz w:val="20"/>
                <w:szCs w:val="20"/>
                <w:lang w:eastAsia="lv-LV"/>
              </w:rPr>
            </w:pPr>
            <w:r w:rsidRPr="001A4687">
              <w:rPr>
                <w:rFonts w:ascii="Times New Roman" w:hAnsi="Times New Roman" w:cs="Times New Roman"/>
                <w:bCs/>
                <w:sz w:val="20"/>
                <w:szCs w:val="20"/>
              </w:rPr>
              <w:t>4</w:t>
            </w:r>
          </w:p>
        </w:tc>
        <w:tc>
          <w:tcPr>
            <w:tcW w:w="704" w:type="dxa"/>
            <w:shd w:val="clear" w:color="auto" w:fill="FFFFFF" w:themeFill="background1"/>
            <w:vAlign w:val="center"/>
          </w:tcPr>
          <w:p w14:paraId="3E2B85E4" w14:textId="4312202F" w:rsidR="0048290D" w:rsidRPr="001A4687" w:rsidRDefault="0048290D" w:rsidP="0048290D">
            <w:pPr>
              <w:spacing w:after="0" w:line="240" w:lineRule="auto"/>
              <w:jc w:val="center"/>
              <w:rPr>
                <w:rFonts w:ascii="Times New Roman" w:eastAsia="Times New Roman" w:hAnsi="Times New Roman" w:cs="Times New Roman"/>
                <w:bCs/>
                <w:sz w:val="20"/>
                <w:szCs w:val="20"/>
                <w:lang w:eastAsia="lv-LV"/>
              </w:rPr>
            </w:pPr>
            <w:r w:rsidRPr="001A4687">
              <w:rPr>
                <w:rFonts w:ascii="Times New Roman" w:hAnsi="Times New Roman" w:cs="Times New Roman"/>
                <w:bCs/>
                <w:sz w:val="20"/>
                <w:szCs w:val="20"/>
              </w:rPr>
              <w:t>2</w:t>
            </w:r>
          </w:p>
        </w:tc>
      </w:tr>
      <w:tr w:rsidR="00E11AFF" w14:paraId="22021C9B" w14:textId="77777777" w:rsidTr="00C63B8F">
        <w:trPr>
          <w:trHeight w:val="296"/>
          <w:jc w:val="center"/>
        </w:trPr>
        <w:tc>
          <w:tcPr>
            <w:tcW w:w="425" w:type="dxa"/>
            <w:shd w:val="clear" w:color="auto" w:fill="FBD4B4" w:themeFill="accent6" w:themeFillTint="66"/>
          </w:tcPr>
          <w:p w14:paraId="22351289" w14:textId="77777777" w:rsidR="0048290D" w:rsidRPr="00847710" w:rsidRDefault="0048290D" w:rsidP="0048290D">
            <w:pPr>
              <w:spacing w:after="0" w:line="240" w:lineRule="auto"/>
              <w:rPr>
                <w:rFonts w:ascii="Times New Roman" w:eastAsia="Times New Roman" w:hAnsi="Times New Roman" w:cs="Times New Roman"/>
                <w:sz w:val="20"/>
                <w:szCs w:val="20"/>
                <w:lang w:eastAsia="lv-LV"/>
              </w:rPr>
            </w:pPr>
          </w:p>
        </w:tc>
        <w:tc>
          <w:tcPr>
            <w:tcW w:w="1276" w:type="dxa"/>
            <w:shd w:val="clear" w:color="auto" w:fill="FBD4B4" w:themeFill="accent6" w:themeFillTint="66"/>
            <w:vAlign w:val="bottom"/>
          </w:tcPr>
          <w:p w14:paraId="6914E2EA" w14:textId="77777777" w:rsidR="0048290D" w:rsidRPr="00847710" w:rsidRDefault="0048290D" w:rsidP="0048290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2" w:type="dxa"/>
            <w:shd w:val="clear" w:color="auto" w:fill="FBD4B4" w:themeFill="accent6" w:themeFillTint="66"/>
            <w:noWrap/>
            <w:vAlign w:val="bottom"/>
          </w:tcPr>
          <w:p w14:paraId="61522058" w14:textId="77777777" w:rsidR="0048290D" w:rsidRPr="00847710" w:rsidRDefault="0048290D" w:rsidP="0048290D">
            <w:pPr>
              <w:spacing w:after="0" w:line="240" w:lineRule="auto"/>
              <w:jc w:val="center"/>
              <w:rPr>
                <w:rFonts w:ascii="Times New Roman" w:eastAsia="Times New Roman" w:hAnsi="Times New Roman" w:cs="Times New Roman"/>
                <w:sz w:val="20"/>
                <w:szCs w:val="20"/>
                <w:lang w:eastAsia="lv-LV"/>
              </w:rPr>
            </w:pPr>
          </w:p>
        </w:tc>
        <w:tc>
          <w:tcPr>
            <w:tcW w:w="851" w:type="dxa"/>
            <w:shd w:val="clear" w:color="auto" w:fill="FBD4B4" w:themeFill="accent6" w:themeFillTint="66"/>
            <w:vAlign w:val="center"/>
          </w:tcPr>
          <w:p w14:paraId="26AFBB0B" w14:textId="77777777" w:rsidR="0048290D" w:rsidRPr="00847710" w:rsidRDefault="0048290D" w:rsidP="0048290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3EA75E20" w14:textId="77777777" w:rsidR="0048290D" w:rsidRPr="00847710" w:rsidRDefault="0048290D" w:rsidP="0048290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35D2D641" w14:textId="77777777" w:rsidR="0048290D" w:rsidRPr="00847710" w:rsidRDefault="0048290D" w:rsidP="0048290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74725347" w14:textId="77777777" w:rsidR="0048290D" w:rsidRPr="00847710" w:rsidRDefault="0048290D" w:rsidP="0048290D">
            <w:pPr>
              <w:spacing w:after="0" w:line="240" w:lineRule="auto"/>
              <w:jc w:val="center"/>
              <w:rPr>
                <w:rFonts w:ascii="Times New Roman" w:hAnsi="Times New Roman" w:cs="Times New Roman"/>
                <w:sz w:val="20"/>
                <w:szCs w:val="20"/>
              </w:rPr>
            </w:pPr>
          </w:p>
        </w:tc>
        <w:tc>
          <w:tcPr>
            <w:tcW w:w="1134" w:type="dxa"/>
            <w:shd w:val="clear" w:color="auto" w:fill="FBD4B4" w:themeFill="accent6" w:themeFillTint="66"/>
            <w:vAlign w:val="center"/>
          </w:tcPr>
          <w:p w14:paraId="60F1B890" w14:textId="14AA0B0A" w:rsidR="0048290D" w:rsidRPr="001A4687" w:rsidRDefault="0048290D" w:rsidP="0048290D">
            <w:pPr>
              <w:spacing w:after="0" w:line="240" w:lineRule="auto"/>
              <w:jc w:val="center"/>
              <w:rPr>
                <w:rFonts w:ascii="Times New Roman" w:hAnsi="Times New Roman" w:cs="Times New Roman"/>
                <w:b/>
                <w:sz w:val="20"/>
                <w:szCs w:val="20"/>
              </w:rPr>
            </w:pPr>
            <w:r w:rsidRPr="001A4687">
              <w:rPr>
                <w:rFonts w:ascii="Times New Roman" w:hAnsi="Times New Roman" w:cs="Times New Roman"/>
                <w:b/>
                <w:sz w:val="20"/>
                <w:szCs w:val="20"/>
              </w:rPr>
              <w:t>4 500 000</w:t>
            </w:r>
          </w:p>
        </w:tc>
        <w:tc>
          <w:tcPr>
            <w:tcW w:w="1134" w:type="dxa"/>
            <w:shd w:val="clear" w:color="auto" w:fill="FBD4B4" w:themeFill="accent6" w:themeFillTint="66"/>
            <w:noWrap/>
            <w:vAlign w:val="center"/>
          </w:tcPr>
          <w:p w14:paraId="34424A33" w14:textId="3EB49CF3" w:rsidR="0048290D" w:rsidRPr="001A4687" w:rsidRDefault="0048290D" w:rsidP="0048290D">
            <w:pPr>
              <w:spacing w:after="0" w:line="240" w:lineRule="auto"/>
              <w:jc w:val="center"/>
              <w:rPr>
                <w:rFonts w:ascii="Times New Roman" w:eastAsia="Times New Roman" w:hAnsi="Times New Roman" w:cs="Times New Roman"/>
                <w:b/>
                <w:sz w:val="16"/>
                <w:szCs w:val="16"/>
                <w:lang w:eastAsia="lv-LV"/>
              </w:rPr>
            </w:pPr>
            <w:r w:rsidRPr="001A4687">
              <w:rPr>
                <w:rFonts w:ascii="Times New Roman" w:hAnsi="Times New Roman" w:cs="Times New Roman"/>
                <w:b/>
                <w:sz w:val="20"/>
                <w:szCs w:val="20"/>
              </w:rPr>
              <w:t>1 900 000</w:t>
            </w:r>
          </w:p>
        </w:tc>
        <w:tc>
          <w:tcPr>
            <w:tcW w:w="851" w:type="dxa"/>
            <w:shd w:val="clear" w:color="auto" w:fill="FBD4B4" w:themeFill="accent6" w:themeFillTint="66"/>
            <w:vAlign w:val="center"/>
          </w:tcPr>
          <w:p w14:paraId="6E2550DB" w14:textId="77777777" w:rsidR="0048290D" w:rsidRPr="00AE3965" w:rsidRDefault="0048290D" w:rsidP="0048290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289BC298" w14:textId="77777777" w:rsidR="0048290D" w:rsidRPr="00AE3965" w:rsidRDefault="0048290D" w:rsidP="0048290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7A84FD62" w14:textId="77777777" w:rsidR="0048290D" w:rsidRPr="00AE3965" w:rsidRDefault="0048290D" w:rsidP="0048290D">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5AF99355" w14:textId="77777777" w:rsidR="0048290D" w:rsidRPr="00AE3965" w:rsidRDefault="0048290D" w:rsidP="0048290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33961219" w14:textId="68D7C2C6" w:rsidR="0048290D" w:rsidRPr="001A4687" w:rsidRDefault="0048290D" w:rsidP="0048290D">
            <w:pPr>
              <w:spacing w:after="0" w:line="240" w:lineRule="auto"/>
              <w:jc w:val="center"/>
              <w:rPr>
                <w:rFonts w:ascii="Times New Roman" w:hAnsi="Times New Roman" w:cs="Times New Roman"/>
                <w:b/>
                <w:bCs/>
                <w:sz w:val="20"/>
                <w:szCs w:val="20"/>
              </w:rPr>
            </w:pPr>
            <w:r w:rsidRPr="001A4687">
              <w:rPr>
                <w:rFonts w:ascii="Times New Roman" w:hAnsi="Times New Roman" w:cs="Times New Roman"/>
                <w:b/>
                <w:bCs/>
                <w:sz w:val="20"/>
                <w:szCs w:val="20"/>
              </w:rPr>
              <w:t>4</w:t>
            </w:r>
          </w:p>
        </w:tc>
        <w:tc>
          <w:tcPr>
            <w:tcW w:w="704" w:type="dxa"/>
            <w:shd w:val="clear" w:color="auto" w:fill="FBD4B4" w:themeFill="accent6" w:themeFillTint="66"/>
            <w:noWrap/>
            <w:vAlign w:val="center"/>
          </w:tcPr>
          <w:p w14:paraId="1F412A57" w14:textId="4E314CCB" w:rsidR="0048290D" w:rsidRPr="001A4687" w:rsidRDefault="0048290D" w:rsidP="0048290D">
            <w:pPr>
              <w:spacing w:after="0" w:line="240" w:lineRule="auto"/>
              <w:jc w:val="center"/>
              <w:rPr>
                <w:rFonts w:ascii="Times New Roman" w:eastAsia="Times New Roman" w:hAnsi="Times New Roman" w:cs="Times New Roman"/>
                <w:b/>
                <w:bCs/>
                <w:sz w:val="20"/>
                <w:szCs w:val="20"/>
                <w:lang w:eastAsia="lv-LV"/>
              </w:rPr>
            </w:pPr>
            <w:r w:rsidRPr="001A4687">
              <w:rPr>
                <w:rFonts w:ascii="Times New Roman" w:hAnsi="Times New Roman" w:cs="Times New Roman"/>
                <w:b/>
                <w:bCs/>
                <w:sz w:val="20"/>
                <w:szCs w:val="20"/>
              </w:rPr>
              <w:t>2</w:t>
            </w:r>
          </w:p>
        </w:tc>
      </w:tr>
    </w:tbl>
    <w:p w14:paraId="5A332FA2" w14:textId="78B74718" w:rsidR="0048290D" w:rsidRDefault="0048290D" w:rsidP="006B5B15">
      <w:pPr>
        <w:jc w:val="center"/>
        <w:rPr>
          <w:rFonts w:ascii="Times New Roman" w:hAnsi="Times New Roman" w:cs="Times New Roman"/>
          <w:b/>
          <w:bCs/>
          <w:sz w:val="24"/>
          <w:szCs w:val="24"/>
        </w:rPr>
      </w:pPr>
    </w:p>
    <w:p w14:paraId="2A2F5D7B" w14:textId="77777777" w:rsidR="0048290D" w:rsidRPr="00847710" w:rsidRDefault="0048290D" w:rsidP="006B5B15">
      <w:pPr>
        <w:jc w:val="center"/>
        <w:rPr>
          <w:rFonts w:ascii="Times New Roman" w:hAnsi="Times New Roman" w:cs="Times New Roman"/>
          <w:color w:val="000000"/>
          <w:sz w:val="24"/>
          <w:szCs w:val="24"/>
        </w:rPr>
      </w:pPr>
    </w:p>
    <w:p w14:paraId="724E99F8" w14:textId="77777777" w:rsidR="0048290D" w:rsidRDefault="0048290D" w:rsidP="000930F6">
      <w:pPr>
        <w:pStyle w:val="naiskr"/>
        <w:spacing w:before="0" w:beforeAutospacing="0" w:after="120" w:afterAutospacing="0" w:line="276" w:lineRule="auto"/>
        <w:jc w:val="both"/>
        <w:rPr>
          <w:rFonts w:eastAsia="Calibri"/>
          <w:shd w:val="clear" w:color="auto" w:fill="FFFFFF"/>
        </w:rPr>
        <w:sectPr w:rsidR="0048290D" w:rsidSect="00E11AFF">
          <w:pgSz w:w="15840" w:h="12240" w:orient="landscape"/>
          <w:pgMar w:top="1701" w:right="1440" w:bottom="1440" w:left="1440" w:header="709" w:footer="709" w:gutter="0"/>
          <w:cols w:space="708"/>
          <w:docGrid w:linePitch="360"/>
        </w:sectPr>
      </w:pPr>
    </w:p>
    <w:p w14:paraId="7276C60C" w14:textId="66F984CC" w:rsidR="000930F6" w:rsidRPr="00F83CEE" w:rsidRDefault="000930F6" w:rsidP="00F83CEE">
      <w:pPr>
        <w:pStyle w:val="naiskr"/>
        <w:spacing w:before="0" w:beforeAutospacing="0" w:after="120" w:afterAutospacing="0" w:line="276" w:lineRule="auto"/>
        <w:jc w:val="both"/>
        <w:rPr>
          <w:rFonts w:eastAsia="Calibri"/>
          <w:shd w:val="clear" w:color="auto" w:fill="FFFFFF"/>
        </w:rPr>
      </w:pPr>
      <w:r>
        <w:rPr>
          <w:rFonts w:eastAsia="Calibri"/>
          <w:shd w:val="clear" w:color="auto" w:fill="FFFFFF"/>
        </w:rPr>
        <w:lastRenderedPageBreak/>
        <w:t>Papildus, lai nodrošinātu operāciju bloku funkcionalitāti un pacientus, kam nepieciešama paplašināta asinsrites nodrošināšana, nepieciešams iegādāties m</w:t>
      </w:r>
      <w:r w:rsidRPr="006B5B15">
        <w:rPr>
          <w:rFonts w:eastAsia="Calibri"/>
          <w:shd w:val="clear" w:color="auto" w:fill="FFFFFF"/>
        </w:rPr>
        <w:t>obil</w:t>
      </w:r>
      <w:r>
        <w:rPr>
          <w:rFonts w:eastAsia="Calibri"/>
          <w:shd w:val="clear" w:color="auto" w:fill="FFFFFF"/>
        </w:rPr>
        <w:t>u</w:t>
      </w:r>
      <w:r w:rsidRPr="006B5B15">
        <w:rPr>
          <w:rFonts w:eastAsia="Calibri"/>
          <w:shd w:val="clear" w:color="auto" w:fill="FFFFFF"/>
        </w:rPr>
        <w:t xml:space="preserve"> sirds un atbalsta sistēm</w:t>
      </w:r>
      <w:r>
        <w:rPr>
          <w:rFonts w:eastAsia="Calibri"/>
          <w:shd w:val="clear" w:color="auto" w:fill="FFFFFF"/>
        </w:rPr>
        <w:t>u un mākslīgās asinsrites sistēmu, tādējādi uzlabojot stacionāro pakalpojumu efektivitāti un kvalitāti (80.tabula).</w:t>
      </w:r>
    </w:p>
    <w:p w14:paraId="444A46FB" w14:textId="5A1854B7" w:rsidR="00850F03" w:rsidRPr="00E93259" w:rsidRDefault="008104BD" w:rsidP="008104BD">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80</w:t>
      </w:r>
      <w:r w:rsidR="00850F03" w:rsidRPr="3F1D4D58">
        <w:rPr>
          <w:rFonts w:ascii="Times New Roman" w:hAnsi="Times New Roman" w:cs="Times New Roman"/>
          <w:i/>
          <w:iCs/>
          <w:sz w:val="24"/>
          <w:szCs w:val="24"/>
        </w:rPr>
        <w:t>.tabula</w:t>
      </w:r>
    </w:p>
    <w:p w14:paraId="23904373" w14:textId="24F71F4C" w:rsidR="00850F03" w:rsidRDefault="00850F03" w:rsidP="00850F03">
      <w:pPr>
        <w:jc w:val="center"/>
        <w:rPr>
          <w:rFonts w:ascii="Times New Roman" w:hAnsi="Times New Roman" w:cs="Times New Roman"/>
          <w:b/>
          <w:bCs/>
          <w:sz w:val="24"/>
          <w:szCs w:val="24"/>
        </w:rPr>
      </w:pPr>
      <w:r>
        <w:rPr>
          <w:rFonts w:ascii="Times New Roman" w:hAnsi="Times New Roman" w:cs="Times New Roman"/>
          <w:b/>
          <w:bCs/>
          <w:sz w:val="24"/>
          <w:szCs w:val="24"/>
        </w:rPr>
        <w:t>Asinsrites nodrošināšanas sistēmas</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992"/>
        <w:gridCol w:w="851"/>
        <w:gridCol w:w="992"/>
        <w:gridCol w:w="851"/>
        <w:gridCol w:w="850"/>
        <w:gridCol w:w="855"/>
        <w:gridCol w:w="1125"/>
        <w:gridCol w:w="850"/>
        <w:gridCol w:w="851"/>
        <w:gridCol w:w="850"/>
        <w:gridCol w:w="851"/>
        <w:gridCol w:w="850"/>
        <w:gridCol w:w="851"/>
      </w:tblGrid>
      <w:tr w:rsidR="00DC7466" w14:paraId="1D53A511" w14:textId="77777777" w:rsidTr="00B85EA9">
        <w:trPr>
          <w:cantSplit/>
          <w:trHeight w:val="1505"/>
          <w:jc w:val="center"/>
        </w:trPr>
        <w:tc>
          <w:tcPr>
            <w:tcW w:w="425" w:type="dxa"/>
            <w:shd w:val="clear" w:color="auto" w:fill="E36C0A" w:themeFill="accent6" w:themeFillShade="BF"/>
          </w:tcPr>
          <w:p w14:paraId="696E455E" w14:textId="77777777" w:rsidR="00DC7466" w:rsidRPr="00847710" w:rsidRDefault="00DC7466" w:rsidP="00D1261D">
            <w:pPr>
              <w:spacing w:after="0" w:line="240" w:lineRule="auto"/>
              <w:rPr>
                <w:rFonts w:ascii="Times New Roman" w:eastAsia="Times New Roman" w:hAnsi="Times New Roman" w:cs="Times New Roman"/>
                <w:b/>
                <w:bCs/>
                <w:sz w:val="20"/>
                <w:szCs w:val="20"/>
                <w:lang w:eastAsia="lv-LV"/>
              </w:rPr>
            </w:pPr>
          </w:p>
        </w:tc>
        <w:tc>
          <w:tcPr>
            <w:tcW w:w="1843" w:type="dxa"/>
            <w:shd w:val="clear" w:color="auto" w:fill="E36C0A" w:themeFill="accent6" w:themeFillShade="BF"/>
            <w:vAlign w:val="center"/>
            <w:hideMark/>
          </w:tcPr>
          <w:p w14:paraId="46681777" w14:textId="77777777" w:rsidR="00DC7466" w:rsidRPr="00847710" w:rsidRDefault="00DC7466" w:rsidP="00D1261D">
            <w:pPr>
              <w:spacing w:after="0" w:line="240" w:lineRule="auto"/>
              <w:rPr>
                <w:rFonts w:ascii="Times New Roman" w:eastAsia="Times New Roman" w:hAnsi="Times New Roman" w:cs="Times New Roman"/>
                <w:b/>
                <w:bCs/>
                <w:sz w:val="20"/>
                <w:szCs w:val="20"/>
                <w:lang w:eastAsia="lv-LV"/>
              </w:rPr>
            </w:pPr>
          </w:p>
        </w:tc>
        <w:tc>
          <w:tcPr>
            <w:tcW w:w="992" w:type="dxa"/>
            <w:shd w:val="clear" w:color="auto" w:fill="E36C0A" w:themeFill="accent6" w:themeFillShade="BF"/>
            <w:textDirection w:val="btLr"/>
            <w:vAlign w:val="center"/>
            <w:hideMark/>
          </w:tcPr>
          <w:p w14:paraId="225914C9" w14:textId="32201308" w:rsidR="00DC7466" w:rsidRPr="00847710" w:rsidRDefault="00DC7466"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vidējās iekārtas</w:t>
            </w:r>
          </w:p>
          <w:p w14:paraId="4E7F33B7" w14:textId="77777777" w:rsidR="00DC7466" w:rsidRPr="00847710" w:rsidRDefault="00DC7466"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00EFE560" w14:textId="77777777" w:rsidR="00DC7466" w:rsidRPr="00847710" w:rsidRDefault="00DC7466"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2694" w:type="dxa"/>
            <w:gridSpan w:val="3"/>
            <w:shd w:val="clear" w:color="auto" w:fill="E36C0A" w:themeFill="accent6" w:themeFillShade="BF"/>
            <w:textDirection w:val="btLr"/>
            <w:vAlign w:val="center"/>
          </w:tcPr>
          <w:p w14:paraId="0E3F4AF3" w14:textId="77777777" w:rsidR="00DC7466" w:rsidRPr="00847710" w:rsidRDefault="00DC7466"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0" w:type="dxa"/>
            <w:gridSpan w:val="3"/>
            <w:shd w:val="clear" w:color="auto" w:fill="E36C0A" w:themeFill="accent6" w:themeFillShade="BF"/>
            <w:textDirection w:val="btLr"/>
            <w:vAlign w:val="center"/>
          </w:tcPr>
          <w:p w14:paraId="2D2B132A" w14:textId="77777777" w:rsidR="00DC7466" w:rsidRPr="00847710" w:rsidRDefault="00DC7466"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51" w:type="dxa"/>
            <w:gridSpan w:val="3"/>
            <w:shd w:val="clear" w:color="auto" w:fill="E36C0A" w:themeFill="accent6" w:themeFillShade="BF"/>
            <w:textDirection w:val="btLr"/>
            <w:vAlign w:val="center"/>
          </w:tcPr>
          <w:p w14:paraId="688AEACA" w14:textId="77777777" w:rsidR="00DC7466" w:rsidRPr="00847710" w:rsidRDefault="00DC7466"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552" w:type="dxa"/>
            <w:gridSpan w:val="3"/>
            <w:shd w:val="clear" w:color="auto" w:fill="E36C0A" w:themeFill="accent6" w:themeFillShade="BF"/>
            <w:textDirection w:val="btLr"/>
            <w:vAlign w:val="center"/>
          </w:tcPr>
          <w:p w14:paraId="345E363E" w14:textId="11C5DA32" w:rsidR="00DC7466" w:rsidRPr="00847710" w:rsidRDefault="00DC7466"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F61D39">
              <w:rPr>
                <w:rFonts w:ascii="Times New Roman" w:eastAsia="Times New Roman" w:hAnsi="Times New Roman" w:cs="Times New Roman"/>
                <w:b/>
                <w:bCs/>
                <w:sz w:val="20"/>
                <w:szCs w:val="20"/>
                <w:lang w:eastAsia="lv-LV"/>
              </w:rPr>
              <w:t xml:space="preserve">iekārtu </w:t>
            </w:r>
            <w:r w:rsidRPr="00847710">
              <w:rPr>
                <w:rFonts w:ascii="Times New Roman" w:eastAsia="Times New Roman" w:hAnsi="Times New Roman" w:cs="Times New Roman"/>
                <w:b/>
                <w:bCs/>
                <w:sz w:val="20"/>
                <w:szCs w:val="20"/>
                <w:lang w:eastAsia="lv-LV"/>
              </w:rPr>
              <w:t>skaits pēc finansējuma piešķīruma</w:t>
            </w:r>
          </w:p>
        </w:tc>
      </w:tr>
      <w:tr w:rsidR="00B85EA9" w14:paraId="0861B153" w14:textId="77777777" w:rsidTr="00B85EA9">
        <w:trPr>
          <w:trHeight w:val="640"/>
          <w:jc w:val="center"/>
        </w:trPr>
        <w:tc>
          <w:tcPr>
            <w:tcW w:w="425" w:type="dxa"/>
            <w:shd w:val="clear" w:color="auto" w:fill="FABF8F" w:themeFill="accent6" w:themeFillTint="99"/>
          </w:tcPr>
          <w:p w14:paraId="2CF04E06"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p>
        </w:tc>
        <w:tc>
          <w:tcPr>
            <w:tcW w:w="1843" w:type="dxa"/>
            <w:shd w:val="clear" w:color="auto" w:fill="FABF8F" w:themeFill="accent6" w:themeFillTint="99"/>
            <w:vAlign w:val="center"/>
          </w:tcPr>
          <w:p w14:paraId="19EE15A6"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p>
        </w:tc>
        <w:tc>
          <w:tcPr>
            <w:tcW w:w="992" w:type="dxa"/>
            <w:shd w:val="clear" w:color="auto" w:fill="FABF8F" w:themeFill="accent6" w:themeFillTint="99"/>
            <w:vAlign w:val="center"/>
          </w:tcPr>
          <w:p w14:paraId="5DC13022" w14:textId="77777777" w:rsidR="00DC7466" w:rsidRPr="00847710" w:rsidRDefault="00DC7466"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57607658"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2AA900B0" w14:textId="77777777" w:rsidR="00DC7466"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08C16F0" w14:textId="77777777" w:rsidR="00DC7466" w:rsidRPr="0012317D" w:rsidRDefault="00DC7466"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0958B51B" w14:textId="77777777" w:rsidR="00DC7466"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2B287DF7" w14:textId="77777777" w:rsidR="00DC7466" w:rsidRPr="0012317D" w:rsidRDefault="00DC7466"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4B752633" w14:textId="77777777" w:rsidR="00DC7466"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68475894" w14:textId="77777777" w:rsidR="00DC7466" w:rsidRPr="0012317D" w:rsidRDefault="00DC7466"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141E0EBE" w14:textId="77777777" w:rsidR="00DC7466"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602854DB" w14:textId="77777777" w:rsidR="00DC7466" w:rsidRPr="0012317D" w:rsidRDefault="00DC7466"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5" w:type="dxa"/>
            <w:shd w:val="clear" w:color="auto" w:fill="FABF8F" w:themeFill="accent6" w:themeFillTint="99"/>
            <w:vAlign w:val="center"/>
          </w:tcPr>
          <w:p w14:paraId="064C3A7E" w14:textId="77777777" w:rsidR="00DC7466"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356C9A96" w14:textId="77777777" w:rsidR="00DC7466" w:rsidRPr="0012317D" w:rsidRDefault="00DC7466"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25" w:type="dxa"/>
            <w:shd w:val="clear" w:color="auto" w:fill="FABF8F" w:themeFill="accent6" w:themeFillTint="99"/>
            <w:vAlign w:val="center"/>
          </w:tcPr>
          <w:p w14:paraId="227349C8" w14:textId="77777777" w:rsidR="00DC7466" w:rsidRPr="00C86312" w:rsidRDefault="00DC7466"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3BE2369A" w14:textId="77777777" w:rsidR="00DC7466" w:rsidRPr="00C86312" w:rsidRDefault="00DC7466"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70558D94"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1D256C97"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3FC3A037"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1" w:type="dxa"/>
            <w:shd w:val="clear" w:color="auto" w:fill="FABF8F" w:themeFill="accent6" w:themeFillTint="99"/>
            <w:vAlign w:val="center"/>
          </w:tcPr>
          <w:p w14:paraId="4EE64322"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0" w:type="dxa"/>
            <w:shd w:val="clear" w:color="auto" w:fill="FABF8F" w:themeFill="accent6" w:themeFillTint="99"/>
            <w:vAlign w:val="center"/>
          </w:tcPr>
          <w:p w14:paraId="72AA516E"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0B02E040" w14:textId="77777777" w:rsidR="00DC7466" w:rsidRPr="00847710" w:rsidRDefault="00DC7466"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B85EA9" w14:paraId="3500CC7D" w14:textId="77777777" w:rsidTr="00AE6690">
        <w:trPr>
          <w:trHeight w:val="379"/>
          <w:jc w:val="center"/>
        </w:trPr>
        <w:tc>
          <w:tcPr>
            <w:tcW w:w="425" w:type="dxa"/>
            <w:shd w:val="clear" w:color="auto" w:fill="FFFFFF" w:themeFill="background1"/>
          </w:tcPr>
          <w:p w14:paraId="26DC67DD" w14:textId="77777777" w:rsidR="00DC7466" w:rsidRPr="00E1067B"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843" w:type="dxa"/>
            <w:shd w:val="clear" w:color="auto" w:fill="FFFFFF" w:themeFill="background1"/>
            <w:vAlign w:val="bottom"/>
          </w:tcPr>
          <w:p w14:paraId="7089514A" w14:textId="71440F20" w:rsidR="00DC7466" w:rsidRPr="00E1067B" w:rsidRDefault="00DC7466" w:rsidP="00DC7466">
            <w:pPr>
              <w:spacing w:after="0" w:line="240" w:lineRule="auto"/>
              <w:rPr>
                <w:rFonts w:ascii="Times New Roman" w:eastAsia="Times New Roman" w:hAnsi="Times New Roman" w:cs="Times New Roman"/>
                <w:bCs/>
                <w:sz w:val="20"/>
                <w:szCs w:val="20"/>
                <w:lang w:eastAsia="lv-LV"/>
              </w:rPr>
            </w:pPr>
            <w:r w:rsidRPr="00850F03">
              <w:rPr>
                <w:rFonts w:ascii="Times New Roman" w:eastAsia="Times New Roman" w:hAnsi="Times New Roman" w:cs="Times New Roman"/>
                <w:sz w:val="20"/>
                <w:szCs w:val="20"/>
                <w:lang w:eastAsia="lv-LV"/>
              </w:rPr>
              <w:t>Sirds un plaušu atbalsta sistēma</w:t>
            </w:r>
          </w:p>
        </w:tc>
        <w:tc>
          <w:tcPr>
            <w:tcW w:w="992" w:type="dxa"/>
            <w:shd w:val="clear" w:color="auto" w:fill="FFFFFF" w:themeFill="background1"/>
            <w:vAlign w:val="center"/>
          </w:tcPr>
          <w:p w14:paraId="5F007313" w14:textId="4362C093" w:rsidR="00DC7466" w:rsidRPr="00E1067B" w:rsidRDefault="00DC7466" w:rsidP="00DC7466">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266</w:t>
            </w:r>
            <w:r w:rsidRPr="00847710">
              <w:rPr>
                <w:rFonts w:ascii="Times New Roman" w:hAnsi="Times New Roman" w:cs="Times New Roman"/>
                <w:sz w:val="20"/>
                <w:szCs w:val="20"/>
              </w:rPr>
              <w:t xml:space="preserve"> </w:t>
            </w:r>
            <w:r>
              <w:rPr>
                <w:rFonts w:ascii="Times New Roman" w:hAnsi="Times New Roman" w:cs="Times New Roman"/>
                <w:sz w:val="20"/>
                <w:szCs w:val="20"/>
              </w:rPr>
              <w:t>2</w:t>
            </w:r>
            <w:r w:rsidRPr="00847710">
              <w:rPr>
                <w:rFonts w:ascii="Times New Roman" w:hAnsi="Times New Roman" w:cs="Times New Roman"/>
                <w:sz w:val="20"/>
                <w:szCs w:val="20"/>
              </w:rPr>
              <w:t>00</w:t>
            </w:r>
          </w:p>
        </w:tc>
        <w:tc>
          <w:tcPr>
            <w:tcW w:w="851" w:type="dxa"/>
            <w:shd w:val="clear" w:color="auto" w:fill="FFFFFF" w:themeFill="background1"/>
            <w:vAlign w:val="center"/>
          </w:tcPr>
          <w:p w14:paraId="2F4B8F06" w14:textId="77777777"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00BA9AF9" w14:textId="77777777"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11D7E201" w14:textId="77777777" w:rsidR="00DC7466" w:rsidRPr="00E1067B"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20605E6" w14:textId="77777777"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5" w:type="dxa"/>
            <w:shd w:val="clear" w:color="auto" w:fill="FFFFFF" w:themeFill="background1"/>
            <w:vAlign w:val="center"/>
          </w:tcPr>
          <w:p w14:paraId="5C1D1D1C" w14:textId="7A31C911"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25" w:type="dxa"/>
            <w:shd w:val="clear" w:color="auto" w:fill="FFFFFF" w:themeFill="background1"/>
            <w:vAlign w:val="center"/>
          </w:tcPr>
          <w:p w14:paraId="63F2A77B" w14:textId="7C6A9A4B" w:rsidR="00DC7466" w:rsidRPr="00030FAC" w:rsidRDefault="00DC7466" w:rsidP="00DC7466">
            <w:pPr>
              <w:spacing w:after="0" w:line="240" w:lineRule="auto"/>
              <w:jc w:val="center"/>
              <w:rPr>
                <w:rFonts w:ascii="Times New Roman" w:eastAsia="Times New Roman" w:hAnsi="Times New Roman" w:cs="Times New Roman"/>
                <w:bCs/>
                <w:sz w:val="16"/>
                <w:szCs w:val="16"/>
                <w:lang w:eastAsia="lv-LV"/>
              </w:rPr>
            </w:pPr>
            <w:r>
              <w:rPr>
                <w:rFonts w:ascii="Times New Roman" w:hAnsi="Times New Roman" w:cs="Times New Roman"/>
                <w:sz w:val="20"/>
                <w:szCs w:val="20"/>
              </w:rPr>
              <w:t>266</w:t>
            </w:r>
            <w:r w:rsidRPr="00847710">
              <w:rPr>
                <w:rFonts w:ascii="Times New Roman" w:hAnsi="Times New Roman" w:cs="Times New Roman"/>
                <w:sz w:val="20"/>
                <w:szCs w:val="20"/>
              </w:rPr>
              <w:t xml:space="preserve"> </w:t>
            </w:r>
            <w:r>
              <w:rPr>
                <w:rFonts w:ascii="Times New Roman" w:hAnsi="Times New Roman" w:cs="Times New Roman"/>
                <w:sz w:val="20"/>
                <w:szCs w:val="20"/>
              </w:rPr>
              <w:t>2</w:t>
            </w:r>
            <w:r w:rsidRPr="00847710">
              <w:rPr>
                <w:rFonts w:ascii="Times New Roman" w:hAnsi="Times New Roman" w:cs="Times New Roman"/>
                <w:sz w:val="20"/>
                <w:szCs w:val="20"/>
              </w:rPr>
              <w:t>00</w:t>
            </w:r>
          </w:p>
        </w:tc>
        <w:tc>
          <w:tcPr>
            <w:tcW w:w="850" w:type="dxa"/>
            <w:shd w:val="clear" w:color="auto" w:fill="FFFFFF" w:themeFill="background1"/>
            <w:vAlign w:val="center"/>
          </w:tcPr>
          <w:p w14:paraId="6F0FF5D8" w14:textId="77777777" w:rsidR="00DC7466" w:rsidRPr="00E1067B"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2574957" w14:textId="77777777" w:rsidR="00DC7466" w:rsidRPr="00E1067B"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9A581C4" w14:textId="77777777" w:rsidR="00DC7466" w:rsidRPr="00E1067B"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D70435F" w14:textId="77777777"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36D5876D" w14:textId="29B16533"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8B93A5D" w14:textId="4B5AA2D2" w:rsidR="00DC7466" w:rsidRPr="00F83CEE" w:rsidRDefault="00DC7466" w:rsidP="00DC7466">
            <w:pPr>
              <w:spacing w:after="0" w:line="240" w:lineRule="auto"/>
              <w:jc w:val="center"/>
              <w:rPr>
                <w:rFonts w:ascii="Times New Roman" w:eastAsia="Times New Roman" w:hAnsi="Times New Roman" w:cs="Times New Roman"/>
                <w:bCs/>
                <w:sz w:val="20"/>
                <w:szCs w:val="20"/>
                <w:lang w:eastAsia="lv-LV"/>
              </w:rPr>
            </w:pPr>
            <w:r w:rsidRPr="00F83CEE">
              <w:rPr>
                <w:rFonts w:ascii="Times New Roman" w:hAnsi="Times New Roman" w:cs="Times New Roman"/>
                <w:bCs/>
                <w:sz w:val="20"/>
                <w:szCs w:val="20"/>
              </w:rPr>
              <w:t>1</w:t>
            </w:r>
          </w:p>
        </w:tc>
      </w:tr>
      <w:tr w:rsidR="00B85EA9" w14:paraId="4CD43B6D" w14:textId="77777777" w:rsidTr="00AE6690">
        <w:trPr>
          <w:trHeight w:val="401"/>
          <w:jc w:val="center"/>
        </w:trPr>
        <w:tc>
          <w:tcPr>
            <w:tcW w:w="425" w:type="dxa"/>
            <w:shd w:val="clear" w:color="auto" w:fill="FFFFFF" w:themeFill="background1"/>
          </w:tcPr>
          <w:p w14:paraId="4BE59142" w14:textId="50B5026E"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p>
        </w:tc>
        <w:tc>
          <w:tcPr>
            <w:tcW w:w="1843" w:type="dxa"/>
            <w:shd w:val="clear" w:color="auto" w:fill="FFFFFF" w:themeFill="background1"/>
            <w:vAlign w:val="bottom"/>
          </w:tcPr>
          <w:p w14:paraId="41027BE6" w14:textId="5B053B9B" w:rsidR="00DC7466" w:rsidRPr="00847710" w:rsidRDefault="00DC7466" w:rsidP="00DC7466">
            <w:pPr>
              <w:spacing w:after="0" w:line="240" w:lineRule="auto"/>
              <w:rPr>
                <w:rFonts w:ascii="Times New Roman" w:eastAsia="Times New Roman" w:hAnsi="Times New Roman" w:cs="Times New Roman"/>
                <w:sz w:val="20"/>
                <w:szCs w:val="20"/>
                <w:lang w:eastAsia="lv-LV"/>
              </w:rPr>
            </w:pPr>
            <w:r w:rsidRPr="00850F03">
              <w:rPr>
                <w:rFonts w:ascii="Times New Roman" w:eastAsia="Times New Roman" w:hAnsi="Times New Roman" w:cs="Times New Roman"/>
                <w:sz w:val="20"/>
                <w:szCs w:val="20"/>
                <w:lang w:eastAsia="lv-LV"/>
              </w:rPr>
              <w:t>Mākslīgās asinsrites iekārta</w:t>
            </w:r>
          </w:p>
        </w:tc>
        <w:tc>
          <w:tcPr>
            <w:tcW w:w="992" w:type="dxa"/>
            <w:shd w:val="clear" w:color="auto" w:fill="FFFFFF" w:themeFill="background1"/>
            <w:vAlign w:val="center"/>
          </w:tcPr>
          <w:p w14:paraId="1758081D" w14:textId="3E828D3C" w:rsidR="00DC7466" w:rsidRDefault="00DC7466" w:rsidP="00DC7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r w:rsidRPr="00847710">
              <w:rPr>
                <w:rFonts w:ascii="Times New Roman" w:hAnsi="Times New Roman" w:cs="Times New Roman"/>
                <w:sz w:val="20"/>
                <w:szCs w:val="20"/>
              </w:rPr>
              <w:t xml:space="preserve"> 000</w:t>
            </w:r>
          </w:p>
        </w:tc>
        <w:tc>
          <w:tcPr>
            <w:tcW w:w="851" w:type="dxa"/>
            <w:shd w:val="clear" w:color="auto" w:fill="FFFFFF" w:themeFill="background1"/>
            <w:vAlign w:val="center"/>
          </w:tcPr>
          <w:p w14:paraId="273C070B" w14:textId="62FB7A86"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44E707EA" w14:textId="64984F81"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E276A75" w14:textId="422EE620"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92BEB29" w14:textId="1C3F206F"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5" w:type="dxa"/>
            <w:shd w:val="clear" w:color="auto" w:fill="FFFFFF" w:themeFill="background1"/>
            <w:vAlign w:val="center"/>
          </w:tcPr>
          <w:p w14:paraId="24E96A06" w14:textId="3CCC0EC0" w:rsidR="00DC7466" w:rsidRDefault="00DC7466" w:rsidP="00DC7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5" w:type="dxa"/>
            <w:shd w:val="clear" w:color="auto" w:fill="FFFFFF" w:themeFill="background1"/>
            <w:vAlign w:val="center"/>
          </w:tcPr>
          <w:p w14:paraId="299531D6" w14:textId="20AE38AB" w:rsidR="00DC7466" w:rsidRDefault="00DC7466" w:rsidP="00DC7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r w:rsidRPr="00847710">
              <w:rPr>
                <w:rFonts w:ascii="Times New Roman" w:hAnsi="Times New Roman" w:cs="Times New Roman"/>
                <w:sz w:val="20"/>
                <w:szCs w:val="20"/>
              </w:rPr>
              <w:t xml:space="preserve"> 000</w:t>
            </w:r>
          </w:p>
        </w:tc>
        <w:tc>
          <w:tcPr>
            <w:tcW w:w="850" w:type="dxa"/>
            <w:shd w:val="clear" w:color="auto" w:fill="FFFFFF" w:themeFill="background1"/>
            <w:vAlign w:val="center"/>
          </w:tcPr>
          <w:p w14:paraId="5BA5A76C" w14:textId="71D296FE"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D14BB6A" w14:textId="36F7888F"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F66C1E7" w14:textId="513E9A35"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44298014" w14:textId="69AECF4C"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7234BD9" w14:textId="15841C90" w:rsidR="00DC7466" w:rsidRDefault="00DC7466" w:rsidP="00DC7466">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851" w:type="dxa"/>
            <w:shd w:val="clear" w:color="auto" w:fill="FFFFFF" w:themeFill="background1"/>
            <w:vAlign w:val="center"/>
          </w:tcPr>
          <w:p w14:paraId="7021695E" w14:textId="6F253D82" w:rsidR="00DC7466" w:rsidRPr="00F83CEE" w:rsidRDefault="00DC7466" w:rsidP="00DC7466">
            <w:pPr>
              <w:spacing w:after="0" w:line="240" w:lineRule="auto"/>
              <w:jc w:val="center"/>
              <w:rPr>
                <w:rFonts w:ascii="Times New Roman" w:hAnsi="Times New Roman" w:cs="Times New Roman"/>
                <w:bCs/>
                <w:sz w:val="20"/>
                <w:szCs w:val="20"/>
              </w:rPr>
            </w:pPr>
            <w:r w:rsidRPr="00F83CEE">
              <w:rPr>
                <w:rFonts w:ascii="Times New Roman" w:hAnsi="Times New Roman" w:cs="Times New Roman"/>
                <w:bCs/>
                <w:sz w:val="20"/>
                <w:szCs w:val="20"/>
              </w:rPr>
              <w:t>1</w:t>
            </w:r>
          </w:p>
        </w:tc>
      </w:tr>
      <w:tr w:rsidR="00B85EA9" w14:paraId="35EC6AF9" w14:textId="77777777" w:rsidTr="00B85EA9">
        <w:trPr>
          <w:trHeight w:val="598"/>
          <w:jc w:val="center"/>
        </w:trPr>
        <w:tc>
          <w:tcPr>
            <w:tcW w:w="425" w:type="dxa"/>
            <w:shd w:val="clear" w:color="auto" w:fill="FFFFFF" w:themeFill="background1"/>
          </w:tcPr>
          <w:p w14:paraId="215CBA0B" w14:textId="4C5AD08B"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w:t>
            </w:r>
          </w:p>
        </w:tc>
        <w:tc>
          <w:tcPr>
            <w:tcW w:w="1843" w:type="dxa"/>
            <w:shd w:val="clear" w:color="auto" w:fill="FFFFFF" w:themeFill="background1"/>
            <w:vAlign w:val="bottom"/>
          </w:tcPr>
          <w:p w14:paraId="7D5A0D43" w14:textId="72CC823F" w:rsidR="00DC7466" w:rsidRPr="00847710" w:rsidRDefault="00DC7466" w:rsidP="00DC7466">
            <w:pPr>
              <w:spacing w:after="0" w:line="240" w:lineRule="auto"/>
              <w:rPr>
                <w:rFonts w:ascii="Times New Roman" w:eastAsia="Times New Roman" w:hAnsi="Times New Roman" w:cs="Times New Roman"/>
                <w:sz w:val="20"/>
                <w:szCs w:val="20"/>
                <w:lang w:eastAsia="lv-LV"/>
              </w:rPr>
            </w:pPr>
            <w:r w:rsidRPr="009C4F1D">
              <w:rPr>
                <w:rFonts w:ascii="Times New Roman" w:eastAsia="Times New Roman" w:hAnsi="Times New Roman" w:cs="Times New Roman"/>
                <w:sz w:val="20"/>
                <w:szCs w:val="20"/>
                <w:lang w:eastAsia="lv-LV"/>
              </w:rPr>
              <w:t>Ekstrakorporālās oksigenācijas sistēma</w:t>
            </w:r>
          </w:p>
        </w:tc>
        <w:tc>
          <w:tcPr>
            <w:tcW w:w="992" w:type="dxa"/>
            <w:shd w:val="clear" w:color="auto" w:fill="FFFFFF" w:themeFill="background1"/>
            <w:vAlign w:val="center"/>
          </w:tcPr>
          <w:p w14:paraId="02BBC3CF" w14:textId="31711BBA" w:rsidR="00DC7466" w:rsidRDefault="00DC7466" w:rsidP="00DC7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160 000</w:t>
            </w:r>
          </w:p>
        </w:tc>
        <w:tc>
          <w:tcPr>
            <w:tcW w:w="851" w:type="dxa"/>
            <w:shd w:val="clear" w:color="auto" w:fill="FFFFFF" w:themeFill="background1"/>
            <w:vAlign w:val="center"/>
          </w:tcPr>
          <w:p w14:paraId="78538CD3" w14:textId="7B5EC013"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384E7670" w14:textId="7CFBA16B"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52273F1" w14:textId="5C6C8446"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5C6A272" w14:textId="4A1B5BC1"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5" w:type="dxa"/>
            <w:shd w:val="clear" w:color="auto" w:fill="FFFFFF" w:themeFill="background1"/>
            <w:vAlign w:val="center"/>
          </w:tcPr>
          <w:p w14:paraId="3052A43D" w14:textId="169BCB4A" w:rsidR="00DC7466" w:rsidRDefault="00DC7466" w:rsidP="00DC7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5" w:type="dxa"/>
            <w:shd w:val="clear" w:color="auto" w:fill="FFFFFF" w:themeFill="background1"/>
            <w:vAlign w:val="center"/>
          </w:tcPr>
          <w:p w14:paraId="6D73942B" w14:textId="56C0B0B1" w:rsidR="00DC7466" w:rsidRDefault="00DC7466" w:rsidP="00DC74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160 000</w:t>
            </w:r>
          </w:p>
        </w:tc>
        <w:tc>
          <w:tcPr>
            <w:tcW w:w="850" w:type="dxa"/>
            <w:shd w:val="clear" w:color="auto" w:fill="FFFFFF" w:themeFill="background1"/>
            <w:vAlign w:val="center"/>
          </w:tcPr>
          <w:p w14:paraId="060837ED" w14:textId="6FBDC5F4"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04562DC8" w14:textId="0689CE58"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9270B59" w14:textId="0B604027"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9EB504A" w14:textId="725393F6" w:rsidR="00DC7466" w:rsidRDefault="00DC7466" w:rsidP="00DC746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3740393" w14:textId="08487B49" w:rsidR="00DC7466" w:rsidRDefault="00DC7466" w:rsidP="00DC7466">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851" w:type="dxa"/>
            <w:shd w:val="clear" w:color="auto" w:fill="FFFFFF" w:themeFill="background1"/>
            <w:vAlign w:val="center"/>
          </w:tcPr>
          <w:p w14:paraId="14B9C5F8" w14:textId="02B5A1A9" w:rsidR="00DC7466" w:rsidRPr="00F83CEE" w:rsidRDefault="00DC7466" w:rsidP="00DC7466">
            <w:pPr>
              <w:spacing w:after="0" w:line="240" w:lineRule="auto"/>
              <w:jc w:val="center"/>
              <w:rPr>
                <w:rFonts w:ascii="Times New Roman" w:hAnsi="Times New Roman" w:cs="Times New Roman"/>
                <w:bCs/>
                <w:sz w:val="20"/>
                <w:szCs w:val="20"/>
              </w:rPr>
            </w:pPr>
            <w:r w:rsidRPr="00F83CEE">
              <w:rPr>
                <w:rFonts w:ascii="Times New Roman" w:hAnsi="Times New Roman" w:cs="Times New Roman"/>
                <w:bCs/>
                <w:sz w:val="20"/>
                <w:szCs w:val="20"/>
              </w:rPr>
              <w:t>1</w:t>
            </w:r>
          </w:p>
        </w:tc>
      </w:tr>
      <w:tr w:rsidR="00B85EA9" w14:paraId="40403EA8" w14:textId="77777777" w:rsidTr="00B85EA9">
        <w:trPr>
          <w:trHeight w:val="296"/>
          <w:jc w:val="center"/>
        </w:trPr>
        <w:tc>
          <w:tcPr>
            <w:tcW w:w="425" w:type="dxa"/>
            <w:shd w:val="clear" w:color="auto" w:fill="FBD4B4" w:themeFill="accent6" w:themeFillTint="66"/>
          </w:tcPr>
          <w:p w14:paraId="7AB1B4EB" w14:textId="77777777" w:rsidR="00DC7466" w:rsidRPr="00847710" w:rsidRDefault="00DC7466" w:rsidP="00DC7466">
            <w:pPr>
              <w:spacing w:after="0" w:line="240" w:lineRule="auto"/>
              <w:rPr>
                <w:rFonts w:ascii="Times New Roman" w:eastAsia="Times New Roman" w:hAnsi="Times New Roman" w:cs="Times New Roman"/>
                <w:sz w:val="20"/>
                <w:szCs w:val="20"/>
                <w:lang w:eastAsia="lv-LV"/>
              </w:rPr>
            </w:pPr>
          </w:p>
        </w:tc>
        <w:tc>
          <w:tcPr>
            <w:tcW w:w="1843" w:type="dxa"/>
            <w:shd w:val="clear" w:color="auto" w:fill="FBD4B4" w:themeFill="accent6" w:themeFillTint="66"/>
            <w:vAlign w:val="bottom"/>
          </w:tcPr>
          <w:p w14:paraId="0E768F97" w14:textId="77777777" w:rsidR="00DC7466" w:rsidRPr="00847710" w:rsidRDefault="00DC7466" w:rsidP="00DC746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2" w:type="dxa"/>
            <w:shd w:val="clear" w:color="auto" w:fill="FBD4B4" w:themeFill="accent6" w:themeFillTint="66"/>
            <w:noWrap/>
            <w:vAlign w:val="center"/>
          </w:tcPr>
          <w:p w14:paraId="756F3CD7" w14:textId="77777777" w:rsidR="00DC7466" w:rsidRPr="00847710" w:rsidRDefault="00DC7466" w:rsidP="00DC7466">
            <w:pPr>
              <w:spacing w:after="0" w:line="240" w:lineRule="auto"/>
              <w:jc w:val="center"/>
              <w:rPr>
                <w:rFonts w:ascii="Times New Roman" w:eastAsia="Times New Roman" w:hAnsi="Times New Roman" w:cs="Times New Roman"/>
                <w:sz w:val="20"/>
                <w:szCs w:val="20"/>
                <w:lang w:eastAsia="lv-LV"/>
              </w:rPr>
            </w:pPr>
          </w:p>
        </w:tc>
        <w:tc>
          <w:tcPr>
            <w:tcW w:w="851" w:type="dxa"/>
            <w:shd w:val="clear" w:color="auto" w:fill="FBD4B4" w:themeFill="accent6" w:themeFillTint="66"/>
            <w:vAlign w:val="center"/>
          </w:tcPr>
          <w:p w14:paraId="477DEBA8" w14:textId="77777777" w:rsidR="00DC7466" w:rsidRPr="00847710" w:rsidRDefault="00DC7466" w:rsidP="00DC7466">
            <w:pPr>
              <w:spacing w:after="0" w:line="240" w:lineRule="auto"/>
              <w:jc w:val="center"/>
              <w:rPr>
                <w:rFonts w:ascii="Times New Roman" w:hAnsi="Times New Roman" w:cs="Times New Roman"/>
                <w:sz w:val="20"/>
                <w:szCs w:val="20"/>
              </w:rPr>
            </w:pPr>
          </w:p>
        </w:tc>
        <w:tc>
          <w:tcPr>
            <w:tcW w:w="992" w:type="dxa"/>
            <w:shd w:val="clear" w:color="auto" w:fill="FBD4B4" w:themeFill="accent6" w:themeFillTint="66"/>
            <w:vAlign w:val="center"/>
          </w:tcPr>
          <w:p w14:paraId="44C66712" w14:textId="77777777" w:rsidR="00DC7466" w:rsidRPr="00847710" w:rsidRDefault="00DC7466" w:rsidP="00DC7466">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0A6CEB9E" w14:textId="77777777" w:rsidR="00DC7466" w:rsidRPr="00847710" w:rsidRDefault="00DC7466" w:rsidP="00DC7466">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0F97CA38" w14:textId="77777777" w:rsidR="00DC7466" w:rsidRPr="00847710" w:rsidRDefault="00DC7466" w:rsidP="00DC7466">
            <w:pPr>
              <w:spacing w:after="0" w:line="240" w:lineRule="auto"/>
              <w:jc w:val="center"/>
              <w:rPr>
                <w:rFonts w:ascii="Times New Roman" w:hAnsi="Times New Roman" w:cs="Times New Roman"/>
                <w:sz w:val="20"/>
                <w:szCs w:val="20"/>
              </w:rPr>
            </w:pPr>
          </w:p>
        </w:tc>
        <w:tc>
          <w:tcPr>
            <w:tcW w:w="855" w:type="dxa"/>
            <w:shd w:val="clear" w:color="auto" w:fill="FBD4B4" w:themeFill="accent6" w:themeFillTint="66"/>
            <w:vAlign w:val="center"/>
          </w:tcPr>
          <w:p w14:paraId="4D357433" w14:textId="689D6B7F" w:rsidR="00DC7466" w:rsidRPr="00847710" w:rsidRDefault="00DC7466" w:rsidP="00DC7466">
            <w:pPr>
              <w:spacing w:after="0" w:line="240" w:lineRule="auto"/>
              <w:jc w:val="center"/>
              <w:rPr>
                <w:rFonts w:ascii="Times New Roman" w:hAnsi="Times New Roman" w:cs="Times New Roman"/>
                <w:sz w:val="20"/>
                <w:szCs w:val="20"/>
              </w:rPr>
            </w:pPr>
          </w:p>
        </w:tc>
        <w:tc>
          <w:tcPr>
            <w:tcW w:w="1125" w:type="dxa"/>
            <w:shd w:val="clear" w:color="auto" w:fill="FBD4B4" w:themeFill="accent6" w:themeFillTint="66"/>
            <w:noWrap/>
            <w:vAlign w:val="center"/>
          </w:tcPr>
          <w:p w14:paraId="16B7A8AA" w14:textId="09606B61" w:rsidR="00DC7466" w:rsidRPr="00F83CEE" w:rsidRDefault="00DC7466" w:rsidP="00DC7466">
            <w:pPr>
              <w:spacing w:after="0" w:line="240" w:lineRule="auto"/>
              <w:jc w:val="center"/>
              <w:rPr>
                <w:rFonts w:ascii="Times New Roman" w:eastAsia="Times New Roman" w:hAnsi="Times New Roman" w:cs="Times New Roman"/>
                <w:b/>
                <w:sz w:val="16"/>
                <w:szCs w:val="16"/>
                <w:lang w:eastAsia="lv-LV"/>
              </w:rPr>
            </w:pPr>
            <w:r w:rsidRPr="00F83CEE">
              <w:rPr>
                <w:rFonts w:ascii="Times New Roman" w:eastAsia="Times New Roman" w:hAnsi="Times New Roman" w:cs="Times New Roman"/>
                <w:b/>
                <w:sz w:val="20"/>
                <w:szCs w:val="20"/>
                <w:lang w:eastAsia="lv-LV"/>
              </w:rPr>
              <w:t>1 041 200</w:t>
            </w:r>
          </w:p>
        </w:tc>
        <w:tc>
          <w:tcPr>
            <w:tcW w:w="850" w:type="dxa"/>
            <w:shd w:val="clear" w:color="auto" w:fill="FBD4B4" w:themeFill="accent6" w:themeFillTint="66"/>
            <w:vAlign w:val="center"/>
          </w:tcPr>
          <w:p w14:paraId="1ECE36F6" w14:textId="77777777" w:rsidR="00DC7466" w:rsidRPr="00F83CEE" w:rsidRDefault="00DC7466" w:rsidP="00DC7466">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681F2D7E" w14:textId="77777777" w:rsidR="00DC7466" w:rsidRPr="00F83CEE" w:rsidRDefault="00DC7466" w:rsidP="00DC7466">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0F212879" w14:textId="77777777" w:rsidR="00DC7466" w:rsidRPr="00F83CEE" w:rsidRDefault="00DC7466" w:rsidP="00DC7466">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061A5A71" w14:textId="77777777" w:rsidR="00DC7466" w:rsidRPr="00F83CEE" w:rsidRDefault="00DC7466" w:rsidP="00DC7466">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3C0C422B" w14:textId="5FAE511F" w:rsidR="00DC7466" w:rsidRPr="00F83CEE" w:rsidRDefault="00DC7466" w:rsidP="00DC7466">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noWrap/>
            <w:vAlign w:val="center"/>
          </w:tcPr>
          <w:p w14:paraId="3D535066" w14:textId="74C24F07" w:rsidR="00DC7466" w:rsidRPr="00F83CEE" w:rsidRDefault="00DC7466" w:rsidP="00DC7466">
            <w:pPr>
              <w:spacing w:after="0" w:line="240" w:lineRule="auto"/>
              <w:jc w:val="center"/>
              <w:rPr>
                <w:rFonts w:ascii="Times New Roman" w:eastAsia="Times New Roman" w:hAnsi="Times New Roman" w:cs="Times New Roman"/>
                <w:b/>
                <w:bCs/>
                <w:sz w:val="20"/>
                <w:szCs w:val="20"/>
                <w:lang w:eastAsia="lv-LV"/>
              </w:rPr>
            </w:pPr>
            <w:r w:rsidRPr="00F83CEE">
              <w:rPr>
                <w:rFonts w:ascii="Times New Roman" w:hAnsi="Times New Roman" w:cs="Times New Roman"/>
                <w:b/>
                <w:bCs/>
                <w:sz w:val="20"/>
                <w:szCs w:val="20"/>
              </w:rPr>
              <w:t>3</w:t>
            </w:r>
          </w:p>
        </w:tc>
      </w:tr>
    </w:tbl>
    <w:p w14:paraId="377877C2" w14:textId="23971C74" w:rsidR="00DC7466" w:rsidRDefault="00DC7466" w:rsidP="00850F03">
      <w:pPr>
        <w:jc w:val="center"/>
        <w:rPr>
          <w:rFonts w:ascii="Times New Roman" w:hAnsi="Times New Roman" w:cs="Times New Roman"/>
          <w:b/>
          <w:bCs/>
          <w:sz w:val="24"/>
          <w:szCs w:val="24"/>
        </w:rPr>
      </w:pPr>
    </w:p>
    <w:p w14:paraId="772B52D9" w14:textId="77777777" w:rsidR="00DC7466" w:rsidRPr="00847710" w:rsidRDefault="00DC7466" w:rsidP="00850F03">
      <w:pPr>
        <w:jc w:val="center"/>
        <w:rPr>
          <w:rFonts w:ascii="Times New Roman" w:hAnsi="Times New Roman" w:cs="Times New Roman"/>
          <w:color w:val="000000"/>
          <w:sz w:val="24"/>
          <w:szCs w:val="24"/>
        </w:rPr>
      </w:pPr>
    </w:p>
    <w:p w14:paraId="3FD9E370" w14:textId="77777777" w:rsidR="00DC7466" w:rsidRDefault="00DC7466" w:rsidP="005C7AF4">
      <w:pPr>
        <w:pStyle w:val="naiskr"/>
        <w:spacing w:before="0" w:beforeAutospacing="0" w:after="120" w:afterAutospacing="0" w:line="276" w:lineRule="auto"/>
        <w:jc w:val="both"/>
        <w:rPr>
          <w:rFonts w:eastAsia="Calibri"/>
          <w:shd w:val="clear" w:color="auto" w:fill="FFFFFF"/>
        </w:rPr>
        <w:sectPr w:rsidR="00DC7466" w:rsidSect="00E11AFF">
          <w:pgSz w:w="15840" w:h="12240" w:orient="landscape"/>
          <w:pgMar w:top="1701" w:right="1440" w:bottom="1440" w:left="1440" w:header="709" w:footer="709" w:gutter="0"/>
          <w:cols w:space="708"/>
          <w:docGrid w:linePitch="360"/>
        </w:sectPr>
      </w:pPr>
    </w:p>
    <w:p w14:paraId="658ECE6A" w14:textId="5C8CA354" w:rsidR="00436FB5" w:rsidRDefault="00436FB5" w:rsidP="00DB330E">
      <w:pPr>
        <w:spacing w:after="0" w:line="240" w:lineRule="auto"/>
        <w:rPr>
          <w:rFonts w:ascii="Times New Roman" w:hAnsi="Times New Roman"/>
          <w:b/>
          <w:sz w:val="28"/>
          <w:szCs w:val="28"/>
        </w:rPr>
      </w:pPr>
    </w:p>
    <w:p w14:paraId="1A6BA536" w14:textId="5B90E82F" w:rsidR="00ED6BAF" w:rsidRDefault="00D46212" w:rsidP="001544CF">
      <w:pPr>
        <w:spacing w:after="0" w:line="240" w:lineRule="auto"/>
        <w:jc w:val="center"/>
        <w:rPr>
          <w:rFonts w:ascii="Times New Roman" w:hAnsi="Times New Roman"/>
          <w:b/>
          <w:sz w:val="28"/>
          <w:szCs w:val="28"/>
        </w:rPr>
      </w:pPr>
      <w:r>
        <w:rPr>
          <w:rFonts w:ascii="Times New Roman" w:hAnsi="Times New Roman"/>
          <w:b/>
          <w:sz w:val="28"/>
          <w:szCs w:val="28"/>
        </w:rPr>
        <w:t>6.</w:t>
      </w:r>
      <w:r w:rsidR="001B3EAA">
        <w:rPr>
          <w:rFonts w:ascii="Times New Roman" w:hAnsi="Times New Roman"/>
          <w:b/>
          <w:sz w:val="28"/>
          <w:szCs w:val="28"/>
        </w:rPr>
        <w:t xml:space="preserve"> </w:t>
      </w:r>
      <w:r w:rsidR="002A6015" w:rsidRPr="00007A5A">
        <w:rPr>
          <w:rFonts w:ascii="Times New Roman" w:hAnsi="Times New Roman"/>
          <w:b/>
          <w:sz w:val="28"/>
          <w:szCs w:val="28"/>
        </w:rPr>
        <w:t>Ārstniecības iestāžu līmeņu reforma</w:t>
      </w:r>
    </w:p>
    <w:p w14:paraId="61283DFF" w14:textId="77777777" w:rsidR="001544CF" w:rsidRPr="001544CF" w:rsidRDefault="001544CF" w:rsidP="001544CF">
      <w:pPr>
        <w:spacing w:after="0" w:line="240" w:lineRule="auto"/>
        <w:jc w:val="center"/>
        <w:rPr>
          <w:rFonts w:ascii="Times New Roman" w:hAnsi="Times New Roman"/>
          <w:sz w:val="24"/>
          <w:szCs w:val="24"/>
        </w:rPr>
      </w:pPr>
    </w:p>
    <w:p w14:paraId="3B82C4A4" w14:textId="77777777" w:rsidR="0050396F" w:rsidRDefault="0050396F" w:rsidP="0050396F">
      <w:pPr>
        <w:pStyle w:val="naiskr"/>
        <w:spacing w:before="0" w:beforeAutospacing="0" w:after="120" w:afterAutospacing="0" w:line="276" w:lineRule="auto"/>
        <w:ind w:firstLine="720"/>
        <w:jc w:val="both"/>
        <w:rPr>
          <w:shd w:val="clear" w:color="auto" w:fill="FFFFFF"/>
        </w:rPr>
      </w:pPr>
      <w:r w:rsidRPr="00B871FA">
        <w:rPr>
          <w:rFonts w:eastAsia="Calibri"/>
          <w:shd w:val="clear" w:color="auto" w:fill="FFFFFF"/>
        </w:rPr>
        <w:t>Izvērtējot esošo situāciju attiecībā uz veselības aprūpes pakalpojumu pieejamību, kvalitāti un izmaksu efektivitāti un nodrošinot  konceptuālajā ziņojumā “Par veselības aprūpes nozares reformu” iekļauto pamatprincipu ieviešanu, kā arī lai turpinātu reformu un nodrošinātu turpmāku kvalitatīvu, drošu un ilgtspējīgu veselības aprūpes sistēmu, nodrošinot pakalpojumu vienlīdzīgu pieejamību visiem Latvijas iedzīvotājiem,</w:t>
      </w:r>
      <w:r>
        <w:rPr>
          <w:rFonts w:eastAsia="Calibri"/>
          <w:shd w:val="clear" w:color="auto" w:fill="FFFFFF"/>
        </w:rPr>
        <w:t xml:space="preserve"> tika pārskatīti slimnīcu aprūpes līmeņi, </w:t>
      </w:r>
      <w:r w:rsidRPr="00720FFD">
        <w:rPr>
          <w:shd w:val="clear" w:color="auto" w:fill="FFFFFF"/>
        </w:rPr>
        <w:t>paredzot šādu veselības aprūpes pieejamību:</w:t>
      </w:r>
    </w:p>
    <w:p w14:paraId="22BEA8C3"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I līmeņa slimnīcās</w:t>
      </w:r>
      <w:r w:rsidRPr="00B871FA">
        <w:rPr>
          <w:rFonts w:ascii="Times New Roman" w:hAnsi="Times New Roman" w:cs="Times New Roman"/>
          <w:sz w:val="24"/>
          <w:szCs w:val="24"/>
        </w:rPr>
        <w:t xml:space="preserve"> tiks nodrošināti pamata profili – terapija un hronisku pacientu aprūpe (izvēles profils); nodrošināta neatliekamā medicīniskā palīdzība 24 stundas diennaktī gadījumos, kad nav apdraudēta pacienta dzīvība;</w:t>
      </w:r>
    </w:p>
    <w:p w14:paraId="075D0ADF"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Uzņemšanas nodaļā diennakts dežūru nodrošināšanai nepieciešami speciālisti - ķirurgs, internists (izvēles speciālists; tajā skaitā var būt ģimenes ārsts).</w:t>
      </w:r>
    </w:p>
    <w:p w14:paraId="1776D22C"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I līmeņa  slimnīca tiks iekļa</w:t>
      </w:r>
      <w:r>
        <w:rPr>
          <w:rFonts w:ascii="Times New Roman" w:hAnsi="Times New Roman" w:cs="Times New Roman"/>
          <w:sz w:val="24"/>
          <w:szCs w:val="24"/>
        </w:rPr>
        <w:t>uta NMPD hospitalizācijas plānā</w:t>
      </w:r>
      <w:r w:rsidRPr="00B871FA">
        <w:rPr>
          <w:rFonts w:ascii="Times New Roman" w:hAnsi="Times New Roman" w:cs="Times New Roman"/>
          <w:sz w:val="24"/>
          <w:szCs w:val="24"/>
        </w:rPr>
        <w:t>;</w:t>
      </w:r>
    </w:p>
    <w:p w14:paraId="4469AE90"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II līmeņa slimnīcās</w:t>
      </w:r>
      <w:r w:rsidRPr="00B871FA">
        <w:rPr>
          <w:rFonts w:ascii="Times New Roman" w:hAnsi="Times New Roman" w:cs="Times New Roman"/>
          <w:sz w:val="24"/>
          <w:szCs w:val="24"/>
        </w:rPr>
        <w:t xml:space="preserve"> tiks nodrošināta darbība 2 obligātajos profilos (terapija, ķirurģija), papildus grūtniecības un dzemdību aprūpe (SIA “Siguldas slimnīca”, SIA “Preiļu slimnīca”), neiroloģija (SIA “Tukuma slimnīca”), kā arī  vairākos izvēles profilos – hronisko pacientu aprūpe, ginekoloģija, pediatrija, traumatoloģija). Tiks nodrošināta neatliekamā medicīniskā palīdzība 24 stundas diennaktī. </w:t>
      </w:r>
    </w:p>
    <w:p w14:paraId="255A9638"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Uzņemšanas nodaļā diennakts dežūru nodrošināšanai nepieciešami speciālisti - ķirurgs, anesteziologs/reanimatologs, radiologs diagnosts, ginekologs (SIA “Siguldas slimnīca”, SIA “Preiļu slimnīca”), pediatrs/neonatologs (SIA “Siguldas slimnīca”, SIA “Preiļu slimnīca”), internists (izvēles speciālists).</w:t>
      </w:r>
    </w:p>
    <w:p w14:paraId="1F4195E6"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III līmeņa slimnīcās</w:t>
      </w:r>
      <w:r w:rsidRPr="00B871FA">
        <w:rPr>
          <w:rFonts w:ascii="Times New Roman" w:hAnsi="Times New Roman" w:cs="Times New Roman"/>
          <w:sz w:val="24"/>
          <w:szCs w:val="24"/>
        </w:rPr>
        <w:t xml:space="preserve"> tiks nodrošināta darbība 5 obligātajos profilos – terapija, ķirurģija, ginekoloģija, grūtniecības un dzemdību aprūpe, pediatrija, un, atbilstoši katras slimnīcas specializācijai, izvēles profili – hronisko pacientu aprūpe, traumatoloģija, neiroloģija. </w:t>
      </w:r>
    </w:p>
    <w:p w14:paraId="32204AD5" w14:textId="6D8D453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Uzņemšanas nodaļā diennakts dežūru nodrošināšanai nepieciešami speciālisti – ķirurgs, anesteziologs/reanimatologs, ginekologs</w:t>
      </w:r>
      <w:r w:rsidR="004F463B">
        <w:rPr>
          <w:rFonts w:ascii="Times New Roman" w:hAnsi="Times New Roman" w:cs="Times New Roman"/>
          <w:sz w:val="24"/>
          <w:szCs w:val="24"/>
        </w:rPr>
        <w:t xml:space="preserve"> </w:t>
      </w:r>
      <w:r w:rsidRPr="00B871FA">
        <w:rPr>
          <w:rFonts w:ascii="Times New Roman" w:hAnsi="Times New Roman" w:cs="Times New Roman"/>
          <w:sz w:val="24"/>
          <w:szCs w:val="24"/>
        </w:rPr>
        <w:t>(izņemot Cēsu klīniku), pediatrs/neonatologs, radiologs diagnosts, internists (izvēles speciālists).</w:t>
      </w:r>
    </w:p>
    <w:p w14:paraId="1BE3A2A6" w14:textId="6FB428C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IV līmeņa slimnīcās</w:t>
      </w:r>
      <w:r w:rsidRPr="00B871FA">
        <w:rPr>
          <w:rFonts w:ascii="Times New Roman" w:hAnsi="Times New Roman" w:cs="Times New Roman"/>
          <w:sz w:val="24"/>
          <w:szCs w:val="24"/>
        </w:rPr>
        <w:t xml:space="preserve"> tiks nodrošināta darbība 13 obligātajos profilos – terapija, ķirurģija, ginekoloģija,</w:t>
      </w:r>
      <w:r w:rsidRPr="00B871FA">
        <w:rPr>
          <w:sz w:val="24"/>
          <w:szCs w:val="24"/>
        </w:rPr>
        <w:t xml:space="preserve"> </w:t>
      </w:r>
      <w:r w:rsidRPr="00B871FA">
        <w:rPr>
          <w:rFonts w:ascii="Times New Roman" w:hAnsi="Times New Roman" w:cs="Times New Roman"/>
          <w:sz w:val="24"/>
          <w:szCs w:val="24"/>
        </w:rPr>
        <w:t>grūtniecības un dzemdību aprūpe, pediatrija,</w:t>
      </w:r>
      <w:r w:rsidRPr="00B871FA">
        <w:rPr>
          <w:sz w:val="24"/>
          <w:szCs w:val="24"/>
        </w:rPr>
        <w:t xml:space="preserve"> </w:t>
      </w:r>
      <w:r w:rsidRPr="00B871FA">
        <w:rPr>
          <w:rFonts w:ascii="Times New Roman" w:hAnsi="Times New Roman" w:cs="Times New Roman"/>
          <w:sz w:val="24"/>
          <w:szCs w:val="24"/>
        </w:rPr>
        <w:t>traumatoloģija, neiroloģija, uroloģija, otolaringoloģija, insulta vienība, infekcijas, rehabilitācija, kardioloģija, un, atbilstoši katras slimnīcas specializācijai, papildus profili – narkoloģija</w:t>
      </w:r>
      <w:r w:rsidRPr="00B871FA">
        <w:rPr>
          <w:sz w:val="24"/>
          <w:szCs w:val="24"/>
        </w:rPr>
        <w:t xml:space="preserve"> </w:t>
      </w:r>
      <w:r w:rsidRPr="00B871FA">
        <w:rPr>
          <w:rFonts w:ascii="Times New Roman" w:hAnsi="Times New Roman" w:cs="Times New Roman"/>
          <w:sz w:val="24"/>
          <w:szCs w:val="24"/>
        </w:rPr>
        <w:t>(SIA “Liepājas reģionālā slimnīca”, SIA “Rēzeknes slimnīca”),</w:t>
      </w:r>
      <w:r w:rsidR="004F463B">
        <w:rPr>
          <w:rFonts w:ascii="Times New Roman" w:hAnsi="Times New Roman" w:cs="Times New Roman"/>
          <w:sz w:val="24"/>
          <w:szCs w:val="24"/>
        </w:rPr>
        <w:t xml:space="preserve"> </w:t>
      </w:r>
      <w:r w:rsidRPr="00B871FA">
        <w:rPr>
          <w:rFonts w:ascii="Times New Roman" w:hAnsi="Times New Roman" w:cs="Times New Roman"/>
          <w:sz w:val="24"/>
          <w:szCs w:val="24"/>
        </w:rPr>
        <w:t xml:space="preserve">oftalmoloģija (SIA “Daugavpils reģionālā slimnīca”, SIA “Ziemeļkurzemes reģionālā slimnīca”), endokrinoloģija (Izņemot SIA “Liepājas reģionālā slimnīca”, SIA “Rēzeknes slimnīca”, SIA “Jelgavas pilsētas slimnīca”), kā arī izvēles profili – onkoloģija, hronisko pacientu aprūpe, grūtniecības patoloģija, </w:t>
      </w:r>
      <w:r w:rsidRPr="00B871FA">
        <w:rPr>
          <w:rFonts w:ascii="Times New Roman" w:hAnsi="Times New Roman" w:cs="Times New Roman"/>
          <w:sz w:val="24"/>
          <w:szCs w:val="24"/>
        </w:rPr>
        <w:lastRenderedPageBreak/>
        <w:t>psihiatrija, nefroloģija, invazīvā kardioloģija, paliatīvā aprūpe, pulmonoloģija, gastroenteroloģija, neiroķirurģija, asinsvadu ķirurģija.</w:t>
      </w:r>
    </w:p>
    <w:p w14:paraId="06E388E9" w14:textId="431DF7B1"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Uzņemšanas nodaļā diennakts dežūru nodrošināšanai nepieciešami speciālisti – ķirurgs, anesteziologs/reanimatologs, ginekologs</w:t>
      </w:r>
      <w:r w:rsidR="004F463B">
        <w:rPr>
          <w:rFonts w:ascii="Times New Roman" w:hAnsi="Times New Roman" w:cs="Times New Roman"/>
          <w:sz w:val="24"/>
          <w:szCs w:val="24"/>
        </w:rPr>
        <w:t xml:space="preserve"> </w:t>
      </w:r>
      <w:r w:rsidRPr="00B871FA">
        <w:rPr>
          <w:rFonts w:ascii="Times New Roman" w:hAnsi="Times New Roman" w:cs="Times New Roman"/>
          <w:sz w:val="24"/>
          <w:szCs w:val="24"/>
        </w:rPr>
        <w:t>(izņemot Cēsu klīniku), pediatrs/neonatologs, radiologs diagnosts, internists (izvēles speciālists).</w:t>
      </w:r>
    </w:p>
    <w:p w14:paraId="6207F483"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V līmeņa slimnīcās</w:t>
      </w:r>
      <w:r w:rsidRPr="00B871FA">
        <w:rPr>
          <w:rFonts w:ascii="Times New Roman" w:hAnsi="Times New Roman" w:cs="Times New Roman"/>
          <w:sz w:val="24"/>
          <w:szCs w:val="24"/>
        </w:rPr>
        <w:t xml:space="preserve"> tiks nodrošināta darbība 22 obligātajos profilos un atbilstoši katras slimnīcas specializācijai papildus profili (piemēram infekciju profils, grūtniecības un dzemdību profils u.c.) V līmeņa slimnīcās tiks nodrošināti terciārā līmeņa veselības aprūpes pakalpojumi.</w:t>
      </w:r>
    </w:p>
    <w:p w14:paraId="663C2353"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V līmeņa specializētās ārstniecības iestādes</w:t>
      </w:r>
      <w:r w:rsidRPr="00B871FA">
        <w:rPr>
          <w:rFonts w:ascii="Times New Roman" w:hAnsi="Times New Roman" w:cs="Times New Roman"/>
          <w:sz w:val="24"/>
          <w:szCs w:val="24"/>
        </w:rPr>
        <w:t xml:space="preserve"> ar specializāciju pediatrijā, traumatoloģijas un ortopēdijas profilā, grūtnieču aprūpē un dzemdību palīdzības profilā, rehabilitācijas profilā nodrošina terciārā līmeņa veselības aprūpes pakalpojumus atbilstoši specializācijai.</w:t>
      </w:r>
    </w:p>
    <w:p w14:paraId="2C2409E9" w14:textId="042C42F3" w:rsidR="0050396F" w:rsidRDefault="0050396F" w:rsidP="00441E90">
      <w:pPr>
        <w:spacing w:after="120"/>
        <w:ind w:firstLine="720"/>
        <w:jc w:val="both"/>
        <w:rPr>
          <w:rFonts w:ascii="Times New Roman" w:hAnsi="Times New Roman" w:cs="Times New Roman"/>
          <w:sz w:val="24"/>
          <w:szCs w:val="24"/>
        </w:rPr>
      </w:pPr>
      <w:r w:rsidRPr="00B871FA">
        <w:rPr>
          <w:rFonts w:ascii="Times New Roman" w:hAnsi="Times New Roman" w:cs="Times New Roman"/>
          <w:sz w:val="24"/>
          <w:szCs w:val="24"/>
        </w:rPr>
        <w:t xml:space="preserve">Plānotais veselības aprūpes pakalpojumu sniedzēju piedāvājums paredz tādu gultu skaitu katrā profilā, kas nodrošina prognozēto pieprasījumu pēc aprūpes. </w:t>
      </w:r>
    </w:p>
    <w:p w14:paraId="31111475" w14:textId="1A055AE3" w:rsidR="004B482C" w:rsidRPr="00B871FA" w:rsidRDefault="004B482C" w:rsidP="00441E90">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Šobrīd zemākajos ārstniecības iestāžu līmeņos </w:t>
      </w:r>
      <w:r w:rsidR="00B36162">
        <w:rPr>
          <w:rFonts w:ascii="Times New Roman" w:hAnsi="Times New Roman" w:cs="Times New Roman"/>
          <w:sz w:val="24"/>
          <w:szCs w:val="24"/>
        </w:rPr>
        <w:t xml:space="preserve">finansējums netiek mazināts, jo nepieciešams nodrošināt pārejas laiku, kurā ārstniecības iestādes spēj pielāgoties pārmaiņu procesam, papildus izvērtējot savas iespējas sniegt veselības aprūpes pakalpojumus atbilstoši konkrētā reģiona vajadzības apmierināšanai. Paralēli notiek izvērtēšana, kuras laikā var tikt pārdalīti finanšu līdzekļi, atbilstoši cilvēkresursu nodrošinājumam, iestādes spējai sniegt konkrētos veselības aprūpes pakalpojumus un </w:t>
      </w:r>
      <w:r w:rsidR="00EF51C4">
        <w:rPr>
          <w:rFonts w:ascii="Times New Roman" w:hAnsi="Times New Roman" w:cs="Times New Roman"/>
          <w:sz w:val="24"/>
          <w:szCs w:val="24"/>
        </w:rPr>
        <w:t>ģeogrāfiskā novietojuma faktiskajai vajadzības veselības aprūpes nodrošinājuma.</w:t>
      </w:r>
    </w:p>
    <w:p w14:paraId="7D9CF28D" w14:textId="14B9264A" w:rsidR="0050396F" w:rsidRPr="00B871FA" w:rsidRDefault="0050396F" w:rsidP="00441E90">
      <w:pPr>
        <w:spacing w:after="120"/>
        <w:ind w:firstLine="720"/>
        <w:jc w:val="both"/>
        <w:rPr>
          <w:rFonts w:ascii="Times New Roman" w:hAnsi="Times New Roman" w:cs="Times New Roman"/>
          <w:sz w:val="24"/>
          <w:szCs w:val="24"/>
        </w:rPr>
      </w:pPr>
      <w:r w:rsidRPr="00B871FA">
        <w:rPr>
          <w:rFonts w:ascii="Times New Roman" w:hAnsi="Times New Roman" w:cs="Times New Roman"/>
          <w:sz w:val="24"/>
          <w:szCs w:val="24"/>
        </w:rPr>
        <w:t>Restrukturizējot veselības aprūpes pakalpojumu izvietojumu, tiks nodrošināts, ka pakalpojumi tiek sniegti atbilstošajā vietā un laikā (skat.</w:t>
      </w:r>
      <w:r w:rsidR="008104BD">
        <w:rPr>
          <w:rFonts w:ascii="Times New Roman" w:hAnsi="Times New Roman" w:cs="Times New Roman"/>
          <w:sz w:val="24"/>
          <w:szCs w:val="24"/>
        </w:rPr>
        <w:t>81</w:t>
      </w:r>
      <w:r w:rsidR="00DB330E">
        <w:rPr>
          <w:rFonts w:ascii="Times New Roman" w:hAnsi="Times New Roman" w:cs="Times New Roman"/>
          <w:sz w:val="24"/>
          <w:szCs w:val="24"/>
        </w:rPr>
        <w:t>.</w:t>
      </w:r>
      <w:r w:rsidR="001B1AEF">
        <w:rPr>
          <w:rFonts w:ascii="Times New Roman" w:hAnsi="Times New Roman" w:cs="Times New Roman"/>
          <w:sz w:val="24"/>
          <w:szCs w:val="24"/>
        </w:rPr>
        <w:t xml:space="preserve"> </w:t>
      </w:r>
      <w:r w:rsidRPr="00B871FA">
        <w:rPr>
          <w:rFonts w:ascii="Times New Roman" w:hAnsi="Times New Roman" w:cs="Times New Roman"/>
          <w:sz w:val="24"/>
          <w:szCs w:val="24"/>
        </w:rPr>
        <w:t xml:space="preserve">tabulu). </w:t>
      </w:r>
    </w:p>
    <w:p w14:paraId="0912134C" w14:textId="46D27D36" w:rsidR="0050396F" w:rsidRPr="00C77297" w:rsidRDefault="008104BD" w:rsidP="00C77297">
      <w:pPr>
        <w:spacing w:after="0" w:line="240" w:lineRule="auto"/>
        <w:ind w:left="360"/>
        <w:jc w:val="right"/>
        <w:rPr>
          <w:rFonts w:ascii="Times New Roman" w:hAnsi="Times New Roman" w:cs="Times New Roman"/>
          <w:i/>
          <w:iCs/>
          <w:sz w:val="24"/>
          <w:szCs w:val="24"/>
        </w:rPr>
      </w:pPr>
      <w:r>
        <w:rPr>
          <w:rFonts w:ascii="Times New Roman" w:hAnsi="Times New Roman" w:cs="Times New Roman"/>
          <w:i/>
          <w:iCs/>
          <w:sz w:val="24"/>
          <w:szCs w:val="24"/>
        </w:rPr>
        <w:t>81</w:t>
      </w:r>
      <w:r w:rsidR="0050396F" w:rsidRPr="00E12849">
        <w:rPr>
          <w:rFonts w:ascii="Times New Roman" w:hAnsi="Times New Roman" w:cs="Times New Roman"/>
          <w:i/>
          <w:iCs/>
          <w:sz w:val="24"/>
          <w:szCs w:val="24"/>
        </w:rPr>
        <w:t>.tabula</w:t>
      </w:r>
    </w:p>
    <w:p w14:paraId="157AF8B1" w14:textId="77777777" w:rsidR="0050396F" w:rsidRPr="00897784" w:rsidRDefault="0050396F" w:rsidP="0050396F">
      <w:pPr>
        <w:spacing w:after="0" w:line="240" w:lineRule="auto"/>
        <w:ind w:left="360"/>
        <w:jc w:val="center"/>
        <w:rPr>
          <w:rFonts w:ascii="Times New Roman" w:hAnsi="Times New Roman" w:cs="Times New Roman"/>
          <w:b/>
          <w:sz w:val="24"/>
          <w:szCs w:val="24"/>
        </w:rPr>
      </w:pPr>
      <w:r w:rsidRPr="00897784">
        <w:rPr>
          <w:rFonts w:ascii="Times New Roman" w:hAnsi="Times New Roman" w:cs="Times New Roman"/>
          <w:b/>
          <w:sz w:val="24"/>
          <w:szCs w:val="24"/>
        </w:rPr>
        <w:t>Stacionāro ārstniecības iestāžu dalījums pa pakalpojumu līmeņiem</w:t>
      </w:r>
    </w:p>
    <w:tbl>
      <w:tblPr>
        <w:tblStyle w:val="TableGrid"/>
        <w:tblW w:w="8108" w:type="dxa"/>
        <w:jc w:val="center"/>
        <w:tblLook w:val="04A0" w:firstRow="1" w:lastRow="0" w:firstColumn="1" w:lastColumn="0" w:noHBand="0" w:noVBand="1"/>
      </w:tblPr>
      <w:tblGrid>
        <w:gridCol w:w="1884"/>
        <w:gridCol w:w="6224"/>
      </w:tblGrid>
      <w:tr w:rsidR="0050396F" w14:paraId="5EC0D36E" w14:textId="77777777" w:rsidTr="00AE6690">
        <w:trPr>
          <w:trHeight w:val="643"/>
          <w:jc w:val="center"/>
        </w:trPr>
        <w:tc>
          <w:tcPr>
            <w:tcW w:w="1884" w:type="dxa"/>
            <w:shd w:val="clear" w:color="auto" w:fill="E36C0A" w:themeFill="accent6" w:themeFillShade="BF"/>
            <w:vAlign w:val="center"/>
            <w:hideMark/>
          </w:tcPr>
          <w:p w14:paraId="29A36CFA" w14:textId="77777777" w:rsidR="0050396F" w:rsidRPr="00897784" w:rsidRDefault="0050396F" w:rsidP="004F463B">
            <w:pPr>
              <w:widowControl w:val="0"/>
              <w:ind w:right="-108"/>
              <w:jc w:val="center"/>
              <w:rPr>
                <w:rFonts w:ascii="Times New Roman" w:hAnsi="Times New Roman"/>
                <w:b/>
                <w:bCs/>
                <w:color w:val="000000" w:themeColor="text1"/>
                <w:sz w:val="24"/>
                <w:szCs w:val="24"/>
                <w:lang w:eastAsia="lv-LV" w:bidi="lo-LA"/>
              </w:rPr>
            </w:pPr>
            <w:r w:rsidRPr="00133CCD">
              <w:rPr>
                <w:rFonts w:ascii="Times New Roman" w:hAnsi="Times New Roman"/>
                <w:b/>
                <w:bCs/>
                <w:color w:val="000000" w:themeColor="text1"/>
                <w:szCs w:val="24"/>
                <w:lang w:eastAsia="lv-LV" w:bidi="lo-LA"/>
              </w:rPr>
              <w:t>Pakalpojumu līmenis</w:t>
            </w:r>
          </w:p>
        </w:tc>
        <w:tc>
          <w:tcPr>
            <w:tcW w:w="6224" w:type="dxa"/>
            <w:shd w:val="clear" w:color="auto" w:fill="E36C0A" w:themeFill="accent6" w:themeFillShade="BF"/>
            <w:vAlign w:val="center"/>
            <w:hideMark/>
          </w:tcPr>
          <w:p w14:paraId="7D988204" w14:textId="77777777" w:rsidR="0050396F" w:rsidRPr="00897784" w:rsidRDefault="0050396F" w:rsidP="004F463B">
            <w:pPr>
              <w:widowControl w:val="0"/>
              <w:ind w:left="360" w:right="-108"/>
              <w:jc w:val="center"/>
              <w:rPr>
                <w:rFonts w:ascii="Times New Roman" w:hAnsi="Times New Roman"/>
                <w:b/>
                <w:bCs/>
                <w:color w:val="000000" w:themeColor="text1"/>
                <w:sz w:val="24"/>
                <w:szCs w:val="24"/>
                <w:lang w:eastAsia="lv-LV" w:bidi="lo-LA"/>
              </w:rPr>
            </w:pPr>
            <w:r w:rsidRPr="00897784">
              <w:rPr>
                <w:rFonts w:ascii="Times New Roman" w:hAnsi="Times New Roman"/>
                <w:b/>
                <w:bCs/>
                <w:color w:val="000000" w:themeColor="text1"/>
                <w:sz w:val="24"/>
                <w:szCs w:val="24"/>
                <w:lang w:eastAsia="lv-LV" w:bidi="lo-LA"/>
              </w:rPr>
              <w:t>Stacionārās ārstniecības iestādes nosaukums</w:t>
            </w:r>
          </w:p>
        </w:tc>
      </w:tr>
      <w:tr w:rsidR="0050396F" w14:paraId="1EDFAD47" w14:textId="77777777" w:rsidTr="00E52E2A">
        <w:trPr>
          <w:trHeight w:val="284"/>
          <w:jc w:val="center"/>
        </w:trPr>
        <w:tc>
          <w:tcPr>
            <w:tcW w:w="1884" w:type="dxa"/>
            <w:vMerge w:val="restart"/>
            <w:vAlign w:val="center"/>
            <w:hideMark/>
          </w:tcPr>
          <w:p w14:paraId="267C0618"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bookmarkStart w:id="5" w:name="_Hlk531102186"/>
            <w:r w:rsidRPr="00897784">
              <w:rPr>
                <w:rFonts w:ascii="Times New Roman" w:hAnsi="Times New Roman"/>
                <w:b/>
                <w:bCs/>
                <w:color w:val="000000"/>
                <w:sz w:val="24"/>
                <w:szCs w:val="24"/>
                <w:lang w:eastAsia="lv-LV" w:bidi="lo-LA"/>
              </w:rPr>
              <w:t>V</w:t>
            </w:r>
          </w:p>
        </w:tc>
        <w:tc>
          <w:tcPr>
            <w:tcW w:w="6224" w:type="dxa"/>
            <w:vAlign w:val="center"/>
            <w:hideMark/>
          </w:tcPr>
          <w:p w14:paraId="7F02861B"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“Rīgas Austrumu klīniskā universitātes slimnīca”</w:t>
            </w:r>
          </w:p>
        </w:tc>
      </w:tr>
      <w:tr w:rsidR="0050396F" w14:paraId="6BF05D14" w14:textId="77777777" w:rsidTr="00E52E2A">
        <w:trPr>
          <w:trHeight w:val="284"/>
          <w:jc w:val="center"/>
        </w:trPr>
        <w:tc>
          <w:tcPr>
            <w:tcW w:w="1884" w:type="dxa"/>
            <w:vMerge/>
            <w:vAlign w:val="center"/>
          </w:tcPr>
          <w:p w14:paraId="06072CD3"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5C4F5EB0"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VSIA “Paula Stradiņa klīniskā universitātes slimnīca”</w:t>
            </w:r>
          </w:p>
        </w:tc>
      </w:tr>
      <w:tr w:rsidR="0050396F" w14:paraId="0B020B02" w14:textId="77777777" w:rsidTr="00E52E2A">
        <w:trPr>
          <w:trHeight w:val="284"/>
          <w:jc w:val="center"/>
        </w:trPr>
        <w:tc>
          <w:tcPr>
            <w:tcW w:w="1884" w:type="dxa"/>
            <w:vMerge/>
            <w:tcBorders>
              <w:bottom w:val="single" w:sz="12" w:space="0" w:color="auto"/>
            </w:tcBorders>
            <w:vAlign w:val="center"/>
          </w:tcPr>
          <w:p w14:paraId="7F2FAB9E"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tcBorders>
              <w:bottom w:val="single" w:sz="12" w:space="0" w:color="auto"/>
            </w:tcBorders>
            <w:vAlign w:val="center"/>
            <w:hideMark/>
          </w:tcPr>
          <w:p w14:paraId="62D7C734"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VSIA “Bērnu klīniskā universitātes slimnīca”</w:t>
            </w:r>
          </w:p>
        </w:tc>
      </w:tr>
      <w:bookmarkEnd w:id="5"/>
      <w:tr w:rsidR="0050396F" w14:paraId="1C240C10" w14:textId="77777777" w:rsidTr="00E52E2A">
        <w:trPr>
          <w:trHeight w:val="284"/>
          <w:jc w:val="center"/>
        </w:trPr>
        <w:tc>
          <w:tcPr>
            <w:tcW w:w="1884" w:type="dxa"/>
            <w:vMerge w:val="restart"/>
            <w:tcBorders>
              <w:top w:val="single" w:sz="12" w:space="0" w:color="auto"/>
            </w:tcBorders>
            <w:vAlign w:val="center"/>
            <w:hideMark/>
          </w:tcPr>
          <w:p w14:paraId="686CFB87"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r>
              <w:rPr>
                <w:rFonts w:ascii="Times New Roman" w:hAnsi="Times New Roman"/>
                <w:b/>
                <w:bCs/>
                <w:color w:val="000000"/>
                <w:sz w:val="24"/>
                <w:szCs w:val="24"/>
                <w:lang w:eastAsia="lv-LV" w:bidi="lo-LA"/>
              </w:rPr>
              <w:t>I</w:t>
            </w:r>
            <w:r w:rsidRPr="00506787">
              <w:rPr>
                <w:rFonts w:ascii="Times New Roman" w:hAnsi="Times New Roman"/>
                <w:b/>
                <w:bCs/>
                <w:color w:val="000000"/>
                <w:sz w:val="24"/>
                <w:szCs w:val="24"/>
                <w:lang w:eastAsia="lv-LV" w:bidi="lo-LA"/>
              </w:rPr>
              <w:t>V</w:t>
            </w:r>
          </w:p>
        </w:tc>
        <w:tc>
          <w:tcPr>
            <w:tcW w:w="6224" w:type="dxa"/>
            <w:tcBorders>
              <w:top w:val="single" w:sz="12" w:space="0" w:color="auto"/>
            </w:tcBorders>
            <w:vAlign w:val="center"/>
            <w:hideMark/>
          </w:tcPr>
          <w:p w14:paraId="37FA65E6"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“Liepājas reģionālā slimnīca”</w:t>
            </w:r>
          </w:p>
        </w:tc>
      </w:tr>
      <w:tr w:rsidR="0050396F" w14:paraId="637399BA" w14:textId="77777777" w:rsidTr="00E52E2A">
        <w:trPr>
          <w:trHeight w:val="284"/>
          <w:jc w:val="center"/>
        </w:trPr>
        <w:tc>
          <w:tcPr>
            <w:tcW w:w="1884" w:type="dxa"/>
            <w:vMerge/>
            <w:vAlign w:val="center"/>
          </w:tcPr>
          <w:p w14:paraId="2DEF7DAE"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57B55B12"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“Daugavpils reģionālā slimnīca”</w:t>
            </w:r>
          </w:p>
        </w:tc>
      </w:tr>
      <w:tr w:rsidR="0050396F" w14:paraId="6D372808" w14:textId="77777777" w:rsidTr="00E52E2A">
        <w:trPr>
          <w:trHeight w:val="284"/>
          <w:jc w:val="center"/>
        </w:trPr>
        <w:tc>
          <w:tcPr>
            <w:tcW w:w="1884" w:type="dxa"/>
            <w:vMerge/>
            <w:vAlign w:val="center"/>
          </w:tcPr>
          <w:p w14:paraId="64DD6CC1"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1DA20F71"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 xml:space="preserve">SIA “Ziemeļkurzemes reģionālā slimnīca” </w:t>
            </w:r>
          </w:p>
        </w:tc>
      </w:tr>
      <w:tr w:rsidR="0050396F" w14:paraId="41FB6144" w14:textId="77777777" w:rsidTr="00E52E2A">
        <w:trPr>
          <w:trHeight w:val="284"/>
          <w:jc w:val="center"/>
        </w:trPr>
        <w:tc>
          <w:tcPr>
            <w:tcW w:w="1884" w:type="dxa"/>
            <w:vMerge/>
            <w:vAlign w:val="center"/>
          </w:tcPr>
          <w:p w14:paraId="7807ADC5"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59A249F0"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“Jelgavas pilsētas slimnīca”</w:t>
            </w:r>
          </w:p>
        </w:tc>
      </w:tr>
      <w:tr w:rsidR="0050396F" w14:paraId="25C76027" w14:textId="77777777" w:rsidTr="00E52E2A">
        <w:trPr>
          <w:trHeight w:val="284"/>
          <w:jc w:val="center"/>
        </w:trPr>
        <w:tc>
          <w:tcPr>
            <w:tcW w:w="1884" w:type="dxa"/>
            <w:vMerge/>
            <w:vAlign w:val="center"/>
          </w:tcPr>
          <w:p w14:paraId="63CF48D0"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22294EF9"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“Vidzemes slimnīca”</w:t>
            </w:r>
          </w:p>
        </w:tc>
      </w:tr>
      <w:tr w:rsidR="0050396F" w14:paraId="370FB619" w14:textId="77777777" w:rsidTr="00E52E2A">
        <w:trPr>
          <w:trHeight w:val="284"/>
          <w:jc w:val="center"/>
        </w:trPr>
        <w:tc>
          <w:tcPr>
            <w:tcW w:w="1884" w:type="dxa"/>
            <w:vMerge/>
            <w:vAlign w:val="center"/>
          </w:tcPr>
          <w:p w14:paraId="6CC08CC2"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31E4F174"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“Jēkabpils reģionālā slimnīca”</w:t>
            </w:r>
          </w:p>
        </w:tc>
      </w:tr>
      <w:tr w:rsidR="0050396F" w14:paraId="6A424D7A" w14:textId="77777777" w:rsidTr="00E52E2A">
        <w:trPr>
          <w:trHeight w:val="284"/>
          <w:jc w:val="center"/>
        </w:trPr>
        <w:tc>
          <w:tcPr>
            <w:tcW w:w="1884" w:type="dxa"/>
            <w:vMerge/>
            <w:tcBorders>
              <w:bottom w:val="single" w:sz="12" w:space="0" w:color="auto"/>
            </w:tcBorders>
            <w:vAlign w:val="center"/>
          </w:tcPr>
          <w:p w14:paraId="70C9B771"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tcBorders>
              <w:bottom w:val="single" w:sz="12" w:space="0" w:color="auto"/>
            </w:tcBorders>
            <w:vAlign w:val="center"/>
            <w:hideMark/>
          </w:tcPr>
          <w:p w14:paraId="058F6C81"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“Rēzeknes slimnīca”</w:t>
            </w:r>
          </w:p>
        </w:tc>
      </w:tr>
      <w:tr w:rsidR="0050396F" w14:paraId="28EFC20A" w14:textId="77777777" w:rsidTr="00E52E2A">
        <w:trPr>
          <w:trHeight w:val="284"/>
          <w:jc w:val="center"/>
        </w:trPr>
        <w:tc>
          <w:tcPr>
            <w:tcW w:w="1884" w:type="dxa"/>
            <w:vMerge w:val="restart"/>
            <w:tcBorders>
              <w:top w:val="single" w:sz="12" w:space="0" w:color="auto"/>
            </w:tcBorders>
            <w:vAlign w:val="center"/>
          </w:tcPr>
          <w:p w14:paraId="0CA33F81"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r w:rsidRPr="00897784">
              <w:rPr>
                <w:rFonts w:ascii="Times New Roman" w:hAnsi="Times New Roman"/>
                <w:b/>
                <w:bCs/>
                <w:color w:val="000000"/>
                <w:sz w:val="24"/>
                <w:szCs w:val="24"/>
                <w:lang w:eastAsia="lv-LV" w:bidi="lo-LA"/>
              </w:rPr>
              <w:t>III</w:t>
            </w:r>
          </w:p>
        </w:tc>
        <w:tc>
          <w:tcPr>
            <w:tcW w:w="6224" w:type="dxa"/>
            <w:tcBorders>
              <w:top w:val="single" w:sz="12" w:space="0" w:color="auto"/>
            </w:tcBorders>
            <w:vAlign w:val="center"/>
          </w:tcPr>
          <w:p w14:paraId="6DC7E6D7" w14:textId="77777777" w:rsidR="0050396F" w:rsidRPr="00897784" w:rsidRDefault="0050396F" w:rsidP="004F463B">
            <w:pPr>
              <w:ind w:left="360" w:right="-130"/>
              <w:rPr>
                <w:rFonts w:ascii="Times New Roman" w:hAnsi="Times New Roman"/>
                <w:sz w:val="24"/>
                <w:szCs w:val="24"/>
                <w:lang w:eastAsia="lv-LV" w:bidi="lo-LA"/>
              </w:rPr>
            </w:pPr>
            <w:r w:rsidRPr="00897784">
              <w:rPr>
                <w:rFonts w:ascii="Times New Roman" w:eastAsia="Times New Roman" w:hAnsi="Times New Roman"/>
                <w:color w:val="000000"/>
                <w:sz w:val="24"/>
                <w:szCs w:val="24"/>
                <w:lang w:eastAsia="lv-LV" w:bidi="lo-LA"/>
              </w:rPr>
              <w:t>SIA “Cēsu klīnika”</w:t>
            </w:r>
          </w:p>
        </w:tc>
      </w:tr>
      <w:tr w:rsidR="0050396F" w14:paraId="3D75CB5E" w14:textId="77777777" w:rsidTr="00E52E2A">
        <w:trPr>
          <w:trHeight w:val="284"/>
          <w:jc w:val="center"/>
        </w:trPr>
        <w:tc>
          <w:tcPr>
            <w:tcW w:w="1884" w:type="dxa"/>
            <w:vMerge/>
            <w:vAlign w:val="center"/>
          </w:tcPr>
          <w:p w14:paraId="10F3BDE5"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71C8BFDF" w14:textId="77777777" w:rsidR="0050396F" w:rsidRPr="00897784" w:rsidRDefault="0050396F" w:rsidP="004F463B">
            <w:pPr>
              <w:ind w:left="360" w:right="-130"/>
              <w:rPr>
                <w:rFonts w:ascii="Times New Roman" w:eastAsia="Times New Roman" w:hAnsi="Times New Roman"/>
                <w:color w:val="000000"/>
                <w:sz w:val="24"/>
                <w:szCs w:val="24"/>
                <w:lang w:eastAsia="lv-LV" w:bidi="lo-LA"/>
              </w:rPr>
            </w:pPr>
            <w:r w:rsidRPr="00897784">
              <w:rPr>
                <w:rFonts w:ascii="Times New Roman" w:hAnsi="Times New Roman"/>
                <w:sz w:val="24"/>
                <w:szCs w:val="24"/>
                <w:lang w:eastAsia="lv-LV" w:bidi="lo-LA"/>
              </w:rPr>
              <w:t xml:space="preserve">Madonas novada pašvaldības SIA “Madonas slimnīca”                              </w:t>
            </w:r>
          </w:p>
        </w:tc>
      </w:tr>
      <w:tr w:rsidR="0050396F" w14:paraId="0EDCBCDD" w14:textId="77777777" w:rsidTr="00E52E2A">
        <w:trPr>
          <w:trHeight w:val="284"/>
          <w:jc w:val="center"/>
        </w:trPr>
        <w:tc>
          <w:tcPr>
            <w:tcW w:w="1884" w:type="dxa"/>
            <w:vMerge/>
            <w:vAlign w:val="center"/>
          </w:tcPr>
          <w:p w14:paraId="6B07AAA4"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202A3916"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 xml:space="preserve">SIA “Balvu un Gulbenes slimnīcu apvienība” </w:t>
            </w:r>
          </w:p>
        </w:tc>
      </w:tr>
      <w:tr w:rsidR="0050396F" w14:paraId="5DC598A7" w14:textId="77777777" w:rsidTr="00E52E2A">
        <w:trPr>
          <w:trHeight w:val="284"/>
          <w:jc w:val="center"/>
        </w:trPr>
        <w:tc>
          <w:tcPr>
            <w:tcW w:w="1884" w:type="dxa"/>
            <w:vMerge/>
            <w:vAlign w:val="center"/>
          </w:tcPr>
          <w:p w14:paraId="454622C8"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2EB12AD9"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 xml:space="preserve">SIA “Dobeles un apkārtnes slimnīca”            </w:t>
            </w:r>
          </w:p>
        </w:tc>
      </w:tr>
      <w:tr w:rsidR="0050396F" w14:paraId="2D6E3944" w14:textId="77777777" w:rsidTr="00E52E2A">
        <w:trPr>
          <w:trHeight w:val="284"/>
          <w:jc w:val="center"/>
        </w:trPr>
        <w:tc>
          <w:tcPr>
            <w:tcW w:w="1884" w:type="dxa"/>
            <w:vMerge/>
            <w:vAlign w:val="center"/>
          </w:tcPr>
          <w:p w14:paraId="007E2600"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02846DA0"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“Jūrmalas slimnīca”</w:t>
            </w:r>
          </w:p>
        </w:tc>
      </w:tr>
      <w:tr w:rsidR="0050396F" w14:paraId="1A212E7A" w14:textId="77777777" w:rsidTr="00E52E2A">
        <w:trPr>
          <w:trHeight w:val="284"/>
          <w:jc w:val="center"/>
        </w:trPr>
        <w:tc>
          <w:tcPr>
            <w:tcW w:w="1884" w:type="dxa"/>
            <w:vMerge/>
            <w:vAlign w:val="center"/>
          </w:tcPr>
          <w:p w14:paraId="7897B622"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6F333265" w14:textId="77777777" w:rsidR="0050396F" w:rsidRPr="00897784"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“Ogres rajona slimnīca”</w:t>
            </w:r>
          </w:p>
        </w:tc>
      </w:tr>
      <w:tr w:rsidR="0050396F" w14:paraId="2CE4DBA4" w14:textId="77777777" w:rsidTr="00E52E2A">
        <w:trPr>
          <w:trHeight w:val="284"/>
          <w:jc w:val="center"/>
        </w:trPr>
        <w:tc>
          <w:tcPr>
            <w:tcW w:w="1884" w:type="dxa"/>
            <w:vMerge/>
            <w:tcBorders>
              <w:bottom w:val="single" w:sz="12" w:space="0" w:color="auto"/>
            </w:tcBorders>
            <w:vAlign w:val="center"/>
          </w:tcPr>
          <w:p w14:paraId="0600B373"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tcBorders>
              <w:bottom w:val="single" w:sz="12" w:space="0" w:color="auto"/>
            </w:tcBorders>
            <w:vAlign w:val="center"/>
          </w:tcPr>
          <w:p w14:paraId="63F0EDEF" w14:textId="77777777" w:rsidR="0050396F" w:rsidRPr="00897784"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“Kuldīgas slimnīca”</w:t>
            </w:r>
          </w:p>
        </w:tc>
      </w:tr>
      <w:tr w:rsidR="0050396F" w14:paraId="4C041ECE" w14:textId="77777777" w:rsidTr="00E52E2A">
        <w:trPr>
          <w:trHeight w:val="284"/>
          <w:jc w:val="center"/>
        </w:trPr>
        <w:tc>
          <w:tcPr>
            <w:tcW w:w="1884" w:type="dxa"/>
            <w:vMerge w:val="restart"/>
            <w:tcBorders>
              <w:top w:val="single" w:sz="12" w:space="0" w:color="auto"/>
            </w:tcBorders>
            <w:vAlign w:val="center"/>
          </w:tcPr>
          <w:p w14:paraId="62CAF90B"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r>
              <w:rPr>
                <w:rFonts w:ascii="Times New Roman" w:hAnsi="Times New Roman"/>
                <w:b/>
                <w:bCs/>
                <w:color w:val="000000"/>
                <w:sz w:val="24"/>
                <w:szCs w:val="24"/>
                <w:lang w:eastAsia="lv-LV" w:bidi="lo-LA"/>
              </w:rPr>
              <w:t>I</w:t>
            </w:r>
            <w:r w:rsidRPr="00897784">
              <w:rPr>
                <w:rFonts w:ascii="Times New Roman" w:hAnsi="Times New Roman"/>
                <w:b/>
                <w:bCs/>
                <w:color w:val="000000"/>
                <w:sz w:val="24"/>
                <w:szCs w:val="24"/>
                <w:lang w:eastAsia="lv-LV" w:bidi="lo-LA"/>
              </w:rPr>
              <w:t>I</w:t>
            </w:r>
          </w:p>
        </w:tc>
        <w:tc>
          <w:tcPr>
            <w:tcW w:w="6224" w:type="dxa"/>
            <w:tcBorders>
              <w:top w:val="single" w:sz="12" w:space="0" w:color="auto"/>
            </w:tcBorders>
            <w:vAlign w:val="center"/>
          </w:tcPr>
          <w:p w14:paraId="1FC10C5D" w14:textId="77777777" w:rsidR="0050396F" w:rsidRPr="00897784"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hAnsi="Times New Roman"/>
                <w:sz w:val="24"/>
                <w:szCs w:val="24"/>
                <w:lang w:eastAsia="lv-LV" w:bidi="lo-LA"/>
              </w:rPr>
              <w:t>SIA “Alūksnes slimnīca”</w:t>
            </w:r>
          </w:p>
        </w:tc>
      </w:tr>
      <w:tr w:rsidR="0050396F" w14:paraId="66667545" w14:textId="77777777" w:rsidTr="00E52E2A">
        <w:trPr>
          <w:trHeight w:val="284"/>
          <w:jc w:val="center"/>
        </w:trPr>
        <w:tc>
          <w:tcPr>
            <w:tcW w:w="1884" w:type="dxa"/>
            <w:vMerge/>
            <w:vAlign w:val="center"/>
          </w:tcPr>
          <w:p w14:paraId="551EA891" w14:textId="77777777" w:rsidR="0050396F" w:rsidRPr="00897784" w:rsidRDefault="0050396F" w:rsidP="004F463B">
            <w:pPr>
              <w:ind w:left="360"/>
              <w:jc w:val="center"/>
              <w:rPr>
                <w:rFonts w:ascii="Times New Roman" w:hAnsi="Times New Roman"/>
                <w:b/>
                <w:bCs/>
                <w:color w:val="000000"/>
                <w:sz w:val="24"/>
                <w:szCs w:val="24"/>
                <w:lang w:eastAsia="lv-LV" w:bidi="lo-LA"/>
              </w:rPr>
            </w:pPr>
          </w:p>
        </w:tc>
        <w:tc>
          <w:tcPr>
            <w:tcW w:w="6224" w:type="dxa"/>
            <w:vAlign w:val="center"/>
          </w:tcPr>
          <w:p w14:paraId="14359374"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hAnsi="Times New Roman"/>
                <w:sz w:val="24"/>
                <w:szCs w:val="24"/>
                <w:lang w:eastAsia="lv-LV" w:bidi="lo-LA"/>
              </w:rPr>
              <w:t>SIA “Preiļu slimnīca”</w:t>
            </w:r>
          </w:p>
        </w:tc>
      </w:tr>
      <w:tr w:rsidR="0050396F" w14:paraId="428C66D1" w14:textId="77777777" w:rsidTr="00E52E2A">
        <w:trPr>
          <w:trHeight w:val="284"/>
          <w:jc w:val="center"/>
        </w:trPr>
        <w:tc>
          <w:tcPr>
            <w:tcW w:w="1884" w:type="dxa"/>
            <w:vMerge/>
            <w:vAlign w:val="center"/>
          </w:tcPr>
          <w:p w14:paraId="03ADD7C0" w14:textId="77777777" w:rsidR="0050396F" w:rsidRPr="00897784" w:rsidRDefault="0050396F" w:rsidP="004F463B">
            <w:pPr>
              <w:ind w:left="360"/>
              <w:jc w:val="center"/>
              <w:rPr>
                <w:rFonts w:ascii="Times New Roman" w:hAnsi="Times New Roman"/>
                <w:b/>
                <w:bCs/>
                <w:color w:val="000000"/>
                <w:sz w:val="24"/>
                <w:szCs w:val="24"/>
                <w:lang w:eastAsia="lv-LV" w:bidi="lo-LA"/>
              </w:rPr>
            </w:pPr>
          </w:p>
        </w:tc>
        <w:tc>
          <w:tcPr>
            <w:tcW w:w="6224" w:type="dxa"/>
            <w:vAlign w:val="center"/>
          </w:tcPr>
          <w:p w14:paraId="3F3A81A5" w14:textId="77777777" w:rsidR="0050396F" w:rsidRPr="00897784" w:rsidRDefault="0050396F" w:rsidP="004F463B">
            <w:pPr>
              <w:ind w:left="360"/>
              <w:rPr>
                <w:rFonts w:ascii="Times New Roman" w:hAnsi="Times New Roman"/>
                <w:sz w:val="24"/>
                <w:szCs w:val="24"/>
                <w:lang w:eastAsia="lv-LV" w:bidi="lo-LA"/>
              </w:rPr>
            </w:pPr>
            <w:r w:rsidRPr="00897784">
              <w:rPr>
                <w:rFonts w:ascii="Times New Roman" w:eastAsia="Times New Roman" w:hAnsi="Times New Roman"/>
                <w:color w:val="000000"/>
                <w:sz w:val="24"/>
                <w:szCs w:val="24"/>
                <w:lang w:eastAsia="lv-LV" w:bidi="lo-LA"/>
              </w:rPr>
              <w:t>SIA "Siguldas slimnīca"</w:t>
            </w:r>
            <w:r>
              <w:rPr>
                <w:rFonts w:ascii="Times New Roman" w:eastAsia="Times New Roman" w:hAnsi="Times New Roman"/>
                <w:color w:val="000000"/>
                <w:sz w:val="24"/>
                <w:szCs w:val="24"/>
                <w:lang w:eastAsia="lv-LV" w:bidi="lo-LA"/>
              </w:rPr>
              <w:t xml:space="preserve"> </w:t>
            </w:r>
          </w:p>
        </w:tc>
      </w:tr>
      <w:tr w:rsidR="0050396F" w14:paraId="793A0489" w14:textId="77777777" w:rsidTr="00E52E2A">
        <w:trPr>
          <w:trHeight w:val="284"/>
          <w:jc w:val="center"/>
        </w:trPr>
        <w:tc>
          <w:tcPr>
            <w:tcW w:w="1884" w:type="dxa"/>
            <w:vMerge/>
            <w:vAlign w:val="center"/>
          </w:tcPr>
          <w:p w14:paraId="1F512B88" w14:textId="77777777" w:rsidR="0050396F" w:rsidRPr="00897784" w:rsidRDefault="0050396F" w:rsidP="004F463B">
            <w:pPr>
              <w:ind w:left="360"/>
              <w:jc w:val="center"/>
              <w:rPr>
                <w:rFonts w:ascii="Times New Roman" w:hAnsi="Times New Roman"/>
                <w:b/>
                <w:bCs/>
                <w:color w:val="000000"/>
                <w:sz w:val="24"/>
                <w:szCs w:val="24"/>
                <w:lang w:eastAsia="lv-LV" w:bidi="lo-LA"/>
              </w:rPr>
            </w:pPr>
          </w:p>
        </w:tc>
        <w:tc>
          <w:tcPr>
            <w:tcW w:w="6224" w:type="dxa"/>
            <w:vAlign w:val="center"/>
          </w:tcPr>
          <w:p w14:paraId="07FFBE73"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w:t>
            </w:r>
            <w:r>
              <w:rPr>
                <w:rFonts w:ascii="Times New Roman" w:eastAsia="Times New Roman" w:hAnsi="Times New Roman"/>
                <w:color w:val="000000"/>
                <w:sz w:val="24"/>
                <w:szCs w:val="24"/>
                <w:lang w:eastAsia="lv-LV" w:bidi="lo-LA"/>
              </w:rPr>
              <w:t xml:space="preserve"> </w:t>
            </w:r>
            <w:r w:rsidRPr="00897784">
              <w:rPr>
                <w:rFonts w:ascii="Times New Roman" w:eastAsia="Times New Roman" w:hAnsi="Times New Roman"/>
                <w:color w:val="000000"/>
                <w:sz w:val="24"/>
                <w:szCs w:val="24"/>
                <w:lang w:eastAsia="lv-LV" w:bidi="lo-LA"/>
              </w:rPr>
              <w:t>“Tukuma slimnīca”</w:t>
            </w:r>
          </w:p>
        </w:tc>
      </w:tr>
      <w:tr w:rsidR="0050396F" w14:paraId="4D5276FA" w14:textId="77777777" w:rsidTr="00E52E2A">
        <w:trPr>
          <w:trHeight w:val="284"/>
          <w:jc w:val="center"/>
        </w:trPr>
        <w:tc>
          <w:tcPr>
            <w:tcW w:w="1884" w:type="dxa"/>
            <w:vMerge/>
            <w:vAlign w:val="center"/>
          </w:tcPr>
          <w:p w14:paraId="41CCF5E7" w14:textId="77777777" w:rsidR="0050396F" w:rsidRPr="00897784" w:rsidRDefault="0050396F" w:rsidP="004F463B">
            <w:pPr>
              <w:ind w:left="360"/>
              <w:jc w:val="center"/>
              <w:rPr>
                <w:rFonts w:ascii="Times New Roman" w:hAnsi="Times New Roman"/>
                <w:b/>
                <w:bCs/>
                <w:color w:val="000000"/>
                <w:sz w:val="24"/>
                <w:szCs w:val="24"/>
                <w:lang w:eastAsia="lv-LV" w:bidi="lo-LA"/>
              </w:rPr>
            </w:pPr>
          </w:p>
        </w:tc>
        <w:tc>
          <w:tcPr>
            <w:tcW w:w="6224" w:type="dxa"/>
            <w:tcBorders>
              <w:bottom w:val="single" w:sz="12" w:space="0" w:color="auto"/>
            </w:tcBorders>
            <w:vAlign w:val="center"/>
          </w:tcPr>
          <w:p w14:paraId="6F027BC0" w14:textId="77777777" w:rsidR="0050396F" w:rsidRPr="00133CCD"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“Krāslavas slimnīca”</w:t>
            </w:r>
          </w:p>
        </w:tc>
      </w:tr>
      <w:tr w:rsidR="0050396F" w:rsidRPr="00506787" w14:paraId="4EDD6DC5" w14:textId="77777777" w:rsidTr="00E52E2A">
        <w:trPr>
          <w:trHeight w:val="284"/>
          <w:jc w:val="center"/>
        </w:trPr>
        <w:tc>
          <w:tcPr>
            <w:tcW w:w="1884" w:type="dxa"/>
            <w:vMerge w:val="restart"/>
            <w:tcBorders>
              <w:top w:val="single" w:sz="12" w:space="0" w:color="auto"/>
            </w:tcBorders>
            <w:vAlign w:val="center"/>
          </w:tcPr>
          <w:p w14:paraId="6FAB22F8" w14:textId="77777777" w:rsidR="0050396F" w:rsidRPr="00506787" w:rsidRDefault="0050396F" w:rsidP="004F463B">
            <w:pPr>
              <w:widowControl w:val="0"/>
              <w:ind w:left="360"/>
              <w:jc w:val="center"/>
              <w:rPr>
                <w:rFonts w:ascii="Times New Roman" w:hAnsi="Times New Roman"/>
                <w:b/>
                <w:bCs/>
                <w:sz w:val="24"/>
                <w:szCs w:val="24"/>
                <w:lang w:eastAsia="lv-LV" w:bidi="lo-LA"/>
              </w:rPr>
            </w:pPr>
            <w:r>
              <w:rPr>
                <w:rFonts w:ascii="Times New Roman" w:hAnsi="Times New Roman"/>
                <w:b/>
                <w:bCs/>
                <w:sz w:val="24"/>
                <w:szCs w:val="24"/>
                <w:lang w:eastAsia="lv-LV" w:bidi="lo-LA"/>
              </w:rPr>
              <w:t>I</w:t>
            </w:r>
          </w:p>
        </w:tc>
        <w:tc>
          <w:tcPr>
            <w:tcW w:w="6224" w:type="dxa"/>
            <w:tcBorders>
              <w:top w:val="single" w:sz="12" w:space="0" w:color="auto"/>
            </w:tcBorders>
            <w:vAlign w:val="center"/>
          </w:tcPr>
          <w:p w14:paraId="13696F3F" w14:textId="77777777" w:rsidR="0050396F" w:rsidRPr="00506787" w:rsidRDefault="0050396F" w:rsidP="004F463B">
            <w:pPr>
              <w:ind w:left="360"/>
              <w:rPr>
                <w:rFonts w:ascii="Times New Roman" w:hAnsi="Times New Roman"/>
                <w:sz w:val="24"/>
                <w:szCs w:val="24"/>
                <w:lang w:eastAsia="lv-LV" w:bidi="lo-LA"/>
              </w:rPr>
            </w:pPr>
            <w:r w:rsidRPr="00897784">
              <w:rPr>
                <w:rFonts w:ascii="Times New Roman" w:hAnsi="Times New Roman"/>
                <w:sz w:val="24"/>
                <w:szCs w:val="24"/>
                <w:lang w:eastAsia="lv-LV" w:bidi="lo-LA"/>
              </w:rPr>
              <w:t>Līvānu novada domes pašvaldības SIA "Līvānu slimnīca"</w:t>
            </w:r>
          </w:p>
        </w:tc>
      </w:tr>
      <w:tr w:rsidR="0050396F" w:rsidRPr="00506787" w14:paraId="7D401E76" w14:textId="77777777" w:rsidTr="00E52E2A">
        <w:trPr>
          <w:trHeight w:val="284"/>
          <w:jc w:val="center"/>
        </w:trPr>
        <w:tc>
          <w:tcPr>
            <w:tcW w:w="1884" w:type="dxa"/>
            <w:vMerge/>
            <w:vAlign w:val="center"/>
            <w:hideMark/>
          </w:tcPr>
          <w:p w14:paraId="1FC90D03"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7F04FBE3" w14:textId="77777777" w:rsidR="0050396F" w:rsidRPr="00506787" w:rsidRDefault="0050396F" w:rsidP="004F463B">
            <w:pPr>
              <w:ind w:left="360"/>
              <w:rPr>
                <w:rFonts w:ascii="Times New Roman" w:eastAsia="Times New Roman" w:hAnsi="Times New Roman"/>
                <w:sz w:val="24"/>
                <w:szCs w:val="24"/>
                <w:lang w:eastAsia="lv-LV" w:bidi="lo-LA"/>
              </w:rPr>
            </w:pPr>
            <w:r w:rsidRPr="00897784">
              <w:rPr>
                <w:rFonts w:ascii="Times New Roman" w:hAnsi="Times New Roman"/>
                <w:sz w:val="24"/>
                <w:szCs w:val="24"/>
                <w:lang w:eastAsia="lv-LV" w:bidi="lo-LA"/>
              </w:rPr>
              <w:t>SIA "Aizkraukles slimnīca"</w:t>
            </w:r>
          </w:p>
        </w:tc>
      </w:tr>
      <w:tr w:rsidR="0050396F" w:rsidRPr="00506787" w14:paraId="65630C6D" w14:textId="77777777" w:rsidTr="00E52E2A">
        <w:trPr>
          <w:trHeight w:val="284"/>
          <w:jc w:val="center"/>
        </w:trPr>
        <w:tc>
          <w:tcPr>
            <w:tcW w:w="1884" w:type="dxa"/>
            <w:vMerge/>
            <w:vAlign w:val="center"/>
          </w:tcPr>
          <w:p w14:paraId="1FDD7D65"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0F204E28" w14:textId="77777777" w:rsidR="0050396F" w:rsidRPr="00133CCD"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"Bauskas slimnīca"</w:t>
            </w:r>
          </w:p>
        </w:tc>
      </w:tr>
      <w:tr w:rsidR="0050396F" w:rsidRPr="00506787" w14:paraId="239A6F9B" w14:textId="77777777" w:rsidTr="00E52E2A">
        <w:trPr>
          <w:trHeight w:val="284"/>
          <w:jc w:val="center"/>
        </w:trPr>
        <w:tc>
          <w:tcPr>
            <w:tcW w:w="1884" w:type="dxa"/>
            <w:vMerge/>
            <w:vAlign w:val="center"/>
          </w:tcPr>
          <w:p w14:paraId="23E09EC5"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7B37B7FD" w14:textId="77777777" w:rsidR="0050396F" w:rsidRPr="00133CCD" w:rsidRDefault="0050396F" w:rsidP="004F463B">
            <w:pPr>
              <w:ind w:left="360" w:right="-129"/>
              <w:rPr>
                <w:rFonts w:ascii="Times New Roman" w:hAnsi="Times New Roman"/>
                <w:sz w:val="24"/>
                <w:szCs w:val="24"/>
                <w:lang w:eastAsia="lv-LV" w:bidi="lo-LA"/>
              </w:rPr>
            </w:pPr>
            <w:r w:rsidRPr="00897784">
              <w:rPr>
                <w:rFonts w:ascii="Times New Roman" w:hAnsi="Times New Roman"/>
                <w:sz w:val="24"/>
                <w:szCs w:val="24"/>
                <w:lang w:eastAsia="lv-LV" w:bidi="lo-LA"/>
              </w:rPr>
              <w:t>SIA "Limbažu slimnīca</w:t>
            </w:r>
            <w:r>
              <w:rPr>
                <w:rFonts w:ascii="Times New Roman" w:hAnsi="Times New Roman"/>
                <w:sz w:val="24"/>
                <w:szCs w:val="24"/>
                <w:lang w:eastAsia="lv-LV" w:bidi="lo-LA"/>
              </w:rPr>
              <w:t>”</w:t>
            </w:r>
          </w:p>
        </w:tc>
      </w:tr>
      <w:tr w:rsidR="0050396F" w:rsidRPr="00506787" w14:paraId="16192399" w14:textId="77777777" w:rsidTr="00E52E2A">
        <w:trPr>
          <w:trHeight w:val="284"/>
          <w:jc w:val="center"/>
        </w:trPr>
        <w:tc>
          <w:tcPr>
            <w:tcW w:w="1884" w:type="dxa"/>
            <w:vMerge/>
            <w:vAlign w:val="center"/>
          </w:tcPr>
          <w:p w14:paraId="76B8492C"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16DC2236" w14:textId="77777777" w:rsidR="0050396F" w:rsidRPr="00133CCD" w:rsidRDefault="0050396F" w:rsidP="004F463B">
            <w:pPr>
              <w:ind w:left="360" w:right="-129"/>
              <w:rPr>
                <w:rFonts w:ascii="Times New Roman" w:hAnsi="Times New Roman"/>
                <w:sz w:val="24"/>
                <w:szCs w:val="24"/>
                <w:lang w:eastAsia="lv-LV" w:bidi="lo-LA"/>
              </w:rPr>
            </w:pPr>
            <w:r w:rsidRPr="00897784">
              <w:rPr>
                <w:rFonts w:ascii="Times New Roman" w:hAnsi="Times New Roman"/>
                <w:sz w:val="24"/>
                <w:szCs w:val="24"/>
                <w:lang w:eastAsia="lv-LV" w:bidi="lo-LA"/>
              </w:rPr>
              <w:t>SIA "Ludzas medicīnas centrs"</w:t>
            </w:r>
          </w:p>
        </w:tc>
      </w:tr>
      <w:tr w:rsidR="0050396F" w:rsidRPr="00506787" w14:paraId="5A777103" w14:textId="77777777" w:rsidTr="00E52E2A">
        <w:trPr>
          <w:trHeight w:val="284"/>
          <w:jc w:val="center"/>
        </w:trPr>
        <w:tc>
          <w:tcPr>
            <w:tcW w:w="1884" w:type="dxa"/>
            <w:vMerge/>
            <w:vAlign w:val="center"/>
          </w:tcPr>
          <w:p w14:paraId="5D775DFA"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475D1EE7" w14:textId="77777777" w:rsidR="0050396F" w:rsidRPr="00133CCD"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"Saldus medicīnas centrs"</w:t>
            </w:r>
          </w:p>
        </w:tc>
      </w:tr>
      <w:tr w:rsidR="0050396F" w:rsidRPr="00506787" w14:paraId="0A442481" w14:textId="77777777" w:rsidTr="00E52E2A">
        <w:trPr>
          <w:trHeight w:val="284"/>
          <w:jc w:val="center"/>
        </w:trPr>
        <w:tc>
          <w:tcPr>
            <w:tcW w:w="1884" w:type="dxa"/>
            <w:vMerge w:val="restart"/>
            <w:tcBorders>
              <w:top w:val="single" w:sz="12" w:space="0" w:color="auto"/>
            </w:tcBorders>
            <w:vAlign w:val="center"/>
          </w:tcPr>
          <w:p w14:paraId="33376BEA" w14:textId="77777777" w:rsidR="0050396F" w:rsidRPr="00506787" w:rsidRDefault="0050396F" w:rsidP="004F463B">
            <w:pPr>
              <w:widowControl w:val="0"/>
              <w:ind w:left="360"/>
              <w:jc w:val="center"/>
              <w:rPr>
                <w:rFonts w:ascii="Times New Roman" w:hAnsi="Times New Roman"/>
                <w:b/>
                <w:bCs/>
                <w:sz w:val="24"/>
                <w:szCs w:val="24"/>
                <w:lang w:eastAsia="lv-LV" w:bidi="lo-LA"/>
              </w:rPr>
            </w:pPr>
            <w:r>
              <w:rPr>
                <w:rFonts w:ascii="Times New Roman" w:hAnsi="Times New Roman"/>
                <w:b/>
                <w:bCs/>
                <w:sz w:val="24"/>
                <w:szCs w:val="24"/>
                <w:lang w:eastAsia="lv-LV" w:bidi="lo-LA"/>
              </w:rPr>
              <w:t xml:space="preserve">V </w:t>
            </w:r>
            <w:r w:rsidRPr="00133CCD">
              <w:rPr>
                <w:rFonts w:ascii="Times New Roman" w:hAnsi="Times New Roman"/>
                <w:b/>
                <w:bCs/>
                <w:szCs w:val="24"/>
                <w:lang w:eastAsia="lv-LV" w:bidi="lo-LA"/>
              </w:rPr>
              <w:t>(specializētās)</w:t>
            </w:r>
          </w:p>
        </w:tc>
        <w:tc>
          <w:tcPr>
            <w:tcW w:w="6224" w:type="dxa"/>
            <w:tcBorders>
              <w:top w:val="single" w:sz="12" w:space="0" w:color="auto"/>
            </w:tcBorders>
            <w:vAlign w:val="center"/>
          </w:tcPr>
          <w:p w14:paraId="7033B218" w14:textId="77777777" w:rsidR="0050396F" w:rsidRPr="00506787" w:rsidRDefault="0050396F" w:rsidP="004F463B">
            <w:pPr>
              <w:ind w:left="360"/>
              <w:rPr>
                <w:rFonts w:ascii="Times New Roman" w:eastAsia="Times New Roman" w:hAnsi="Times New Roman"/>
                <w:sz w:val="24"/>
                <w:szCs w:val="24"/>
                <w:lang w:eastAsia="lv-LV" w:bidi="lo-LA"/>
              </w:rPr>
            </w:pPr>
            <w:r w:rsidRPr="00506787">
              <w:rPr>
                <w:rFonts w:ascii="Times New Roman" w:eastAsia="Times New Roman" w:hAnsi="Times New Roman"/>
                <w:sz w:val="24"/>
                <w:szCs w:val="24"/>
                <w:lang w:eastAsia="lv-LV" w:bidi="lo-LA"/>
              </w:rPr>
              <w:t>VSIA “Traumatoloģijas un ortopēdijas slimnīca”</w:t>
            </w:r>
          </w:p>
        </w:tc>
      </w:tr>
      <w:tr w:rsidR="0050396F" w:rsidRPr="00506787" w14:paraId="498E21C7" w14:textId="77777777" w:rsidTr="00E52E2A">
        <w:trPr>
          <w:trHeight w:val="284"/>
          <w:jc w:val="center"/>
        </w:trPr>
        <w:tc>
          <w:tcPr>
            <w:tcW w:w="1884" w:type="dxa"/>
            <w:vMerge/>
            <w:vAlign w:val="center"/>
          </w:tcPr>
          <w:p w14:paraId="73391DFC" w14:textId="77777777" w:rsidR="0050396F"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7140446E" w14:textId="77777777" w:rsidR="0050396F" w:rsidRPr="00506787" w:rsidRDefault="0050396F" w:rsidP="004F463B">
            <w:pPr>
              <w:ind w:left="360"/>
              <w:rPr>
                <w:rFonts w:ascii="Times New Roman" w:eastAsia="Times New Roman" w:hAnsi="Times New Roman"/>
                <w:sz w:val="24"/>
                <w:szCs w:val="24"/>
                <w:lang w:eastAsia="lv-LV" w:bidi="lo-LA"/>
              </w:rPr>
            </w:pPr>
            <w:r w:rsidRPr="00506787">
              <w:rPr>
                <w:rFonts w:ascii="Times New Roman" w:eastAsia="Times New Roman" w:hAnsi="Times New Roman"/>
                <w:sz w:val="24"/>
                <w:szCs w:val="24"/>
                <w:lang w:eastAsia="lv-LV" w:bidi="lo-LA"/>
              </w:rPr>
              <w:t>SIA “Rīgas Dzemdību nams”</w:t>
            </w:r>
          </w:p>
        </w:tc>
      </w:tr>
      <w:tr w:rsidR="0050396F" w:rsidRPr="00506787" w14:paraId="7B3D3F87" w14:textId="77777777" w:rsidTr="00E52E2A">
        <w:trPr>
          <w:trHeight w:val="284"/>
          <w:jc w:val="center"/>
        </w:trPr>
        <w:tc>
          <w:tcPr>
            <w:tcW w:w="1884" w:type="dxa"/>
            <w:vMerge/>
            <w:vAlign w:val="center"/>
          </w:tcPr>
          <w:p w14:paraId="6CB2A5D5" w14:textId="77777777" w:rsidR="0050396F"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1C90D4B7" w14:textId="77777777" w:rsidR="0050396F" w:rsidRPr="00506787" w:rsidRDefault="0050396F" w:rsidP="004F463B">
            <w:pPr>
              <w:ind w:left="360"/>
              <w:rPr>
                <w:rFonts w:ascii="Times New Roman" w:eastAsia="Times New Roman" w:hAnsi="Times New Roman"/>
                <w:sz w:val="24"/>
                <w:szCs w:val="24"/>
                <w:lang w:eastAsia="lv-LV" w:bidi="lo-LA"/>
              </w:rPr>
            </w:pPr>
            <w:r w:rsidRPr="00506787">
              <w:rPr>
                <w:rFonts w:ascii="Times New Roman" w:eastAsia="Times New Roman" w:hAnsi="Times New Roman"/>
                <w:sz w:val="24"/>
                <w:szCs w:val="24"/>
                <w:lang w:eastAsia="lv-LV" w:bidi="lo-LA"/>
              </w:rPr>
              <w:t>VSIA “Nacionālais rehabilitācijas centrs “Vaivari””</w:t>
            </w:r>
          </w:p>
        </w:tc>
      </w:tr>
    </w:tbl>
    <w:p w14:paraId="77BB1015" w14:textId="77777777" w:rsidR="0050396F" w:rsidRDefault="0050396F" w:rsidP="0050396F">
      <w:pPr>
        <w:jc w:val="both"/>
        <w:rPr>
          <w:rFonts w:ascii="Times New Roman" w:hAnsi="Times New Roman" w:cs="Times New Roman"/>
          <w:sz w:val="24"/>
          <w:szCs w:val="24"/>
        </w:rPr>
      </w:pPr>
    </w:p>
    <w:p w14:paraId="5E64E126" w14:textId="2BB1A943" w:rsidR="0050396F" w:rsidRDefault="4399428A" w:rsidP="0050396F">
      <w:pPr>
        <w:pStyle w:val="ListParagraph"/>
        <w:spacing w:after="120"/>
        <w:ind w:left="0" w:firstLine="720"/>
        <w:jc w:val="both"/>
        <w:rPr>
          <w:rFonts w:ascii="Times New Roman" w:hAnsi="Times New Roman"/>
          <w:sz w:val="24"/>
          <w:szCs w:val="24"/>
          <w:lang w:val="lv-LV"/>
        </w:rPr>
      </w:pPr>
      <w:r w:rsidRPr="00493539">
        <w:rPr>
          <w:rFonts w:ascii="Times New Roman" w:hAnsi="Times New Roman"/>
          <w:sz w:val="24"/>
          <w:szCs w:val="24"/>
          <w:lang w:val="lv-LV"/>
        </w:rPr>
        <w:t>Šobrīd</w:t>
      </w:r>
      <w:r w:rsidR="0050396F" w:rsidRPr="002D117C">
        <w:rPr>
          <w:rFonts w:ascii="Times New Roman" w:hAnsi="Times New Roman"/>
          <w:sz w:val="24"/>
          <w:szCs w:val="24"/>
          <w:lang w:val="lv-LV"/>
        </w:rPr>
        <w:t xml:space="preserve"> stacionāro pakalpojumu sniegšan</w:t>
      </w:r>
      <w:r w:rsidRPr="002D117C">
        <w:rPr>
          <w:rFonts w:ascii="Times New Roman" w:hAnsi="Times New Roman"/>
          <w:sz w:val="24"/>
          <w:szCs w:val="24"/>
          <w:lang w:val="lv-LV"/>
        </w:rPr>
        <w:t>a</w:t>
      </w:r>
      <w:r w:rsidR="0050396F" w:rsidRPr="002D117C">
        <w:rPr>
          <w:rFonts w:ascii="Times New Roman" w:hAnsi="Times New Roman"/>
          <w:sz w:val="24"/>
          <w:szCs w:val="24"/>
          <w:lang w:val="lv-LV"/>
        </w:rPr>
        <w:t xml:space="preserve"> sadarbības teritoriju ietvaros </w:t>
      </w:r>
      <w:r w:rsidRPr="002D117C">
        <w:rPr>
          <w:rFonts w:ascii="Times New Roman" w:hAnsi="Times New Roman"/>
          <w:sz w:val="24"/>
          <w:szCs w:val="24"/>
          <w:lang w:val="lv-LV"/>
        </w:rPr>
        <w:t xml:space="preserve">tiek nodrošināta </w:t>
      </w:r>
      <w:r w:rsidR="0050396F" w:rsidRPr="002D117C">
        <w:rPr>
          <w:rFonts w:ascii="Times New Roman" w:hAnsi="Times New Roman"/>
          <w:sz w:val="24"/>
          <w:szCs w:val="24"/>
          <w:lang w:val="lv-LV"/>
        </w:rPr>
        <w:t>atbilstoši piecu līmeņu slimnīcu klasifikācijai.</w:t>
      </w:r>
    </w:p>
    <w:p w14:paraId="5F1E61D1" w14:textId="77777777" w:rsidR="0050396F" w:rsidRPr="002D117C" w:rsidRDefault="0050396F" w:rsidP="0050396F">
      <w:pPr>
        <w:pStyle w:val="ListParagraph"/>
        <w:spacing w:after="120"/>
        <w:ind w:left="0" w:firstLine="720"/>
        <w:jc w:val="both"/>
        <w:rPr>
          <w:rFonts w:ascii="Times New Roman" w:hAnsi="Times New Roman"/>
          <w:sz w:val="24"/>
          <w:szCs w:val="24"/>
          <w:lang w:val="lv-LV"/>
        </w:rPr>
      </w:pPr>
      <w:r w:rsidRPr="002D117C">
        <w:rPr>
          <w:rFonts w:ascii="Times New Roman" w:hAnsi="Times New Roman"/>
          <w:sz w:val="24"/>
          <w:szCs w:val="24"/>
          <w:lang w:val="lv-LV"/>
        </w:rPr>
        <w:t>Minētā pieeja atbilst un papildina konceptuālajā ziņojumā “Par veselības aprūpes nozares reformu” noteikto stacionāro pakalpojumu sniegšanas modeli sadarbības teritoriju ietvaros, nodrošinot elastīgu pāreju uz sarežģīto veselības aprūpes pakalpojumu koncentrāciju sistēmiski svarīgajās slimnīcas un pēc iespējas plašāku veselības aprūpes pamatpakalpojumu pieejamību sadarbības teritorijas iedzīvotājiem. Reformas ziņojumā (23.punkts),  starp reģioniem un vietējām pašvaldībām pastāv nevienlīdzība ienākumu un ekonomiskās aktivitātes ziņā, gan arī pakalpojumu pieejamībā, kas rada izteikti atšķirīgu dzīves kvalitāti dažādu teritoriju iedzīvotājiem un ierobežotu piekļuvi specializētiem veselības aprūpes pakalpojumiem reģionos, īpaši pašvaldībās, kas atrodas tālāk no Rīgas. Tieši šī iemesla dēļ stacionāro veselības aprūpes pakalpojumu centralizācijas procesam ir jābūt pēc iespējas pakāpeniskam, lai tiecoties uz kvalitatīvu un efektīvu pakalpojumu sniegšanu, netiktu apdraudēta veselības aprūpes pakalpojumu pieejamība  un saglabāti esošie cilvēkresursi.</w:t>
      </w:r>
    </w:p>
    <w:p w14:paraId="2B9B8829" w14:textId="77777777" w:rsidR="0050396F" w:rsidRDefault="0050396F" w:rsidP="0050396F">
      <w:pPr>
        <w:pStyle w:val="ListParagraph"/>
        <w:spacing w:after="120"/>
        <w:ind w:left="0" w:firstLine="720"/>
        <w:jc w:val="both"/>
        <w:rPr>
          <w:rFonts w:ascii="Times New Roman" w:hAnsi="Times New Roman"/>
          <w:sz w:val="24"/>
          <w:szCs w:val="24"/>
          <w:lang w:val="lv-LV"/>
        </w:rPr>
      </w:pPr>
      <w:r w:rsidRPr="002D117C">
        <w:rPr>
          <w:rFonts w:ascii="Times New Roman" w:hAnsi="Times New Roman"/>
          <w:sz w:val="24"/>
          <w:szCs w:val="24"/>
          <w:lang w:val="lv-LV"/>
        </w:rPr>
        <w:t>Arī atbilstoši Pasaules Bankas ziņojuma “Latvijas veselības aprūpes infrastruktūras ģenerālplāns 2016-2025” 9.sadaļā noteiktajiem slimnīcu optimizācijas kritērijiem paredzēts decentralizēt stacionāros veselības aprūpes pamatpakalpojumus un palielināt ambulatorās aprūpes pieejamību, kā arī centralizēt sarežģītus pakalpojumus, nodrošinot pietiekamo intensitāti un ievērojot ģeogrāfisko sasniedzamību.</w:t>
      </w:r>
    </w:p>
    <w:p w14:paraId="08C362B1" w14:textId="77777777" w:rsidR="0050396F" w:rsidRDefault="0050396F" w:rsidP="0050396F">
      <w:pPr>
        <w:pStyle w:val="ListParagraph"/>
        <w:spacing w:after="120"/>
        <w:ind w:left="0" w:firstLine="720"/>
        <w:jc w:val="both"/>
        <w:rPr>
          <w:rFonts w:ascii="Times New Roman" w:hAnsi="Times New Roman"/>
          <w:sz w:val="24"/>
          <w:szCs w:val="24"/>
          <w:lang w:val="lv-LV"/>
        </w:rPr>
      </w:pPr>
      <w:r w:rsidRPr="002E78EA">
        <w:rPr>
          <w:rFonts w:ascii="Times New Roman" w:hAnsi="Times New Roman"/>
          <w:sz w:val="24"/>
          <w:szCs w:val="24"/>
          <w:lang w:val="lv-LV"/>
        </w:rPr>
        <w:t xml:space="preserve">Jāatzīmē, ka ārstniecības iestāžu sadarbības teritoriju plānošana paredz pacientu skaitu, gultu skaitu, cilvēkresursus, infrastruktūru un citus aspektus plānot visai teritorijai nevis katrai </w:t>
      </w:r>
      <w:r w:rsidRPr="002E78EA">
        <w:rPr>
          <w:rFonts w:ascii="Times New Roman" w:hAnsi="Times New Roman"/>
          <w:sz w:val="24"/>
          <w:szCs w:val="24"/>
          <w:lang w:val="lv-LV"/>
        </w:rPr>
        <w:lastRenderedPageBreak/>
        <w:t>slimnīcai atsevišķi, kas ļauj elastīgi sadalīt veselības aprūpes pakalpojumus starp sadarbības teritorijas slimnīcām un efektīvi reaģēt uz ārējiem un iekšējiem faktoriem, pārplānojot pakalpojumus teritorijas ietvaros. Šajā situācijā būtiski ievērot principu attiecībā uz komplicētu veselības aprūpes pakalpojumu koncentrāciju un pamatpakalpojumu pieejamību. Pēc ārstniecības iestāžu sadarbības izveides visu sadarbībā esošo slimnīcu līmenis tiek pielīdzināts augstākā līmeņa slimnīcas līmenim un pakalpojumu sniegšana tiek organizēta bez ierobežojumiem, ko uzliek prasības zemākā līmeņa slimnīcām, bet ievērojot pakalpojumu pieejamības, kvalitātes un efektivitātes principus. Ārstniecības iestāžu sadarbības gadījumā, ja kāda profila veselības aprūpes pakalpojumus slimnīcas apkalpes teritorijā dzīvojošajiem iedzīvotājiem sniegs tikai augstāka līmeņa slimnīca, tad zemāka līmeņa slimnīca pēc sadarbības izbeigšanas saglabā tās sākotnējo līmeni.</w:t>
      </w:r>
    </w:p>
    <w:p w14:paraId="4AADD2F4" w14:textId="77777777" w:rsidR="0050396F" w:rsidRPr="002E78EA" w:rsidRDefault="0050396F" w:rsidP="0050396F">
      <w:pPr>
        <w:pStyle w:val="ListParagraph"/>
        <w:spacing w:after="120"/>
        <w:ind w:left="0" w:firstLine="720"/>
        <w:jc w:val="both"/>
        <w:rPr>
          <w:rFonts w:ascii="Times New Roman" w:hAnsi="Times New Roman"/>
          <w:sz w:val="24"/>
          <w:szCs w:val="24"/>
          <w:lang w:val="lv-LV"/>
        </w:rPr>
      </w:pPr>
      <w:r w:rsidRPr="002E78EA">
        <w:rPr>
          <w:rFonts w:ascii="Times New Roman" w:hAnsi="Times New Roman"/>
          <w:sz w:val="24"/>
          <w:szCs w:val="24"/>
          <w:lang w:val="lv-LV"/>
        </w:rPr>
        <w:t>Ņemot vērā Pasaules Bankas ziņojuma “Veselības aprūpes nozares reformu iespējas Latvijā” rekomendāciju lokālo un aprūpes slimnīcu pakalpojumu attīstību un apjomu noteikt pēc tam, kad tiks noteikti sistēmiski svarīgo slimnīcu darbības apjomi un tiks panākts progress veselības aprūpes pakalpojumu stratēģiskajā iepirkumā, paredzēts, ka Veselības ministrija līdz 2019.gada jūlija beigām veiks izvērtējumu par visu  II un III līmeņa slimnīcu atbilstību iezīmētajiem līmeņiem, tai skaitā nepieciešamības gadījumā pārskatot slimnīcu līmeņu prasības. Izvērtējums tiks veikts saskaņā ar ārstniecības iestāžu sadarbības teritoriju pieeju – nodrošinot pakalpojumu plānošanu atbilstoši teritorijā esošajām stacionārajām ārstniecības iestādēm un ievērojot visas teritorijas vajadzības, centralizējot sarežģītos pakalpojumus un uzlabojot pieejamību pamata pakalpojumiem. Par izvērtēšanas kārtību un izvērtēšanas posmu termiņiem Veselības ministrija atsevišķi informēs iesaistītās slimnīcas un pašvaldības.</w:t>
      </w:r>
    </w:p>
    <w:p w14:paraId="0982AC64" w14:textId="77777777" w:rsidR="0050396F" w:rsidRPr="002E78EA" w:rsidRDefault="0050396F" w:rsidP="0050396F">
      <w:pPr>
        <w:pStyle w:val="ListParagraph"/>
        <w:spacing w:after="120"/>
        <w:ind w:left="0" w:firstLine="720"/>
        <w:jc w:val="both"/>
        <w:rPr>
          <w:rFonts w:ascii="Times New Roman" w:hAnsi="Times New Roman"/>
          <w:sz w:val="24"/>
          <w:szCs w:val="24"/>
          <w:lang w:val="lv-LV"/>
        </w:rPr>
      </w:pPr>
      <w:r w:rsidRPr="002E78EA">
        <w:rPr>
          <w:rFonts w:ascii="Times New Roman" w:hAnsi="Times New Roman"/>
          <w:sz w:val="24"/>
          <w:szCs w:val="24"/>
          <w:lang w:val="lv-LV"/>
        </w:rPr>
        <w:t>Lai izvairītos no potenciāli neatbilstošām izmaksām sakarā ar iespējamām slimnīcu līmeņu izmaiņām, paredzēts atbalstīt katras sadarbības teritorijas slimnīcas tādas infrastruktūras attīstību, kas nākotnē ļaus operatīvi bez papildu ieguldījumiem reaģēt uz izmaiņām un pielāgot attīstītas infrastruktūras izmantošanu atbilstoši aktuālajām vajadzībām, tai skaitā nepieciešamības gadījumā izmantošanai atbilstoši zemāka līmeņa slimnīcas prasībām.</w:t>
      </w:r>
    </w:p>
    <w:p w14:paraId="751C3252" w14:textId="2B84743B" w:rsidR="0050396F" w:rsidRDefault="0050396F" w:rsidP="0050396F">
      <w:pPr>
        <w:pStyle w:val="ListParagraph"/>
        <w:spacing w:after="120"/>
        <w:ind w:left="0" w:firstLine="720"/>
        <w:jc w:val="both"/>
        <w:rPr>
          <w:rFonts w:ascii="Times New Roman" w:hAnsi="Times New Roman"/>
          <w:sz w:val="24"/>
          <w:szCs w:val="24"/>
          <w:lang w:val="lv-LV"/>
        </w:rPr>
      </w:pPr>
      <w:r w:rsidRPr="002E78EA">
        <w:rPr>
          <w:rFonts w:ascii="Times New Roman" w:hAnsi="Times New Roman"/>
          <w:sz w:val="24"/>
          <w:szCs w:val="24"/>
          <w:lang w:val="lv-LV"/>
        </w:rPr>
        <w:t xml:space="preserve">Ņemot vērā, ka I un II līmeņa slimnīcu sadalīšana trīs aprūpes līmeņos pēc būtības nemaina konceptuālajā ziņojumā “Par veselības aprūpes nozares reformu” paredzēto stacionāro ārstniecības iestāžu attīstības modeli, nav paredzēts minēto konceptuālo ziņojumu grozīt, savukārt turpmāku ārstniecības iestāžu sadarbības teritoriju izveidi un pakalpojumu sniegšanu atbilstoši sadarbības teritorijām paredzēts regulēt ar normatīvajiem aktiem veselības aprūpes </w:t>
      </w:r>
      <w:r w:rsidR="001E4149">
        <w:rPr>
          <w:rFonts w:ascii="Times New Roman" w:hAnsi="Times New Roman"/>
          <w:sz w:val="24"/>
          <w:szCs w:val="24"/>
          <w:lang w:val="lv-LV"/>
        </w:rPr>
        <w:t xml:space="preserve">pakalpojumu </w:t>
      </w:r>
      <w:r w:rsidRPr="002E78EA">
        <w:rPr>
          <w:rFonts w:ascii="Times New Roman" w:hAnsi="Times New Roman"/>
          <w:sz w:val="24"/>
          <w:szCs w:val="24"/>
          <w:lang w:val="lv-LV"/>
        </w:rPr>
        <w:t xml:space="preserve">organizēšanas un </w:t>
      </w:r>
      <w:r w:rsidR="001E4149">
        <w:rPr>
          <w:rFonts w:ascii="Times New Roman" w:hAnsi="Times New Roman"/>
          <w:sz w:val="24"/>
          <w:szCs w:val="24"/>
          <w:lang w:val="lv-LV"/>
        </w:rPr>
        <w:t>samaksas</w:t>
      </w:r>
      <w:r w:rsidRPr="002E78EA">
        <w:rPr>
          <w:rFonts w:ascii="Times New Roman" w:hAnsi="Times New Roman"/>
          <w:sz w:val="24"/>
          <w:szCs w:val="24"/>
          <w:lang w:val="lv-LV"/>
        </w:rPr>
        <w:t xml:space="preserve"> jomā</w:t>
      </w:r>
      <w:r>
        <w:rPr>
          <w:rFonts w:ascii="Times New Roman" w:hAnsi="Times New Roman"/>
          <w:sz w:val="24"/>
          <w:szCs w:val="24"/>
          <w:lang w:val="lv-LV"/>
        </w:rPr>
        <w:t>.</w:t>
      </w:r>
    </w:p>
    <w:p w14:paraId="136BC311" w14:textId="24E8CDCA" w:rsidR="007138AE" w:rsidRPr="007138AE" w:rsidRDefault="007138AE" w:rsidP="0050396F">
      <w:pPr>
        <w:pStyle w:val="ListParagraph"/>
        <w:spacing w:after="120"/>
        <w:ind w:left="0" w:firstLine="720"/>
        <w:jc w:val="both"/>
        <w:rPr>
          <w:rFonts w:ascii="Times New Roman" w:hAnsi="Times New Roman"/>
          <w:sz w:val="24"/>
          <w:szCs w:val="24"/>
          <w:lang w:val="lv-LV"/>
        </w:rPr>
      </w:pPr>
      <w:r>
        <w:rPr>
          <w:rFonts w:ascii="Times New Roman" w:hAnsi="Times New Roman"/>
          <w:sz w:val="24"/>
          <w:szCs w:val="24"/>
          <w:lang w:val="lv-LV"/>
        </w:rPr>
        <w:t>Papildus tiks īstenoti Veselības ministrijas pasākumi, kas tika apstiprināti Ministru kabineta 2018.gada 28.augusta sēdē</w:t>
      </w:r>
      <w:r w:rsidR="00C96F35">
        <w:rPr>
          <w:rFonts w:ascii="Times New Roman" w:hAnsi="Times New Roman"/>
          <w:sz w:val="24"/>
          <w:szCs w:val="24"/>
          <w:lang w:val="lv-LV"/>
        </w:rPr>
        <w:t xml:space="preserve"> </w:t>
      </w:r>
      <w:r w:rsidR="00FA5781">
        <w:rPr>
          <w:rFonts w:ascii="Times New Roman" w:hAnsi="Times New Roman"/>
          <w:sz w:val="24"/>
          <w:szCs w:val="24"/>
          <w:lang w:val="lv-LV"/>
        </w:rPr>
        <w:t>(</w:t>
      </w:r>
      <w:r w:rsidR="00C96F35">
        <w:rPr>
          <w:rFonts w:ascii="Times New Roman" w:hAnsi="Times New Roman"/>
          <w:sz w:val="24"/>
          <w:szCs w:val="24"/>
          <w:lang w:val="lv-LV"/>
        </w:rPr>
        <w:t>protokols Nr.40 26.</w:t>
      </w:r>
      <w:r w:rsidR="00FA5781">
        <w:rPr>
          <w:rFonts w:ascii="Times New Roman" w:hAnsi="Times New Roman"/>
          <w:sz w:val="24"/>
          <w:szCs w:val="24"/>
          <w:lang w:val="lv-LV"/>
        </w:rPr>
        <w:t>§)</w:t>
      </w:r>
      <w:r>
        <w:rPr>
          <w:rFonts w:ascii="Times New Roman" w:hAnsi="Times New Roman"/>
          <w:sz w:val="24"/>
          <w:szCs w:val="24"/>
          <w:lang w:val="lv-LV"/>
        </w:rPr>
        <w:t xml:space="preserve">, kas noteikti </w:t>
      </w:r>
      <w:r w:rsidRPr="00493539">
        <w:rPr>
          <w:rFonts w:ascii="Times New Roman" w:hAnsi="Times New Roman"/>
          <w:color w:val="000000"/>
          <w:sz w:val="24"/>
          <w:szCs w:val="24"/>
          <w:shd w:val="clear" w:color="auto" w:fill="FFFFFF"/>
          <w:lang w:val="lv-LV"/>
        </w:rPr>
        <w:t>noteikumu</w:t>
      </w:r>
      <w:r w:rsidR="00136C30">
        <w:rPr>
          <w:rFonts w:ascii="Times New Roman" w:hAnsi="Times New Roman"/>
          <w:color w:val="000000"/>
          <w:sz w:val="24"/>
          <w:szCs w:val="24"/>
          <w:shd w:val="clear" w:color="auto" w:fill="FFFFFF"/>
          <w:lang w:val="lv-LV"/>
        </w:rPr>
        <w:t xml:space="preserve"> Nr.555</w:t>
      </w:r>
      <w:r w:rsidRPr="00493539">
        <w:rPr>
          <w:rFonts w:ascii="Times New Roman" w:hAnsi="Times New Roman"/>
          <w:color w:val="000000"/>
          <w:sz w:val="24"/>
          <w:szCs w:val="24"/>
          <w:shd w:val="clear" w:color="auto" w:fill="FFFFFF"/>
          <w:lang w:val="lv-LV"/>
        </w:rPr>
        <w:t xml:space="preserve"> </w:t>
      </w:r>
      <w:r w:rsidR="00AE6690" w:rsidRPr="00E93259">
        <w:rPr>
          <w:rFonts w:ascii="Times New Roman" w:hAnsi="Times New Roman"/>
          <w:sz w:val="24"/>
          <w:szCs w:val="24"/>
          <w:shd w:val="clear" w:color="auto" w:fill="FFFFFF"/>
        </w:rPr>
        <w:t>“Veselības aprūpes pakalpojumu organizēšanas un samaksas kārtība”</w:t>
      </w:r>
      <w:r w:rsidR="00AE6690">
        <w:rPr>
          <w:rFonts w:ascii="Times New Roman" w:hAnsi="Times New Roman"/>
          <w:sz w:val="24"/>
          <w:szCs w:val="24"/>
          <w:shd w:val="clear" w:color="auto" w:fill="FFFFFF"/>
        </w:rPr>
        <w:t xml:space="preserve"> </w:t>
      </w:r>
      <w:r w:rsidRPr="00493539">
        <w:rPr>
          <w:rFonts w:ascii="Times New Roman" w:hAnsi="Times New Roman"/>
          <w:color w:val="000000"/>
          <w:sz w:val="24"/>
          <w:szCs w:val="24"/>
          <w:shd w:val="clear" w:color="auto" w:fill="FFFFFF"/>
          <w:lang w:val="lv-LV"/>
        </w:rPr>
        <w:t xml:space="preserve">185.10.apakšpunktā, 6.pielikuma 1.1.1., 1.4.5., 1.5., 1.7.5., 1.7.6., 1.7.7., 2.7.1., 2.25.11.1.apakšpunktā un to realizēšanai nepieciešamo finansējumu 2 515 554 </w:t>
      </w:r>
      <w:r w:rsidR="00FA5781" w:rsidRPr="704995BB">
        <w:rPr>
          <w:rFonts w:ascii="Times New Roman" w:hAnsi="Times New Roman"/>
          <w:i/>
          <w:iCs/>
          <w:color w:val="000000"/>
          <w:sz w:val="24"/>
          <w:szCs w:val="24"/>
          <w:shd w:val="clear" w:color="auto" w:fill="FFFFFF"/>
          <w:lang w:val="lv-LV"/>
        </w:rPr>
        <w:t>euro</w:t>
      </w:r>
      <w:r w:rsidRPr="00493539">
        <w:rPr>
          <w:rFonts w:ascii="Times New Roman" w:hAnsi="Times New Roman"/>
          <w:color w:val="000000"/>
          <w:sz w:val="24"/>
          <w:szCs w:val="24"/>
          <w:shd w:val="clear" w:color="auto" w:fill="FFFFFF"/>
          <w:lang w:val="lv-LV"/>
        </w:rPr>
        <w:t xml:space="preserve"> apmērā</w:t>
      </w:r>
      <w:r w:rsidR="00AE6690">
        <w:rPr>
          <w:rFonts w:ascii="Times New Roman" w:hAnsi="Times New Roman"/>
          <w:color w:val="000000"/>
          <w:sz w:val="24"/>
          <w:szCs w:val="24"/>
          <w:shd w:val="clear" w:color="auto" w:fill="FFFFFF"/>
          <w:lang w:val="lv-LV"/>
        </w:rPr>
        <w:t xml:space="preserve"> no 2019.gada 1.aprīļa un 3 373 </w:t>
      </w:r>
      <w:r w:rsidRPr="00493539">
        <w:rPr>
          <w:rFonts w:ascii="Times New Roman" w:hAnsi="Times New Roman"/>
          <w:color w:val="000000"/>
          <w:sz w:val="24"/>
          <w:szCs w:val="24"/>
          <w:shd w:val="clear" w:color="auto" w:fill="FFFFFF"/>
          <w:lang w:val="lv-LV"/>
        </w:rPr>
        <w:t xml:space="preserve">449 </w:t>
      </w:r>
      <w:r w:rsidR="00FA5781" w:rsidRPr="704995BB">
        <w:rPr>
          <w:rFonts w:ascii="Times New Roman" w:hAnsi="Times New Roman"/>
          <w:i/>
          <w:iCs/>
          <w:color w:val="000000"/>
          <w:sz w:val="24"/>
          <w:szCs w:val="24"/>
          <w:shd w:val="clear" w:color="auto" w:fill="FFFFFF"/>
          <w:lang w:val="lv-LV"/>
        </w:rPr>
        <w:t>euro</w:t>
      </w:r>
      <w:r w:rsidRPr="00493539">
        <w:rPr>
          <w:rFonts w:ascii="Times New Roman" w:hAnsi="Times New Roman"/>
          <w:color w:val="000000"/>
          <w:sz w:val="24"/>
          <w:szCs w:val="24"/>
          <w:shd w:val="clear" w:color="auto" w:fill="FFFFFF"/>
          <w:lang w:val="lv-LV"/>
        </w:rPr>
        <w:t xml:space="preserve"> apmērā 2020.gadam un 3 392 830 </w:t>
      </w:r>
      <w:r w:rsidR="00FA5781" w:rsidRPr="704995BB">
        <w:rPr>
          <w:rFonts w:ascii="Times New Roman" w:hAnsi="Times New Roman"/>
          <w:i/>
          <w:iCs/>
          <w:color w:val="000000"/>
          <w:sz w:val="24"/>
          <w:szCs w:val="24"/>
          <w:shd w:val="clear" w:color="auto" w:fill="FFFFFF"/>
          <w:lang w:val="lv-LV"/>
        </w:rPr>
        <w:t>euro</w:t>
      </w:r>
      <w:r w:rsidRPr="00493539">
        <w:rPr>
          <w:rFonts w:ascii="Times New Roman" w:hAnsi="Times New Roman"/>
          <w:color w:val="000000"/>
          <w:sz w:val="24"/>
          <w:szCs w:val="24"/>
          <w:shd w:val="clear" w:color="auto" w:fill="FFFFFF"/>
          <w:lang w:val="lv-LV"/>
        </w:rPr>
        <w:t xml:space="preserve"> apmērā 2021.gadam, saskaņojot ar Finanšu ministriju, līdz 2018.gada 17.decembrim iesniegt izskatīšanai Ministru kabinetā, </w:t>
      </w:r>
      <w:r w:rsidRPr="00493539">
        <w:rPr>
          <w:rFonts w:ascii="Times New Roman" w:hAnsi="Times New Roman"/>
          <w:color w:val="000000"/>
          <w:sz w:val="24"/>
          <w:szCs w:val="24"/>
          <w:shd w:val="clear" w:color="auto" w:fill="FFFFFF"/>
          <w:lang w:val="lv-LV"/>
        </w:rPr>
        <w:lastRenderedPageBreak/>
        <w:t>iekļaujot tos informatīvajā ziņojumā par priekšlikumiem 2019.gadā veselības reformas, kas tiek īstenota Eiropas Komisijas pieļautās budžeta atkāpes ietvaros, īstenošanai</w:t>
      </w:r>
      <w:r>
        <w:rPr>
          <w:rFonts w:ascii="Times New Roman" w:hAnsi="Times New Roman"/>
          <w:color w:val="000000"/>
          <w:sz w:val="24"/>
          <w:szCs w:val="24"/>
          <w:shd w:val="clear" w:color="auto" w:fill="FFFFFF"/>
          <w:lang w:val="lv-LV"/>
        </w:rPr>
        <w:t>.</w:t>
      </w:r>
      <w:r w:rsidRPr="007138AE">
        <w:rPr>
          <w:rFonts w:ascii="Times New Roman" w:hAnsi="Times New Roman"/>
          <w:sz w:val="24"/>
          <w:szCs w:val="24"/>
          <w:lang w:val="lv-LV"/>
        </w:rPr>
        <w:t xml:space="preserve"> </w:t>
      </w:r>
    </w:p>
    <w:p w14:paraId="55C36441" w14:textId="77777777" w:rsidR="0050396F" w:rsidRDefault="0050396F" w:rsidP="0050396F">
      <w:pPr>
        <w:pStyle w:val="ListParagraph"/>
        <w:spacing w:after="120"/>
        <w:ind w:left="0" w:firstLine="720"/>
        <w:jc w:val="both"/>
        <w:rPr>
          <w:rFonts w:ascii="Times New Roman" w:hAnsi="Times New Roman"/>
          <w:b/>
          <w:sz w:val="24"/>
          <w:szCs w:val="24"/>
          <w:lang w:val="lv-LV"/>
        </w:rPr>
      </w:pPr>
      <w:r w:rsidRPr="00D952A7">
        <w:rPr>
          <w:rFonts w:ascii="Times New Roman" w:hAnsi="Times New Roman"/>
          <w:b/>
          <w:sz w:val="24"/>
          <w:szCs w:val="24"/>
          <w:lang w:val="lv-LV"/>
        </w:rPr>
        <w:t>Lai nodrošinātu konceptuālajā ziņojumā “Par veselības aprūpes nozares reformu”, paredzēto stacionāro ārstniecības iestāžu attīstības modeli, ņemot vērā esošo situāciju, plānots sākot ar 2019.gada 1.aprīli</w:t>
      </w:r>
      <w:r>
        <w:rPr>
          <w:rFonts w:ascii="Times New Roman" w:hAnsi="Times New Roman"/>
          <w:b/>
          <w:sz w:val="24"/>
          <w:szCs w:val="24"/>
          <w:lang w:val="lv-LV"/>
        </w:rPr>
        <w:t xml:space="preserve"> </w:t>
      </w:r>
      <w:r>
        <w:rPr>
          <w:rFonts w:ascii="Times New Roman" w:hAnsi="Times New Roman"/>
          <w:b/>
          <w:sz w:val="24"/>
          <w:szCs w:val="24"/>
          <w:u w:val="single"/>
          <w:lang w:val="lv-LV"/>
        </w:rPr>
        <w:t>jaunus</w:t>
      </w:r>
      <w:r w:rsidRPr="00540025">
        <w:rPr>
          <w:rFonts w:ascii="Times New Roman" w:hAnsi="Times New Roman"/>
          <w:b/>
          <w:sz w:val="24"/>
          <w:szCs w:val="24"/>
          <w:u w:val="single"/>
          <w:lang w:val="lv-LV"/>
        </w:rPr>
        <w:t xml:space="preserve"> reformas pasākumus</w:t>
      </w:r>
      <w:r w:rsidRPr="00D952A7">
        <w:rPr>
          <w:rFonts w:ascii="Times New Roman" w:hAnsi="Times New Roman"/>
          <w:b/>
          <w:sz w:val="24"/>
          <w:szCs w:val="24"/>
          <w:lang w:val="lv-LV"/>
        </w:rPr>
        <w:t>:</w:t>
      </w:r>
    </w:p>
    <w:p w14:paraId="43EA042E" w14:textId="6795FE8F" w:rsidR="0050396F" w:rsidRPr="00493539" w:rsidRDefault="0050396F" w:rsidP="00493539">
      <w:pPr>
        <w:spacing w:after="120"/>
        <w:jc w:val="both"/>
        <w:rPr>
          <w:rFonts w:ascii="Times New Roman" w:hAnsi="Times New Roman"/>
          <w:b/>
          <w:bCs/>
          <w:sz w:val="24"/>
          <w:szCs w:val="24"/>
          <w:u w:val="single"/>
        </w:rPr>
      </w:pPr>
      <w:r w:rsidRPr="00E12849">
        <w:rPr>
          <w:rFonts w:ascii="Times New Roman" w:hAnsi="Times New Roman"/>
          <w:b/>
          <w:bCs/>
          <w:sz w:val="24"/>
          <w:szCs w:val="24"/>
          <w:u w:val="single"/>
        </w:rPr>
        <w:t>1.pasākums:</w:t>
      </w:r>
      <w:r w:rsidRPr="005B13CC">
        <w:rPr>
          <w:rFonts w:ascii="Times New Roman" w:hAnsi="Times New Roman"/>
          <w:sz w:val="24"/>
          <w:szCs w:val="24"/>
          <w:u w:val="single"/>
        </w:rPr>
        <w:t xml:space="preserve"> </w:t>
      </w:r>
      <w:r w:rsidRPr="00E12849">
        <w:rPr>
          <w:rFonts w:ascii="Times New Roman" w:hAnsi="Times New Roman"/>
          <w:b/>
          <w:bCs/>
          <w:sz w:val="24"/>
          <w:szCs w:val="24"/>
          <w:u w:val="single"/>
        </w:rPr>
        <w:t>Uzņemšanas nodaļu nodrošināšana I</w:t>
      </w:r>
      <w:r w:rsidR="005E4B3E" w:rsidRPr="00E12849">
        <w:rPr>
          <w:rFonts w:ascii="Times New Roman" w:hAnsi="Times New Roman"/>
          <w:b/>
          <w:bCs/>
          <w:sz w:val="24"/>
          <w:szCs w:val="24"/>
          <w:u w:val="single"/>
        </w:rPr>
        <w:t xml:space="preserve">, II </w:t>
      </w:r>
      <w:r w:rsidRPr="00E12849">
        <w:rPr>
          <w:rFonts w:ascii="Times New Roman" w:hAnsi="Times New Roman"/>
          <w:b/>
          <w:bCs/>
          <w:sz w:val="24"/>
          <w:szCs w:val="24"/>
          <w:u w:val="single"/>
        </w:rPr>
        <w:t xml:space="preserve">līmeņa ārstniecības iestādēm un </w:t>
      </w:r>
      <w:r w:rsidR="005E4B3E" w:rsidRPr="00E12849">
        <w:rPr>
          <w:rFonts w:ascii="Times New Roman" w:hAnsi="Times New Roman"/>
          <w:b/>
          <w:bCs/>
          <w:sz w:val="24"/>
          <w:szCs w:val="24"/>
          <w:u w:val="single"/>
        </w:rPr>
        <w:t xml:space="preserve">trīs specializētajās </w:t>
      </w:r>
      <w:r w:rsidRPr="00E12849">
        <w:rPr>
          <w:rFonts w:ascii="Times New Roman" w:hAnsi="Times New Roman"/>
          <w:b/>
          <w:bCs/>
          <w:sz w:val="24"/>
          <w:szCs w:val="24"/>
          <w:u w:val="single"/>
        </w:rPr>
        <w:t>ārstniecības iestād</w:t>
      </w:r>
      <w:r w:rsidR="005E4B3E" w:rsidRPr="00E12849">
        <w:rPr>
          <w:rFonts w:ascii="Times New Roman" w:hAnsi="Times New Roman"/>
          <w:b/>
          <w:bCs/>
          <w:sz w:val="24"/>
          <w:szCs w:val="24"/>
          <w:u w:val="single"/>
        </w:rPr>
        <w:t>ēs</w:t>
      </w:r>
      <w:r w:rsidRPr="00E12849">
        <w:rPr>
          <w:rFonts w:ascii="Times New Roman" w:hAnsi="Times New Roman"/>
          <w:b/>
          <w:bCs/>
          <w:sz w:val="24"/>
          <w:szCs w:val="24"/>
          <w:u w:val="single"/>
        </w:rPr>
        <w:t>:</w:t>
      </w:r>
    </w:p>
    <w:p w14:paraId="597A934B" w14:textId="438F210C" w:rsidR="00AE6690" w:rsidRPr="003F5285" w:rsidRDefault="0050396F" w:rsidP="003F5285">
      <w:pPr>
        <w:pStyle w:val="ListParagraph"/>
        <w:spacing w:after="120"/>
        <w:ind w:left="0" w:firstLine="720"/>
        <w:jc w:val="both"/>
        <w:rPr>
          <w:rFonts w:ascii="Times New Roman" w:hAnsi="Times New Roman"/>
          <w:sz w:val="24"/>
          <w:szCs w:val="24"/>
          <w:lang w:val="lv-LV"/>
        </w:rPr>
      </w:pPr>
      <w:r w:rsidRPr="00ED6BAF">
        <w:rPr>
          <w:rFonts w:ascii="Times New Roman" w:hAnsi="Times New Roman"/>
          <w:sz w:val="24"/>
          <w:szCs w:val="24"/>
          <w:lang w:val="lv-LV"/>
        </w:rPr>
        <w:t>Ar 2019.gada 1.aprīli I līmeņa ārstniecības iestādēm jānodrošina terapijas profils, papildus ārstniecības iestāde drīkst nodrošināt "Hronisko pacientu aprūpes" pakalpojumu programmu.</w:t>
      </w:r>
      <w:r>
        <w:rPr>
          <w:rFonts w:ascii="Times New Roman" w:hAnsi="Times New Roman"/>
          <w:sz w:val="24"/>
          <w:szCs w:val="24"/>
          <w:lang w:val="lv-LV"/>
        </w:rPr>
        <w:t xml:space="preserve"> Noteikumi Nr.555</w:t>
      </w:r>
      <w:r w:rsidRPr="00007A5A">
        <w:rPr>
          <w:rFonts w:ascii="Times New Roman" w:hAnsi="Times New Roman"/>
          <w:sz w:val="24"/>
          <w:szCs w:val="24"/>
          <w:lang w:val="lv-LV"/>
        </w:rPr>
        <w:t xml:space="preserve"> </w:t>
      </w:r>
      <w:r w:rsidR="00CB751B" w:rsidRPr="00E93259">
        <w:rPr>
          <w:rFonts w:ascii="Times New Roman" w:hAnsi="Times New Roman"/>
          <w:sz w:val="24"/>
          <w:szCs w:val="24"/>
          <w:shd w:val="clear" w:color="auto" w:fill="FFFFFF"/>
        </w:rPr>
        <w:t>“Veselības aprūpes pakalpojumu organizēšanas un samaksas kārtība”</w:t>
      </w:r>
      <w:r w:rsidR="00CB751B">
        <w:rPr>
          <w:rFonts w:ascii="Times New Roman" w:hAnsi="Times New Roman"/>
          <w:sz w:val="24"/>
          <w:szCs w:val="24"/>
          <w:shd w:val="clear" w:color="auto" w:fill="FFFFFF"/>
        </w:rPr>
        <w:t xml:space="preserve"> </w:t>
      </w:r>
      <w:r w:rsidRPr="00007A5A">
        <w:rPr>
          <w:rFonts w:ascii="Times New Roman" w:hAnsi="Times New Roman"/>
          <w:sz w:val="24"/>
          <w:szCs w:val="24"/>
          <w:lang w:val="lv-LV"/>
        </w:rPr>
        <w:t>paredz neatliekamās palīdzības un plānveida stacionārās veselības aprūpes pakalpojumu pieejamības nodrošināšanu ar nepieciešamo finansējumu 2</w:t>
      </w:r>
      <w:r w:rsidR="00CF764D">
        <w:rPr>
          <w:rFonts w:ascii="Times New Roman" w:hAnsi="Times New Roman"/>
          <w:sz w:val="24"/>
          <w:szCs w:val="24"/>
          <w:lang w:val="lv-LV"/>
        </w:rPr>
        <w:t> </w:t>
      </w:r>
      <w:r w:rsidR="005B12C6">
        <w:rPr>
          <w:rFonts w:ascii="Times New Roman" w:hAnsi="Times New Roman"/>
          <w:sz w:val="24"/>
          <w:szCs w:val="24"/>
          <w:lang w:val="lv-LV"/>
        </w:rPr>
        <w:t>832</w:t>
      </w:r>
      <w:r w:rsidR="00CF764D">
        <w:rPr>
          <w:rFonts w:ascii="Times New Roman" w:hAnsi="Times New Roman"/>
          <w:sz w:val="24"/>
          <w:szCs w:val="24"/>
          <w:lang w:val="lv-LV"/>
        </w:rPr>
        <w:t> </w:t>
      </w:r>
      <w:r w:rsidR="005B12C6">
        <w:rPr>
          <w:rFonts w:ascii="Times New Roman" w:hAnsi="Times New Roman"/>
          <w:sz w:val="24"/>
          <w:szCs w:val="24"/>
          <w:lang w:val="lv-LV"/>
        </w:rPr>
        <w:t>576</w:t>
      </w:r>
      <w:r w:rsidRPr="00007A5A">
        <w:rPr>
          <w:rFonts w:ascii="Times New Roman" w:hAnsi="Times New Roman"/>
          <w:sz w:val="24"/>
          <w:szCs w:val="24"/>
          <w:lang w:val="lv-LV"/>
        </w:rPr>
        <w:t xml:space="preserve"> </w:t>
      </w:r>
      <w:r w:rsidRPr="00007A5A">
        <w:rPr>
          <w:rFonts w:ascii="Times New Roman" w:hAnsi="Times New Roman"/>
          <w:i/>
          <w:sz w:val="24"/>
          <w:szCs w:val="24"/>
          <w:lang w:val="lv-LV"/>
        </w:rPr>
        <w:t>euro</w:t>
      </w:r>
      <w:r>
        <w:rPr>
          <w:rFonts w:ascii="Times New Roman" w:hAnsi="Times New Roman"/>
          <w:sz w:val="24"/>
          <w:szCs w:val="24"/>
          <w:lang w:val="lv-LV"/>
        </w:rPr>
        <w:t xml:space="preserve"> apmērā (N</w:t>
      </w:r>
      <w:r w:rsidRPr="00007A5A">
        <w:rPr>
          <w:rFonts w:ascii="Times New Roman" w:hAnsi="Times New Roman"/>
          <w:sz w:val="24"/>
          <w:szCs w:val="24"/>
          <w:lang w:val="lv-LV"/>
        </w:rPr>
        <w:t xml:space="preserve">oteikumu </w:t>
      </w:r>
      <w:r>
        <w:rPr>
          <w:rFonts w:ascii="Times New Roman" w:hAnsi="Times New Roman"/>
          <w:sz w:val="24"/>
          <w:szCs w:val="24"/>
          <w:lang w:val="lv-LV"/>
        </w:rPr>
        <w:t xml:space="preserve">Nr.555 </w:t>
      </w:r>
      <w:r w:rsidRPr="00007A5A">
        <w:rPr>
          <w:rFonts w:ascii="Times New Roman" w:hAnsi="Times New Roman"/>
          <w:sz w:val="24"/>
          <w:szCs w:val="24"/>
          <w:lang w:val="lv-LV"/>
        </w:rPr>
        <w:t xml:space="preserve">6.pielikums), skat. </w:t>
      </w:r>
      <w:r w:rsidR="00CB751B">
        <w:rPr>
          <w:rFonts w:ascii="Times New Roman" w:hAnsi="Times New Roman"/>
          <w:sz w:val="24"/>
          <w:szCs w:val="24"/>
          <w:lang w:val="lv-LV"/>
        </w:rPr>
        <w:t>82</w:t>
      </w:r>
      <w:r>
        <w:rPr>
          <w:rFonts w:ascii="Times New Roman" w:hAnsi="Times New Roman"/>
          <w:sz w:val="24"/>
          <w:szCs w:val="24"/>
          <w:lang w:val="lv-LV"/>
        </w:rPr>
        <w:t>.</w:t>
      </w:r>
      <w:r w:rsidRPr="00007A5A">
        <w:rPr>
          <w:rFonts w:ascii="Times New Roman" w:hAnsi="Times New Roman"/>
          <w:sz w:val="24"/>
          <w:szCs w:val="24"/>
          <w:lang w:val="lv-LV"/>
        </w:rPr>
        <w:t xml:space="preserve">tabulu un anotācijas pielikumu Nr.2. Ņemot vērā, ka aprēķins ir veikts gada ietvaros, tad deviņiem mēnešiem nepieciešamies finansējums būs </w:t>
      </w:r>
      <w:r w:rsidRPr="00007A5A">
        <w:rPr>
          <w:rFonts w:ascii="Times New Roman" w:hAnsi="Times New Roman"/>
          <w:b/>
          <w:sz w:val="24"/>
          <w:szCs w:val="24"/>
          <w:lang w:val="lv-LV"/>
        </w:rPr>
        <w:t>2</w:t>
      </w:r>
      <w:r w:rsidR="007C0C44">
        <w:rPr>
          <w:rFonts w:ascii="Times New Roman" w:hAnsi="Times New Roman"/>
          <w:b/>
          <w:sz w:val="24"/>
          <w:szCs w:val="24"/>
          <w:lang w:val="lv-LV"/>
        </w:rPr>
        <w:t> </w:t>
      </w:r>
      <w:r w:rsidR="00BD7A46">
        <w:rPr>
          <w:rFonts w:ascii="Times New Roman" w:hAnsi="Times New Roman"/>
          <w:b/>
          <w:sz w:val="24"/>
          <w:szCs w:val="24"/>
          <w:lang w:val="lv-LV"/>
        </w:rPr>
        <w:t>12</w:t>
      </w:r>
      <w:r w:rsidR="00466F46">
        <w:rPr>
          <w:rFonts w:ascii="Times New Roman" w:hAnsi="Times New Roman"/>
          <w:b/>
          <w:sz w:val="24"/>
          <w:szCs w:val="24"/>
          <w:lang w:val="lv-LV"/>
        </w:rPr>
        <w:t>4</w:t>
      </w:r>
      <w:r w:rsidR="007C0C44">
        <w:rPr>
          <w:rFonts w:ascii="Times New Roman" w:hAnsi="Times New Roman"/>
          <w:b/>
          <w:sz w:val="24"/>
          <w:szCs w:val="24"/>
          <w:lang w:val="lv-LV"/>
        </w:rPr>
        <w:t> </w:t>
      </w:r>
      <w:r w:rsidR="00BD7A46">
        <w:rPr>
          <w:rFonts w:ascii="Times New Roman" w:hAnsi="Times New Roman"/>
          <w:b/>
          <w:sz w:val="24"/>
          <w:szCs w:val="24"/>
          <w:lang w:val="lv-LV"/>
        </w:rPr>
        <w:t>432</w:t>
      </w:r>
      <w:r w:rsidRPr="00007A5A">
        <w:rPr>
          <w:rFonts w:ascii="Times New Roman" w:hAnsi="Times New Roman"/>
          <w:sz w:val="24"/>
          <w:szCs w:val="24"/>
          <w:lang w:val="lv-LV"/>
        </w:rPr>
        <w:t xml:space="preserve"> </w:t>
      </w:r>
      <w:r w:rsidRPr="00007A5A">
        <w:rPr>
          <w:rFonts w:ascii="Times New Roman" w:hAnsi="Times New Roman"/>
          <w:b/>
          <w:sz w:val="24"/>
          <w:szCs w:val="24"/>
          <w:lang w:val="lv-LV"/>
        </w:rPr>
        <w:t xml:space="preserve"> </w:t>
      </w:r>
      <w:r w:rsidRPr="00007A5A">
        <w:rPr>
          <w:rFonts w:ascii="Times New Roman" w:hAnsi="Times New Roman"/>
          <w:b/>
          <w:i/>
          <w:sz w:val="24"/>
          <w:szCs w:val="24"/>
          <w:lang w:val="lv-LV"/>
        </w:rPr>
        <w:t>euro</w:t>
      </w:r>
      <w:r w:rsidRPr="00007A5A">
        <w:rPr>
          <w:rFonts w:ascii="Times New Roman" w:hAnsi="Times New Roman"/>
          <w:i/>
          <w:sz w:val="24"/>
          <w:szCs w:val="24"/>
          <w:lang w:val="lv-LV"/>
        </w:rPr>
        <w:t xml:space="preserve"> </w:t>
      </w:r>
      <w:r w:rsidRPr="00007A5A">
        <w:rPr>
          <w:rFonts w:ascii="Times New Roman" w:hAnsi="Times New Roman"/>
          <w:sz w:val="24"/>
          <w:szCs w:val="24"/>
          <w:lang w:val="lv-LV"/>
        </w:rPr>
        <w:t>(2</w:t>
      </w:r>
      <w:r w:rsidR="004A78B0">
        <w:rPr>
          <w:rFonts w:ascii="Times New Roman" w:hAnsi="Times New Roman"/>
          <w:sz w:val="24"/>
          <w:szCs w:val="24"/>
          <w:lang w:val="lv-LV"/>
        </w:rPr>
        <w:t> </w:t>
      </w:r>
      <w:r w:rsidR="00BD7A46">
        <w:rPr>
          <w:rFonts w:ascii="Times New Roman" w:hAnsi="Times New Roman"/>
          <w:sz w:val="24"/>
          <w:szCs w:val="24"/>
          <w:lang w:val="lv-LV"/>
        </w:rPr>
        <w:t>832 576</w:t>
      </w:r>
      <w:r w:rsidRPr="00007A5A">
        <w:rPr>
          <w:rFonts w:ascii="Times New Roman" w:hAnsi="Times New Roman"/>
          <w:sz w:val="24"/>
          <w:szCs w:val="24"/>
          <w:lang w:val="lv-LV"/>
        </w:rPr>
        <w:t xml:space="preserve"> </w:t>
      </w:r>
      <w:r w:rsidRPr="00007A5A">
        <w:rPr>
          <w:rFonts w:ascii="Times New Roman" w:hAnsi="Times New Roman"/>
          <w:i/>
          <w:sz w:val="24"/>
          <w:szCs w:val="24"/>
          <w:lang w:val="lv-LV"/>
        </w:rPr>
        <w:t>euro</w:t>
      </w:r>
      <w:r w:rsidRPr="00007A5A">
        <w:rPr>
          <w:rFonts w:ascii="Times New Roman" w:hAnsi="Times New Roman"/>
          <w:sz w:val="24"/>
          <w:szCs w:val="24"/>
          <w:lang w:val="lv-LV"/>
        </w:rPr>
        <w:t xml:space="preserve"> : 12 = 2</w:t>
      </w:r>
      <w:r w:rsidR="00BD7A46">
        <w:rPr>
          <w:rFonts w:ascii="Times New Roman" w:hAnsi="Times New Roman"/>
          <w:sz w:val="24"/>
          <w:szCs w:val="24"/>
          <w:lang w:val="lv-LV"/>
        </w:rPr>
        <w:t>36 048</w:t>
      </w:r>
      <w:r w:rsidRPr="00007A5A">
        <w:rPr>
          <w:rFonts w:ascii="Times New Roman" w:hAnsi="Times New Roman"/>
          <w:sz w:val="24"/>
          <w:szCs w:val="24"/>
          <w:lang w:val="lv-LV"/>
        </w:rPr>
        <w:t xml:space="preserve"> </w:t>
      </w:r>
      <w:r w:rsidRPr="00007A5A">
        <w:rPr>
          <w:rFonts w:ascii="Times New Roman" w:hAnsi="Times New Roman"/>
          <w:i/>
          <w:sz w:val="24"/>
          <w:szCs w:val="24"/>
          <w:lang w:val="lv-LV"/>
        </w:rPr>
        <w:t xml:space="preserve">euro; </w:t>
      </w:r>
      <w:r w:rsidRPr="00007A5A">
        <w:rPr>
          <w:rFonts w:ascii="Times New Roman" w:hAnsi="Times New Roman"/>
          <w:sz w:val="24"/>
          <w:szCs w:val="24"/>
          <w:lang w:val="lv-LV"/>
        </w:rPr>
        <w:t>23</w:t>
      </w:r>
      <w:r w:rsidR="00BD7A46">
        <w:rPr>
          <w:rFonts w:ascii="Times New Roman" w:hAnsi="Times New Roman"/>
          <w:sz w:val="24"/>
          <w:szCs w:val="24"/>
          <w:lang w:val="lv-LV"/>
        </w:rPr>
        <w:t>36</w:t>
      </w:r>
      <w:r w:rsidR="0030283C">
        <w:rPr>
          <w:rFonts w:ascii="Times New Roman" w:hAnsi="Times New Roman"/>
          <w:sz w:val="24"/>
          <w:szCs w:val="24"/>
          <w:lang w:val="lv-LV"/>
        </w:rPr>
        <w:t> </w:t>
      </w:r>
      <w:r w:rsidR="00BD7A46">
        <w:rPr>
          <w:rFonts w:ascii="Times New Roman" w:hAnsi="Times New Roman"/>
          <w:sz w:val="24"/>
          <w:szCs w:val="24"/>
          <w:lang w:val="lv-LV"/>
        </w:rPr>
        <w:t>048</w:t>
      </w:r>
      <w:r w:rsidRPr="00007A5A">
        <w:rPr>
          <w:rFonts w:ascii="Times New Roman" w:hAnsi="Times New Roman"/>
          <w:sz w:val="24"/>
          <w:szCs w:val="24"/>
          <w:lang w:val="lv-LV"/>
        </w:rPr>
        <w:t xml:space="preserve"> </w:t>
      </w:r>
      <w:r w:rsidRPr="00007A5A">
        <w:rPr>
          <w:rFonts w:ascii="Times New Roman" w:hAnsi="Times New Roman"/>
          <w:i/>
          <w:sz w:val="24"/>
          <w:szCs w:val="24"/>
          <w:lang w:val="lv-LV"/>
        </w:rPr>
        <w:t>euro</w:t>
      </w:r>
      <w:r w:rsidR="00CB751B">
        <w:rPr>
          <w:rFonts w:ascii="Times New Roman" w:hAnsi="Times New Roman"/>
          <w:sz w:val="24"/>
          <w:szCs w:val="24"/>
          <w:lang w:val="lv-LV"/>
        </w:rPr>
        <w:t xml:space="preserve"> x 9 = </w:t>
      </w:r>
      <w:r w:rsidRPr="0040039A">
        <w:rPr>
          <w:rFonts w:ascii="Times New Roman" w:hAnsi="Times New Roman"/>
          <w:sz w:val="24"/>
          <w:szCs w:val="24"/>
          <w:lang w:val="lv-LV"/>
        </w:rPr>
        <w:t>2</w:t>
      </w:r>
      <w:r w:rsidR="002D4014" w:rsidRPr="00223CA9">
        <w:rPr>
          <w:rFonts w:ascii="Times New Roman" w:hAnsi="Times New Roman"/>
          <w:sz w:val="24"/>
          <w:szCs w:val="24"/>
          <w:lang w:val="lv-LV"/>
        </w:rPr>
        <w:t> </w:t>
      </w:r>
      <w:r w:rsidR="00BD7A46">
        <w:rPr>
          <w:rFonts w:ascii="Times New Roman" w:hAnsi="Times New Roman"/>
          <w:sz w:val="24"/>
          <w:szCs w:val="24"/>
          <w:lang w:val="lv-LV"/>
        </w:rPr>
        <w:t>124 432</w:t>
      </w:r>
      <w:r w:rsidRPr="00223CA9">
        <w:rPr>
          <w:rFonts w:ascii="Times New Roman" w:hAnsi="Times New Roman"/>
          <w:sz w:val="24"/>
          <w:szCs w:val="24"/>
          <w:lang w:val="lv-LV"/>
        </w:rPr>
        <w:t xml:space="preserve"> </w:t>
      </w:r>
      <w:r w:rsidRPr="008D4EFB">
        <w:rPr>
          <w:rFonts w:ascii="Times New Roman" w:hAnsi="Times New Roman"/>
          <w:i/>
          <w:sz w:val="24"/>
          <w:szCs w:val="24"/>
          <w:lang w:val="lv-LV"/>
        </w:rPr>
        <w:t>euro</w:t>
      </w:r>
      <w:r w:rsidRPr="00007A5A">
        <w:rPr>
          <w:rFonts w:ascii="Times New Roman" w:hAnsi="Times New Roman"/>
          <w:sz w:val="24"/>
          <w:szCs w:val="24"/>
          <w:lang w:val="lv-LV"/>
        </w:rPr>
        <w:t>)</w:t>
      </w:r>
      <w:r w:rsidR="000252AF">
        <w:rPr>
          <w:rFonts w:ascii="Times New Roman" w:hAnsi="Times New Roman"/>
          <w:sz w:val="24"/>
          <w:szCs w:val="24"/>
          <w:lang w:val="lv-LV"/>
        </w:rPr>
        <w:t xml:space="preserve"> (</w:t>
      </w:r>
      <w:r w:rsidR="008104BD">
        <w:rPr>
          <w:rFonts w:ascii="Times New Roman" w:hAnsi="Times New Roman"/>
          <w:sz w:val="24"/>
          <w:szCs w:val="24"/>
          <w:lang w:val="lv-LV"/>
        </w:rPr>
        <w:t>82</w:t>
      </w:r>
      <w:r w:rsidR="000252AF">
        <w:rPr>
          <w:rFonts w:ascii="Times New Roman" w:hAnsi="Times New Roman"/>
          <w:sz w:val="24"/>
          <w:szCs w:val="24"/>
          <w:lang w:val="lv-LV"/>
        </w:rPr>
        <w:t>.tabula)</w:t>
      </w:r>
      <w:r w:rsidRPr="00007A5A">
        <w:rPr>
          <w:rFonts w:ascii="Times New Roman" w:hAnsi="Times New Roman"/>
          <w:sz w:val="24"/>
          <w:szCs w:val="24"/>
          <w:lang w:val="lv-LV"/>
        </w:rPr>
        <w:t>.</w:t>
      </w:r>
    </w:p>
    <w:p w14:paraId="310E91B5" w14:textId="140D336D" w:rsidR="000C2E87" w:rsidRPr="00493539" w:rsidRDefault="008104BD" w:rsidP="008104BD">
      <w:pPr>
        <w:pStyle w:val="ListParagraph"/>
        <w:spacing w:after="120"/>
        <w:ind w:left="0" w:firstLine="720"/>
        <w:jc w:val="right"/>
        <w:rPr>
          <w:rFonts w:ascii="Times New Roman" w:hAnsi="Times New Roman"/>
          <w:i/>
          <w:iCs/>
          <w:sz w:val="24"/>
          <w:szCs w:val="24"/>
          <w:lang w:val="lv-LV"/>
        </w:rPr>
      </w:pPr>
      <w:r>
        <w:rPr>
          <w:rFonts w:ascii="Times New Roman" w:hAnsi="Times New Roman"/>
          <w:i/>
          <w:iCs/>
          <w:sz w:val="24"/>
          <w:szCs w:val="24"/>
          <w:lang w:val="lv-LV"/>
        </w:rPr>
        <w:t>82</w:t>
      </w:r>
      <w:r w:rsidR="000C2E87" w:rsidRPr="00E12849">
        <w:rPr>
          <w:rFonts w:ascii="Times New Roman" w:hAnsi="Times New Roman"/>
          <w:i/>
          <w:iCs/>
          <w:sz w:val="24"/>
          <w:szCs w:val="24"/>
          <w:lang w:val="lv-LV"/>
        </w:rPr>
        <w:t>.tabula</w:t>
      </w:r>
    </w:p>
    <w:p w14:paraId="71A38EDE" w14:textId="77777777" w:rsidR="0050396F" w:rsidRPr="00AA5E60" w:rsidRDefault="0050396F" w:rsidP="0050396F">
      <w:pPr>
        <w:spacing w:after="0" w:line="240" w:lineRule="auto"/>
        <w:ind w:firstLine="720"/>
        <w:jc w:val="center"/>
        <w:rPr>
          <w:rFonts w:ascii="Times New Roman" w:hAnsi="Times New Roman" w:cs="Times New Roman"/>
          <w:i/>
          <w:iCs/>
          <w:sz w:val="24"/>
          <w:szCs w:val="24"/>
        </w:rPr>
      </w:pPr>
      <w:r w:rsidRPr="00007A5A">
        <w:rPr>
          <w:rFonts w:ascii="Times New Roman" w:hAnsi="Times New Roman"/>
          <w:b/>
          <w:sz w:val="24"/>
          <w:szCs w:val="24"/>
        </w:rPr>
        <w:t>Uzņemša</w:t>
      </w:r>
      <w:r>
        <w:rPr>
          <w:rFonts w:ascii="Times New Roman" w:hAnsi="Times New Roman"/>
          <w:b/>
          <w:sz w:val="24"/>
          <w:szCs w:val="24"/>
        </w:rPr>
        <w:t>nas nodaļu nodrošināšana I līme</w:t>
      </w:r>
      <w:r w:rsidRPr="00007A5A">
        <w:rPr>
          <w:rFonts w:ascii="Times New Roman" w:hAnsi="Times New Roman"/>
          <w:b/>
          <w:sz w:val="24"/>
          <w:szCs w:val="24"/>
        </w:rPr>
        <w:t>ņa ārstniecības iestādēm un II līmeņa ārstniecības iestādei</w:t>
      </w:r>
      <w:r>
        <w:rPr>
          <w:rFonts w:ascii="Times New Roman" w:hAnsi="Times New Roman"/>
          <w:b/>
          <w:sz w:val="24"/>
          <w:szCs w:val="24"/>
        </w:rPr>
        <w:t xml:space="preserve"> nepieciešamais finansējums</w:t>
      </w:r>
    </w:p>
    <w:tbl>
      <w:tblPr>
        <w:tblW w:w="9367" w:type="dxa"/>
        <w:jc w:val="center"/>
        <w:tblLayout w:type="fixed"/>
        <w:tblLook w:val="04A0" w:firstRow="1" w:lastRow="0" w:firstColumn="1" w:lastColumn="0" w:noHBand="0" w:noVBand="1"/>
      </w:tblPr>
      <w:tblGrid>
        <w:gridCol w:w="5933"/>
        <w:gridCol w:w="1717"/>
        <w:gridCol w:w="1717"/>
      </w:tblGrid>
      <w:tr w:rsidR="00BD7A46" w:rsidRPr="0038075C" w14:paraId="2589CD54" w14:textId="3008C6DC" w:rsidTr="00E93259">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3DED452" w14:textId="77777777"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Pasākuma nosaukums</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6841E43" w14:textId="77777777"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2019.gadam</w:t>
            </w:r>
            <w:r>
              <w:rPr>
                <w:rFonts w:ascii="Times New Roman" w:eastAsia="Times New Roman" w:hAnsi="Times New Roman" w:cs="Times New Roman"/>
                <w:bCs/>
                <w:sz w:val="20"/>
                <w:szCs w:val="20"/>
                <w:lang w:eastAsia="lv-LV"/>
              </w:rPr>
              <w:t xml:space="preserve"> nepieciešamais finansējums </w:t>
            </w:r>
            <w:r w:rsidRPr="00131BB3">
              <w:rPr>
                <w:rFonts w:ascii="Times New Roman" w:eastAsia="Times New Roman" w:hAnsi="Times New Roman" w:cs="Times New Roman"/>
                <w:bCs/>
                <w:i/>
                <w:sz w:val="20"/>
                <w:szCs w:val="20"/>
                <w:lang w:eastAsia="lv-LV"/>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5BC1B3EC" w14:textId="73262FC4" w:rsidR="00BD7A46" w:rsidRPr="00BD7A46" w:rsidRDefault="00BD7A46" w:rsidP="00BD7A46">
            <w:pPr>
              <w:spacing w:after="0" w:line="240" w:lineRule="auto"/>
              <w:jc w:val="center"/>
              <w:rPr>
                <w:rFonts w:ascii="Times New Roman" w:eastAsia="Times New Roman" w:hAnsi="Times New Roman" w:cs="Times New Roman"/>
                <w:bCs/>
                <w:sz w:val="20"/>
                <w:szCs w:val="20"/>
                <w:lang w:eastAsia="lv-LV"/>
              </w:rPr>
            </w:pPr>
            <w:r w:rsidRPr="00D63888">
              <w:rPr>
                <w:rFonts w:ascii="Times New Roman" w:hAnsi="Times New Roman" w:cs="Times New Roman"/>
                <w:sz w:val="20"/>
                <w:szCs w:val="20"/>
              </w:rPr>
              <w:t>2019.gadam no 1.aprīļa nepieciešamais finansējums euro</w:t>
            </w:r>
          </w:p>
        </w:tc>
      </w:tr>
      <w:tr w:rsidR="00BD7A46" w:rsidRPr="0038075C" w14:paraId="0E414705" w14:textId="312041F2" w:rsidTr="00E93259">
        <w:trPr>
          <w:trHeight w:val="326"/>
          <w:jc w:val="center"/>
        </w:trPr>
        <w:tc>
          <w:tcPr>
            <w:tcW w:w="5933"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3296D2F4" w14:textId="77777777" w:rsidR="00BD7A46" w:rsidRPr="00007A5A" w:rsidRDefault="00BD7A46" w:rsidP="00BD7A46">
            <w:pPr>
              <w:spacing w:after="0" w:line="240" w:lineRule="auto"/>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Neatliekamās palīdzības un plānveida stacionārās veselības aprūpes pakalpojumu pieejamības nodrošināšanai:</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5F27A066" w14:textId="1DF9949E" w:rsidR="00BD7A46" w:rsidRPr="00007A5A" w:rsidRDefault="00BD7A46" w:rsidP="00BD7A46">
            <w:pPr>
              <w:spacing w:after="0" w:line="240" w:lineRule="auto"/>
              <w:jc w:val="center"/>
              <w:rPr>
                <w:rFonts w:ascii="Times New Roman" w:eastAsia="Times New Roman" w:hAnsi="Times New Roman" w:cs="Times New Roman"/>
                <w:b/>
                <w:bCs/>
                <w:color w:val="FF0000"/>
                <w:sz w:val="20"/>
                <w:szCs w:val="20"/>
                <w:lang w:eastAsia="lv-LV"/>
              </w:rPr>
            </w:pPr>
            <w:r w:rsidRPr="00007A5A">
              <w:rPr>
                <w:rFonts w:ascii="Times New Roman" w:eastAsia="Times New Roman" w:hAnsi="Times New Roman" w:cs="Times New Roman"/>
                <w:b/>
                <w:bCs/>
                <w:sz w:val="20"/>
                <w:szCs w:val="20"/>
                <w:lang w:eastAsia="lv-LV"/>
              </w:rPr>
              <w:t>2</w:t>
            </w:r>
            <w:r>
              <w:rPr>
                <w:rFonts w:ascii="Times New Roman" w:eastAsia="Times New Roman" w:hAnsi="Times New Roman" w:cs="Times New Roman"/>
                <w:b/>
                <w:bCs/>
                <w:sz w:val="20"/>
                <w:szCs w:val="20"/>
                <w:lang w:eastAsia="lv-LV"/>
              </w:rPr>
              <w:t> 832 576</w:t>
            </w:r>
          </w:p>
        </w:tc>
        <w:tc>
          <w:tcPr>
            <w:tcW w:w="1717" w:type="dxa"/>
            <w:tcBorders>
              <w:top w:val="nil"/>
              <w:left w:val="nil"/>
              <w:bottom w:val="single" w:sz="4" w:space="0" w:color="auto"/>
              <w:right w:val="single" w:sz="4" w:space="0" w:color="auto"/>
            </w:tcBorders>
            <w:shd w:val="clear" w:color="auto" w:fill="FFFFFF" w:themeFill="background1"/>
            <w:vAlign w:val="center"/>
          </w:tcPr>
          <w:p w14:paraId="3D8EB941" w14:textId="378D94BA" w:rsidR="00BD7A46" w:rsidRPr="00C63B8F" w:rsidRDefault="00BD7A46" w:rsidP="00BD7A46">
            <w:pPr>
              <w:spacing w:after="0" w:line="240" w:lineRule="auto"/>
              <w:jc w:val="center"/>
              <w:rPr>
                <w:rFonts w:ascii="Times New Roman" w:eastAsia="Times New Roman" w:hAnsi="Times New Roman" w:cs="Times New Roman"/>
                <w:b/>
                <w:bCs/>
                <w:sz w:val="20"/>
                <w:szCs w:val="20"/>
                <w:lang w:eastAsia="lv-LV"/>
              </w:rPr>
            </w:pPr>
            <w:r w:rsidRPr="00C63B8F">
              <w:rPr>
                <w:rFonts w:ascii="Times New Roman" w:hAnsi="Times New Roman" w:cs="Times New Roman"/>
                <w:b/>
                <w:sz w:val="20"/>
                <w:szCs w:val="20"/>
              </w:rPr>
              <w:t>2 12</w:t>
            </w:r>
            <w:r w:rsidR="00466F46" w:rsidRPr="00C63B8F">
              <w:rPr>
                <w:rFonts w:ascii="Times New Roman" w:hAnsi="Times New Roman" w:cs="Times New Roman"/>
                <w:b/>
                <w:sz w:val="20"/>
                <w:szCs w:val="20"/>
              </w:rPr>
              <w:t>4</w:t>
            </w:r>
            <w:r w:rsidRPr="00C63B8F">
              <w:rPr>
                <w:rFonts w:ascii="Times New Roman" w:hAnsi="Times New Roman" w:cs="Times New Roman"/>
                <w:b/>
                <w:sz w:val="20"/>
                <w:szCs w:val="20"/>
              </w:rPr>
              <w:t xml:space="preserve"> 432</w:t>
            </w:r>
          </w:p>
        </w:tc>
      </w:tr>
      <w:tr w:rsidR="00BD7A46" w:rsidRPr="0038075C" w14:paraId="2DDAAD3A" w14:textId="2765D260" w:rsidTr="00E93259">
        <w:trPr>
          <w:trHeight w:val="353"/>
          <w:jc w:val="center"/>
        </w:trPr>
        <w:tc>
          <w:tcPr>
            <w:tcW w:w="5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E35BF" w14:textId="2012BF0F" w:rsidR="00BD7A46" w:rsidRPr="00007A5A" w:rsidRDefault="00BD7A46" w:rsidP="004D799D">
            <w:pPr>
              <w:spacing w:after="0" w:line="240" w:lineRule="auto"/>
              <w:jc w:val="both"/>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Neatliekamās palīdzības, uzņemšanas nodaļas darbības nodrošināšana specializētajās ārstniecības iestādēs (noteikuma projekta 6.pielikuma  1.7.5., 1.7.6., 1.7.7.apakšpunkts)</w:t>
            </w:r>
            <w:r w:rsidR="009A0B5A">
              <w:rPr>
                <w:rFonts w:ascii="Times New Roman" w:eastAsia="Times New Roman" w:hAnsi="Times New Roman" w:cs="Times New Roman"/>
                <w:bCs/>
                <w:sz w:val="20"/>
                <w:szCs w:val="20"/>
                <w:lang w:eastAsia="lv-LV"/>
              </w:rPr>
              <w:t xml:space="preserve"> </w:t>
            </w:r>
            <w:r w:rsidR="009A0B5A" w:rsidRPr="009A0B5A">
              <w:rPr>
                <w:rFonts w:ascii="Times New Roman" w:eastAsia="Times New Roman" w:hAnsi="Times New Roman" w:cs="Times New Roman"/>
                <w:bCs/>
                <w:sz w:val="20"/>
                <w:szCs w:val="20"/>
                <w:lang w:eastAsia="lv-LV"/>
              </w:rPr>
              <w:t>(</w:t>
            </w:r>
            <w:r w:rsidR="009A0B5A" w:rsidRPr="009A0B5A">
              <w:rPr>
                <w:rFonts w:ascii="Times New Roman" w:hAnsi="Times New Roman" w:cs="Times New Roman"/>
                <w:sz w:val="20"/>
                <w:szCs w:val="20"/>
                <w:shd w:val="clear" w:color="auto" w:fill="FFFFFF"/>
              </w:rPr>
              <w:t>Sabiedrība ar ierobežotu atbildību "Siguldas slimnīca", Sabiedrība ar ierobežotu atbildību "Līvānu slimnīca", Sabiedrība ar ierobežotu atbildību "Aizkraukles slimnīca", Sabiedrība ar ierobežotu atbildību "Bauskas slimnīca", Sabiedrība ar ierobežotu atbildību "Limbažu slimnīca", Sabiedrība ar ierobežotu atbildību "Ludzas medicīnas centrs", Sabiedrība ar ierobežotu atbildību "Saldus medicīnas centrs"</w:t>
            </w:r>
            <w:r w:rsidR="009A0B5A" w:rsidRPr="009A0B5A">
              <w:rPr>
                <w:rFonts w:ascii="Times New Roman" w:eastAsia="Times New Roman" w:hAnsi="Times New Roman" w:cs="Times New Roman"/>
                <w:bCs/>
                <w:sz w:val="20"/>
                <w:szCs w:val="20"/>
                <w:lang w:eastAsia="lv-LV"/>
              </w:rPr>
              <w:t>)</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4870E3A9" w14:textId="77777777"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516 852</w:t>
            </w:r>
          </w:p>
        </w:tc>
        <w:tc>
          <w:tcPr>
            <w:tcW w:w="1717" w:type="dxa"/>
            <w:tcBorders>
              <w:top w:val="nil"/>
              <w:left w:val="nil"/>
              <w:bottom w:val="single" w:sz="4" w:space="0" w:color="auto"/>
              <w:right w:val="single" w:sz="4" w:space="0" w:color="auto"/>
            </w:tcBorders>
            <w:shd w:val="clear" w:color="auto" w:fill="FFFFFF" w:themeFill="background1"/>
            <w:vAlign w:val="center"/>
          </w:tcPr>
          <w:p w14:paraId="08446599" w14:textId="5A3CE639" w:rsidR="00BD7A46" w:rsidRPr="00BD7A46" w:rsidRDefault="00BD7A46" w:rsidP="00BD7A46">
            <w:pPr>
              <w:spacing w:after="0" w:line="240" w:lineRule="auto"/>
              <w:jc w:val="center"/>
              <w:rPr>
                <w:rFonts w:ascii="Times New Roman" w:eastAsia="Times New Roman" w:hAnsi="Times New Roman" w:cs="Times New Roman"/>
                <w:bCs/>
                <w:sz w:val="20"/>
                <w:szCs w:val="20"/>
                <w:lang w:eastAsia="lv-LV"/>
              </w:rPr>
            </w:pPr>
            <w:r w:rsidRPr="00BD7A46">
              <w:rPr>
                <w:rFonts w:ascii="Times New Roman" w:hAnsi="Times New Roman" w:cs="Times New Roman"/>
                <w:sz w:val="20"/>
                <w:szCs w:val="20"/>
              </w:rPr>
              <w:t>387 639</w:t>
            </w:r>
          </w:p>
        </w:tc>
      </w:tr>
      <w:tr w:rsidR="00BD7A46" w:rsidRPr="0038075C" w14:paraId="44FAE91B" w14:textId="42FA6551" w:rsidTr="00E93259">
        <w:trPr>
          <w:trHeight w:val="427"/>
          <w:jc w:val="center"/>
        </w:trPr>
        <w:tc>
          <w:tcPr>
            <w:tcW w:w="5933"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393453F3" w14:textId="628BE6BD" w:rsidR="00BD7A46" w:rsidRPr="004D799D" w:rsidRDefault="00BD7A46" w:rsidP="004D799D">
            <w:pPr>
              <w:spacing w:after="0" w:line="240" w:lineRule="auto"/>
              <w:jc w:val="both"/>
              <w:rPr>
                <w:rFonts w:ascii="Times New Roman" w:eastAsia="Times New Roman" w:hAnsi="Times New Roman" w:cs="Times New Roman"/>
                <w:sz w:val="20"/>
                <w:szCs w:val="20"/>
                <w:lang w:eastAsia="lv-LV"/>
              </w:rPr>
            </w:pPr>
            <w:r w:rsidRPr="004D799D">
              <w:rPr>
                <w:rFonts w:ascii="Times New Roman" w:eastAsia="Times New Roman" w:hAnsi="Times New Roman" w:cs="Times New Roman"/>
                <w:sz w:val="20"/>
                <w:szCs w:val="20"/>
                <w:lang w:eastAsia="lv-LV"/>
              </w:rPr>
              <w:t>Neatliekamās palīdzības, uzņemšanas nodaļas darbības nodrošināšana</w:t>
            </w:r>
            <w:r w:rsidR="00CB751B" w:rsidRPr="004D799D">
              <w:rPr>
                <w:rFonts w:ascii="Times New Roman" w:eastAsia="Times New Roman" w:hAnsi="Times New Roman" w:cs="Times New Roman"/>
                <w:sz w:val="20"/>
                <w:szCs w:val="20"/>
                <w:lang w:eastAsia="lv-LV"/>
              </w:rPr>
              <w:t xml:space="preserve"> </w:t>
            </w:r>
            <w:r w:rsidR="00CB751B" w:rsidRPr="004D799D">
              <w:rPr>
                <w:rFonts w:ascii="Times New Roman" w:eastAsia="Times New Roman" w:hAnsi="Times New Roman" w:cs="Times New Roman"/>
                <w:sz w:val="20"/>
                <w:szCs w:val="20"/>
                <w:u w:val="single"/>
                <w:lang w:eastAsia="lv-LV"/>
              </w:rPr>
              <w:t>atsevišķās</w:t>
            </w:r>
            <w:r w:rsidRPr="004D799D">
              <w:rPr>
                <w:rFonts w:ascii="Times New Roman" w:eastAsia="Times New Roman" w:hAnsi="Times New Roman" w:cs="Times New Roman"/>
                <w:sz w:val="20"/>
                <w:szCs w:val="20"/>
                <w:lang w:eastAsia="lv-LV"/>
              </w:rPr>
              <w:t xml:space="preserve"> I līmeņa ārstniecības iestādēs un II līmeņa ārstniecības iestādē</w:t>
            </w:r>
            <w:r w:rsidR="00BA76AB" w:rsidRPr="004D799D">
              <w:rPr>
                <w:rFonts w:ascii="Times New Roman" w:eastAsia="Times New Roman" w:hAnsi="Times New Roman" w:cs="Times New Roman"/>
                <w:sz w:val="20"/>
                <w:szCs w:val="20"/>
                <w:lang w:eastAsia="lv-LV"/>
              </w:rPr>
              <w:t>s</w:t>
            </w:r>
            <w:r w:rsidRPr="004D799D">
              <w:rPr>
                <w:rFonts w:ascii="Times New Roman" w:eastAsia="Times New Roman" w:hAnsi="Times New Roman" w:cs="Times New Roman"/>
                <w:sz w:val="20"/>
                <w:szCs w:val="20"/>
                <w:lang w:eastAsia="lv-LV"/>
              </w:rPr>
              <w:t xml:space="preserve"> (noteikuma projekta 6.pielikuma 1.5.apakšpunkts un 1.4.5.apakšpunkts)</w:t>
            </w:r>
            <w:r w:rsidR="009A0B5A" w:rsidRPr="004D799D">
              <w:rPr>
                <w:rFonts w:ascii="Times New Roman" w:eastAsia="Times New Roman" w:hAnsi="Times New Roman" w:cs="Times New Roman"/>
                <w:sz w:val="20"/>
                <w:szCs w:val="20"/>
                <w:lang w:eastAsia="lv-LV"/>
              </w:rPr>
              <w:t xml:space="preserve"> (</w:t>
            </w:r>
            <w:r w:rsidR="009A0B5A" w:rsidRPr="004D799D">
              <w:rPr>
                <w:rFonts w:ascii="Times New Roman" w:hAnsi="Times New Roman" w:cs="Times New Roman"/>
                <w:sz w:val="20"/>
                <w:szCs w:val="20"/>
              </w:rPr>
              <w:t>Valsts sabiedrība ar ierobežotu atbildību "Daugavpils psihoneiroloģiskā slimnīca""</w:t>
            </w:r>
            <w:r w:rsidR="009A0B5A" w:rsidRPr="004D799D">
              <w:rPr>
                <w:rFonts w:ascii="Times New Roman" w:hAnsi="Times New Roman" w:cs="Times New Roman"/>
                <w:sz w:val="20"/>
                <w:szCs w:val="20"/>
              </w:rPr>
              <w:t>, Valsts sabiedrība ar ierobežotu atbildību "Slimnīca "Ģintermuiža"", Valsts sabiedrība ar ierobežotu atbildību "Piejūras slimnīca"</w:t>
            </w:r>
            <w:r w:rsidR="009A0B5A" w:rsidRPr="004D799D">
              <w:rPr>
                <w:rFonts w:ascii="Times New Roman" w:eastAsia="Times New Roman" w:hAnsi="Times New Roman" w:cs="Times New Roman"/>
                <w:sz w:val="20"/>
                <w:szCs w:val="20"/>
                <w:lang w:eastAsia="lv-LV"/>
              </w:rPr>
              <w:t>)</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14:paraId="27856EDD" w14:textId="157C8FF0"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436FB5">
              <w:rPr>
                <w:rFonts w:ascii="Times New Roman" w:eastAsia="Times New Roman" w:hAnsi="Times New Roman" w:cs="Times New Roman"/>
                <w:bCs/>
                <w:sz w:val="20"/>
                <w:szCs w:val="20"/>
                <w:lang w:eastAsia="lv-LV"/>
              </w:rPr>
              <w:t>1 363 240</w:t>
            </w:r>
          </w:p>
        </w:tc>
        <w:tc>
          <w:tcPr>
            <w:tcW w:w="1717" w:type="dxa"/>
            <w:tcBorders>
              <w:top w:val="nil"/>
              <w:left w:val="nil"/>
              <w:bottom w:val="single" w:sz="4" w:space="0" w:color="auto"/>
              <w:right w:val="single" w:sz="4" w:space="0" w:color="auto"/>
            </w:tcBorders>
            <w:shd w:val="clear" w:color="auto" w:fill="FFFFFF" w:themeFill="background1"/>
            <w:vAlign w:val="center"/>
          </w:tcPr>
          <w:p w14:paraId="1B0D99E3" w14:textId="64A65819" w:rsidR="00BD7A46" w:rsidRPr="00BD7A46" w:rsidRDefault="00BD7A46" w:rsidP="00BD7A46">
            <w:pPr>
              <w:spacing w:after="0" w:line="240" w:lineRule="auto"/>
              <w:jc w:val="center"/>
              <w:rPr>
                <w:rFonts w:ascii="Times New Roman" w:eastAsia="Times New Roman" w:hAnsi="Times New Roman" w:cs="Times New Roman"/>
                <w:sz w:val="20"/>
                <w:szCs w:val="20"/>
                <w:lang w:eastAsia="lv-LV"/>
              </w:rPr>
            </w:pPr>
            <w:r w:rsidRPr="00D63888">
              <w:rPr>
                <w:rFonts w:ascii="Times New Roman" w:hAnsi="Times New Roman" w:cs="Times New Roman"/>
                <w:sz w:val="20"/>
                <w:szCs w:val="20"/>
              </w:rPr>
              <w:t>1 022 430</w:t>
            </w:r>
          </w:p>
        </w:tc>
      </w:tr>
      <w:tr w:rsidR="00BD7A46" w:rsidRPr="0038075C" w14:paraId="2083E4A4" w14:textId="73D55B8C" w:rsidTr="00E93259">
        <w:trPr>
          <w:trHeight w:val="340"/>
          <w:jc w:val="center"/>
        </w:trPr>
        <w:tc>
          <w:tcPr>
            <w:tcW w:w="5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D7BF6" w14:textId="4B982845" w:rsidR="00BD7A46" w:rsidRPr="00493539" w:rsidRDefault="00BD7A46" w:rsidP="00493539">
            <w:pPr>
              <w:spacing w:after="0" w:line="240" w:lineRule="auto"/>
              <w:rPr>
                <w:rFonts w:ascii="Times New Roman" w:eastAsia="Times New Roman" w:hAnsi="Times New Roman" w:cs="Times New Roman"/>
                <w:sz w:val="20"/>
                <w:szCs w:val="20"/>
                <w:lang w:eastAsia="lv-LV"/>
              </w:rPr>
            </w:pPr>
            <w:r w:rsidRPr="00E12849">
              <w:rPr>
                <w:rFonts w:ascii="Times New Roman" w:eastAsia="Times New Roman" w:hAnsi="Times New Roman" w:cs="Times New Roman"/>
                <w:sz w:val="20"/>
                <w:szCs w:val="20"/>
                <w:lang w:eastAsia="lv-LV"/>
              </w:rPr>
              <w:t xml:space="preserve">Ķirurģiskā profila stacionāro pakalpojumu  II līmeņa </w:t>
            </w:r>
            <w:r w:rsidR="00BA76AB" w:rsidRPr="00E12849">
              <w:rPr>
                <w:rFonts w:ascii="Times New Roman" w:eastAsia="Times New Roman" w:hAnsi="Times New Roman" w:cs="Times New Roman"/>
                <w:sz w:val="20"/>
                <w:szCs w:val="20"/>
                <w:lang w:eastAsia="lv-LV"/>
              </w:rPr>
              <w:t xml:space="preserve">slimnīcā </w:t>
            </w:r>
            <w:r w:rsidRPr="00E12849">
              <w:rPr>
                <w:rFonts w:ascii="Times New Roman" w:eastAsia="Times New Roman" w:hAnsi="Times New Roman" w:cs="Times New Roman"/>
                <w:sz w:val="20"/>
                <w:szCs w:val="20"/>
                <w:lang w:eastAsia="lv-LV"/>
              </w:rPr>
              <w:t>(6.pielikuma 1.4.5.apakšpunkts)</w:t>
            </w:r>
            <w:r w:rsidR="004D799D">
              <w:rPr>
                <w:rFonts w:ascii="Times New Roman" w:eastAsia="Times New Roman" w:hAnsi="Times New Roman" w:cs="Times New Roman"/>
                <w:sz w:val="20"/>
                <w:szCs w:val="20"/>
                <w:lang w:eastAsia="lv-LV"/>
              </w:rPr>
              <w:t xml:space="preserve"> (SIA “Siguldas slimnīca”)</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2E196D53" w14:textId="66AAA0BC"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952</w:t>
            </w:r>
            <w:r>
              <w:rPr>
                <w:rFonts w:ascii="Times New Roman" w:eastAsia="Times New Roman" w:hAnsi="Times New Roman" w:cs="Times New Roman"/>
                <w:bCs/>
                <w:sz w:val="20"/>
                <w:szCs w:val="20"/>
                <w:lang w:eastAsia="lv-LV"/>
              </w:rPr>
              <w:t> </w:t>
            </w:r>
            <w:r w:rsidRPr="00007A5A">
              <w:rPr>
                <w:rFonts w:ascii="Times New Roman" w:eastAsia="Times New Roman" w:hAnsi="Times New Roman" w:cs="Times New Roman"/>
                <w:bCs/>
                <w:sz w:val="20"/>
                <w:szCs w:val="20"/>
                <w:lang w:eastAsia="lv-LV"/>
              </w:rPr>
              <w:t>484</w:t>
            </w:r>
          </w:p>
        </w:tc>
        <w:tc>
          <w:tcPr>
            <w:tcW w:w="1717" w:type="dxa"/>
            <w:tcBorders>
              <w:top w:val="nil"/>
              <w:left w:val="nil"/>
              <w:bottom w:val="single" w:sz="4" w:space="0" w:color="auto"/>
              <w:right w:val="single" w:sz="4" w:space="0" w:color="auto"/>
            </w:tcBorders>
            <w:shd w:val="clear" w:color="auto" w:fill="FFFFFF" w:themeFill="background1"/>
            <w:vAlign w:val="center"/>
          </w:tcPr>
          <w:p w14:paraId="5B261201" w14:textId="5C8E9F9B" w:rsidR="00BD7A46" w:rsidRPr="00BD7A46" w:rsidRDefault="00BD7A46" w:rsidP="00BD7A46">
            <w:pPr>
              <w:spacing w:after="0" w:line="240" w:lineRule="auto"/>
              <w:jc w:val="center"/>
              <w:rPr>
                <w:rFonts w:ascii="Times New Roman" w:eastAsia="Times New Roman" w:hAnsi="Times New Roman" w:cs="Times New Roman"/>
                <w:bCs/>
                <w:sz w:val="20"/>
                <w:szCs w:val="20"/>
                <w:lang w:eastAsia="lv-LV"/>
              </w:rPr>
            </w:pPr>
            <w:r w:rsidRPr="00D63888">
              <w:rPr>
                <w:rFonts w:ascii="Times New Roman" w:hAnsi="Times New Roman" w:cs="Times New Roman"/>
                <w:sz w:val="20"/>
                <w:szCs w:val="20"/>
              </w:rPr>
              <w:t>714 363</w:t>
            </w:r>
          </w:p>
        </w:tc>
      </w:tr>
    </w:tbl>
    <w:p w14:paraId="6C1CD45D" w14:textId="77777777" w:rsidR="00022C54" w:rsidRDefault="00022C54" w:rsidP="0050396F">
      <w:pPr>
        <w:spacing w:after="120"/>
        <w:jc w:val="both"/>
        <w:rPr>
          <w:rFonts w:ascii="Calibri" w:hAnsi="Calibri" w:cs="Calibri"/>
          <w:color w:val="1F497D"/>
          <w:shd w:val="clear" w:color="auto" w:fill="FFFFFF"/>
        </w:rPr>
      </w:pPr>
    </w:p>
    <w:p w14:paraId="7F31D8BC" w14:textId="7BAB3FFF" w:rsidR="00C63B8F" w:rsidRDefault="00AE6690" w:rsidP="00493539">
      <w:pPr>
        <w:spacing w:after="120"/>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63B8F">
        <w:rPr>
          <w:rFonts w:ascii="Times New Roman" w:hAnsi="Times New Roman" w:cs="Times New Roman"/>
          <w:sz w:val="24"/>
          <w:szCs w:val="24"/>
          <w:shd w:val="clear" w:color="auto" w:fill="FFFFFF"/>
        </w:rPr>
        <w:t>Papildus pakalpojumu nodrošināšana paredzēta atsevišķās slimnīcās</w:t>
      </w:r>
      <w:r w:rsidR="001D382C">
        <w:rPr>
          <w:rFonts w:ascii="Times New Roman" w:hAnsi="Times New Roman" w:cs="Times New Roman"/>
          <w:sz w:val="24"/>
          <w:szCs w:val="24"/>
          <w:shd w:val="clear" w:color="auto" w:fill="FFFFFF"/>
        </w:rPr>
        <w:t xml:space="preserve"> (</w:t>
      </w:r>
      <w:r w:rsidR="004D799D">
        <w:rPr>
          <w:rFonts w:ascii="Times New Roman" w:hAnsi="Times New Roman" w:cs="Times New Roman"/>
          <w:sz w:val="24"/>
          <w:szCs w:val="24"/>
          <w:shd w:val="clear" w:color="auto" w:fill="FFFFFF"/>
        </w:rPr>
        <w:t>82.tabula</w:t>
      </w:r>
      <w:r w:rsidR="001D382C">
        <w:rPr>
          <w:rFonts w:ascii="Times New Roman" w:hAnsi="Times New Roman" w:cs="Times New Roman"/>
          <w:sz w:val="24"/>
          <w:szCs w:val="24"/>
          <w:shd w:val="clear" w:color="auto" w:fill="FFFFFF"/>
        </w:rPr>
        <w:t>)</w:t>
      </w:r>
      <w:r w:rsidR="00C63B8F">
        <w:rPr>
          <w:rFonts w:ascii="Times New Roman" w:hAnsi="Times New Roman" w:cs="Times New Roman"/>
          <w:sz w:val="24"/>
          <w:szCs w:val="24"/>
          <w:shd w:val="clear" w:color="auto" w:fill="FFFFFF"/>
        </w:rPr>
        <w:t>, kur nepieciešams piesaistīt papildus speciālistus, lai nodrošinātu konkrētu veselības aprūpes pakalpojumu saņemšanu.</w:t>
      </w:r>
    </w:p>
    <w:p w14:paraId="7CEA340D" w14:textId="46EFF90A" w:rsidR="0050396F" w:rsidRPr="00E93259" w:rsidRDefault="00022C54" w:rsidP="00493539">
      <w:pPr>
        <w:spacing w:after="120"/>
        <w:ind w:firstLine="720"/>
        <w:jc w:val="both"/>
        <w:rPr>
          <w:rFonts w:ascii="Times New Roman" w:hAnsi="Times New Roman" w:cs="Times New Roman"/>
          <w:sz w:val="24"/>
          <w:szCs w:val="24"/>
          <w:shd w:val="clear" w:color="auto" w:fill="FFFFFF"/>
        </w:rPr>
      </w:pPr>
      <w:r w:rsidRPr="00E93259">
        <w:rPr>
          <w:rFonts w:ascii="Times New Roman" w:hAnsi="Times New Roman" w:cs="Times New Roman"/>
          <w:sz w:val="24"/>
          <w:szCs w:val="24"/>
          <w:shd w:val="clear" w:color="auto" w:fill="FFFFFF"/>
        </w:rPr>
        <w:t xml:space="preserve">Uzņemšanas nodaļas tiek finansētas pēc fiksēta maksājuma principa 1/12 daļa mēnesī no gadam plānotā apjoma atbilstoši Ministru kabineta 2018. </w:t>
      </w:r>
      <w:r w:rsidR="00CB751B">
        <w:rPr>
          <w:rFonts w:ascii="Times New Roman" w:hAnsi="Times New Roman" w:cs="Times New Roman"/>
          <w:sz w:val="24"/>
          <w:szCs w:val="24"/>
          <w:shd w:val="clear" w:color="auto" w:fill="FFFFFF"/>
        </w:rPr>
        <w:t>gada 28. augusta noteikumos Nr. </w:t>
      </w:r>
      <w:r w:rsidRPr="00E93259">
        <w:rPr>
          <w:rFonts w:ascii="Times New Roman" w:hAnsi="Times New Roman" w:cs="Times New Roman"/>
          <w:sz w:val="24"/>
          <w:szCs w:val="24"/>
          <w:shd w:val="clear" w:color="auto" w:fill="FFFFFF"/>
        </w:rPr>
        <w:t>555 “Veselības aprūpes pakalpojumu organizēšanas un samaksas kārtība” 6. un 10</w:t>
      </w:r>
      <w:r w:rsidR="003F5285">
        <w:rPr>
          <w:rFonts w:ascii="Times New Roman" w:hAnsi="Times New Roman" w:cs="Times New Roman"/>
          <w:sz w:val="24"/>
          <w:szCs w:val="24"/>
          <w:shd w:val="clear" w:color="auto" w:fill="FFFFFF"/>
        </w:rPr>
        <w:t>.</w:t>
      </w:r>
      <w:r w:rsidRPr="00E93259">
        <w:rPr>
          <w:rFonts w:ascii="Times New Roman" w:hAnsi="Times New Roman" w:cs="Times New Roman"/>
          <w:sz w:val="24"/>
          <w:szCs w:val="24"/>
          <w:shd w:val="clear" w:color="auto" w:fill="FFFFFF"/>
        </w:rPr>
        <w:t xml:space="preserve"> pielikumos noteiktajam. </w:t>
      </w:r>
    </w:p>
    <w:p w14:paraId="548E35EF" w14:textId="7B45DF83" w:rsidR="00DE2747" w:rsidRPr="00E93259" w:rsidRDefault="00DE2747" w:rsidP="00E93259">
      <w:pPr>
        <w:shd w:val="clear" w:color="auto" w:fill="FFFFFF" w:themeFill="background1"/>
        <w:spacing w:after="0" w:line="240" w:lineRule="auto"/>
        <w:ind w:firstLine="720"/>
        <w:jc w:val="both"/>
        <w:rPr>
          <w:rFonts w:ascii="Times New Roman" w:eastAsia="Times New Roman" w:hAnsi="Times New Roman" w:cs="Times New Roman"/>
          <w:sz w:val="24"/>
          <w:szCs w:val="24"/>
          <w:lang w:eastAsia="lv-LV"/>
        </w:rPr>
      </w:pPr>
      <w:r w:rsidRPr="00E93259">
        <w:rPr>
          <w:rFonts w:ascii="Times New Roman" w:eastAsia="Times New Roman" w:hAnsi="Times New Roman" w:cs="Times New Roman"/>
          <w:bCs/>
          <w:sz w:val="24"/>
          <w:szCs w:val="24"/>
          <w:lang w:eastAsia="lv-LV"/>
        </w:rPr>
        <w:lastRenderedPageBreak/>
        <w:t>Uzņemšanas nodaļu finansējums ietver</w:t>
      </w:r>
      <w:r w:rsidRPr="00E93259">
        <w:rPr>
          <w:rFonts w:ascii="Times New Roman" w:eastAsia="Times New Roman" w:hAnsi="Times New Roman" w:cs="Times New Roman"/>
          <w:b/>
          <w:bCs/>
          <w:sz w:val="24"/>
          <w:szCs w:val="24"/>
          <w:lang w:eastAsia="lv-LV"/>
        </w:rPr>
        <w:t xml:space="preserve"> i</w:t>
      </w:r>
      <w:r w:rsidRPr="00E93259">
        <w:rPr>
          <w:rFonts w:ascii="Times New Roman" w:eastAsia="Times New Roman" w:hAnsi="Times New Roman" w:cs="Times New Roman"/>
          <w:sz w:val="24"/>
          <w:szCs w:val="24"/>
          <w:lang w:eastAsia="lv-LV"/>
        </w:rPr>
        <w:t>zdevumu segšanu uzņemšanas nodaļās sekojošās pozīcijās:</w:t>
      </w:r>
    </w:p>
    <w:p w14:paraId="6EB7E1B2" w14:textId="2B836835" w:rsidR="00DE2747" w:rsidRPr="00E93259" w:rsidRDefault="00DE2747" w:rsidP="00E93259">
      <w:pPr>
        <w:pStyle w:val="ListParagraph"/>
        <w:numPr>
          <w:ilvl w:val="0"/>
          <w:numId w:val="42"/>
        </w:numPr>
        <w:shd w:val="clear" w:color="auto" w:fill="FFFFFF" w:themeFill="background1"/>
        <w:spacing w:after="0" w:line="240" w:lineRule="auto"/>
        <w:rPr>
          <w:rFonts w:ascii="Times New Roman" w:eastAsia="Times New Roman" w:hAnsi="Times New Roman"/>
          <w:sz w:val="24"/>
          <w:szCs w:val="24"/>
          <w:lang w:eastAsia="lv-LV"/>
        </w:rPr>
      </w:pPr>
      <w:r w:rsidRPr="00E93259">
        <w:rPr>
          <w:rFonts w:ascii="Times New Roman" w:eastAsia="Times New Roman" w:hAnsi="Times New Roman"/>
          <w:sz w:val="24"/>
          <w:szCs w:val="24"/>
          <w:lang w:eastAsia="lv-LV"/>
        </w:rPr>
        <w:t>Darba</w:t>
      </w:r>
      <w:r w:rsidR="52B20BA9" w:rsidRPr="00E93259">
        <w:rPr>
          <w:rFonts w:ascii="Times New Roman" w:eastAsia="Times New Roman" w:hAnsi="Times New Roman"/>
          <w:sz w:val="24"/>
          <w:szCs w:val="24"/>
          <w:lang w:eastAsia="lv-LV"/>
        </w:rPr>
        <w:t xml:space="preserve"> samaksa,</w:t>
      </w:r>
    </w:p>
    <w:p w14:paraId="1F5A5BA2" w14:textId="56350534" w:rsidR="00DE2747" w:rsidRPr="00E93259" w:rsidRDefault="00DE2747" w:rsidP="00E93259">
      <w:pPr>
        <w:pStyle w:val="ListParagraph"/>
        <w:numPr>
          <w:ilvl w:val="0"/>
          <w:numId w:val="42"/>
        </w:numPr>
        <w:shd w:val="clear" w:color="auto" w:fill="FFFFFF" w:themeFill="background1"/>
        <w:spacing w:after="0" w:line="240" w:lineRule="auto"/>
        <w:rPr>
          <w:rFonts w:ascii="Times New Roman" w:eastAsia="Times New Roman" w:hAnsi="Times New Roman"/>
          <w:sz w:val="24"/>
          <w:szCs w:val="24"/>
          <w:lang w:eastAsia="lv-LV"/>
        </w:rPr>
      </w:pPr>
      <w:r w:rsidRPr="00E93259">
        <w:rPr>
          <w:rFonts w:ascii="Times New Roman" w:eastAsia="Times New Roman" w:hAnsi="Times New Roman"/>
          <w:sz w:val="24"/>
          <w:szCs w:val="24"/>
          <w:lang w:eastAsia="lv-LV"/>
        </w:rPr>
        <w:t>Valsts</w:t>
      </w:r>
      <w:r w:rsidR="52B20BA9" w:rsidRPr="00E93259">
        <w:rPr>
          <w:rFonts w:ascii="Times New Roman" w:eastAsia="Times New Roman" w:hAnsi="Times New Roman"/>
          <w:sz w:val="24"/>
          <w:szCs w:val="24"/>
          <w:lang w:eastAsia="lv-LV"/>
        </w:rPr>
        <w:t xml:space="preserve"> sociālās apdrošināšanas obligātās iemaksas,</w:t>
      </w:r>
    </w:p>
    <w:p w14:paraId="2F3F7E97" w14:textId="77777777" w:rsidR="00DE2747" w:rsidRPr="00E93259" w:rsidRDefault="00DE2747" w:rsidP="00E93259">
      <w:pPr>
        <w:pStyle w:val="ListParagraph"/>
        <w:numPr>
          <w:ilvl w:val="0"/>
          <w:numId w:val="42"/>
        </w:numPr>
        <w:shd w:val="clear" w:color="auto" w:fill="FFFFFF" w:themeFill="background1"/>
        <w:spacing w:after="0" w:line="240" w:lineRule="auto"/>
        <w:rPr>
          <w:rFonts w:ascii="Times New Roman" w:eastAsia="Times New Roman" w:hAnsi="Times New Roman"/>
          <w:sz w:val="24"/>
          <w:szCs w:val="24"/>
          <w:lang w:eastAsia="lv-LV"/>
        </w:rPr>
      </w:pPr>
      <w:r w:rsidRPr="00E93259">
        <w:rPr>
          <w:rFonts w:ascii="Times New Roman" w:eastAsia="Times New Roman" w:hAnsi="Times New Roman"/>
          <w:sz w:val="24"/>
          <w:szCs w:val="24"/>
          <w:lang w:eastAsia="lv-LV"/>
        </w:rPr>
        <w:t>Ārstniecības</w:t>
      </w:r>
      <w:r w:rsidR="52B20BA9" w:rsidRPr="00E93259">
        <w:rPr>
          <w:rFonts w:ascii="Times New Roman" w:eastAsia="Times New Roman" w:hAnsi="Times New Roman"/>
          <w:sz w:val="24"/>
          <w:szCs w:val="24"/>
          <w:lang w:eastAsia="lv-LV"/>
        </w:rPr>
        <w:t xml:space="preserve"> līdzekļi,</w:t>
      </w:r>
    </w:p>
    <w:p w14:paraId="2E5CDAD3" w14:textId="3FAEC81B" w:rsidR="00DE2747" w:rsidRPr="00E93259" w:rsidRDefault="00DE2747" w:rsidP="00E93259">
      <w:pPr>
        <w:pStyle w:val="ListParagraph"/>
        <w:numPr>
          <w:ilvl w:val="0"/>
          <w:numId w:val="42"/>
        </w:numPr>
        <w:shd w:val="clear" w:color="auto" w:fill="FFFFFF" w:themeFill="background1"/>
        <w:spacing w:after="0" w:line="240" w:lineRule="auto"/>
        <w:rPr>
          <w:rFonts w:ascii="Times New Roman" w:eastAsia="Times New Roman" w:hAnsi="Times New Roman"/>
          <w:sz w:val="24"/>
          <w:szCs w:val="24"/>
          <w:lang w:eastAsia="lv-LV"/>
        </w:rPr>
      </w:pPr>
      <w:r w:rsidRPr="00E93259">
        <w:rPr>
          <w:rFonts w:ascii="Times New Roman" w:eastAsia="Times New Roman" w:hAnsi="Times New Roman"/>
          <w:sz w:val="24"/>
          <w:szCs w:val="24"/>
          <w:lang w:eastAsia="lv-LV"/>
        </w:rPr>
        <w:t>Pieskaitāmās</w:t>
      </w:r>
      <w:r w:rsidR="52B20BA9" w:rsidRPr="00E93259">
        <w:rPr>
          <w:rFonts w:ascii="Times New Roman" w:eastAsia="Times New Roman" w:hAnsi="Times New Roman"/>
          <w:sz w:val="24"/>
          <w:szCs w:val="24"/>
          <w:lang w:eastAsia="lv-LV"/>
        </w:rPr>
        <w:t xml:space="preserve"> un netiešās ražošanas izmaksas,</w:t>
      </w:r>
    </w:p>
    <w:p w14:paraId="3B43A04D" w14:textId="0C9CA595" w:rsidR="00DE2747" w:rsidRPr="00E93259" w:rsidRDefault="00DE2747" w:rsidP="00E93259">
      <w:pPr>
        <w:pStyle w:val="ListParagraph"/>
        <w:numPr>
          <w:ilvl w:val="0"/>
          <w:numId w:val="42"/>
        </w:numPr>
        <w:shd w:val="clear" w:color="auto" w:fill="FFFFFF" w:themeFill="background1"/>
        <w:spacing w:after="0" w:line="240" w:lineRule="auto"/>
        <w:rPr>
          <w:rFonts w:ascii="Times New Roman" w:eastAsia="Times New Roman" w:hAnsi="Times New Roman"/>
          <w:sz w:val="24"/>
          <w:szCs w:val="24"/>
          <w:lang w:eastAsia="lv-LV"/>
        </w:rPr>
      </w:pPr>
      <w:r w:rsidRPr="00E93259">
        <w:rPr>
          <w:rFonts w:ascii="Times New Roman" w:eastAsia="Times New Roman" w:hAnsi="Times New Roman"/>
          <w:sz w:val="24"/>
          <w:szCs w:val="24"/>
          <w:lang w:eastAsia="lv-LV"/>
        </w:rPr>
        <w:t>Administratīvie</w:t>
      </w:r>
      <w:r w:rsidR="52B20BA9" w:rsidRPr="00E93259">
        <w:rPr>
          <w:rFonts w:ascii="Times New Roman" w:eastAsia="Times New Roman" w:hAnsi="Times New Roman"/>
          <w:sz w:val="24"/>
          <w:szCs w:val="24"/>
          <w:lang w:eastAsia="lv-LV"/>
        </w:rPr>
        <w:t xml:space="preserve"> izdevumi,</w:t>
      </w:r>
    </w:p>
    <w:p w14:paraId="2C698709" w14:textId="250F544A" w:rsidR="00DE2747" w:rsidRPr="00E93259" w:rsidRDefault="00DE2747" w:rsidP="00E93259">
      <w:pPr>
        <w:pStyle w:val="ListParagraph"/>
        <w:numPr>
          <w:ilvl w:val="0"/>
          <w:numId w:val="42"/>
        </w:numPr>
        <w:shd w:val="clear" w:color="auto" w:fill="FFFFFF" w:themeFill="background1"/>
        <w:spacing w:after="0" w:line="240" w:lineRule="auto"/>
        <w:rPr>
          <w:rFonts w:ascii="Times New Roman" w:eastAsia="Times New Roman" w:hAnsi="Times New Roman"/>
          <w:sz w:val="24"/>
          <w:szCs w:val="24"/>
          <w:lang w:eastAsia="lv-LV"/>
        </w:rPr>
      </w:pPr>
      <w:r w:rsidRPr="00E93259">
        <w:rPr>
          <w:rFonts w:ascii="Times New Roman" w:eastAsia="Times New Roman" w:hAnsi="Times New Roman"/>
          <w:sz w:val="24"/>
          <w:szCs w:val="24"/>
          <w:lang w:eastAsia="lv-LV"/>
        </w:rPr>
        <w:t>Amortizācija.</w:t>
      </w:r>
    </w:p>
    <w:p w14:paraId="08724D22" w14:textId="1680163E" w:rsidR="00DE2747" w:rsidRDefault="008104BD" w:rsidP="008104BD">
      <w:pPr>
        <w:spacing w:after="120"/>
        <w:ind w:firstLine="720"/>
        <w:jc w:val="right"/>
        <w:rPr>
          <w:rFonts w:ascii="Times New Roman" w:hAnsi="Times New Roman" w:cs="Times New Roman"/>
          <w:i/>
          <w:sz w:val="24"/>
          <w:szCs w:val="24"/>
        </w:rPr>
      </w:pPr>
      <w:r>
        <w:rPr>
          <w:rFonts w:ascii="Times New Roman" w:hAnsi="Times New Roman" w:cs="Times New Roman"/>
          <w:i/>
          <w:sz w:val="24"/>
          <w:szCs w:val="24"/>
        </w:rPr>
        <w:t>83</w:t>
      </w:r>
      <w:r w:rsidR="001B3943" w:rsidRPr="00E93259">
        <w:rPr>
          <w:rFonts w:ascii="Times New Roman" w:hAnsi="Times New Roman" w:cs="Times New Roman"/>
          <w:i/>
          <w:sz w:val="24"/>
          <w:szCs w:val="24"/>
        </w:rPr>
        <w:t>.tabula</w:t>
      </w:r>
    </w:p>
    <w:p w14:paraId="6F9AFC6E" w14:textId="31F4E8C3" w:rsidR="001B3943" w:rsidRPr="00E93259" w:rsidRDefault="00C75B8F" w:rsidP="00E93259">
      <w:pPr>
        <w:spacing w:after="120"/>
        <w:ind w:firstLine="720"/>
        <w:jc w:val="center"/>
        <w:rPr>
          <w:rFonts w:ascii="Times New Roman" w:hAnsi="Times New Roman" w:cs="Times New Roman"/>
          <w:b/>
          <w:sz w:val="24"/>
          <w:szCs w:val="24"/>
        </w:rPr>
      </w:pPr>
      <w:r w:rsidRPr="00E93259">
        <w:rPr>
          <w:rFonts w:ascii="Times New Roman" w:hAnsi="Times New Roman" w:cs="Times New Roman"/>
          <w:b/>
          <w:sz w:val="24"/>
          <w:szCs w:val="24"/>
        </w:rPr>
        <w:t>Gadījumu skaits uzņemšanas nodaļās</w:t>
      </w:r>
    </w:p>
    <w:tbl>
      <w:tblPr>
        <w:tblStyle w:val="TableGrid"/>
        <w:tblW w:w="0" w:type="auto"/>
        <w:tblLook w:val="04A0" w:firstRow="1" w:lastRow="0" w:firstColumn="1" w:lastColumn="0" w:noHBand="0" w:noVBand="1"/>
      </w:tblPr>
      <w:tblGrid>
        <w:gridCol w:w="4902"/>
        <w:gridCol w:w="1250"/>
        <w:gridCol w:w="2937"/>
      </w:tblGrid>
      <w:tr w:rsidR="001B3943" w14:paraId="5FD28A7E" w14:textId="77777777" w:rsidTr="00AE6690">
        <w:tc>
          <w:tcPr>
            <w:tcW w:w="5098" w:type="dxa"/>
            <w:shd w:val="clear" w:color="auto" w:fill="E36C0A" w:themeFill="accent6" w:themeFillShade="BF"/>
            <w:vAlign w:val="center"/>
          </w:tcPr>
          <w:p w14:paraId="13E72EF9" w14:textId="65507025" w:rsidR="001B3943" w:rsidRPr="00E93259" w:rsidRDefault="001B3943" w:rsidP="00E93259">
            <w:pPr>
              <w:spacing w:after="120"/>
              <w:jc w:val="center"/>
              <w:rPr>
                <w:rFonts w:ascii="Times New Roman" w:hAnsi="Times New Roman"/>
              </w:rPr>
            </w:pPr>
            <w:r w:rsidRPr="00E93259">
              <w:rPr>
                <w:rFonts w:ascii="Times New Roman" w:hAnsi="Times New Roman"/>
                <w:b/>
                <w:bCs/>
              </w:rPr>
              <w:t>Ārstniecības iestādes nosaukums</w:t>
            </w:r>
          </w:p>
        </w:tc>
        <w:tc>
          <w:tcPr>
            <w:tcW w:w="961" w:type="dxa"/>
            <w:shd w:val="clear" w:color="auto" w:fill="E36C0A" w:themeFill="accent6" w:themeFillShade="BF"/>
            <w:vAlign w:val="center"/>
          </w:tcPr>
          <w:p w14:paraId="2701B896" w14:textId="59EB2204" w:rsidR="001B3943" w:rsidRPr="00E93259" w:rsidRDefault="001B3943" w:rsidP="00E93259">
            <w:pPr>
              <w:spacing w:after="120"/>
              <w:jc w:val="center"/>
              <w:rPr>
                <w:rFonts w:ascii="Times New Roman" w:hAnsi="Times New Roman"/>
              </w:rPr>
            </w:pPr>
            <w:r w:rsidRPr="00E93259">
              <w:rPr>
                <w:rFonts w:ascii="Times New Roman" w:hAnsi="Times New Roman"/>
                <w:b/>
                <w:bCs/>
              </w:rPr>
              <w:t>Gadījumu skaits uzņemšanas nodaļā</w:t>
            </w:r>
          </w:p>
        </w:tc>
        <w:tc>
          <w:tcPr>
            <w:tcW w:w="3030" w:type="dxa"/>
            <w:shd w:val="clear" w:color="auto" w:fill="E36C0A" w:themeFill="accent6" w:themeFillShade="BF"/>
            <w:vAlign w:val="center"/>
          </w:tcPr>
          <w:p w14:paraId="081319D4" w14:textId="2C84E6D8" w:rsidR="001B3943" w:rsidRPr="00E93259" w:rsidRDefault="001B3943" w:rsidP="00E93259">
            <w:pPr>
              <w:spacing w:after="120"/>
              <w:jc w:val="center"/>
              <w:rPr>
                <w:rFonts w:ascii="Times New Roman" w:hAnsi="Times New Roman"/>
              </w:rPr>
            </w:pPr>
            <w:r w:rsidRPr="00E93259">
              <w:rPr>
                <w:rFonts w:ascii="Times New Roman" w:hAnsi="Times New Roman"/>
                <w:b/>
                <w:bCs/>
              </w:rPr>
              <w:t>Hospitalizēto pacinetu skaita īpatsvars no kopējā uzņemšanas nodaļas pacientu skaita, %</w:t>
            </w:r>
          </w:p>
        </w:tc>
      </w:tr>
      <w:tr w:rsidR="001B3943" w14:paraId="47C5DDCE" w14:textId="77777777" w:rsidTr="00AE6690">
        <w:tc>
          <w:tcPr>
            <w:tcW w:w="5098" w:type="dxa"/>
            <w:vAlign w:val="bottom"/>
          </w:tcPr>
          <w:p w14:paraId="2B17F19F" w14:textId="0198BBD2" w:rsidR="001B3943" w:rsidRPr="00E93259" w:rsidRDefault="001B3943" w:rsidP="00E93259">
            <w:pPr>
              <w:spacing w:after="120"/>
              <w:jc w:val="center"/>
              <w:rPr>
                <w:rFonts w:ascii="Times New Roman" w:hAnsi="Times New Roman"/>
              </w:rPr>
            </w:pPr>
            <w:r w:rsidRPr="00E93259">
              <w:rPr>
                <w:rFonts w:ascii="Times New Roman" w:hAnsi="Times New Roman"/>
              </w:rPr>
              <w:t>Nacionālais rehabilitācijas centrs "Vaivari", Valsts SIA</w:t>
            </w:r>
          </w:p>
        </w:tc>
        <w:tc>
          <w:tcPr>
            <w:tcW w:w="961" w:type="dxa"/>
            <w:vAlign w:val="bottom"/>
          </w:tcPr>
          <w:p w14:paraId="509D1F2D" w14:textId="5B6A287A" w:rsidR="001B3943" w:rsidRPr="00E93259" w:rsidRDefault="001B3943" w:rsidP="00E93259">
            <w:pPr>
              <w:spacing w:after="120"/>
              <w:jc w:val="center"/>
              <w:rPr>
                <w:rFonts w:ascii="Times New Roman" w:hAnsi="Times New Roman"/>
              </w:rPr>
            </w:pPr>
            <w:r w:rsidRPr="00E93259">
              <w:rPr>
                <w:rFonts w:ascii="Times New Roman" w:hAnsi="Times New Roman"/>
              </w:rPr>
              <w:t>4 657</w:t>
            </w:r>
          </w:p>
        </w:tc>
        <w:tc>
          <w:tcPr>
            <w:tcW w:w="3030" w:type="dxa"/>
            <w:vAlign w:val="bottom"/>
          </w:tcPr>
          <w:p w14:paraId="36C1E6F4" w14:textId="129FAB36" w:rsidR="001B3943" w:rsidRPr="00E93259" w:rsidRDefault="001B3943" w:rsidP="00E93259">
            <w:pPr>
              <w:spacing w:after="120"/>
              <w:jc w:val="center"/>
              <w:rPr>
                <w:rFonts w:ascii="Times New Roman" w:hAnsi="Times New Roman"/>
              </w:rPr>
            </w:pPr>
            <w:r w:rsidRPr="00E93259">
              <w:rPr>
                <w:rFonts w:ascii="Times New Roman" w:hAnsi="Times New Roman"/>
              </w:rPr>
              <w:t>92.8%</w:t>
            </w:r>
          </w:p>
        </w:tc>
      </w:tr>
      <w:tr w:rsidR="001B3943" w14:paraId="7D2228C0" w14:textId="77777777" w:rsidTr="00AE6690">
        <w:tc>
          <w:tcPr>
            <w:tcW w:w="5098" w:type="dxa"/>
            <w:vAlign w:val="bottom"/>
          </w:tcPr>
          <w:p w14:paraId="0CDB0666" w14:textId="12780239" w:rsidR="001B3943" w:rsidRPr="00E93259" w:rsidRDefault="001B3943" w:rsidP="00E93259">
            <w:pPr>
              <w:spacing w:after="120"/>
              <w:jc w:val="center"/>
              <w:rPr>
                <w:rFonts w:ascii="Times New Roman" w:hAnsi="Times New Roman"/>
              </w:rPr>
            </w:pPr>
            <w:r w:rsidRPr="00E93259">
              <w:rPr>
                <w:rFonts w:ascii="Times New Roman" w:hAnsi="Times New Roman"/>
              </w:rPr>
              <w:t>Rīgas psihiatrijas un narkoloģijas centrs, Valsts SIA</w:t>
            </w:r>
          </w:p>
        </w:tc>
        <w:tc>
          <w:tcPr>
            <w:tcW w:w="961" w:type="dxa"/>
            <w:vAlign w:val="bottom"/>
          </w:tcPr>
          <w:p w14:paraId="4991335F" w14:textId="20FA02C0" w:rsidR="001B3943" w:rsidRPr="00E93259" w:rsidRDefault="001B3943" w:rsidP="00E93259">
            <w:pPr>
              <w:spacing w:after="120"/>
              <w:jc w:val="center"/>
              <w:rPr>
                <w:rFonts w:ascii="Times New Roman" w:hAnsi="Times New Roman"/>
              </w:rPr>
            </w:pPr>
            <w:r w:rsidRPr="00E93259">
              <w:rPr>
                <w:rFonts w:ascii="Times New Roman" w:hAnsi="Times New Roman"/>
              </w:rPr>
              <w:t>6 394</w:t>
            </w:r>
          </w:p>
        </w:tc>
        <w:tc>
          <w:tcPr>
            <w:tcW w:w="3030" w:type="dxa"/>
            <w:vAlign w:val="bottom"/>
          </w:tcPr>
          <w:p w14:paraId="626CA5D1" w14:textId="32484283" w:rsidR="001B3943" w:rsidRPr="00E93259" w:rsidRDefault="001B3943" w:rsidP="00E93259">
            <w:pPr>
              <w:spacing w:after="120"/>
              <w:jc w:val="center"/>
              <w:rPr>
                <w:rFonts w:ascii="Times New Roman" w:hAnsi="Times New Roman"/>
              </w:rPr>
            </w:pPr>
            <w:r w:rsidRPr="00E93259">
              <w:rPr>
                <w:rFonts w:ascii="Times New Roman" w:hAnsi="Times New Roman"/>
              </w:rPr>
              <w:t>88.8%</w:t>
            </w:r>
          </w:p>
        </w:tc>
      </w:tr>
      <w:tr w:rsidR="001B3943" w14:paraId="5E5415AF" w14:textId="77777777" w:rsidTr="00AE6690">
        <w:tc>
          <w:tcPr>
            <w:tcW w:w="5098" w:type="dxa"/>
            <w:vAlign w:val="bottom"/>
          </w:tcPr>
          <w:p w14:paraId="2282482F" w14:textId="192C6F5D" w:rsidR="001B3943" w:rsidRPr="00E93259" w:rsidRDefault="001B3943" w:rsidP="00E93259">
            <w:pPr>
              <w:spacing w:after="120"/>
              <w:jc w:val="center"/>
              <w:rPr>
                <w:rFonts w:ascii="Times New Roman" w:hAnsi="Times New Roman"/>
              </w:rPr>
            </w:pPr>
            <w:r w:rsidRPr="00E93259">
              <w:rPr>
                <w:rFonts w:ascii="Times New Roman" w:hAnsi="Times New Roman"/>
              </w:rPr>
              <w:t>Rīgas Dzemdību nams, SIA</w:t>
            </w:r>
          </w:p>
        </w:tc>
        <w:tc>
          <w:tcPr>
            <w:tcW w:w="961" w:type="dxa"/>
            <w:vAlign w:val="bottom"/>
          </w:tcPr>
          <w:p w14:paraId="7B18056B" w14:textId="58B8F91B" w:rsidR="001B3943" w:rsidRPr="00E93259" w:rsidRDefault="001B3943" w:rsidP="00E93259">
            <w:pPr>
              <w:spacing w:after="120"/>
              <w:jc w:val="center"/>
              <w:rPr>
                <w:rFonts w:ascii="Times New Roman" w:hAnsi="Times New Roman"/>
              </w:rPr>
            </w:pPr>
            <w:r w:rsidRPr="00E93259">
              <w:rPr>
                <w:rFonts w:ascii="Times New Roman" w:hAnsi="Times New Roman"/>
              </w:rPr>
              <w:t>7 401</w:t>
            </w:r>
          </w:p>
        </w:tc>
        <w:tc>
          <w:tcPr>
            <w:tcW w:w="3030" w:type="dxa"/>
            <w:vAlign w:val="bottom"/>
          </w:tcPr>
          <w:p w14:paraId="6394CB9C" w14:textId="4B397519" w:rsidR="001B3943" w:rsidRPr="00E93259" w:rsidRDefault="001B3943" w:rsidP="00E93259">
            <w:pPr>
              <w:spacing w:after="120"/>
              <w:jc w:val="center"/>
              <w:rPr>
                <w:rFonts w:ascii="Times New Roman" w:hAnsi="Times New Roman"/>
              </w:rPr>
            </w:pPr>
            <w:r w:rsidRPr="00E93259">
              <w:rPr>
                <w:rFonts w:ascii="Times New Roman" w:hAnsi="Times New Roman"/>
              </w:rPr>
              <w:t>77.8%</w:t>
            </w:r>
          </w:p>
        </w:tc>
      </w:tr>
      <w:tr w:rsidR="001B3943" w14:paraId="62630A63" w14:textId="77777777" w:rsidTr="00AE6690">
        <w:tc>
          <w:tcPr>
            <w:tcW w:w="5098" w:type="dxa"/>
            <w:vAlign w:val="bottom"/>
          </w:tcPr>
          <w:p w14:paraId="5AD0B7A2" w14:textId="764E1652" w:rsidR="001B3943" w:rsidRPr="00E93259" w:rsidRDefault="001B3943" w:rsidP="00E93259">
            <w:pPr>
              <w:spacing w:after="120"/>
              <w:jc w:val="center"/>
              <w:rPr>
                <w:rFonts w:ascii="Times New Roman" w:hAnsi="Times New Roman"/>
              </w:rPr>
            </w:pPr>
            <w:r w:rsidRPr="00E93259">
              <w:rPr>
                <w:rFonts w:ascii="Times New Roman" w:hAnsi="Times New Roman"/>
              </w:rPr>
              <w:t>Krāslavas slimnīca, SIA</w:t>
            </w:r>
          </w:p>
        </w:tc>
        <w:tc>
          <w:tcPr>
            <w:tcW w:w="961" w:type="dxa"/>
            <w:vAlign w:val="bottom"/>
          </w:tcPr>
          <w:p w14:paraId="1421B29F" w14:textId="2CBB4A9E" w:rsidR="001B3943" w:rsidRPr="00E93259" w:rsidRDefault="001B3943" w:rsidP="00E93259">
            <w:pPr>
              <w:spacing w:after="120"/>
              <w:jc w:val="center"/>
              <w:rPr>
                <w:rFonts w:ascii="Times New Roman" w:hAnsi="Times New Roman"/>
              </w:rPr>
            </w:pPr>
            <w:r w:rsidRPr="00E93259">
              <w:rPr>
                <w:rFonts w:ascii="Times New Roman" w:hAnsi="Times New Roman"/>
              </w:rPr>
              <w:t>2 367</w:t>
            </w:r>
          </w:p>
        </w:tc>
        <w:tc>
          <w:tcPr>
            <w:tcW w:w="3030" w:type="dxa"/>
            <w:vAlign w:val="bottom"/>
          </w:tcPr>
          <w:p w14:paraId="6BCE3F66" w14:textId="282A4892" w:rsidR="001B3943" w:rsidRPr="00E93259" w:rsidRDefault="001B3943" w:rsidP="00E93259">
            <w:pPr>
              <w:spacing w:after="120"/>
              <w:jc w:val="center"/>
              <w:rPr>
                <w:rFonts w:ascii="Times New Roman" w:hAnsi="Times New Roman"/>
              </w:rPr>
            </w:pPr>
            <w:r w:rsidRPr="00E93259">
              <w:rPr>
                <w:rFonts w:ascii="Times New Roman" w:hAnsi="Times New Roman"/>
              </w:rPr>
              <w:t>61.7%</w:t>
            </w:r>
          </w:p>
        </w:tc>
      </w:tr>
      <w:tr w:rsidR="001B3943" w14:paraId="02AA0C00" w14:textId="77777777" w:rsidTr="00AE6690">
        <w:tc>
          <w:tcPr>
            <w:tcW w:w="5098" w:type="dxa"/>
            <w:vAlign w:val="bottom"/>
          </w:tcPr>
          <w:p w14:paraId="0C926C2F" w14:textId="792ED337" w:rsidR="001B3943" w:rsidRPr="00E93259" w:rsidRDefault="001B3943" w:rsidP="00E93259">
            <w:pPr>
              <w:spacing w:after="120"/>
              <w:jc w:val="center"/>
              <w:rPr>
                <w:rFonts w:ascii="Times New Roman" w:hAnsi="Times New Roman"/>
              </w:rPr>
            </w:pPr>
            <w:r w:rsidRPr="00E93259">
              <w:rPr>
                <w:rFonts w:ascii="Times New Roman" w:hAnsi="Times New Roman"/>
              </w:rPr>
              <w:t>Rīgas Austrumu klīniskā universitātes slimnīca, SIA</w:t>
            </w:r>
          </w:p>
        </w:tc>
        <w:tc>
          <w:tcPr>
            <w:tcW w:w="961" w:type="dxa"/>
            <w:vAlign w:val="bottom"/>
          </w:tcPr>
          <w:p w14:paraId="684CEFFC" w14:textId="1469DE71" w:rsidR="001B3943" w:rsidRPr="00E93259" w:rsidRDefault="001B3943" w:rsidP="00E93259">
            <w:pPr>
              <w:spacing w:after="120"/>
              <w:jc w:val="center"/>
              <w:rPr>
                <w:rFonts w:ascii="Times New Roman" w:hAnsi="Times New Roman"/>
              </w:rPr>
            </w:pPr>
            <w:r w:rsidRPr="00E93259">
              <w:rPr>
                <w:rFonts w:ascii="Times New Roman" w:hAnsi="Times New Roman"/>
              </w:rPr>
              <w:t>86 519</w:t>
            </w:r>
          </w:p>
        </w:tc>
        <w:tc>
          <w:tcPr>
            <w:tcW w:w="3030" w:type="dxa"/>
            <w:vAlign w:val="bottom"/>
          </w:tcPr>
          <w:p w14:paraId="6A9F7721" w14:textId="3C875976" w:rsidR="001B3943" w:rsidRPr="00E93259" w:rsidRDefault="001B3943" w:rsidP="00E93259">
            <w:pPr>
              <w:spacing w:after="120"/>
              <w:jc w:val="center"/>
              <w:rPr>
                <w:rFonts w:ascii="Times New Roman" w:hAnsi="Times New Roman"/>
              </w:rPr>
            </w:pPr>
            <w:r w:rsidRPr="00E93259">
              <w:rPr>
                <w:rFonts w:ascii="Times New Roman" w:hAnsi="Times New Roman"/>
              </w:rPr>
              <w:t>58.8%</w:t>
            </w:r>
          </w:p>
        </w:tc>
      </w:tr>
      <w:tr w:rsidR="001B3943" w14:paraId="272FB289" w14:textId="77777777" w:rsidTr="00AE6690">
        <w:tc>
          <w:tcPr>
            <w:tcW w:w="5098" w:type="dxa"/>
            <w:vAlign w:val="bottom"/>
          </w:tcPr>
          <w:p w14:paraId="509B1BC3" w14:textId="2F7FD77D" w:rsidR="001B3943" w:rsidRPr="00E93259" w:rsidRDefault="001B3943" w:rsidP="00E93259">
            <w:pPr>
              <w:spacing w:after="120"/>
              <w:jc w:val="center"/>
              <w:rPr>
                <w:rFonts w:ascii="Times New Roman" w:hAnsi="Times New Roman"/>
              </w:rPr>
            </w:pPr>
            <w:r w:rsidRPr="00E93259">
              <w:rPr>
                <w:rFonts w:ascii="Times New Roman" w:hAnsi="Times New Roman"/>
              </w:rPr>
              <w:t>Jēkabpils reģionālā slimnīca, SIA</w:t>
            </w:r>
          </w:p>
        </w:tc>
        <w:tc>
          <w:tcPr>
            <w:tcW w:w="961" w:type="dxa"/>
            <w:vAlign w:val="bottom"/>
          </w:tcPr>
          <w:p w14:paraId="6984F7C8" w14:textId="567AA529" w:rsidR="001B3943" w:rsidRPr="00E93259" w:rsidRDefault="001B3943" w:rsidP="00E93259">
            <w:pPr>
              <w:spacing w:after="120"/>
              <w:jc w:val="center"/>
              <w:rPr>
                <w:rFonts w:ascii="Times New Roman" w:hAnsi="Times New Roman"/>
              </w:rPr>
            </w:pPr>
            <w:r w:rsidRPr="00E93259">
              <w:rPr>
                <w:rFonts w:ascii="Times New Roman" w:hAnsi="Times New Roman"/>
              </w:rPr>
              <w:t>12 066</w:t>
            </w:r>
          </w:p>
        </w:tc>
        <w:tc>
          <w:tcPr>
            <w:tcW w:w="3030" w:type="dxa"/>
            <w:vAlign w:val="bottom"/>
          </w:tcPr>
          <w:p w14:paraId="2D22B2BC" w14:textId="3A1EEC10" w:rsidR="001B3943" w:rsidRPr="00E93259" w:rsidRDefault="001B3943" w:rsidP="00E93259">
            <w:pPr>
              <w:spacing w:after="120"/>
              <w:jc w:val="center"/>
              <w:rPr>
                <w:rFonts w:ascii="Times New Roman" w:hAnsi="Times New Roman"/>
              </w:rPr>
            </w:pPr>
            <w:r w:rsidRPr="00E93259">
              <w:rPr>
                <w:rFonts w:ascii="Times New Roman" w:hAnsi="Times New Roman"/>
              </w:rPr>
              <w:t>57.5%</w:t>
            </w:r>
          </w:p>
        </w:tc>
      </w:tr>
      <w:tr w:rsidR="001B3943" w14:paraId="001EFBF4" w14:textId="77777777" w:rsidTr="00AE6690">
        <w:tc>
          <w:tcPr>
            <w:tcW w:w="5098" w:type="dxa"/>
            <w:vAlign w:val="bottom"/>
          </w:tcPr>
          <w:p w14:paraId="6BE0FC3F" w14:textId="4F52F74E" w:rsidR="001B3943" w:rsidRPr="00E93259" w:rsidRDefault="001B3943" w:rsidP="00E93259">
            <w:pPr>
              <w:spacing w:after="120"/>
              <w:jc w:val="center"/>
              <w:rPr>
                <w:rFonts w:ascii="Times New Roman" w:hAnsi="Times New Roman"/>
              </w:rPr>
            </w:pPr>
            <w:r w:rsidRPr="00E93259">
              <w:rPr>
                <w:rFonts w:ascii="Times New Roman" w:hAnsi="Times New Roman"/>
              </w:rPr>
              <w:t>Preiļu slimnīca, SIA</w:t>
            </w:r>
          </w:p>
        </w:tc>
        <w:tc>
          <w:tcPr>
            <w:tcW w:w="961" w:type="dxa"/>
            <w:vAlign w:val="bottom"/>
          </w:tcPr>
          <w:p w14:paraId="3139EBDB" w14:textId="3CE64ED7" w:rsidR="001B3943" w:rsidRPr="00E93259" w:rsidRDefault="001B3943" w:rsidP="00E93259">
            <w:pPr>
              <w:spacing w:after="120"/>
              <w:jc w:val="center"/>
              <w:rPr>
                <w:rFonts w:ascii="Times New Roman" w:hAnsi="Times New Roman"/>
              </w:rPr>
            </w:pPr>
            <w:r w:rsidRPr="00E93259">
              <w:rPr>
                <w:rFonts w:ascii="Times New Roman" w:hAnsi="Times New Roman"/>
              </w:rPr>
              <w:t>2 325</w:t>
            </w:r>
          </w:p>
        </w:tc>
        <w:tc>
          <w:tcPr>
            <w:tcW w:w="3030" w:type="dxa"/>
            <w:vAlign w:val="bottom"/>
          </w:tcPr>
          <w:p w14:paraId="161A0ADA" w14:textId="6A6B7056" w:rsidR="001B3943" w:rsidRPr="00E93259" w:rsidRDefault="001B3943" w:rsidP="00E93259">
            <w:pPr>
              <w:spacing w:after="120"/>
              <w:jc w:val="center"/>
              <w:rPr>
                <w:rFonts w:ascii="Times New Roman" w:hAnsi="Times New Roman"/>
              </w:rPr>
            </w:pPr>
            <w:r w:rsidRPr="00E93259">
              <w:rPr>
                <w:rFonts w:ascii="Times New Roman" w:hAnsi="Times New Roman"/>
              </w:rPr>
              <w:t>54.5%</w:t>
            </w:r>
          </w:p>
        </w:tc>
      </w:tr>
      <w:tr w:rsidR="001B3943" w14:paraId="03338962" w14:textId="77777777" w:rsidTr="00AE6690">
        <w:tc>
          <w:tcPr>
            <w:tcW w:w="5098" w:type="dxa"/>
            <w:vAlign w:val="bottom"/>
          </w:tcPr>
          <w:p w14:paraId="166D6023" w14:textId="2E559739" w:rsidR="001B3943" w:rsidRPr="001E4659" w:rsidRDefault="001B3943" w:rsidP="001B3943">
            <w:pPr>
              <w:spacing w:after="120"/>
              <w:jc w:val="center"/>
              <w:rPr>
                <w:rFonts w:ascii="Times New Roman" w:hAnsi="Times New Roman"/>
              </w:rPr>
            </w:pPr>
            <w:r w:rsidRPr="00E93259">
              <w:rPr>
                <w:rFonts w:ascii="Times New Roman" w:hAnsi="Times New Roman"/>
              </w:rPr>
              <w:t>Daugavpils reģionālā slimnīca, SIA</w:t>
            </w:r>
          </w:p>
        </w:tc>
        <w:tc>
          <w:tcPr>
            <w:tcW w:w="961" w:type="dxa"/>
            <w:vAlign w:val="bottom"/>
          </w:tcPr>
          <w:p w14:paraId="7D0DD9C1" w14:textId="249736B5" w:rsidR="001B3943" w:rsidRPr="001E4659" w:rsidRDefault="001B3943" w:rsidP="001B3943">
            <w:pPr>
              <w:spacing w:after="120"/>
              <w:jc w:val="center"/>
              <w:rPr>
                <w:rFonts w:ascii="Times New Roman" w:hAnsi="Times New Roman"/>
              </w:rPr>
            </w:pPr>
            <w:r w:rsidRPr="00E93259">
              <w:rPr>
                <w:rFonts w:ascii="Times New Roman" w:hAnsi="Times New Roman"/>
              </w:rPr>
              <w:t>31 108</w:t>
            </w:r>
          </w:p>
        </w:tc>
        <w:tc>
          <w:tcPr>
            <w:tcW w:w="3030" w:type="dxa"/>
            <w:vAlign w:val="bottom"/>
          </w:tcPr>
          <w:p w14:paraId="1767C66A" w14:textId="581A7ECA" w:rsidR="001B3943" w:rsidRPr="001E4659" w:rsidRDefault="001B3943" w:rsidP="001B3943">
            <w:pPr>
              <w:spacing w:after="120"/>
              <w:jc w:val="center"/>
              <w:rPr>
                <w:rFonts w:ascii="Times New Roman" w:hAnsi="Times New Roman"/>
              </w:rPr>
            </w:pPr>
            <w:r w:rsidRPr="00E93259">
              <w:rPr>
                <w:rFonts w:ascii="Times New Roman" w:hAnsi="Times New Roman"/>
              </w:rPr>
              <w:t>53.5%</w:t>
            </w:r>
          </w:p>
        </w:tc>
      </w:tr>
      <w:tr w:rsidR="001B3943" w14:paraId="642E4F99" w14:textId="77777777" w:rsidTr="00AE6690">
        <w:tc>
          <w:tcPr>
            <w:tcW w:w="5098" w:type="dxa"/>
            <w:vAlign w:val="bottom"/>
          </w:tcPr>
          <w:p w14:paraId="1523CD19" w14:textId="0B7EFEB3" w:rsidR="001B3943" w:rsidRPr="001E4659" w:rsidRDefault="001B3943" w:rsidP="001B3943">
            <w:pPr>
              <w:spacing w:after="120"/>
              <w:jc w:val="center"/>
              <w:rPr>
                <w:rFonts w:ascii="Times New Roman" w:hAnsi="Times New Roman"/>
              </w:rPr>
            </w:pPr>
            <w:r w:rsidRPr="00E93259">
              <w:rPr>
                <w:rFonts w:ascii="Times New Roman" w:hAnsi="Times New Roman"/>
              </w:rPr>
              <w:t>Alūksnes slimnīca, SIA</w:t>
            </w:r>
          </w:p>
        </w:tc>
        <w:tc>
          <w:tcPr>
            <w:tcW w:w="961" w:type="dxa"/>
            <w:vAlign w:val="bottom"/>
          </w:tcPr>
          <w:p w14:paraId="197FFE71" w14:textId="21FDE169" w:rsidR="001B3943" w:rsidRPr="001E4659" w:rsidRDefault="001B3943" w:rsidP="001B3943">
            <w:pPr>
              <w:spacing w:after="120"/>
              <w:jc w:val="center"/>
              <w:rPr>
                <w:rFonts w:ascii="Times New Roman" w:hAnsi="Times New Roman"/>
              </w:rPr>
            </w:pPr>
            <w:r w:rsidRPr="00E93259">
              <w:rPr>
                <w:rFonts w:ascii="Times New Roman" w:hAnsi="Times New Roman"/>
              </w:rPr>
              <w:t>3 834</w:t>
            </w:r>
          </w:p>
        </w:tc>
        <w:tc>
          <w:tcPr>
            <w:tcW w:w="3030" w:type="dxa"/>
            <w:vAlign w:val="bottom"/>
          </w:tcPr>
          <w:p w14:paraId="5E50FE08" w14:textId="23BD3E75" w:rsidR="001B3943" w:rsidRPr="001E4659" w:rsidRDefault="001B3943" w:rsidP="001B3943">
            <w:pPr>
              <w:spacing w:after="120"/>
              <w:jc w:val="center"/>
              <w:rPr>
                <w:rFonts w:ascii="Times New Roman" w:hAnsi="Times New Roman"/>
              </w:rPr>
            </w:pPr>
            <w:r w:rsidRPr="00E93259">
              <w:rPr>
                <w:rFonts w:ascii="Times New Roman" w:hAnsi="Times New Roman"/>
              </w:rPr>
              <w:t>53.4%</w:t>
            </w:r>
          </w:p>
        </w:tc>
      </w:tr>
      <w:tr w:rsidR="001B3943" w14:paraId="1A417B22" w14:textId="77777777" w:rsidTr="00AE6690">
        <w:tc>
          <w:tcPr>
            <w:tcW w:w="5098" w:type="dxa"/>
            <w:vAlign w:val="bottom"/>
          </w:tcPr>
          <w:p w14:paraId="332A7202" w14:textId="2E11C2A8" w:rsidR="001B3943" w:rsidRPr="001E4659" w:rsidRDefault="001B3943" w:rsidP="001B3943">
            <w:pPr>
              <w:spacing w:after="120"/>
              <w:jc w:val="center"/>
              <w:rPr>
                <w:rFonts w:ascii="Times New Roman" w:hAnsi="Times New Roman"/>
              </w:rPr>
            </w:pPr>
            <w:r w:rsidRPr="00E93259">
              <w:rPr>
                <w:rFonts w:ascii="Times New Roman" w:hAnsi="Times New Roman"/>
              </w:rPr>
              <w:t>Paula Stradiņa klīniskā universitātes slimnīca, Valsts SIA</w:t>
            </w:r>
          </w:p>
        </w:tc>
        <w:tc>
          <w:tcPr>
            <w:tcW w:w="961" w:type="dxa"/>
            <w:vAlign w:val="bottom"/>
          </w:tcPr>
          <w:p w14:paraId="7E6493B6" w14:textId="7A656AB0" w:rsidR="001B3943" w:rsidRPr="001E4659" w:rsidRDefault="001B3943" w:rsidP="001B3943">
            <w:pPr>
              <w:spacing w:after="120"/>
              <w:jc w:val="center"/>
              <w:rPr>
                <w:rFonts w:ascii="Times New Roman" w:hAnsi="Times New Roman"/>
              </w:rPr>
            </w:pPr>
            <w:r w:rsidRPr="00E93259">
              <w:rPr>
                <w:rFonts w:ascii="Times New Roman" w:hAnsi="Times New Roman"/>
              </w:rPr>
              <w:t>67 121</w:t>
            </w:r>
          </w:p>
        </w:tc>
        <w:tc>
          <w:tcPr>
            <w:tcW w:w="3030" w:type="dxa"/>
            <w:vAlign w:val="bottom"/>
          </w:tcPr>
          <w:p w14:paraId="738396EA" w14:textId="1FBAE2F7" w:rsidR="001B3943" w:rsidRPr="001E4659" w:rsidRDefault="001B3943" w:rsidP="001B3943">
            <w:pPr>
              <w:spacing w:after="120"/>
              <w:jc w:val="center"/>
              <w:rPr>
                <w:rFonts w:ascii="Times New Roman" w:hAnsi="Times New Roman"/>
              </w:rPr>
            </w:pPr>
            <w:r w:rsidRPr="00E93259">
              <w:rPr>
                <w:rFonts w:ascii="Times New Roman" w:hAnsi="Times New Roman"/>
              </w:rPr>
              <w:t>50.2%</w:t>
            </w:r>
          </w:p>
        </w:tc>
      </w:tr>
      <w:tr w:rsidR="001B3943" w14:paraId="005EA0F2" w14:textId="77777777" w:rsidTr="00AE6690">
        <w:tc>
          <w:tcPr>
            <w:tcW w:w="5098" w:type="dxa"/>
            <w:vAlign w:val="bottom"/>
          </w:tcPr>
          <w:p w14:paraId="72EE1380" w14:textId="5FA1EF7A" w:rsidR="001B3943" w:rsidRPr="001E4659" w:rsidRDefault="001B3943" w:rsidP="001B3943">
            <w:pPr>
              <w:spacing w:after="120"/>
              <w:jc w:val="center"/>
              <w:rPr>
                <w:rFonts w:ascii="Times New Roman" w:hAnsi="Times New Roman"/>
              </w:rPr>
            </w:pPr>
            <w:r w:rsidRPr="00E93259">
              <w:rPr>
                <w:rFonts w:ascii="Times New Roman" w:hAnsi="Times New Roman"/>
              </w:rPr>
              <w:t>Dobeles un apkārtnes slimnīca, SIA</w:t>
            </w:r>
          </w:p>
        </w:tc>
        <w:tc>
          <w:tcPr>
            <w:tcW w:w="961" w:type="dxa"/>
            <w:vAlign w:val="bottom"/>
          </w:tcPr>
          <w:p w14:paraId="326F06B8" w14:textId="626CFBAD" w:rsidR="001B3943" w:rsidRPr="001E4659" w:rsidRDefault="001B3943" w:rsidP="001B3943">
            <w:pPr>
              <w:spacing w:after="120"/>
              <w:jc w:val="center"/>
              <w:rPr>
                <w:rFonts w:ascii="Times New Roman" w:hAnsi="Times New Roman"/>
              </w:rPr>
            </w:pPr>
            <w:r w:rsidRPr="00E93259">
              <w:rPr>
                <w:rFonts w:ascii="Times New Roman" w:hAnsi="Times New Roman"/>
              </w:rPr>
              <w:t>5 217</w:t>
            </w:r>
          </w:p>
        </w:tc>
        <w:tc>
          <w:tcPr>
            <w:tcW w:w="3030" w:type="dxa"/>
            <w:vAlign w:val="bottom"/>
          </w:tcPr>
          <w:p w14:paraId="68618600" w14:textId="0A000C52" w:rsidR="001B3943" w:rsidRPr="001E4659" w:rsidRDefault="001B3943" w:rsidP="001B3943">
            <w:pPr>
              <w:spacing w:after="120"/>
              <w:jc w:val="center"/>
              <w:rPr>
                <w:rFonts w:ascii="Times New Roman" w:hAnsi="Times New Roman"/>
              </w:rPr>
            </w:pPr>
            <w:r w:rsidRPr="00E93259">
              <w:rPr>
                <w:rFonts w:ascii="Times New Roman" w:hAnsi="Times New Roman"/>
              </w:rPr>
              <w:t>49.8%</w:t>
            </w:r>
          </w:p>
        </w:tc>
      </w:tr>
      <w:tr w:rsidR="001B3943" w14:paraId="1F32B317" w14:textId="77777777" w:rsidTr="00AE6690">
        <w:tc>
          <w:tcPr>
            <w:tcW w:w="5098" w:type="dxa"/>
            <w:vAlign w:val="bottom"/>
          </w:tcPr>
          <w:p w14:paraId="65D6ADAC" w14:textId="3EE54B8E" w:rsidR="001B3943" w:rsidRPr="001E4659" w:rsidRDefault="001B3943" w:rsidP="001B3943">
            <w:pPr>
              <w:spacing w:after="120"/>
              <w:jc w:val="center"/>
              <w:rPr>
                <w:rFonts w:ascii="Times New Roman" w:hAnsi="Times New Roman"/>
              </w:rPr>
            </w:pPr>
            <w:r w:rsidRPr="00E93259">
              <w:rPr>
                <w:rFonts w:ascii="Times New Roman" w:hAnsi="Times New Roman"/>
              </w:rPr>
              <w:t>Balvu un Gulbenes slimnīcu apvienība, SIA</w:t>
            </w:r>
          </w:p>
        </w:tc>
        <w:tc>
          <w:tcPr>
            <w:tcW w:w="961" w:type="dxa"/>
            <w:vAlign w:val="bottom"/>
          </w:tcPr>
          <w:p w14:paraId="77D19DA9" w14:textId="7D904F0A" w:rsidR="001B3943" w:rsidRPr="001E4659" w:rsidRDefault="001B3943" w:rsidP="001B3943">
            <w:pPr>
              <w:spacing w:after="120"/>
              <w:jc w:val="center"/>
              <w:rPr>
                <w:rFonts w:ascii="Times New Roman" w:hAnsi="Times New Roman"/>
              </w:rPr>
            </w:pPr>
            <w:r w:rsidRPr="00E93259">
              <w:rPr>
                <w:rFonts w:ascii="Times New Roman" w:hAnsi="Times New Roman"/>
              </w:rPr>
              <w:t>6 071</w:t>
            </w:r>
          </w:p>
        </w:tc>
        <w:tc>
          <w:tcPr>
            <w:tcW w:w="3030" w:type="dxa"/>
            <w:vAlign w:val="bottom"/>
          </w:tcPr>
          <w:p w14:paraId="3F9A581A" w14:textId="24352546" w:rsidR="001B3943" w:rsidRPr="001E4659" w:rsidRDefault="001B3943" w:rsidP="001B3943">
            <w:pPr>
              <w:spacing w:after="120"/>
              <w:jc w:val="center"/>
              <w:rPr>
                <w:rFonts w:ascii="Times New Roman" w:hAnsi="Times New Roman"/>
              </w:rPr>
            </w:pPr>
            <w:r w:rsidRPr="00E93259">
              <w:rPr>
                <w:rFonts w:ascii="Times New Roman" w:hAnsi="Times New Roman"/>
              </w:rPr>
              <w:t>49.5%</w:t>
            </w:r>
          </w:p>
        </w:tc>
      </w:tr>
      <w:tr w:rsidR="001B3943" w14:paraId="79155CF8" w14:textId="77777777" w:rsidTr="00AE6690">
        <w:tc>
          <w:tcPr>
            <w:tcW w:w="5098" w:type="dxa"/>
            <w:vAlign w:val="bottom"/>
          </w:tcPr>
          <w:p w14:paraId="6CC80A90" w14:textId="25E3C4F9" w:rsidR="001B3943" w:rsidRPr="001E4659" w:rsidRDefault="001B3943" w:rsidP="001B3943">
            <w:pPr>
              <w:spacing w:after="120"/>
              <w:jc w:val="center"/>
              <w:rPr>
                <w:rFonts w:ascii="Times New Roman" w:hAnsi="Times New Roman"/>
              </w:rPr>
            </w:pPr>
            <w:r w:rsidRPr="00E93259">
              <w:rPr>
                <w:rFonts w:ascii="Times New Roman" w:hAnsi="Times New Roman"/>
              </w:rPr>
              <w:t>Ogres rajona slimnīca, SIA</w:t>
            </w:r>
          </w:p>
        </w:tc>
        <w:tc>
          <w:tcPr>
            <w:tcW w:w="961" w:type="dxa"/>
            <w:vAlign w:val="bottom"/>
          </w:tcPr>
          <w:p w14:paraId="514A29C7" w14:textId="2E08566E" w:rsidR="001B3943" w:rsidRPr="001E4659" w:rsidRDefault="001B3943" w:rsidP="001B3943">
            <w:pPr>
              <w:spacing w:after="120"/>
              <w:jc w:val="center"/>
              <w:rPr>
                <w:rFonts w:ascii="Times New Roman" w:hAnsi="Times New Roman"/>
              </w:rPr>
            </w:pPr>
            <w:r w:rsidRPr="00E93259">
              <w:rPr>
                <w:rFonts w:ascii="Times New Roman" w:hAnsi="Times New Roman"/>
              </w:rPr>
              <w:t>8 326</w:t>
            </w:r>
          </w:p>
        </w:tc>
        <w:tc>
          <w:tcPr>
            <w:tcW w:w="3030" w:type="dxa"/>
            <w:vAlign w:val="bottom"/>
          </w:tcPr>
          <w:p w14:paraId="25318DB0" w14:textId="10E888DD" w:rsidR="001B3943" w:rsidRPr="001E4659" w:rsidRDefault="001B3943" w:rsidP="001B3943">
            <w:pPr>
              <w:spacing w:after="120"/>
              <w:jc w:val="center"/>
              <w:rPr>
                <w:rFonts w:ascii="Times New Roman" w:hAnsi="Times New Roman"/>
              </w:rPr>
            </w:pPr>
            <w:r w:rsidRPr="00E93259">
              <w:rPr>
                <w:rFonts w:ascii="Times New Roman" w:hAnsi="Times New Roman"/>
              </w:rPr>
              <w:t>48.5%</w:t>
            </w:r>
          </w:p>
        </w:tc>
      </w:tr>
      <w:tr w:rsidR="001B3943" w14:paraId="01D6A5ED" w14:textId="77777777" w:rsidTr="00AE6690">
        <w:tc>
          <w:tcPr>
            <w:tcW w:w="5098" w:type="dxa"/>
            <w:vAlign w:val="bottom"/>
          </w:tcPr>
          <w:p w14:paraId="60FB1121" w14:textId="43D74407" w:rsidR="001B3943" w:rsidRPr="001E4659" w:rsidRDefault="001B3943" w:rsidP="001B3943">
            <w:pPr>
              <w:spacing w:after="120"/>
              <w:jc w:val="center"/>
              <w:rPr>
                <w:rFonts w:ascii="Times New Roman" w:hAnsi="Times New Roman"/>
              </w:rPr>
            </w:pPr>
            <w:r w:rsidRPr="00E93259">
              <w:rPr>
                <w:rFonts w:ascii="Times New Roman" w:hAnsi="Times New Roman"/>
              </w:rPr>
              <w:t>Madonas slimnīca, Madonas novada pašvaldības SIA</w:t>
            </w:r>
          </w:p>
        </w:tc>
        <w:tc>
          <w:tcPr>
            <w:tcW w:w="961" w:type="dxa"/>
            <w:vAlign w:val="bottom"/>
          </w:tcPr>
          <w:p w14:paraId="1ACD1694" w14:textId="34598DCC" w:rsidR="001B3943" w:rsidRPr="001E4659" w:rsidRDefault="001B3943" w:rsidP="001B3943">
            <w:pPr>
              <w:spacing w:after="120"/>
              <w:jc w:val="center"/>
              <w:rPr>
                <w:rFonts w:ascii="Times New Roman" w:hAnsi="Times New Roman"/>
              </w:rPr>
            </w:pPr>
            <w:r w:rsidRPr="00E93259">
              <w:rPr>
                <w:rFonts w:ascii="Times New Roman" w:hAnsi="Times New Roman"/>
              </w:rPr>
              <w:t>6 976</w:t>
            </w:r>
          </w:p>
        </w:tc>
        <w:tc>
          <w:tcPr>
            <w:tcW w:w="3030" w:type="dxa"/>
            <w:vAlign w:val="bottom"/>
          </w:tcPr>
          <w:p w14:paraId="48E7DB58" w14:textId="6AA188FF" w:rsidR="001B3943" w:rsidRPr="001E4659" w:rsidRDefault="001B3943" w:rsidP="001B3943">
            <w:pPr>
              <w:spacing w:after="120"/>
              <w:jc w:val="center"/>
              <w:rPr>
                <w:rFonts w:ascii="Times New Roman" w:hAnsi="Times New Roman"/>
              </w:rPr>
            </w:pPr>
            <w:r w:rsidRPr="00E93259">
              <w:rPr>
                <w:rFonts w:ascii="Times New Roman" w:hAnsi="Times New Roman"/>
              </w:rPr>
              <w:t>48.3%</w:t>
            </w:r>
          </w:p>
        </w:tc>
      </w:tr>
      <w:tr w:rsidR="001B3943" w14:paraId="04E0CA59" w14:textId="77777777" w:rsidTr="00AE6690">
        <w:tc>
          <w:tcPr>
            <w:tcW w:w="5098" w:type="dxa"/>
            <w:vAlign w:val="bottom"/>
          </w:tcPr>
          <w:p w14:paraId="109D21E4" w14:textId="5211A030" w:rsidR="001B3943" w:rsidRPr="001E4659" w:rsidRDefault="001B3943" w:rsidP="001B3943">
            <w:pPr>
              <w:spacing w:after="120"/>
              <w:jc w:val="center"/>
              <w:rPr>
                <w:rFonts w:ascii="Times New Roman" w:hAnsi="Times New Roman"/>
              </w:rPr>
            </w:pPr>
            <w:r w:rsidRPr="00E93259">
              <w:rPr>
                <w:rFonts w:ascii="Times New Roman" w:hAnsi="Times New Roman"/>
              </w:rPr>
              <w:t>Rēzeknes slimnīca, SIA</w:t>
            </w:r>
          </w:p>
        </w:tc>
        <w:tc>
          <w:tcPr>
            <w:tcW w:w="961" w:type="dxa"/>
            <w:vAlign w:val="bottom"/>
          </w:tcPr>
          <w:p w14:paraId="7729F3D7" w14:textId="093B2D74" w:rsidR="001B3943" w:rsidRPr="001E4659" w:rsidRDefault="001B3943" w:rsidP="001B3943">
            <w:pPr>
              <w:spacing w:after="120"/>
              <w:jc w:val="center"/>
              <w:rPr>
                <w:rFonts w:ascii="Times New Roman" w:hAnsi="Times New Roman"/>
              </w:rPr>
            </w:pPr>
            <w:r w:rsidRPr="00E93259">
              <w:rPr>
                <w:rFonts w:ascii="Times New Roman" w:hAnsi="Times New Roman"/>
              </w:rPr>
              <w:t>16 281</w:t>
            </w:r>
          </w:p>
        </w:tc>
        <w:tc>
          <w:tcPr>
            <w:tcW w:w="3030" w:type="dxa"/>
            <w:vAlign w:val="bottom"/>
          </w:tcPr>
          <w:p w14:paraId="1F7C76A8" w14:textId="3E4B70B7" w:rsidR="001B3943" w:rsidRPr="001E4659" w:rsidRDefault="001B3943" w:rsidP="001B3943">
            <w:pPr>
              <w:spacing w:after="120"/>
              <w:jc w:val="center"/>
              <w:rPr>
                <w:rFonts w:ascii="Times New Roman" w:hAnsi="Times New Roman"/>
              </w:rPr>
            </w:pPr>
            <w:r w:rsidRPr="00E93259">
              <w:rPr>
                <w:rFonts w:ascii="Times New Roman" w:hAnsi="Times New Roman"/>
              </w:rPr>
              <w:t>46.9%</w:t>
            </w:r>
          </w:p>
        </w:tc>
      </w:tr>
      <w:tr w:rsidR="001B3943" w14:paraId="29C154B2" w14:textId="77777777" w:rsidTr="00AE6690">
        <w:tc>
          <w:tcPr>
            <w:tcW w:w="5098" w:type="dxa"/>
            <w:vAlign w:val="bottom"/>
          </w:tcPr>
          <w:p w14:paraId="3A72069F" w14:textId="6F2FF172" w:rsidR="001B3943" w:rsidRPr="001E4659" w:rsidRDefault="001B3943" w:rsidP="001B3943">
            <w:pPr>
              <w:spacing w:after="120"/>
              <w:jc w:val="center"/>
              <w:rPr>
                <w:rFonts w:ascii="Times New Roman" w:hAnsi="Times New Roman"/>
              </w:rPr>
            </w:pPr>
            <w:r w:rsidRPr="00E93259">
              <w:rPr>
                <w:rFonts w:ascii="Times New Roman" w:hAnsi="Times New Roman"/>
              </w:rPr>
              <w:t>Liepājas reģionālā slimnīca, SIA</w:t>
            </w:r>
          </w:p>
        </w:tc>
        <w:tc>
          <w:tcPr>
            <w:tcW w:w="961" w:type="dxa"/>
            <w:vAlign w:val="bottom"/>
          </w:tcPr>
          <w:p w14:paraId="4374D78E" w14:textId="1D4EA1DF" w:rsidR="001B3943" w:rsidRPr="001E4659" w:rsidRDefault="001B3943" w:rsidP="001B3943">
            <w:pPr>
              <w:spacing w:after="120"/>
              <w:jc w:val="center"/>
              <w:rPr>
                <w:rFonts w:ascii="Times New Roman" w:hAnsi="Times New Roman"/>
              </w:rPr>
            </w:pPr>
            <w:r w:rsidRPr="00E93259">
              <w:rPr>
                <w:rFonts w:ascii="Times New Roman" w:hAnsi="Times New Roman"/>
              </w:rPr>
              <w:t>24 958</w:t>
            </w:r>
          </w:p>
        </w:tc>
        <w:tc>
          <w:tcPr>
            <w:tcW w:w="3030" w:type="dxa"/>
            <w:vAlign w:val="bottom"/>
          </w:tcPr>
          <w:p w14:paraId="747E3B99" w14:textId="6CA49A70" w:rsidR="001B3943" w:rsidRPr="001E4659" w:rsidRDefault="001B3943" w:rsidP="001B3943">
            <w:pPr>
              <w:spacing w:after="120"/>
              <w:jc w:val="center"/>
              <w:rPr>
                <w:rFonts w:ascii="Times New Roman" w:hAnsi="Times New Roman"/>
              </w:rPr>
            </w:pPr>
            <w:r w:rsidRPr="00E93259">
              <w:rPr>
                <w:rFonts w:ascii="Times New Roman" w:hAnsi="Times New Roman"/>
              </w:rPr>
              <w:t>45.2%</w:t>
            </w:r>
          </w:p>
        </w:tc>
      </w:tr>
      <w:tr w:rsidR="001B3943" w14:paraId="4FA11E85" w14:textId="77777777" w:rsidTr="00AE6690">
        <w:tc>
          <w:tcPr>
            <w:tcW w:w="5098" w:type="dxa"/>
            <w:vAlign w:val="bottom"/>
          </w:tcPr>
          <w:p w14:paraId="1382E7A3" w14:textId="01C59DE6" w:rsidR="001B3943" w:rsidRPr="001E4659" w:rsidRDefault="001B3943" w:rsidP="001B3943">
            <w:pPr>
              <w:spacing w:after="120"/>
              <w:jc w:val="center"/>
              <w:rPr>
                <w:rFonts w:ascii="Times New Roman" w:hAnsi="Times New Roman"/>
              </w:rPr>
            </w:pPr>
            <w:r w:rsidRPr="00E93259">
              <w:rPr>
                <w:rFonts w:ascii="Times New Roman" w:hAnsi="Times New Roman"/>
              </w:rPr>
              <w:t>Vidzemes slimnīca, SIA</w:t>
            </w:r>
          </w:p>
        </w:tc>
        <w:tc>
          <w:tcPr>
            <w:tcW w:w="961" w:type="dxa"/>
            <w:vAlign w:val="bottom"/>
          </w:tcPr>
          <w:p w14:paraId="1FFD10B7" w14:textId="1547208D" w:rsidR="001B3943" w:rsidRPr="001E4659" w:rsidRDefault="001B3943" w:rsidP="001B3943">
            <w:pPr>
              <w:spacing w:after="120"/>
              <w:jc w:val="center"/>
              <w:rPr>
                <w:rFonts w:ascii="Times New Roman" w:hAnsi="Times New Roman"/>
              </w:rPr>
            </w:pPr>
            <w:r w:rsidRPr="00E93259">
              <w:rPr>
                <w:rFonts w:ascii="Times New Roman" w:hAnsi="Times New Roman"/>
              </w:rPr>
              <w:t>21 123</w:t>
            </w:r>
          </w:p>
        </w:tc>
        <w:tc>
          <w:tcPr>
            <w:tcW w:w="3030" w:type="dxa"/>
            <w:vAlign w:val="bottom"/>
          </w:tcPr>
          <w:p w14:paraId="4A76EE4F" w14:textId="64B88A34" w:rsidR="001B3943" w:rsidRPr="001E4659" w:rsidRDefault="001B3943" w:rsidP="001B3943">
            <w:pPr>
              <w:spacing w:after="120"/>
              <w:jc w:val="center"/>
              <w:rPr>
                <w:rFonts w:ascii="Times New Roman" w:hAnsi="Times New Roman"/>
              </w:rPr>
            </w:pPr>
            <w:r w:rsidRPr="00E93259">
              <w:rPr>
                <w:rFonts w:ascii="Times New Roman" w:hAnsi="Times New Roman"/>
              </w:rPr>
              <w:t>44.6%</w:t>
            </w:r>
          </w:p>
        </w:tc>
      </w:tr>
      <w:tr w:rsidR="001B3943" w14:paraId="75F5F67E" w14:textId="77777777" w:rsidTr="00AE6690">
        <w:tc>
          <w:tcPr>
            <w:tcW w:w="5098" w:type="dxa"/>
            <w:vAlign w:val="bottom"/>
          </w:tcPr>
          <w:p w14:paraId="387ECB75" w14:textId="169ADA97" w:rsidR="001B3943" w:rsidRPr="001E4659" w:rsidRDefault="001B3943" w:rsidP="001B3943">
            <w:pPr>
              <w:spacing w:after="120"/>
              <w:jc w:val="center"/>
              <w:rPr>
                <w:rFonts w:ascii="Times New Roman" w:hAnsi="Times New Roman"/>
              </w:rPr>
            </w:pPr>
            <w:r w:rsidRPr="00E93259">
              <w:rPr>
                <w:rFonts w:ascii="Times New Roman" w:hAnsi="Times New Roman"/>
              </w:rPr>
              <w:t>Jūrmalas slimnīca, SIA</w:t>
            </w:r>
          </w:p>
        </w:tc>
        <w:tc>
          <w:tcPr>
            <w:tcW w:w="961" w:type="dxa"/>
            <w:vAlign w:val="bottom"/>
          </w:tcPr>
          <w:p w14:paraId="735016B3" w14:textId="4DC08355" w:rsidR="001B3943" w:rsidRPr="001E4659" w:rsidRDefault="001B3943" w:rsidP="001B3943">
            <w:pPr>
              <w:spacing w:after="120"/>
              <w:jc w:val="center"/>
              <w:rPr>
                <w:rFonts w:ascii="Times New Roman" w:hAnsi="Times New Roman"/>
              </w:rPr>
            </w:pPr>
            <w:r w:rsidRPr="00E93259">
              <w:rPr>
                <w:rFonts w:ascii="Times New Roman" w:hAnsi="Times New Roman"/>
              </w:rPr>
              <w:t>8 079</w:t>
            </w:r>
          </w:p>
        </w:tc>
        <w:tc>
          <w:tcPr>
            <w:tcW w:w="3030" w:type="dxa"/>
            <w:vAlign w:val="bottom"/>
          </w:tcPr>
          <w:p w14:paraId="6283D101" w14:textId="6D7B41B9" w:rsidR="001B3943" w:rsidRPr="001E4659" w:rsidRDefault="001B3943" w:rsidP="001B3943">
            <w:pPr>
              <w:spacing w:after="120"/>
              <w:jc w:val="center"/>
              <w:rPr>
                <w:rFonts w:ascii="Times New Roman" w:hAnsi="Times New Roman"/>
              </w:rPr>
            </w:pPr>
            <w:r w:rsidRPr="00E93259">
              <w:rPr>
                <w:rFonts w:ascii="Times New Roman" w:hAnsi="Times New Roman"/>
              </w:rPr>
              <w:t>44.5%</w:t>
            </w:r>
          </w:p>
        </w:tc>
      </w:tr>
      <w:tr w:rsidR="001B3943" w14:paraId="73CC97DB" w14:textId="77777777" w:rsidTr="00AE6690">
        <w:tc>
          <w:tcPr>
            <w:tcW w:w="5098" w:type="dxa"/>
            <w:vAlign w:val="bottom"/>
          </w:tcPr>
          <w:p w14:paraId="6DDC505A" w14:textId="2C953AFD" w:rsidR="001B3943" w:rsidRPr="001E4659" w:rsidRDefault="001B3943" w:rsidP="001B3943">
            <w:pPr>
              <w:spacing w:after="120"/>
              <w:jc w:val="center"/>
              <w:rPr>
                <w:rFonts w:ascii="Times New Roman" w:hAnsi="Times New Roman"/>
              </w:rPr>
            </w:pPr>
            <w:r w:rsidRPr="00E93259">
              <w:rPr>
                <w:rFonts w:ascii="Times New Roman" w:hAnsi="Times New Roman"/>
              </w:rPr>
              <w:t>Ziemeļkurzemes reģionālā slimnīca, SIA</w:t>
            </w:r>
          </w:p>
        </w:tc>
        <w:tc>
          <w:tcPr>
            <w:tcW w:w="961" w:type="dxa"/>
            <w:vAlign w:val="bottom"/>
          </w:tcPr>
          <w:p w14:paraId="3803870E" w14:textId="7404BB39" w:rsidR="001B3943" w:rsidRPr="001E4659" w:rsidRDefault="001B3943" w:rsidP="001B3943">
            <w:pPr>
              <w:spacing w:after="120"/>
              <w:jc w:val="center"/>
              <w:rPr>
                <w:rFonts w:ascii="Times New Roman" w:hAnsi="Times New Roman"/>
              </w:rPr>
            </w:pPr>
            <w:r w:rsidRPr="00E93259">
              <w:rPr>
                <w:rFonts w:ascii="Times New Roman" w:hAnsi="Times New Roman"/>
              </w:rPr>
              <w:t>15 924</w:t>
            </w:r>
          </w:p>
        </w:tc>
        <w:tc>
          <w:tcPr>
            <w:tcW w:w="3030" w:type="dxa"/>
            <w:vAlign w:val="bottom"/>
          </w:tcPr>
          <w:p w14:paraId="7A60EF63" w14:textId="748F6633" w:rsidR="001B3943" w:rsidRPr="001E4659" w:rsidRDefault="001B3943" w:rsidP="001B3943">
            <w:pPr>
              <w:spacing w:after="120"/>
              <w:jc w:val="center"/>
              <w:rPr>
                <w:rFonts w:ascii="Times New Roman" w:hAnsi="Times New Roman"/>
              </w:rPr>
            </w:pPr>
            <w:r w:rsidRPr="00E93259">
              <w:rPr>
                <w:rFonts w:ascii="Times New Roman" w:hAnsi="Times New Roman"/>
              </w:rPr>
              <w:t>42.6%</w:t>
            </w:r>
          </w:p>
        </w:tc>
      </w:tr>
      <w:tr w:rsidR="001B3943" w14:paraId="663CAA9F" w14:textId="77777777" w:rsidTr="00AE6690">
        <w:tc>
          <w:tcPr>
            <w:tcW w:w="5098" w:type="dxa"/>
            <w:vAlign w:val="bottom"/>
          </w:tcPr>
          <w:p w14:paraId="5F55E1B3" w14:textId="3C50B354" w:rsidR="001B3943" w:rsidRPr="001E4659" w:rsidRDefault="001B3943" w:rsidP="001B3943">
            <w:pPr>
              <w:spacing w:after="120"/>
              <w:jc w:val="center"/>
              <w:rPr>
                <w:rFonts w:ascii="Times New Roman" w:hAnsi="Times New Roman"/>
              </w:rPr>
            </w:pPr>
            <w:r w:rsidRPr="00E93259">
              <w:rPr>
                <w:rFonts w:ascii="Times New Roman" w:hAnsi="Times New Roman"/>
              </w:rPr>
              <w:t>Jelgavas pilsētas slimnīca, SIA</w:t>
            </w:r>
          </w:p>
        </w:tc>
        <w:tc>
          <w:tcPr>
            <w:tcW w:w="961" w:type="dxa"/>
            <w:vAlign w:val="bottom"/>
          </w:tcPr>
          <w:p w14:paraId="7CC07E2B" w14:textId="7EFC80A4" w:rsidR="001B3943" w:rsidRPr="001E4659" w:rsidRDefault="001B3943" w:rsidP="001B3943">
            <w:pPr>
              <w:spacing w:after="120"/>
              <w:jc w:val="center"/>
              <w:rPr>
                <w:rFonts w:ascii="Times New Roman" w:hAnsi="Times New Roman"/>
              </w:rPr>
            </w:pPr>
            <w:r w:rsidRPr="00E93259">
              <w:rPr>
                <w:rFonts w:ascii="Times New Roman" w:hAnsi="Times New Roman"/>
              </w:rPr>
              <w:t>22 180</w:t>
            </w:r>
          </w:p>
        </w:tc>
        <w:tc>
          <w:tcPr>
            <w:tcW w:w="3030" w:type="dxa"/>
            <w:vAlign w:val="bottom"/>
          </w:tcPr>
          <w:p w14:paraId="7FB53845" w14:textId="37E01FB2" w:rsidR="001B3943" w:rsidRPr="001E4659" w:rsidRDefault="001B3943" w:rsidP="001B3943">
            <w:pPr>
              <w:spacing w:after="120"/>
              <w:jc w:val="center"/>
              <w:rPr>
                <w:rFonts w:ascii="Times New Roman" w:hAnsi="Times New Roman"/>
              </w:rPr>
            </w:pPr>
            <w:r w:rsidRPr="00E93259">
              <w:rPr>
                <w:rFonts w:ascii="Times New Roman" w:hAnsi="Times New Roman"/>
              </w:rPr>
              <w:t>41.7%</w:t>
            </w:r>
          </w:p>
        </w:tc>
      </w:tr>
      <w:tr w:rsidR="001B3943" w14:paraId="1DD6B881" w14:textId="77777777" w:rsidTr="00AE6690">
        <w:tc>
          <w:tcPr>
            <w:tcW w:w="5098" w:type="dxa"/>
            <w:vAlign w:val="bottom"/>
          </w:tcPr>
          <w:p w14:paraId="09508BB0" w14:textId="2C2CBCEB" w:rsidR="001B3943" w:rsidRPr="001E4659" w:rsidRDefault="001B3943" w:rsidP="001B3943">
            <w:pPr>
              <w:spacing w:after="120"/>
              <w:jc w:val="center"/>
              <w:rPr>
                <w:rFonts w:ascii="Times New Roman" w:hAnsi="Times New Roman"/>
              </w:rPr>
            </w:pPr>
            <w:r w:rsidRPr="00E93259">
              <w:rPr>
                <w:rFonts w:ascii="Times New Roman" w:hAnsi="Times New Roman"/>
              </w:rPr>
              <w:t>Kuldīgas slimnīca, SIA</w:t>
            </w:r>
          </w:p>
        </w:tc>
        <w:tc>
          <w:tcPr>
            <w:tcW w:w="961" w:type="dxa"/>
            <w:vAlign w:val="bottom"/>
          </w:tcPr>
          <w:p w14:paraId="720B872C" w14:textId="4B584143" w:rsidR="001B3943" w:rsidRPr="001E4659" w:rsidRDefault="001B3943" w:rsidP="001B3943">
            <w:pPr>
              <w:spacing w:after="120"/>
              <w:jc w:val="center"/>
              <w:rPr>
                <w:rFonts w:ascii="Times New Roman" w:hAnsi="Times New Roman"/>
              </w:rPr>
            </w:pPr>
            <w:r w:rsidRPr="00E93259">
              <w:rPr>
                <w:rFonts w:ascii="Times New Roman" w:hAnsi="Times New Roman"/>
              </w:rPr>
              <w:t>8 043</w:t>
            </w:r>
          </w:p>
        </w:tc>
        <w:tc>
          <w:tcPr>
            <w:tcW w:w="3030" w:type="dxa"/>
            <w:vAlign w:val="bottom"/>
          </w:tcPr>
          <w:p w14:paraId="3F4D9194" w14:textId="13CC8288" w:rsidR="001B3943" w:rsidRPr="001E4659" w:rsidRDefault="001B3943" w:rsidP="001B3943">
            <w:pPr>
              <w:spacing w:after="120"/>
              <w:jc w:val="center"/>
              <w:rPr>
                <w:rFonts w:ascii="Times New Roman" w:hAnsi="Times New Roman"/>
              </w:rPr>
            </w:pPr>
            <w:r w:rsidRPr="00E93259">
              <w:rPr>
                <w:rFonts w:ascii="Times New Roman" w:hAnsi="Times New Roman"/>
              </w:rPr>
              <w:t>38.6%</w:t>
            </w:r>
          </w:p>
        </w:tc>
      </w:tr>
      <w:tr w:rsidR="001B3943" w14:paraId="57B594D2" w14:textId="77777777" w:rsidTr="00AE6690">
        <w:tc>
          <w:tcPr>
            <w:tcW w:w="5098" w:type="dxa"/>
            <w:vAlign w:val="bottom"/>
          </w:tcPr>
          <w:p w14:paraId="7CB94F01" w14:textId="27B8510F" w:rsidR="001B3943" w:rsidRPr="001E4659" w:rsidRDefault="001B3943" w:rsidP="001B3943">
            <w:pPr>
              <w:spacing w:after="120"/>
              <w:jc w:val="center"/>
              <w:rPr>
                <w:rFonts w:ascii="Times New Roman" w:hAnsi="Times New Roman"/>
              </w:rPr>
            </w:pPr>
            <w:r w:rsidRPr="00E93259">
              <w:rPr>
                <w:rFonts w:ascii="Times New Roman" w:hAnsi="Times New Roman"/>
              </w:rPr>
              <w:t>Tukuma slimnīca, SIA</w:t>
            </w:r>
          </w:p>
        </w:tc>
        <w:tc>
          <w:tcPr>
            <w:tcW w:w="961" w:type="dxa"/>
            <w:vAlign w:val="bottom"/>
          </w:tcPr>
          <w:p w14:paraId="6C18D6B7" w14:textId="650A6205" w:rsidR="001B3943" w:rsidRPr="001E4659" w:rsidRDefault="001B3943" w:rsidP="001B3943">
            <w:pPr>
              <w:spacing w:after="120"/>
              <w:jc w:val="center"/>
              <w:rPr>
                <w:rFonts w:ascii="Times New Roman" w:hAnsi="Times New Roman"/>
              </w:rPr>
            </w:pPr>
            <w:r w:rsidRPr="00E93259">
              <w:rPr>
                <w:rFonts w:ascii="Times New Roman" w:hAnsi="Times New Roman"/>
              </w:rPr>
              <w:t>6 617</w:t>
            </w:r>
          </w:p>
        </w:tc>
        <w:tc>
          <w:tcPr>
            <w:tcW w:w="3030" w:type="dxa"/>
            <w:vAlign w:val="bottom"/>
          </w:tcPr>
          <w:p w14:paraId="0FF22657" w14:textId="5A5F5526" w:rsidR="001B3943" w:rsidRPr="001E4659" w:rsidRDefault="001B3943" w:rsidP="001B3943">
            <w:pPr>
              <w:spacing w:after="120"/>
              <w:jc w:val="center"/>
              <w:rPr>
                <w:rFonts w:ascii="Times New Roman" w:hAnsi="Times New Roman"/>
              </w:rPr>
            </w:pPr>
            <w:r w:rsidRPr="00E93259">
              <w:rPr>
                <w:rFonts w:ascii="Times New Roman" w:hAnsi="Times New Roman"/>
              </w:rPr>
              <w:t>36.3%</w:t>
            </w:r>
          </w:p>
        </w:tc>
      </w:tr>
      <w:tr w:rsidR="001B3943" w14:paraId="115E6703" w14:textId="77777777" w:rsidTr="00AE6690">
        <w:tc>
          <w:tcPr>
            <w:tcW w:w="5098" w:type="dxa"/>
            <w:vAlign w:val="bottom"/>
          </w:tcPr>
          <w:p w14:paraId="6813D37A" w14:textId="16526BE6" w:rsidR="001B3943" w:rsidRPr="001E4659" w:rsidRDefault="001B3943" w:rsidP="001B3943">
            <w:pPr>
              <w:spacing w:after="120"/>
              <w:jc w:val="center"/>
              <w:rPr>
                <w:rFonts w:ascii="Times New Roman" w:hAnsi="Times New Roman"/>
              </w:rPr>
            </w:pPr>
            <w:r w:rsidRPr="00E93259">
              <w:rPr>
                <w:rFonts w:ascii="Times New Roman" w:hAnsi="Times New Roman"/>
              </w:rPr>
              <w:t>Cēsu klīnika, SIA</w:t>
            </w:r>
          </w:p>
        </w:tc>
        <w:tc>
          <w:tcPr>
            <w:tcW w:w="961" w:type="dxa"/>
            <w:vAlign w:val="bottom"/>
          </w:tcPr>
          <w:p w14:paraId="5BA4F0F2" w14:textId="730208E7" w:rsidR="001B3943" w:rsidRPr="001E4659" w:rsidRDefault="001B3943" w:rsidP="001B3943">
            <w:pPr>
              <w:spacing w:after="120"/>
              <w:jc w:val="center"/>
              <w:rPr>
                <w:rFonts w:ascii="Times New Roman" w:hAnsi="Times New Roman"/>
              </w:rPr>
            </w:pPr>
            <w:r w:rsidRPr="00E93259">
              <w:rPr>
                <w:rFonts w:ascii="Times New Roman" w:hAnsi="Times New Roman"/>
              </w:rPr>
              <w:t>8 428</w:t>
            </w:r>
          </w:p>
        </w:tc>
        <w:tc>
          <w:tcPr>
            <w:tcW w:w="3030" w:type="dxa"/>
            <w:vAlign w:val="bottom"/>
          </w:tcPr>
          <w:p w14:paraId="61BC56E5" w14:textId="301C8885" w:rsidR="001B3943" w:rsidRPr="001E4659" w:rsidRDefault="001B3943" w:rsidP="001B3943">
            <w:pPr>
              <w:spacing w:after="120"/>
              <w:jc w:val="center"/>
              <w:rPr>
                <w:rFonts w:ascii="Times New Roman" w:hAnsi="Times New Roman"/>
              </w:rPr>
            </w:pPr>
            <w:r w:rsidRPr="00E93259">
              <w:rPr>
                <w:rFonts w:ascii="Times New Roman" w:hAnsi="Times New Roman"/>
              </w:rPr>
              <w:t>34.9%</w:t>
            </w:r>
          </w:p>
        </w:tc>
      </w:tr>
      <w:tr w:rsidR="001B3943" w14:paraId="7E4113B1" w14:textId="77777777" w:rsidTr="00AE6690">
        <w:tc>
          <w:tcPr>
            <w:tcW w:w="5098" w:type="dxa"/>
            <w:vAlign w:val="bottom"/>
          </w:tcPr>
          <w:p w14:paraId="627067D3" w14:textId="51AE20DF" w:rsidR="001B3943" w:rsidRPr="001E4659" w:rsidRDefault="001B3943" w:rsidP="001B3943">
            <w:pPr>
              <w:spacing w:after="120"/>
              <w:jc w:val="center"/>
              <w:rPr>
                <w:rFonts w:ascii="Times New Roman" w:hAnsi="Times New Roman"/>
              </w:rPr>
            </w:pPr>
            <w:r w:rsidRPr="00E93259">
              <w:rPr>
                <w:rFonts w:ascii="Times New Roman" w:hAnsi="Times New Roman"/>
              </w:rPr>
              <w:t>Bērnu klīniskā universitātes slimnīca, Valsts SIA</w:t>
            </w:r>
          </w:p>
        </w:tc>
        <w:tc>
          <w:tcPr>
            <w:tcW w:w="961" w:type="dxa"/>
            <w:vAlign w:val="bottom"/>
          </w:tcPr>
          <w:p w14:paraId="0D4BE85D" w14:textId="202FDA96" w:rsidR="001B3943" w:rsidRPr="001E4659" w:rsidRDefault="001B3943" w:rsidP="001B3943">
            <w:pPr>
              <w:spacing w:after="120"/>
              <w:jc w:val="center"/>
              <w:rPr>
                <w:rFonts w:ascii="Times New Roman" w:hAnsi="Times New Roman"/>
              </w:rPr>
            </w:pPr>
            <w:r w:rsidRPr="00E93259">
              <w:rPr>
                <w:rFonts w:ascii="Times New Roman" w:hAnsi="Times New Roman"/>
              </w:rPr>
              <w:t>46 016</w:t>
            </w:r>
          </w:p>
        </w:tc>
        <w:tc>
          <w:tcPr>
            <w:tcW w:w="3030" w:type="dxa"/>
            <w:vAlign w:val="bottom"/>
          </w:tcPr>
          <w:p w14:paraId="341E020A" w14:textId="66E18295" w:rsidR="001B3943" w:rsidRPr="001E4659" w:rsidRDefault="001B3943" w:rsidP="001B3943">
            <w:pPr>
              <w:spacing w:after="120"/>
              <w:jc w:val="center"/>
              <w:rPr>
                <w:rFonts w:ascii="Times New Roman" w:hAnsi="Times New Roman"/>
              </w:rPr>
            </w:pPr>
            <w:r w:rsidRPr="00E93259">
              <w:rPr>
                <w:rFonts w:ascii="Times New Roman" w:hAnsi="Times New Roman"/>
              </w:rPr>
              <w:t>27.7%</w:t>
            </w:r>
          </w:p>
        </w:tc>
      </w:tr>
      <w:tr w:rsidR="001B3943" w14:paraId="6C328DC4" w14:textId="77777777" w:rsidTr="00AE6690">
        <w:tc>
          <w:tcPr>
            <w:tcW w:w="5098" w:type="dxa"/>
            <w:vAlign w:val="bottom"/>
          </w:tcPr>
          <w:p w14:paraId="75AC7E4B" w14:textId="745B8304" w:rsidR="001B3943" w:rsidRPr="001E4659" w:rsidRDefault="001B3943" w:rsidP="001B3943">
            <w:pPr>
              <w:spacing w:after="120"/>
              <w:jc w:val="center"/>
              <w:rPr>
                <w:rFonts w:ascii="Times New Roman" w:hAnsi="Times New Roman"/>
              </w:rPr>
            </w:pPr>
            <w:r w:rsidRPr="00E93259">
              <w:rPr>
                <w:rFonts w:ascii="Times New Roman" w:hAnsi="Times New Roman"/>
              </w:rPr>
              <w:lastRenderedPageBreak/>
              <w:t>Traumatoloģijas un ortopēdijas slimnīca, Valsts SIA</w:t>
            </w:r>
          </w:p>
        </w:tc>
        <w:tc>
          <w:tcPr>
            <w:tcW w:w="961" w:type="dxa"/>
            <w:vAlign w:val="bottom"/>
          </w:tcPr>
          <w:p w14:paraId="757602FF" w14:textId="75BE1813" w:rsidR="001B3943" w:rsidRPr="001E4659" w:rsidRDefault="001B3943" w:rsidP="001B3943">
            <w:pPr>
              <w:spacing w:after="120"/>
              <w:jc w:val="center"/>
              <w:rPr>
                <w:rFonts w:ascii="Times New Roman" w:hAnsi="Times New Roman"/>
              </w:rPr>
            </w:pPr>
            <w:r w:rsidRPr="00E93259">
              <w:rPr>
                <w:rFonts w:ascii="Times New Roman" w:hAnsi="Times New Roman"/>
              </w:rPr>
              <w:t>23 014</w:t>
            </w:r>
          </w:p>
        </w:tc>
        <w:tc>
          <w:tcPr>
            <w:tcW w:w="3030" w:type="dxa"/>
            <w:vAlign w:val="bottom"/>
          </w:tcPr>
          <w:p w14:paraId="4B5DE54D" w14:textId="18AE9933" w:rsidR="001B3943" w:rsidRPr="001E4659" w:rsidRDefault="001B3943" w:rsidP="001B3943">
            <w:pPr>
              <w:spacing w:after="120"/>
              <w:jc w:val="center"/>
              <w:rPr>
                <w:rFonts w:ascii="Times New Roman" w:hAnsi="Times New Roman"/>
              </w:rPr>
            </w:pPr>
            <w:r w:rsidRPr="00E93259">
              <w:rPr>
                <w:rFonts w:ascii="Times New Roman" w:hAnsi="Times New Roman"/>
              </w:rPr>
              <w:t>21.0%</w:t>
            </w:r>
          </w:p>
        </w:tc>
      </w:tr>
      <w:tr w:rsidR="001B3943" w14:paraId="23D28D61" w14:textId="77777777" w:rsidTr="00AE6690">
        <w:trPr>
          <w:trHeight w:val="400"/>
        </w:trPr>
        <w:tc>
          <w:tcPr>
            <w:tcW w:w="5098" w:type="dxa"/>
            <w:tcBorders>
              <w:top w:val="single" w:sz="4" w:space="0" w:color="auto"/>
              <w:left w:val="single" w:sz="4" w:space="0" w:color="auto"/>
              <w:bottom w:val="single" w:sz="4" w:space="0" w:color="auto"/>
              <w:right w:val="single" w:sz="4" w:space="0" w:color="auto"/>
            </w:tcBorders>
            <w:shd w:val="clear" w:color="000000" w:fill="FFFFFF"/>
            <w:vAlign w:val="bottom"/>
          </w:tcPr>
          <w:p w14:paraId="65FA353B" w14:textId="6FDCD374" w:rsidR="001B3943" w:rsidRPr="001E4659" w:rsidRDefault="001B3943" w:rsidP="001B3943">
            <w:pPr>
              <w:spacing w:after="120"/>
              <w:jc w:val="center"/>
              <w:rPr>
                <w:rFonts w:ascii="Times New Roman" w:hAnsi="Times New Roman"/>
              </w:rPr>
            </w:pPr>
            <w:r w:rsidRPr="00E93259">
              <w:rPr>
                <w:rFonts w:ascii="Times New Roman" w:hAnsi="Times New Roman"/>
              </w:rPr>
              <w:t>Rīgas 2. slimnīca, SIA</w:t>
            </w:r>
          </w:p>
        </w:tc>
        <w:tc>
          <w:tcPr>
            <w:tcW w:w="961" w:type="dxa"/>
            <w:tcBorders>
              <w:top w:val="single" w:sz="4" w:space="0" w:color="auto"/>
              <w:left w:val="nil"/>
              <w:bottom w:val="single" w:sz="4" w:space="0" w:color="auto"/>
              <w:right w:val="single" w:sz="4" w:space="0" w:color="auto"/>
            </w:tcBorders>
            <w:shd w:val="clear" w:color="auto" w:fill="auto"/>
            <w:vAlign w:val="bottom"/>
          </w:tcPr>
          <w:p w14:paraId="4AD90468" w14:textId="05A8EFA5" w:rsidR="001B3943" w:rsidRPr="001E4659" w:rsidRDefault="001B3943" w:rsidP="001B3943">
            <w:pPr>
              <w:spacing w:after="120"/>
              <w:jc w:val="center"/>
              <w:rPr>
                <w:rFonts w:ascii="Times New Roman" w:hAnsi="Times New Roman"/>
              </w:rPr>
            </w:pPr>
            <w:r w:rsidRPr="00E93259">
              <w:rPr>
                <w:rFonts w:ascii="Times New Roman" w:hAnsi="Times New Roman"/>
              </w:rPr>
              <w:t>13 377</w:t>
            </w:r>
          </w:p>
        </w:tc>
        <w:tc>
          <w:tcPr>
            <w:tcW w:w="3030" w:type="dxa"/>
            <w:tcBorders>
              <w:top w:val="single" w:sz="4" w:space="0" w:color="auto"/>
              <w:left w:val="nil"/>
              <w:bottom w:val="single" w:sz="4" w:space="0" w:color="auto"/>
              <w:right w:val="single" w:sz="4" w:space="0" w:color="auto"/>
            </w:tcBorders>
            <w:shd w:val="clear" w:color="auto" w:fill="auto"/>
            <w:vAlign w:val="bottom"/>
          </w:tcPr>
          <w:p w14:paraId="028AD9CF" w14:textId="3CFE5300" w:rsidR="001B3943" w:rsidRPr="001E4659" w:rsidRDefault="001B3943" w:rsidP="001B3943">
            <w:pPr>
              <w:spacing w:after="120"/>
              <w:jc w:val="center"/>
              <w:rPr>
                <w:rFonts w:ascii="Times New Roman" w:hAnsi="Times New Roman"/>
              </w:rPr>
            </w:pPr>
            <w:r w:rsidRPr="00E93259">
              <w:rPr>
                <w:rFonts w:ascii="Times New Roman" w:hAnsi="Times New Roman"/>
              </w:rPr>
              <w:t>20.5%</w:t>
            </w:r>
          </w:p>
        </w:tc>
      </w:tr>
      <w:tr w:rsidR="001B3943" w14:paraId="75D4980D" w14:textId="77777777" w:rsidTr="00AE6690">
        <w:tc>
          <w:tcPr>
            <w:tcW w:w="5098" w:type="dxa"/>
            <w:shd w:val="clear" w:color="auto" w:fill="FBD4B4" w:themeFill="accent6" w:themeFillTint="66"/>
          </w:tcPr>
          <w:p w14:paraId="7E4832E4" w14:textId="33DA88A4" w:rsidR="001B3943" w:rsidRPr="00E93259" w:rsidRDefault="001B3943" w:rsidP="001B3943">
            <w:pPr>
              <w:spacing w:after="120"/>
              <w:jc w:val="center"/>
              <w:rPr>
                <w:rFonts w:ascii="Times New Roman" w:hAnsi="Times New Roman"/>
                <w:b/>
              </w:rPr>
            </w:pPr>
            <w:r w:rsidRPr="00E93259">
              <w:rPr>
                <w:rFonts w:ascii="Times New Roman" w:hAnsi="Times New Roman"/>
                <w:b/>
              </w:rPr>
              <w:t>Ārstniecības iestādēs kopā / vidēji</w:t>
            </w:r>
          </w:p>
        </w:tc>
        <w:tc>
          <w:tcPr>
            <w:tcW w:w="961" w:type="dxa"/>
            <w:shd w:val="clear" w:color="auto" w:fill="FBD4B4" w:themeFill="accent6" w:themeFillTint="66"/>
          </w:tcPr>
          <w:p w14:paraId="32D54CCA" w14:textId="1566EFD5" w:rsidR="001B3943" w:rsidRPr="00E93259" w:rsidRDefault="001B3943" w:rsidP="001B3943">
            <w:pPr>
              <w:spacing w:after="120"/>
              <w:jc w:val="center"/>
              <w:rPr>
                <w:rFonts w:ascii="Times New Roman" w:hAnsi="Times New Roman"/>
                <w:b/>
              </w:rPr>
            </w:pPr>
            <w:r w:rsidRPr="00E93259">
              <w:rPr>
                <w:rFonts w:ascii="Times New Roman" w:hAnsi="Times New Roman"/>
                <w:b/>
              </w:rPr>
              <w:t>464 422</w:t>
            </w:r>
          </w:p>
        </w:tc>
        <w:tc>
          <w:tcPr>
            <w:tcW w:w="3030" w:type="dxa"/>
            <w:shd w:val="clear" w:color="auto" w:fill="FBD4B4" w:themeFill="accent6" w:themeFillTint="66"/>
          </w:tcPr>
          <w:p w14:paraId="3BEFB3E1" w14:textId="290B6A24" w:rsidR="001B3943" w:rsidRPr="00E93259" w:rsidRDefault="001B3943" w:rsidP="001B3943">
            <w:pPr>
              <w:spacing w:after="120"/>
              <w:jc w:val="center"/>
              <w:rPr>
                <w:rFonts w:ascii="Times New Roman" w:hAnsi="Times New Roman"/>
                <w:b/>
              </w:rPr>
            </w:pPr>
            <w:r w:rsidRPr="00E93259">
              <w:rPr>
                <w:rFonts w:ascii="Times New Roman" w:hAnsi="Times New Roman"/>
                <w:b/>
              </w:rPr>
              <w:t>47.0%</w:t>
            </w:r>
          </w:p>
        </w:tc>
      </w:tr>
    </w:tbl>
    <w:p w14:paraId="30BD201A" w14:textId="77777777" w:rsidR="001B3943" w:rsidRPr="00022C54" w:rsidRDefault="001B3943" w:rsidP="003F5285">
      <w:pPr>
        <w:spacing w:after="120"/>
        <w:jc w:val="both"/>
        <w:rPr>
          <w:rFonts w:ascii="Times New Roman" w:hAnsi="Times New Roman" w:cs="Times New Roman"/>
          <w:sz w:val="24"/>
          <w:szCs w:val="24"/>
        </w:rPr>
      </w:pPr>
    </w:p>
    <w:p w14:paraId="3FDBCBFC" w14:textId="77777777" w:rsidR="0050396F" w:rsidRDefault="0050396F" w:rsidP="0050396F">
      <w:pPr>
        <w:spacing w:after="120"/>
        <w:jc w:val="both"/>
        <w:rPr>
          <w:rFonts w:ascii="Times New Roman" w:hAnsi="Times New Roman"/>
          <w:b/>
          <w:sz w:val="24"/>
          <w:szCs w:val="24"/>
        </w:rPr>
      </w:pPr>
      <w:r w:rsidRPr="00540025">
        <w:rPr>
          <w:rFonts w:ascii="Times New Roman" w:hAnsi="Times New Roman"/>
          <w:b/>
          <w:sz w:val="24"/>
          <w:szCs w:val="24"/>
          <w:u w:val="single"/>
        </w:rPr>
        <w:t>2.pasākums</w:t>
      </w:r>
      <w:r>
        <w:rPr>
          <w:rFonts w:ascii="Times New Roman" w:hAnsi="Times New Roman"/>
          <w:sz w:val="24"/>
          <w:szCs w:val="24"/>
          <w:u w:val="single"/>
        </w:rPr>
        <w:t xml:space="preserve">: </w:t>
      </w:r>
      <w:r w:rsidRPr="0005706A">
        <w:rPr>
          <w:rFonts w:ascii="Times New Roman" w:hAnsi="Times New Roman"/>
          <w:b/>
          <w:sz w:val="24"/>
          <w:szCs w:val="24"/>
          <w:u w:val="single"/>
        </w:rPr>
        <w:t>Insulta vienības nodrošināšana IV līmeņa slimnīcās</w:t>
      </w:r>
      <w:r w:rsidRPr="00EE4957">
        <w:rPr>
          <w:rFonts w:ascii="Times New Roman" w:hAnsi="Times New Roman"/>
          <w:b/>
          <w:sz w:val="24"/>
          <w:szCs w:val="24"/>
        </w:rPr>
        <w:t>.</w:t>
      </w:r>
    </w:p>
    <w:p w14:paraId="6E2D66B9" w14:textId="77777777" w:rsidR="0050396F" w:rsidRDefault="0050396F" w:rsidP="0050396F">
      <w:pPr>
        <w:spacing w:after="120"/>
        <w:ind w:firstLine="720"/>
        <w:jc w:val="both"/>
        <w:rPr>
          <w:rFonts w:ascii="Times New Roman" w:hAnsi="Times New Roman"/>
          <w:sz w:val="24"/>
          <w:szCs w:val="24"/>
        </w:rPr>
      </w:pPr>
      <w:r w:rsidRPr="00E36DD2">
        <w:rPr>
          <w:rFonts w:ascii="Times New Roman" w:hAnsi="Times New Roman"/>
          <w:sz w:val="24"/>
          <w:szCs w:val="24"/>
        </w:rPr>
        <w:t>Akūts insults ir neatliekama situācija, kas prasa pacienta iespējami ātru</w:t>
      </w:r>
      <w:r>
        <w:rPr>
          <w:rFonts w:ascii="Times New Roman" w:hAnsi="Times New Roman"/>
          <w:sz w:val="24"/>
          <w:szCs w:val="24"/>
        </w:rPr>
        <w:t xml:space="preserve"> </w:t>
      </w:r>
      <w:r w:rsidRPr="00E36DD2">
        <w:rPr>
          <w:rFonts w:ascii="Times New Roman" w:hAnsi="Times New Roman"/>
          <w:sz w:val="24"/>
          <w:szCs w:val="24"/>
        </w:rPr>
        <w:t>nogādāšanu stacionārā, tādēļ prehospitālā periodā galvenais uzdevums ir iespējami</w:t>
      </w:r>
      <w:r>
        <w:rPr>
          <w:rFonts w:ascii="Times New Roman" w:hAnsi="Times New Roman"/>
          <w:sz w:val="24"/>
          <w:szCs w:val="24"/>
        </w:rPr>
        <w:t xml:space="preserve"> </w:t>
      </w:r>
      <w:r w:rsidRPr="00E36DD2">
        <w:rPr>
          <w:rFonts w:ascii="Times New Roman" w:hAnsi="Times New Roman"/>
          <w:sz w:val="24"/>
          <w:szCs w:val="24"/>
        </w:rPr>
        <w:t>ātri nogādāt pacientu tuvākajā stacionārā, kur ie</w:t>
      </w:r>
      <w:r>
        <w:rPr>
          <w:rFonts w:ascii="Times New Roman" w:hAnsi="Times New Roman"/>
          <w:sz w:val="24"/>
          <w:szCs w:val="24"/>
        </w:rPr>
        <w:t xml:space="preserve">spējama akūta insulta ārstēšana. </w:t>
      </w:r>
      <w:r w:rsidRPr="00E36DD2">
        <w:rPr>
          <w:rFonts w:ascii="Times New Roman" w:hAnsi="Times New Roman"/>
          <w:sz w:val="24"/>
          <w:szCs w:val="24"/>
        </w:rPr>
        <w:t>Pacientus, kurus iespējams nogādāt slimnīcā līdz 4h kopš</w:t>
      </w:r>
      <w:r>
        <w:rPr>
          <w:rFonts w:ascii="Times New Roman" w:hAnsi="Times New Roman"/>
          <w:sz w:val="24"/>
          <w:szCs w:val="24"/>
        </w:rPr>
        <w:t xml:space="preserve"> </w:t>
      </w:r>
      <w:r w:rsidRPr="00E36DD2">
        <w:rPr>
          <w:rFonts w:ascii="Times New Roman" w:hAnsi="Times New Roman"/>
          <w:sz w:val="24"/>
          <w:szCs w:val="24"/>
        </w:rPr>
        <w:t>simptomu sākuma, jātransportē tikai uz tādu stacionāru, kurā ir insulta vienība</w:t>
      </w:r>
      <w:r>
        <w:rPr>
          <w:rStyle w:val="FootnoteReference"/>
          <w:rFonts w:ascii="Times New Roman" w:hAnsi="Times New Roman"/>
          <w:sz w:val="24"/>
          <w:szCs w:val="24"/>
        </w:rPr>
        <w:footnoteReference w:id="44"/>
      </w:r>
      <w:r w:rsidRPr="00E36DD2">
        <w:rPr>
          <w:rFonts w:ascii="Times New Roman" w:hAnsi="Times New Roman"/>
          <w:sz w:val="24"/>
          <w:szCs w:val="24"/>
        </w:rPr>
        <w:t xml:space="preserve">. </w:t>
      </w:r>
    </w:p>
    <w:p w14:paraId="455890DA" w14:textId="5C14D334" w:rsidR="00436FB5" w:rsidRDefault="0050396F" w:rsidP="00E93259">
      <w:pPr>
        <w:spacing w:after="120"/>
        <w:ind w:firstLine="720"/>
        <w:jc w:val="both"/>
        <w:rPr>
          <w:rFonts w:ascii="Times New Roman" w:eastAsia="Times New Roman" w:hAnsi="Times New Roman" w:cs="Times New Roman"/>
          <w:i/>
          <w:color w:val="000000"/>
          <w:sz w:val="24"/>
          <w:szCs w:val="24"/>
          <w:lang w:eastAsia="lv-LV" w:bidi="lo-LA"/>
        </w:rPr>
      </w:pPr>
      <w:r w:rsidRPr="00EE4957">
        <w:rPr>
          <w:rFonts w:ascii="Times New Roman" w:hAnsi="Times New Roman"/>
          <w:sz w:val="24"/>
          <w:szCs w:val="24"/>
        </w:rPr>
        <w:t xml:space="preserve">Ar </w:t>
      </w:r>
      <w:r>
        <w:rPr>
          <w:rFonts w:ascii="Times New Roman" w:hAnsi="Times New Roman"/>
          <w:sz w:val="24"/>
          <w:szCs w:val="24"/>
        </w:rPr>
        <w:t xml:space="preserve">2019.gada 1.aprīli IV līmeņa slimnīcām jānodrošina </w:t>
      </w:r>
      <w:r w:rsidRPr="00B871FA">
        <w:rPr>
          <w:rFonts w:ascii="Times New Roman" w:hAnsi="Times New Roman" w:cs="Times New Roman"/>
          <w:sz w:val="24"/>
          <w:szCs w:val="24"/>
        </w:rPr>
        <w:t>darbība 13 obligātajos profilos</w:t>
      </w:r>
      <w:r>
        <w:rPr>
          <w:rFonts w:ascii="Times New Roman" w:hAnsi="Times New Roman" w:cs="Times New Roman"/>
          <w:sz w:val="24"/>
          <w:szCs w:val="24"/>
        </w:rPr>
        <w:t>, tajā skaitā IV līmeņa slimnīcām jānodrošina insulta vienības pakalpojumi.</w:t>
      </w:r>
      <w:r w:rsidR="00295831" w:rsidRPr="00295831">
        <w:rPr>
          <w:rFonts w:ascii="Calibri" w:hAnsi="Calibri" w:cs="Calibri"/>
          <w:color w:val="1F497D"/>
          <w:shd w:val="clear" w:color="auto" w:fill="FFFFFF"/>
        </w:rPr>
        <w:t xml:space="preserve"> </w:t>
      </w:r>
      <w:r w:rsidR="00295831" w:rsidRPr="00E93259">
        <w:rPr>
          <w:rFonts w:ascii="Times New Roman" w:hAnsi="Times New Roman" w:cs="Times New Roman"/>
          <w:sz w:val="24"/>
          <w:szCs w:val="24"/>
          <w:shd w:val="clear" w:color="auto" w:fill="FFFFFF"/>
        </w:rPr>
        <w:t>Ministru kabineta 2018. gada 28. augusta noteikumu Nr. 555 6.pielikuma 2.7. punkta 2.7.1. apakšpunkts paredz, ka V un IV (izņemot VSIA "Bērnu klīniskā universitātes slimnīca" un specializētās ārstniecības iestādes), tai skaitā Jēkabpils reģionālā slimnīca,  jānodrošina neiroloģijas profils Insulta vienība.</w:t>
      </w:r>
      <w:r w:rsidRPr="00E93259">
        <w:rPr>
          <w:rFonts w:ascii="Calibri" w:hAnsi="Calibri" w:cs="Calibri"/>
        </w:rPr>
        <w:t xml:space="preserve"> </w:t>
      </w:r>
      <w:r w:rsidR="00295831" w:rsidRPr="001E4659">
        <w:rPr>
          <w:rFonts w:ascii="Times New Roman" w:hAnsi="Times New Roman" w:cs="Times New Roman"/>
          <w:sz w:val="24"/>
          <w:szCs w:val="24"/>
        </w:rPr>
        <w:t xml:space="preserve"> </w:t>
      </w:r>
      <w:r w:rsidR="008F58B5" w:rsidRPr="00E93259">
        <w:rPr>
          <w:rFonts w:ascii="Times New Roman" w:hAnsi="Times New Roman" w:cs="Times New Roman"/>
          <w:sz w:val="24"/>
          <w:szCs w:val="24"/>
          <w:shd w:val="clear" w:color="auto" w:fill="FFFFFF"/>
        </w:rPr>
        <w:t>Un Ministru kabineta 2018.gada 28.</w:t>
      </w:r>
      <w:r w:rsidRPr="001E4659">
        <w:rPr>
          <w:rFonts w:ascii="Times New Roman" w:hAnsi="Times New Roman" w:cs="Times New Roman"/>
          <w:sz w:val="24"/>
          <w:szCs w:val="24"/>
        </w:rPr>
        <w:t>augusta noteikumu Nr. 555 220.punkta 220.1. apakšpunkts nosaka, ka “sabiedrība ar ierobežotu atbildību "Jēkabpils s</w:t>
      </w:r>
      <w:r w:rsidRPr="00F40109">
        <w:rPr>
          <w:rFonts w:ascii="Times New Roman" w:hAnsi="Times New Roman" w:cs="Times New Roman"/>
          <w:sz w:val="24"/>
          <w:szCs w:val="24"/>
        </w:rPr>
        <w:t xml:space="preserve">limnīca" stacionārās veselības aprūpes pakalpojumus profilā "Insulta vienība" un šo noteikumu 6. pielikuma 2.7.1. apakšpunktā norādītajā stacionāro pakalpojumu programmā "Neiroloģija (insulta vienība)" sāk sniegt ar 2019. gada 1. aprīli”. </w:t>
      </w:r>
      <w:r w:rsidR="008875B1" w:rsidRPr="00F40109">
        <w:rPr>
          <w:rFonts w:ascii="Times New Roman" w:hAnsi="Times New Roman" w:cs="Times New Roman"/>
          <w:sz w:val="24"/>
          <w:szCs w:val="24"/>
        </w:rPr>
        <w:t xml:space="preserve">Lai insulta vienības pakalpojumus nodrošinātu </w:t>
      </w:r>
      <w:r w:rsidR="008875B1">
        <w:rPr>
          <w:rFonts w:ascii="Times New Roman" w:hAnsi="Times New Roman" w:cs="Times New Roman"/>
          <w:sz w:val="24"/>
          <w:szCs w:val="24"/>
        </w:rPr>
        <w:t>visās IV līmeņa pakalpojums nepieciešams papildus finansējums</w:t>
      </w:r>
      <w:r w:rsidR="00DA2AD2" w:rsidRPr="00E93259">
        <w:rPr>
          <w:rFonts w:ascii="Times New Roman" w:hAnsi="Times New Roman" w:cs="Times New Roman"/>
          <w:sz w:val="24"/>
          <w:szCs w:val="24"/>
        </w:rPr>
        <w:t xml:space="preserve"> </w:t>
      </w:r>
      <w:r w:rsidR="000A01F0" w:rsidRPr="001E4659">
        <w:rPr>
          <w:rFonts w:ascii="Times New Roman" w:hAnsi="Times New Roman" w:cs="Times New Roman"/>
          <w:b/>
          <w:bCs/>
          <w:sz w:val="24"/>
          <w:szCs w:val="24"/>
        </w:rPr>
        <w:t>80</w:t>
      </w:r>
      <w:r w:rsidR="00DA2AD2" w:rsidRPr="001A0684">
        <w:rPr>
          <w:rFonts w:ascii="Times New Roman" w:hAnsi="Times New Roman" w:cs="Times New Roman"/>
          <w:b/>
          <w:bCs/>
          <w:sz w:val="24"/>
          <w:szCs w:val="24"/>
        </w:rPr>
        <w:t> 387</w:t>
      </w:r>
      <w:r w:rsidR="00DA2AD2" w:rsidRPr="00E93259">
        <w:rPr>
          <w:rFonts w:ascii="Times New Roman" w:hAnsi="Times New Roman" w:cs="Times New Roman"/>
          <w:b/>
          <w:bCs/>
          <w:sz w:val="24"/>
          <w:szCs w:val="24"/>
        </w:rPr>
        <w:t xml:space="preserve"> </w:t>
      </w:r>
      <w:r w:rsidR="00DA2AD2" w:rsidRPr="00E93259">
        <w:rPr>
          <w:rFonts w:ascii="Times New Roman" w:hAnsi="Times New Roman" w:cs="Times New Roman"/>
          <w:b/>
          <w:bCs/>
          <w:i/>
          <w:iCs/>
          <w:sz w:val="24"/>
          <w:szCs w:val="24"/>
        </w:rPr>
        <w:t>euro</w:t>
      </w:r>
      <w:r w:rsidR="000A01F0" w:rsidRPr="0090646F">
        <w:rPr>
          <w:rFonts w:ascii="Times New Roman" w:hAnsi="Times New Roman" w:cs="Times New Roman"/>
          <w:sz w:val="24"/>
          <w:szCs w:val="24"/>
        </w:rPr>
        <w:t xml:space="preserve"> (gadam nepieciešami </w:t>
      </w:r>
      <w:r w:rsidR="008875B1" w:rsidRPr="0090646F">
        <w:rPr>
          <w:rFonts w:ascii="Times New Roman" w:hAnsi="Times New Roman" w:cs="Times New Roman"/>
          <w:sz w:val="24"/>
          <w:szCs w:val="24"/>
        </w:rPr>
        <w:t>1</w:t>
      </w:r>
      <w:r w:rsidR="000A01F0" w:rsidRPr="0090646F">
        <w:rPr>
          <w:rFonts w:ascii="Times New Roman" w:hAnsi="Times New Roman" w:cs="Times New Roman"/>
          <w:sz w:val="24"/>
          <w:szCs w:val="24"/>
        </w:rPr>
        <w:t>07</w:t>
      </w:r>
      <w:r w:rsidR="008875B1" w:rsidRPr="0090646F">
        <w:rPr>
          <w:rFonts w:ascii="Times New Roman" w:hAnsi="Times New Roman" w:cs="Times New Roman"/>
          <w:sz w:val="24"/>
          <w:szCs w:val="24"/>
        </w:rPr>
        <w:t xml:space="preserve"> 183</w:t>
      </w:r>
      <w:r w:rsidR="008875B1" w:rsidRPr="00E93259">
        <w:rPr>
          <w:rFonts w:ascii="Times New Roman" w:hAnsi="Times New Roman" w:cs="Times New Roman"/>
          <w:sz w:val="24"/>
          <w:szCs w:val="24"/>
        </w:rPr>
        <w:t xml:space="preserve"> </w:t>
      </w:r>
      <w:r w:rsidR="00DA2AD2" w:rsidRPr="00E93259">
        <w:rPr>
          <w:rFonts w:ascii="Times New Roman" w:hAnsi="Times New Roman" w:cs="Times New Roman"/>
          <w:i/>
          <w:iCs/>
          <w:sz w:val="24"/>
          <w:szCs w:val="24"/>
        </w:rPr>
        <w:t>euro</w:t>
      </w:r>
      <w:r w:rsidR="008875B1" w:rsidRPr="00E93259">
        <w:rPr>
          <w:rFonts w:ascii="Times New Roman" w:hAnsi="Times New Roman" w:cs="Times New Roman"/>
          <w:b/>
          <w:bCs/>
          <w:i/>
          <w:iCs/>
          <w:sz w:val="24"/>
          <w:szCs w:val="24"/>
        </w:rPr>
        <w:t>)</w:t>
      </w:r>
      <w:r w:rsidR="000252AF">
        <w:rPr>
          <w:rFonts w:ascii="Times New Roman" w:hAnsi="Times New Roman" w:cs="Times New Roman"/>
          <w:sz w:val="24"/>
          <w:szCs w:val="24"/>
        </w:rPr>
        <w:t xml:space="preserve"> </w:t>
      </w:r>
      <w:r w:rsidR="00244643">
        <w:rPr>
          <w:rFonts w:ascii="Times New Roman" w:hAnsi="Times New Roman" w:cs="Times New Roman"/>
          <w:sz w:val="24"/>
          <w:szCs w:val="24"/>
        </w:rPr>
        <w:t>(</w:t>
      </w:r>
      <w:r w:rsidR="00E118ED">
        <w:rPr>
          <w:rFonts w:ascii="Times New Roman" w:hAnsi="Times New Roman" w:cs="Times New Roman"/>
          <w:sz w:val="24"/>
          <w:szCs w:val="24"/>
        </w:rPr>
        <w:t>84</w:t>
      </w:r>
      <w:r w:rsidR="008875B1">
        <w:rPr>
          <w:rFonts w:ascii="Times New Roman" w:hAnsi="Times New Roman" w:cs="Times New Roman"/>
          <w:sz w:val="24"/>
          <w:szCs w:val="24"/>
        </w:rPr>
        <w:t xml:space="preserve">.tabula) </w:t>
      </w:r>
      <w:r>
        <w:rPr>
          <w:rFonts w:ascii="Times New Roman" w:hAnsi="Times New Roman" w:cs="Times New Roman"/>
          <w:sz w:val="24"/>
          <w:szCs w:val="24"/>
        </w:rPr>
        <w:t>apmērā</w:t>
      </w:r>
      <w:r w:rsidRPr="00E93259">
        <w:rPr>
          <w:rFonts w:ascii="Times New Roman" w:hAnsi="Times New Roman" w:cs="Times New Roman"/>
          <w:sz w:val="24"/>
          <w:szCs w:val="24"/>
          <w:lang w:eastAsia="lv-LV" w:bidi="lo-LA"/>
        </w:rPr>
        <w:t xml:space="preserve"> </w:t>
      </w:r>
      <w:r w:rsidR="008F58B5">
        <w:rPr>
          <w:rFonts w:ascii="Times New Roman" w:eastAsia="Times New Roman" w:hAnsi="Times New Roman" w:cs="Times New Roman"/>
          <w:color w:val="000000"/>
          <w:sz w:val="24"/>
          <w:szCs w:val="24"/>
          <w:lang w:eastAsia="lv-LV" w:bidi="lo-LA"/>
        </w:rPr>
        <w:t>SIA</w:t>
      </w:r>
      <w:r w:rsidRPr="00897784">
        <w:rPr>
          <w:rFonts w:ascii="Times New Roman" w:eastAsia="Times New Roman" w:hAnsi="Times New Roman" w:cs="Times New Roman"/>
          <w:color w:val="000000"/>
          <w:sz w:val="24"/>
          <w:szCs w:val="24"/>
          <w:lang w:eastAsia="lv-LV" w:bidi="lo-LA"/>
        </w:rPr>
        <w:t> </w:t>
      </w:r>
      <w:r>
        <w:rPr>
          <w:rFonts w:ascii="Times New Roman" w:eastAsia="Times New Roman" w:hAnsi="Times New Roman" w:cs="Times New Roman"/>
          <w:color w:val="000000"/>
          <w:sz w:val="24"/>
          <w:szCs w:val="24"/>
          <w:lang w:eastAsia="lv-LV" w:bidi="lo-LA"/>
        </w:rPr>
        <w:t>“Jēkabpils reģionālā slimnīca”</w:t>
      </w:r>
    </w:p>
    <w:p w14:paraId="4133158B" w14:textId="77777777" w:rsidR="00427D8A" w:rsidRDefault="00427D8A" w:rsidP="26166EDA">
      <w:pPr>
        <w:spacing w:after="120"/>
        <w:ind w:firstLine="720"/>
        <w:jc w:val="right"/>
        <w:rPr>
          <w:rFonts w:ascii="Times New Roman" w:eastAsia="Times New Roman" w:hAnsi="Times New Roman" w:cs="Times New Roman"/>
          <w:i/>
          <w:iCs/>
          <w:color w:val="000000"/>
          <w:sz w:val="24"/>
          <w:szCs w:val="24"/>
          <w:lang w:eastAsia="lv-LV" w:bidi="lo-LA"/>
        </w:rPr>
      </w:pPr>
    </w:p>
    <w:p w14:paraId="058D6D09" w14:textId="77777777" w:rsidR="00427D8A" w:rsidRDefault="00427D8A" w:rsidP="26166EDA">
      <w:pPr>
        <w:spacing w:after="120"/>
        <w:ind w:firstLine="720"/>
        <w:jc w:val="right"/>
        <w:rPr>
          <w:rFonts w:ascii="Times New Roman" w:eastAsia="Times New Roman" w:hAnsi="Times New Roman" w:cs="Times New Roman"/>
          <w:i/>
          <w:iCs/>
          <w:color w:val="000000"/>
          <w:sz w:val="24"/>
          <w:szCs w:val="24"/>
          <w:lang w:eastAsia="lv-LV" w:bidi="lo-LA"/>
        </w:rPr>
      </w:pPr>
    </w:p>
    <w:p w14:paraId="1C840E17" w14:textId="77777777" w:rsidR="00427D8A" w:rsidRDefault="00427D8A" w:rsidP="26166EDA">
      <w:pPr>
        <w:spacing w:after="120"/>
        <w:ind w:firstLine="720"/>
        <w:jc w:val="right"/>
        <w:rPr>
          <w:rFonts w:ascii="Times New Roman" w:eastAsia="Times New Roman" w:hAnsi="Times New Roman" w:cs="Times New Roman"/>
          <w:i/>
          <w:iCs/>
          <w:color w:val="000000"/>
          <w:sz w:val="24"/>
          <w:szCs w:val="24"/>
          <w:lang w:eastAsia="lv-LV" w:bidi="lo-LA"/>
        </w:rPr>
      </w:pPr>
    </w:p>
    <w:p w14:paraId="296D8D7A" w14:textId="77777777" w:rsidR="00427D8A" w:rsidRDefault="00427D8A" w:rsidP="26166EDA">
      <w:pPr>
        <w:spacing w:after="120"/>
        <w:ind w:firstLine="720"/>
        <w:jc w:val="right"/>
        <w:rPr>
          <w:rFonts w:ascii="Times New Roman" w:eastAsia="Times New Roman" w:hAnsi="Times New Roman" w:cs="Times New Roman"/>
          <w:i/>
          <w:iCs/>
          <w:color w:val="000000"/>
          <w:sz w:val="24"/>
          <w:szCs w:val="24"/>
          <w:lang w:eastAsia="lv-LV" w:bidi="lo-LA"/>
        </w:rPr>
      </w:pPr>
    </w:p>
    <w:p w14:paraId="504445C5" w14:textId="111D3B03" w:rsidR="000C2E87" w:rsidRPr="00E93259" w:rsidRDefault="00E118ED" w:rsidP="26166EDA">
      <w:pPr>
        <w:spacing w:after="120"/>
        <w:ind w:firstLine="720"/>
        <w:jc w:val="right"/>
        <w:rPr>
          <w:rFonts w:ascii="Times New Roman" w:eastAsia="Times New Roman" w:hAnsi="Times New Roman" w:cs="Times New Roman"/>
          <w:i/>
          <w:iCs/>
          <w:color w:val="000000"/>
          <w:sz w:val="24"/>
          <w:szCs w:val="24"/>
          <w:lang w:eastAsia="lv-LV" w:bidi="lo-LA"/>
        </w:rPr>
      </w:pPr>
      <w:r>
        <w:rPr>
          <w:rFonts w:ascii="Times New Roman" w:eastAsia="Times New Roman" w:hAnsi="Times New Roman" w:cs="Times New Roman"/>
          <w:i/>
          <w:iCs/>
          <w:color w:val="000000"/>
          <w:sz w:val="24"/>
          <w:szCs w:val="24"/>
          <w:lang w:eastAsia="lv-LV" w:bidi="lo-LA"/>
        </w:rPr>
        <w:t>84</w:t>
      </w:r>
      <w:r w:rsidR="000C2E87" w:rsidRPr="26166EDA">
        <w:rPr>
          <w:rFonts w:ascii="Times New Roman" w:eastAsia="Times New Roman" w:hAnsi="Times New Roman" w:cs="Times New Roman"/>
          <w:i/>
          <w:iCs/>
          <w:color w:val="000000"/>
          <w:sz w:val="24"/>
          <w:szCs w:val="24"/>
          <w:lang w:eastAsia="lv-LV" w:bidi="lo-LA"/>
        </w:rPr>
        <w:t>.tabula</w:t>
      </w:r>
    </w:p>
    <w:p w14:paraId="7DF99D83" w14:textId="6EA0ED58" w:rsidR="0050396F" w:rsidRPr="00E52E2A" w:rsidRDefault="0050396F" w:rsidP="00E52E2A">
      <w:pPr>
        <w:spacing w:after="120"/>
        <w:ind w:firstLine="720"/>
        <w:jc w:val="center"/>
        <w:rPr>
          <w:rFonts w:ascii="Times New Roman" w:hAnsi="Times New Roman"/>
          <w:sz w:val="24"/>
          <w:szCs w:val="24"/>
        </w:rPr>
      </w:pPr>
      <w:r w:rsidRPr="00EE4957">
        <w:rPr>
          <w:rFonts w:ascii="Times New Roman" w:hAnsi="Times New Roman"/>
          <w:b/>
          <w:sz w:val="24"/>
          <w:szCs w:val="24"/>
        </w:rPr>
        <w:t>Insulta vienības nodrošināšana IV līmeņa slimnīcās</w:t>
      </w:r>
      <w:r>
        <w:rPr>
          <w:rFonts w:ascii="Times New Roman" w:hAnsi="Times New Roman"/>
          <w:b/>
          <w:sz w:val="24"/>
          <w:szCs w:val="24"/>
        </w:rPr>
        <w:t xml:space="preserve"> nepieciešamais finansējums</w:t>
      </w:r>
    </w:p>
    <w:tbl>
      <w:tblPr>
        <w:tblW w:w="9367" w:type="dxa"/>
        <w:jc w:val="center"/>
        <w:tblLayout w:type="fixed"/>
        <w:tblLook w:val="04A0" w:firstRow="1" w:lastRow="0" w:firstColumn="1" w:lastColumn="0" w:noHBand="0" w:noVBand="1"/>
      </w:tblPr>
      <w:tblGrid>
        <w:gridCol w:w="5933"/>
        <w:gridCol w:w="1717"/>
        <w:gridCol w:w="1717"/>
      </w:tblGrid>
      <w:tr w:rsidR="00DA2AD2" w:rsidRPr="0038075C" w14:paraId="05F2F32E" w14:textId="012CE436" w:rsidTr="001E6842">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C1CA971" w14:textId="77777777" w:rsidR="00DA2AD2" w:rsidRPr="00007A5A" w:rsidRDefault="00DA2AD2" w:rsidP="004F463B">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Pasākuma nosaukums</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29D41D3" w14:textId="77777777" w:rsidR="00DA2AD2" w:rsidRPr="00007A5A" w:rsidRDefault="00DA2AD2" w:rsidP="004F463B">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2019.gadam</w:t>
            </w:r>
            <w:r>
              <w:rPr>
                <w:rFonts w:ascii="Times New Roman" w:eastAsia="Times New Roman" w:hAnsi="Times New Roman" w:cs="Times New Roman"/>
                <w:bCs/>
                <w:sz w:val="20"/>
                <w:szCs w:val="20"/>
                <w:lang w:eastAsia="lv-LV"/>
              </w:rPr>
              <w:t xml:space="preserve"> nepieciešamais finansējums </w:t>
            </w:r>
            <w:r w:rsidRPr="00131BB3">
              <w:rPr>
                <w:rFonts w:ascii="Times New Roman" w:eastAsia="Times New Roman" w:hAnsi="Times New Roman" w:cs="Times New Roman"/>
                <w:bCs/>
                <w:i/>
                <w:sz w:val="20"/>
                <w:szCs w:val="20"/>
                <w:lang w:eastAsia="lv-LV"/>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tcPr>
          <w:p w14:paraId="323BA90F" w14:textId="0909F8B1" w:rsidR="00DA2AD2" w:rsidRPr="00007A5A" w:rsidRDefault="00DA2AD2" w:rsidP="004F463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No 2019.gada 1.aprīļa nepieciešamais finansējums </w:t>
            </w:r>
            <w:r w:rsidRPr="001E6842">
              <w:rPr>
                <w:rFonts w:ascii="Times New Roman" w:eastAsia="Times New Roman" w:hAnsi="Times New Roman" w:cs="Times New Roman"/>
                <w:bCs/>
                <w:i/>
                <w:sz w:val="20"/>
                <w:szCs w:val="20"/>
                <w:lang w:eastAsia="lv-LV"/>
              </w:rPr>
              <w:t>euro</w:t>
            </w:r>
          </w:p>
        </w:tc>
      </w:tr>
      <w:tr w:rsidR="00DA2AD2" w:rsidRPr="0038075C" w14:paraId="15099A32" w14:textId="35D17C31" w:rsidTr="00D63888">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7CFAD" w14:textId="77777777" w:rsidR="00DA2AD2" w:rsidRPr="00007A5A" w:rsidRDefault="00DA2AD2" w:rsidP="004F463B">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Insulta vienības pakalpojumu nodrošināšana SIA "Jēkabpils reģionālā slimnīca" (6.pielikums 2.7.1..apakšpunkts)</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2D9700E2" w14:textId="424A213B" w:rsidR="00DA2AD2" w:rsidRPr="00E36DD2" w:rsidRDefault="000A01F0" w:rsidP="004F463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107 183</w:t>
            </w:r>
          </w:p>
        </w:tc>
        <w:tc>
          <w:tcPr>
            <w:tcW w:w="1717" w:type="dxa"/>
            <w:tcBorders>
              <w:top w:val="single" w:sz="4" w:space="0" w:color="auto"/>
              <w:left w:val="nil"/>
              <w:bottom w:val="single" w:sz="4" w:space="0" w:color="auto"/>
              <w:right w:val="single" w:sz="4" w:space="0" w:color="auto"/>
            </w:tcBorders>
            <w:vAlign w:val="center"/>
          </w:tcPr>
          <w:p w14:paraId="40963DAD" w14:textId="1D3EB002" w:rsidR="00DA2AD2" w:rsidRPr="00E36DD2" w:rsidRDefault="00DA2AD2" w:rsidP="004F463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80</w:t>
            </w:r>
            <w:r w:rsidR="000A01F0">
              <w:rPr>
                <w:rFonts w:ascii="Times New Roman" w:eastAsia="Times New Roman" w:hAnsi="Times New Roman" w:cs="Times New Roman"/>
                <w:bCs/>
                <w:sz w:val="20"/>
                <w:szCs w:val="20"/>
                <w:lang w:eastAsia="lv-LV"/>
              </w:rPr>
              <w:t xml:space="preserve"> 387</w:t>
            </w:r>
          </w:p>
        </w:tc>
      </w:tr>
    </w:tbl>
    <w:p w14:paraId="2C6D3D91" w14:textId="77777777" w:rsidR="0050396F" w:rsidRDefault="0050396F" w:rsidP="0050396F">
      <w:pPr>
        <w:spacing w:after="120"/>
        <w:jc w:val="both"/>
        <w:rPr>
          <w:rFonts w:ascii="Times New Roman" w:hAnsi="Times New Roman"/>
          <w:b/>
          <w:sz w:val="24"/>
          <w:szCs w:val="24"/>
        </w:rPr>
      </w:pPr>
    </w:p>
    <w:p w14:paraId="75DFAF80" w14:textId="77777777" w:rsidR="0050396F" w:rsidRPr="0005706A" w:rsidRDefault="0050396F" w:rsidP="0050396F">
      <w:pPr>
        <w:spacing w:after="120"/>
        <w:jc w:val="both"/>
        <w:rPr>
          <w:rFonts w:ascii="Times New Roman" w:hAnsi="Times New Roman"/>
          <w:b/>
          <w:sz w:val="24"/>
          <w:szCs w:val="24"/>
          <w:u w:val="single"/>
        </w:rPr>
      </w:pPr>
      <w:r w:rsidRPr="00366823">
        <w:rPr>
          <w:rFonts w:ascii="Times New Roman" w:hAnsi="Times New Roman"/>
          <w:b/>
          <w:sz w:val="24"/>
          <w:szCs w:val="24"/>
          <w:u w:val="single"/>
        </w:rPr>
        <w:t>3.pasākums. V</w:t>
      </w:r>
      <w:r w:rsidRPr="0005706A">
        <w:rPr>
          <w:rFonts w:ascii="Times New Roman" w:hAnsi="Times New Roman"/>
          <w:b/>
          <w:sz w:val="24"/>
          <w:szCs w:val="24"/>
          <w:u w:val="single"/>
        </w:rPr>
        <w:t xml:space="preserve"> līmeņa ārstniecības iestāžu izmaksu kompensācija, pārskatot gultas dienu tarifu</w:t>
      </w:r>
    </w:p>
    <w:p w14:paraId="215CBAD0" w14:textId="77777777" w:rsidR="0050396F" w:rsidRPr="00497AFE" w:rsidRDefault="0050396F" w:rsidP="0050396F">
      <w:pPr>
        <w:pStyle w:val="ListParagraph"/>
        <w:spacing w:after="120"/>
        <w:ind w:left="0" w:firstLine="720"/>
        <w:jc w:val="both"/>
        <w:rPr>
          <w:rFonts w:ascii="Times New Roman" w:hAnsi="Times New Roman"/>
          <w:sz w:val="24"/>
          <w:szCs w:val="24"/>
          <w:lang w:val="lv-LV"/>
        </w:rPr>
      </w:pPr>
      <w:bookmarkStart w:id="6" w:name="_Hlk531620174"/>
      <w:r w:rsidRPr="00497AFE">
        <w:rPr>
          <w:rFonts w:ascii="Times New Roman" w:hAnsi="Times New Roman"/>
          <w:sz w:val="24"/>
          <w:szCs w:val="24"/>
          <w:lang w:val="lv-LV"/>
        </w:rPr>
        <w:t xml:space="preserve">Ņemot </w:t>
      </w:r>
      <w:r w:rsidRPr="00497AFE">
        <w:rPr>
          <w:rFonts w:ascii="Times New Roman" w:eastAsiaTheme="minorHAnsi" w:hAnsi="Times New Roman"/>
          <w:sz w:val="24"/>
          <w:szCs w:val="24"/>
          <w:lang w:val="lv-LV"/>
        </w:rPr>
        <w:t>vērā</w:t>
      </w:r>
      <w:r w:rsidRPr="00497AFE">
        <w:rPr>
          <w:rFonts w:ascii="Times New Roman" w:hAnsi="Times New Roman"/>
          <w:sz w:val="24"/>
          <w:szCs w:val="24"/>
          <w:lang w:val="lv-LV"/>
        </w:rPr>
        <w:t xml:space="preserve"> iedzīvotāju izvietojumu un augsta līmeņa specifisku veselības aprūpes pakalpojumu augstās izmaksas, sarežģītāko veselības aprūpes pakalpojumu sniegšana tiek </w:t>
      </w:r>
      <w:r w:rsidRPr="00497AFE">
        <w:rPr>
          <w:rFonts w:ascii="Times New Roman" w:hAnsi="Times New Roman"/>
          <w:sz w:val="24"/>
          <w:szCs w:val="24"/>
          <w:lang w:val="lv-LV"/>
        </w:rPr>
        <w:lastRenderedPageBreak/>
        <w:t xml:space="preserve">koncentrēta Rīgā un nacionālās nozīmes attīstības centros – IV un V līmeņa slimnīcās, līdz ar to I, II un III līmeņa slimnīcas koncentrējas uz veselības aprūpes pamatpakalpojumu sniegšanu, kas uzlabos pamatpakalpojumu pakalpojumu pieejamību pēc iespējas tuvāk iedzīvotājiem. Ņemot vērā augstākā līmeņa veselības aprūpes pakalpojumu koncentrēšanu un pamatpakalpojumu sniegšanas iespējas I, II un III līmeņa </w:t>
      </w:r>
      <w:r w:rsidRPr="00497AFE">
        <w:rPr>
          <w:rFonts w:ascii="Times New Roman" w:eastAsiaTheme="minorHAnsi" w:hAnsi="Times New Roman"/>
          <w:sz w:val="24"/>
          <w:szCs w:val="24"/>
          <w:lang w:val="lv-LV"/>
        </w:rPr>
        <w:t>slimnīcās</w:t>
      </w:r>
      <w:r w:rsidRPr="00497AFE">
        <w:rPr>
          <w:rFonts w:ascii="Times New Roman" w:hAnsi="Times New Roman"/>
          <w:sz w:val="24"/>
          <w:szCs w:val="24"/>
          <w:lang w:val="lv-LV"/>
        </w:rPr>
        <w:t>, plānots veicināt slimnīcu sadarbības apvienību izveidi reģionos, lai iedzīvotājiem pieejamāki kļūtu dažāda veida veselības aprūpes pakalpojumi un slimnīcas sadarbotos savā starpā, nodrošinot nepieciešamos pakalpojumus pacientiem.</w:t>
      </w:r>
    </w:p>
    <w:p w14:paraId="7D777408" w14:textId="77777777" w:rsidR="0050396F" w:rsidRPr="00497AFE" w:rsidRDefault="0050396F" w:rsidP="0050396F">
      <w:pPr>
        <w:pStyle w:val="ListParagraph"/>
        <w:spacing w:after="120"/>
        <w:ind w:left="0" w:firstLine="720"/>
        <w:jc w:val="both"/>
        <w:rPr>
          <w:rFonts w:ascii="Times New Roman" w:hAnsi="Times New Roman"/>
          <w:sz w:val="24"/>
          <w:szCs w:val="24"/>
          <w:lang w:val="lv-LV"/>
        </w:rPr>
      </w:pPr>
      <w:r w:rsidRPr="00497AFE">
        <w:rPr>
          <w:rFonts w:ascii="Times New Roman" w:hAnsi="Times New Roman"/>
          <w:sz w:val="24"/>
          <w:szCs w:val="24"/>
          <w:lang w:val="lv-LV"/>
        </w:rPr>
        <w:t xml:space="preserve">Sadarbības teritorijas ietvaros ārstniecības iestādes varēs efektīvāk plānot nepieciešamo infrastruktūru un cilvēkresursus, nodrošinot ne tikai </w:t>
      </w:r>
      <w:r w:rsidRPr="00497AFE">
        <w:rPr>
          <w:rFonts w:ascii="Times New Roman" w:eastAsiaTheme="minorHAnsi" w:hAnsi="Times New Roman"/>
          <w:sz w:val="24"/>
          <w:szCs w:val="24"/>
          <w:lang w:val="lv-LV"/>
        </w:rPr>
        <w:t>vienlīdzīgu</w:t>
      </w:r>
      <w:r w:rsidRPr="00497AFE">
        <w:rPr>
          <w:rFonts w:ascii="Times New Roman" w:hAnsi="Times New Roman"/>
          <w:sz w:val="24"/>
          <w:szCs w:val="24"/>
          <w:lang w:val="lv-LV"/>
        </w:rPr>
        <w:t xml:space="preserve"> pakalpojumu pieejamību, bet arī vienlīdzīgu pakalpojumu kvalitāti, attīstot ilgtspējīgu un perspektīvu veselības aprūpes pakalpojumu sniegšanu.</w:t>
      </w:r>
    </w:p>
    <w:p w14:paraId="6AAB5921" w14:textId="77777777" w:rsidR="0050396F" w:rsidRPr="004A78B0" w:rsidRDefault="0050396F" w:rsidP="0050396F">
      <w:pPr>
        <w:spacing w:after="120"/>
        <w:ind w:firstLine="720"/>
        <w:jc w:val="both"/>
        <w:rPr>
          <w:rFonts w:ascii="Times New Roman" w:hAnsi="Times New Roman"/>
          <w:sz w:val="24"/>
          <w:szCs w:val="24"/>
        </w:rPr>
      </w:pPr>
      <w:r w:rsidRPr="00497AFE">
        <w:rPr>
          <w:rFonts w:ascii="Times New Roman" w:hAnsi="Times New Roman"/>
          <w:sz w:val="24"/>
          <w:szCs w:val="24"/>
        </w:rPr>
        <w:t xml:space="preserve">Papildus stacionāro veselības aprūpes pamata pakalpojumu pieejamībai, tiek stimulēta ambulatorās veselības aprūpes attīstība pie stacionārām ārstniecības iestādēm, kas ļauj gan uzlabot pakalpojumu kvalitāti, gan paaugstināt ārstniecības iestāžu resursu izmantošanas efektivitāti. Ambulatorās aprūpes attīstībai atbilstoši slimnīcu investīciju vajadzību analīzei būtisku ieguldījumu daļu (aptuveni 50 % no visiem ieguldījumiem) plānots novirzīt ambulatorās </w:t>
      </w:r>
      <w:r w:rsidRPr="004A78B0">
        <w:rPr>
          <w:rFonts w:ascii="Times New Roman" w:hAnsi="Times New Roman"/>
          <w:sz w:val="24"/>
          <w:szCs w:val="24"/>
        </w:rPr>
        <w:t>aprūpes attīstībai, gan telpu uzlabošanai, gan arī aprīkojuma iegādei</w:t>
      </w:r>
      <w:bookmarkEnd w:id="6"/>
      <w:r w:rsidRPr="004A78B0">
        <w:rPr>
          <w:rFonts w:ascii="Times New Roman" w:hAnsi="Times New Roman"/>
          <w:sz w:val="24"/>
          <w:szCs w:val="24"/>
        </w:rPr>
        <w:t>.</w:t>
      </w:r>
    </w:p>
    <w:p w14:paraId="4A873B80" w14:textId="33410FF7" w:rsidR="0050396F" w:rsidRDefault="004A78B0" w:rsidP="00F6762B">
      <w:pPr>
        <w:pStyle w:val="ListParagraph"/>
        <w:spacing w:after="120"/>
        <w:ind w:left="0" w:firstLine="720"/>
        <w:jc w:val="both"/>
        <w:rPr>
          <w:rFonts w:ascii="Times New Roman" w:hAnsi="Times New Roman"/>
          <w:i/>
          <w:sz w:val="24"/>
          <w:szCs w:val="24"/>
          <w:lang w:val="lv-LV"/>
        </w:rPr>
      </w:pPr>
      <w:r>
        <w:rPr>
          <w:rFonts w:ascii="Times New Roman" w:hAnsi="Times New Roman"/>
          <w:sz w:val="24"/>
          <w:szCs w:val="24"/>
          <w:lang w:val="lv-LV"/>
        </w:rPr>
        <w:t>Ievērojot</w:t>
      </w:r>
      <w:r w:rsidRPr="00E52E2A">
        <w:rPr>
          <w:rFonts w:ascii="Times New Roman" w:hAnsi="Times New Roman"/>
          <w:sz w:val="24"/>
          <w:szCs w:val="24"/>
          <w:lang w:val="lv-LV"/>
        </w:rPr>
        <w:t xml:space="preserve"> Ārstniecības likuma pārejas noteikumu 24.punktā noteikto</w:t>
      </w:r>
      <w:r w:rsidR="007A6B16">
        <w:rPr>
          <w:rFonts w:ascii="Times New Roman" w:hAnsi="Times New Roman"/>
          <w:sz w:val="24"/>
          <w:szCs w:val="24"/>
          <w:lang w:val="lv-LV"/>
        </w:rPr>
        <w:t xml:space="preserve"> Veselības ministrija</w:t>
      </w:r>
      <w:r w:rsidRPr="00E52E2A">
        <w:rPr>
          <w:rFonts w:ascii="Times New Roman" w:hAnsi="Times New Roman"/>
          <w:sz w:val="24"/>
          <w:szCs w:val="24"/>
          <w:lang w:val="lv-LV"/>
        </w:rPr>
        <w:t xml:space="preserve"> no 2019.gada pakāpeniski</w:t>
      </w:r>
      <w:r w:rsidRPr="00D148D3">
        <w:rPr>
          <w:rFonts w:ascii="Times New Roman" w:hAnsi="Times New Roman"/>
          <w:sz w:val="24"/>
          <w:szCs w:val="24"/>
          <w:lang w:val="lv-LV"/>
        </w:rPr>
        <w:t xml:space="preserve"> universitātes slimnīcām samaksa par stacionārās veselības aprūpes pakalpojumiem, kas ietilpst diagnozēm piesaistīto grupu aprēķinā (DRG pakalpojumi), tiktu noteikta atbilstoši šo slimnīcu izmaksām, ņemot vērā, ka universitātes slimnīcās koncentrējas sarežģītākā un izmaksu ziņā ietilpīgākā ārstniecība. Plānots, ka universitātes slimnīcu tarifu, kas tiek maksāti par DRG pakalpojumiem, aprēķinā tiks iekļauta universitāšu slimnīcu gultas dienas vērtība, nevis lokālo slimnīcu gultas dienu vērtība kā līdz šim</w:t>
      </w:r>
      <w:r w:rsidR="00D73219">
        <w:rPr>
          <w:rFonts w:ascii="Times New Roman" w:hAnsi="Times New Roman"/>
          <w:sz w:val="24"/>
          <w:szCs w:val="24"/>
          <w:lang w:val="lv-LV"/>
        </w:rPr>
        <w:t xml:space="preserve"> </w:t>
      </w:r>
      <w:r w:rsidR="00AD6E85">
        <w:rPr>
          <w:rFonts w:ascii="Times New Roman" w:hAnsi="Times New Roman"/>
          <w:sz w:val="24"/>
          <w:szCs w:val="24"/>
          <w:lang w:val="lv-LV"/>
        </w:rPr>
        <w:t xml:space="preserve">50,52 </w:t>
      </w:r>
      <w:r w:rsidR="00AD6E85" w:rsidRPr="0090646F">
        <w:rPr>
          <w:rFonts w:ascii="Times New Roman" w:hAnsi="Times New Roman"/>
          <w:i/>
          <w:sz w:val="24"/>
          <w:szCs w:val="24"/>
          <w:lang w:val="lv-LV"/>
        </w:rPr>
        <w:t>euro</w:t>
      </w:r>
      <w:r w:rsidRPr="00D148D3">
        <w:rPr>
          <w:rFonts w:ascii="Times New Roman" w:hAnsi="Times New Roman"/>
          <w:sz w:val="24"/>
          <w:szCs w:val="24"/>
          <w:lang w:val="lv-LV"/>
        </w:rPr>
        <w:t xml:space="preserve">, veidojot 17,99 </w:t>
      </w:r>
      <w:r>
        <w:rPr>
          <w:rFonts w:ascii="Times New Roman" w:hAnsi="Times New Roman"/>
          <w:i/>
          <w:sz w:val="24"/>
          <w:szCs w:val="24"/>
          <w:lang w:val="lv-LV"/>
        </w:rPr>
        <w:t>euro</w:t>
      </w:r>
      <w:r w:rsidRPr="00D148D3">
        <w:rPr>
          <w:rFonts w:ascii="Times New Roman" w:hAnsi="Times New Roman"/>
          <w:sz w:val="24"/>
          <w:szCs w:val="24"/>
          <w:lang w:val="lv-LV"/>
        </w:rPr>
        <w:t xml:space="preserve"> starpību uz gultasdienas vērtību</w:t>
      </w:r>
      <w:r>
        <w:rPr>
          <w:rFonts w:ascii="Times New Roman" w:hAnsi="Times New Roman"/>
          <w:sz w:val="24"/>
          <w:szCs w:val="24"/>
          <w:lang w:val="lv-LV"/>
        </w:rPr>
        <w:t xml:space="preserve"> </w:t>
      </w:r>
      <w:r w:rsidRPr="00E52E2A">
        <w:rPr>
          <w:rFonts w:ascii="Times New Roman" w:hAnsi="Times New Roman"/>
          <w:sz w:val="24"/>
          <w:szCs w:val="24"/>
          <w:lang w:val="lv-LV"/>
        </w:rPr>
        <w:t xml:space="preserve">plānots </w:t>
      </w:r>
      <w:r w:rsidR="007A6B16" w:rsidRPr="007A6B16">
        <w:rPr>
          <w:rFonts w:ascii="Times New Roman" w:hAnsi="Times New Roman"/>
          <w:sz w:val="24"/>
          <w:szCs w:val="24"/>
          <w:lang w:val="lv-LV"/>
        </w:rPr>
        <w:t>u</w:t>
      </w:r>
      <w:r w:rsidRPr="00E52E2A">
        <w:rPr>
          <w:rFonts w:ascii="Times New Roman" w:hAnsi="Times New Roman"/>
          <w:sz w:val="24"/>
          <w:szCs w:val="24"/>
          <w:lang w:val="lv-LV"/>
        </w:rPr>
        <w:t xml:space="preserve">niversitātes slimnīcās no valsts budžeta līdzekļiem apmaksājamiem veselības aprūpes pakalpojumiem piemērot paaugstinātu koeficientu, </w:t>
      </w:r>
      <w:r w:rsidR="007A6B16" w:rsidRPr="001E3E66">
        <w:rPr>
          <w:rFonts w:ascii="Times New Roman" w:hAnsi="Times New Roman"/>
          <w:sz w:val="24"/>
          <w:szCs w:val="24"/>
          <w:lang w:val="lv-LV"/>
        </w:rPr>
        <w:t xml:space="preserve">2019.gadā </w:t>
      </w:r>
      <w:r w:rsidRPr="00E52E2A">
        <w:rPr>
          <w:rFonts w:ascii="Times New Roman" w:hAnsi="Times New Roman"/>
          <w:sz w:val="24"/>
          <w:szCs w:val="24"/>
          <w:lang w:val="lv-LV"/>
        </w:rPr>
        <w:t>tam novirzot</w:t>
      </w:r>
      <w:r w:rsidRPr="00E52E2A">
        <w:rPr>
          <w:rFonts w:ascii="Times New Roman" w:hAnsi="Times New Roman"/>
          <w:b/>
          <w:sz w:val="24"/>
          <w:szCs w:val="24"/>
          <w:lang w:val="lv-LV"/>
        </w:rPr>
        <w:t xml:space="preserve"> 2 837 994 </w:t>
      </w:r>
      <w:r w:rsidRPr="00E52E2A">
        <w:rPr>
          <w:rFonts w:ascii="Times New Roman" w:hAnsi="Times New Roman"/>
          <w:b/>
          <w:i/>
          <w:sz w:val="24"/>
          <w:szCs w:val="24"/>
          <w:lang w:val="lv-LV"/>
        </w:rPr>
        <w:t>euro</w:t>
      </w:r>
      <w:r w:rsidR="003612D4">
        <w:rPr>
          <w:rFonts w:ascii="Times New Roman" w:hAnsi="Times New Roman"/>
          <w:b/>
          <w:i/>
          <w:sz w:val="24"/>
          <w:szCs w:val="24"/>
          <w:lang w:val="lv-LV"/>
        </w:rPr>
        <w:t xml:space="preserve"> </w:t>
      </w:r>
      <w:r w:rsidR="003612D4" w:rsidRPr="00E52E2A">
        <w:rPr>
          <w:rFonts w:ascii="Times New Roman" w:hAnsi="Times New Roman"/>
          <w:sz w:val="24"/>
          <w:szCs w:val="24"/>
          <w:lang w:val="lv-LV"/>
        </w:rPr>
        <w:t>(</w:t>
      </w:r>
      <w:r w:rsidR="00E118ED">
        <w:rPr>
          <w:rFonts w:ascii="Times New Roman" w:hAnsi="Times New Roman"/>
          <w:sz w:val="24"/>
          <w:szCs w:val="24"/>
          <w:lang w:val="lv-LV"/>
        </w:rPr>
        <w:t>85</w:t>
      </w:r>
      <w:r w:rsidR="003612D4" w:rsidRPr="00E52E2A">
        <w:rPr>
          <w:rFonts w:ascii="Times New Roman" w:hAnsi="Times New Roman"/>
          <w:sz w:val="24"/>
          <w:szCs w:val="24"/>
          <w:lang w:val="lv-LV"/>
        </w:rPr>
        <w:t>.tabula)</w:t>
      </w:r>
      <w:r w:rsidRPr="00E52E2A">
        <w:rPr>
          <w:rFonts w:ascii="Times New Roman" w:hAnsi="Times New Roman"/>
          <w:sz w:val="24"/>
          <w:szCs w:val="24"/>
          <w:lang w:val="lv-LV"/>
        </w:rPr>
        <w:t>.</w:t>
      </w:r>
      <w:r>
        <w:rPr>
          <w:rFonts w:ascii="Times New Roman" w:hAnsi="Times New Roman"/>
          <w:i/>
          <w:sz w:val="24"/>
          <w:szCs w:val="24"/>
          <w:lang w:val="lv-LV"/>
        </w:rPr>
        <w:t xml:space="preserve"> </w:t>
      </w:r>
    </w:p>
    <w:p w14:paraId="28FDA72A" w14:textId="083792CB" w:rsidR="003612D4" w:rsidRPr="00E93259" w:rsidRDefault="00E118ED" w:rsidP="26166EDA">
      <w:pPr>
        <w:pStyle w:val="ListParagraph"/>
        <w:spacing w:after="120"/>
        <w:ind w:left="0" w:firstLine="720"/>
        <w:jc w:val="right"/>
        <w:rPr>
          <w:rFonts w:ascii="Times New Roman" w:hAnsi="Times New Roman"/>
          <w:i/>
          <w:iCs/>
          <w:sz w:val="24"/>
          <w:szCs w:val="24"/>
          <w:lang w:val="lv-LV"/>
        </w:rPr>
      </w:pPr>
      <w:r>
        <w:rPr>
          <w:rFonts w:ascii="Times New Roman" w:hAnsi="Times New Roman"/>
          <w:i/>
          <w:iCs/>
          <w:sz w:val="24"/>
          <w:szCs w:val="24"/>
          <w:lang w:val="lv-LV"/>
        </w:rPr>
        <w:t>85</w:t>
      </w:r>
      <w:r w:rsidR="003612D4" w:rsidRPr="26166EDA">
        <w:rPr>
          <w:rFonts w:ascii="Times New Roman" w:hAnsi="Times New Roman"/>
          <w:i/>
          <w:iCs/>
          <w:sz w:val="24"/>
          <w:szCs w:val="24"/>
          <w:lang w:val="lv-LV"/>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62"/>
        <w:gridCol w:w="1611"/>
        <w:gridCol w:w="2065"/>
        <w:gridCol w:w="1611"/>
      </w:tblGrid>
      <w:tr w:rsidR="003612D4" w:rsidRPr="00985F50" w14:paraId="23A90E89" w14:textId="77777777" w:rsidTr="009515EA">
        <w:tc>
          <w:tcPr>
            <w:tcW w:w="1840" w:type="dxa"/>
            <w:shd w:val="clear" w:color="auto" w:fill="E36C0A" w:themeFill="accent6" w:themeFillShade="BF"/>
            <w:vAlign w:val="center"/>
          </w:tcPr>
          <w:p w14:paraId="7A0546EA" w14:textId="77777777" w:rsidR="003612D4" w:rsidRPr="009515EA" w:rsidRDefault="003612D4" w:rsidP="006B56B3">
            <w:pPr>
              <w:pStyle w:val="ListParagraph"/>
              <w:spacing w:after="120" w:line="240" w:lineRule="auto"/>
              <w:ind w:left="0"/>
              <w:jc w:val="both"/>
              <w:rPr>
                <w:rFonts w:ascii="Times New Roman" w:hAnsi="Times New Roman"/>
                <w:b/>
                <w:sz w:val="20"/>
                <w:szCs w:val="20"/>
                <w:lang w:val="lv-LV"/>
              </w:rPr>
            </w:pPr>
            <w:r w:rsidRPr="009515EA">
              <w:rPr>
                <w:rFonts w:ascii="Times New Roman" w:hAnsi="Times New Roman"/>
                <w:b/>
                <w:sz w:val="20"/>
                <w:szCs w:val="20"/>
                <w:lang w:val="lv-LV"/>
              </w:rPr>
              <w:t>Gultas dienu (GD) skaits 2018.g.</w:t>
            </w:r>
          </w:p>
        </w:tc>
        <w:tc>
          <w:tcPr>
            <w:tcW w:w="1962" w:type="dxa"/>
            <w:shd w:val="clear" w:color="auto" w:fill="E36C0A" w:themeFill="accent6" w:themeFillShade="BF"/>
            <w:vAlign w:val="center"/>
          </w:tcPr>
          <w:p w14:paraId="377E82BC" w14:textId="3EFC3279" w:rsidR="003612D4" w:rsidRPr="009515EA" w:rsidRDefault="003612D4" w:rsidP="006B56B3">
            <w:pPr>
              <w:pStyle w:val="ListParagraph"/>
              <w:spacing w:after="120" w:line="240" w:lineRule="auto"/>
              <w:ind w:left="0"/>
              <w:jc w:val="both"/>
              <w:rPr>
                <w:rFonts w:ascii="Times New Roman" w:hAnsi="Times New Roman"/>
                <w:b/>
                <w:i/>
                <w:sz w:val="20"/>
                <w:szCs w:val="20"/>
                <w:lang w:val="lv-LV"/>
              </w:rPr>
            </w:pPr>
            <w:r w:rsidRPr="009515EA">
              <w:rPr>
                <w:rFonts w:ascii="Times New Roman" w:hAnsi="Times New Roman"/>
                <w:b/>
                <w:sz w:val="20"/>
                <w:szCs w:val="20"/>
                <w:lang w:val="lv-LV"/>
              </w:rPr>
              <w:t xml:space="preserve">GD maksājuma starpība, </w:t>
            </w:r>
            <w:r w:rsidR="00B0449C" w:rsidRPr="009515EA">
              <w:rPr>
                <w:rFonts w:ascii="Times New Roman" w:hAnsi="Times New Roman"/>
                <w:b/>
                <w:i/>
                <w:sz w:val="20"/>
                <w:szCs w:val="20"/>
                <w:lang w:val="lv-LV"/>
              </w:rPr>
              <w:t>euro</w:t>
            </w:r>
          </w:p>
        </w:tc>
        <w:tc>
          <w:tcPr>
            <w:tcW w:w="1611" w:type="dxa"/>
            <w:shd w:val="clear" w:color="auto" w:fill="E36C0A" w:themeFill="accent6" w:themeFillShade="BF"/>
            <w:vAlign w:val="center"/>
          </w:tcPr>
          <w:p w14:paraId="0B6A265D" w14:textId="6C291A41" w:rsidR="003612D4" w:rsidRPr="009515EA" w:rsidRDefault="003612D4" w:rsidP="006B56B3">
            <w:pPr>
              <w:pStyle w:val="ListParagraph"/>
              <w:spacing w:after="120" w:line="240" w:lineRule="auto"/>
              <w:ind w:left="0"/>
              <w:jc w:val="both"/>
              <w:rPr>
                <w:rFonts w:ascii="Times New Roman" w:hAnsi="Times New Roman"/>
                <w:b/>
                <w:sz w:val="20"/>
                <w:szCs w:val="20"/>
                <w:lang w:val="lv-LV"/>
              </w:rPr>
            </w:pPr>
            <w:r w:rsidRPr="009515EA">
              <w:rPr>
                <w:rFonts w:ascii="Times New Roman" w:hAnsi="Times New Roman"/>
                <w:b/>
                <w:sz w:val="20"/>
                <w:szCs w:val="20"/>
                <w:lang w:val="lv-LV"/>
              </w:rPr>
              <w:t xml:space="preserve">Nepieciešamais finansējums GD kompensācijai, </w:t>
            </w:r>
            <w:r w:rsidR="00B0449C" w:rsidRPr="009515EA">
              <w:rPr>
                <w:rFonts w:ascii="Times New Roman" w:hAnsi="Times New Roman"/>
                <w:b/>
                <w:i/>
                <w:sz w:val="20"/>
                <w:szCs w:val="20"/>
                <w:lang w:val="lv-LV"/>
              </w:rPr>
              <w:t>euro</w:t>
            </w:r>
          </w:p>
        </w:tc>
        <w:tc>
          <w:tcPr>
            <w:tcW w:w="2065" w:type="dxa"/>
            <w:shd w:val="clear" w:color="auto" w:fill="E36C0A" w:themeFill="accent6" w:themeFillShade="BF"/>
            <w:vAlign w:val="center"/>
          </w:tcPr>
          <w:p w14:paraId="024E7CE1" w14:textId="7FE128B2" w:rsidR="003612D4" w:rsidRPr="009515EA" w:rsidRDefault="003612D4" w:rsidP="006B56B3">
            <w:pPr>
              <w:pStyle w:val="ListParagraph"/>
              <w:spacing w:after="120" w:line="240" w:lineRule="auto"/>
              <w:ind w:left="0"/>
              <w:jc w:val="both"/>
              <w:rPr>
                <w:rFonts w:ascii="Times New Roman" w:hAnsi="Times New Roman"/>
                <w:b/>
                <w:sz w:val="20"/>
                <w:szCs w:val="20"/>
                <w:lang w:val="lv-LV"/>
              </w:rPr>
            </w:pPr>
            <w:r w:rsidRPr="009515EA">
              <w:rPr>
                <w:rFonts w:ascii="Times New Roman" w:hAnsi="Times New Roman"/>
                <w:b/>
                <w:sz w:val="20"/>
                <w:szCs w:val="20"/>
                <w:lang w:val="lv-LV"/>
              </w:rPr>
              <w:t xml:space="preserve">DRG kompensācijas maksājums 2018.gadā, </w:t>
            </w:r>
            <w:r w:rsidR="00B0449C" w:rsidRPr="009515EA">
              <w:rPr>
                <w:rFonts w:ascii="Times New Roman" w:hAnsi="Times New Roman"/>
                <w:b/>
                <w:i/>
                <w:sz w:val="20"/>
                <w:szCs w:val="20"/>
                <w:lang w:val="lv-LV"/>
              </w:rPr>
              <w:t>euro</w:t>
            </w:r>
          </w:p>
        </w:tc>
        <w:tc>
          <w:tcPr>
            <w:tcW w:w="1611" w:type="dxa"/>
            <w:shd w:val="clear" w:color="auto" w:fill="E36C0A" w:themeFill="accent6" w:themeFillShade="BF"/>
            <w:vAlign w:val="center"/>
          </w:tcPr>
          <w:p w14:paraId="181974F8" w14:textId="7BE322E1" w:rsidR="003612D4" w:rsidRPr="009515EA" w:rsidRDefault="003612D4" w:rsidP="006B56B3">
            <w:pPr>
              <w:pStyle w:val="ListParagraph"/>
              <w:spacing w:after="120" w:line="240" w:lineRule="auto"/>
              <w:ind w:left="0"/>
              <w:jc w:val="both"/>
              <w:rPr>
                <w:rFonts w:ascii="Times New Roman" w:hAnsi="Times New Roman"/>
                <w:b/>
                <w:sz w:val="20"/>
                <w:szCs w:val="20"/>
                <w:lang w:val="lv-LV"/>
              </w:rPr>
            </w:pPr>
            <w:r w:rsidRPr="009515EA">
              <w:rPr>
                <w:rFonts w:ascii="Times New Roman" w:hAnsi="Times New Roman"/>
                <w:b/>
                <w:sz w:val="20"/>
                <w:szCs w:val="20"/>
                <w:lang w:val="lv-LV"/>
              </w:rPr>
              <w:t xml:space="preserve">Papildus nepieciešamais finansējums, </w:t>
            </w:r>
            <w:r w:rsidR="00B0449C" w:rsidRPr="009515EA">
              <w:rPr>
                <w:rFonts w:ascii="Times New Roman" w:hAnsi="Times New Roman"/>
                <w:b/>
                <w:i/>
                <w:sz w:val="20"/>
                <w:szCs w:val="20"/>
                <w:lang w:val="lv-LV"/>
              </w:rPr>
              <w:t>euro</w:t>
            </w:r>
            <w:r w:rsidR="003C655E" w:rsidRPr="009515EA">
              <w:rPr>
                <w:rFonts w:ascii="Times New Roman" w:hAnsi="Times New Roman"/>
                <w:b/>
                <w:sz w:val="20"/>
                <w:szCs w:val="20"/>
                <w:lang w:val="lv-LV"/>
              </w:rPr>
              <w:t>F</w:t>
            </w:r>
          </w:p>
        </w:tc>
      </w:tr>
      <w:tr w:rsidR="003612D4" w:rsidRPr="00985F50" w14:paraId="211CE681" w14:textId="77777777" w:rsidTr="006B56B3">
        <w:tc>
          <w:tcPr>
            <w:tcW w:w="1840" w:type="dxa"/>
            <w:shd w:val="clear" w:color="auto" w:fill="auto"/>
          </w:tcPr>
          <w:p w14:paraId="279F7058" w14:textId="77777777" w:rsidR="003612D4" w:rsidRPr="0090646F" w:rsidRDefault="003612D4" w:rsidP="00D63888">
            <w:pPr>
              <w:pStyle w:val="ListParagraph"/>
              <w:spacing w:after="120" w:line="240" w:lineRule="auto"/>
              <w:ind w:left="0"/>
              <w:jc w:val="center"/>
              <w:rPr>
                <w:rFonts w:ascii="Times New Roman" w:hAnsi="Times New Roman"/>
                <w:sz w:val="20"/>
                <w:szCs w:val="20"/>
                <w:lang w:val="lv-LV"/>
              </w:rPr>
            </w:pPr>
            <w:r w:rsidRPr="0090646F">
              <w:rPr>
                <w:rFonts w:ascii="Times New Roman" w:hAnsi="Times New Roman"/>
                <w:sz w:val="20"/>
                <w:szCs w:val="20"/>
                <w:lang w:val="lv-LV"/>
              </w:rPr>
              <w:t>626 089</w:t>
            </w:r>
          </w:p>
        </w:tc>
        <w:tc>
          <w:tcPr>
            <w:tcW w:w="1962" w:type="dxa"/>
            <w:shd w:val="clear" w:color="auto" w:fill="auto"/>
          </w:tcPr>
          <w:p w14:paraId="2AA599E4" w14:textId="77777777" w:rsidR="003612D4" w:rsidRPr="0090646F" w:rsidRDefault="003612D4" w:rsidP="00D63888">
            <w:pPr>
              <w:pStyle w:val="ListParagraph"/>
              <w:spacing w:after="120" w:line="240" w:lineRule="auto"/>
              <w:ind w:left="0"/>
              <w:jc w:val="center"/>
              <w:rPr>
                <w:rFonts w:ascii="Times New Roman" w:hAnsi="Times New Roman"/>
                <w:sz w:val="20"/>
                <w:szCs w:val="20"/>
                <w:lang w:val="lv-LV"/>
              </w:rPr>
            </w:pPr>
            <w:r w:rsidRPr="0090646F">
              <w:rPr>
                <w:rFonts w:ascii="Times New Roman" w:hAnsi="Times New Roman"/>
                <w:sz w:val="20"/>
                <w:szCs w:val="20"/>
                <w:lang w:val="lv-LV"/>
              </w:rPr>
              <w:t>17.99</w:t>
            </w:r>
          </w:p>
        </w:tc>
        <w:tc>
          <w:tcPr>
            <w:tcW w:w="1611" w:type="dxa"/>
            <w:shd w:val="clear" w:color="auto" w:fill="auto"/>
          </w:tcPr>
          <w:p w14:paraId="2E0D82F7" w14:textId="77777777" w:rsidR="003612D4" w:rsidRPr="0090646F" w:rsidRDefault="003612D4" w:rsidP="00D63888">
            <w:pPr>
              <w:pStyle w:val="ListParagraph"/>
              <w:spacing w:after="120" w:line="240" w:lineRule="auto"/>
              <w:ind w:left="0"/>
              <w:jc w:val="center"/>
              <w:rPr>
                <w:rFonts w:ascii="Times New Roman" w:hAnsi="Times New Roman"/>
                <w:sz w:val="20"/>
                <w:szCs w:val="20"/>
                <w:lang w:val="lv-LV"/>
              </w:rPr>
            </w:pPr>
            <w:r w:rsidRPr="0090646F">
              <w:rPr>
                <w:rFonts w:ascii="Times New Roman" w:hAnsi="Times New Roman"/>
                <w:sz w:val="20"/>
                <w:szCs w:val="20"/>
                <w:lang w:val="lv-LV"/>
              </w:rPr>
              <w:t>11 263 341</w:t>
            </w:r>
          </w:p>
        </w:tc>
        <w:tc>
          <w:tcPr>
            <w:tcW w:w="2065" w:type="dxa"/>
            <w:shd w:val="clear" w:color="auto" w:fill="auto"/>
          </w:tcPr>
          <w:p w14:paraId="57660DFA" w14:textId="77777777" w:rsidR="003612D4" w:rsidRPr="0090646F" w:rsidRDefault="003612D4" w:rsidP="00D63888">
            <w:pPr>
              <w:pStyle w:val="ListParagraph"/>
              <w:spacing w:after="120" w:line="240" w:lineRule="auto"/>
              <w:ind w:left="0"/>
              <w:jc w:val="center"/>
              <w:rPr>
                <w:rFonts w:ascii="Times New Roman" w:hAnsi="Times New Roman"/>
                <w:sz w:val="20"/>
                <w:szCs w:val="20"/>
                <w:lang w:val="lv-LV"/>
              </w:rPr>
            </w:pPr>
            <w:r w:rsidRPr="0090646F">
              <w:rPr>
                <w:rFonts w:ascii="Times New Roman" w:hAnsi="Times New Roman"/>
                <w:sz w:val="20"/>
                <w:szCs w:val="20"/>
                <w:lang w:val="lv-LV"/>
              </w:rPr>
              <w:t>8 425 347</w:t>
            </w:r>
          </w:p>
        </w:tc>
        <w:tc>
          <w:tcPr>
            <w:tcW w:w="1611" w:type="dxa"/>
            <w:shd w:val="clear" w:color="auto" w:fill="auto"/>
          </w:tcPr>
          <w:p w14:paraId="01331E45" w14:textId="77777777" w:rsidR="003612D4" w:rsidRPr="0090646F" w:rsidRDefault="003612D4" w:rsidP="00D63888">
            <w:pPr>
              <w:pStyle w:val="ListParagraph"/>
              <w:spacing w:after="120" w:line="240" w:lineRule="auto"/>
              <w:ind w:left="0"/>
              <w:jc w:val="center"/>
              <w:rPr>
                <w:rFonts w:ascii="Times New Roman" w:hAnsi="Times New Roman"/>
                <w:sz w:val="20"/>
                <w:szCs w:val="20"/>
                <w:lang w:val="lv-LV"/>
              </w:rPr>
            </w:pPr>
            <w:r w:rsidRPr="0090646F">
              <w:rPr>
                <w:rFonts w:ascii="Times New Roman" w:hAnsi="Times New Roman"/>
                <w:sz w:val="20"/>
                <w:szCs w:val="20"/>
                <w:lang w:val="lv-LV"/>
              </w:rPr>
              <w:t>2 837 994</w:t>
            </w:r>
          </w:p>
        </w:tc>
      </w:tr>
    </w:tbl>
    <w:p w14:paraId="220D79C5" w14:textId="77777777" w:rsidR="003612D4" w:rsidRDefault="003612D4" w:rsidP="00F6762B">
      <w:pPr>
        <w:pStyle w:val="ListParagraph"/>
        <w:spacing w:after="120"/>
        <w:ind w:left="0" w:firstLine="720"/>
        <w:jc w:val="both"/>
        <w:rPr>
          <w:rFonts w:ascii="Times New Roman" w:hAnsi="Times New Roman"/>
          <w:sz w:val="24"/>
          <w:szCs w:val="24"/>
          <w:lang w:val="lv-LV"/>
        </w:rPr>
      </w:pPr>
    </w:p>
    <w:p w14:paraId="410288A6" w14:textId="7689A38C" w:rsidR="0050396F" w:rsidRPr="0005706A" w:rsidRDefault="0050396F" w:rsidP="0050396F">
      <w:pPr>
        <w:spacing w:after="0" w:line="240" w:lineRule="auto"/>
        <w:jc w:val="both"/>
        <w:rPr>
          <w:rFonts w:ascii="Times New Roman" w:hAnsi="Times New Roman"/>
          <w:b/>
          <w:color w:val="000000" w:themeColor="text1"/>
          <w:sz w:val="24"/>
          <w:szCs w:val="24"/>
          <w:u w:val="single"/>
        </w:rPr>
      </w:pPr>
      <w:r w:rsidRPr="0005706A">
        <w:rPr>
          <w:rFonts w:ascii="Times New Roman" w:hAnsi="Times New Roman"/>
          <w:b/>
          <w:sz w:val="24"/>
          <w:szCs w:val="24"/>
          <w:u w:val="single"/>
        </w:rPr>
        <w:t>4.pasākums.</w:t>
      </w:r>
      <w:r w:rsidRPr="0005706A">
        <w:rPr>
          <w:rFonts w:ascii="Times New Roman" w:hAnsi="Times New Roman"/>
          <w:sz w:val="24"/>
          <w:szCs w:val="24"/>
          <w:u w:val="single"/>
        </w:rPr>
        <w:t xml:space="preserve"> </w:t>
      </w:r>
      <w:r w:rsidRPr="0005706A">
        <w:rPr>
          <w:rFonts w:ascii="Times New Roman" w:hAnsi="Times New Roman"/>
          <w:b/>
          <w:sz w:val="24"/>
          <w:szCs w:val="24"/>
          <w:u w:val="single"/>
        </w:rPr>
        <w:t>Neatliekamās medicīniskās palīdzības, uzņemšanas nodaļas optimālas darbības nodrošināšanai SIA “Rīgas Austrumu klīniskā universitātes slimnīca” papildus 9 speciālistu dežūras</w:t>
      </w:r>
    </w:p>
    <w:p w14:paraId="19411868" w14:textId="77777777" w:rsidR="0050396F" w:rsidRDefault="0050396F" w:rsidP="0050396F">
      <w:pPr>
        <w:pStyle w:val="ListParagraph"/>
        <w:spacing w:after="0" w:line="240" w:lineRule="auto"/>
        <w:jc w:val="center"/>
        <w:rPr>
          <w:rFonts w:ascii="Times New Roman" w:hAnsi="Times New Roman"/>
          <w:b/>
          <w:sz w:val="24"/>
          <w:szCs w:val="24"/>
          <w:lang w:val="lv-LV"/>
        </w:rPr>
      </w:pPr>
    </w:p>
    <w:p w14:paraId="715207EC" w14:textId="0870B759" w:rsidR="0050396F" w:rsidRDefault="0050396F" w:rsidP="00D63888">
      <w:pPr>
        <w:spacing w:after="120"/>
        <w:ind w:firstLine="720"/>
        <w:jc w:val="both"/>
        <w:rPr>
          <w:rFonts w:ascii="Times New Roman" w:hAnsi="Times New Roman"/>
          <w:sz w:val="24"/>
          <w:szCs w:val="24"/>
        </w:rPr>
      </w:pPr>
      <w:r>
        <w:rPr>
          <w:rFonts w:ascii="Times New Roman" w:hAnsi="Times New Roman"/>
          <w:sz w:val="24"/>
          <w:szCs w:val="24"/>
        </w:rPr>
        <w:lastRenderedPageBreak/>
        <w:t xml:space="preserve">Saskaņā ar Ministru kabineta 2018. gada 28.augusta </w:t>
      </w:r>
      <w:r w:rsidRPr="00D66247">
        <w:rPr>
          <w:rFonts w:ascii="Times New Roman" w:hAnsi="Times New Roman"/>
          <w:sz w:val="24"/>
          <w:szCs w:val="24"/>
        </w:rPr>
        <w:t>noteikum</w:t>
      </w:r>
      <w:r>
        <w:rPr>
          <w:rFonts w:ascii="Times New Roman" w:hAnsi="Times New Roman"/>
          <w:sz w:val="24"/>
          <w:szCs w:val="24"/>
        </w:rPr>
        <w:t>iem</w:t>
      </w:r>
      <w:r w:rsidRPr="00D66247">
        <w:rPr>
          <w:rFonts w:ascii="Times New Roman" w:hAnsi="Times New Roman"/>
          <w:sz w:val="24"/>
          <w:szCs w:val="24"/>
        </w:rPr>
        <w:t xml:space="preserve"> Nr.555 SIA "Rīgas Austrumu klīniskās universitātes slimnīca" uzņemšanas nodaļā fiksētā maksājuma aprēķinā tiek ietvertas 18 speciālistu diennakts dežūras, VSIA "Paula Stradiņa klīniskās universitātes slimnīca" 14 speciālistu dežūras, VSIA "Bērnu klīniskā universitātes slimnīca" 16 speciālistu dežūras. Taču 2017.gadā SIA "Rīgas Austrumu klīniskās universitātes slimnīca"</w:t>
      </w:r>
      <w:r>
        <w:rPr>
          <w:rFonts w:ascii="Times New Roman" w:hAnsi="Times New Roman"/>
          <w:sz w:val="24"/>
          <w:szCs w:val="24"/>
        </w:rPr>
        <w:t xml:space="preserve"> </w:t>
      </w:r>
      <w:r w:rsidRPr="00D66247">
        <w:rPr>
          <w:rFonts w:ascii="Times New Roman" w:hAnsi="Times New Roman"/>
          <w:sz w:val="24"/>
          <w:szCs w:val="24"/>
        </w:rPr>
        <w:t>uzņemšanas gadījumu skaits sastādījis 21% no visiem uzņemšanas gadījumiem valstī, kas salīdzinot ar VSIA</w:t>
      </w:r>
      <w:r w:rsidR="00391701">
        <w:rPr>
          <w:rFonts w:ascii="Times New Roman" w:hAnsi="Times New Roman"/>
          <w:sz w:val="24"/>
          <w:szCs w:val="24"/>
        </w:rPr>
        <w:t> </w:t>
      </w:r>
      <w:r w:rsidRPr="00D66247">
        <w:rPr>
          <w:rFonts w:ascii="Times New Roman" w:hAnsi="Times New Roman"/>
          <w:sz w:val="24"/>
          <w:szCs w:val="24"/>
        </w:rPr>
        <w:t xml:space="preserve">"Paula Stradiņa klīniskās universitātes slimnīca" ir par 6% vairāk </w:t>
      </w:r>
      <w:r w:rsidRPr="00436FB5">
        <w:rPr>
          <w:rFonts w:ascii="Times New Roman" w:hAnsi="Times New Roman"/>
          <w:sz w:val="24"/>
          <w:szCs w:val="24"/>
        </w:rPr>
        <w:t>(</w:t>
      </w:r>
      <w:r w:rsidR="00244643">
        <w:rPr>
          <w:rFonts w:ascii="Times New Roman" w:hAnsi="Times New Roman"/>
          <w:sz w:val="24"/>
          <w:szCs w:val="24"/>
        </w:rPr>
        <w:t>7</w:t>
      </w:r>
      <w:r w:rsidR="00726C6E">
        <w:rPr>
          <w:rFonts w:ascii="Times New Roman" w:hAnsi="Times New Roman"/>
          <w:sz w:val="24"/>
          <w:szCs w:val="24"/>
        </w:rPr>
        <w:t>4</w:t>
      </w:r>
      <w:r w:rsidR="000C2E87" w:rsidRPr="00436FB5">
        <w:rPr>
          <w:rFonts w:ascii="Times New Roman" w:hAnsi="Times New Roman"/>
          <w:sz w:val="24"/>
          <w:szCs w:val="24"/>
        </w:rPr>
        <w:t>.</w:t>
      </w:r>
      <w:r w:rsidRPr="00436FB5">
        <w:rPr>
          <w:rFonts w:ascii="Times New Roman" w:hAnsi="Times New Roman"/>
          <w:sz w:val="24"/>
          <w:szCs w:val="24"/>
        </w:rPr>
        <w:t>tabul</w:t>
      </w:r>
      <w:r w:rsidR="000C2E87" w:rsidRPr="00436FB5">
        <w:rPr>
          <w:rFonts w:ascii="Times New Roman" w:hAnsi="Times New Roman"/>
          <w:sz w:val="24"/>
          <w:szCs w:val="24"/>
        </w:rPr>
        <w:t>a</w:t>
      </w:r>
      <w:r w:rsidRPr="00D66247">
        <w:rPr>
          <w:rFonts w:ascii="Times New Roman" w:hAnsi="Times New Roman"/>
          <w:sz w:val="24"/>
          <w:szCs w:val="24"/>
        </w:rPr>
        <w:t xml:space="preserve"> "Īpatsvars uzņemšanas nodaļā 2017.gadā").  Ņemot vērā, ka ārstniecības iestāde ir vienīgā vieta Latvijā, kur tiek nodrošināta kompleksa palīdzība politraumu gadījumos, lai nodrošinātu kvalitatīvu un savlaicīgu neatliekamās palīdzības sniegšanu uzņemšanas nodaļā</w:t>
      </w:r>
      <w:r>
        <w:rPr>
          <w:rFonts w:ascii="Times New Roman" w:hAnsi="Times New Roman"/>
          <w:sz w:val="24"/>
          <w:szCs w:val="24"/>
        </w:rPr>
        <w:t xml:space="preserve"> </w:t>
      </w:r>
      <w:r w:rsidRPr="00D66247">
        <w:rPr>
          <w:rFonts w:ascii="Times New Roman" w:hAnsi="Times New Roman"/>
          <w:sz w:val="24"/>
          <w:szCs w:val="24"/>
        </w:rPr>
        <w:t>SIA "Rīgas Austrumu klīniskās universitātes slimnīca" optimālam dien</w:t>
      </w:r>
      <w:r w:rsidR="001E3E66">
        <w:rPr>
          <w:rFonts w:ascii="Times New Roman" w:hAnsi="Times New Roman"/>
          <w:sz w:val="24"/>
          <w:szCs w:val="24"/>
        </w:rPr>
        <w:t>n</w:t>
      </w:r>
      <w:r w:rsidRPr="00D66247">
        <w:rPr>
          <w:rFonts w:ascii="Times New Roman" w:hAnsi="Times New Roman"/>
          <w:sz w:val="24"/>
          <w:szCs w:val="24"/>
        </w:rPr>
        <w:t>akts dežūru nodrošinājumam nepieciešams apmaksāt 27 speciālistu diennakts darbu, kas ir par 9 speciālistiem vairāk kā 2018.gad</w:t>
      </w:r>
      <w:r>
        <w:rPr>
          <w:rFonts w:ascii="Times New Roman" w:hAnsi="Times New Roman"/>
          <w:sz w:val="24"/>
          <w:szCs w:val="24"/>
        </w:rPr>
        <w:t>ā</w:t>
      </w:r>
      <w:r w:rsidR="00D35702">
        <w:rPr>
          <w:rFonts w:ascii="Times New Roman" w:hAnsi="Times New Roman"/>
          <w:sz w:val="24"/>
          <w:szCs w:val="24"/>
        </w:rPr>
        <w:t xml:space="preserve"> (</w:t>
      </w:r>
      <w:r w:rsidR="00E118ED">
        <w:rPr>
          <w:rFonts w:ascii="Times New Roman" w:hAnsi="Times New Roman"/>
          <w:sz w:val="24"/>
          <w:szCs w:val="24"/>
        </w:rPr>
        <w:t>86</w:t>
      </w:r>
      <w:r w:rsidR="00D35702">
        <w:rPr>
          <w:rFonts w:ascii="Times New Roman" w:hAnsi="Times New Roman"/>
          <w:sz w:val="24"/>
          <w:szCs w:val="24"/>
        </w:rPr>
        <w:t>.tabula)</w:t>
      </w:r>
      <w:r>
        <w:rPr>
          <w:rFonts w:ascii="Times New Roman" w:hAnsi="Times New Roman"/>
          <w:sz w:val="24"/>
          <w:szCs w:val="24"/>
        </w:rPr>
        <w:t>.</w:t>
      </w:r>
    </w:p>
    <w:p w14:paraId="026DA34A" w14:textId="77777777" w:rsidR="004F463B" w:rsidRDefault="004F463B" w:rsidP="0050396F">
      <w:pPr>
        <w:spacing w:after="0" w:line="240" w:lineRule="auto"/>
        <w:ind w:firstLine="720"/>
        <w:jc w:val="right"/>
        <w:rPr>
          <w:rFonts w:ascii="Times New Roman" w:hAnsi="Times New Roman"/>
          <w:b/>
          <w:i/>
          <w:sz w:val="24"/>
          <w:szCs w:val="24"/>
        </w:rPr>
      </w:pPr>
    </w:p>
    <w:p w14:paraId="7306E723" w14:textId="183DA313" w:rsidR="0050396F" w:rsidRPr="00E93259" w:rsidRDefault="00E118ED" w:rsidP="26166EDA">
      <w:pPr>
        <w:spacing w:after="0" w:line="240" w:lineRule="auto"/>
        <w:ind w:firstLine="720"/>
        <w:jc w:val="right"/>
        <w:rPr>
          <w:rFonts w:ascii="Times New Roman" w:hAnsi="Times New Roman"/>
          <w:i/>
          <w:iCs/>
          <w:sz w:val="24"/>
          <w:szCs w:val="24"/>
        </w:rPr>
      </w:pPr>
      <w:r>
        <w:rPr>
          <w:rFonts w:ascii="Times New Roman" w:hAnsi="Times New Roman"/>
          <w:i/>
          <w:iCs/>
          <w:sz w:val="24"/>
          <w:szCs w:val="24"/>
        </w:rPr>
        <w:t>86.</w:t>
      </w:r>
      <w:r w:rsidR="000C2E87" w:rsidRPr="26166EDA">
        <w:rPr>
          <w:rFonts w:ascii="Times New Roman" w:hAnsi="Times New Roman"/>
          <w:i/>
          <w:iCs/>
          <w:sz w:val="24"/>
          <w:szCs w:val="24"/>
        </w:rPr>
        <w:t>t</w:t>
      </w:r>
      <w:r w:rsidR="0050396F" w:rsidRPr="26166EDA">
        <w:rPr>
          <w:rFonts w:ascii="Times New Roman" w:hAnsi="Times New Roman"/>
          <w:i/>
          <w:iCs/>
          <w:sz w:val="24"/>
          <w:szCs w:val="24"/>
        </w:rPr>
        <w:t>abula</w:t>
      </w:r>
    </w:p>
    <w:p w14:paraId="6ADE1409" w14:textId="77777777" w:rsidR="0050396F" w:rsidRDefault="0050396F" w:rsidP="0050396F">
      <w:pPr>
        <w:spacing w:after="0" w:line="240" w:lineRule="auto"/>
        <w:ind w:firstLine="720"/>
        <w:jc w:val="center"/>
        <w:rPr>
          <w:rFonts w:ascii="Times New Roman" w:hAnsi="Times New Roman"/>
          <w:b/>
          <w:sz w:val="24"/>
          <w:szCs w:val="24"/>
        </w:rPr>
      </w:pPr>
      <w:r w:rsidRPr="00FD5CE6">
        <w:rPr>
          <w:rFonts w:ascii="Times New Roman" w:hAnsi="Times New Roman"/>
          <w:b/>
          <w:sz w:val="24"/>
          <w:szCs w:val="24"/>
        </w:rPr>
        <w:t>Īpatsvars uzņemšanas nodaļā 2017.gadā</w:t>
      </w:r>
    </w:p>
    <w:p w14:paraId="64B393E1" w14:textId="77777777" w:rsidR="0050396F" w:rsidRDefault="0050396F" w:rsidP="0050396F">
      <w:pPr>
        <w:spacing w:after="0" w:line="240" w:lineRule="auto"/>
        <w:ind w:firstLine="720"/>
        <w:jc w:val="center"/>
        <w:rPr>
          <w:rFonts w:ascii="Times New Roman" w:hAnsi="Times New Roman"/>
          <w:sz w:val="24"/>
          <w:szCs w:val="24"/>
        </w:rPr>
      </w:pPr>
      <w:r w:rsidRPr="00EE65FC">
        <w:rPr>
          <w:rFonts w:ascii="Times New Roman" w:hAnsi="Times New Roman"/>
          <w:sz w:val="24"/>
          <w:szCs w:val="24"/>
        </w:rPr>
        <w:t>(stacionārie un ambulatorie dati, veiktais darbs, neiekļaujot nekvotējamos stacionāros pakalpojumus, kas nav iekļauti rēķinā)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2314"/>
        <w:gridCol w:w="1843"/>
      </w:tblGrid>
      <w:tr w:rsidR="0050396F" w:rsidRPr="00D66247" w14:paraId="11D42E75" w14:textId="77777777" w:rsidTr="00E52E2A">
        <w:trPr>
          <w:trHeight w:val="510"/>
          <w:jc w:val="center"/>
        </w:trPr>
        <w:tc>
          <w:tcPr>
            <w:tcW w:w="3635" w:type="dxa"/>
            <w:shd w:val="clear" w:color="auto" w:fill="E36C0A" w:themeFill="accent6" w:themeFillShade="BF"/>
            <w:vAlign w:val="center"/>
            <w:hideMark/>
          </w:tcPr>
          <w:p w14:paraId="583D0D42"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Ārstniecības iestādes nosaukums</w:t>
            </w:r>
          </w:p>
        </w:tc>
        <w:tc>
          <w:tcPr>
            <w:tcW w:w="2314" w:type="dxa"/>
            <w:shd w:val="clear" w:color="auto" w:fill="E36C0A" w:themeFill="accent6" w:themeFillShade="BF"/>
            <w:vAlign w:val="center"/>
            <w:hideMark/>
          </w:tcPr>
          <w:p w14:paraId="393273BF"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Uzņemšanas nodaļas gadījumi*</w:t>
            </w:r>
          </w:p>
        </w:tc>
        <w:tc>
          <w:tcPr>
            <w:tcW w:w="1843" w:type="dxa"/>
            <w:shd w:val="clear" w:color="auto" w:fill="E36C0A" w:themeFill="accent6" w:themeFillShade="BF"/>
            <w:vAlign w:val="center"/>
            <w:hideMark/>
          </w:tcPr>
          <w:p w14:paraId="5F8F26E6"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Uzņemšanas gadījumu attiecība procentos, %</w:t>
            </w:r>
          </w:p>
        </w:tc>
      </w:tr>
      <w:tr w:rsidR="0050396F" w:rsidRPr="00D66247" w14:paraId="528CAC66" w14:textId="77777777" w:rsidTr="00E52E2A">
        <w:trPr>
          <w:trHeight w:val="315"/>
          <w:jc w:val="center"/>
        </w:trPr>
        <w:tc>
          <w:tcPr>
            <w:tcW w:w="3635" w:type="dxa"/>
            <w:vAlign w:val="center"/>
            <w:hideMark/>
          </w:tcPr>
          <w:p w14:paraId="1406FD5F"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1</w:t>
            </w:r>
          </w:p>
        </w:tc>
        <w:tc>
          <w:tcPr>
            <w:tcW w:w="2314" w:type="dxa"/>
            <w:vAlign w:val="center"/>
            <w:hideMark/>
          </w:tcPr>
          <w:p w14:paraId="6B32E832"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2</w:t>
            </w:r>
          </w:p>
        </w:tc>
        <w:tc>
          <w:tcPr>
            <w:tcW w:w="1843" w:type="dxa"/>
            <w:noWrap/>
            <w:vAlign w:val="center"/>
            <w:hideMark/>
          </w:tcPr>
          <w:p w14:paraId="1B02B955"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3</w:t>
            </w:r>
          </w:p>
        </w:tc>
      </w:tr>
      <w:tr w:rsidR="0050396F" w:rsidRPr="00D66247" w14:paraId="6BA0DF8B" w14:textId="77777777" w:rsidTr="00E52E2A">
        <w:trPr>
          <w:trHeight w:val="300"/>
          <w:jc w:val="center"/>
        </w:trPr>
        <w:tc>
          <w:tcPr>
            <w:tcW w:w="3635" w:type="dxa"/>
            <w:vAlign w:val="center"/>
            <w:hideMark/>
          </w:tcPr>
          <w:p w14:paraId="79BE9992"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KOPĀ</w:t>
            </w:r>
          </w:p>
        </w:tc>
        <w:tc>
          <w:tcPr>
            <w:tcW w:w="2314" w:type="dxa"/>
            <w:vAlign w:val="center"/>
            <w:hideMark/>
          </w:tcPr>
          <w:p w14:paraId="2016720C"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539 651</w:t>
            </w:r>
          </w:p>
        </w:tc>
        <w:tc>
          <w:tcPr>
            <w:tcW w:w="1843" w:type="dxa"/>
            <w:noWrap/>
            <w:vAlign w:val="center"/>
            <w:hideMark/>
          </w:tcPr>
          <w:p w14:paraId="18220184"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100%</w:t>
            </w:r>
          </w:p>
        </w:tc>
      </w:tr>
      <w:tr w:rsidR="0050396F" w:rsidRPr="00D66247" w14:paraId="2E6F9873" w14:textId="77777777" w:rsidTr="00E52E2A">
        <w:trPr>
          <w:trHeight w:val="300"/>
          <w:jc w:val="center"/>
        </w:trPr>
        <w:tc>
          <w:tcPr>
            <w:tcW w:w="3635" w:type="dxa"/>
            <w:noWrap/>
            <w:vAlign w:val="center"/>
            <w:hideMark/>
          </w:tcPr>
          <w:p w14:paraId="15ACD95A"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Kopā klīniskās universitātes slimnīcās</w:t>
            </w:r>
          </w:p>
        </w:tc>
        <w:tc>
          <w:tcPr>
            <w:tcW w:w="2314" w:type="dxa"/>
            <w:noWrap/>
            <w:vAlign w:val="center"/>
            <w:hideMark/>
          </w:tcPr>
          <w:p w14:paraId="231AFCEE"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267 305</w:t>
            </w:r>
          </w:p>
        </w:tc>
        <w:tc>
          <w:tcPr>
            <w:tcW w:w="1843" w:type="dxa"/>
            <w:noWrap/>
            <w:vAlign w:val="center"/>
            <w:hideMark/>
          </w:tcPr>
          <w:p w14:paraId="5D6608E1"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50%</w:t>
            </w:r>
          </w:p>
        </w:tc>
      </w:tr>
      <w:tr w:rsidR="0050396F" w:rsidRPr="00D66247" w14:paraId="6A9BB88D" w14:textId="77777777" w:rsidTr="00E52E2A">
        <w:trPr>
          <w:trHeight w:val="300"/>
          <w:jc w:val="center"/>
        </w:trPr>
        <w:tc>
          <w:tcPr>
            <w:tcW w:w="3635" w:type="dxa"/>
            <w:noWrap/>
            <w:vAlign w:val="center"/>
            <w:hideMark/>
          </w:tcPr>
          <w:p w14:paraId="0A383F29"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Bērnu klīniskā universitātes slimnīca</w:t>
            </w:r>
          </w:p>
        </w:tc>
        <w:tc>
          <w:tcPr>
            <w:tcW w:w="2314" w:type="dxa"/>
            <w:noWrap/>
            <w:vAlign w:val="center"/>
            <w:hideMark/>
          </w:tcPr>
          <w:p w14:paraId="2ADBB10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71 354</w:t>
            </w:r>
          </w:p>
        </w:tc>
        <w:tc>
          <w:tcPr>
            <w:tcW w:w="1843" w:type="dxa"/>
            <w:noWrap/>
            <w:vAlign w:val="center"/>
            <w:hideMark/>
          </w:tcPr>
          <w:p w14:paraId="49234F0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13%</w:t>
            </w:r>
          </w:p>
        </w:tc>
      </w:tr>
      <w:tr w:rsidR="0050396F" w:rsidRPr="00D66247" w14:paraId="16B3CF28" w14:textId="77777777" w:rsidTr="00E52E2A">
        <w:trPr>
          <w:trHeight w:val="300"/>
          <w:jc w:val="center"/>
        </w:trPr>
        <w:tc>
          <w:tcPr>
            <w:tcW w:w="3635" w:type="dxa"/>
            <w:noWrap/>
            <w:vAlign w:val="center"/>
            <w:hideMark/>
          </w:tcPr>
          <w:p w14:paraId="7303E079"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Paula Stradiņa klīniskā universitātes slimnīca</w:t>
            </w:r>
          </w:p>
        </w:tc>
        <w:tc>
          <w:tcPr>
            <w:tcW w:w="2314" w:type="dxa"/>
            <w:noWrap/>
            <w:vAlign w:val="center"/>
            <w:hideMark/>
          </w:tcPr>
          <w:p w14:paraId="76C76755"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80 632</w:t>
            </w:r>
          </w:p>
        </w:tc>
        <w:tc>
          <w:tcPr>
            <w:tcW w:w="1843" w:type="dxa"/>
            <w:noWrap/>
            <w:vAlign w:val="center"/>
            <w:hideMark/>
          </w:tcPr>
          <w:p w14:paraId="5AD41EF0"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15%</w:t>
            </w:r>
          </w:p>
        </w:tc>
      </w:tr>
      <w:tr w:rsidR="0050396F" w:rsidRPr="00D66247" w14:paraId="5A5F713A" w14:textId="77777777" w:rsidTr="00E52E2A">
        <w:trPr>
          <w:trHeight w:val="300"/>
          <w:jc w:val="center"/>
        </w:trPr>
        <w:tc>
          <w:tcPr>
            <w:tcW w:w="3635" w:type="dxa"/>
            <w:noWrap/>
            <w:vAlign w:val="center"/>
            <w:hideMark/>
          </w:tcPr>
          <w:p w14:paraId="0B1EEF93"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Rīgas Austrumu klīniskā universitātes slimnīca</w:t>
            </w:r>
          </w:p>
        </w:tc>
        <w:tc>
          <w:tcPr>
            <w:tcW w:w="2314" w:type="dxa"/>
            <w:noWrap/>
            <w:vAlign w:val="center"/>
            <w:hideMark/>
          </w:tcPr>
          <w:p w14:paraId="3CD99D2A"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115 319</w:t>
            </w:r>
          </w:p>
        </w:tc>
        <w:tc>
          <w:tcPr>
            <w:tcW w:w="1843" w:type="dxa"/>
            <w:noWrap/>
            <w:vAlign w:val="center"/>
            <w:hideMark/>
          </w:tcPr>
          <w:p w14:paraId="036F280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21%</w:t>
            </w:r>
          </w:p>
        </w:tc>
      </w:tr>
      <w:tr w:rsidR="0050396F" w:rsidRPr="00D66247" w14:paraId="76C6D2B9" w14:textId="77777777" w:rsidTr="00E52E2A">
        <w:trPr>
          <w:trHeight w:val="300"/>
          <w:jc w:val="center"/>
        </w:trPr>
        <w:tc>
          <w:tcPr>
            <w:tcW w:w="3635" w:type="dxa"/>
            <w:noWrap/>
            <w:vAlign w:val="center"/>
            <w:hideMark/>
          </w:tcPr>
          <w:p w14:paraId="1A87B25D"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Kopā reģionālajās daudzprofila slimnīcās</w:t>
            </w:r>
          </w:p>
        </w:tc>
        <w:tc>
          <w:tcPr>
            <w:tcW w:w="2314" w:type="dxa"/>
            <w:noWrap/>
            <w:vAlign w:val="center"/>
            <w:hideMark/>
          </w:tcPr>
          <w:p w14:paraId="62D249AA"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187 294</w:t>
            </w:r>
          </w:p>
        </w:tc>
        <w:tc>
          <w:tcPr>
            <w:tcW w:w="1843" w:type="dxa"/>
            <w:noWrap/>
            <w:vAlign w:val="center"/>
            <w:hideMark/>
          </w:tcPr>
          <w:p w14:paraId="3860DB3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35%</w:t>
            </w:r>
          </w:p>
        </w:tc>
      </w:tr>
      <w:tr w:rsidR="0050396F" w:rsidRPr="00D66247" w14:paraId="250DFC60" w14:textId="77777777" w:rsidTr="00E52E2A">
        <w:trPr>
          <w:trHeight w:val="300"/>
          <w:jc w:val="center"/>
        </w:trPr>
        <w:tc>
          <w:tcPr>
            <w:tcW w:w="3635" w:type="dxa"/>
            <w:noWrap/>
            <w:vAlign w:val="center"/>
            <w:hideMark/>
          </w:tcPr>
          <w:p w14:paraId="448F0C2D"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Daugavpils reģionālā slimnīca</w:t>
            </w:r>
          </w:p>
        </w:tc>
        <w:tc>
          <w:tcPr>
            <w:tcW w:w="2314" w:type="dxa"/>
            <w:noWrap/>
            <w:vAlign w:val="center"/>
            <w:hideMark/>
          </w:tcPr>
          <w:p w14:paraId="3ED2F5B0"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43 111</w:t>
            </w:r>
          </w:p>
        </w:tc>
        <w:tc>
          <w:tcPr>
            <w:tcW w:w="1843" w:type="dxa"/>
            <w:noWrap/>
            <w:vAlign w:val="center"/>
            <w:hideMark/>
          </w:tcPr>
          <w:p w14:paraId="3E282486"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8%</w:t>
            </w:r>
          </w:p>
        </w:tc>
      </w:tr>
      <w:tr w:rsidR="0050396F" w:rsidRPr="00D66247" w14:paraId="6F62E42B" w14:textId="77777777" w:rsidTr="00E52E2A">
        <w:trPr>
          <w:trHeight w:val="300"/>
          <w:jc w:val="center"/>
        </w:trPr>
        <w:tc>
          <w:tcPr>
            <w:tcW w:w="3635" w:type="dxa"/>
            <w:noWrap/>
            <w:vAlign w:val="center"/>
            <w:hideMark/>
          </w:tcPr>
          <w:p w14:paraId="2497C498"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Jelgavas pilsētas slimnīca</w:t>
            </w:r>
          </w:p>
        </w:tc>
        <w:tc>
          <w:tcPr>
            <w:tcW w:w="2314" w:type="dxa"/>
            <w:noWrap/>
            <w:vAlign w:val="center"/>
            <w:hideMark/>
          </w:tcPr>
          <w:p w14:paraId="6D5DCD43"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27 838</w:t>
            </w:r>
          </w:p>
        </w:tc>
        <w:tc>
          <w:tcPr>
            <w:tcW w:w="1843" w:type="dxa"/>
            <w:noWrap/>
            <w:vAlign w:val="center"/>
            <w:hideMark/>
          </w:tcPr>
          <w:p w14:paraId="42987F92"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5%</w:t>
            </w:r>
          </w:p>
        </w:tc>
      </w:tr>
      <w:tr w:rsidR="0050396F" w:rsidRPr="00D66247" w14:paraId="2544792B" w14:textId="77777777" w:rsidTr="00E52E2A">
        <w:trPr>
          <w:trHeight w:val="300"/>
          <w:jc w:val="center"/>
        </w:trPr>
        <w:tc>
          <w:tcPr>
            <w:tcW w:w="3635" w:type="dxa"/>
            <w:noWrap/>
            <w:vAlign w:val="center"/>
            <w:hideMark/>
          </w:tcPr>
          <w:p w14:paraId="3FD8478C"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Jēkabpils reģionālā slimnīca</w:t>
            </w:r>
          </w:p>
        </w:tc>
        <w:tc>
          <w:tcPr>
            <w:tcW w:w="2314" w:type="dxa"/>
            <w:noWrap/>
            <w:vAlign w:val="center"/>
            <w:hideMark/>
          </w:tcPr>
          <w:p w14:paraId="673D9E7F"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16 221</w:t>
            </w:r>
          </w:p>
        </w:tc>
        <w:tc>
          <w:tcPr>
            <w:tcW w:w="1843" w:type="dxa"/>
            <w:noWrap/>
            <w:vAlign w:val="center"/>
            <w:hideMark/>
          </w:tcPr>
          <w:p w14:paraId="41F669C5"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3%</w:t>
            </w:r>
          </w:p>
        </w:tc>
      </w:tr>
      <w:tr w:rsidR="0050396F" w:rsidRPr="00D66247" w14:paraId="3D4C0E41" w14:textId="77777777" w:rsidTr="00E52E2A">
        <w:trPr>
          <w:trHeight w:val="300"/>
          <w:jc w:val="center"/>
        </w:trPr>
        <w:tc>
          <w:tcPr>
            <w:tcW w:w="3635" w:type="dxa"/>
            <w:noWrap/>
            <w:vAlign w:val="center"/>
            <w:hideMark/>
          </w:tcPr>
          <w:p w14:paraId="4EE92EDA"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Liepājas reģionālā slimnīca</w:t>
            </w:r>
          </w:p>
        </w:tc>
        <w:tc>
          <w:tcPr>
            <w:tcW w:w="2314" w:type="dxa"/>
            <w:noWrap/>
            <w:vAlign w:val="center"/>
            <w:hideMark/>
          </w:tcPr>
          <w:p w14:paraId="62B73EEE"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32 757</w:t>
            </w:r>
          </w:p>
        </w:tc>
        <w:tc>
          <w:tcPr>
            <w:tcW w:w="1843" w:type="dxa"/>
            <w:noWrap/>
            <w:vAlign w:val="center"/>
            <w:hideMark/>
          </w:tcPr>
          <w:p w14:paraId="2AF6133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6%</w:t>
            </w:r>
          </w:p>
        </w:tc>
      </w:tr>
      <w:tr w:rsidR="0050396F" w:rsidRPr="00D66247" w14:paraId="07932429" w14:textId="77777777" w:rsidTr="00E52E2A">
        <w:trPr>
          <w:trHeight w:val="300"/>
          <w:jc w:val="center"/>
        </w:trPr>
        <w:tc>
          <w:tcPr>
            <w:tcW w:w="3635" w:type="dxa"/>
            <w:noWrap/>
            <w:vAlign w:val="center"/>
            <w:hideMark/>
          </w:tcPr>
          <w:p w14:paraId="29CBB552"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Rēzeknes slimnīca</w:t>
            </w:r>
          </w:p>
        </w:tc>
        <w:tc>
          <w:tcPr>
            <w:tcW w:w="2314" w:type="dxa"/>
            <w:noWrap/>
            <w:vAlign w:val="center"/>
            <w:hideMark/>
          </w:tcPr>
          <w:p w14:paraId="06F7DF3D"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21 701</w:t>
            </w:r>
          </w:p>
        </w:tc>
        <w:tc>
          <w:tcPr>
            <w:tcW w:w="1843" w:type="dxa"/>
            <w:noWrap/>
            <w:vAlign w:val="center"/>
            <w:hideMark/>
          </w:tcPr>
          <w:p w14:paraId="6E3BCF7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4%</w:t>
            </w:r>
          </w:p>
        </w:tc>
      </w:tr>
      <w:tr w:rsidR="0050396F" w:rsidRPr="00D66247" w14:paraId="3CE6710D" w14:textId="77777777" w:rsidTr="00E52E2A">
        <w:trPr>
          <w:trHeight w:val="300"/>
          <w:jc w:val="center"/>
        </w:trPr>
        <w:tc>
          <w:tcPr>
            <w:tcW w:w="3635" w:type="dxa"/>
            <w:noWrap/>
            <w:vAlign w:val="center"/>
            <w:hideMark/>
          </w:tcPr>
          <w:p w14:paraId="32DEEC39"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Vidzemes slimnīca</w:t>
            </w:r>
          </w:p>
        </w:tc>
        <w:tc>
          <w:tcPr>
            <w:tcW w:w="2314" w:type="dxa"/>
            <w:noWrap/>
            <w:vAlign w:val="center"/>
            <w:hideMark/>
          </w:tcPr>
          <w:p w14:paraId="2D190A72"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26 636</w:t>
            </w:r>
          </w:p>
        </w:tc>
        <w:tc>
          <w:tcPr>
            <w:tcW w:w="1843" w:type="dxa"/>
            <w:noWrap/>
            <w:vAlign w:val="center"/>
            <w:hideMark/>
          </w:tcPr>
          <w:p w14:paraId="34B272AF"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5%</w:t>
            </w:r>
          </w:p>
        </w:tc>
      </w:tr>
      <w:tr w:rsidR="0050396F" w:rsidRPr="00D66247" w14:paraId="218B885B" w14:textId="77777777" w:rsidTr="00E52E2A">
        <w:trPr>
          <w:trHeight w:val="300"/>
          <w:jc w:val="center"/>
        </w:trPr>
        <w:tc>
          <w:tcPr>
            <w:tcW w:w="3635" w:type="dxa"/>
            <w:noWrap/>
            <w:vAlign w:val="center"/>
            <w:hideMark/>
          </w:tcPr>
          <w:p w14:paraId="6F8BD284"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Ziemeļkurzemes reģionālā slimnīca</w:t>
            </w:r>
          </w:p>
        </w:tc>
        <w:tc>
          <w:tcPr>
            <w:tcW w:w="2314" w:type="dxa"/>
            <w:noWrap/>
            <w:vAlign w:val="center"/>
            <w:hideMark/>
          </w:tcPr>
          <w:p w14:paraId="62180724"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19 030</w:t>
            </w:r>
          </w:p>
        </w:tc>
        <w:tc>
          <w:tcPr>
            <w:tcW w:w="1843" w:type="dxa"/>
            <w:noWrap/>
            <w:vAlign w:val="center"/>
            <w:hideMark/>
          </w:tcPr>
          <w:p w14:paraId="4ED6CD37"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4%</w:t>
            </w:r>
          </w:p>
        </w:tc>
      </w:tr>
      <w:tr w:rsidR="0050396F" w:rsidRPr="00D66247" w14:paraId="70CB02F2" w14:textId="77777777" w:rsidTr="00E52E2A">
        <w:trPr>
          <w:trHeight w:val="300"/>
          <w:jc w:val="center"/>
        </w:trPr>
        <w:tc>
          <w:tcPr>
            <w:tcW w:w="3635" w:type="dxa"/>
            <w:noWrap/>
            <w:vAlign w:val="center"/>
            <w:hideMark/>
          </w:tcPr>
          <w:p w14:paraId="00FAC894"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Kopā pārējās neatliekamās palīdzības slimnīcās</w:t>
            </w:r>
          </w:p>
        </w:tc>
        <w:tc>
          <w:tcPr>
            <w:tcW w:w="2314" w:type="dxa"/>
            <w:noWrap/>
            <w:vAlign w:val="center"/>
            <w:hideMark/>
          </w:tcPr>
          <w:p w14:paraId="2FED8E1D"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85 052</w:t>
            </w:r>
          </w:p>
        </w:tc>
        <w:tc>
          <w:tcPr>
            <w:tcW w:w="1843" w:type="dxa"/>
            <w:noWrap/>
            <w:vAlign w:val="center"/>
            <w:hideMark/>
          </w:tcPr>
          <w:p w14:paraId="4771B8CA"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16%</w:t>
            </w:r>
          </w:p>
        </w:tc>
      </w:tr>
      <w:tr w:rsidR="0050396F" w:rsidRPr="00D66247" w14:paraId="06CD9462" w14:textId="77777777" w:rsidTr="00E52E2A">
        <w:trPr>
          <w:trHeight w:val="300"/>
          <w:jc w:val="center"/>
        </w:trPr>
        <w:tc>
          <w:tcPr>
            <w:tcW w:w="3635" w:type="dxa"/>
            <w:noWrap/>
            <w:vAlign w:val="center"/>
            <w:hideMark/>
          </w:tcPr>
          <w:p w14:paraId="373CF31A"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Alūksnes slimnīca</w:t>
            </w:r>
          </w:p>
        </w:tc>
        <w:tc>
          <w:tcPr>
            <w:tcW w:w="2314" w:type="dxa"/>
            <w:noWrap/>
            <w:vAlign w:val="center"/>
            <w:hideMark/>
          </w:tcPr>
          <w:p w14:paraId="38470995"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5 015</w:t>
            </w:r>
          </w:p>
        </w:tc>
        <w:tc>
          <w:tcPr>
            <w:tcW w:w="1843" w:type="dxa"/>
            <w:noWrap/>
            <w:vAlign w:val="center"/>
            <w:hideMark/>
          </w:tcPr>
          <w:p w14:paraId="18476A81"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w:t>
            </w:r>
          </w:p>
        </w:tc>
      </w:tr>
      <w:tr w:rsidR="0050396F" w:rsidRPr="00D66247" w14:paraId="775BFC2B" w14:textId="77777777" w:rsidTr="00E52E2A">
        <w:trPr>
          <w:trHeight w:val="300"/>
          <w:jc w:val="center"/>
        </w:trPr>
        <w:tc>
          <w:tcPr>
            <w:tcW w:w="3635" w:type="dxa"/>
            <w:noWrap/>
            <w:vAlign w:val="center"/>
            <w:hideMark/>
          </w:tcPr>
          <w:p w14:paraId="17C22BF3"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Balvu un Gulbenes slimnīcu apvienība</w:t>
            </w:r>
          </w:p>
        </w:tc>
        <w:tc>
          <w:tcPr>
            <w:tcW w:w="2314" w:type="dxa"/>
            <w:noWrap/>
            <w:vAlign w:val="center"/>
            <w:hideMark/>
          </w:tcPr>
          <w:p w14:paraId="0F1CD389"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7 920</w:t>
            </w:r>
          </w:p>
        </w:tc>
        <w:tc>
          <w:tcPr>
            <w:tcW w:w="1843" w:type="dxa"/>
            <w:noWrap/>
            <w:vAlign w:val="center"/>
            <w:hideMark/>
          </w:tcPr>
          <w:p w14:paraId="5FEBE27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w:t>
            </w:r>
          </w:p>
        </w:tc>
      </w:tr>
      <w:tr w:rsidR="0050396F" w:rsidRPr="00D66247" w14:paraId="03E77634" w14:textId="77777777" w:rsidTr="00E52E2A">
        <w:trPr>
          <w:trHeight w:val="300"/>
          <w:jc w:val="center"/>
        </w:trPr>
        <w:tc>
          <w:tcPr>
            <w:tcW w:w="3635" w:type="dxa"/>
            <w:noWrap/>
            <w:vAlign w:val="center"/>
            <w:hideMark/>
          </w:tcPr>
          <w:p w14:paraId="1EE5F103"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Cēsu klīnika</w:t>
            </w:r>
          </w:p>
        </w:tc>
        <w:tc>
          <w:tcPr>
            <w:tcW w:w="2314" w:type="dxa"/>
            <w:noWrap/>
            <w:vAlign w:val="center"/>
            <w:hideMark/>
          </w:tcPr>
          <w:p w14:paraId="765BCF70"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11 320</w:t>
            </w:r>
          </w:p>
        </w:tc>
        <w:tc>
          <w:tcPr>
            <w:tcW w:w="1843" w:type="dxa"/>
            <w:noWrap/>
            <w:vAlign w:val="center"/>
            <w:hideMark/>
          </w:tcPr>
          <w:p w14:paraId="3B31E33D"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w:t>
            </w:r>
          </w:p>
        </w:tc>
      </w:tr>
      <w:tr w:rsidR="0050396F" w:rsidRPr="00D66247" w14:paraId="7A6B4999" w14:textId="77777777" w:rsidTr="00E52E2A">
        <w:trPr>
          <w:trHeight w:val="300"/>
          <w:jc w:val="center"/>
        </w:trPr>
        <w:tc>
          <w:tcPr>
            <w:tcW w:w="3635" w:type="dxa"/>
            <w:noWrap/>
            <w:vAlign w:val="center"/>
            <w:hideMark/>
          </w:tcPr>
          <w:p w14:paraId="61AE509A"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Dobeles un apkārtnes slimnīca</w:t>
            </w:r>
          </w:p>
        </w:tc>
        <w:tc>
          <w:tcPr>
            <w:tcW w:w="2314" w:type="dxa"/>
            <w:noWrap/>
            <w:vAlign w:val="center"/>
            <w:hideMark/>
          </w:tcPr>
          <w:p w14:paraId="7757081F"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6 880</w:t>
            </w:r>
          </w:p>
        </w:tc>
        <w:tc>
          <w:tcPr>
            <w:tcW w:w="1843" w:type="dxa"/>
            <w:noWrap/>
            <w:vAlign w:val="center"/>
            <w:hideMark/>
          </w:tcPr>
          <w:p w14:paraId="60DF87D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w:t>
            </w:r>
          </w:p>
        </w:tc>
      </w:tr>
      <w:tr w:rsidR="0050396F" w:rsidRPr="00D66247" w14:paraId="3CAE9579" w14:textId="77777777" w:rsidTr="00E52E2A">
        <w:trPr>
          <w:trHeight w:val="300"/>
          <w:jc w:val="center"/>
        </w:trPr>
        <w:tc>
          <w:tcPr>
            <w:tcW w:w="3635" w:type="dxa"/>
            <w:noWrap/>
            <w:vAlign w:val="center"/>
            <w:hideMark/>
          </w:tcPr>
          <w:p w14:paraId="00F37483"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lastRenderedPageBreak/>
              <w:t>Jūrmalas slimnīca</w:t>
            </w:r>
          </w:p>
        </w:tc>
        <w:tc>
          <w:tcPr>
            <w:tcW w:w="2314" w:type="dxa"/>
            <w:noWrap/>
            <w:vAlign w:val="center"/>
            <w:hideMark/>
          </w:tcPr>
          <w:p w14:paraId="16C977DF"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10 430</w:t>
            </w:r>
          </w:p>
        </w:tc>
        <w:tc>
          <w:tcPr>
            <w:tcW w:w="1843" w:type="dxa"/>
            <w:noWrap/>
            <w:vAlign w:val="center"/>
            <w:hideMark/>
          </w:tcPr>
          <w:p w14:paraId="4A0854EB"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w:t>
            </w:r>
          </w:p>
        </w:tc>
      </w:tr>
      <w:tr w:rsidR="0050396F" w:rsidRPr="00D66247" w14:paraId="137DF3AE" w14:textId="77777777" w:rsidTr="00E52E2A">
        <w:trPr>
          <w:trHeight w:val="300"/>
          <w:jc w:val="center"/>
        </w:trPr>
        <w:tc>
          <w:tcPr>
            <w:tcW w:w="3635" w:type="dxa"/>
            <w:noWrap/>
            <w:vAlign w:val="center"/>
            <w:hideMark/>
          </w:tcPr>
          <w:p w14:paraId="10A919E1"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Krāslavas slimnīca</w:t>
            </w:r>
          </w:p>
        </w:tc>
        <w:tc>
          <w:tcPr>
            <w:tcW w:w="2314" w:type="dxa"/>
            <w:noWrap/>
            <w:vAlign w:val="center"/>
            <w:hideMark/>
          </w:tcPr>
          <w:p w14:paraId="425274D3"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3 108</w:t>
            </w:r>
          </w:p>
        </w:tc>
        <w:tc>
          <w:tcPr>
            <w:tcW w:w="1843" w:type="dxa"/>
            <w:noWrap/>
            <w:vAlign w:val="center"/>
            <w:hideMark/>
          </w:tcPr>
          <w:p w14:paraId="7058A34F"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w:t>
            </w:r>
          </w:p>
        </w:tc>
      </w:tr>
      <w:tr w:rsidR="0050396F" w:rsidRPr="00D66247" w14:paraId="0D9B7658" w14:textId="77777777" w:rsidTr="00E52E2A">
        <w:trPr>
          <w:trHeight w:val="300"/>
          <w:jc w:val="center"/>
        </w:trPr>
        <w:tc>
          <w:tcPr>
            <w:tcW w:w="3635" w:type="dxa"/>
            <w:noWrap/>
            <w:vAlign w:val="center"/>
            <w:hideMark/>
          </w:tcPr>
          <w:p w14:paraId="61FA15ED"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Kuldīgas slimnīca</w:t>
            </w:r>
          </w:p>
        </w:tc>
        <w:tc>
          <w:tcPr>
            <w:tcW w:w="2314" w:type="dxa"/>
            <w:noWrap/>
            <w:vAlign w:val="center"/>
            <w:hideMark/>
          </w:tcPr>
          <w:p w14:paraId="52281C62"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10 200</w:t>
            </w:r>
          </w:p>
        </w:tc>
        <w:tc>
          <w:tcPr>
            <w:tcW w:w="1843" w:type="dxa"/>
            <w:noWrap/>
            <w:vAlign w:val="center"/>
            <w:hideMark/>
          </w:tcPr>
          <w:p w14:paraId="67D5BC0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w:t>
            </w:r>
          </w:p>
        </w:tc>
      </w:tr>
      <w:tr w:rsidR="0050396F" w:rsidRPr="00D66247" w14:paraId="5668EA62" w14:textId="77777777" w:rsidTr="00E52E2A">
        <w:trPr>
          <w:trHeight w:val="300"/>
          <w:jc w:val="center"/>
        </w:trPr>
        <w:tc>
          <w:tcPr>
            <w:tcW w:w="3635" w:type="dxa"/>
            <w:noWrap/>
            <w:vAlign w:val="center"/>
            <w:hideMark/>
          </w:tcPr>
          <w:p w14:paraId="2017D5FA"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Madonas slimnīca</w:t>
            </w:r>
          </w:p>
        </w:tc>
        <w:tc>
          <w:tcPr>
            <w:tcW w:w="2314" w:type="dxa"/>
            <w:noWrap/>
            <w:vAlign w:val="center"/>
            <w:hideMark/>
          </w:tcPr>
          <w:p w14:paraId="4D78A0A6"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9 033</w:t>
            </w:r>
          </w:p>
        </w:tc>
        <w:tc>
          <w:tcPr>
            <w:tcW w:w="1843" w:type="dxa"/>
            <w:noWrap/>
            <w:vAlign w:val="center"/>
            <w:hideMark/>
          </w:tcPr>
          <w:p w14:paraId="27B7EF6D"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w:t>
            </w:r>
          </w:p>
        </w:tc>
      </w:tr>
      <w:tr w:rsidR="0050396F" w:rsidRPr="00D66247" w14:paraId="225C4EC4" w14:textId="77777777" w:rsidTr="00E52E2A">
        <w:trPr>
          <w:trHeight w:val="300"/>
          <w:jc w:val="center"/>
        </w:trPr>
        <w:tc>
          <w:tcPr>
            <w:tcW w:w="3635" w:type="dxa"/>
            <w:noWrap/>
            <w:vAlign w:val="center"/>
            <w:hideMark/>
          </w:tcPr>
          <w:p w14:paraId="11F49DE0"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Ogres rajona slimnīca</w:t>
            </w:r>
          </w:p>
        </w:tc>
        <w:tc>
          <w:tcPr>
            <w:tcW w:w="2314" w:type="dxa"/>
            <w:noWrap/>
            <w:vAlign w:val="center"/>
            <w:hideMark/>
          </w:tcPr>
          <w:p w14:paraId="70595FE8"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8 548</w:t>
            </w:r>
          </w:p>
        </w:tc>
        <w:tc>
          <w:tcPr>
            <w:tcW w:w="1843" w:type="dxa"/>
            <w:noWrap/>
            <w:vAlign w:val="center"/>
            <w:hideMark/>
          </w:tcPr>
          <w:p w14:paraId="2FC136B3"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w:t>
            </w:r>
          </w:p>
        </w:tc>
      </w:tr>
      <w:tr w:rsidR="0050396F" w:rsidRPr="00D66247" w14:paraId="43387F21" w14:textId="77777777" w:rsidTr="00E52E2A">
        <w:trPr>
          <w:trHeight w:val="300"/>
          <w:jc w:val="center"/>
        </w:trPr>
        <w:tc>
          <w:tcPr>
            <w:tcW w:w="3635" w:type="dxa"/>
            <w:noWrap/>
            <w:vAlign w:val="center"/>
            <w:hideMark/>
          </w:tcPr>
          <w:p w14:paraId="4A467198"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Preiļu slimnīca</w:t>
            </w:r>
          </w:p>
        </w:tc>
        <w:tc>
          <w:tcPr>
            <w:tcW w:w="2314" w:type="dxa"/>
            <w:noWrap/>
            <w:vAlign w:val="center"/>
            <w:hideMark/>
          </w:tcPr>
          <w:p w14:paraId="0B80BD7F"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3 069</w:t>
            </w:r>
          </w:p>
        </w:tc>
        <w:tc>
          <w:tcPr>
            <w:tcW w:w="1843" w:type="dxa"/>
            <w:noWrap/>
            <w:vAlign w:val="center"/>
            <w:hideMark/>
          </w:tcPr>
          <w:p w14:paraId="64F26C7A"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1%</w:t>
            </w:r>
          </w:p>
        </w:tc>
      </w:tr>
      <w:tr w:rsidR="0050396F" w:rsidRPr="00D66247" w14:paraId="454DD787" w14:textId="77777777" w:rsidTr="00E52E2A">
        <w:trPr>
          <w:trHeight w:val="315"/>
          <w:jc w:val="center"/>
        </w:trPr>
        <w:tc>
          <w:tcPr>
            <w:tcW w:w="3635" w:type="dxa"/>
            <w:noWrap/>
            <w:vAlign w:val="center"/>
            <w:hideMark/>
          </w:tcPr>
          <w:p w14:paraId="6971E3A9" w14:textId="77777777" w:rsidR="0050396F" w:rsidRPr="00AE6690" w:rsidRDefault="0050396F" w:rsidP="00E52E2A">
            <w:pPr>
              <w:spacing w:after="0" w:line="240" w:lineRule="auto"/>
              <w:jc w:val="both"/>
              <w:rPr>
                <w:rFonts w:ascii="Times New Roman" w:hAnsi="Times New Roman"/>
                <w:sz w:val="20"/>
                <w:szCs w:val="20"/>
              </w:rPr>
            </w:pPr>
            <w:r w:rsidRPr="00AE6690">
              <w:rPr>
                <w:rFonts w:ascii="Times New Roman" w:hAnsi="Times New Roman"/>
                <w:sz w:val="20"/>
                <w:szCs w:val="20"/>
              </w:rPr>
              <w:t>Tukuma slimnīca</w:t>
            </w:r>
          </w:p>
        </w:tc>
        <w:tc>
          <w:tcPr>
            <w:tcW w:w="2314" w:type="dxa"/>
            <w:noWrap/>
            <w:vAlign w:val="center"/>
            <w:hideMark/>
          </w:tcPr>
          <w:p w14:paraId="5137BFF5"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9 529</w:t>
            </w:r>
          </w:p>
        </w:tc>
        <w:tc>
          <w:tcPr>
            <w:tcW w:w="1843" w:type="dxa"/>
            <w:noWrap/>
            <w:vAlign w:val="center"/>
            <w:hideMark/>
          </w:tcPr>
          <w:p w14:paraId="62CBF39E" w14:textId="77777777" w:rsidR="0050396F" w:rsidRPr="00AE6690" w:rsidRDefault="0050396F" w:rsidP="00E52E2A">
            <w:pPr>
              <w:spacing w:after="0" w:line="240" w:lineRule="auto"/>
              <w:jc w:val="center"/>
              <w:rPr>
                <w:rFonts w:ascii="Times New Roman" w:hAnsi="Times New Roman"/>
                <w:sz w:val="20"/>
                <w:szCs w:val="20"/>
              </w:rPr>
            </w:pPr>
            <w:r w:rsidRPr="00AE6690">
              <w:rPr>
                <w:rFonts w:ascii="Times New Roman" w:hAnsi="Times New Roman"/>
                <w:sz w:val="20"/>
                <w:szCs w:val="20"/>
              </w:rPr>
              <w:t>2%</w:t>
            </w:r>
          </w:p>
        </w:tc>
      </w:tr>
    </w:tbl>
    <w:p w14:paraId="56523BCB" w14:textId="77777777" w:rsidR="0050396F" w:rsidRDefault="0050396F" w:rsidP="0050396F">
      <w:pPr>
        <w:spacing w:after="0" w:line="240" w:lineRule="auto"/>
        <w:rPr>
          <w:rFonts w:ascii="Times New Roman" w:hAnsi="Times New Roman"/>
          <w:sz w:val="24"/>
          <w:szCs w:val="24"/>
        </w:rPr>
      </w:pPr>
    </w:p>
    <w:tbl>
      <w:tblPr>
        <w:tblW w:w="9367" w:type="dxa"/>
        <w:tblLook w:val="04A0" w:firstRow="1" w:lastRow="0" w:firstColumn="1" w:lastColumn="0" w:noHBand="0" w:noVBand="1"/>
      </w:tblPr>
      <w:tblGrid>
        <w:gridCol w:w="4962"/>
        <w:gridCol w:w="1984"/>
        <w:gridCol w:w="2126"/>
        <w:gridCol w:w="295"/>
      </w:tblGrid>
      <w:tr w:rsidR="0050396F" w:rsidRPr="006F1DC2" w14:paraId="6B0FC3EF" w14:textId="77777777" w:rsidTr="00E93259">
        <w:trPr>
          <w:trHeight w:val="300"/>
        </w:trPr>
        <w:tc>
          <w:tcPr>
            <w:tcW w:w="9367" w:type="dxa"/>
            <w:gridSpan w:val="4"/>
            <w:tcBorders>
              <w:top w:val="nil"/>
              <w:left w:val="nil"/>
              <w:bottom w:val="nil"/>
              <w:right w:val="nil"/>
            </w:tcBorders>
            <w:shd w:val="clear" w:color="auto" w:fill="auto"/>
            <w:hideMark/>
          </w:tcPr>
          <w:p w14:paraId="2BCCCE36" w14:textId="77777777" w:rsidR="0050396F" w:rsidRPr="006F1DC2" w:rsidRDefault="0050396F" w:rsidP="004F463B">
            <w:pPr>
              <w:spacing w:after="0" w:line="240" w:lineRule="auto"/>
              <w:rPr>
                <w:rFonts w:ascii="Times New Roman" w:eastAsia="Times New Roman" w:hAnsi="Times New Roman" w:cs="Times New Roman"/>
                <w:i/>
                <w:iCs/>
                <w:sz w:val="18"/>
                <w:szCs w:val="18"/>
                <w:lang w:eastAsia="lv-LV"/>
              </w:rPr>
            </w:pPr>
            <w:r w:rsidRPr="006F1DC2">
              <w:rPr>
                <w:rFonts w:ascii="Times New Roman" w:eastAsia="Times New Roman" w:hAnsi="Times New Roman" w:cs="Times New Roman"/>
                <w:i/>
                <w:iCs/>
                <w:sz w:val="18"/>
                <w:szCs w:val="18"/>
                <w:lang w:eastAsia="lv-LV"/>
              </w:rPr>
              <w:t>*Gadījumu skaitu uzņemšanas nodaļā veido stacionāro hospitalizāciju skaits un ambulatoro epizožu (1.-6.) skaits uzņemšanas nodaļā</w:t>
            </w:r>
          </w:p>
        </w:tc>
      </w:tr>
      <w:tr w:rsidR="0050396F" w:rsidRPr="006F1DC2" w14:paraId="65D717F3" w14:textId="77777777" w:rsidTr="00E93259">
        <w:trPr>
          <w:trHeight w:val="300"/>
        </w:trPr>
        <w:tc>
          <w:tcPr>
            <w:tcW w:w="9367" w:type="dxa"/>
            <w:gridSpan w:val="4"/>
            <w:tcBorders>
              <w:top w:val="nil"/>
              <w:left w:val="nil"/>
              <w:bottom w:val="nil"/>
              <w:right w:val="nil"/>
            </w:tcBorders>
            <w:shd w:val="clear" w:color="auto" w:fill="auto"/>
            <w:hideMark/>
          </w:tcPr>
          <w:p w14:paraId="6D947FE1" w14:textId="77777777" w:rsidR="0050396F" w:rsidRDefault="0050396F" w:rsidP="004F463B">
            <w:pPr>
              <w:spacing w:after="0" w:line="240" w:lineRule="auto"/>
              <w:rPr>
                <w:rFonts w:ascii="Times New Roman" w:eastAsia="Times New Roman" w:hAnsi="Times New Roman" w:cs="Times New Roman"/>
                <w:i/>
                <w:iCs/>
                <w:sz w:val="18"/>
                <w:szCs w:val="18"/>
                <w:lang w:eastAsia="lv-LV"/>
              </w:rPr>
            </w:pPr>
            <w:r w:rsidRPr="006F1DC2">
              <w:rPr>
                <w:rFonts w:ascii="Times New Roman" w:eastAsia="Times New Roman" w:hAnsi="Times New Roman" w:cs="Times New Roman"/>
                <w:i/>
                <w:iCs/>
                <w:sz w:val="18"/>
                <w:szCs w:val="18"/>
                <w:lang w:eastAsia="lv-LV"/>
              </w:rPr>
              <w:t>**Observācijas gadījumu skaitu veido stacionāro hospitalizāciju skaits ar OG pacientu grupu un ambulatoro observācijas epizožu (1.-6.) skaits uzņemšanas nodaļā</w:t>
            </w:r>
          </w:p>
          <w:p w14:paraId="5E4D4BBF" w14:textId="17570559" w:rsidR="007E0F7B" w:rsidRDefault="007E0F7B" w:rsidP="004F463B">
            <w:pPr>
              <w:spacing w:after="0" w:line="240" w:lineRule="auto"/>
              <w:rPr>
                <w:rFonts w:ascii="Times New Roman" w:eastAsia="Times New Roman" w:hAnsi="Times New Roman" w:cs="Times New Roman"/>
                <w:i/>
                <w:iCs/>
                <w:sz w:val="18"/>
                <w:szCs w:val="18"/>
                <w:lang w:eastAsia="lv-LV"/>
              </w:rPr>
            </w:pPr>
          </w:p>
          <w:p w14:paraId="0074D2A5" w14:textId="32F63AD6" w:rsidR="00244643" w:rsidRPr="00C77297" w:rsidRDefault="00DB330E" w:rsidP="00C7729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E118ED">
              <w:rPr>
                <w:rFonts w:ascii="Times New Roman" w:eastAsia="Times New Roman" w:hAnsi="Times New Roman" w:cs="Times New Roman"/>
                <w:sz w:val="24"/>
                <w:szCs w:val="24"/>
                <w:lang w:eastAsia="lv-LV"/>
              </w:rPr>
              <w:t>7</w:t>
            </w:r>
            <w:r w:rsidR="00244643" w:rsidRPr="00C77297">
              <w:rPr>
                <w:rFonts w:ascii="Times New Roman" w:eastAsia="Times New Roman" w:hAnsi="Times New Roman" w:cs="Times New Roman"/>
                <w:sz w:val="24"/>
                <w:szCs w:val="24"/>
                <w:lang w:eastAsia="lv-LV"/>
              </w:rPr>
              <w:t>.tabula</w:t>
            </w:r>
          </w:p>
          <w:p w14:paraId="5A1337B4" w14:textId="69E80BB1" w:rsidR="00244643" w:rsidRPr="00C77297" w:rsidRDefault="00244643" w:rsidP="00C77297">
            <w:pPr>
              <w:spacing w:after="0" w:line="240" w:lineRule="auto"/>
              <w:jc w:val="center"/>
              <w:rPr>
                <w:rFonts w:ascii="Times New Roman" w:eastAsia="Times New Roman" w:hAnsi="Times New Roman" w:cs="Times New Roman"/>
                <w:b/>
                <w:bCs/>
                <w:sz w:val="24"/>
                <w:szCs w:val="24"/>
                <w:lang w:eastAsia="lv-LV"/>
              </w:rPr>
            </w:pPr>
            <w:r w:rsidRPr="00C77297">
              <w:rPr>
                <w:rFonts w:ascii="Times New Roman" w:eastAsia="Times New Roman" w:hAnsi="Times New Roman" w:cs="Times New Roman"/>
                <w:b/>
                <w:bCs/>
                <w:sz w:val="24"/>
                <w:szCs w:val="24"/>
                <w:lang w:eastAsia="lv-LV"/>
              </w:rPr>
              <w:t>Neatliekamās palīdzības, uzņemšanas nodaļas optimālas darbības nodrošināšanai SIA</w:t>
            </w:r>
            <w:r w:rsidR="00EC604F">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“Rīgas Austrumu klīniskās universitātes slimnīca”</w:t>
            </w:r>
            <w:r w:rsidRPr="00244643">
              <w:rPr>
                <w:rFonts w:ascii="Times New Roman" w:eastAsia="Times New Roman" w:hAnsi="Times New Roman" w:cs="Times New Roman"/>
                <w:b/>
                <w:bCs/>
                <w:sz w:val="24"/>
                <w:szCs w:val="24"/>
                <w:lang w:eastAsia="lv-LV"/>
              </w:rPr>
              <w:t xml:space="preserve"> papildus 9 speciālistu dežūr</w:t>
            </w:r>
            <w:r>
              <w:rPr>
                <w:rFonts w:ascii="Times New Roman" w:eastAsia="Times New Roman" w:hAnsi="Times New Roman" w:cs="Times New Roman"/>
                <w:b/>
                <w:bCs/>
                <w:sz w:val="24"/>
                <w:szCs w:val="24"/>
                <w:lang w:eastAsia="lv-LV"/>
              </w:rPr>
              <w:t>ām nepieciešamais finansējums</w:t>
            </w:r>
          </w:p>
          <w:p w14:paraId="56DC8B41" w14:textId="09B4043C" w:rsidR="002514D1" w:rsidRPr="00C77297" w:rsidRDefault="002514D1" w:rsidP="00C77297">
            <w:pPr>
              <w:spacing w:after="0" w:line="240" w:lineRule="auto"/>
              <w:jc w:val="center"/>
              <w:rPr>
                <w:rFonts w:ascii="Times New Roman" w:eastAsia="Times New Roman" w:hAnsi="Times New Roman" w:cs="Times New Roman"/>
                <w:b/>
                <w:iCs/>
                <w:sz w:val="24"/>
                <w:szCs w:val="24"/>
                <w:lang w:eastAsia="lv-LV"/>
              </w:rPr>
            </w:pPr>
          </w:p>
        </w:tc>
      </w:tr>
      <w:tr w:rsidR="007E0F7B" w:rsidRPr="0038075C" w14:paraId="68C828AE" w14:textId="77777777" w:rsidTr="00E93259">
        <w:tblPrEx>
          <w:jc w:val="center"/>
        </w:tblPrEx>
        <w:trPr>
          <w:gridAfter w:val="1"/>
          <w:wAfter w:w="295" w:type="dxa"/>
          <w:trHeight w:val="796"/>
          <w:jc w:val="center"/>
        </w:trPr>
        <w:tc>
          <w:tcPr>
            <w:tcW w:w="496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435BCB0" w14:textId="77777777" w:rsidR="007E0F7B" w:rsidRPr="00C77297" w:rsidRDefault="007E0F7B" w:rsidP="00C77297">
            <w:pPr>
              <w:spacing w:after="0" w:line="240" w:lineRule="auto"/>
              <w:jc w:val="center"/>
              <w:rPr>
                <w:rFonts w:ascii="Times New Roman" w:eastAsia="Times New Roman" w:hAnsi="Times New Roman" w:cs="Times New Roman"/>
                <w:sz w:val="20"/>
                <w:szCs w:val="20"/>
                <w:lang w:eastAsia="lv-LV"/>
              </w:rPr>
            </w:pPr>
            <w:r w:rsidRPr="00E12849">
              <w:rPr>
                <w:rFonts w:ascii="Times New Roman" w:eastAsia="Times New Roman" w:hAnsi="Times New Roman" w:cs="Times New Roman"/>
                <w:sz w:val="20"/>
                <w:szCs w:val="20"/>
                <w:lang w:eastAsia="lv-LV"/>
              </w:rPr>
              <w:t>Pasākuma nosaukums</w:t>
            </w:r>
          </w:p>
        </w:tc>
        <w:tc>
          <w:tcPr>
            <w:tcW w:w="198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C948614" w14:textId="77777777" w:rsidR="007E0F7B" w:rsidRPr="00007A5A" w:rsidRDefault="007E0F7B" w:rsidP="00A27D09">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2019.gadam</w:t>
            </w:r>
            <w:r>
              <w:rPr>
                <w:rFonts w:ascii="Times New Roman" w:eastAsia="Times New Roman" w:hAnsi="Times New Roman" w:cs="Times New Roman"/>
                <w:bCs/>
                <w:sz w:val="20"/>
                <w:szCs w:val="20"/>
                <w:lang w:eastAsia="lv-LV"/>
              </w:rPr>
              <w:t xml:space="preserve"> nepieciešamais finansējums </w:t>
            </w:r>
            <w:r w:rsidRPr="00131BB3">
              <w:rPr>
                <w:rFonts w:ascii="Times New Roman" w:eastAsia="Times New Roman" w:hAnsi="Times New Roman" w:cs="Times New Roman"/>
                <w:bCs/>
                <w:i/>
                <w:sz w:val="20"/>
                <w:szCs w:val="20"/>
                <w:lang w:eastAsia="lv-LV"/>
              </w:rPr>
              <w:t>euro</w:t>
            </w:r>
          </w:p>
        </w:tc>
        <w:tc>
          <w:tcPr>
            <w:tcW w:w="2126" w:type="dxa"/>
            <w:tcBorders>
              <w:top w:val="single" w:sz="4" w:space="0" w:color="auto"/>
              <w:left w:val="nil"/>
              <w:bottom w:val="single" w:sz="4" w:space="0" w:color="auto"/>
              <w:right w:val="single" w:sz="4" w:space="0" w:color="auto"/>
            </w:tcBorders>
            <w:shd w:val="clear" w:color="auto" w:fill="E36C0A" w:themeFill="accent6" w:themeFillShade="BF"/>
          </w:tcPr>
          <w:p w14:paraId="58E87472" w14:textId="77777777" w:rsidR="007E0F7B" w:rsidRPr="00007A5A" w:rsidRDefault="007E0F7B" w:rsidP="00A27D09">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No 2019.gada 1.aprīļa nepieciešamais finansējums </w:t>
            </w:r>
            <w:r w:rsidRPr="001E6842">
              <w:rPr>
                <w:rFonts w:ascii="Times New Roman" w:eastAsia="Times New Roman" w:hAnsi="Times New Roman" w:cs="Times New Roman"/>
                <w:bCs/>
                <w:i/>
                <w:sz w:val="20"/>
                <w:szCs w:val="20"/>
                <w:lang w:eastAsia="lv-LV"/>
              </w:rPr>
              <w:t>euro</w:t>
            </w:r>
          </w:p>
        </w:tc>
      </w:tr>
      <w:tr w:rsidR="007E0F7B" w:rsidRPr="0038075C" w14:paraId="33BBC94C" w14:textId="77777777" w:rsidTr="00E93259">
        <w:tblPrEx>
          <w:jc w:val="center"/>
        </w:tblPrEx>
        <w:trPr>
          <w:gridAfter w:val="1"/>
          <w:wAfter w:w="295" w:type="dxa"/>
          <w:trHeight w:val="796"/>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D914C" w14:textId="6093A5AF" w:rsidR="007E0F7B" w:rsidRPr="00C77297" w:rsidRDefault="007E0F7B" w:rsidP="00C77297">
            <w:pPr>
              <w:spacing w:after="0" w:line="240" w:lineRule="auto"/>
              <w:jc w:val="center"/>
              <w:rPr>
                <w:rFonts w:ascii="Times New Roman" w:eastAsia="Times New Roman" w:hAnsi="Times New Roman" w:cs="Times New Roman"/>
                <w:sz w:val="20"/>
                <w:szCs w:val="20"/>
                <w:lang w:eastAsia="lv-LV"/>
              </w:rPr>
            </w:pPr>
            <w:r w:rsidRPr="00E12849">
              <w:rPr>
                <w:rFonts w:ascii="Times New Roman" w:eastAsia="Times New Roman" w:hAnsi="Times New Roman" w:cs="Times New Roman"/>
                <w:sz w:val="20"/>
                <w:szCs w:val="20"/>
                <w:lang w:eastAsia="lv-LV"/>
              </w:rPr>
              <w:t xml:space="preserve">Neatliekamās palīdzības, uzņemšanas nodaļas optimālas darbības nodrošināšanai SIA </w:t>
            </w:r>
            <w:r w:rsidR="00F83668">
              <w:rPr>
                <w:rFonts w:ascii="Times New Roman" w:eastAsia="Times New Roman" w:hAnsi="Times New Roman" w:cs="Times New Roman"/>
                <w:sz w:val="20"/>
                <w:szCs w:val="20"/>
                <w:lang w:eastAsia="lv-LV"/>
              </w:rPr>
              <w:t>“</w:t>
            </w:r>
            <w:r w:rsidRPr="00E12849">
              <w:rPr>
                <w:rFonts w:ascii="Times New Roman" w:eastAsia="Times New Roman" w:hAnsi="Times New Roman" w:cs="Times New Roman"/>
                <w:sz w:val="20"/>
                <w:szCs w:val="20"/>
                <w:lang w:eastAsia="lv-LV"/>
              </w:rPr>
              <w:t>R</w:t>
            </w:r>
            <w:r w:rsidR="00F83668">
              <w:rPr>
                <w:rFonts w:ascii="Times New Roman" w:eastAsia="Times New Roman" w:hAnsi="Times New Roman" w:cs="Times New Roman"/>
                <w:sz w:val="20"/>
                <w:szCs w:val="20"/>
                <w:lang w:eastAsia="lv-LV"/>
              </w:rPr>
              <w:t>īgas Austrumu klīniskā universitātes slimnīca”</w:t>
            </w:r>
            <w:r w:rsidRPr="00E12849">
              <w:rPr>
                <w:rFonts w:ascii="Times New Roman" w:eastAsia="Times New Roman" w:hAnsi="Times New Roman" w:cs="Times New Roman"/>
                <w:sz w:val="20"/>
                <w:szCs w:val="20"/>
                <w:lang w:eastAsia="lv-LV"/>
              </w:rPr>
              <w:t xml:space="preserve"> papildus 9 speciālistu dežūras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64BF4A4" w14:textId="502E82E6" w:rsidR="007E0F7B" w:rsidRPr="00E36DD2" w:rsidRDefault="007E0F7B" w:rsidP="00A27D09">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1 608 757</w:t>
            </w:r>
          </w:p>
        </w:tc>
        <w:tc>
          <w:tcPr>
            <w:tcW w:w="2126" w:type="dxa"/>
            <w:tcBorders>
              <w:top w:val="single" w:sz="4" w:space="0" w:color="auto"/>
              <w:left w:val="nil"/>
              <w:bottom w:val="single" w:sz="4" w:space="0" w:color="auto"/>
              <w:right w:val="single" w:sz="4" w:space="0" w:color="auto"/>
            </w:tcBorders>
            <w:vAlign w:val="center"/>
          </w:tcPr>
          <w:p w14:paraId="4AF4FDDC" w14:textId="35269C8A" w:rsidR="007E0F7B" w:rsidRPr="00E36DD2" w:rsidRDefault="007E0F7B" w:rsidP="00A27D09">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1 206 568</w:t>
            </w:r>
          </w:p>
        </w:tc>
      </w:tr>
    </w:tbl>
    <w:p w14:paraId="07BEAF3B" w14:textId="77777777" w:rsidR="0050396F" w:rsidRDefault="0050396F" w:rsidP="0050396F">
      <w:pPr>
        <w:spacing w:after="0" w:line="240" w:lineRule="auto"/>
        <w:ind w:firstLine="720"/>
        <w:jc w:val="both"/>
        <w:rPr>
          <w:rFonts w:ascii="Times New Roman" w:hAnsi="Times New Roman"/>
          <w:sz w:val="24"/>
          <w:szCs w:val="24"/>
        </w:rPr>
      </w:pPr>
    </w:p>
    <w:p w14:paraId="395517C4" w14:textId="77777777" w:rsidR="0050396F" w:rsidRDefault="0050396F" w:rsidP="0050396F">
      <w:pPr>
        <w:spacing w:after="0" w:line="240" w:lineRule="auto"/>
        <w:ind w:firstLine="720"/>
        <w:jc w:val="both"/>
        <w:rPr>
          <w:rFonts w:ascii="Times New Roman" w:hAnsi="Times New Roman"/>
          <w:sz w:val="24"/>
          <w:szCs w:val="24"/>
        </w:rPr>
      </w:pPr>
      <w:r>
        <w:rPr>
          <w:rFonts w:ascii="Times New Roman" w:hAnsi="Times New Roman"/>
          <w:sz w:val="24"/>
          <w:szCs w:val="24"/>
        </w:rPr>
        <w:t xml:space="preserve">Līdz ar to no 2019.gada 1.aprīļa papildus nepieciešami </w:t>
      </w:r>
      <w:r w:rsidRPr="006F1DC2">
        <w:rPr>
          <w:rFonts w:ascii="Times New Roman" w:hAnsi="Times New Roman"/>
          <w:b/>
          <w:sz w:val="24"/>
          <w:szCs w:val="24"/>
        </w:rPr>
        <w:t xml:space="preserve">1 206 568 </w:t>
      </w:r>
      <w:r w:rsidRPr="006F1DC2">
        <w:rPr>
          <w:rFonts w:ascii="Times New Roman" w:hAnsi="Times New Roman"/>
          <w:b/>
          <w:i/>
          <w:sz w:val="24"/>
          <w:szCs w:val="24"/>
        </w:rPr>
        <w:t>euro</w:t>
      </w:r>
      <w:r w:rsidRPr="00CD4320">
        <w:rPr>
          <w:rFonts w:ascii="Times New Roman" w:hAnsi="Times New Roman"/>
          <w:sz w:val="24"/>
          <w:szCs w:val="24"/>
        </w:rPr>
        <w:t xml:space="preserve">, lai nodrošinātu papildus 9 speciālistu dežūras. </w:t>
      </w:r>
    </w:p>
    <w:p w14:paraId="107D8FED" w14:textId="77777777" w:rsidR="0050396F" w:rsidRDefault="0050396F" w:rsidP="0050396F">
      <w:pPr>
        <w:spacing w:after="0" w:line="240" w:lineRule="auto"/>
        <w:jc w:val="both"/>
        <w:rPr>
          <w:rFonts w:ascii="Times New Roman" w:hAnsi="Times New Roman"/>
          <w:sz w:val="24"/>
          <w:szCs w:val="24"/>
        </w:rPr>
      </w:pPr>
    </w:p>
    <w:p w14:paraId="3C0722C8" w14:textId="06157313" w:rsidR="0050396F" w:rsidRPr="00916086" w:rsidRDefault="00441E90" w:rsidP="00916086">
      <w:pPr>
        <w:spacing w:after="0" w:line="240" w:lineRule="auto"/>
        <w:jc w:val="both"/>
        <w:rPr>
          <w:rFonts w:ascii="Times New Roman" w:hAnsi="Times New Roman"/>
          <w:b/>
          <w:sz w:val="24"/>
          <w:szCs w:val="24"/>
          <w:u w:val="single"/>
        </w:rPr>
      </w:pPr>
      <w:r>
        <w:rPr>
          <w:rFonts w:ascii="Times New Roman" w:hAnsi="Times New Roman"/>
          <w:b/>
          <w:sz w:val="24"/>
          <w:szCs w:val="24"/>
          <w:u w:val="single"/>
        </w:rPr>
        <w:t>5.</w:t>
      </w:r>
      <w:r w:rsidR="0050396F" w:rsidRPr="00916086">
        <w:rPr>
          <w:rFonts w:ascii="Times New Roman" w:hAnsi="Times New Roman"/>
          <w:b/>
          <w:sz w:val="24"/>
          <w:szCs w:val="24"/>
          <w:u w:val="single"/>
        </w:rPr>
        <w:t>pasākums. Neatliekamās medicīniskās palīdzības</w:t>
      </w:r>
      <w:r w:rsidR="001B7D30">
        <w:rPr>
          <w:rFonts w:ascii="Times New Roman" w:hAnsi="Times New Roman"/>
          <w:b/>
          <w:sz w:val="24"/>
          <w:szCs w:val="24"/>
          <w:u w:val="single"/>
        </w:rPr>
        <w:t>,</w:t>
      </w:r>
      <w:r w:rsidR="0050396F" w:rsidRPr="00916086">
        <w:rPr>
          <w:rFonts w:ascii="Times New Roman" w:hAnsi="Times New Roman"/>
          <w:b/>
          <w:sz w:val="24"/>
          <w:szCs w:val="24"/>
          <w:u w:val="single"/>
        </w:rPr>
        <w:t xml:space="preserve"> uzņemšanas nodaļās</w:t>
      </w:r>
      <w:r w:rsidR="001B7D30">
        <w:rPr>
          <w:rFonts w:ascii="Times New Roman" w:hAnsi="Times New Roman"/>
          <w:b/>
          <w:sz w:val="24"/>
          <w:szCs w:val="24"/>
          <w:u w:val="single"/>
        </w:rPr>
        <w:t xml:space="preserve"> papildus neonatologa nodrošināšana</w:t>
      </w:r>
    </w:p>
    <w:p w14:paraId="78CE2885" w14:textId="77777777" w:rsidR="0050396F" w:rsidRDefault="0050396F" w:rsidP="0050396F">
      <w:pPr>
        <w:spacing w:after="0" w:line="240" w:lineRule="auto"/>
        <w:jc w:val="both"/>
        <w:rPr>
          <w:rFonts w:ascii="Times New Roman" w:hAnsi="Times New Roman"/>
          <w:b/>
          <w:sz w:val="24"/>
          <w:szCs w:val="24"/>
          <w:u w:val="single"/>
        </w:rPr>
      </w:pPr>
    </w:p>
    <w:p w14:paraId="670B474D" w14:textId="6E9914F9" w:rsidR="00115EEB" w:rsidRPr="00427D8A" w:rsidRDefault="00DA2AD2" w:rsidP="00427D8A">
      <w:pPr>
        <w:ind w:firstLine="720"/>
        <w:jc w:val="both"/>
        <w:rPr>
          <w:rFonts w:ascii="Times New Roman" w:hAnsi="Times New Roman" w:cs="Times New Roman"/>
          <w:i/>
          <w:sz w:val="24"/>
          <w:szCs w:val="24"/>
        </w:rPr>
      </w:pPr>
      <w:r w:rsidRPr="00D63888">
        <w:rPr>
          <w:rFonts w:ascii="Times New Roman" w:hAnsi="Times New Roman" w:cs="Times New Roman"/>
          <w:sz w:val="24"/>
          <w:szCs w:val="24"/>
        </w:rPr>
        <w:t>2018.gadā reģionālo slimnīcu (</w:t>
      </w:r>
      <w:r w:rsidR="000F220C">
        <w:rPr>
          <w:rFonts w:ascii="Times New Roman" w:hAnsi="Times New Roman" w:cs="Times New Roman"/>
          <w:sz w:val="24"/>
          <w:szCs w:val="24"/>
        </w:rPr>
        <w:t>I</w:t>
      </w:r>
      <w:r w:rsidRPr="00D63888">
        <w:rPr>
          <w:rFonts w:ascii="Times New Roman" w:hAnsi="Times New Roman" w:cs="Times New Roman"/>
          <w:sz w:val="24"/>
          <w:szCs w:val="24"/>
        </w:rPr>
        <w:t>V līmeņa ārstniecības iestāžu) fiksētajā maksājumā par uzņemšanas darba nodrošinājumu tiek noteikts, ka iestādes uzņemšanas nodaļā diennakts dežūru nodrošināšanai nep</w:t>
      </w:r>
      <w:r w:rsidR="00DB330E">
        <w:rPr>
          <w:rFonts w:ascii="Times New Roman" w:hAnsi="Times New Roman" w:cs="Times New Roman"/>
          <w:sz w:val="24"/>
          <w:szCs w:val="24"/>
        </w:rPr>
        <w:t>ieciešamie speciālisti ir šādi:</w:t>
      </w:r>
    </w:p>
    <w:p w14:paraId="53285EA2" w14:textId="0F073A16" w:rsidR="00436FB5" w:rsidRPr="00E93259" w:rsidRDefault="00E118ED" w:rsidP="26166EDA">
      <w:pPr>
        <w:ind w:firstLine="720"/>
        <w:jc w:val="right"/>
        <w:rPr>
          <w:rFonts w:ascii="Times New Roman" w:hAnsi="Times New Roman" w:cs="Times New Roman"/>
          <w:i/>
          <w:iCs/>
          <w:sz w:val="24"/>
          <w:szCs w:val="24"/>
        </w:rPr>
      </w:pPr>
      <w:r>
        <w:rPr>
          <w:rFonts w:ascii="Times New Roman" w:hAnsi="Times New Roman" w:cs="Times New Roman"/>
          <w:i/>
          <w:iCs/>
          <w:sz w:val="24"/>
          <w:szCs w:val="24"/>
        </w:rPr>
        <w:lastRenderedPageBreak/>
        <w:t>88</w:t>
      </w:r>
      <w:r w:rsidR="00436FB5" w:rsidRPr="26166EDA">
        <w:rPr>
          <w:rFonts w:ascii="Times New Roman" w:hAnsi="Times New Roman" w:cs="Times New Roman"/>
          <w:i/>
          <w:iCs/>
          <w:sz w:val="24"/>
          <w:szCs w:val="24"/>
        </w:rPr>
        <w:t>.tabula</w:t>
      </w:r>
    </w:p>
    <w:p w14:paraId="04AC431A" w14:textId="023590D2" w:rsidR="007712F5" w:rsidRPr="00C77297" w:rsidRDefault="007712F5" w:rsidP="00115EEB">
      <w:pPr>
        <w:spacing w:after="0"/>
        <w:ind w:firstLine="720"/>
        <w:jc w:val="center"/>
        <w:rPr>
          <w:rFonts w:ascii="Times New Roman" w:hAnsi="Times New Roman" w:cs="Times New Roman"/>
          <w:b/>
          <w:bCs/>
          <w:sz w:val="24"/>
          <w:szCs w:val="24"/>
        </w:rPr>
      </w:pPr>
      <w:r w:rsidRPr="00C77297">
        <w:rPr>
          <w:rFonts w:ascii="Times New Roman" w:hAnsi="Times New Roman" w:cs="Times New Roman"/>
          <w:b/>
          <w:bCs/>
          <w:sz w:val="24"/>
          <w:szCs w:val="24"/>
        </w:rPr>
        <w:t>Iestādes uzņemšanas nodaļā diennakts dežūru nodrošināšanai nepieciešamie speciālisti</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7"/>
        <w:gridCol w:w="550"/>
        <w:gridCol w:w="506"/>
        <w:gridCol w:w="675"/>
        <w:gridCol w:w="704"/>
        <w:gridCol w:w="506"/>
        <w:gridCol w:w="506"/>
        <w:gridCol w:w="723"/>
        <w:gridCol w:w="567"/>
      </w:tblGrid>
      <w:tr w:rsidR="00852DCC" w:rsidRPr="00DA2AD2" w14:paraId="183C01FF" w14:textId="77777777" w:rsidTr="00115EEB">
        <w:trPr>
          <w:cantSplit/>
          <w:trHeight w:val="2233"/>
          <w:jc w:val="center"/>
        </w:trPr>
        <w:tc>
          <w:tcPr>
            <w:tcW w:w="4047" w:type="dxa"/>
            <w:shd w:val="clear" w:color="auto" w:fill="E36C0A" w:themeFill="accent6" w:themeFillShade="BF"/>
            <w:vAlign w:val="center"/>
          </w:tcPr>
          <w:p w14:paraId="0D784086" w14:textId="77777777" w:rsidR="00DA2AD2" w:rsidRPr="0090646F" w:rsidRDefault="00DA2AD2" w:rsidP="009B64AD">
            <w:pPr>
              <w:spacing w:after="0" w:line="240" w:lineRule="auto"/>
              <w:jc w:val="center"/>
              <w:rPr>
                <w:rFonts w:ascii="Times New Roman" w:hAnsi="Times New Roman" w:cs="Times New Roman"/>
                <w:b/>
                <w:sz w:val="20"/>
                <w:szCs w:val="20"/>
              </w:rPr>
            </w:pPr>
            <w:r w:rsidRPr="0090646F">
              <w:rPr>
                <w:rFonts w:ascii="Times New Roman" w:hAnsi="Times New Roman" w:cs="Times New Roman"/>
                <w:b/>
                <w:sz w:val="20"/>
                <w:szCs w:val="20"/>
              </w:rPr>
              <w:t>Ārstniecības iestāde</w:t>
            </w:r>
          </w:p>
        </w:tc>
        <w:tc>
          <w:tcPr>
            <w:tcW w:w="550" w:type="dxa"/>
            <w:shd w:val="clear" w:color="auto" w:fill="E36C0A" w:themeFill="accent6" w:themeFillShade="BF"/>
            <w:textDirection w:val="btLr"/>
            <w:vAlign w:val="center"/>
          </w:tcPr>
          <w:p w14:paraId="594FFB6B" w14:textId="77777777" w:rsidR="00DA2AD2" w:rsidRPr="0090646F" w:rsidRDefault="00DA2AD2" w:rsidP="009B64AD">
            <w:pPr>
              <w:spacing w:after="0" w:line="240" w:lineRule="auto"/>
              <w:ind w:left="113" w:right="113"/>
              <w:rPr>
                <w:rFonts w:ascii="Times New Roman" w:hAnsi="Times New Roman" w:cs="Times New Roman"/>
                <w:b/>
                <w:sz w:val="20"/>
                <w:szCs w:val="20"/>
              </w:rPr>
            </w:pPr>
            <w:r w:rsidRPr="0090646F">
              <w:rPr>
                <w:rFonts w:ascii="Times New Roman" w:hAnsi="Times New Roman" w:cs="Times New Roman"/>
                <w:b/>
                <w:sz w:val="20"/>
                <w:szCs w:val="20"/>
              </w:rPr>
              <w:t>internists</w:t>
            </w:r>
          </w:p>
        </w:tc>
        <w:tc>
          <w:tcPr>
            <w:tcW w:w="506" w:type="dxa"/>
            <w:shd w:val="clear" w:color="auto" w:fill="E36C0A" w:themeFill="accent6" w:themeFillShade="BF"/>
            <w:textDirection w:val="btLr"/>
            <w:vAlign w:val="center"/>
          </w:tcPr>
          <w:p w14:paraId="6C6D1C8E" w14:textId="77777777" w:rsidR="00DA2AD2" w:rsidRPr="0090646F" w:rsidRDefault="00DA2AD2" w:rsidP="009B64AD">
            <w:pPr>
              <w:spacing w:after="0" w:line="240" w:lineRule="auto"/>
              <w:ind w:left="113" w:right="113"/>
              <w:rPr>
                <w:rFonts w:ascii="Times New Roman" w:hAnsi="Times New Roman" w:cs="Times New Roman"/>
                <w:b/>
                <w:sz w:val="20"/>
                <w:szCs w:val="20"/>
              </w:rPr>
            </w:pPr>
            <w:r w:rsidRPr="0090646F">
              <w:rPr>
                <w:rFonts w:ascii="Times New Roman" w:hAnsi="Times New Roman" w:cs="Times New Roman"/>
                <w:b/>
                <w:sz w:val="20"/>
                <w:szCs w:val="20"/>
              </w:rPr>
              <w:t>ķirurgs</w:t>
            </w:r>
          </w:p>
        </w:tc>
        <w:tc>
          <w:tcPr>
            <w:tcW w:w="675" w:type="dxa"/>
            <w:shd w:val="clear" w:color="auto" w:fill="E36C0A" w:themeFill="accent6" w:themeFillShade="BF"/>
            <w:textDirection w:val="btLr"/>
            <w:vAlign w:val="center"/>
          </w:tcPr>
          <w:p w14:paraId="30ED5A17" w14:textId="77777777" w:rsidR="00DA2AD2" w:rsidRPr="0090646F" w:rsidRDefault="00DA2AD2" w:rsidP="009B64AD">
            <w:pPr>
              <w:spacing w:after="0" w:line="240" w:lineRule="auto"/>
              <w:ind w:left="113" w:right="113"/>
              <w:rPr>
                <w:rFonts w:ascii="Times New Roman" w:hAnsi="Times New Roman" w:cs="Times New Roman"/>
                <w:b/>
                <w:sz w:val="20"/>
                <w:szCs w:val="20"/>
              </w:rPr>
            </w:pPr>
            <w:r w:rsidRPr="0090646F">
              <w:rPr>
                <w:rFonts w:ascii="Times New Roman" w:hAnsi="Times New Roman" w:cs="Times New Roman"/>
                <w:b/>
                <w:sz w:val="20"/>
                <w:szCs w:val="20"/>
              </w:rPr>
              <w:t>anesteziologs/ reanimatologs</w:t>
            </w:r>
          </w:p>
        </w:tc>
        <w:tc>
          <w:tcPr>
            <w:tcW w:w="704" w:type="dxa"/>
            <w:shd w:val="clear" w:color="auto" w:fill="E36C0A" w:themeFill="accent6" w:themeFillShade="BF"/>
            <w:textDirection w:val="btLr"/>
            <w:vAlign w:val="center"/>
          </w:tcPr>
          <w:p w14:paraId="1CA5EA6A" w14:textId="77777777" w:rsidR="00DA2AD2" w:rsidRPr="0090646F" w:rsidRDefault="00DA2AD2" w:rsidP="009B64AD">
            <w:pPr>
              <w:spacing w:after="0" w:line="240" w:lineRule="auto"/>
              <w:ind w:left="113" w:right="113"/>
              <w:rPr>
                <w:rFonts w:ascii="Times New Roman" w:hAnsi="Times New Roman" w:cs="Times New Roman"/>
                <w:b/>
                <w:sz w:val="20"/>
                <w:szCs w:val="20"/>
              </w:rPr>
            </w:pPr>
            <w:r w:rsidRPr="0090646F">
              <w:rPr>
                <w:rFonts w:ascii="Times New Roman" w:hAnsi="Times New Roman" w:cs="Times New Roman"/>
                <w:b/>
                <w:sz w:val="20"/>
                <w:szCs w:val="20"/>
              </w:rPr>
              <w:t>ginekologs/ dzemdību speciālists</w:t>
            </w:r>
          </w:p>
        </w:tc>
        <w:tc>
          <w:tcPr>
            <w:tcW w:w="506" w:type="dxa"/>
            <w:shd w:val="clear" w:color="auto" w:fill="E36C0A" w:themeFill="accent6" w:themeFillShade="BF"/>
            <w:textDirection w:val="btLr"/>
            <w:vAlign w:val="center"/>
          </w:tcPr>
          <w:p w14:paraId="241EB7FB" w14:textId="77777777" w:rsidR="00DA2AD2" w:rsidRPr="0090646F" w:rsidRDefault="00DA2AD2" w:rsidP="009B64AD">
            <w:pPr>
              <w:spacing w:after="0" w:line="240" w:lineRule="auto"/>
              <w:ind w:left="113" w:right="113"/>
              <w:rPr>
                <w:rFonts w:ascii="Times New Roman" w:hAnsi="Times New Roman" w:cs="Times New Roman"/>
                <w:b/>
                <w:sz w:val="20"/>
                <w:szCs w:val="20"/>
              </w:rPr>
            </w:pPr>
            <w:r w:rsidRPr="0090646F">
              <w:rPr>
                <w:rFonts w:ascii="Times New Roman" w:hAnsi="Times New Roman" w:cs="Times New Roman"/>
                <w:b/>
                <w:sz w:val="20"/>
                <w:szCs w:val="20"/>
              </w:rPr>
              <w:t>traumatologs</w:t>
            </w:r>
          </w:p>
        </w:tc>
        <w:tc>
          <w:tcPr>
            <w:tcW w:w="506" w:type="dxa"/>
            <w:shd w:val="clear" w:color="auto" w:fill="E36C0A" w:themeFill="accent6" w:themeFillShade="BF"/>
            <w:textDirection w:val="btLr"/>
            <w:vAlign w:val="center"/>
          </w:tcPr>
          <w:p w14:paraId="4984D8FF" w14:textId="77777777" w:rsidR="00DA2AD2" w:rsidRPr="0090646F" w:rsidRDefault="00DA2AD2" w:rsidP="009B64AD">
            <w:pPr>
              <w:spacing w:after="0" w:line="240" w:lineRule="auto"/>
              <w:ind w:left="113" w:right="113"/>
              <w:rPr>
                <w:rFonts w:ascii="Times New Roman" w:hAnsi="Times New Roman" w:cs="Times New Roman"/>
                <w:b/>
                <w:sz w:val="20"/>
                <w:szCs w:val="20"/>
              </w:rPr>
            </w:pPr>
            <w:r w:rsidRPr="0090646F">
              <w:rPr>
                <w:rFonts w:ascii="Times New Roman" w:hAnsi="Times New Roman" w:cs="Times New Roman"/>
                <w:b/>
                <w:sz w:val="20"/>
                <w:szCs w:val="20"/>
              </w:rPr>
              <w:t>neirologs</w:t>
            </w:r>
          </w:p>
        </w:tc>
        <w:tc>
          <w:tcPr>
            <w:tcW w:w="723" w:type="dxa"/>
            <w:shd w:val="clear" w:color="auto" w:fill="E36C0A" w:themeFill="accent6" w:themeFillShade="BF"/>
            <w:textDirection w:val="btLr"/>
            <w:vAlign w:val="center"/>
          </w:tcPr>
          <w:p w14:paraId="08858D0D" w14:textId="77777777" w:rsidR="00DA2AD2" w:rsidRPr="0090646F" w:rsidRDefault="00DA2AD2" w:rsidP="009B64AD">
            <w:pPr>
              <w:spacing w:after="0" w:line="240" w:lineRule="auto"/>
              <w:ind w:left="113" w:right="113"/>
              <w:rPr>
                <w:rFonts w:ascii="Times New Roman" w:hAnsi="Times New Roman" w:cs="Times New Roman"/>
                <w:b/>
                <w:sz w:val="20"/>
                <w:szCs w:val="20"/>
              </w:rPr>
            </w:pPr>
            <w:r w:rsidRPr="0090646F">
              <w:rPr>
                <w:rFonts w:ascii="Times New Roman" w:hAnsi="Times New Roman" w:cs="Times New Roman"/>
                <w:b/>
                <w:sz w:val="20"/>
                <w:szCs w:val="20"/>
              </w:rPr>
              <w:t>pediatrs/ neonatologs</w:t>
            </w:r>
          </w:p>
        </w:tc>
        <w:tc>
          <w:tcPr>
            <w:tcW w:w="567" w:type="dxa"/>
            <w:shd w:val="clear" w:color="auto" w:fill="E36C0A" w:themeFill="accent6" w:themeFillShade="BF"/>
            <w:textDirection w:val="btLr"/>
            <w:vAlign w:val="center"/>
          </w:tcPr>
          <w:p w14:paraId="0680DA1B" w14:textId="77777777" w:rsidR="00DA2AD2" w:rsidRPr="0090646F" w:rsidRDefault="00DA2AD2" w:rsidP="009B64AD">
            <w:pPr>
              <w:spacing w:after="0" w:line="240" w:lineRule="auto"/>
              <w:ind w:left="113" w:right="113"/>
              <w:rPr>
                <w:rFonts w:ascii="Times New Roman" w:hAnsi="Times New Roman" w:cs="Times New Roman"/>
                <w:b/>
                <w:sz w:val="20"/>
                <w:szCs w:val="20"/>
              </w:rPr>
            </w:pPr>
            <w:r w:rsidRPr="0090646F">
              <w:rPr>
                <w:rFonts w:ascii="Times New Roman" w:eastAsia="Times New Roman" w:hAnsi="Times New Roman" w:cs="Times New Roman"/>
                <w:b/>
                <w:color w:val="000000" w:themeColor="text1"/>
                <w:sz w:val="20"/>
                <w:szCs w:val="20"/>
                <w:lang w:eastAsia="lv-LV"/>
              </w:rPr>
              <w:t>radiologs diagnosts</w:t>
            </w:r>
          </w:p>
        </w:tc>
      </w:tr>
      <w:tr w:rsidR="00DA2AD2" w:rsidRPr="00DA2AD2" w14:paraId="4387A69C" w14:textId="77777777" w:rsidTr="0090646F">
        <w:trPr>
          <w:jc w:val="center"/>
        </w:trPr>
        <w:tc>
          <w:tcPr>
            <w:tcW w:w="4047" w:type="dxa"/>
            <w:shd w:val="clear" w:color="auto" w:fill="auto"/>
          </w:tcPr>
          <w:p w14:paraId="5125525A"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1.2.1. sabiedrība ar ierobežotu atbildību "Liepājas reģionālā slimnīca"</w:t>
            </w:r>
          </w:p>
        </w:tc>
        <w:tc>
          <w:tcPr>
            <w:tcW w:w="550" w:type="dxa"/>
            <w:shd w:val="clear" w:color="auto" w:fill="auto"/>
          </w:tcPr>
          <w:p w14:paraId="1FD521CF"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IS</w:t>
            </w:r>
          </w:p>
        </w:tc>
        <w:tc>
          <w:tcPr>
            <w:tcW w:w="506" w:type="dxa"/>
            <w:shd w:val="clear" w:color="auto" w:fill="auto"/>
          </w:tcPr>
          <w:p w14:paraId="4E7ED73E"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675" w:type="dxa"/>
            <w:shd w:val="clear" w:color="auto" w:fill="auto"/>
          </w:tcPr>
          <w:p w14:paraId="73144594"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04" w:type="dxa"/>
            <w:shd w:val="clear" w:color="auto" w:fill="auto"/>
          </w:tcPr>
          <w:p w14:paraId="6BBE39B8"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7BB94AE4"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0E7B013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23" w:type="dxa"/>
            <w:shd w:val="clear" w:color="auto" w:fill="auto"/>
          </w:tcPr>
          <w:p w14:paraId="1FE99217"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67" w:type="dxa"/>
            <w:shd w:val="clear" w:color="auto" w:fill="auto"/>
          </w:tcPr>
          <w:p w14:paraId="5E96354D"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r>
      <w:tr w:rsidR="00DA2AD2" w:rsidRPr="00DA2AD2" w14:paraId="16496694" w14:textId="77777777" w:rsidTr="0090646F">
        <w:trPr>
          <w:jc w:val="center"/>
        </w:trPr>
        <w:tc>
          <w:tcPr>
            <w:tcW w:w="4047" w:type="dxa"/>
            <w:shd w:val="clear" w:color="auto" w:fill="auto"/>
          </w:tcPr>
          <w:p w14:paraId="460F8E21"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1.2.2. sabiedrība ar ierobežotu atbildību "Daugavpils reģionālā slimnīca"</w:t>
            </w:r>
          </w:p>
        </w:tc>
        <w:tc>
          <w:tcPr>
            <w:tcW w:w="550" w:type="dxa"/>
            <w:shd w:val="clear" w:color="auto" w:fill="auto"/>
          </w:tcPr>
          <w:p w14:paraId="5DCC7190"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2IS</w:t>
            </w:r>
          </w:p>
        </w:tc>
        <w:tc>
          <w:tcPr>
            <w:tcW w:w="506" w:type="dxa"/>
            <w:shd w:val="clear" w:color="auto" w:fill="auto"/>
          </w:tcPr>
          <w:p w14:paraId="072D7888"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675" w:type="dxa"/>
            <w:shd w:val="clear" w:color="auto" w:fill="auto"/>
          </w:tcPr>
          <w:p w14:paraId="7675BD5D"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04" w:type="dxa"/>
            <w:shd w:val="clear" w:color="auto" w:fill="auto"/>
          </w:tcPr>
          <w:p w14:paraId="1DEE8F53"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63FD246A"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016AD85E"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23" w:type="dxa"/>
            <w:shd w:val="clear" w:color="auto" w:fill="auto"/>
          </w:tcPr>
          <w:p w14:paraId="7AFB4A2A"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67" w:type="dxa"/>
            <w:shd w:val="clear" w:color="auto" w:fill="auto"/>
          </w:tcPr>
          <w:p w14:paraId="15591A0F"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r>
      <w:tr w:rsidR="00DA2AD2" w:rsidRPr="00DA2AD2" w14:paraId="57D5CD7D" w14:textId="77777777" w:rsidTr="0090646F">
        <w:trPr>
          <w:jc w:val="center"/>
        </w:trPr>
        <w:tc>
          <w:tcPr>
            <w:tcW w:w="4047" w:type="dxa"/>
            <w:shd w:val="clear" w:color="auto" w:fill="auto"/>
          </w:tcPr>
          <w:p w14:paraId="18F0E6ED"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1.2.3. sabiedrība ar ierobežotu atbildību "Ziemeļkurzemes reģionālā slimnīca"****</w:t>
            </w:r>
          </w:p>
        </w:tc>
        <w:tc>
          <w:tcPr>
            <w:tcW w:w="550" w:type="dxa"/>
            <w:shd w:val="clear" w:color="auto" w:fill="auto"/>
          </w:tcPr>
          <w:p w14:paraId="6CD7DD8C"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IS</w:t>
            </w:r>
          </w:p>
        </w:tc>
        <w:tc>
          <w:tcPr>
            <w:tcW w:w="506" w:type="dxa"/>
            <w:shd w:val="clear" w:color="auto" w:fill="auto"/>
          </w:tcPr>
          <w:p w14:paraId="305B40B1"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675" w:type="dxa"/>
            <w:shd w:val="clear" w:color="auto" w:fill="auto"/>
          </w:tcPr>
          <w:p w14:paraId="37CD9174"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04" w:type="dxa"/>
            <w:shd w:val="clear" w:color="auto" w:fill="auto"/>
          </w:tcPr>
          <w:p w14:paraId="6451F019"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3674CA9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398C1490"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23" w:type="dxa"/>
            <w:shd w:val="clear" w:color="auto" w:fill="auto"/>
          </w:tcPr>
          <w:p w14:paraId="4DFDA3C4"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67" w:type="dxa"/>
            <w:shd w:val="clear" w:color="auto" w:fill="auto"/>
          </w:tcPr>
          <w:p w14:paraId="16806CAC"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r>
      <w:tr w:rsidR="00DA2AD2" w:rsidRPr="00DA2AD2" w14:paraId="149E4E65" w14:textId="77777777" w:rsidTr="0090646F">
        <w:trPr>
          <w:jc w:val="center"/>
        </w:trPr>
        <w:tc>
          <w:tcPr>
            <w:tcW w:w="4047" w:type="dxa"/>
            <w:shd w:val="clear" w:color="auto" w:fill="auto"/>
          </w:tcPr>
          <w:p w14:paraId="4039076E"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1.2.4. sabiedrība ar ierobežotu atbildību "Jelgavas pilsētas slimnīca"</w:t>
            </w:r>
          </w:p>
        </w:tc>
        <w:tc>
          <w:tcPr>
            <w:tcW w:w="550" w:type="dxa"/>
            <w:shd w:val="clear" w:color="auto" w:fill="auto"/>
          </w:tcPr>
          <w:p w14:paraId="66DEEAB0"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IS</w:t>
            </w:r>
          </w:p>
        </w:tc>
        <w:tc>
          <w:tcPr>
            <w:tcW w:w="506" w:type="dxa"/>
            <w:shd w:val="clear" w:color="auto" w:fill="auto"/>
          </w:tcPr>
          <w:p w14:paraId="10DE5914"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675" w:type="dxa"/>
            <w:shd w:val="clear" w:color="auto" w:fill="auto"/>
          </w:tcPr>
          <w:p w14:paraId="3D0C0066"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04" w:type="dxa"/>
            <w:shd w:val="clear" w:color="auto" w:fill="auto"/>
          </w:tcPr>
          <w:p w14:paraId="1078225F"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6BCB5DC4"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73D91E70"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23" w:type="dxa"/>
            <w:shd w:val="clear" w:color="auto" w:fill="auto"/>
          </w:tcPr>
          <w:p w14:paraId="6B71A0CD"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67" w:type="dxa"/>
            <w:shd w:val="clear" w:color="auto" w:fill="auto"/>
          </w:tcPr>
          <w:p w14:paraId="0132CAE4"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r>
      <w:tr w:rsidR="00DA2AD2" w:rsidRPr="00DA2AD2" w14:paraId="0F0AE5C4" w14:textId="77777777" w:rsidTr="0090646F">
        <w:trPr>
          <w:jc w:val="center"/>
        </w:trPr>
        <w:tc>
          <w:tcPr>
            <w:tcW w:w="4047" w:type="dxa"/>
            <w:shd w:val="clear" w:color="auto" w:fill="auto"/>
          </w:tcPr>
          <w:p w14:paraId="183229B3"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1.2.5. sabiedrība ar ierobežotu atbildību "Vidzemes slimnīca"</w:t>
            </w:r>
          </w:p>
        </w:tc>
        <w:tc>
          <w:tcPr>
            <w:tcW w:w="550" w:type="dxa"/>
            <w:shd w:val="clear" w:color="auto" w:fill="auto"/>
          </w:tcPr>
          <w:p w14:paraId="57766F10"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IS</w:t>
            </w:r>
          </w:p>
        </w:tc>
        <w:tc>
          <w:tcPr>
            <w:tcW w:w="506" w:type="dxa"/>
            <w:shd w:val="clear" w:color="auto" w:fill="auto"/>
          </w:tcPr>
          <w:p w14:paraId="758F8F64"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675" w:type="dxa"/>
            <w:shd w:val="clear" w:color="auto" w:fill="auto"/>
          </w:tcPr>
          <w:p w14:paraId="1F7CD7EE"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04" w:type="dxa"/>
            <w:shd w:val="clear" w:color="auto" w:fill="auto"/>
          </w:tcPr>
          <w:p w14:paraId="13748ED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7997BB18"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4CF1796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23" w:type="dxa"/>
            <w:shd w:val="clear" w:color="auto" w:fill="auto"/>
          </w:tcPr>
          <w:p w14:paraId="66CA9391"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67" w:type="dxa"/>
            <w:shd w:val="clear" w:color="auto" w:fill="auto"/>
          </w:tcPr>
          <w:p w14:paraId="048C224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r>
      <w:tr w:rsidR="00DA2AD2" w:rsidRPr="00DA2AD2" w14:paraId="50E73275" w14:textId="77777777" w:rsidTr="0090646F">
        <w:trPr>
          <w:jc w:val="center"/>
        </w:trPr>
        <w:tc>
          <w:tcPr>
            <w:tcW w:w="4047" w:type="dxa"/>
            <w:shd w:val="clear" w:color="auto" w:fill="auto"/>
          </w:tcPr>
          <w:p w14:paraId="301D54FD"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1.2.6. sabiedrība ar ierobežotu atbildību "Jēkabpils reģionālā slimnīca"</w:t>
            </w:r>
          </w:p>
        </w:tc>
        <w:tc>
          <w:tcPr>
            <w:tcW w:w="550" w:type="dxa"/>
            <w:shd w:val="clear" w:color="auto" w:fill="auto"/>
          </w:tcPr>
          <w:p w14:paraId="70523E0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IS</w:t>
            </w:r>
          </w:p>
        </w:tc>
        <w:tc>
          <w:tcPr>
            <w:tcW w:w="506" w:type="dxa"/>
            <w:shd w:val="clear" w:color="auto" w:fill="auto"/>
          </w:tcPr>
          <w:p w14:paraId="1E21B33D"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675" w:type="dxa"/>
            <w:shd w:val="clear" w:color="auto" w:fill="auto"/>
          </w:tcPr>
          <w:p w14:paraId="0DE5DCD7"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04" w:type="dxa"/>
            <w:shd w:val="clear" w:color="auto" w:fill="auto"/>
          </w:tcPr>
          <w:p w14:paraId="4655E7FE"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68B1C47A"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06CB67EC"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23" w:type="dxa"/>
            <w:shd w:val="clear" w:color="auto" w:fill="auto"/>
          </w:tcPr>
          <w:p w14:paraId="445E75EB"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67" w:type="dxa"/>
            <w:shd w:val="clear" w:color="auto" w:fill="auto"/>
          </w:tcPr>
          <w:p w14:paraId="76DE8026"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r>
      <w:tr w:rsidR="00DA2AD2" w:rsidRPr="00DA2AD2" w14:paraId="29435653" w14:textId="77777777" w:rsidTr="0090646F">
        <w:trPr>
          <w:jc w:val="center"/>
        </w:trPr>
        <w:tc>
          <w:tcPr>
            <w:tcW w:w="4047" w:type="dxa"/>
            <w:shd w:val="clear" w:color="auto" w:fill="auto"/>
          </w:tcPr>
          <w:p w14:paraId="508787B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1.2.7. sabiedrība ar ierobežotu atbildību "Rēzeknes slimnīca"</w:t>
            </w:r>
          </w:p>
        </w:tc>
        <w:tc>
          <w:tcPr>
            <w:tcW w:w="550" w:type="dxa"/>
            <w:shd w:val="clear" w:color="auto" w:fill="auto"/>
          </w:tcPr>
          <w:p w14:paraId="7A6DA5A8"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IS</w:t>
            </w:r>
          </w:p>
        </w:tc>
        <w:tc>
          <w:tcPr>
            <w:tcW w:w="506" w:type="dxa"/>
            <w:shd w:val="clear" w:color="auto" w:fill="auto"/>
          </w:tcPr>
          <w:p w14:paraId="5B7910BF"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675" w:type="dxa"/>
            <w:shd w:val="clear" w:color="auto" w:fill="auto"/>
          </w:tcPr>
          <w:p w14:paraId="4E844CD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04" w:type="dxa"/>
            <w:shd w:val="clear" w:color="auto" w:fill="auto"/>
          </w:tcPr>
          <w:p w14:paraId="44840189"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173BB82B"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06" w:type="dxa"/>
            <w:shd w:val="clear" w:color="auto" w:fill="auto"/>
          </w:tcPr>
          <w:p w14:paraId="69150377"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723" w:type="dxa"/>
            <w:shd w:val="clear" w:color="auto" w:fill="auto"/>
          </w:tcPr>
          <w:p w14:paraId="6632CEC2"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c>
          <w:tcPr>
            <w:tcW w:w="567" w:type="dxa"/>
            <w:shd w:val="clear" w:color="auto" w:fill="auto"/>
          </w:tcPr>
          <w:p w14:paraId="4632E336" w14:textId="77777777" w:rsidR="00DA2AD2" w:rsidRPr="0090646F" w:rsidRDefault="00DA2AD2" w:rsidP="009B64AD">
            <w:pPr>
              <w:spacing w:after="0" w:line="240" w:lineRule="auto"/>
              <w:rPr>
                <w:rFonts w:ascii="Times New Roman" w:hAnsi="Times New Roman" w:cs="Times New Roman"/>
                <w:sz w:val="20"/>
                <w:szCs w:val="20"/>
              </w:rPr>
            </w:pPr>
            <w:r w:rsidRPr="0090646F">
              <w:rPr>
                <w:rFonts w:ascii="Times New Roman" w:hAnsi="Times New Roman" w:cs="Times New Roman"/>
                <w:sz w:val="20"/>
                <w:szCs w:val="20"/>
              </w:rPr>
              <w:t>1</w:t>
            </w:r>
          </w:p>
        </w:tc>
      </w:tr>
    </w:tbl>
    <w:p w14:paraId="4C135667" w14:textId="77777777" w:rsidR="00DA2AD2" w:rsidRDefault="00DA2AD2" w:rsidP="00DA2AD2">
      <w:pPr>
        <w:ind w:firstLine="720"/>
        <w:rPr>
          <w:rFonts w:ascii="Times New Roman" w:hAnsi="Times New Roman" w:cs="Times New Roman"/>
          <w:sz w:val="24"/>
          <w:szCs w:val="24"/>
        </w:rPr>
      </w:pPr>
    </w:p>
    <w:p w14:paraId="1753817A" w14:textId="7DDAC061" w:rsidR="00DA2AD2" w:rsidRPr="00D63888" w:rsidRDefault="00DA2AD2"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Lai nodrošinātu pakalpojumu pieejamību pa reģioniem arī bērniem, katras reģionālās slimnīcas uzņemšanas nodaļā diennakts dežūrā paredzēts viens neonatologs/pediatrs. </w:t>
      </w:r>
    </w:p>
    <w:p w14:paraId="799AD832" w14:textId="77777777" w:rsidR="00DA2AD2" w:rsidRPr="00D63888" w:rsidRDefault="00DA2AD2"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SIA "Liepājas reģionālā slimnīca", SIA "Jēkabpils reģionālā slimnīca" un SIA "Vidzemes slimnīca" nodrošina arī Perinatālās aprūpes centra darbību. Kā 2019.gada 20.janvāra Ministru kabineta noteikumu Nr. 60 “Noteikumi par obligātajām prasībām ārstniecības iestādēm un to struktūrvienībām” 148.7.apakšpunkts nosaka “(..) Perinatālās aprūpes centra jaundzimušo intensīvās terapijas nodaļā diennakts dežūras nodrošina:</w:t>
      </w:r>
    </w:p>
    <w:p w14:paraId="4464DCD1" w14:textId="77777777" w:rsidR="00DA2AD2" w:rsidRPr="00D63888" w:rsidRDefault="00DA2AD2" w:rsidP="00DA2AD2">
      <w:pPr>
        <w:spacing w:after="0"/>
        <w:ind w:firstLine="720"/>
        <w:rPr>
          <w:rFonts w:ascii="Times New Roman" w:hAnsi="Times New Roman" w:cs="Times New Roman"/>
          <w:sz w:val="24"/>
          <w:szCs w:val="24"/>
          <w:u w:val="single"/>
        </w:rPr>
      </w:pPr>
      <w:r w:rsidRPr="00D63888">
        <w:rPr>
          <w:rFonts w:ascii="Times New Roman" w:hAnsi="Times New Roman" w:cs="Times New Roman"/>
          <w:sz w:val="24"/>
          <w:szCs w:val="24"/>
        </w:rPr>
        <w:t xml:space="preserve">148.7 1. </w:t>
      </w:r>
      <w:r w:rsidRPr="00D63888">
        <w:rPr>
          <w:rFonts w:ascii="Times New Roman" w:hAnsi="Times New Roman" w:cs="Times New Roman"/>
          <w:sz w:val="24"/>
          <w:szCs w:val="24"/>
          <w:u w:val="single"/>
        </w:rPr>
        <w:t>neonatologs;</w:t>
      </w:r>
    </w:p>
    <w:p w14:paraId="6C781211" w14:textId="77777777" w:rsidR="00DA2AD2" w:rsidRPr="00D63888" w:rsidRDefault="00DA2AD2" w:rsidP="00F6378B">
      <w:pPr>
        <w:spacing w:after="0"/>
        <w:ind w:firstLine="720"/>
        <w:jc w:val="both"/>
        <w:rPr>
          <w:rFonts w:ascii="Times New Roman" w:hAnsi="Times New Roman" w:cs="Times New Roman"/>
          <w:sz w:val="24"/>
          <w:szCs w:val="24"/>
        </w:rPr>
      </w:pPr>
      <w:r w:rsidRPr="00D63888">
        <w:rPr>
          <w:rFonts w:ascii="Times New Roman" w:hAnsi="Times New Roman" w:cs="Times New Roman"/>
          <w:sz w:val="24"/>
          <w:szCs w:val="24"/>
        </w:rPr>
        <w:t>148.7 2. bērnu aprūpes māsa (vismaz viena uz trijām gultasvietām) (..)” un 148.4. apakšpunkts “(..) Perinatālās aprūpes centra dzemdību nodaļā diennakts dežūras nodrošina:</w:t>
      </w:r>
    </w:p>
    <w:p w14:paraId="555A15B4"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148.4 1. ginekologs, dzemdību speciālists;</w:t>
      </w:r>
    </w:p>
    <w:p w14:paraId="7BFF7A38"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148.4 2. vecmāte;</w:t>
      </w:r>
    </w:p>
    <w:p w14:paraId="1300C2C3" w14:textId="77777777" w:rsidR="00DA2AD2" w:rsidRPr="00D63888" w:rsidRDefault="00DA2AD2" w:rsidP="00DA2AD2">
      <w:pPr>
        <w:spacing w:after="0"/>
        <w:ind w:firstLine="720"/>
        <w:rPr>
          <w:rFonts w:ascii="Times New Roman" w:hAnsi="Times New Roman" w:cs="Times New Roman"/>
          <w:sz w:val="24"/>
          <w:szCs w:val="24"/>
          <w:u w:val="single"/>
        </w:rPr>
      </w:pPr>
      <w:r w:rsidRPr="00D63888">
        <w:rPr>
          <w:rFonts w:ascii="Times New Roman" w:hAnsi="Times New Roman" w:cs="Times New Roman"/>
          <w:sz w:val="24"/>
          <w:szCs w:val="24"/>
        </w:rPr>
        <w:t xml:space="preserve">148.4 3. </w:t>
      </w:r>
      <w:r w:rsidRPr="00D63888">
        <w:rPr>
          <w:rFonts w:ascii="Times New Roman" w:hAnsi="Times New Roman" w:cs="Times New Roman"/>
          <w:sz w:val="24"/>
          <w:szCs w:val="24"/>
          <w:u w:val="single"/>
        </w:rPr>
        <w:t>neonatologs;</w:t>
      </w:r>
    </w:p>
    <w:p w14:paraId="1F3C759A"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148.4 4. anesteziologs, reanimatologs;</w:t>
      </w:r>
    </w:p>
    <w:p w14:paraId="6D7868B6"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148.4 5. operāciju māsa;</w:t>
      </w:r>
    </w:p>
    <w:p w14:paraId="3F56112B"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 xml:space="preserve">148.4 6. bērnu aprūpes māsa (..)”. </w:t>
      </w:r>
    </w:p>
    <w:p w14:paraId="405495D1" w14:textId="77777777" w:rsidR="00C9082D" w:rsidRDefault="00C9082D" w:rsidP="00D63888">
      <w:pPr>
        <w:spacing w:after="0"/>
        <w:jc w:val="both"/>
        <w:rPr>
          <w:rFonts w:ascii="Times New Roman" w:hAnsi="Times New Roman" w:cs="Times New Roman"/>
          <w:sz w:val="24"/>
          <w:szCs w:val="24"/>
        </w:rPr>
      </w:pPr>
    </w:p>
    <w:p w14:paraId="63DD6C9F" w14:textId="4D1F2ED6" w:rsidR="00DA2AD2" w:rsidRPr="00D63888" w:rsidRDefault="00DA2AD2" w:rsidP="00D63888">
      <w:pPr>
        <w:spacing w:after="0"/>
        <w:ind w:firstLine="720"/>
        <w:jc w:val="both"/>
        <w:rPr>
          <w:rFonts w:ascii="Times New Roman" w:hAnsi="Times New Roman" w:cs="Times New Roman"/>
          <w:sz w:val="24"/>
          <w:szCs w:val="24"/>
        </w:rPr>
      </w:pPr>
      <w:r w:rsidRPr="00D63888">
        <w:rPr>
          <w:rFonts w:ascii="Times New Roman" w:hAnsi="Times New Roman" w:cs="Times New Roman"/>
          <w:sz w:val="24"/>
          <w:szCs w:val="24"/>
        </w:rPr>
        <w:lastRenderedPageBreak/>
        <w:t xml:space="preserve">Kā arī, ja ārstniecības iestādē gada laikā sniegto dzemdību palīdzības gadījumu skaits pārsniedz 1000, jānodrošina papildus neonatologa dežūras dzemdību nodaļā. </w:t>
      </w:r>
    </w:p>
    <w:p w14:paraId="409CECF9" w14:textId="77777777" w:rsidR="00DA2AD2" w:rsidRPr="00D63888" w:rsidRDefault="00DA2AD2" w:rsidP="00DA2AD2">
      <w:pPr>
        <w:spacing w:after="0"/>
        <w:ind w:firstLine="720"/>
        <w:rPr>
          <w:rFonts w:ascii="Times New Roman" w:hAnsi="Times New Roman" w:cs="Times New Roman"/>
          <w:sz w:val="24"/>
          <w:szCs w:val="24"/>
        </w:rPr>
      </w:pPr>
    </w:p>
    <w:p w14:paraId="5406CFC5" w14:textId="2B2866ED" w:rsidR="003F5285" w:rsidRDefault="00DA2AD2" w:rsidP="00115EEB">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Ņemot vērā 2018.gadā plānoto jaundzimušo, ar stāvokļiem, kas radušies perinatālā periodā skaitu, kam nepieciešama ārstēšana stacionārā pa reģionālajām slimnīcām </w:t>
      </w:r>
      <w:r w:rsidR="007712F5">
        <w:rPr>
          <w:rFonts w:ascii="Times New Roman" w:hAnsi="Times New Roman" w:cs="Times New Roman"/>
          <w:sz w:val="24"/>
          <w:szCs w:val="24"/>
        </w:rPr>
        <w:t>–</w:t>
      </w:r>
      <w:r w:rsidRPr="00D63888">
        <w:rPr>
          <w:rFonts w:ascii="Times New Roman" w:hAnsi="Times New Roman" w:cs="Times New Roman"/>
          <w:sz w:val="24"/>
          <w:szCs w:val="24"/>
        </w:rPr>
        <w:t xml:space="preserve"> SIA</w:t>
      </w:r>
      <w:r w:rsidR="007712F5">
        <w:rPr>
          <w:rFonts w:ascii="Times New Roman" w:hAnsi="Times New Roman" w:cs="Times New Roman"/>
          <w:sz w:val="24"/>
          <w:szCs w:val="24"/>
        </w:rPr>
        <w:t> </w:t>
      </w:r>
      <w:r w:rsidRPr="00D63888">
        <w:rPr>
          <w:rFonts w:ascii="Times New Roman" w:hAnsi="Times New Roman" w:cs="Times New Roman"/>
          <w:sz w:val="24"/>
          <w:szCs w:val="24"/>
        </w:rPr>
        <w:t>"Liepājas reģionālā slimnīca" tiek stacionēti 30% gadījumu, SIA "Jēkabpils reģionālā slimnīca" 29%, SIA "Vidzemes slimnīca" 32%, lai nodrošinātu kvalitatīva pakalpojuma sniegšanu un pakalpojuma pieejamību nepieciešamajā laikā bērniem, nepieciešams fiksētā maksājuma ietvaros noteikt apmaksu par papildus pediatru/neonatologu diennakts dežūrām SIA "Liepājas reģionālā slimnīca", SIA "Jēkabpils reģionālā slimnīca", SIA "Vidzemes slimnīca"</w:t>
      </w:r>
      <w:r w:rsidR="007712F5">
        <w:rPr>
          <w:rFonts w:ascii="Times New Roman" w:hAnsi="Times New Roman" w:cs="Times New Roman"/>
          <w:sz w:val="24"/>
          <w:szCs w:val="24"/>
        </w:rPr>
        <w:t xml:space="preserve"> (</w:t>
      </w:r>
      <w:r w:rsidR="00E118ED">
        <w:rPr>
          <w:rFonts w:ascii="Times New Roman" w:hAnsi="Times New Roman" w:cs="Times New Roman"/>
          <w:sz w:val="24"/>
          <w:szCs w:val="24"/>
        </w:rPr>
        <w:t>89</w:t>
      </w:r>
      <w:r w:rsidR="007712F5">
        <w:rPr>
          <w:rFonts w:ascii="Times New Roman" w:hAnsi="Times New Roman" w:cs="Times New Roman"/>
          <w:sz w:val="24"/>
          <w:szCs w:val="24"/>
        </w:rPr>
        <w:t>.tabula)</w:t>
      </w:r>
      <w:r w:rsidRPr="00D63888">
        <w:rPr>
          <w:rFonts w:ascii="Times New Roman" w:hAnsi="Times New Roman" w:cs="Times New Roman"/>
          <w:sz w:val="24"/>
          <w:szCs w:val="24"/>
        </w:rPr>
        <w:t>.</w:t>
      </w:r>
    </w:p>
    <w:p w14:paraId="7C726FBE" w14:textId="08C04AEB" w:rsidR="003A7D14" w:rsidRPr="00F6378B" w:rsidRDefault="00E118ED" w:rsidP="00F6378B">
      <w:pPr>
        <w:spacing w:after="120"/>
        <w:ind w:firstLine="720"/>
        <w:jc w:val="right"/>
        <w:rPr>
          <w:rFonts w:ascii="Times New Roman" w:hAnsi="Times New Roman" w:cs="Times New Roman"/>
          <w:sz w:val="24"/>
          <w:szCs w:val="24"/>
        </w:rPr>
      </w:pPr>
      <w:r>
        <w:rPr>
          <w:rFonts w:ascii="Times New Roman" w:hAnsi="Times New Roman" w:cs="Times New Roman"/>
          <w:sz w:val="24"/>
          <w:szCs w:val="24"/>
        </w:rPr>
        <w:t>89</w:t>
      </w:r>
      <w:r w:rsidR="003A7D14">
        <w:rPr>
          <w:rFonts w:ascii="Times New Roman" w:hAnsi="Times New Roman" w:cs="Times New Roman"/>
          <w:sz w:val="24"/>
          <w:szCs w:val="24"/>
        </w:rPr>
        <w:t>.tabula</w:t>
      </w:r>
    </w:p>
    <w:p w14:paraId="4CE30A6C" w14:textId="6480A528" w:rsidR="002514D1" w:rsidRPr="00115EEB" w:rsidRDefault="000F466B" w:rsidP="00F6378B">
      <w:pPr>
        <w:spacing w:after="120"/>
        <w:ind w:firstLine="720"/>
        <w:jc w:val="center"/>
        <w:rPr>
          <w:rFonts w:ascii="Times New Roman" w:hAnsi="Times New Roman" w:cs="Times New Roman"/>
          <w:b/>
          <w:sz w:val="24"/>
          <w:szCs w:val="24"/>
        </w:rPr>
      </w:pPr>
      <w:r w:rsidRPr="00115EEB">
        <w:rPr>
          <w:rFonts w:ascii="Times New Roman" w:hAnsi="Times New Roman" w:cs="Times New Roman"/>
          <w:b/>
          <w:sz w:val="24"/>
          <w:szCs w:val="24"/>
        </w:rPr>
        <w:t xml:space="preserve">Neatliekamās palīdzības, uzņemšanas nodaļas papildus neonatologa dežūras nodrošināšana 3 reģionālajās </w:t>
      </w:r>
      <w:r w:rsidR="00156E9A" w:rsidRPr="00115EEB">
        <w:rPr>
          <w:rFonts w:ascii="Times New Roman" w:hAnsi="Times New Roman" w:cs="Times New Roman"/>
          <w:b/>
          <w:sz w:val="24"/>
          <w:szCs w:val="24"/>
        </w:rPr>
        <w:t>slimnīcās</w:t>
      </w:r>
    </w:p>
    <w:tbl>
      <w:tblPr>
        <w:tblW w:w="9367" w:type="dxa"/>
        <w:jc w:val="center"/>
        <w:tblLayout w:type="fixed"/>
        <w:tblLook w:val="04A0" w:firstRow="1" w:lastRow="0" w:firstColumn="1" w:lastColumn="0" w:noHBand="0" w:noVBand="1"/>
      </w:tblPr>
      <w:tblGrid>
        <w:gridCol w:w="5933"/>
        <w:gridCol w:w="1717"/>
        <w:gridCol w:w="1717"/>
      </w:tblGrid>
      <w:tr w:rsidR="002514D1" w:rsidRPr="0038075C" w14:paraId="1FAF8516" w14:textId="77777777" w:rsidTr="00E93259">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3594827" w14:textId="77777777" w:rsidR="002514D1" w:rsidRPr="004D665D" w:rsidRDefault="002514D1" w:rsidP="00F6378B">
            <w:pPr>
              <w:spacing w:after="0" w:line="240" w:lineRule="auto"/>
              <w:jc w:val="center"/>
              <w:rPr>
                <w:rFonts w:ascii="Times New Roman" w:eastAsia="Times New Roman" w:hAnsi="Times New Roman" w:cs="Times New Roman"/>
                <w:b/>
                <w:sz w:val="20"/>
                <w:szCs w:val="20"/>
                <w:lang w:eastAsia="lv-LV"/>
              </w:rPr>
            </w:pPr>
            <w:r w:rsidRPr="004D665D">
              <w:rPr>
                <w:rFonts w:ascii="Times New Roman" w:eastAsia="Times New Roman" w:hAnsi="Times New Roman" w:cs="Times New Roman"/>
                <w:b/>
                <w:sz w:val="20"/>
                <w:szCs w:val="20"/>
                <w:lang w:eastAsia="lv-LV"/>
              </w:rPr>
              <w:t>Pasākuma nosaukums</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331D416" w14:textId="77777777" w:rsidR="002514D1" w:rsidRPr="004D665D" w:rsidRDefault="002514D1" w:rsidP="00A27D09">
            <w:pPr>
              <w:spacing w:after="0" w:line="240" w:lineRule="auto"/>
              <w:jc w:val="center"/>
              <w:rPr>
                <w:rFonts w:ascii="Times New Roman" w:eastAsia="Times New Roman" w:hAnsi="Times New Roman" w:cs="Times New Roman"/>
                <w:b/>
                <w:bCs/>
                <w:sz w:val="20"/>
                <w:szCs w:val="20"/>
                <w:lang w:eastAsia="lv-LV"/>
              </w:rPr>
            </w:pPr>
            <w:r w:rsidRPr="004D665D">
              <w:rPr>
                <w:rFonts w:ascii="Times New Roman" w:eastAsia="Times New Roman" w:hAnsi="Times New Roman" w:cs="Times New Roman"/>
                <w:b/>
                <w:bCs/>
                <w:sz w:val="20"/>
                <w:szCs w:val="20"/>
                <w:lang w:eastAsia="lv-LV"/>
              </w:rPr>
              <w:t xml:space="preserve">2019.gadam nepieciešamais finansējums </w:t>
            </w:r>
            <w:r w:rsidRPr="004D665D">
              <w:rPr>
                <w:rFonts w:ascii="Times New Roman" w:eastAsia="Times New Roman" w:hAnsi="Times New Roman" w:cs="Times New Roman"/>
                <w:b/>
                <w:bCs/>
                <w:i/>
                <w:sz w:val="20"/>
                <w:szCs w:val="20"/>
                <w:lang w:eastAsia="lv-LV"/>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tcPr>
          <w:p w14:paraId="39A23A9E" w14:textId="77777777" w:rsidR="002514D1" w:rsidRPr="004D665D" w:rsidRDefault="002514D1" w:rsidP="00A27D09">
            <w:pPr>
              <w:spacing w:after="0" w:line="240" w:lineRule="auto"/>
              <w:jc w:val="center"/>
              <w:rPr>
                <w:rFonts w:ascii="Times New Roman" w:eastAsia="Times New Roman" w:hAnsi="Times New Roman" w:cs="Times New Roman"/>
                <w:b/>
                <w:bCs/>
                <w:sz w:val="20"/>
                <w:szCs w:val="20"/>
                <w:lang w:eastAsia="lv-LV"/>
              </w:rPr>
            </w:pPr>
            <w:r w:rsidRPr="004D665D">
              <w:rPr>
                <w:rFonts w:ascii="Times New Roman" w:eastAsia="Times New Roman" w:hAnsi="Times New Roman" w:cs="Times New Roman"/>
                <w:b/>
                <w:bCs/>
                <w:sz w:val="20"/>
                <w:szCs w:val="20"/>
                <w:lang w:eastAsia="lv-LV"/>
              </w:rPr>
              <w:t xml:space="preserve">No 2019.gada 1.aprīļa nepieciešamais finansējums </w:t>
            </w:r>
            <w:r w:rsidRPr="004D665D">
              <w:rPr>
                <w:rFonts w:ascii="Times New Roman" w:eastAsia="Times New Roman" w:hAnsi="Times New Roman" w:cs="Times New Roman"/>
                <w:b/>
                <w:bCs/>
                <w:i/>
                <w:sz w:val="20"/>
                <w:szCs w:val="20"/>
                <w:lang w:eastAsia="lv-LV"/>
              </w:rPr>
              <w:t>euro</w:t>
            </w:r>
          </w:p>
        </w:tc>
      </w:tr>
      <w:tr w:rsidR="002514D1" w:rsidRPr="0038075C" w14:paraId="2C75A63E" w14:textId="77777777" w:rsidTr="00E93259">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14D9F" w14:textId="2F4181D3" w:rsidR="002514D1" w:rsidRPr="00007A5A" w:rsidRDefault="000F466B" w:rsidP="00A27D09">
            <w:pPr>
              <w:spacing w:after="0" w:line="240" w:lineRule="auto"/>
              <w:jc w:val="center"/>
              <w:rPr>
                <w:rFonts w:ascii="Times New Roman" w:eastAsia="Times New Roman" w:hAnsi="Times New Roman" w:cs="Times New Roman"/>
                <w:bCs/>
                <w:sz w:val="20"/>
                <w:szCs w:val="20"/>
                <w:lang w:eastAsia="lv-LV"/>
              </w:rPr>
            </w:pPr>
            <w:r w:rsidRPr="000F466B">
              <w:rPr>
                <w:rFonts w:ascii="Times New Roman" w:eastAsia="Times New Roman" w:hAnsi="Times New Roman" w:cs="Times New Roman"/>
                <w:bCs/>
                <w:sz w:val="20"/>
                <w:szCs w:val="20"/>
                <w:lang w:eastAsia="lv-LV"/>
              </w:rPr>
              <w:t>Neatliekamās palīdzības, uzņemšanas nodaļas papildus neonatologa dežūras nodrošināšana 3 reģionālajās iestādēs</w:t>
            </w:r>
          </w:p>
        </w:tc>
        <w:tc>
          <w:tcPr>
            <w:tcW w:w="1717" w:type="dxa"/>
            <w:tcBorders>
              <w:top w:val="single" w:sz="4" w:space="0" w:color="auto"/>
              <w:left w:val="nil"/>
              <w:bottom w:val="single" w:sz="4" w:space="0" w:color="auto"/>
              <w:right w:val="single" w:sz="4" w:space="0" w:color="auto"/>
            </w:tcBorders>
            <w:shd w:val="clear" w:color="auto" w:fill="auto"/>
            <w:vAlign w:val="center"/>
          </w:tcPr>
          <w:p w14:paraId="005BA22F" w14:textId="5ED92C3F" w:rsidR="002514D1" w:rsidRPr="00E36DD2" w:rsidRDefault="00CF410A" w:rsidP="00A27D09">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519 516</w:t>
            </w:r>
          </w:p>
        </w:tc>
        <w:tc>
          <w:tcPr>
            <w:tcW w:w="1717" w:type="dxa"/>
            <w:tcBorders>
              <w:top w:val="single" w:sz="4" w:space="0" w:color="auto"/>
              <w:left w:val="nil"/>
              <w:bottom w:val="single" w:sz="4" w:space="0" w:color="auto"/>
              <w:right w:val="single" w:sz="4" w:space="0" w:color="auto"/>
            </w:tcBorders>
            <w:vAlign w:val="center"/>
          </w:tcPr>
          <w:p w14:paraId="56699B3F" w14:textId="665383A8" w:rsidR="002514D1" w:rsidRPr="00E36DD2" w:rsidRDefault="00CF410A" w:rsidP="00A27D09">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389 637</w:t>
            </w:r>
          </w:p>
        </w:tc>
      </w:tr>
    </w:tbl>
    <w:p w14:paraId="261BDF14" w14:textId="77777777" w:rsidR="00DA2AD2" w:rsidRDefault="00DA2AD2" w:rsidP="0050396F">
      <w:pPr>
        <w:spacing w:after="0" w:line="240" w:lineRule="auto"/>
        <w:ind w:firstLine="720"/>
        <w:jc w:val="both"/>
        <w:rPr>
          <w:rFonts w:ascii="Times New Roman" w:hAnsi="Times New Roman"/>
          <w:sz w:val="24"/>
          <w:szCs w:val="24"/>
        </w:rPr>
      </w:pPr>
    </w:p>
    <w:p w14:paraId="64E4122C" w14:textId="3EC9E5A9" w:rsidR="0050396F" w:rsidRDefault="0050396F" w:rsidP="0050396F">
      <w:pPr>
        <w:spacing w:after="0" w:line="240" w:lineRule="auto"/>
        <w:ind w:firstLine="720"/>
        <w:jc w:val="both"/>
        <w:rPr>
          <w:rFonts w:ascii="Times New Roman" w:hAnsi="Times New Roman"/>
          <w:sz w:val="24"/>
          <w:szCs w:val="24"/>
        </w:rPr>
      </w:pPr>
      <w:r>
        <w:rPr>
          <w:rFonts w:ascii="Times New Roman" w:hAnsi="Times New Roman"/>
          <w:sz w:val="24"/>
          <w:szCs w:val="24"/>
        </w:rPr>
        <w:t xml:space="preserve">Līdz ar to no 2019.gada 1.aprīļa papildus nepieciešami </w:t>
      </w:r>
      <w:r w:rsidRPr="00852348">
        <w:rPr>
          <w:rFonts w:ascii="Times New Roman" w:hAnsi="Times New Roman"/>
          <w:b/>
          <w:sz w:val="24"/>
          <w:szCs w:val="24"/>
        </w:rPr>
        <w:t>38</w:t>
      </w:r>
      <w:r w:rsidR="00CF410A">
        <w:rPr>
          <w:rFonts w:ascii="Times New Roman" w:hAnsi="Times New Roman"/>
          <w:b/>
          <w:sz w:val="24"/>
          <w:szCs w:val="24"/>
        </w:rPr>
        <w:t>9 637</w:t>
      </w:r>
      <w:r w:rsidRPr="006F1DC2">
        <w:rPr>
          <w:rFonts w:ascii="Times New Roman" w:hAnsi="Times New Roman"/>
          <w:b/>
          <w:sz w:val="24"/>
          <w:szCs w:val="24"/>
        </w:rPr>
        <w:t xml:space="preserve"> </w:t>
      </w:r>
      <w:r w:rsidRPr="006F1DC2">
        <w:rPr>
          <w:rFonts w:ascii="Times New Roman" w:hAnsi="Times New Roman"/>
          <w:b/>
          <w:i/>
          <w:sz w:val="24"/>
          <w:szCs w:val="24"/>
        </w:rPr>
        <w:t>euro</w:t>
      </w:r>
      <w:r w:rsidRPr="00CD4320">
        <w:rPr>
          <w:rFonts w:ascii="Times New Roman" w:hAnsi="Times New Roman"/>
          <w:sz w:val="24"/>
          <w:szCs w:val="24"/>
        </w:rPr>
        <w:t xml:space="preserve">, lai </w:t>
      </w:r>
      <w:r>
        <w:rPr>
          <w:rFonts w:ascii="Times New Roman" w:hAnsi="Times New Roman"/>
          <w:sz w:val="24"/>
          <w:szCs w:val="24"/>
        </w:rPr>
        <w:t>n</w:t>
      </w:r>
      <w:r w:rsidRPr="00940960">
        <w:rPr>
          <w:rFonts w:ascii="Times New Roman" w:hAnsi="Times New Roman"/>
          <w:sz w:val="24"/>
          <w:szCs w:val="24"/>
        </w:rPr>
        <w:t xml:space="preserve">eatliekamās palīdzības, uzņemšanas nodaļas darbības nodrošināšana </w:t>
      </w:r>
      <w:r>
        <w:rPr>
          <w:rFonts w:ascii="Times New Roman" w:hAnsi="Times New Roman"/>
          <w:sz w:val="24"/>
          <w:szCs w:val="24"/>
        </w:rPr>
        <w:t xml:space="preserve"> trīs </w:t>
      </w:r>
      <w:r w:rsidR="00156E9A">
        <w:rPr>
          <w:rFonts w:ascii="Times New Roman" w:hAnsi="Times New Roman"/>
          <w:sz w:val="24"/>
          <w:szCs w:val="24"/>
        </w:rPr>
        <w:t>reģionālajās slimnīcās</w:t>
      </w:r>
      <w:r w:rsidRPr="00CD4320">
        <w:rPr>
          <w:rFonts w:ascii="Times New Roman" w:hAnsi="Times New Roman"/>
          <w:sz w:val="24"/>
          <w:szCs w:val="24"/>
        </w:rPr>
        <w:t>.</w:t>
      </w:r>
    </w:p>
    <w:p w14:paraId="564ED530" w14:textId="77777777" w:rsidR="00441E90" w:rsidRDefault="00441E90" w:rsidP="00DE3BD6">
      <w:pPr>
        <w:spacing w:after="0" w:line="240" w:lineRule="auto"/>
        <w:jc w:val="both"/>
        <w:rPr>
          <w:rFonts w:ascii="Times New Roman" w:hAnsi="Times New Roman"/>
          <w:b/>
          <w:sz w:val="24"/>
          <w:szCs w:val="24"/>
          <w:u w:val="single"/>
        </w:rPr>
      </w:pPr>
    </w:p>
    <w:p w14:paraId="466057CD" w14:textId="2955678F" w:rsidR="00DE3BD6" w:rsidRPr="00441E90" w:rsidRDefault="00DE3BD6" w:rsidP="00DE3BD6">
      <w:pPr>
        <w:spacing w:after="0" w:line="240" w:lineRule="auto"/>
        <w:jc w:val="both"/>
        <w:rPr>
          <w:rFonts w:ascii="Times New Roman" w:hAnsi="Times New Roman"/>
          <w:b/>
          <w:sz w:val="24"/>
          <w:szCs w:val="24"/>
          <w:u w:val="single"/>
        </w:rPr>
      </w:pPr>
      <w:r>
        <w:rPr>
          <w:rFonts w:ascii="Times New Roman" w:hAnsi="Times New Roman"/>
          <w:b/>
          <w:sz w:val="24"/>
          <w:szCs w:val="24"/>
          <w:u w:val="single"/>
        </w:rPr>
        <w:t>6</w:t>
      </w:r>
      <w:r w:rsidR="00441E90">
        <w:rPr>
          <w:rFonts w:ascii="Times New Roman" w:hAnsi="Times New Roman"/>
          <w:b/>
          <w:sz w:val="24"/>
          <w:szCs w:val="24"/>
          <w:u w:val="single"/>
        </w:rPr>
        <w:t>.</w:t>
      </w:r>
      <w:r w:rsidR="0050396F" w:rsidRPr="00441E90">
        <w:rPr>
          <w:rFonts w:ascii="Times New Roman" w:hAnsi="Times New Roman"/>
          <w:b/>
          <w:sz w:val="24"/>
          <w:szCs w:val="24"/>
          <w:u w:val="single"/>
        </w:rPr>
        <w:t xml:space="preserve">pasākums. </w:t>
      </w:r>
      <w:r w:rsidRPr="0024136C">
        <w:rPr>
          <w:rFonts w:ascii="Times New Roman" w:hAnsi="Times New Roman"/>
          <w:b/>
          <w:sz w:val="24"/>
          <w:szCs w:val="24"/>
          <w:u w:val="single"/>
        </w:rPr>
        <w:t>Paliatīvās aprūpes pakalpojumu nodrošināšana VSIA “Paula Stradiņa klīniskā universitātes slimnīca</w:t>
      </w:r>
      <w:r w:rsidRPr="00007A5A">
        <w:rPr>
          <w:rFonts w:ascii="Times New Roman" w:hAnsi="Times New Roman"/>
          <w:b/>
          <w:sz w:val="24"/>
          <w:szCs w:val="24"/>
          <w:u w:val="single"/>
        </w:rPr>
        <w:t>”</w:t>
      </w:r>
    </w:p>
    <w:p w14:paraId="77EED003" w14:textId="0F1D7A29" w:rsidR="00DE3BD6" w:rsidRDefault="00DE3BD6" w:rsidP="00DE3BD6">
      <w:pPr>
        <w:spacing w:after="0" w:line="240" w:lineRule="auto"/>
        <w:jc w:val="both"/>
        <w:rPr>
          <w:rFonts w:ascii="Times New Roman" w:hAnsi="Times New Roman"/>
          <w:b/>
          <w:sz w:val="24"/>
          <w:szCs w:val="24"/>
          <w:u w:val="single"/>
        </w:rPr>
      </w:pPr>
    </w:p>
    <w:p w14:paraId="578BD438" w14:textId="74C7D2D7" w:rsidR="004D665D" w:rsidRPr="00427D8A" w:rsidRDefault="00DE3BD6" w:rsidP="00427D8A">
      <w:pPr>
        <w:spacing w:after="120"/>
        <w:ind w:firstLine="720"/>
        <w:jc w:val="both"/>
        <w:rPr>
          <w:rFonts w:ascii="Times New Roman" w:hAnsi="Times New Roman"/>
          <w:sz w:val="24"/>
          <w:szCs w:val="24"/>
        </w:rPr>
      </w:pPr>
      <w:r w:rsidRPr="006C3F67">
        <w:rPr>
          <w:rFonts w:ascii="Times New Roman" w:hAnsi="Times New Roman" w:cs="Times New Roman"/>
          <w:sz w:val="24"/>
          <w:szCs w:val="24"/>
        </w:rPr>
        <w:t>Lai sekmētu un uzlabotu pacientu paliatīvās aprūpes pakalpojumu pieejamības nodro</w:t>
      </w:r>
      <w:r>
        <w:rPr>
          <w:rFonts w:ascii="Times New Roman" w:hAnsi="Times New Roman" w:cs="Times New Roman"/>
          <w:sz w:val="24"/>
          <w:szCs w:val="24"/>
        </w:rPr>
        <w:t xml:space="preserve">šināšanu valstī un </w:t>
      </w:r>
      <w:r>
        <w:rPr>
          <w:rFonts w:ascii="Times New Roman" w:hAnsi="Times New Roman"/>
          <w:sz w:val="24"/>
          <w:szCs w:val="24"/>
        </w:rPr>
        <w:t>ievērojot</w:t>
      </w:r>
      <w:r w:rsidRPr="00EF7BC1">
        <w:rPr>
          <w:rFonts w:ascii="Times New Roman" w:hAnsi="Times New Roman"/>
          <w:sz w:val="24"/>
          <w:szCs w:val="24"/>
        </w:rPr>
        <w:t xml:space="preserve">, ka Ministru kabineta noteikumos Nr.555 VSIA </w:t>
      </w:r>
      <w:r>
        <w:rPr>
          <w:rFonts w:ascii="Times New Roman" w:hAnsi="Times New Roman"/>
          <w:sz w:val="24"/>
          <w:szCs w:val="24"/>
        </w:rPr>
        <w:t>“</w:t>
      </w:r>
      <w:r w:rsidRPr="00EF7BC1">
        <w:rPr>
          <w:rFonts w:ascii="Times New Roman" w:hAnsi="Times New Roman"/>
          <w:sz w:val="24"/>
          <w:szCs w:val="24"/>
        </w:rPr>
        <w:t>P</w:t>
      </w:r>
      <w:r>
        <w:rPr>
          <w:rFonts w:ascii="Times New Roman" w:hAnsi="Times New Roman"/>
          <w:sz w:val="24"/>
          <w:szCs w:val="24"/>
        </w:rPr>
        <w:t xml:space="preserve">aula </w:t>
      </w:r>
      <w:r w:rsidRPr="00EF7BC1">
        <w:rPr>
          <w:rFonts w:ascii="Times New Roman" w:hAnsi="Times New Roman"/>
          <w:sz w:val="24"/>
          <w:szCs w:val="24"/>
        </w:rPr>
        <w:t>S</w:t>
      </w:r>
      <w:r>
        <w:rPr>
          <w:rFonts w:ascii="Times New Roman" w:hAnsi="Times New Roman"/>
          <w:sz w:val="24"/>
          <w:szCs w:val="24"/>
        </w:rPr>
        <w:t>tradiņa klīniskā universitātes slimnīca”</w:t>
      </w:r>
      <w:r w:rsidRPr="00EF7BC1">
        <w:rPr>
          <w:rFonts w:ascii="Times New Roman" w:hAnsi="Times New Roman"/>
          <w:sz w:val="24"/>
          <w:szCs w:val="24"/>
        </w:rPr>
        <w:t xml:space="preserve"> noteikts V līmenis ar profiliem, </w:t>
      </w:r>
      <w:r>
        <w:rPr>
          <w:rFonts w:ascii="Times New Roman" w:hAnsi="Times New Roman"/>
          <w:sz w:val="24"/>
          <w:szCs w:val="24"/>
        </w:rPr>
        <w:t xml:space="preserve">kur viens no profila ir "Paliatīvā aprūpe", kā arī Ministru kabineta </w:t>
      </w:r>
      <w:r w:rsidRPr="002D3477">
        <w:rPr>
          <w:rFonts w:ascii="Times New Roman" w:hAnsi="Times New Roman"/>
          <w:sz w:val="24"/>
          <w:szCs w:val="24"/>
        </w:rPr>
        <w:t>Noteikumu Nr.555</w:t>
      </w:r>
      <w:r>
        <w:rPr>
          <w:rFonts w:ascii="Times New Roman" w:hAnsi="Times New Roman"/>
          <w:sz w:val="24"/>
          <w:szCs w:val="24"/>
        </w:rPr>
        <w:t xml:space="preserve"> “Veselības aprūpes organizēšanas un samaksas kārtība”</w:t>
      </w:r>
      <w:r w:rsidRPr="002D3477">
        <w:rPr>
          <w:rFonts w:ascii="Times New Roman" w:hAnsi="Times New Roman"/>
          <w:sz w:val="24"/>
          <w:szCs w:val="24"/>
        </w:rPr>
        <w:t xml:space="preserve"> 6.pielikuma “Stacionāro veselības aprūpes pakalpojumu sniedzēji, stacionāro veselības aprūpes pakalpojumu apmaksa</w:t>
      </w:r>
      <w:r>
        <w:rPr>
          <w:rFonts w:ascii="Times New Roman" w:hAnsi="Times New Roman"/>
          <w:sz w:val="24"/>
          <w:szCs w:val="24"/>
        </w:rPr>
        <w:t>s nosacījumi” 1.1.1. apakšpunktā noteikto, kas</w:t>
      </w:r>
      <w:r w:rsidRPr="002D3477">
        <w:rPr>
          <w:rFonts w:ascii="Times New Roman" w:hAnsi="Times New Roman"/>
          <w:sz w:val="24"/>
          <w:szCs w:val="24"/>
        </w:rPr>
        <w:t xml:space="preserve"> paredz paliatīvās aprūpes pakalpojumu nodrošināšanu VSIA “Paula Stradiņa klīniskā universitātes slimnīca” </w:t>
      </w:r>
      <w:r>
        <w:rPr>
          <w:rFonts w:ascii="Times New Roman" w:hAnsi="Times New Roman"/>
          <w:sz w:val="24"/>
          <w:szCs w:val="24"/>
        </w:rPr>
        <w:t>no 2019.gada</w:t>
      </w:r>
      <w:r w:rsidRPr="00007A5A">
        <w:rPr>
          <w:rFonts w:ascii="Times New Roman" w:hAnsi="Times New Roman"/>
          <w:sz w:val="24"/>
          <w:szCs w:val="24"/>
        </w:rPr>
        <w:t xml:space="preserve"> </w:t>
      </w:r>
      <w:r>
        <w:rPr>
          <w:rFonts w:ascii="Times New Roman" w:hAnsi="Times New Roman"/>
          <w:sz w:val="24"/>
          <w:szCs w:val="24"/>
        </w:rPr>
        <w:t xml:space="preserve">1.aprīļa </w:t>
      </w:r>
      <w:r w:rsidRPr="00007A5A">
        <w:rPr>
          <w:rFonts w:ascii="Times New Roman" w:hAnsi="Times New Roman"/>
          <w:sz w:val="24"/>
          <w:szCs w:val="24"/>
        </w:rPr>
        <w:t xml:space="preserve">nepieciešami </w:t>
      </w:r>
      <w:r w:rsidRPr="00007A5A">
        <w:rPr>
          <w:rFonts w:ascii="Times New Roman" w:hAnsi="Times New Roman"/>
          <w:b/>
          <w:sz w:val="24"/>
          <w:szCs w:val="24"/>
        </w:rPr>
        <w:t xml:space="preserve">289 918 </w:t>
      </w:r>
      <w:r w:rsidRPr="00007A5A">
        <w:rPr>
          <w:rFonts w:ascii="Times New Roman" w:hAnsi="Times New Roman"/>
          <w:b/>
          <w:i/>
          <w:sz w:val="24"/>
          <w:szCs w:val="24"/>
        </w:rPr>
        <w:t>euro</w:t>
      </w:r>
      <w:r w:rsidRPr="00007A5A">
        <w:rPr>
          <w:rFonts w:ascii="Times New Roman" w:hAnsi="Times New Roman"/>
          <w:i/>
          <w:sz w:val="24"/>
          <w:szCs w:val="24"/>
        </w:rPr>
        <w:t xml:space="preserve"> </w:t>
      </w:r>
      <w:r w:rsidRPr="00007A5A">
        <w:rPr>
          <w:rFonts w:ascii="Times New Roman" w:hAnsi="Times New Roman"/>
          <w:sz w:val="24"/>
          <w:szCs w:val="24"/>
        </w:rPr>
        <w:t xml:space="preserve">(386 558 </w:t>
      </w:r>
      <w:r w:rsidRPr="00007A5A">
        <w:rPr>
          <w:rFonts w:ascii="Times New Roman" w:hAnsi="Times New Roman"/>
          <w:i/>
          <w:sz w:val="24"/>
          <w:szCs w:val="24"/>
        </w:rPr>
        <w:t>euro</w:t>
      </w:r>
      <w:r w:rsidRPr="00007A5A">
        <w:rPr>
          <w:rFonts w:ascii="Times New Roman" w:hAnsi="Times New Roman"/>
          <w:sz w:val="24"/>
          <w:szCs w:val="24"/>
        </w:rPr>
        <w:t xml:space="preserve"> : 12 = 32</w:t>
      </w:r>
      <w:r>
        <w:rPr>
          <w:rFonts w:ascii="Times New Roman" w:hAnsi="Times New Roman"/>
          <w:sz w:val="24"/>
          <w:szCs w:val="24"/>
        </w:rPr>
        <w:t> </w:t>
      </w:r>
      <w:r w:rsidRPr="00007A5A">
        <w:rPr>
          <w:rFonts w:ascii="Times New Roman" w:hAnsi="Times New Roman"/>
          <w:sz w:val="24"/>
          <w:szCs w:val="24"/>
        </w:rPr>
        <w:t xml:space="preserve">213 </w:t>
      </w:r>
      <w:r w:rsidRPr="00007A5A">
        <w:rPr>
          <w:rFonts w:ascii="Times New Roman" w:hAnsi="Times New Roman"/>
          <w:i/>
          <w:sz w:val="24"/>
          <w:szCs w:val="24"/>
        </w:rPr>
        <w:t xml:space="preserve">euro; </w:t>
      </w:r>
      <w:r w:rsidRPr="008F3100">
        <w:rPr>
          <w:rFonts w:ascii="Times New Roman" w:hAnsi="Times New Roman"/>
          <w:sz w:val="24"/>
          <w:szCs w:val="24"/>
        </w:rPr>
        <w:t>32213 x 9 =</w:t>
      </w:r>
      <w:r w:rsidRPr="00007A5A">
        <w:rPr>
          <w:rFonts w:ascii="Times New Roman" w:hAnsi="Times New Roman"/>
          <w:sz w:val="24"/>
          <w:szCs w:val="24"/>
        </w:rPr>
        <w:t xml:space="preserve"> 289 917 </w:t>
      </w:r>
      <w:r w:rsidRPr="00007A5A">
        <w:rPr>
          <w:rFonts w:ascii="Times New Roman" w:hAnsi="Times New Roman"/>
          <w:i/>
          <w:sz w:val="24"/>
          <w:szCs w:val="24"/>
        </w:rPr>
        <w:t>euro</w:t>
      </w:r>
      <w:r w:rsidRPr="00007A5A">
        <w:rPr>
          <w:rFonts w:ascii="Times New Roman" w:hAnsi="Times New Roman"/>
          <w:sz w:val="24"/>
          <w:szCs w:val="24"/>
        </w:rPr>
        <w:t>)</w:t>
      </w:r>
      <w:r>
        <w:rPr>
          <w:rFonts w:ascii="Times New Roman" w:hAnsi="Times New Roman"/>
          <w:sz w:val="24"/>
          <w:szCs w:val="24"/>
        </w:rPr>
        <w:t xml:space="preserve"> </w:t>
      </w:r>
      <w:r w:rsidRPr="00826F24">
        <w:rPr>
          <w:rFonts w:ascii="Times New Roman" w:hAnsi="Times New Roman"/>
          <w:sz w:val="24"/>
          <w:szCs w:val="24"/>
        </w:rPr>
        <w:t>(</w:t>
      </w:r>
      <w:r w:rsidR="00E118ED">
        <w:rPr>
          <w:rFonts w:ascii="Times New Roman" w:hAnsi="Times New Roman"/>
          <w:sz w:val="24"/>
          <w:szCs w:val="24"/>
        </w:rPr>
        <w:t>90</w:t>
      </w:r>
      <w:r w:rsidRPr="00826F24">
        <w:rPr>
          <w:rFonts w:ascii="Times New Roman" w:hAnsi="Times New Roman"/>
          <w:sz w:val="24"/>
          <w:szCs w:val="24"/>
        </w:rPr>
        <w:t>.</w:t>
      </w:r>
      <w:r w:rsidR="000252AF" w:rsidRPr="00826F24">
        <w:rPr>
          <w:rFonts w:ascii="Times New Roman" w:hAnsi="Times New Roman"/>
          <w:sz w:val="24"/>
          <w:szCs w:val="24"/>
        </w:rPr>
        <w:t xml:space="preserve">, </w:t>
      </w:r>
      <w:r w:rsidR="00E118ED">
        <w:rPr>
          <w:rFonts w:ascii="Times New Roman" w:hAnsi="Times New Roman"/>
          <w:sz w:val="24"/>
          <w:szCs w:val="24"/>
        </w:rPr>
        <w:t>91</w:t>
      </w:r>
      <w:r w:rsidR="000252AF" w:rsidRPr="00826F24">
        <w:rPr>
          <w:rFonts w:ascii="Times New Roman" w:hAnsi="Times New Roman"/>
          <w:sz w:val="24"/>
          <w:szCs w:val="24"/>
        </w:rPr>
        <w:t xml:space="preserve">. un </w:t>
      </w:r>
      <w:r w:rsidR="00E118ED">
        <w:rPr>
          <w:rFonts w:ascii="Times New Roman" w:hAnsi="Times New Roman"/>
          <w:sz w:val="24"/>
          <w:szCs w:val="24"/>
        </w:rPr>
        <w:t>92</w:t>
      </w:r>
      <w:r w:rsidR="000252AF" w:rsidRPr="00826F24">
        <w:rPr>
          <w:rFonts w:ascii="Times New Roman" w:hAnsi="Times New Roman"/>
          <w:sz w:val="24"/>
          <w:szCs w:val="24"/>
        </w:rPr>
        <w:t>.</w:t>
      </w:r>
      <w:r w:rsidRPr="00826F24">
        <w:rPr>
          <w:rFonts w:ascii="Times New Roman" w:hAnsi="Times New Roman"/>
          <w:sz w:val="24"/>
          <w:szCs w:val="24"/>
        </w:rPr>
        <w:t xml:space="preserve">tabula).   </w:t>
      </w:r>
    </w:p>
    <w:p w14:paraId="555A0D89" w14:textId="5CE1A535" w:rsidR="00DE3BD6" w:rsidRPr="00E93259" w:rsidRDefault="00E118ED" w:rsidP="26166EDA">
      <w:pPr>
        <w:ind w:firstLine="720"/>
        <w:jc w:val="right"/>
        <w:rPr>
          <w:rFonts w:ascii="Times New Roman" w:hAnsi="Times New Roman" w:cs="Times New Roman"/>
          <w:i/>
          <w:iCs/>
          <w:sz w:val="24"/>
          <w:szCs w:val="24"/>
        </w:rPr>
      </w:pPr>
      <w:bookmarkStart w:id="7" w:name="_GoBack"/>
      <w:bookmarkEnd w:id="7"/>
      <w:r>
        <w:rPr>
          <w:rFonts w:ascii="Times New Roman" w:hAnsi="Times New Roman" w:cs="Times New Roman"/>
          <w:i/>
          <w:iCs/>
          <w:sz w:val="24"/>
          <w:szCs w:val="24"/>
        </w:rPr>
        <w:lastRenderedPageBreak/>
        <w:t>90</w:t>
      </w:r>
      <w:r w:rsidR="00DE3BD6" w:rsidRPr="26166EDA">
        <w:rPr>
          <w:rFonts w:ascii="Times New Roman" w:hAnsi="Times New Roman" w:cs="Times New Roman"/>
          <w:i/>
          <w:iCs/>
          <w:sz w:val="24"/>
          <w:szCs w:val="24"/>
        </w:rPr>
        <w:t xml:space="preserve">.tabula </w:t>
      </w:r>
    </w:p>
    <w:p w14:paraId="143A94E1" w14:textId="2AADBBC0" w:rsidR="00736945" w:rsidRPr="00F6378B" w:rsidRDefault="00736945" w:rsidP="00F6378B">
      <w:pPr>
        <w:ind w:firstLine="720"/>
        <w:jc w:val="center"/>
        <w:rPr>
          <w:rFonts w:ascii="Times New Roman" w:hAnsi="Times New Roman" w:cs="Times New Roman"/>
          <w:b/>
          <w:bCs/>
          <w:sz w:val="24"/>
          <w:szCs w:val="24"/>
        </w:rPr>
      </w:pPr>
      <w:r w:rsidRPr="00F6378B">
        <w:rPr>
          <w:rFonts w:ascii="Times New Roman" w:hAnsi="Times New Roman" w:cs="Times New Roman"/>
          <w:b/>
          <w:bCs/>
          <w:sz w:val="24"/>
          <w:szCs w:val="24"/>
        </w:rPr>
        <w:t>Paliatīvās aprūpes pakalpojumu nodrošināšana</w:t>
      </w:r>
    </w:p>
    <w:tbl>
      <w:tblPr>
        <w:tblW w:w="8189" w:type="dxa"/>
        <w:jc w:val="center"/>
        <w:tblLayout w:type="fixed"/>
        <w:tblLook w:val="04A0" w:firstRow="1" w:lastRow="0" w:firstColumn="1" w:lastColumn="0" w:noHBand="0" w:noVBand="1"/>
      </w:tblPr>
      <w:tblGrid>
        <w:gridCol w:w="2745"/>
        <w:gridCol w:w="1843"/>
        <w:gridCol w:w="1077"/>
        <w:gridCol w:w="1224"/>
        <w:gridCol w:w="1300"/>
      </w:tblGrid>
      <w:tr w:rsidR="00DE3BD6" w:rsidRPr="00AC1CCC" w14:paraId="5625E0CD" w14:textId="77777777" w:rsidTr="00E93259">
        <w:trPr>
          <w:trHeight w:val="658"/>
          <w:jc w:val="center"/>
        </w:trPr>
        <w:tc>
          <w:tcPr>
            <w:tcW w:w="458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AC616B6"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Ārstniecības iestādes un pakalpojuma nosaukums</w:t>
            </w:r>
          </w:p>
        </w:tc>
        <w:tc>
          <w:tcPr>
            <w:tcW w:w="107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C622B12"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Tarifs 2018</w:t>
            </w:r>
          </w:p>
        </w:tc>
        <w:tc>
          <w:tcPr>
            <w:tcW w:w="122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D1B1B31"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Plānotais pacientu skaits 2018</w:t>
            </w:r>
          </w:p>
        </w:tc>
        <w:tc>
          <w:tcPr>
            <w:tcW w:w="13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3EF15D9"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 xml:space="preserve">Plānotais finansējums 2018, </w:t>
            </w:r>
            <w:r w:rsidRPr="00007A5A">
              <w:rPr>
                <w:rFonts w:ascii="Times New Roman" w:eastAsia="Times New Roman" w:hAnsi="Times New Roman" w:cs="Times New Roman"/>
                <w:bCs/>
                <w:i/>
                <w:sz w:val="20"/>
                <w:szCs w:val="20"/>
                <w:lang w:eastAsia="lv-LV"/>
              </w:rPr>
              <w:t>euro</w:t>
            </w:r>
          </w:p>
        </w:tc>
      </w:tr>
      <w:tr w:rsidR="00DE3BD6" w:rsidRPr="00AC1CCC" w14:paraId="443B808E" w14:textId="77777777" w:rsidTr="00E93259">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2DF071"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Rīgas Austrumu klīniskā universitātes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2B6DDBF8"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309C866C"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7FDDA217"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1100</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74A049C8"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666 479</w:t>
            </w:r>
          </w:p>
        </w:tc>
      </w:tr>
      <w:tr w:rsidR="00DE3BD6" w:rsidRPr="00AC1CCC" w14:paraId="76825B45" w14:textId="77777777" w:rsidTr="00E93259">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BFAE03"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Daugavpils reģionālā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09838E8C"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Paliatīvā aprūpe</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17004217"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7FF42CCA"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344</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556749AD"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208 426</w:t>
            </w:r>
          </w:p>
        </w:tc>
      </w:tr>
      <w:tr w:rsidR="00DE3BD6" w:rsidRPr="00AC1CCC" w14:paraId="7B0A37BA" w14:textId="77777777" w:rsidTr="00E93259">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455B7"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Jēkabpils reģionālā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1588F379"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Paliatīvā aprūpe</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41F11FF5"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5A63D0EB"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175</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4252BC2F"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106 031</w:t>
            </w:r>
          </w:p>
        </w:tc>
      </w:tr>
      <w:tr w:rsidR="00DE3BD6" w:rsidRPr="00AC1CCC" w14:paraId="202314AD" w14:textId="77777777" w:rsidTr="00E93259">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08E6E9"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Rēzeknes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3A8F5ABA"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2898627F"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79075C34"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65</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2A692E54"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39 383</w:t>
            </w:r>
          </w:p>
        </w:tc>
      </w:tr>
      <w:tr w:rsidR="00DE3BD6" w:rsidRPr="00AC1CCC" w14:paraId="5BDDE2E2" w14:textId="77777777" w:rsidTr="00E93259">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CE13F"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Vidzemes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40BA3B20"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437B239A"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661190C7"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314</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4AEC0739"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190 249</w:t>
            </w:r>
          </w:p>
        </w:tc>
      </w:tr>
      <w:tr w:rsidR="00DE3BD6" w:rsidRPr="00AC1CCC" w14:paraId="2870BCB5" w14:textId="77777777" w:rsidTr="00E93259">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55D563"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Ziemeļkurzemes reģionālā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79E81645"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57AB5711"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633806B5"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537</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77663E4B"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325 363</w:t>
            </w:r>
          </w:p>
        </w:tc>
      </w:tr>
      <w:tr w:rsidR="00DE3BD6" w:rsidRPr="00AC1CCC" w14:paraId="6F830338" w14:textId="77777777" w:rsidTr="00E93259">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04302B"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Piejūras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23B88EE1"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7A4E1C7C"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21A7BD94"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4</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3B20AC69"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2 424</w:t>
            </w:r>
          </w:p>
        </w:tc>
      </w:tr>
      <w:tr w:rsidR="00DE3BD6" w:rsidRPr="00AC1CCC" w14:paraId="5CCB7EF0" w14:textId="77777777" w:rsidTr="00E93259">
        <w:trPr>
          <w:trHeight w:val="255"/>
          <w:jc w:val="center"/>
        </w:trPr>
        <w:tc>
          <w:tcPr>
            <w:tcW w:w="458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1F7BB3" w14:textId="77777777" w:rsidR="00DE3BD6" w:rsidRPr="00007A5A" w:rsidRDefault="00DE3BD6" w:rsidP="00FB3E82">
            <w:pPr>
              <w:spacing w:after="0" w:line="240" w:lineRule="auto"/>
              <w:jc w:val="right"/>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Kopā:</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22D93B59"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02C69D74"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2539</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18930FA2"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1 538 355</w:t>
            </w:r>
          </w:p>
        </w:tc>
      </w:tr>
    </w:tbl>
    <w:p w14:paraId="3408B9FD" w14:textId="122B4B16" w:rsidR="003F5285" w:rsidRPr="004D665D" w:rsidRDefault="003F5285" w:rsidP="004D665D">
      <w:pPr>
        <w:spacing w:after="0" w:line="240" w:lineRule="auto"/>
        <w:rPr>
          <w:rFonts w:ascii="Times New Roman" w:hAnsi="Times New Roman"/>
          <w:i/>
          <w:iCs/>
          <w:sz w:val="24"/>
          <w:szCs w:val="24"/>
        </w:rPr>
      </w:pPr>
    </w:p>
    <w:p w14:paraId="5506146E" w14:textId="245D8D76" w:rsidR="00DE3BD6" w:rsidRPr="00E93259" w:rsidRDefault="00E118ED" w:rsidP="26166EDA">
      <w:pPr>
        <w:pStyle w:val="ListParagraph"/>
        <w:spacing w:after="0" w:line="240" w:lineRule="auto"/>
        <w:jc w:val="right"/>
        <w:rPr>
          <w:rFonts w:ascii="Times New Roman" w:hAnsi="Times New Roman"/>
          <w:i/>
          <w:iCs/>
          <w:sz w:val="24"/>
          <w:szCs w:val="24"/>
        </w:rPr>
      </w:pPr>
      <w:r>
        <w:rPr>
          <w:rFonts w:ascii="Times New Roman" w:hAnsi="Times New Roman"/>
          <w:i/>
          <w:iCs/>
          <w:sz w:val="24"/>
          <w:szCs w:val="24"/>
        </w:rPr>
        <w:t>91</w:t>
      </w:r>
      <w:r w:rsidR="00DE3BD6" w:rsidRPr="26166EDA">
        <w:rPr>
          <w:rFonts w:ascii="Times New Roman" w:hAnsi="Times New Roman"/>
          <w:i/>
          <w:iCs/>
          <w:sz w:val="24"/>
          <w:szCs w:val="24"/>
        </w:rPr>
        <w:t>.tabula</w:t>
      </w:r>
    </w:p>
    <w:p w14:paraId="654A9A53" w14:textId="26B97779" w:rsidR="00DE3BD6" w:rsidRPr="00F6378B" w:rsidRDefault="00781D66" w:rsidP="00F6378B">
      <w:pPr>
        <w:pStyle w:val="ListParagraph"/>
        <w:spacing w:after="0" w:line="240" w:lineRule="auto"/>
        <w:jc w:val="center"/>
        <w:rPr>
          <w:rFonts w:ascii="Times New Roman" w:hAnsi="Times New Roman"/>
          <w:b/>
          <w:bCs/>
          <w:sz w:val="24"/>
          <w:szCs w:val="24"/>
          <w:lang w:val="lv-LV"/>
        </w:rPr>
      </w:pPr>
      <w:r w:rsidRPr="00F6378B">
        <w:rPr>
          <w:rFonts w:ascii="Times New Roman" w:hAnsi="Times New Roman"/>
          <w:b/>
          <w:bCs/>
          <w:sz w:val="24"/>
          <w:szCs w:val="24"/>
          <w:lang w:val="lv-LV"/>
        </w:rPr>
        <w:t>Plānotais hospitalizāciju skaits</w:t>
      </w:r>
    </w:p>
    <w:p w14:paraId="3429166E" w14:textId="77777777" w:rsidR="00781D66" w:rsidRDefault="00781D66" w:rsidP="00F6378B">
      <w:pPr>
        <w:pStyle w:val="ListParagraph"/>
        <w:spacing w:after="0" w:line="240" w:lineRule="auto"/>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2789"/>
        <w:gridCol w:w="2790"/>
        <w:gridCol w:w="2790"/>
      </w:tblGrid>
      <w:tr w:rsidR="00DE3BD6" w14:paraId="5CA33DA5" w14:textId="77777777" w:rsidTr="00FB3E82">
        <w:trPr>
          <w:jc w:val="center"/>
        </w:trPr>
        <w:tc>
          <w:tcPr>
            <w:tcW w:w="2789" w:type="dxa"/>
            <w:shd w:val="clear" w:color="auto" w:fill="E36C0A" w:themeFill="accent6" w:themeFillShade="BF"/>
            <w:vAlign w:val="center"/>
          </w:tcPr>
          <w:p w14:paraId="7A0F3E3C"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bCs/>
                <w:lang w:val="lv-LV" w:eastAsia="lv-LV"/>
              </w:rPr>
              <w:t>Ārstniecības iestādes</w:t>
            </w:r>
          </w:p>
        </w:tc>
        <w:tc>
          <w:tcPr>
            <w:tcW w:w="2790" w:type="dxa"/>
            <w:shd w:val="clear" w:color="auto" w:fill="E36C0A" w:themeFill="accent6" w:themeFillShade="BF"/>
            <w:vAlign w:val="center"/>
          </w:tcPr>
          <w:p w14:paraId="35D38D11"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bCs/>
                <w:lang w:val="lv-LV" w:eastAsia="lv-LV"/>
              </w:rPr>
              <w:t>Kopējais plānotais hospitalizāciju skaits 2018.gadā</w:t>
            </w:r>
          </w:p>
        </w:tc>
        <w:tc>
          <w:tcPr>
            <w:tcW w:w="2790" w:type="dxa"/>
            <w:shd w:val="clear" w:color="auto" w:fill="E36C0A" w:themeFill="accent6" w:themeFillShade="BF"/>
            <w:vAlign w:val="bottom"/>
          </w:tcPr>
          <w:p w14:paraId="0FD79607"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bCs/>
                <w:lang w:val="lv-LV" w:eastAsia="lv-LV"/>
              </w:rPr>
              <w:t>PSKUS pacientu skaita attiecība pret RAKUS, %</w:t>
            </w:r>
          </w:p>
        </w:tc>
      </w:tr>
      <w:tr w:rsidR="00DE3BD6" w14:paraId="0989BEF0" w14:textId="77777777" w:rsidTr="00FB3E82">
        <w:trPr>
          <w:jc w:val="center"/>
        </w:trPr>
        <w:tc>
          <w:tcPr>
            <w:tcW w:w="2789" w:type="dxa"/>
            <w:vAlign w:val="bottom"/>
          </w:tcPr>
          <w:p w14:paraId="7D80B822"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lang w:val="lv-LV" w:eastAsia="lv-LV"/>
              </w:rPr>
              <w:t>Rīgas Austrumu klīniskā universitātes slimnīca</w:t>
            </w:r>
          </w:p>
        </w:tc>
        <w:tc>
          <w:tcPr>
            <w:tcW w:w="2790" w:type="dxa"/>
            <w:vAlign w:val="center"/>
          </w:tcPr>
          <w:p w14:paraId="4E24DE59"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68 680</w:t>
            </w:r>
          </w:p>
        </w:tc>
        <w:tc>
          <w:tcPr>
            <w:tcW w:w="2790" w:type="dxa"/>
            <w:vAlign w:val="center"/>
          </w:tcPr>
          <w:p w14:paraId="7772C8AE"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100%</w:t>
            </w:r>
          </w:p>
        </w:tc>
      </w:tr>
      <w:tr w:rsidR="00DE3BD6" w14:paraId="248E20FD" w14:textId="77777777" w:rsidTr="00FB3E82">
        <w:trPr>
          <w:jc w:val="center"/>
        </w:trPr>
        <w:tc>
          <w:tcPr>
            <w:tcW w:w="2789" w:type="dxa"/>
            <w:vAlign w:val="bottom"/>
          </w:tcPr>
          <w:p w14:paraId="046EBD41"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lang w:val="lv-LV" w:eastAsia="lv-LV"/>
              </w:rPr>
              <w:t>Paula Stradiņa klīniskā universitātes slimnīca</w:t>
            </w:r>
          </w:p>
        </w:tc>
        <w:tc>
          <w:tcPr>
            <w:tcW w:w="2790" w:type="dxa"/>
            <w:vAlign w:val="center"/>
          </w:tcPr>
          <w:p w14:paraId="275F25B4"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39 590</w:t>
            </w:r>
          </w:p>
        </w:tc>
        <w:tc>
          <w:tcPr>
            <w:tcW w:w="2790" w:type="dxa"/>
            <w:vAlign w:val="center"/>
          </w:tcPr>
          <w:p w14:paraId="083641FC"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58%</w:t>
            </w:r>
          </w:p>
        </w:tc>
      </w:tr>
    </w:tbl>
    <w:p w14:paraId="7B94457A" w14:textId="77777777" w:rsidR="00DE3BD6" w:rsidRDefault="00DE3BD6" w:rsidP="00DE3BD6">
      <w:pPr>
        <w:pStyle w:val="ListParagraph"/>
        <w:spacing w:after="0" w:line="240" w:lineRule="auto"/>
        <w:jc w:val="right"/>
        <w:rPr>
          <w:rFonts w:ascii="Times New Roman" w:hAnsi="Times New Roman"/>
          <w:b/>
          <w:i/>
          <w:sz w:val="24"/>
          <w:szCs w:val="24"/>
        </w:rPr>
      </w:pPr>
    </w:p>
    <w:p w14:paraId="023A42AC" w14:textId="20AA6D1B" w:rsidR="00DE3BD6" w:rsidRPr="00E93259" w:rsidRDefault="00E118ED" w:rsidP="26166EDA">
      <w:pPr>
        <w:pStyle w:val="ListParagraph"/>
        <w:spacing w:after="0" w:line="240" w:lineRule="auto"/>
        <w:jc w:val="right"/>
        <w:rPr>
          <w:rFonts w:ascii="Times New Roman" w:hAnsi="Times New Roman"/>
          <w:i/>
          <w:iCs/>
          <w:sz w:val="24"/>
          <w:szCs w:val="24"/>
        </w:rPr>
      </w:pPr>
      <w:r>
        <w:rPr>
          <w:rFonts w:ascii="Times New Roman" w:hAnsi="Times New Roman"/>
          <w:i/>
          <w:iCs/>
          <w:sz w:val="24"/>
          <w:szCs w:val="24"/>
        </w:rPr>
        <w:t>92</w:t>
      </w:r>
      <w:r w:rsidR="00DE3BD6" w:rsidRPr="26166EDA">
        <w:rPr>
          <w:rFonts w:ascii="Times New Roman" w:hAnsi="Times New Roman"/>
          <w:i/>
          <w:iCs/>
          <w:sz w:val="24"/>
          <w:szCs w:val="24"/>
        </w:rPr>
        <w:t>.tabula</w:t>
      </w:r>
    </w:p>
    <w:p w14:paraId="7F067E47" w14:textId="2E7CF7A0" w:rsidR="00781D66" w:rsidRPr="00F6378B" w:rsidRDefault="00781D66" w:rsidP="00F6378B">
      <w:pPr>
        <w:pStyle w:val="ListParagraph"/>
        <w:spacing w:after="0" w:line="240" w:lineRule="auto"/>
        <w:jc w:val="center"/>
        <w:rPr>
          <w:rFonts w:ascii="Times New Roman" w:hAnsi="Times New Roman"/>
          <w:b/>
          <w:bCs/>
          <w:sz w:val="24"/>
          <w:szCs w:val="24"/>
          <w:lang w:val="lv-LV"/>
        </w:rPr>
      </w:pPr>
      <w:r w:rsidRPr="00F6378B">
        <w:rPr>
          <w:rFonts w:ascii="Times New Roman" w:hAnsi="Times New Roman"/>
          <w:b/>
          <w:bCs/>
          <w:sz w:val="24"/>
          <w:szCs w:val="24"/>
          <w:lang w:val="lv-LV"/>
        </w:rPr>
        <w:t>Paliatīvās aprūpes nodrošināšanai nepieciešamais finansējums</w:t>
      </w:r>
    </w:p>
    <w:p w14:paraId="0B3477BD" w14:textId="77777777" w:rsidR="00781D66" w:rsidRPr="00F6378B" w:rsidRDefault="00781D66" w:rsidP="00C77297">
      <w:pPr>
        <w:pStyle w:val="ListParagraph"/>
        <w:spacing w:after="0" w:line="240" w:lineRule="auto"/>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4184"/>
        <w:gridCol w:w="2332"/>
      </w:tblGrid>
      <w:tr w:rsidR="00DE3BD6" w14:paraId="77550828" w14:textId="77777777" w:rsidTr="00E93259">
        <w:trPr>
          <w:jc w:val="center"/>
        </w:trPr>
        <w:tc>
          <w:tcPr>
            <w:tcW w:w="4184" w:type="dxa"/>
            <w:vAlign w:val="bottom"/>
          </w:tcPr>
          <w:p w14:paraId="101C82F3"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Pakalpojumu programmas "Paliatīvā aprūpe" plānotais pacientu skaits RAKUS 2018.g.</w:t>
            </w:r>
          </w:p>
        </w:tc>
        <w:tc>
          <w:tcPr>
            <w:tcW w:w="2332" w:type="dxa"/>
            <w:vAlign w:val="center"/>
          </w:tcPr>
          <w:p w14:paraId="30D85C2D"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1 100</w:t>
            </w:r>
          </w:p>
        </w:tc>
      </w:tr>
      <w:tr w:rsidR="00DE3BD6" w14:paraId="787B4B27" w14:textId="77777777" w:rsidTr="00E93259">
        <w:trPr>
          <w:jc w:val="center"/>
        </w:trPr>
        <w:tc>
          <w:tcPr>
            <w:tcW w:w="4184" w:type="dxa"/>
            <w:vAlign w:val="bottom"/>
          </w:tcPr>
          <w:p w14:paraId="1426D042"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Pakalpojumu programmas "Paliatīvā aprūpe" plānotais pacientu skaits PSKUS = 1100*58%</w:t>
            </w:r>
          </w:p>
        </w:tc>
        <w:tc>
          <w:tcPr>
            <w:tcW w:w="2332" w:type="dxa"/>
            <w:vAlign w:val="center"/>
          </w:tcPr>
          <w:p w14:paraId="301032D8"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638</w:t>
            </w:r>
          </w:p>
        </w:tc>
      </w:tr>
      <w:tr w:rsidR="00DE3BD6" w14:paraId="5566F05C" w14:textId="77777777" w:rsidTr="00E93259">
        <w:trPr>
          <w:jc w:val="center"/>
        </w:trPr>
        <w:tc>
          <w:tcPr>
            <w:tcW w:w="4184" w:type="dxa"/>
            <w:shd w:val="clear" w:color="auto" w:fill="FDE9D9" w:themeFill="accent6" w:themeFillTint="33"/>
            <w:vAlign w:val="bottom"/>
          </w:tcPr>
          <w:p w14:paraId="2CFF0A56" w14:textId="488FFE6F" w:rsidR="00DE3BD6" w:rsidRPr="00E93259" w:rsidRDefault="00DE3BD6">
            <w:pPr>
              <w:pStyle w:val="ListParagraph"/>
              <w:ind w:left="0"/>
              <w:jc w:val="center"/>
              <w:rPr>
                <w:rFonts w:ascii="Times New Roman" w:hAnsi="Times New Roman"/>
                <w:b/>
                <w:bCs/>
                <w:sz w:val="24"/>
                <w:szCs w:val="24"/>
                <w:lang w:val="lv-LV"/>
              </w:rPr>
            </w:pPr>
            <w:r w:rsidRPr="00C77297">
              <w:rPr>
                <w:rFonts w:ascii="Times New Roman" w:eastAsia="Times New Roman" w:hAnsi="Times New Roman"/>
                <w:b/>
                <w:bCs/>
                <w:lang w:val="lv-LV" w:eastAsia="lv-LV"/>
              </w:rPr>
              <w:t>"Paliatīvā aprūpe" programmai papildus nepieciešamais finansējums</w:t>
            </w:r>
            <w:r w:rsidR="00C77297" w:rsidRPr="00C77297">
              <w:rPr>
                <w:rFonts w:ascii="Times New Roman" w:eastAsia="Times New Roman" w:hAnsi="Times New Roman"/>
                <w:b/>
                <w:bCs/>
                <w:lang w:val="lv-LV" w:eastAsia="lv-LV"/>
              </w:rPr>
              <w:t xml:space="preserve"> 2019.gadam</w:t>
            </w:r>
            <w:r w:rsidRPr="00C77297">
              <w:rPr>
                <w:rFonts w:ascii="Times New Roman" w:eastAsia="Times New Roman" w:hAnsi="Times New Roman"/>
                <w:b/>
                <w:bCs/>
                <w:lang w:val="lv-LV" w:eastAsia="lv-LV"/>
              </w:rPr>
              <w:t xml:space="preserve"> </w:t>
            </w:r>
            <w:r w:rsidRPr="26166EDA">
              <w:rPr>
                <w:rFonts w:ascii="Times New Roman" w:eastAsia="Times New Roman" w:hAnsi="Times New Roman"/>
                <w:b/>
                <w:bCs/>
                <w:i/>
                <w:iCs/>
                <w:u w:val="single"/>
                <w:lang w:val="lv-LV" w:eastAsia="lv-LV"/>
              </w:rPr>
              <w:t>(plānveida pakalpojums)</w:t>
            </w:r>
            <w:r w:rsidRPr="00C77297">
              <w:rPr>
                <w:rFonts w:ascii="Times New Roman" w:eastAsia="Times New Roman" w:hAnsi="Times New Roman"/>
                <w:b/>
                <w:bCs/>
                <w:lang w:val="lv-LV" w:eastAsia="lv-LV"/>
              </w:rPr>
              <w:t xml:space="preserve"> = 638*605.89</w:t>
            </w:r>
          </w:p>
        </w:tc>
        <w:tc>
          <w:tcPr>
            <w:tcW w:w="2332" w:type="dxa"/>
            <w:shd w:val="clear" w:color="auto" w:fill="FDE9D9" w:themeFill="accent6" w:themeFillTint="33"/>
            <w:vAlign w:val="center"/>
          </w:tcPr>
          <w:p w14:paraId="4F3C3FC3" w14:textId="4F5A87AD" w:rsidR="00DE3BD6" w:rsidRPr="00E93259" w:rsidRDefault="00C77297" w:rsidP="00E93259">
            <w:pPr>
              <w:jc w:val="center"/>
              <w:rPr>
                <w:rFonts w:ascii="Times New Roman" w:hAnsi="Times New Roman"/>
                <w:b/>
                <w:sz w:val="24"/>
                <w:szCs w:val="24"/>
              </w:rPr>
            </w:pPr>
            <w:r w:rsidRPr="00E93259">
              <w:rPr>
                <w:rFonts w:ascii="Times New Roman" w:eastAsia="Times New Roman" w:hAnsi="Times New Roman" w:cstheme="minorBidi"/>
                <w:b/>
                <w:bCs/>
                <w:lang w:eastAsia="lv-LV"/>
              </w:rPr>
              <w:t xml:space="preserve">386 </w:t>
            </w:r>
            <w:r w:rsidR="00441E90" w:rsidRPr="00E93259">
              <w:rPr>
                <w:rFonts w:ascii="Times New Roman" w:eastAsia="Times New Roman" w:hAnsi="Times New Roman" w:cstheme="minorBidi"/>
                <w:b/>
                <w:bCs/>
                <w:lang w:eastAsia="lv-LV"/>
              </w:rPr>
              <w:t>55</w:t>
            </w:r>
            <w:r w:rsidR="00DE3BD6" w:rsidRPr="00E93259">
              <w:rPr>
                <w:rFonts w:ascii="Times New Roman" w:eastAsia="Times New Roman" w:hAnsi="Times New Roman" w:cstheme="minorBidi"/>
                <w:b/>
                <w:bCs/>
                <w:lang w:eastAsia="lv-LV"/>
              </w:rPr>
              <w:t>8</w:t>
            </w:r>
          </w:p>
        </w:tc>
      </w:tr>
      <w:tr w:rsidR="00C77297" w14:paraId="3A898A6D" w14:textId="77777777" w:rsidTr="00E93259">
        <w:trPr>
          <w:jc w:val="center"/>
        </w:trPr>
        <w:tc>
          <w:tcPr>
            <w:tcW w:w="4184" w:type="dxa"/>
            <w:shd w:val="clear" w:color="auto" w:fill="FABF8F" w:themeFill="accent6" w:themeFillTint="99"/>
            <w:vAlign w:val="bottom"/>
          </w:tcPr>
          <w:p w14:paraId="74F0802D" w14:textId="2332E52B" w:rsidR="00C77297" w:rsidRPr="006A3A8B" w:rsidRDefault="00C77297" w:rsidP="00FB3E82">
            <w:pPr>
              <w:pStyle w:val="ListParagraph"/>
              <w:ind w:left="0"/>
              <w:jc w:val="center"/>
              <w:rPr>
                <w:rFonts w:ascii="Times New Roman" w:eastAsia="Times New Roman" w:hAnsi="Times New Roman"/>
                <w:b/>
                <w:bCs/>
                <w:lang w:val="lv-LV" w:eastAsia="lv-LV"/>
              </w:rPr>
            </w:pPr>
            <w:r>
              <w:rPr>
                <w:rFonts w:ascii="Times New Roman" w:eastAsia="Times New Roman" w:hAnsi="Times New Roman"/>
                <w:b/>
                <w:bCs/>
                <w:lang w:val="lv-LV" w:eastAsia="lv-LV"/>
              </w:rPr>
              <w:t>Papildus nepieciešamais finansējums no 2019.gada 1.aprīļa</w:t>
            </w:r>
          </w:p>
        </w:tc>
        <w:tc>
          <w:tcPr>
            <w:tcW w:w="2332" w:type="dxa"/>
            <w:shd w:val="clear" w:color="auto" w:fill="FABF8F" w:themeFill="accent6" w:themeFillTint="99"/>
            <w:vAlign w:val="center"/>
          </w:tcPr>
          <w:p w14:paraId="497221DA" w14:textId="5A686CF0" w:rsidR="00C77297" w:rsidRPr="00C77297" w:rsidRDefault="00C77297" w:rsidP="00C77297">
            <w:pPr>
              <w:jc w:val="center"/>
              <w:rPr>
                <w:rFonts w:ascii="Times New Roman" w:eastAsia="Times New Roman" w:hAnsi="Times New Roman"/>
                <w:b/>
                <w:bCs/>
                <w:lang w:eastAsia="lv-LV"/>
              </w:rPr>
            </w:pPr>
            <w:r w:rsidRPr="00C77297">
              <w:rPr>
                <w:rFonts w:ascii="Times New Roman" w:eastAsia="Times New Roman" w:hAnsi="Times New Roman"/>
                <w:b/>
                <w:bCs/>
                <w:lang w:eastAsia="lv-LV"/>
              </w:rPr>
              <w:t>289 918</w:t>
            </w:r>
          </w:p>
        </w:tc>
      </w:tr>
    </w:tbl>
    <w:p w14:paraId="665F4C99" w14:textId="6BEA8CE6" w:rsidR="000930F6" w:rsidRDefault="000930F6" w:rsidP="002A3B83">
      <w:pPr>
        <w:spacing w:after="0" w:line="240" w:lineRule="auto"/>
        <w:rPr>
          <w:rFonts w:ascii="Times New Roman" w:hAnsi="Times New Roman" w:cs="Times New Roman"/>
          <w:b/>
          <w:sz w:val="28"/>
          <w:szCs w:val="28"/>
        </w:rPr>
      </w:pPr>
    </w:p>
    <w:p w14:paraId="3AC8078A" w14:textId="77777777" w:rsidR="000930F6" w:rsidRDefault="000930F6" w:rsidP="00007A5A">
      <w:pPr>
        <w:spacing w:after="0" w:line="240" w:lineRule="auto"/>
        <w:ind w:firstLine="720"/>
        <w:jc w:val="center"/>
        <w:rPr>
          <w:rFonts w:ascii="Times New Roman" w:hAnsi="Times New Roman" w:cs="Times New Roman"/>
          <w:b/>
          <w:sz w:val="28"/>
          <w:szCs w:val="28"/>
        </w:rPr>
      </w:pPr>
    </w:p>
    <w:p w14:paraId="6593EC3C" w14:textId="0A4A91E1" w:rsidR="00D16D61" w:rsidRDefault="002A6015" w:rsidP="00007A5A">
      <w:pPr>
        <w:spacing w:after="0" w:line="240" w:lineRule="auto"/>
        <w:ind w:firstLine="720"/>
        <w:jc w:val="center"/>
        <w:rPr>
          <w:rFonts w:ascii="Times New Roman" w:hAnsi="Times New Roman" w:cs="Times New Roman"/>
          <w:b/>
          <w:sz w:val="28"/>
          <w:szCs w:val="28"/>
        </w:rPr>
      </w:pPr>
      <w:r w:rsidRPr="002A6015">
        <w:rPr>
          <w:rFonts w:ascii="Times New Roman" w:hAnsi="Times New Roman" w:cs="Times New Roman"/>
          <w:b/>
          <w:sz w:val="28"/>
          <w:szCs w:val="28"/>
        </w:rPr>
        <w:t xml:space="preserve">7. </w:t>
      </w:r>
      <w:r w:rsidR="00D16D61" w:rsidRPr="002A6015">
        <w:rPr>
          <w:rFonts w:ascii="Times New Roman" w:hAnsi="Times New Roman" w:cs="Times New Roman"/>
          <w:b/>
          <w:sz w:val="28"/>
          <w:szCs w:val="28"/>
        </w:rPr>
        <w:t>Rehabilitācijas</w:t>
      </w:r>
      <w:r w:rsidR="00D16D61">
        <w:rPr>
          <w:rFonts w:ascii="Times New Roman" w:hAnsi="Times New Roman" w:cs="Times New Roman"/>
          <w:b/>
          <w:sz w:val="28"/>
          <w:szCs w:val="28"/>
        </w:rPr>
        <w:t xml:space="preserve"> pakalpojumu stratēģiskais iepirkums</w:t>
      </w:r>
    </w:p>
    <w:p w14:paraId="363B45F8" w14:textId="1AF7F8FD" w:rsidR="00723953" w:rsidRDefault="00723953" w:rsidP="000D6BE7">
      <w:pPr>
        <w:spacing w:after="120"/>
        <w:ind w:firstLine="720"/>
        <w:jc w:val="both"/>
        <w:rPr>
          <w:rFonts w:ascii="Times New Roman" w:hAnsi="Times New Roman"/>
          <w:sz w:val="24"/>
          <w:szCs w:val="24"/>
        </w:rPr>
      </w:pPr>
    </w:p>
    <w:p w14:paraId="57FD8956" w14:textId="77777777" w:rsidR="003C3DC3" w:rsidRPr="003C3DC3" w:rsidRDefault="00992DEF" w:rsidP="003C3DC3">
      <w:pPr>
        <w:spacing w:after="120"/>
        <w:ind w:firstLine="720"/>
        <w:jc w:val="both"/>
        <w:rPr>
          <w:rFonts w:ascii="Times New Roman" w:hAnsi="Times New Roman"/>
          <w:sz w:val="24"/>
          <w:szCs w:val="28"/>
        </w:rPr>
      </w:pPr>
      <w:r w:rsidRPr="003C3DC3">
        <w:rPr>
          <w:rFonts w:ascii="Times New Roman" w:hAnsi="Times New Roman"/>
          <w:sz w:val="24"/>
          <w:szCs w:val="24"/>
        </w:rPr>
        <w:t xml:space="preserve">Kopš 2013.gada sākuma turpina samazināties ekonomiski aktīvo iedzīvotāju skaits, ko pamatā ietekmē negatīvās demogrāfijas tendences – iedzīvotāju skaita samazināšanās </w:t>
      </w:r>
      <w:r w:rsidRPr="003C3DC3">
        <w:rPr>
          <w:rFonts w:ascii="Times New Roman" w:hAnsi="Times New Roman"/>
          <w:sz w:val="24"/>
          <w:szCs w:val="24"/>
        </w:rPr>
        <w:lastRenderedPageBreak/>
        <w:t>darbspējas vecumā.</w:t>
      </w:r>
      <w:r w:rsidRPr="003C3DC3">
        <w:rPr>
          <w:rStyle w:val="FootnoteReference"/>
          <w:rFonts w:ascii="Times New Roman" w:hAnsi="Times New Roman"/>
          <w:sz w:val="24"/>
          <w:szCs w:val="24"/>
        </w:rPr>
        <w:footnoteReference w:id="45"/>
      </w:r>
      <w:r w:rsidRPr="003C3DC3">
        <w:rPr>
          <w:rFonts w:ascii="Times New Roman" w:hAnsi="Times New Roman"/>
          <w:sz w:val="24"/>
          <w:szCs w:val="24"/>
        </w:rPr>
        <w:t xml:space="preserve"> Līdz ar ekonomiskās situācijas uzlabošanos darbaspēka kvalitātes jautājumi kļūst arvien aktuālāki.</w:t>
      </w:r>
      <w:r w:rsidR="003C3DC3" w:rsidRPr="003C3DC3">
        <w:rPr>
          <w:rFonts w:ascii="Times New Roman" w:hAnsi="Times New Roman"/>
          <w:sz w:val="24"/>
          <w:szCs w:val="24"/>
        </w:rPr>
        <w:t xml:space="preserve"> </w:t>
      </w:r>
    </w:p>
    <w:p w14:paraId="58A465FE" w14:textId="77777777" w:rsidR="003C3DC3" w:rsidRPr="003C3DC3" w:rsidRDefault="00992DEF" w:rsidP="003C3DC3">
      <w:pPr>
        <w:spacing w:after="120"/>
        <w:ind w:firstLine="720"/>
        <w:jc w:val="both"/>
        <w:rPr>
          <w:rFonts w:ascii="Times New Roman" w:hAnsi="Times New Roman"/>
          <w:sz w:val="24"/>
          <w:szCs w:val="28"/>
        </w:rPr>
      </w:pPr>
      <w:r w:rsidRPr="003C3DC3">
        <w:rPr>
          <w:rFonts w:ascii="Times New Roman" w:hAnsi="Times New Roman"/>
          <w:sz w:val="24"/>
          <w:szCs w:val="24"/>
        </w:rPr>
        <w:t>Līdz ar to, Nacionālā attīstības plāna 2014. – 2020.gadam prioritātes "Cilvēka drošumspēja" rīcības virziena "Vesels un darbspējīgs cilvēks" ietvaros izvirzīts mērķis mazināt hronisko slimību un ārējo nāves cēloņu riska faktoru izplatību sabiedrībā, paredzēt veselības aprūpes pakalpojumu kvalitātes uzlabošanu, plānošanu un koordinēšanu, tai skaitā veselības aprūpes iestāžu darba efektivitātes novērtēšanu un pilnveidošanu.</w:t>
      </w:r>
      <w:r w:rsidRPr="003C3DC3">
        <w:rPr>
          <w:rStyle w:val="FootnoteReference"/>
          <w:rFonts w:ascii="Times New Roman" w:hAnsi="Times New Roman"/>
          <w:sz w:val="24"/>
          <w:szCs w:val="24"/>
        </w:rPr>
        <w:footnoteReference w:id="46"/>
      </w:r>
    </w:p>
    <w:p w14:paraId="65AE1FD4" w14:textId="21057A8E" w:rsidR="003C3DC3" w:rsidRPr="003C3DC3" w:rsidRDefault="00992DEF" w:rsidP="003C3DC3">
      <w:pPr>
        <w:spacing w:after="120"/>
        <w:ind w:firstLine="720"/>
        <w:jc w:val="both"/>
        <w:rPr>
          <w:rFonts w:ascii="Times New Roman" w:hAnsi="Times New Roman"/>
          <w:sz w:val="24"/>
          <w:szCs w:val="28"/>
        </w:rPr>
      </w:pPr>
      <w:r w:rsidRPr="003C3DC3">
        <w:rPr>
          <w:rFonts w:ascii="Times New Roman" w:hAnsi="Times New Roman"/>
          <w:sz w:val="24"/>
          <w:szCs w:val="28"/>
        </w:rPr>
        <w:t>Saskaņā ar Latvijas Republikas E-veselības sistēmā ievadītajiem datiem, 2018.gada 10 mēnešos elektroniski izsniegtas 636 365 slimības lapas ar šādiem izsniegšanas cēloņiem - arodslimība, ceļu satiksmes negadījums, cits cēlonis, nelaimes gadījums darbā, protezēšana vai ortozēšana, rehabilitācija, no kurām 359 660 pirmreizējās slimības lapas. Slimības lapas saņēmušas 237 923 personas, ar vidējo darba nespējas dienu skaitu uz personu 35.28% slimības lapa izsniegta uz 10-19 dienām, 25% gadījumu uz 1-9</w:t>
      </w:r>
      <w:r w:rsidR="00E14659">
        <w:rPr>
          <w:rFonts w:ascii="Times New Roman" w:hAnsi="Times New Roman"/>
          <w:sz w:val="24"/>
          <w:szCs w:val="28"/>
        </w:rPr>
        <w:t xml:space="preserve"> </w:t>
      </w:r>
      <w:r w:rsidRPr="003C3DC3">
        <w:rPr>
          <w:rFonts w:ascii="Times New Roman" w:hAnsi="Times New Roman"/>
          <w:sz w:val="24"/>
          <w:szCs w:val="28"/>
        </w:rPr>
        <w:t>dienām, 13% - 20-29 dienas, 12% 50-99 dienas.</w:t>
      </w:r>
    </w:p>
    <w:p w14:paraId="4EE06304" w14:textId="504E4A43" w:rsidR="003C3DC3" w:rsidRDefault="00992DEF" w:rsidP="003C3DC3">
      <w:pPr>
        <w:spacing w:after="120"/>
        <w:ind w:firstLine="720"/>
        <w:jc w:val="both"/>
        <w:rPr>
          <w:rFonts w:ascii="Times New Roman" w:hAnsi="Times New Roman"/>
          <w:sz w:val="24"/>
          <w:szCs w:val="24"/>
        </w:rPr>
      </w:pPr>
      <w:r w:rsidRPr="003C3DC3">
        <w:rPr>
          <w:rFonts w:ascii="Times New Roman" w:hAnsi="Times New Roman"/>
          <w:sz w:val="24"/>
          <w:szCs w:val="24"/>
        </w:rPr>
        <w:t>2014.gada 14.oktobra Ministru kabineta rīkojumā Nr.589 “Par Sabiedrības veselības pamatnostādnēm 2014.−2020.gadam” noteiktais sabiedrības veselības politikas virsmērķis ir palielināt Latvijas iedzīvotāju veselīgi nodzīvoto mūža gadu skaitu un novērst priekšlaicīgu nāvi, saglabājot, uzlabojot un atjaunojot veselību</w:t>
      </w:r>
      <w:r w:rsidRPr="003C3DC3">
        <w:rPr>
          <w:rStyle w:val="FootnoteReference"/>
          <w:rFonts w:ascii="Times New Roman" w:hAnsi="Times New Roman"/>
          <w:sz w:val="24"/>
          <w:szCs w:val="24"/>
        </w:rPr>
        <w:footnoteReference w:id="47"/>
      </w:r>
      <w:r w:rsidR="00E14659">
        <w:rPr>
          <w:rFonts w:ascii="Times New Roman" w:hAnsi="Times New Roman"/>
          <w:sz w:val="24"/>
          <w:szCs w:val="24"/>
        </w:rPr>
        <w:t>,</w:t>
      </w:r>
      <w:r w:rsidRPr="003C3DC3">
        <w:rPr>
          <w:rFonts w:ascii="Times New Roman" w:hAnsi="Times New Roman"/>
          <w:sz w:val="24"/>
          <w:szCs w:val="24"/>
        </w:rPr>
        <w:t xml:space="preserve"> </w:t>
      </w:r>
      <w:r w:rsidR="00E14659">
        <w:rPr>
          <w:rFonts w:ascii="Times New Roman" w:hAnsi="Times New Roman"/>
          <w:sz w:val="24"/>
          <w:szCs w:val="24"/>
        </w:rPr>
        <w:t>k</w:t>
      </w:r>
      <w:r w:rsidRPr="003C3DC3">
        <w:rPr>
          <w:rFonts w:ascii="Times New Roman" w:hAnsi="Times New Roman"/>
          <w:sz w:val="24"/>
          <w:szCs w:val="24"/>
        </w:rPr>
        <w:t xml:space="preserve">as sevī ietver pēctecīgas veselības aprūpes nodrošināšanu. </w:t>
      </w:r>
    </w:p>
    <w:p w14:paraId="6683D217" w14:textId="1205DB57" w:rsidR="00C2479F" w:rsidRDefault="00C2479F" w:rsidP="003C3DC3">
      <w:pPr>
        <w:spacing w:after="120"/>
        <w:ind w:firstLine="720"/>
        <w:jc w:val="both"/>
        <w:rPr>
          <w:rFonts w:ascii="Times New Roman" w:hAnsi="Times New Roman"/>
          <w:sz w:val="24"/>
          <w:szCs w:val="24"/>
        </w:rPr>
      </w:pPr>
      <w:r w:rsidRPr="003C3DC3">
        <w:rPr>
          <w:rFonts w:ascii="Times New Roman" w:hAnsi="Times New Roman"/>
          <w:sz w:val="24"/>
          <w:szCs w:val="28"/>
        </w:rPr>
        <w:t>Medicīniskajai rehabilitācijai ir būtiska nozīme darbspēju saglabāšanai un atjaunošanai un tai ir jābūt pēctecīgai veselības aprūpes sastāvdaļai, lai novērstu pacientu funkcionēšanas ierobežojumus un invaliditāti, pacientu agrīni atgrieztu darbā, kā arī izglītotu un veicinātu veselīgu dzīvesveidu</w:t>
      </w:r>
      <w:r>
        <w:rPr>
          <w:rFonts w:ascii="Times New Roman" w:hAnsi="Times New Roman"/>
          <w:sz w:val="24"/>
          <w:szCs w:val="28"/>
        </w:rPr>
        <w:t>.</w:t>
      </w:r>
    </w:p>
    <w:p w14:paraId="630206AB" w14:textId="77777777" w:rsidR="007A7E62" w:rsidRDefault="007A7E62" w:rsidP="00E93259">
      <w:pPr>
        <w:spacing w:after="120"/>
        <w:ind w:firstLine="720"/>
        <w:jc w:val="right"/>
        <w:rPr>
          <w:rFonts w:ascii="Times New Roman" w:hAnsi="Times New Roman"/>
          <w:i/>
          <w:iCs/>
          <w:sz w:val="24"/>
          <w:szCs w:val="24"/>
        </w:rPr>
        <w:sectPr w:rsidR="007A7E62" w:rsidSect="00333B64">
          <w:pgSz w:w="12240" w:h="15840"/>
          <w:pgMar w:top="1440" w:right="1440" w:bottom="1440" w:left="1701" w:header="708" w:footer="708" w:gutter="0"/>
          <w:cols w:space="708"/>
          <w:docGrid w:linePitch="360"/>
        </w:sectPr>
      </w:pPr>
    </w:p>
    <w:p w14:paraId="3F303734" w14:textId="02E72B10" w:rsidR="00701276" w:rsidRPr="00E93259" w:rsidRDefault="00E118ED" w:rsidP="00E93259">
      <w:pPr>
        <w:spacing w:after="120"/>
        <w:ind w:firstLine="720"/>
        <w:jc w:val="right"/>
        <w:rPr>
          <w:rFonts w:ascii="Times New Roman" w:hAnsi="Times New Roman"/>
          <w:i/>
          <w:iCs/>
          <w:sz w:val="24"/>
          <w:szCs w:val="24"/>
        </w:rPr>
      </w:pPr>
      <w:r>
        <w:rPr>
          <w:rFonts w:ascii="Times New Roman" w:hAnsi="Times New Roman"/>
          <w:i/>
          <w:iCs/>
          <w:sz w:val="24"/>
          <w:szCs w:val="24"/>
        </w:rPr>
        <w:lastRenderedPageBreak/>
        <w:t>93</w:t>
      </w:r>
      <w:r w:rsidR="00701276" w:rsidRPr="00E93259">
        <w:rPr>
          <w:rFonts w:ascii="Times New Roman" w:hAnsi="Times New Roman"/>
          <w:i/>
          <w:iCs/>
          <w:sz w:val="24"/>
          <w:szCs w:val="24"/>
        </w:rPr>
        <w:t>.tabula</w:t>
      </w:r>
    </w:p>
    <w:p w14:paraId="4FCA9C28" w14:textId="640CAF3C" w:rsidR="00E5297F" w:rsidRDefault="00E5297F" w:rsidP="00E93259">
      <w:pPr>
        <w:spacing w:after="120"/>
        <w:ind w:firstLine="720"/>
        <w:jc w:val="center"/>
        <w:rPr>
          <w:rFonts w:ascii="Times New Roman" w:hAnsi="Times New Roman"/>
          <w:b/>
          <w:bCs/>
          <w:sz w:val="24"/>
          <w:szCs w:val="24"/>
        </w:rPr>
      </w:pPr>
      <w:r w:rsidRPr="001E4659">
        <w:rPr>
          <w:rFonts w:ascii="Times New Roman" w:hAnsi="Times New Roman"/>
          <w:b/>
          <w:bCs/>
          <w:sz w:val="24"/>
          <w:szCs w:val="24"/>
        </w:rPr>
        <w:t xml:space="preserve">Plānotais rehabilitācijas pakalpojumu skaits un papildus nepieciešamais finansējums </w:t>
      </w:r>
      <w:r w:rsidR="007A7E62">
        <w:rPr>
          <w:rFonts w:ascii="Times New Roman" w:hAnsi="Times New Roman"/>
          <w:b/>
          <w:bCs/>
          <w:sz w:val="24"/>
          <w:szCs w:val="24"/>
        </w:rPr>
        <w:t xml:space="preserve">2017., 2018. un </w:t>
      </w:r>
      <w:r w:rsidRPr="001E4659">
        <w:rPr>
          <w:rFonts w:ascii="Times New Roman" w:hAnsi="Times New Roman"/>
          <w:b/>
          <w:bCs/>
          <w:sz w:val="24"/>
          <w:szCs w:val="24"/>
        </w:rPr>
        <w:t>2019.gadam</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134"/>
        <w:gridCol w:w="1134"/>
        <w:gridCol w:w="1134"/>
        <w:gridCol w:w="851"/>
        <w:gridCol w:w="850"/>
        <w:gridCol w:w="1134"/>
        <w:gridCol w:w="851"/>
        <w:gridCol w:w="850"/>
        <w:gridCol w:w="851"/>
        <w:gridCol w:w="850"/>
        <w:gridCol w:w="709"/>
        <w:gridCol w:w="851"/>
      </w:tblGrid>
      <w:tr w:rsidR="00FD2400" w14:paraId="5D41D6A6" w14:textId="77777777" w:rsidTr="00ED133B">
        <w:trPr>
          <w:cantSplit/>
          <w:trHeight w:val="1505"/>
          <w:jc w:val="center"/>
        </w:trPr>
        <w:tc>
          <w:tcPr>
            <w:tcW w:w="426" w:type="dxa"/>
            <w:shd w:val="clear" w:color="auto" w:fill="E36C0A" w:themeFill="accent6" w:themeFillShade="BF"/>
          </w:tcPr>
          <w:p w14:paraId="546F9616" w14:textId="77777777" w:rsidR="00A7072C" w:rsidRPr="00847710" w:rsidRDefault="00A7072C" w:rsidP="00D1261D">
            <w:pPr>
              <w:spacing w:after="0" w:line="240" w:lineRule="auto"/>
              <w:rPr>
                <w:rFonts w:ascii="Times New Roman" w:eastAsia="Times New Roman" w:hAnsi="Times New Roman" w:cs="Times New Roman"/>
                <w:b/>
                <w:bCs/>
                <w:sz w:val="20"/>
                <w:szCs w:val="20"/>
                <w:lang w:eastAsia="lv-LV"/>
              </w:rPr>
            </w:pPr>
          </w:p>
        </w:tc>
        <w:tc>
          <w:tcPr>
            <w:tcW w:w="1417" w:type="dxa"/>
            <w:shd w:val="clear" w:color="auto" w:fill="E36C0A" w:themeFill="accent6" w:themeFillShade="BF"/>
            <w:vAlign w:val="center"/>
            <w:hideMark/>
          </w:tcPr>
          <w:p w14:paraId="57DDB01E" w14:textId="77777777" w:rsidR="00A7072C" w:rsidRPr="00847710" w:rsidRDefault="00A7072C" w:rsidP="00D1261D">
            <w:pPr>
              <w:spacing w:after="0" w:line="240" w:lineRule="auto"/>
              <w:rPr>
                <w:rFonts w:ascii="Times New Roman" w:eastAsia="Times New Roman" w:hAnsi="Times New Roman" w:cs="Times New Roman"/>
                <w:b/>
                <w:bCs/>
                <w:sz w:val="20"/>
                <w:szCs w:val="20"/>
                <w:lang w:eastAsia="lv-LV"/>
              </w:rPr>
            </w:pPr>
          </w:p>
        </w:tc>
        <w:tc>
          <w:tcPr>
            <w:tcW w:w="992" w:type="dxa"/>
            <w:shd w:val="clear" w:color="auto" w:fill="E36C0A" w:themeFill="accent6" w:themeFillShade="BF"/>
            <w:textDirection w:val="btLr"/>
            <w:vAlign w:val="center"/>
            <w:hideMark/>
          </w:tcPr>
          <w:p w14:paraId="6EBA5ED7" w14:textId="470DD610" w:rsidR="00A7072C" w:rsidRPr="00847710" w:rsidRDefault="00A7072C"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 xml:space="preserve">vidējās </w:t>
            </w:r>
            <w:r w:rsidR="007717A4">
              <w:rPr>
                <w:rFonts w:ascii="Times New Roman" w:eastAsia="Times New Roman" w:hAnsi="Times New Roman" w:cs="Times New Roman"/>
                <w:b/>
                <w:bCs/>
                <w:sz w:val="20"/>
                <w:szCs w:val="20"/>
                <w:lang w:eastAsia="lv-LV"/>
              </w:rPr>
              <w:t xml:space="preserve"> ārstēšanas</w:t>
            </w:r>
          </w:p>
          <w:p w14:paraId="7ED5462D" w14:textId="7AC8C033" w:rsidR="00A7072C" w:rsidRPr="00847710" w:rsidRDefault="007717A4"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w:t>
            </w:r>
            <w:r w:rsidR="00A7072C" w:rsidRPr="00847710">
              <w:rPr>
                <w:rFonts w:ascii="Times New Roman" w:eastAsia="Times New Roman" w:hAnsi="Times New Roman" w:cs="Times New Roman"/>
                <w:b/>
                <w:bCs/>
                <w:sz w:val="20"/>
                <w:szCs w:val="20"/>
                <w:lang w:eastAsia="lv-LV"/>
              </w:rPr>
              <w:t>zmaksas</w:t>
            </w:r>
            <w:r w:rsidR="00F85EC3">
              <w:rPr>
                <w:rFonts w:ascii="Times New Roman" w:eastAsia="Times New Roman" w:hAnsi="Times New Roman" w:cs="Times New Roman"/>
                <w:b/>
                <w:bCs/>
                <w:sz w:val="20"/>
                <w:szCs w:val="20"/>
                <w:lang w:eastAsia="lv-LV"/>
              </w:rPr>
              <w:t>*</w:t>
            </w:r>
          </w:p>
          <w:p w14:paraId="56F23816" w14:textId="77777777" w:rsidR="00A7072C" w:rsidRPr="00847710" w:rsidRDefault="00A7072C" w:rsidP="00D1261D">
            <w:pPr>
              <w:spacing w:after="0" w:line="240" w:lineRule="auto"/>
              <w:ind w:left="113" w:right="113"/>
              <w:jc w:val="center"/>
              <w:rPr>
                <w:rFonts w:ascii="Times New Roman" w:eastAsia="Times New Roman" w:hAnsi="Times New Roman" w:cs="Times New Roman"/>
                <w:b/>
                <w:bCs/>
                <w:sz w:val="20"/>
                <w:szCs w:val="20"/>
                <w:lang w:eastAsia="lv-LV"/>
              </w:rPr>
            </w:pPr>
          </w:p>
        </w:tc>
        <w:tc>
          <w:tcPr>
            <w:tcW w:w="3402" w:type="dxa"/>
            <w:gridSpan w:val="3"/>
            <w:shd w:val="clear" w:color="auto" w:fill="E36C0A" w:themeFill="accent6" w:themeFillShade="BF"/>
            <w:textDirection w:val="btLr"/>
            <w:vAlign w:val="center"/>
          </w:tcPr>
          <w:p w14:paraId="255E9B0E" w14:textId="77777777" w:rsidR="00A7072C" w:rsidRPr="00847710" w:rsidRDefault="00A7072C" w:rsidP="00D1261D">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5" w:type="dxa"/>
            <w:gridSpan w:val="3"/>
            <w:shd w:val="clear" w:color="auto" w:fill="E36C0A" w:themeFill="accent6" w:themeFillShade="BF"/>
            <w:textDirection w:val="btLr"/>
            <w:vAlign w:val="center"/>
          </w:tcPr>
          <w:p w14:paraId="396F339D" w14:textId="77777777" w:rsidR="00A7072C" w:rsidRPr="00847710" w:rsidRDefault="00A7072C"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52" w:type="dxa"/>
            <w:gridSpan w:val="3"/>
            <w:shd w:val="clear" w:color="auto" w:fill="E36C0A" w:themeFill="accent6" w:themeFillShade="BF"/>
            <w:textDirection w:val="btLr"/>
            <w:vAlign w:val="center"/>
          </w:tcPr>
          <w:p w14:paraId="7A1BEB78" w14:textId="77777777" w:rsidR="00A7072C" w:rsidRPr="00847710" w:rsidRDefault="00A7072C"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410" w:type="dxa"/>
            <w:gridSpan w:val="3"/>
            <w:shd w:val="clear" w:color="auto" w:fill="E36C0A" w:themeFill="accent6" w:themeFillShade="BF"/>
            <w:textDirection w:val="btLr"/>
            <w:vAlign w:val="center"/>
          </w:tcPr>
          <w:p w14:paraId="1C2547D7" w14:textId="65E450B6" w:rsidR="00A7072C" w:rsidRPr="00847710" w:rsidRDefault="00A7072C" w:rsidP="00D1261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A90D6F">
              <w:rPr>
                <w:rFonts w:ascii="Times New Roman" w:eastAsia="Times New Roman" w:hAnsi="Times New Roman" w:cs="Times New Roman"/>
                <w:b/>
                <w:bCs/>
                <w:sz w:val="20"/>
                <w:szCs w:val="20"/>
                <w:lang w:eastAsia="lv-LV"/>
              </w:rPr>
              <w:t xml:space="preserve">pakalpojumu </w:t>
            </w:r>
            <w:r w:rsidRPr="00847710">
              <w:rPr>
                <w:rFonts w:ascii="Times New Roman" w:eastAsia="Times New Roman" w:hAnsi="Times New Roman" w:cs="Times New Roman"/>
                <w:b/>
                <w:bCs/>
                <w:sz w:val="20"/>
                <w:szCs w:val="20"/>
                <w:lang w:eastAsia="lv-LV"/>
              </w:rPr>
              <w:t>skaits pēc finansējuma piešķīruma</w:t>
            </w:r>
          </w:p>
        </w:tc>
      </w:tr>
      <w:tr w:rsidR="00E11AFF" w14:paraId="719643E0" w14:textId="77777777" w:rsidTr="00ED133B">
        <w:trPr>
          <w:trHeight w:val="640"/>
          <w:jc w:val="center"/>
        </w:trPr>
        <w:tc>
          <w:tcPr>
            <w:tcW w:w="426" w:type="dxa"/>
            <w:shd w:val="clear" w:color="auto" w:fill="FABF8F" w:themeFill="accent6" w:themeFillTint="99"/>
          </w:tcPr>
          <w:p w14:paraId="41D48C73"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p>
        </w:tc>
        <w:tc>
          <w:tcPr>
            <w:tcW w:w="1417" w:type="dxa"/>
            <w:shd w:val="clear" w:color="auto" w:fill="FABF8F" w:themeFill="accent6" w:themeFillTint="99"/>
            <w:vAlign w:val="center"/>
          </w:tcPr>
          <w:p w14:paraId="121CF212"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p>
        </w:tc>
        <w:tc>
          <w:tcPr>
            <w:tcW w:w="992" w:type="dxa"/>
            <w:shd w:val="clear" w:color="auto" w:fill="FABF8F" w:themeFill="accent6" w:themeFillTint="99"/>
            <w:vAlign w:val="center"/>
          </w:tcPr>
          <w:p w14:paraId="7B7F4B4B" w14:textId="77777777" w:rsidR="00A7072C" w:rsidRPr="00847710" w:rsidRDefault="00A7072C" w:rsidP="00D1261D">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5D786345"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BF8F" w:themeFill="accent6" w:themeFillTint="99"/>
            <w:vAlign w:val="center"/>
          </w:tcPr>
          <w:p w14:paraId="6E8544FA" w14:textId="77777777" w:rsidR="00A7072C"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9B40EC7" w14:textId="77777777" w:rsidR="00A7072C" w:rsidRPr="0012317D" w:rsidRDefault="00A7072C"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5BA7A7C2" w14:textId="77777777" w:rsidR="00A7072C"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49DB918C" w14:textId="77777777" w:rsidR="00A7072C" w:rsidRPr="0012317D" w:rsidRDefault="00A7072C"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076B7A0F" w14:textId="77777777" w:rsidR="00A7072C"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41364EE4" w14:textId="77777777" w:rsidR="00A7072C" w:rsidRPr="0012317D" w:rsidRDefault="00A7072C"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5B7D5891" w14:textId="77777777" w:rsidR="00A7072C"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72BBA769" w14:textId="77777777" w:rsidR="00A7072C" w:rsidRPr="0012317D" w:rsidRDefault="00A7072C"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24126733" w14:textId="77777777" w:rsidR="00A7072C"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710DD356" w14:textId="77777777" w:rsidR="00A7072C" w:rsidRPr="0012317D" w:rsidRDefault="00A7072C" w:rsidP="00D1261D">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3A7172D8" w14:textId="77777777" w:rsidR="00A7072C" w:rsidRPr="00C86312" w:rsidRDefault="00A7072C" w:rsidP="00D1261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2D4F91D3" w14:textId="77777777" w:rsidR="00A7072C" w:rsidRPr="00C86312" w:rsidRDefault="00A7072C" w:rsidP="00D1261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609A1ED2"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0" w:type="dxa"/>
            <w:shd w:val="clear" w:color="auto" w:fill="FABF8F" w:themeFill="accent6" w:themeFillTint="99"/>
            <w:vAlign w:val="center"/>
          </w:tcPr>
          <w:p w14:paraId="139D4FF5"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1511328A"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0" w:type="dxa"/>
            <w:shd w:val="clear" w:color="auto" w:fill="FABF8F" w:themeFill="accent6" w:themeFillTint="99"/>
            <w:vAlign w:val="center"/>
          </w:tcPr>
          <w:p w14:paraId="4FCC8504"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7417BCB9"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1" w:type="dxa"/>
            <w:shd w:val="clear" w:color="auto" w:fill="FABF8F" w:themeFill="accent6" w:themeFillTint="99"/>
            <w:vAlign w:val="center"/>
          </w:tcPr>
          <w:p w14:paraId="4DAFEFFB" w14:textId="77777777" w:rsidR="00A7072C" w:rsidRPr="00847710" w:rsidRDefault="00A7072C" w:rsidP="00D1261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7717A4" w14:paraId="285FF63C" w14:textId="77777777" w:rsidTr="00ED133B">
        <w:trPr>
          <w:trHeight w:val="491"/>
          <w:jc w:val="center"/>
        </w:trPr>
        <w:tc>
          <w:tcPr>
            <w:tcW w:w="426" w:type="dxa"/>
            <w:shd w:val="clear" w:color="auto" w:fill="FFFFFF" w:themeFill="background1"/>
          </w:tcPr>
          <w:p w14:paraId="2CB6E475" w14:textId="77777777" w:rsidR="00FD2400" w:rsidRPr="00E1067B"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417" w:type="dxa"/>
            <w:shd w:val="clear" w:color="auto" w:fill="FFFFFF" w:themeFill="background1"/>
            <w:vAlign w:val="bottom"/>
          </w:tcPr>
          <w:p w14:paraId="7F672E8C" w14:textId="21B9E20B" w:rsidR="00FD2400" w:rsidRPr="00E1067B" w:rsidRDefault="00FD2400" w:rsidP="00FD2400">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Akūtā rehabilitācija</w:t>
            </w:r>
          </w:p>
        </w:tc>
        <w:tc>
          <w:tcPr>
            <w:tcW w:w="992" w:type="dxa"/>
            <w:shd w:val="clear" w:color="auto" w:fill="FFFFFF" w:themeFill="background1"/>
            <w:vAlign w:val="center"/>
          </w:tcPr>
          <w:p w14:paraId="3471AD17" w14:textId="3A358F3E" w:rsidR="00FD2400" w:rsidRPr="00E1067B" w:rsidRDefault="00FD2400" w:rsidP="00FD2400">
            <w:pPr>
              <w:spacing w:after="0" w:line="240" w:lineRule="auto"/>
              <w:jc w:val="center"/>
              <w:rPr>
                <w:rFonts w:ascii="Times New Roman" w:eastAsia="Times New Roman" w:hAnsi="Times New Roman" w:cs="Times New Roman"/>
                <w:iCs/>
                <w:sz w:val="20"/>
                <w:szCs w:val="20"/>
                <w:lang w:eastAsia="lv-LV"/>
              </w:rPr>
            </w:pPr>
            <w:r w:rsidRPr="009D0B51">
              <w:rPr>
                <w:rFonts w:ascii="Times New Roman" w:eastAsia="Times New Roman" w:hAnsi="Times New Roman" w:cs="Times New Roman"/>
                <w:sz w:val="20"/>
                <w:szCs w:val="20"/>
                <w:lang w:eastAsia="lv-LV"/>
              </w:rPr>
              <w:t>65.515</w:t>
            </w:r>
          </w:p>
        </w:tc>
        <w:tc>
          <w:tcPr>
            <w:tcW w:w="1134" w:type="dxa"/>
            <w:shd w:val="clear" w:color="auto" w:fill="FFFFFF" w:themeFill="background1"/>
            <w:vAlign w:val="center"/>
          </w:tcPr>
          <w:p w14:paraId="080A2B7E" w14:textId="4F98931D"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093335FA" w14:textId="2B50AF8E"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0CAA69F3" w14:textId="516BA344" w:rsidR="00FD2400" w:rsidRPr="00E1067B"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00AF569D" w14:textId="77777777"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19A7583" w14:textId="77777777"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7D9B106F" w14:textId="139932BC" w:rsidR="00FD2400" w:rsidRPr="00030FAC" w:rsidRDefault="00FD2400" w:rsidP="00FD2400">
            <w:pPr>
              <w:spacing w:after="0" w:line="240" w:lineRule="auto"/>
              <w:jc w:val="center"/>
              <w:rPr>
                <w:rFonts w:ascii="Times New Roman" w:eastAsia="Times New Roman" w:hAnsi="Times New Roman" w:cs="Times New Roman"/>
                <w:bCs/>
                <w:sz w:val="16"/>
                <w:szCs w:val="16"/>
                <w:lang w:eastAsia="lv-LV"/>
              </w:rPr>
            </w:pPr>
            <w:r w:rsidRPr="009D0B51">
              <w:rPr>
                <w:rFonts w:ascii="Times New Roman" w:hAnsi="Times New Roman"/>
                <w:bCs/>
                <w:sz w:val="20"/>
                <w:szCs w:val="20"/>
              </w:rPr>
              <w:t>1 888 535</w:t>
            </w:r>
          </w:p>
        </w:tc>
        <w:tc>
          <w:tcPr>
            <w:tcW w:w="851" w:type="dxa"/>
            <w:shd w:val="clear" w:color="auto" w:fill="FFFFFF" w:themeFill="background1"/>
            <w:vAlign w:val="center"/>
          </w:tcPr>
          <w:p w14:paraId="40D26291" w14:textId="77777777" w:rsidR="00FD2400" w:rsidRPr="00E1067B"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621C3269" w14:textId="77777777" w:rsidR="00FD2400" w:rsidRPr="00E1067B"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EC6C8E6" w14:textId="77777777" w:rsidR="00FD2400" w:rsidRPr="00E1067B"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B1608D4" w14:textId="77777777"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775D8ECB" w14:textId="77777777"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B3C0385" w14:textId="3A613DC5" w:rsidR="00FD2400" w:rsidRPr="003F5285" w:rsidRDefault="00FD2400" w:rsidP="00FD2400">
            <w:pPr>
              <w:spacing w:after="0" w:line="240" w:lineRule="auto"/>
              <w:jc w:val="center"/>
              <w:rPr>
                <w:rFonts w:ascii="Times New Roman" w:eastAsia="Times New Roman" w:hAnsi="Times New Roman" w:cs="Times New Roman"/>
                <w:bCs/>
                <w:sz w:val="20"/>
                <w:szCs w:val="20"/>
                <w:lang w:eastAsia="lv-LV"/>
              </w:rPr>
            </w:pPr>
            <w:r w:rsidRPr="003F5285">
              <w:rPr>
                <w:rFonts w:ascii="Times New Roman" w:hAnsi="Times New Roman" w:cs="Times New Roman"/>
                <w:bCs/>
                <w:sz w:val="20"/>
                <w:szCs w:val="20"/>
              </w:rPr>
              <w:t>28 826</w:t>
            </w:r>
          </w:p>
        </w:tc>
      </w:tr>
      <w:tr w:rsidR="007717A4" w14:paraId="06990813" w14:textId="77777777" w:rsidTr="00ED133B">
        <w:trPr>
          <w:trHeight w:val="413"/>
          <w:jc w:val="center"/>
        </w:trPr>
        <w:tc>
          <w:tcPr>
            <w:tcW w:w="426" w:type="dxa"/>
            <w:shd w:val="clear" w:color="auto" w:fill="FFFFFF" w:themeFill="background1"/>
          </w:tcPr>
          <w:p w14:paraId="04762B60" w14:textId="77777777"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p>
        </w:tc>
        <w:tc>
          <w:tcPr>
            <w:tcW w:w="1417" w:type="dxa"/>
            <w:shd w:val="clear" w:color="auto" w:fill="FFFFFF" w:themeFill="background1"/>
            <w:vAlign w:val="bottom"/>
          </w:tcPr>
          <w:p w14:paraId="446AB19B" w14:textId="678B2147" w:rsidR="00FD2400" w:rsidRPr="00847710" w:rsidRDefault="00FD2400" w:rsidP="00FD240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Subakūtā rehabilitācija</w:t>
            </w:r>
          </w:p>
        </w:tc>
        <w:tc>
          <w:tcPr>
            <w:tcW w:w="992" w:type="dxa"/>
            <w:shd w:val="clear" w:color="auto" w:fill="FFFFFF" w:themeFill="background1"/>
            <w:vAlign w:val="center"/>
          </w:tcPr>
          <w:p w14:paraId="4C2C55D5" w14:textId="34FB5F9C" w:rsidR="00FD2400" w:rsidRDefault="00723AFA" w:rsidP="00FD24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1 085.97</w:t>
            </w:r>
          </w:p>
        </w:tc>
        <w:tc>
          <w:tcPr>
            <w:tcW w:w="1134" w:type="dxa"/>
            <w:shd w:val="clear" w:color="auto" w:fill="FFFFFF" w:themeFill="background1"/>
            <w:vAlign w:val="center"/>
          </w:tcPr>
          <w:p w14:paraId="5BE5B401" w14:textId="7B7C4154"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4 291 414</w:t>
            </w:r>
          </w:p>
        </w:tc>
        <w:tc>
          <w:tcPr>
            <w:tcW w:w="1134" w:type="dxa"/>
            <w:shd w:val="clear" w:color="auto" w:fill="FFFFFF" w:themeFill="background1"/>
            <w:vAlign w:val="center"/>
          </w:tcPr>
          <w:p w14:paraId="16376C39" w14:textId="2A3241B1"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4 891 252</w:t>
            </w:r>
          </w:p>
        </w:tc>
        <w:tc>
          <w:tcPr>
            <w:tcW w:w="1134" w:type="dxa"/>
            <w:shd w:val="clear" w:color="auto" w:fill="FFFFFF" w:themeFill="background1"/>
            <w:vAlign w:val="center"/>
          </w:tcPr>
          <w:p w14:paraId="673F82B9" w14:textId="05CD2AA9"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4 891 252</w:t>
            </w:r>
          </w:p>
        </w:tc>
        <w:tc>
          <w:tcPr>
            <w:tcW w:w="851" w:type="dxa"/>
            <w:shd w:val="clear" w:color="auto" w:fill="FFFFFF" w:themeFill="background1"/>
            <w:vAlign w:val="center"/>
          </w:tcPr>
          <w:p w14:paraId="0A86E002" w14:textId="77777777"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34C564F" w14:textId="77777777" w:rsidR="00FD2400" w:rsidRDefault="00FD2400" w:rsidP="00FD24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themeFill="background1"/>
            <w:vAlign w:val="center"/>
          </w:tcPr>
          <w:p w14:paraId="52980DA2" w14:textId="71EF6894" w:rsidR="00FD2400" w:rsidRDefault="00FD2400" w:rsidP="00FD2400">
            <w:pPr>
              <w:spacing w:after="0" w:line="240" w:lineRule="auto"/>
              <w:jc w:val="center"/>
              <w:rPr>
                <w:rFonts w:ascii="Times New Roman" w:hAnsi="Times New Roman" w:cs="Times New Roman"/>
                <w:sz w:val="20"/>
                <w:szCs w:val="20"/>
              </w:rPr>
            </w:pPr>
            <w:r w:rsidRPr="00E11AFF">
              <w:rPr>
                <w:rFonts w:ascii="Times New Roman" w:hAnsi="Times New Roman"/>
                <w:sz w:val="20"/>
                <w:szCs w:val="20"/>
              </w:rPr>
              <w:t>1 986 239</w:t>
            </w:r>
          </w:p>
        </w:tc>
        <w:tc>
          <w:tcPr>
            <w:tcW w:w="851" w:type="dxa"/>
            <w:shd w:val="clear" w:color="auto" w:fill="FFFFFF" w:themeFill="background1"/>
            <w:vAlign w:val="center"/>
          </w:tcPr>
          <w:p w14:paraId="2E4FE049" w14:textId="10DD1B77"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5 656</w:t>
            </w:r>
          </w:p>
        </w:tc>
        <w:tc>
          <w:tcPr>
            <w:tcW w:w="850" w:type="dxa"/>
            <w:shd w:val="clear" w:color="auto" w:fill="FFFFFF" w:themeFill="background1"/>
            <w:vAlign w:val="center"/>
          </w:tcPr>
          <w:p w14:paraId="495C2197" w14:textId="267693D3"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5 346</w:t>
            </w:r>
          </w:p>
        </w:tc>
        <w:tc>
          <w:tcPr>
            <w:tcW w:w="851" w:type="dxa"/>
            <w:shd w:val="clear" w:color="auto" w:fill="FFFFFF" w:themeFill="background1"/>
            <w:vAlign w:val="center"/>
          </w:tcPr>
          <w:p w14:paraId="6E818C39" w14:textId="4FF49408" w:rsidR="00FD2400" w:rsidRDefault="00332661"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4 504</w:t>
            </w:r>
          </w:p>
        </w:tc>
        <w:tc>
          <w:tcPr>
            <w:tcW w:w="850" w:type="dxa"/>
            <w:shd w:val="clear" w:color="auto" w:fill="FFFFFF" w:themeFill="background1"/>
            <w:vAlign w:val="center"/>
          </w:tcPr>
          <w:p w14:paraId="7AED55E6" w14:textId="77777777" w:rsidR="00FD2400" w:rsidRDefault="00FD2400" w:rsidP="00FD2400">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7E0547AB" w14:textId="77777777" w:rsidR="00FD2400" w:rsidRDefault="00FD2400" w:rsidP="00FD2400">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851" w:type="dxa"/>
            <w:shd w:val="clear" w:color="auto" w:fill="FFFFFF" w:themeFill="background1"/>
            <w:vAlign w:val="center"/>
          </w:tcPr>
          <w:p w14:paraId="2B9B79B6" w14:textId="19D3B30A" w:rsidR="00FD2400" w:rsidRPr="003F5285" w:rsidRDefault="0005031E" w:rsidP="00FD2400">
            <w:pPr>
              <w:spacing w:after="0" w:line="240" w:lineRule="auto"/>
              <w:jc w:val="center"/>
              <w:rPr>
                <w:rFonts w:ascii="Times New Roman" w:hAnsi="Times New Roman" w:cs="Times New Roman"/>
                <w:bCs/>
                <w:sz w:val="20"/>
                <w:szCs w:val="20"/>
              </w:rPr>
            </w:pPr>
            <w:r w:rsidRPr="003F5285">
              <w:rPr>
                <w:rFonts w:ascii="Times New Roman" w:hAnsi="Times New Roman" w:cs="Times New Roman"/>
                <w:bCs/>
                <w:sz w:val="20"/>
                <w:szCs w:val="20"/>
              </w:rPr>
              <w:t>6 333</w:t>
            </w:r>
          </w:p>
        </w:tc>
      </w:tr>
      <w:tr w:rsidR="007717A4" w14:paraId="7821F65D" w14:textId="77777777" w:rsidTr="00ED133B">
        <w:trPr>
          <w:trHeight w:val="296"/>
          <w:jc w:val="center"/>
        </w:trPr>
        <w:tc>
          <w:tcPr>
            <w:tcW w:w="426" w:type="dxa"/>
            <w:shd w:val="clear" w:color="auto" w:fill="FBD4B4" w:themeFill="accent6" w:themeFillTint="66"/>
          </w:tcPr>
          <w:p w14:paraId="7F16679C" w14:textId="77777777" w:rsidR="00FD2400" w:rsidRPr="00847710" w:rsidRDefault="00FD2400" w:rsidP="00FD2400">
            <w:pPr>
              <w:spacing w:after="0" w:line="240" w:lineRule="auto"/>
              <w:rPr>
                <w:rFonts w:ascii="Times New Roman" w:eastAsia="Times New Roman" w:hAnsi="Times New Roman" w:cs="Times New Roman"/>
                <w:sz w:val="20"/>
                <w:szCs w:val="20"/>
                <w:lang w:eastAsia="lv-LV"/>
              </w:rPr>
            </w:pPr>
          </w:p>
        </w:tc>
        <w:tc>
          <w:tcPr>
            <w:tcW w:w="1417" w:type="dxa"/>
            <w:shd w:val="clear" w:color="auto" w:fill="FBD4B4" w:themeFill="accent6" w:themeFillTint="66"/>
            <w:vAlign w:val="bottom"/>
          </w:tcPr>
          <w:p w14:paraId="1991C1FC" w14:textId="77777777" w:rsidR="00FD2400" w:rsidRPr="00847710" w:rsidRDefault="00FD2400" w:rsidP="00FD240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2" w:type="dxa"/>
            <w:shd w:val="clear" w:color="auto" w:fill="FBD4B4" w:themeFill="accent6" w:themeFillTint="66"/>
            <w:noWrap/>
            <w:vAlign w:val="bottom"/>
          </w:tcPr>
          <w:p w14:paraId="07CBB332" w14:textId="77777777" w:rsidR="00FD2400" w:rsidRPr="00847710" w:rsidRDefault="00FD2400" w:rsidP="00FD2400">
            <w:pPr>
              <w:spacing w:after="0" w:line="240" w:lineRule="auto"/>
              <w:jc w:val="center"/>
              <w:rPr>
                <w:rFonts w:ascii="Times New Roman" w:eastAsia="Times New Roman" w:hAnsi="Times New Roman" w:cs="Times New Roman"/>
                <w:sz w:val="20"/>
                <w:szCs w:val="20"/>
                <w:lang w:eastAsia="lv-LV"/>
              </w:rPr>
            </w:pPr>
          </w:p>
        </w:tc>
        <w:tc>
          <w:tcPr>
            <w:tcW w:w="1134" w:type="dxa"/>
            <w:shd w:val="clear" w:color="auto" w:fill="FBD4B4" w:themeFill="accent6" w:themeFillTint="66"/>
            <w:vAlign w:val="center"/>
          </w:tcPr>
          <w:p w14:paraId="2CA6460E" w14:textId="0B046714" w:rsidR="00FD2400" w:rsidRPr="003F5285" w:rsidRDefault="00FD2400" w:rsidP="00FD2400">
            <w:pPr>
              <w:spacing w:after="0" w:line="240" w:lineRule="auto"/>
              <w:jc w:val="center"/>
              <w:rPr>
                <w:rFonts w:ascii="Times New Roman" w:hAnsi="Times New Roman" w:cs="Times New Roman"/>
                <w:b/>
                <w:sz w:val="20"/>
                <w:szCs w:val="20"/>
              </w:rPr>
            </w:pPr>
            <w:r w:rsidRPr="003F5285">
              <w:rPr>
                <w:rFonts w:ascii="Times New Roman" w:eastAsia="Times New Roman" w:hAnsi="Times New Roman" w:cs="Times New Roman"/>
                <w:b/>
                <w:bCs/>
                <w:sz w:val="20"/>
                <w:szCs w:val="20"/>
                <w:lang w:eastAsia="lv-LV"/>
              </w:rPr>
              <w:t>4 291 414</w:t>
            </w:r>
          </w:p>
        </w:tc>
        <w:tc>
          <w:tcPr>
            <w:tcW w:w="1134" w:type="dxa"/>
            <w:shd w:val="clear" w:color="auto" w:fill="FBD4B4" w:themeFill="accent6" w:themeFillTint="66"/>
            <w:vAlign w:val="center"/>
          </w:tcPr>
          <w:p w14:paraId="01DA461B" w14:textId="42F31BF1" w:rsidR="00FD2400" w:rsidRPr="003F5285" w:rsidRDefault="00FD2400" w:rsidP="00FD2400">
            <w:pPr>
              <w:spacing w:after="0" w:line="240" w:lineRule="auto"/>
              <w:jc w:val="center"/>
              <w:rPr>
                <w:rFonts w:ascii="Times New Roman" w:hAnsi="Times New Roman" w:cs="Times New Roman"/>
                <w:b/>
                <w:sz w:val="20"/>
                <w:szCs w:val="20"/>
              </w:rPr>
            </w:pPr>
            <w:r w:rsidRPr="003F5285">
              <w:rPr>
                <w:rFonts w:ascii="Times New Roman" w:eastAsia="Times New Roman" w:hAnsi="Times New Roman" w:cs="Times New Roman"/>
                <w:b/>
                <w:bCs/>
                <w:sz w:val="20"/>
                <w:szCs w:val="20"/>
                <w:lang w:eastAsia="lv-LV"/>
              </w:rPr>
              <w:t>4 891 252</w:t>
            </w:r>
          </w:p>
        </w:tc>
        <w:tc>
          <w:tcPr>
            <w:tcW w:w="1134" w:type="dxa"/>
            <w:shd w:val="clear" w:color="auto" w:fill="FBD4B4" w:themeFill="accent6" w:themeFillTint="66"/>
            <w:vAlign w:val="center"/>
          </w:tcPr>
          <w:p w14:paraId="2DC02412" w14:textId="0383D6CE" w:rsidR="00FD2400" w:rsidRPr="003F5285" w:rsidRDefault="00FD2400" w:rsidP="00FD2400">
            <w:pPr>
              <w:spacing w:after="0" w:line="240" w:lineRule="auto"/>
              <w:jc w:val="center"/>
              <w:rPr>
                <w:rFonts w:ascii="Times New Roman" w:hAnsi="Times New Roman" w:cs="Times New Roman"/>
                <w:b/>
                <w:sz w:val="20"/>
                <w:szCs w:val="20"/>
              </w:rPr>
            </w:pPr>
            <w:r w:rsidRPr="003F5285">
              <w:rPr>
                <w:rFonts w:ascii="Times New Roman" w:eastAsia="Times New Roman" w:hAnsi="Times New Roman" w:cs="Times New Roman"/>
                <w:b/>
                <w:bCs/>
                <w:sz w:val="20"/>
                <w:szCs w:val="20"/>
                <w:lang w:eastAsia="lv-LV"/>
              </w:rPr>
              <w:t>4 891 252</w:t>
            </w:r>
          </w:p>
        </w:tc>
        <w:tc>
          <w:tcPr>
            <w:tcW w:w="851" w:type="dxa"/>
            <w:shd w:val="clear" w:color="auto" w:fill="FBD4B4" w:themeFill="accent6" w:themeFillTint="66"/>
            <w:vAlign w:val="center"/>
          </w:tcPr>
          <w:p w14:paraId="3F348B1A" w14:textId="77777777" w:rsidR="00FD2400" w:rsidRPr="003F5285" w:rsidRDefault="00FD2400" w:rsidP="00FD2400">
            <w:pPr>
              <w:spacing w:after="0" w:line="240" w:lineRule="auto"/>
              <w:jc w:val="center"/>
              <w:rPr>
                <w:rFonts w:ascii="Times New Roman" w:hAnsi="Times New Roman" w:cs="Times New Roman"/>
                <w:b/>
                <w:sz w:val="20"/>
                <w:szCs w:val="20"/>
              </w:rPr>
            </w:pPr>
          </w:p>
        </w:tc>
        <w:tc>
          <w:tcPr>
            <w:tcW w:w="850" w:type="dxa"/>
            <w:shd w:val="clear" w:color="auto" w:fill="FBD4B4" w:themeFill="accent6" w:themeFillTint="66"/>
            <w:vAlign w:val="center"/>
          </w:tcPr>
          <w:p w14:paraId="5DC936A4" w14:textId="77777777" w:rsidR="00FD2400" w:rsidRPr="003F5285" w:rsidRDefault="00FD2400" w:rsidP="00FD2400">
            <w:pPr>
              <w:spacing w:after="0" w:line="240" w:lineRule="auto"/>
              <w:jc w:val="center"/>
              <w:rPr>
                <w:rFonts w:ascii="Times New Roman" w:hAnsi="Times New Roman" w:cs="Times New Roman"/>
                <w:b/>
                <w:sz w:val="20"/>
                <w:szCs w:val="20"/>
              </w:rPr>
            </w:pPr>
          </w:p>
        </w:tc>
        <w:tc>
          <w:tcPr>
            <w:tcW w:w="1134" w:type="dxa"/>
            <w:shd w:val="clear" w:color="auto" w:fill="FBD4B4" w:themeFill="accent6" w:themeFillTint="66"/>
            <w:noWrap/>
            <w:vAlign w:val="bottom"/>
          </w:tcPr>
          <w:p w14:paraId="0B421563" w14:textId="52FEC64E" w:rsidR="00FD2400" w:rsidRPr="003F5285" w:rsidRDefault="00FD2400" w:rsidP="00FD2400">
            <w:pPr>
              <w:spacing w:after="0" w:line="240" w:lineRule="auto"/>
              <w:jc w:val="center"/>
              <w:rPr>
                <w:rFonts w:ascii="Times New Roman" w:eastAsia="Times New Roman" w:hAnsi="Times New Roman" w:cs="Times New Roman"/>
                <w:b/>
                <w:sz w:val="16"/>
                <w:szCs w:val="16"/>
                <w:lang w:eastAsia="lv-LV"/>
              </w:rPr>
            </w:pPr>
            <w:r w:rsidRPr="003F5285">
              <w:rPr>
                <w:rFonts w:ascii="Times New Roman" w:hAnsi="Times New Roman" w:cs="Times New Roman"/>
                <w:b/>
                <w:sz w:val="20"/>
                <w:szCs w:val="20"/>
              </w:rPr>
              <w:t>3 874 7</w:t>
            </w:r>
            <w:r w:rsidR="005C3E4B" w:rsidRPr="003F5285">
              <w:rPr>
                <w:rFonts w:ascii="Times New Roman" w:hAnsi="Times New Roman" w:cs="Times New Roman"/>
                <w:b/>
                <w:sz w:val="20"/>
                <w:szCs w:val="20"/>
              </w:rPr>
              <w:t>74</w:t>
            </w:r>
          </w:p>
        </w:tc>
        <w:tc>
          <w:tcPr>
            <w:tcW w:w="851" w:type="dxa"/>
            <w:shd w:val="clear" w:color="auto" w:fill="FBD4B4" w:themeFill="accent6" w:themeFillTint="66"/>
            <w:vAlign w:val="center"/>
          </w:tcPr>
          <w:p w14:paraId="013B2859" w14:textId="7257C959" w:rsidR="00FD2400" w:rsidRPr="003F5285" w:rsidRDefault="00FD2400" w:rsidP="00FD2400">
            <w:pPr>
              <w:spacing w:after="0" w:line="240" w:lineRule="auto"/>
              <w:jc w:val="center"/>
              <w:rPr>
                <w:rFonts w:ascii="Times New Roman" w:hAnsi="Times New Roman" w:cs="Times New Roman"/>
                <w:b/>
                <w:bCs/>
                <w:sz w:val="20"/>
                <w:szCs w:val="20"/>
              </w:rPr>
            </w:pPr>
            <w:r w:rsidRPr="003F5285">
              <w:rPr>
                <w:rFonts w:ascii="Times New Roman" w:eastAsia="Times New Roman" w:hAnsi="Times New Roman" w:cs="Times New Roman"/>
                <w:b/>
                <w:bCs/>
                <w:sz w:val="20"/>
                <w:szCs w:val="20"/>
                <w:lang w:eastAsia="lv-LV"/>
              </w:rPr>
              <w:t>5 656</w:t>
            </w:r>
          </w:p>
        </w:tc>
        <w:tc>
          <w:tcPr>
            <w:tcW w:w="850" w:type="dxa"/>
            <w:shd w:val="clear" w:color="auto" w:fill="FBD4B4" w:themeFill="accent6" w:themeFillTint="66"/>
            <w:vAlign w:val="center"/>
          </w:tcPr>
          <w:p w14:paraId="55878658" w14:textId="2CD4432F" w:rsidR="00FD2400" w:rsidRPr="003F5285" w:rsidRDefault="00FD2400" w:rsidP="00FD2400">
            <w:pPr>
              <w:spacing w:after="0" w:line="240" w:lineRule="auto"/>
              <w:jc w:val="center"/>
              <w:rPr>
                <w:rFonts w:ascii="Times New Roman" w:hAnsi="Times New Roman" w:cs="Times New Roman"/>
                <w:b/>
                <w:bCs/>
                <w:sz w:val="20"/>
                <w:szCs w:val="20"/>
              </w:rPr>
            </w:pPr>
            <w:r w:rsidRPr="003F5285">
              <w:rPr>
                <w:rFonts w:ascii="Times New Roman" w:eastAsia="Times New Roman" w:hAnsi="Times New Roman" w:cs="Times New Roman"/>
                <w:b/>
                <w:bCs/>
                <w:sz w:val="20"/>
                <w:szCs w:val="20"/>
                <w:lang w:eastAsia="lv-LV"/>
              </w:rPr>
              <w:t>5 346</w:t>
            </w:r>
          </w:p>
        </w:tc>
        <w:tc>
          <w:tcPr>
            <w:tcW w:w="851" w:type="dxa"/>
            <w:shd w:val="clear" w:color="auto" w:fill="FBD4B4" w:themeFill="accent6" w:themeFillTint="66"/>
            <w:vAlign w:val="center"/>
          </w:tcPr>
          <w:p w14:paraId="4B39B7A9" w14:textId="300B9D52" w:rsidR="00FD2400" w:rsidRPr="003F5285" w:rsidRDefault="00332661" w:rsidP="00FD2400">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lv-LV"/>
              </w:rPr>
              <w:t>4 504</w:t>
            </w:r>
          </w:p>
        </w:tc>
        <w:tc>
          <w:tcPr>
            <w:tcW w:w="850" w:type="dxa"/>
            <w:shd w:val="clear" w:color="auto" w:fill="FBD4B4" w:themeFill="accent6" w:themeFillTint="66"/>
            <w:vAlign w:val="center"/>
          </w:tcPr>
          <w:p w14:paraId="00479D99" w14:textId="77777777" w:rsidR="00FD2400" w:rsidRPr="003F5285" w:rsidRDefault="00FD2400" w:rsidP="00FD2400">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5675A9D5" w14:textId="77777777" w:rsidR="00FD2400" w:rsidRPr="003F5285" w:rsidRDefault="00FD2400" w:rsidP="00FD2400">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noWrap/>
            <w:vAlign w:val="center"/>
          </w:tcPr>
          <w:p w14:paraId="7B013382" w14:textId="6B045F25" w:rsidR="00FD2400" w:rsidRPr="003F5285" w:rsidRDefault="0005031E" w:rsidP="00FD2400">
            <w:pPr>
              <w:spacing w:after="0" w:line="240" w:lineRule="auto"/>
              <w:jc w:val="center"/>
              <w:rPr>
                <w:rFonts w:ascii="Times New Roman" w:eastAsia="Times New Roman" w:hAnsi="Times New Roman" w:cs="Times New Roman"/>
                <w:b/>
                <w:bCs/>
                <w:sz w:val="20"/>
                <w:szCs w:val="20"/>
                <w:lang w:eastAsia="lv-LV"/>
              </w:rPr>
            </w:pPr>
            <w:r w:rsidRPr="003F5285">
              <w:rPr>
                <w:rFonts w:ascii="Times New Roman" w:hAnsi="Times New Roman" w:cs="Times New Roman"/>
                <w:b/>
                <w:bCs/>
                <w:sz w:val="20"/>
                <w:szCs w:val="20"/>
              </w:rPr>
              <w:t>42 322</w:t>
            </w:r>
          </w:p>
        </w:tc>
      </w:tr>
    </w:tbl>
    <w:p w14:paraId="2DF448D3" w14:textId="636F0C9E" w:rsidR="00A7072C" w:rsidRPr="00723AFA" w:rsidRDefault="00F85EC3" w:rsidP="00723AFA">
      <w:pPr>
        <w:spacing w:after="120"/>
        <w:rPr>
          <w:rFonts w:ascii="Times New Roman" w:hAnsi="Times New Roman"/>
          <w:bCs/>
          <w:sz w:val="20"/>
          <w:szCs w:val="20"/>
        </w:rPr>
      </w:pPr>
      <w:r w:rsidRPr="00723AFA">
        <w:rPr>
          <w:rFonts w:ascii="Times New Roman" w:hAnsi="Times New Roman"/>
          <w:bCs/>
          <w:sz w:val="20"/>
          <w:szCs w:val="20"/>
        </w:rPr>
        <w:t>*</w:t>
      </w:r>
      <w:r w:rsidR="00723AFA" w:rsidRPr="00723AFA">
        <w:rPr>
          <w:rFonts w:ascii="Times New Roman" w:hAnsi="Times New Roman"/>
          <w:bCs/>
          <w:sz w:val="20"/>
          <w:szCs w:val="20"/>
        </w:rPr>
        <w:t>tiek ņemtas vērā vidējās aritmētiskās rehabilitācijas pakalpojumu izmaksas, jo tiek nodrošināts secīgs rehabilitācijas pakalpojumu kopums, lai sasniegtu ārstēšanas rezultātu</w:t>
      </w:r>
    </w:p>
    <w:p w14:paraId="67F1C2D1" w14:textId="77777777" w:rsidR="007A7E62" w:rsidRDefault="007A7E62" w:rsidP="003C3DC3">
      <w:pPr>
        <w:spacing w:after="120"/>
        <w:ind w:firstLine="720"/>
        <w:jc w:val="both"/>
        <w:rPr>
          <w:rFonts w:ascii="Times New Roman" w:hAnsi="Times New Roman"/>
          <w:sz w:val="24"/>
          <w:szCs w:val="28"/>
        </w:rPr>
        <w:sectPr w:rsidR="007A7E62" w:rsidSect="00333B64">
          <w:pgSz w:w="15840" w:h="12240" w:orient="landscape"/>
          <w:pgMar w:top="1701" w:right="1440" w:bottom="1440" w:left="1440" w:header="709" w:footer="709" w:gutter="0"/>
          <w:cols w:space="708"/>
          <w:docGrid w:linePitch="360"/>
        </w:sectPr>
      </w:pPr>
    </w:p>
    <w:p w14:paraId="43E6D17C" w14:textId="4BBE69DD" w:rsidR="00992DEF" w:rsidRPr="003C3DC3" w:rsidRDefault="00992DEF" w:rsidP="003C3DC3">
      <w:pPr>
        <w:spacing w:after="120"/>
        <w:ind w:firstLine="720"/>
        <w:jc w:val="both"/>
        <w:rPr>
          <w:rFonts w:ascii="Times New Roman" w:hAnsi="Times New Roman"/>
          <w:sz w:val="24"/>
          <w:szCs w:val="24"/>
        </w:rPr>
      </w:pPr>
      <w:r w:rsidRPr="003C3DC3">
        <w:rPr>
          <w:rFonts w:ascii="Times New Roman" w:hAnsi="Times New Roman"/>
          <w:sz w:val="24"/>
          <w:szCs w:val="24"/>
        </w:rPr>
        <w:lastRenderedPageBreak/>
        <w:t>2018.gadā akūtas medicīniskās rehabilitācijas posms netiek diferencēts no vispārējās aprūpes</w:t>
      </w:r>
      <w:r w:rsidR="004455D2">
        <w:rPr>
          <w:rFonts w:ascii="Times New Roman" w:hAnsi="Times New Roman"/>
          <w:sz w:val="24"/>
          <w:szCs w:val="24"/>
        </w:rPr>
        <w:t xml:space="preserve"> (</w:t>
      </w:r>
      <w:r w:rsidR="00DB330E">
        <w:rPr>
          <w:rFonts w:ascii="Times New Roman" w:hAnsi="Times New Roman"/>
          <w:sz w:val="24"/>
          <w:szCs w:val="24"/>
        </w:rPr>
        <w:t>9</w:t>
      </w:r>
      <w:r w:rsidR="00992948">
        <w:rPr>
          <w:rFonts w:ascii="Times New Roman" w:hAnsi="Times New Roman"/>
          <w:sz w:val="24"/>
          <w:szCs w:val="24"/>
        </w:rPr>
        <w:t>4</w:t>
      </w:r>
      <w:r w:rsidR="004455D2">
        <w:rPr>
          <w:rFonts w:ascii="Times New Roman" w:hAnsi="Times New Roman"/>
          <w:sz w:val="24"/>
          <w:szCs w:val="24"/>
        </w:rPr>
        <w:t>.tabula)</w:t>
      </w:r>
      <w:r w:rsidRPr="003C3DC3">
        <w:rPr>
          <w:rFonts w:ascii="Times New Roman" w:hAnsi="Times New Roman"/>
          <w:sz w:val="24"/>
          <w:szCs w:val="24"/>
        </w:rPr>
        <w:t xml:space="preserve">. Akūtā posma rehabilitācijas pakalpojumi stacionāra apmaksas modelī netiek izdalīts atsevišķi, bet tiek ierēķināti gultasdienas apmaksā, radot priekšstatu, ka tie netiek apmaksāti no valsts budžeta līdzekļiem. </w:t>
      </w:r>
      <w:r w:rsidR="00E14659">
        <w:rPr>
          <w:rFonts w:ascii="Times New Roman" w:hAnsi="Times New Roman"/>
          <w:sz w:val="24"/>
          <w:szCs w:val="24"/>
        </w:rPr>
        <w:t>P</w:t>
      </w:r>
      <w:r w:rsidRPr="003C3DC3">
        <w:rPr>
          <w:rFonts w:ascii="Times New Roman" w:hAnsi="Times New Roman"/>
          <w:sz w:val="24"/>
          <w:szCs w:val="24"/>
        </w:rPr>
        <w:t xml:space="preserve">akalpojumi bieži tiek piedāvāti par atsevišķu samaksu - ierobežojot pakalpojumu saņemšanu pacientiem, kas to nevar atļauties, </w:t>
      </w:r>
      <w:r w:rsidR="00E14659">
        <w:rPr>
          <w:rFonts w:ascii="Times New Roman" w:hAnsi="Times New Roman"/>
          <w:sz w:val="24"/>
          <w:szCs w:val="24"/>
        </w:rPr>
        <w:t xml:space="preserve">kā arī </w:t>
      </w:r>
      <w:r w:rsidRPr="003C3DC3">
        <w:rPr>
          <w:rFonts w:ascii="Times New Roman" w:hAnsi="Times New Roman"/>
          <w:sz w:val="24"/>
          <w:szCs w:val="24"/>
        </w:rPr>
        <w:t>sniegtie pakalpojumi netiek uzskaitīti - nav iespējams veikt datu analīzi</w:t>
      </w:r>
      <w:r w:rsidR="00E14659">
        <w:rPr>
          <w:rFonts w:ascii="Times New Roman" w:hAnsi="Times New Roman"/>
          <w:sz w:val="24"/>
          <w:szCs w:val="24"/>
        </w:rPr>
        <w:t>.</w:t>
      </w:r>
      <w:r w:rsidRPr="003C3DC3">
        <w:rPr>
          <w:rFonts w:ascii="Times New Roman" w:hAnsi="Times New Roman"/>
          <w:sz w:val="24"/>
          <w:szCs w:val="24"/>
        </w:rPr>
        <w:t xml:space="preserve"> </w:t>
      </w:r>
      <w:r w:rsidR="00E14659">
        <w:rPr>
          <w:rFonts w:ascii="Times New Roman" w:hAnsi="Times New Roman"/>
          <w:sz w:val="24"/>
          <w:szCs w:val="24"/>
        </w:rPr>
        <w:t>P</w:t>
      </w:r>
      <w:r w:rsidRPr="003C3DC3">
        <w:rPr>
          <w:rFonts w:ascii="Times New Roman" w:hAnsi="Times New Roman"/>
          <w:sz w:val="24"/>
          <w:szCs w:val="24"/>
        </w:rPr>
        <w:t>astāv risks, ka pakalpojumus tiek nodrošināts nelielā apjomā (aptuveni 6% no stacionārā hospitalizētajiem pacientiem</w:t>
      </w:r>
      <w:r w:rsidRPr="003C3DC3">
        <w:rPr>
          <w:rStyle w:val="FootnoteReference"/>
          <w:rFonts w:ascii="Times New Roman" w:hAnsi="Times New Roman"/>
          <w:sz w:val="24"/>
          <w:szCs w:val="24"/>
        </w:rPr>
        <w:footnoteReference w:id="48"/>
      </w:r>
      <w:r w:rsidRPr="003C3DC3">
        <w:rPr>
          <w:rFonts w:ascii="Times New Roman" w:hAnsi="Times New Roman"/>
          <w:sz w:val="24"/>
          <w:szCs w:val="24"/>
        </w:rPr>
        <w:t xml:space="preserve">), līdz ar to nesaņem visi, kam būtu nepieciešams un pakalpojumi netiek saņemti savlaicīgi - tādejādi palielinot izsniegto darbnespēju lapu skaitu, slimošanas ilgumu, invaliditātes risku, pakalpojums netiek sniegts pēc vienotiem algoritmiem, pakalpojumu sniegšanas kvalitāte netiek pietiekami kontrolēta un pacientiem netiek nodrošināta atbilstoša izvērtēšana, kas rada risku, ka pacienti netiek nosūtīti uz atbilstošu pakalpojuma saņemšanas veidu </w:t>
      </w:r>
      <w:r w:rsidR="00E14659">
        <w:rPr>
          <w:rFonts w:ascii="Times New Roman" w:hAnsi="Times New Roman"/>
          <w:sz w:val="24"/>
          <w:szCs w:val="24"/>
        </w:rPr>
        <w:t>līdz ar to</w:t>
      </w:r>
      <w:r w:rsidRPr="003C3DC3">
        <w:rPr>
          <w:rFonts w:ascii="Times New Roman" w:hAnsi="Times New Roman"/>
          <w:sz w:val="24"/>
          <w:szCs w:val="24"/>
        </w:rPr>
        <w:t xml:space="preserve"> nav skaidrs pacienta ceļš. </w:t>
      </w:r>
    </w:p>
    <w:p w14:paraId="4A0447A6" w14:textId="77777777" w:rsidR="00992DEF" w:rsidRPr="003C3DC3" w:rsidRDefault="00992DEF" w:rsidP="003C3DC3">
      <w:pPr>
        <w:spacing w:after="120"/>
        <w:ind w:firstLine="720"/>
        <w:jc w:val="both"/>
        <w:rPr>
          <w:rFonts w:ascii="Times New Roman" w:hAnsi="Times New Roman"/>
          <w:sz w:val="24"/>
          <w:szCs w:val="24"/>
        </w:rPr>
      </w:pPr>
      <w:r w:rsidRPr="003C3DC3">
        <w:rPr>
          <w:rFonts w:ascii="Times New Roman" w:hAnsi="Times New Roman"/>
          <w:sz w:val="24"/>
          <w:szCs w:val="24"/>
        </w:rPr>
        <w:t>Ņemot vērā iepriekš minēto un vēršot uzmanību – pakalpojuma pēctecības nodrošināšanai, 2019.gadā akūtās rehabilitācijas pakalpojumu nodrošināšanā paredzētas izmaiņas. Plānots ieviest pie gultas dienas piemaksājamās manipulācijas medicīniskās rehabilitācijas pakalpojumu nodrošināšanai, tādejādi:</w:t>
      </w:r>
    </w:p>
    <w:p w14:paraId="213D982D" w14:textId="75C2E8A0"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tiks palielināts pacientu skaitu, kam tiks nodrošināti akūtās medicīniskās rehabilitācijas pakalpojumi (aptuveni 11% gadījumos no hospitalizētajiem pacientiem) par valsts līdzekļiem, samazinot pacienta maksājumu un uzlabojot pakalpojumu pieejamību;</w:t>
      </w:r>
    </w:p>
    <w:p w14:paraId="5303CD43" w14:textId="77777777"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nodrošinot pakalpojumu pieejamību, tiks uzlaboti stacionāro pakalpojumu kvalitātes rādītāji, jo samazināsies ārstēšanās ilgums, uzsākot agrīnu mobilizāciju, tiks samazinās stacionāro komplikāciju risks un samazināts komplikāciju risks atgriežoties mājās un līdz ar to atkārtotas stacionēšanās risks, nodrošinot piederīgo apmācību tālākai aprūpei, samazinās pacientu skaits, kam nepieciešama tālāka rehabilitācija izrakstoties no stacionāra, kā arī samazināsies pacientu skaits ar prognozējamo invaliditāti;</w:t>
      </w:r>
    </w:p>
    <w:p w14:paraId="53E67827" w14:textId="77777777"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nosakot pacientu atlases kritērijus, tiks uzlabota pacientu atlase tālākai rehabilitācijai un iezīmēts skaidrs pacienta ceļš (ja pacientam būs nepieciešama tālāka rehabilitācija, tiks sastādīts rehabilitācijas plāns un nodrošināta pacienta nosūtīšana atbilstoša pakalpojuma saņemšanai);</w:t>
      </w:r>
    </w:p>
    <w:p w14:paraId="4B9C50D3" w14:textId="77777777"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nosakot kvalitātes rādītājus, pacientam būs pieejami vienlīdzīgi kvalitatīvi pakalpojumi;</w:t>
      </w:r>
    </w:p>
    <w:p w14:paraId="46D594A1" w14:textId="0087B0B3" w:rsidR="00992DEF"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 xml:space="preserve">nosakot vienotu uzskaites sistēmu, tiks nodrošināta speciālistu darba kodēšana, paredzot iespējamu datu salīdzināšanu, analīzi. </w:t>
      </w:r>
    </w:p>
    <w:p w14:paraId="5B484BD4" w14:textId="77777777" w:rsidR="00235FE8" w:rsidRDefault="00235FE8" w:rsidP="00E93259">
      <w:pPr>
        <w:pStyle w:val="ListParagraph"/>
        <w:spacing w:after="120"/>
        <w:ind w:left="1080"/>
        <w:jc w:val="right"/>
        <w:rPr>
          <w:rFonts w:ascii="Times New Roman" w:hAnsi="Times New Roman"/>
          <w:sz w:val="24"/>
          <w:szCs w:val="24"/>
          <w:lang w:val="lv-LV"/>
        </w:rPr>
      </w:pPr>
    </w:p>
    <w:p w14:paraId="1A0FEB33" w14:textId="77777777" w:rsidR="00235FE8" w:rsidRDefault="00235FE8" w:rsidP="00E93259">
      <w:pPr>
        <w:pStyle w:val="ListParagraph"/>
        <w:spacing w:after="120"/>
        <w:ind w:left="1080"/>
        <w:jc w:val="right"/>
        <w:rPr>
          <w:rFonts w:ascii="Times New Roman" w:hAnsi="Times New Roman"/>
          <w:sz w:val="24"/>
          <w:szCs w:val="24"/>
          <w:lang w:val="lv-LV"/>
        </w:rPr>
      </w:pPr>
    </w:p>
    <w:p w14:paraId="7092608C" w14:textId="7F91DE73" w:rsidR="00303B60" w:rsidRPr="00E93259" w:rsidRDefault="00E118ED" w:rsidP="00E93259">
      <w:pPr>
        <w:pStyle w:val="ListParagraph"/>
        <w:spacing w:after="120"/>
        <w:ind w:left="1080"/>
        <w:jc w:val="right"/>
        <w:rPr>
          <w:rFonts w:ascii="Times New Roman" w:hAnsi="Times New Roman"/>
          <w:sz w:val="24"/>
          <w:szCs w:val="24"/>
          <w:lang w:val="lv-LV"/>
        </w:rPr>
      </w:pPr>
      <w:r>
        <w:rPr>
          <w:rFonts w:ascii="Times New Roman" w:hAnsi="Times New Roman"/>
          <w:sz w:val="24"/>
          <w:szCs w:val="24"/>
          <w:lang w:val="lv-LV"/>
        </w:rPr>
        <w:lastRenderedPageBreak/>
        <w:t>94</w:t>
      </w:r>
      <w:r w:rsidR="00303B60">
        <w:rPr>
          <w:rFonts w:ascii="Times New Roman" w:hAnsi="Times New Roman"/>
          <w:sz w:val="24"/>
          <w:szCs w:val="24"/>
          <w:lang w:val="lv-LV"/>
        </w:rPr>
        <w:t>.tabula</w:t>
      </w:r>
    </w:p>
    <w:p w14:paraId="3438F2BA" w14:textId="2ABAE0E0" w:rsidR="00303B60" w:rsidRPr="00E93259" w:rsidRDefault="00303B60" w:rsidP="00E93259">
      <w:pPr>
        <w:spacing w:after="120"/>
        <w:jc w:val="center"/>
        <w:rPr>
          <w:rFonts w:ascii="Times New Roman" w:hAnsi="Times New Roman"/>
          <w:b/>
          <w:bCs/>
          <w:sz w:val="24"/>
          <w:szCs w:val="24"/>
        </w:rPr>
      </w:pPr>
      <w:r w:rsidRPr="00E12849">
        <w:rPr>
          <w:rFonts w:ascii="Times New Roman" w:hAnsi="Times New Roman"/>
          <w:b/>
          <w:bCs/>
          <w:sz w:val="24"/>
          <w:szCs w:val="24"/>
        </w:rPr>
        <w:t>Akūtās rehabilitācijas pakalpojumu nodrošināšanai nepieciešamais finansējums</w:t>
      </w:r>
    </w:p>
    <w:tbl>
      <w:tblPr>
        <w:tblStyle w:val="TableGrid"/>
        <w:tblW w:w="9776" w:type="dxa"/>
        <w:tblLook w:val="04A0" w:firstRow="1" w:lastRow="0" w:firstColumn="1" w:lastColumn="0" w:noHBand="0" w:noVBand="1"/>
      </w:tblPr>
      <w:tblGrid>
        <w:gridCol w:w="1252"/>
        <w:gridCol w:w="1004"/>
        <w:gridCol w:w="1244"/>
        <w:gridCol w:w="1265"/>
        <w:gridCol w:w="1244"/>
        <w:gridCol w:w="1244"/>
        <w:gridCol w:w="1266"/>
        <w:gridCol w:w="1257"/>
      </w:tblGrid>
      <w:tr w:rsidR="00543764" w14:paraId="009BF692" w14:textId="2ABDF274" w:rsidTr="00E93259">
        <w:tc>
          <w:tcPr>
            <w:tcW w:w="1255" w:type="dxa"/>
            <w:shd w:val="clear" w:color="auto" w:fill="E36C0A" w:themeFill="accent6" w:themeFillShade="BF"/>
            <w:vAlign w:val="center"/>
          </w:tcPr>
          <w:p w14:paraId="0BF50253" w14:textId="1E574B98" w:rsidR="00543764" w:rsidRPr="00E93259" w:rsidRDefault="00543764" w:rsidP="00E93259">
            <w:pPr>
              <w:spacing w:after="120"/>
              <w:jc w:val="center"/>
              <w:rPr>
                <w:rFonts w:ascii="Times New Roman" w:hAnsi="Times New Roman"/>
                <w:b/>
                <w:bCs/>
                <w:sz w:val="16"/>
                <w:szCs w:val="16"/>
              </w:rPr>
            </w:pPr>
            <w:r w:rsidRPr="00EB2335">
              <w:rPr>
                <w:rFonts w:ascii="Times New Roman" w:hAnsi="Times New Roman"/>
                <w:b/>
                <w:bCs/>
                <w:sz w:val="16"/>
                <w:szCs w:val="16"/>
              </w:rPr>
              <w:t>Rehabilitācijas pakalpojumi vidēji 11% hospitalizēto pacientu*</w:t>
            </w:r>
          </w:p>
        </w:tc>
        <w:tc>
          <w:tcPr>
            <w:tcW w:w="1030" w:type="dxa"/>
            <w:shd w:val="clear" w:color="auto" w:fill="E36C0A" w:themeFill="accent6" w:themeFillShade="BF"/>
            <w:vAlign w:val="center"/>
          </w:tcPr>
          <w:p w14:paraId="5166F1B5" w14:textId="15FBC456" w:rsidR="00543764" w:rsidRPr="00E93259" w:rsidRDefault="00543764" w:rsidP="00E93259">
            <w:pPr>
              <w:spacing w:after="120"/>
              <w:jc w:val="center"/>
              <w:rPr>
                <w:rFonts w:ascii="Times New Roman" w:hAnsi="Times New Roman"/>
                <w:b/>
                <w:bCs/>
                <w:sz w:val="16"/>
                <w:szCs w:val="16"/>
              </w:rPr>
            </w:pPr>
            <w:r w:rsidRPr="00E93259">
              <w:rPr>
                <w:rFonts w:ascii="Times New Roman" w:hAnsi="Times New Roman"/>
                <w:b/>
                <w:bCs/>
                <w:sz w:val="16"/>
                <w:szCs w:val="16"/>
              </w:rPr>
              <w:t>Vidējais ārstēšanas ilgums stacionārā 2017.gadā</w:t>
            </w:r>
          </w:p>
        </w:tc>
        <w:tc>
          <w:tcPr>
            <w:tcW w:w="1249" w:type="dxa"/>
            <w:shd w:val="clear" w:color="auto" w:fill="E36C0A" w:themeFill="accent6" w:themeFillShade="BF"/>
            <w:vAlign w:val="center"/>
          </w:tcPr>
          <w:p w14:paraId="7553987F" w14:textId="3EE40C8C" w:rsidR="00543764" w:rsidRPr="00E93259" w:rsidRDefault="00543764" w:rsidP="008A36E7">
            <w:pPr>
              <w:spacing w:after="120"/>
              <w:jc w:val="center"/>
              <w:rPr>
                <w:rFonts w:ascii="Times New Roman" w:hAnsi="Times New Roman"/>
                <w:b/>
                <w:sz w:val="16"/>
                <w:szCs w:val="16"/>
              </w:rPr>
            </w:pPr>
            <w:r w:rsidRPr="00E93259">
              <w:rPr>
                <w:rFonts w:ascii="Times New Roman" w:hAnsi="Times New Roman"/>
                <w:b/>
                <w:bCs/>
                <w:sz w:val="16"/>
                <w:szCs w:val="16"/>
              </w:rPr>
              <w:t>Funkcionālā stāvokļa novērtēšanai</w:t>
            </w:r>
            <w:r w:rsidRPr="008A36E7">
              <w:rPr>
                <w:rFonts w:ascii="Times New Roman" w:hAnsi="Times New Roman"/>
                <w:b/>
                <w:bCs/>
                <w:sz w:val="16"/>
                <w:szCs w:val="16"/>
              </w:rPr>
              <w:t xml:space="preserve"> nepieciešamais finansējums, </w:t>
            </w:r>
            <w:r w:rsidRPr="00E93259">
              <w:rPr>
                <w:rFonts w:ascii="Times New Roman" w:hAnsi="Times New Roman"/>
                <w:b/>
                <w:bCs/>
                <w:i/>
                <w:sz w:val="16"/>
                <w:szCs w:val="16"/>
              </w:rPr>
              <w:t>euro</w:t>
            </w:r>
          </w:p>
        </w:tc>
        <w:tc>
          <w:tcPr>
            <w:tcW w:w="1268" w:type="dxa"/>
            <w:shd w:val="clear" w:color="auto" w:fill="E36C0A" w:themeFill="accent6" w:themeFillShade="BF"/>
            <w:vAlign w:val="center"/>
          </w:tcPr>
          <w:p w14:paraId="230E47FC" w14:textId="2D998A0A" w:rsidR="00543764" w:rsidRPr="00E93259" w:rsidRDefault="00543764" w:rsidP="008A36E7">
            <w:pPr>
              <w:spacing w:after="120"/>
              <w:jc w:val="center"/>
              <w:rPr>
                <w:rFonts w:ascii="Times New Roman" w:hAnsi="Times New Roman"/>
                <w:b/>
                <w:sz w:val="16"/>
                <w:szCs w:val="16"/>
              </w:rPr>
            </w:pPr>
            <w:r w:rsidRPr="00E93259">
              <w:rPr>
                <w:rFonts w:ascii="Times New Roman" w:hAnsi="Times New Roman"/>
                <w:b/>
                <w:bCs/>
                <w:sz w:val="16"/>
                <w:szCs w:val="16"/>
              </w:rPr>
              <w:t xml:space="preserve">Mobilo vienību nodarbību nodrošināšanai nepieciešamais finansējums, </w:t>
            </w:r>
            <w:r w:rsidRPr="004C34ED">
              <w:rPr>
                <w:rFonts w:ascii="Times New Roman" w:hAnsi="Times New Roman"/>
                <w:b/>
                <w:bCs/>
                <w:i/>
                <w:sz w:val="16"/>
                <w:szCs w:val="16"/>
              </w:rPr>
              <w:t>euro</w:t>
            </w:r>
          </w:p>
        </w:tc>
        <w:tc>
          <w:tcPr>
            <w:tcW w:w="1249" w:type="dxa"/>
            <w:shd w:val="clear" w:color="auto" w:fill="E36C0A" w:themeFill="accent6" w:themeFillShade="BF"/>
            <w:vAlign w:val="center"/>
          </w:tcPr>
          <w:p w14:paraId="75EC4E28" w14:textId="2E0C0D5D" w:rsidR="00543764" w:rsidRPr="00E93259" w:rsidRDefault="00543764" w:rsidP="008A36E7">
            <w:pPr>
              <w:spacing w:after="120"/>
              <w:jc w:val="center"/>
              <w:rPr>
                <w:rFonts w:ascii="Times New Roman" w:hAnsi="Times New Roman"/>
                <w:b/>
                <w:sz w:val="16"/>
                <w:szCs w:val="16"/>
              </w:rPr>
            </w:pPr>
            <w:r w:rsidRPr="00E93259">
              <w:rPr>
                <w:rFonts w:ascii="Times New Roman" w:hAnsi="Times New Roman"/>
                <w:b/>
                <w:bCs/>
                <w:sz w:val="16"/>
                <w:szCs w:val="16"/>
              </w:rPr>
              <w:t xml:space="preserve">Individuālā plāna sastādīšanai nepieciešamais finansējums, </w:t>
            </w:r>
            <w:r w:rsidRPr="004C34ED">
              <w:rPr>
                <w:rFonts w:ascii="Times New Roman" w:hAnsi="Times New Roman"/>
                <w:b/>
                <w:bCs/>
                <w:i/>
                <w:sz w:val="16"/>
                <w:szCs w:val="16"/>
              </w:rPr>
              <w:t>euro</w:t>
            </w:r>
          </w:p>
        </w:tc>
        <w:tc>
          <w:tcPr>
            <w:tcW w:w="1249" w:type="dxa"/>
            <w:shd w:val="clear" w:color="auto" w:fill="E36C0A" w:themeFill="accent6" w:themeFillShade="BF"/>
            <w:vAlign w:val="center"/>
          </w:tcPr>
          <w:p w14:paraId="057F5CE8" w14:textId="2D3B0C02" w:rsidR="00543764" w:rsidRPr="00E93259" w:rsidRDefault="00543764" w:rsidP="008A36E7">
            <w:pPr>
              <w:spacing w:after="120"/>
              <w:jc w:val="center"/>
              <w:rPr>
                <w:rFonts w:ascii="Times New Roman" w:hAnsi="Times New Roman"/>
                <w:b/>
                <w:sz w:val="16"/>
                <w:szCs w:val="16"/>
              </w:rPr>
            </w:pPr>
            <w:r w:rsidRPr="00E93259">
              <w:rPr>
                <w:rFonts w:ascii="Times New Roman" w:hAnsi="Times New Roman"/>
                <w:b/>
                <w:bCs/>
                <w:sz w:val="16"/>
                <w:szCs w:val="16"/>
              </w:rPr>
              <w:t xml:space="preserve">Pacientu radinieku apmācībai 50% gadījumu nepieciešamais finansējums, </w:t>
            </w:r>
            <w:r w:rsidRPr="004C34ED">
              <w:rPr>
                <w:rFonts w:ascii="Times New Roman" w:hAnsi="Times New Roman"/>
                <w:b/>
                <w:bCs/>
                <w:i/>
                <w:sz w:val="16"/>
                <w:szCs w:val="16"/>
              </w:rPr>
              <w:t>euro</w:t>
            </w:r>
          </w:p>
        </w:tc>
        <w:tc>
          <w:tcPr>
            <w:tcW w:w="1269" w:type="dxa"/>
            <w:shd w:val="clear" w:color="auto" w:fill="E36C0A" w:themeFill="accent6" w:themeFillShade="BF"/>
            <w:vAlign w:val="center"/>
          </w:tcPr>
          <w:p w14:paraId="021BD3E0" w14:textId="74B566F4" w:rsidR="00543764" w:rsidRPr="00E93259" w:rsidRDefault="00543764" w:rsidP="008A36E7">
            <w:pPr>
              <w:spacing w:after="120"/>
              <w:jc w:val="center"/>
              <w:rPr>
                <w:rFonts w:ascii="Times New Roman" w:hAnsi="Times New Roman"/>
                <w:b/>
                <w:sz w:val="16"/>
                <w:szCs w:val="16"/>
              </w:rPr>
            </w:pPr>
            <w:r w:rsidRPr="00E93259">
              <w:rPr>
                <w:rFonts w:ascii="Times New Roman" w:hAnsi="Times New Roman"/>
                <w:b/>
                <w:bCs/>
                <w:sz w:val="16"/>
                <w:szCs w:val="16"/>
              </w:rPr>
              <w:t>Papildus nepieciešamais finansējums mobilo vienību nodrošināšanai</w:t>
            </w:r>
            <w:r>
              <w:rPr>
                <w:rFonts w:ascii="Times New Roman" w:hAnsi="Times New Roman"/>
                <w:b/>
                <w:bCs/>
                <w:sz w:val="16"/>
                <w:szCs w:val="16"/>
              </w:rPr>
              <w:t xml:space="preserve"> no 2019.gada 1.aprīļa</w:t>
            </w:r>
            <w:r w:rsidRPr="00E93259">
              <w:rPr>
                <w:rFonts w:ascii="Times New Roman" w:hAnsi="Times New Roman"/>
                <w:b/>
                <w:bCs/>
                <w:sz w:val="16"/>
                <w:szCs w:val="16"/>
              </w:rPr>
              <w:t xml:space="preserve">, </w:t>
            </w:r>
            <w:r w:rsidRPr="004C34ED">
              <w:rPr>
                <w:rFonts w:ascii="Times New Roman" w:hAnsi="Times New Roman"/>
                <w:b/>
                <w:bCs/>
                <w:i/>
                <w:sz w:val="16"/>
                <w:szCs w:val="16"/>
              </w:rPr>
              <w:t>euro</w:t>
            </w:r>
          </w:p>
        </w:tc>
        <w:tc>
          <w:tcPr>
            <w:tcW w:w="1207" w:type="dxa"/>
            <w:shd w:val="clear" w:color="auto" w:fill="E36C0A" w:themeFill="accent6" w:themeFillShade="BF"/>
          </w:tcPr>
          <w:p w14:paraId="540B0D07" w14:textId="3160C5AE" w:rsidR="00543764" w:rsidRPr="00543764" w:rsidRDefault="00543764" w:rsidP="008A36E7">
            <w:pPr>
              <w:spacing w:after="120"/>
              <w:jc w:val="center"/>
              <w:rPr>
                <w:rFonts w:ascii="Times New Roman" w:hAnsi="Times New Roman"/>
                <w:b/>
                <w:bCs/>
                <w:sz w:val="16"/>
                <w:szCs w:val="16"/>
              </w:rPr>
            </w:pPr>
            <w:r w:rsidRPr="00FA733E">
              <w:rPr>
                <w:rFonts w:ascii="Times New Roman" w:hAnsi="Times New Roman"/>
                <w:b/>
                <w:bCs/>
                <w:sz w:val="16"/>
                <w:szCs w:val="16"/>
              </w:rPr>
              <w:t>Papildus nepieciešamais finansējums mobilo vienību nodrošināšanai</w:t>
            </w:r>
            <w:r>
              <w:rPr>
                <w:rFonts w:ascii="Times New Roman" w:hAnsi="Times New Roman"/>
                <w:b/>
                <w:bCs/>
                <w:sz w:val="16"/>
                <w:szCs w:val="16"/>
              </w:rPr>
              <w:t xml:space="preserve">  2019.gadam</w:t>
            </w:r>
            <w:r w:rsidRPr="00FA733E">
              <w:rPr>
                <w:rFonts w:ascii="Times New Roman" w:hAnsi="Times New Roman"/>
                <w:b/>
                <w:bCs/>
                <w:sz w:val="16"/>
                <w:szCs w:val="16"/>
              </w:rPr>
              <w:t xml:space="preserve">, </w:t>
            </w:r>
            <w:r w:rsidRPr="004C34ED">
              <w:rPr>
                <w:rFonts w:ascii="Times New Roman" w:hAnsi="Times New Roman"/>
                <w:b/>
                <w:bCs/>
                <w:i/>
                <w:sz w:val="16"/>
                <w:szCs w:val="16"/>
              </w:rPr>
              <w:t>euro</w:t>
            </w:r>
          </w:p>
        </w:tc>
      </w:tr>
      <w:tr w:rsidR="00543764" w14:paraId="6390627E" w14:textId="46FFAAEC" w:rsidTr="00E93259">
        <w:tc>
          <w:tcPr>
            <w:tcW w:w="1255" w:type="dxa"/>
            <w:vAlign w:val="center"/>
          </w:tcPr>
          <w:p w14:paraId="736EC03D" w14:textId="351F5CA8" w:rsidR="00543764" w:rsidRPr="00520277" w:rsidRDefault="00543764" w:rsidP="008A36E7">
            <w:pPr>
              <w:spacing w:after="120"/>
              <w:jc w:val="center"/>
              <w:rPr>
                <w:rFonts w:ascii="Times New Roman" w:hAnsi="Times New Roman"/>
                <w:b/>
                <w:bCs/>
                <w:sz w:val="16"/>
                <w:szCs w:val="16"/>
              </w:rPr>
            </w:pPr>
            <w:r>
              <w:rPr>
                <w:rFonts w:ascii="Times New Roman" w:hAnsi="Times New Roman"/>
                <w:b/>
                <w:bCs/>
                <w:sz w:val="16"/>
                <w:szCs w:val="16"/>
              </w:rPr>
              <w:t>1</w:t>
            </w:r>
          </w:p>
        </w:tc>
        <w:tc>
          <w:tcPr>
            <w:tcW w:w="1030" w:type="dxa"/>
            <w:vAlign w:val="center"/>
          </w:tcPr>
          <w:p w14:paraId="7AD1EA47" w14:textId="0F326D8E" w:rsidR="00543764" w:rsidRPr="00520277" w:rsidRDefault="00543764" w:rsidP="008A36E7">
            <w:pPr>
              <w:spacing w:after="120"/>
              <w:jc w:val="center"/>
              <w:rPr>
                <w:rFonts w:ascii="Times New Roman" w:hAnsi="Times New Roman"/>
                <w:b/>
                <w:bCs/>
                <w:sz w:val="16"/>
                <w:szCs w:val="16"/>
              </w:rPr>
            </w:pPr>
            <w:r>
              <w:rPr>
                <w:rFonts w:ascii="Times New Roman" w:hAnsi="Times New Roman"/>
                <w:b/>
                <w:bCs/>
                <w:sz w:val="16"/>
                <w:szCs w:val="16"/>
              </w:rPr>
              <w:t>2</w:t>
            </w:r>
          </w:p>
        </w:tc>
        <w:tc>
          <w:tcPr>
            <w:tcW w:w="1249" w:type="dxa"/>
            <w:vAlign w:val="center"/>
          </w:tcPr>
          <w:p w14:paraId="6215AB63" w14:textId="1CA18FDE" w:rsidR="00543764" w:rsidRPr="00520277" w:rsidRDefault="00543764" w:rsidP="008A36E7">
            <w:pPr>
              <w:spacing w:after="120"/>
              <w:jc w:val="center"/>
              <w:rPr>
                <w:rFonts w:ascii="Times New Roman" w:hAnsi="Times New Roman"/>
                <w:b/>
                <w:bCs/>
                <w:sz w:val="16"/>
                <w:szCs w:val="16"/>
              </w:rPr>
            </w:pPr>
            <w:r>
              <w:rPr>
                <w:rFonts w:ascii="Times New Roman" w:hAnsi="Times New Roman"/>
                <w:b/>
                <w:bCs/>
                <w:sz w:val="16"/>
                <w:szCs w:val="16"/>
              </w:rPr>
              <w:t>3</w:t>
            </w:r>
          </w:p>
        </w:tc>
        <w:tc>
          <w:tcPr>
            <w:tcW w:w="1268" w:type="dxa"/>
            <w:vAlign w:val="center"/>
          </w:tcPr>
          <w:p w14:paraId="745CF012" w14:textId="7D1902B9" w:rsidR="00543764" w:rsidRPr="00520277" w:rsidRDefault="00543764" w:rsidP="008A36E7">
            <w:pPr>
              <w:spacing w:after="120"/>
              <w:jc w:val="center"/>
              <w:rPr>
                <w:rFonts w:ascii="Times New Roman" w:hAnsi="Times New Roman"/>
                <w:b/>
                <w:bCs/>
                <w:sz w:val="16"/>
                <w:szCs w:val="16"/>
              </w:rPr>
            </w:pPr>
            <w:r>
              <w:rPr>
                <w:rFonts w:ascii="Times New Roman" w:hAnsi="Times New Roman"/>
                <w:b/>
                <w:bCs/>
                <w:sz w:val="16"/>
                <w:szCs w:val="16"/>
              </w:rPr>
              <w:t>4</w:t>
            </w:r>
          </w:p>
        </w:tc>
        <w:tc>
          <w:tcPr>
            <w:tcW w:w="1249" w:type="dxa"/>
            <w:vAlign w:val="center"/>
          </w:tcPr>
          <w:p w14:paraId="2C72CD17" w14:textId="438A738F" w:rsidR="00543764" w:rsidRPr="00520277" w:rsidRDefault="00543764" w:rsidP="008A36E7">
            <w:pPr>
              <w:spacing w:after="120"/>
              <w:jc w:val="center"/>
              <w:rPr>
                <w:rFonts w:ascii="Times New Roman" w:hAnsi="Times New Roman"/>
                <w:b/>
                <w:bCs/>
                <w:sz w:val="16"/>
                <w:szCs w:val="16"/>
              </w:rPr>
            </w:pPr>
            <w:r>
              <w:rPr>
                <w:rFonts w:ascii="Times New Roman" w:hAnsi="Times New Roman"/>
                <w:b/>
                <w:bCs/>
                <w:sz w:val="16"/>
                <w:szCs w:val="16"/>
              </w:rPr>
              <w:t>5</w:t>
            </w:r>
          </w:p>
        </w:tc>
        <w:tc>
          <w:tcPr>
            <w:tcW w:w="1249" w:type="dxa"/>
            <w:vAlign w:val="center"/>
          </w:tcPr>
          <w:p w14:paraId="4B32AA38" w14:textId="318014A2" w:rsidR="00543764" w:rsidRPr="00520277" w:rsidRDefault="00543764" w:rsidP="008A36E7">
            <w:pPr>
              <w:spacing w:after="120"/>
              <w:jc w:val="center"/>
              <w:rPr>
                <w:rFonts w:ascii="Times New Roman" w:hAnsi="Times New Roman"/>
                <w:b/>
                <w:bCs/>
                <w:sz w:val="16"/>
                <w:szCs w:val="16"/>
              </w:rPr>
            </w:pPr>
            <w:r>
              <w:rPr>
                <w:rFonts w:ascii="Times New Roman" w:hAnsi="Times New Roman"/>
                <w:b/>
                <w:bCs/>
                <w:sz w:val="16"/>
                <w:szCs w:val="16"/>
              </w:rPr>
              <w:t>6</w:t>
            </w:r>
          </w:p>
        </w:tc>
        <w:tc>
          <w:tcPr>
            <w:tcW w:w="1269" w:type="dxa"/>
            <w:vAlign w:val="center"/>
          </w:tcPr>
          <w:p w14:paraId="71B90F64" w14:textId="2F4BACC8" w:rsidR="00543764" w:rsidRPr="00520277" w:rsidRDefault="00543764" w:rsidP="008A36E7">
            <w:pPr>
              <w:spacing w:after="120"/>
              <w:jc w:val="center"/>
              <w:rPr>
                <w:rFonts w:ascii="Times New Roman" w:hAnsi="Times New Roman"/>
                <w:b/>
                <w:bCs/>
                <w:sz w:val="16"/>
                <w:szCs w:val="16"/>
              </w:rPr>
            </w:pPr>
            <w:r>
              <w:rPr>
                <w:rFonts w:ascii="Times New Roman" w:hAnsi="Times New Roman"/>
                <w:b/>
                <w:bCs/>
                <w:sz w:val="16"/>
                <w:szCs w:val="16"/>
              </w:rPr>
              <w:t>7=3+4+5+6</w:t>
            </w:r>
          </w:p>
        </w:tc>
        <w:tc>
          <w:tcPr>
            <w:tcW w:w="1207" w:type="dxa"/>
          </w:tcPr>
          <w:p w14:paraId="594CF05B" w14:textId="77777777" w:rsidR="00543764" w:rsidRDefault="00543764" w:rsidP="008A36E7">
            <w:pPr>
              <w:spacing w:after="120"/>
              <w:jc w:val="center"/>
              <w:rPr>
                <w:rFonts w:ascii="Times New Roman" w:hAnsi="Times New Roman"/>
                <w:b/>
                <w:bCs/>
                <w:sz w:val="16"/>
                <w:szCs w:val="16"/>
              </w:rPr>
            </w:pPr>
          </w:p>
        </w:tc>
      </w:tr>
      <w:tr w:rsidR="00543764" w14:paraId="0F485FDF" w14:textId="77ADBDFA" w:rsidTr="00E93259">
        <w:tc>
          <w:tcPr>
            <w:tcW w:w="12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7A4EE95F" w14:textId="1DE4CB1A" w:rsidR="00543764" w:rsidRPr="00E93259" w:rsidRDefault="00543764" w:rsidP="00520277">
            <w:pPr>
              <w:spacing w:after="120"/>
              <w:jc w:val="center"/>
              <w:rPr>
                <w:rFonts w:ascii="Times New Roman" w:hAnsi="Times New Roman"/>
                <w:sz w:val="24"/>
                <w:szCs w:val="24"/>
              </w:rPr>
            </w:pPr>
            <w:r w:rsidRPr="00E93259">
              <w:rPr>
                <w:rFonts w:ascii="Times New Roman" w:hAnsi="Times New Roman"/>
                <w:bCs/>
              </w:rPr>
              <w:t>28</w:t>
            </w:r>
            <w:r>
              <w:rPr>
                <w:rFonts w:ascii="Times New Roman" w:hAnsi="Times New Roman"/>
                <w:bCs/>
              </w:rPr>
              <w:t xml:space="preserve"> </w:t>
            </w:r>
            <w:r w:rsidRPr="00E93259">
              <w:rPr>
                <w:rFonts w:ascii="Times New Roman" w:hAnsi="Times New Roman"/>
                <w:bCs/>
              </w:rPr>
              <w:t>826</w:t>
            </w:r>
          </w:p>
        </w:tc>
        <w:tc>
          <w:tcPr>
            <w:tcW w:w="1030"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405BEA66" w14:textId="032B73F0" w:rsidR="00543764" w:rsidRPr="00E93259" w:rsidRDefault="00543764" w:rsidP="00520277">
            <w:pPr>
              <w:spacing w:after="120"/>
              <w:jc w:val="center"/>
              <w:rPr>
                <w:rFonts w:ascii="Times New Roman" w:hAnsi="Times New Roman"/>
                <w:sz w:val="24"/>
                <w:szCs w:val="24"/>
              </w:rPr>
            </w:pPr>
            <w:r w:rsidRPr="00E93259">
              <w:rPr>
                <w:rFonts w:ascii="Times New Roman" w:hAnsi="Times New Roman"/>
                <w:bCs/>
              </w:rPr>
              <w:t>6</w:t>
            </w:r>
          </w:p>
        </w:tc>
        <w:tc>
          <w:tcPr>
            <w:tcW w:w="1249"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213C32AF" w14:textId="350B80BA" w:rsidR="00543764" w:rsidRPr="00E93259" w:rsidRDefault="00543764" w:rsidP="00520277">
            <w:pPr>
              <w:spacing w:after="120"/>
              <w:jc w:val="center"/>
              <w:rPr>
                <w:rFonts w:ascii="Times New Roman" w:hAnsi="Times New Roman"/>
                <w:sz w:val="24"/>
                <w:szCs w:val="24"/>
              </w:rPr>
            </w:pPr>
            <w:r w:rsidRPr="00E93259">
              <w:rPr>
                <w:rFonts w:ascii="Times New Roman" w:hAnsi="Times New Roman"/>
                <w:bCs/>
              </w:rPr>
              <w:t>414 518</w:t>
            </w:r>
          </w:p>
        </w:tc>
        <w:tc>
          <w:tcPr>
            <w:tcW w:w="1268"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1D711F12" w14:textId="15561E71" w:rsidR="00543764" w:rsidRPr="00E93259" w:rsidRDefault="00543764" w:rsidP="00520277">
            <w:pPr>
              <w:spacing w:after="120"/>
              <w:jc w:val="center"/>
              <w:rPr>
                <w:rFonts w:ascii="Times New Roman" w:hAnsi="Times New Roman"/>
                <w:sz w:val="24"/>
                <w:szCs w:val="24"/>
              </w:rPr>
            </w:pPr>
            <w:r w:rsidRPr="00E93259">
              <w:rPr>
                <w:rFonts w:ascii="Times New Roman" w:hAnsi="Times New Roman"/>
                <w:bCs/>
              </w:rPr>
              <w:t>1 199 352</w:t>
            </w:r>
          </w:p>
        </w:tc>
        <w:tc>
          <w:tcPr>
            <w:tcW w:w="1249"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17C1B18F" w14:textId="23DA8861" w:rsidR="00543764" w:rsidRPr="00E93259" w:rsidRDefault="00543764" w:rsidP="00520277">
            <w:pPr>
              <w:spacing w:after="120"/>
              <w:jc w:val="center"/>
              <w:rPr>
                <w:rFonts w:ascii="Times New Roman" w:hAnsi="Times New Roman"/>
                <w:sz w:val="24"/>
                <w:szCs w:val="24"/>
              </w:rPr>
            </w:pPr>
            <w:r w:rsidRPr="00E93259">
              <w:rPr>
                <w:rFonts w:ascii="Times New Roman" w:hAnsi="Times New Roman"/>
                <w:bCs/>
              </w:rPr>
              <w:t>136 107</w:t>
            </w:r>
          </w:p>
        </w:tc>
        <w:tc>
          <w:tcPr>
            <w:tcW w:w="1249"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7CC58161" w14:textId="11AEB4FA" w:rsidR="00543764" w:rsidRPr="00E93259" w:rsidRDefault="00543764" w:rsidP="00520277">
            <w:pPr>
              <w:spacing w:after="120"/>
              <w:jc w:val="center"/>
              <w:rPr>
                <w:rFonts w:ascii="Times New Roman" w:hAnsi="Times New Roman"/>
                <w:sz w:val="24"/>
                <w:szCs w:val="24"/>
              </w:rPr>
            </w:pPr>
            <w:r w:rsidRPr="00E93259">
              <w:rPr>
                <w:rFonts w:ascii="Times New Roman" w:hAnsi="Times New Roman"/>
                <w:bCs/>
              </w:rPr>
              <w:t>138 558</w:t>
            </w:r>
          </w:p>
        </w:tc>
        <w:tc>
          <w:tcPr>
            <w:tcW w:w="1269"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40015C8D" w14:textId="0F375312" w:rsidR="00543764" w:rsidRPr="00E93259" w:rsidRDefault="00543764" w:rsidP="00E93259">
            <w:pPr>
              <w:spacing w:after="120"/>
              <w:jc w:val="center"/>
              <w:rPr>
                <w:rFonts w:ascii="Times New Roman" w:hAnsi="Times New Roman"/>
                <w:b/>
                <w:bCs/>
                <w:sz w:val="24"/>
                <w:szCs w:val="24"/>
              </w:rPr>
            </w:pPr>
            <w:r w:rsidRPr="00E93259">
              <w:rPr>
                <w:rFonts w:ascii="Times New Roman" w:hAnsi="Times New Roman"/>
                <w:b/>
                <w:bCs/>
              </w:rPr>
              <w:t>1 888 535</w:t>
            </w:r>
          </w:p>
        </w:tc>
        <w:tc>
          <w:tcPr>
            <w:tcW w:w="1207" w:type="dxa"/>
            <w:tcBorders>
              <w:top w:val="single" w:sz="4" w:space="0" w:color="auto"/>
              <w:left w:val="nil"/>
              <w:bottom w:val="single" w:sz="4" w:space="0" w:color="auto"/>
              <w:right w:val="single" w:sz="4" w:space="0" w:color="auto"/>
            </w:tcBorders>
            <w:shd w:val="clear" w:color="auto" w:fill="FBD4B4" w:themeFill="accent6" w:themeFillTint="66"/>
          </w:tcPr>
          <w:p w14:paraId="5F5E27BD" w14:textId="01AAB3A1" w:rsidR="00543764" w:rsidRPr="00543764" w:rsidRDefault="00543764">
            <w:pPr>
              <w:spacing w:after="120"/>
              <w:jc w:val="center"/>
              <w:rPr>
                <w:rFonts w:ascii="Times New Roman" w:hAnsi="Times New Roman"/>
                <w:b/>
                <w:bCs/>
              </w:rPr>
            </w:pPr>
            <w:r>
              <w:rPr>
                <w:rFonts w:ascii="Times New Roman" w:hAnsi="Times New Roman"/>
                <w:b/>
                <w:bCs/>
              </w:rPr>
              <w:t>2 518 044</w:t>
            </w:r>
          </w:p>
        </w:tc>
      </w:tr>
    </w:tbl>
    <w:p w14:paraId="5E51B735" w14:textId="77777777" w:rsidR="00303B60" w:rsidRPr="00E93259" w:rsidRDefault="00303B60" w:rsidP="00E93259">
      <w:pPr>
        <w:spacing w:after="120"/>
        <w:jc w:val="center"/>
        <w:rPr>
          <w:rFonts w:ascii="Times New Roman" w:hAnsi="Times New Roman"/>
          <w:b/>
          <w:sz w:val="24"/>
          <w:szCs w:val="24"/>
        </w:rPr>
      </w:pPr>
    </w:p>
    <w:p w14:paraId="0AB3C680" w14:textId="4D23B248" w:rsidR="00992DEF" w:rsidRPr="003C3DC3" w:rsidRDefault="00992DEF" w:rsidP="00992DEF">
      <w:pPr>
        <w:spacing w:after="120"/>
        <w:ind w:firstLine="720"/>
        <w:jc w:val="both"/>
        <w:rPr>
          <w:rFonts w:ascii="Times New Roman" w:hAnsi="Times New Roman"/>
          <w:sz w:val="24"/>
          <w:szCs w:val="24"/>
        </w:rPr>
      </w:pPr>
      <w:r w:rsidRPr="003C3DC3">
        <w:rPr>
          <w:rFonts w:ascii="Times New Roman" w:hAnsi="Times New Roman"/>
          <w:sz w:val="24"/>
          <w:szCs w:val="24"/>
        </w:rPr>
        <w:t>Lai nodrošinātu akūtās rehabilitācijas pakalpojumus jaukta profila gultās vismaz 11% gadījumu (</w:t>
      </w:r>
      <w:r w:rsidRPr="003C3DC3">
        <w:rPr>
          <w:rFonts w:ascii="Times New Roman" w:hAnsi="Times New Roman"/>
          <w:b/>
          <w:sz w:val="24"/>
          <w:szCs w:val="24"/>
        </w:rPr>
        <w:t>28</w:t>
      </w:r>
      <w:r w:rsidR="003C3DC3" w:rsidRPr="003C3DC3">
        <w:rPr>
          <w:rFonts w:ascii="Times New Roman" w:hAnsi="Times New Roman"/>
          <w:b/>
          <w:sz w:val="24"/>
          <w:szCs w:val="24"/>
        </w:rPr>
        <w:t> </w:t>
      </w:r>
      <w:r w:rsidRPr="003C3DC3">
        <w:rPr>
          <w:rFonts w:ascii="Times New Roman" w:hAnsi="Times New Roman"/>
          <w:b/>
          <w:sz w:val="24"/>
          <w:szCs w:val="24"/>
        </w:rPr>
        <w:t>826</w:t>
      </w:r>
      <w:r w:rsidR="003C3DC3" w:rsidRPr="003C3DC3">
        <w:rPr>
          <w:rFonts w:ascii="Times New Roman" w:hAnsi="Times New Roman"/>
          <w:b/>
          <w:sz w:val="24"/>
          <w:szCs w:val="24"/>
        </w:rPr>
        <w:t xml:space="preserve"> </w:t>
      </w:r>
      <w:r w:rsidRPr="003C3DC3">
        <w:rPr>
          <w:rFonts w:ascii="Times New Roman" w:hAnsi="Times New Roman"/>
          <w:sz w:val="24"/>
          <w:szCs w:val="24"/>
        </w:rPr>
        <w:t>pacientiem</w:t>
      </w:r>
      <w:r w:rsidR="0013423A">
        <w:rPr>
          <w:rFonts w:ascii="Times New Roman" w:hAnsi="Times New Roman"/>
          <w:sz w:val="24"/>
          <w:szCs w:val="24"/>
        </w:rPr>
        <w:t xml:space="preserve"> </w:t>
      </w:r>
      <w:r w:rsidR="00E118ED">
        <w:rPr>
          <w:rFonts w:ascii="Times New Roman" w:hAnsi="Times New Roman"/>
          <w:sz w:val="24"/>
          <w:szCs w:val="24"/>
        </w:rPr>
        <w:t>94</w:t>
      </w:r>
      <w:r w:rsidR="0013423A">
        <w:rPr>
          <w:rFonts w:ascii="Times New Roman" w:hAnsi="Times New Roman"/>
          <w:sz w:val="24"/>
          <w:szCs w:val="24"/>
        </w:rPr>
        <w:t>.tabula</w:t>
      </w:r>
      <w:r w:rsidRPr="003C3DC3">
        <w:rPr>
          <w:rFonts w:ascii="Times New Roman" w:hAnsi="Times New Roman"/>
          <w:sz w:val="24"/>
          <w:szCs w:val="24"/>
        </w:rPr>
        <w:t>) no kopējā hospitalizāciju skaita V-III līm</w:t>
      </w:r>
      <w:r w:rsidR="00E14659">
        <w:rPr>
          <w:rFonts w:ascii="Times New Roman" w:hAnsi="Times New Roman"/>
          <w:sz w:val="24"/>
          <w:szCs w:val="24"/>
        </w:rPr>
        <w:t>eņa</w:t>
      </w:r>
      <w:r w:rsidRPr="003C3DC3">
        <w:rPr>
          <w:rFonts w:ascii="Times New Roman" w:hAnsi="Times New Roman"/>
          <w:sz w:val="24"/>
          <w:szCs w:val="24"/>
        </w:rPr>
        <w:t xml:space="preserve"> ārstniecības iestādēs nepieciešama</w:t>
      </w:r>
      <w:r w:rsidR="00FA43B3">
        <w:rPr>
          <w:rFonts w:ascii="Times New Roman" w:hAnsi="Times New Roman"/>
          <w:sz w:val="24"/>
          <w:szCs w:val="24"/>
        </w:rPr>
        <w:t>i</w:t>
      </w:r>
      <w:r w:rsidRPr="003C3DC3">
        <w:rPr>
          <w:rFonts w:ascii="Times New Roman" w:hAnsi="Times New Roman"/>
          <w:sz w:val="24"/>
          <w:szCs w:val="24"/>
        </w:rPr>
        <w:t xml:space="preserve"> </w:t>
      </w:r>
      <w:r w:rsidRPr="003C3DC3">
        <w:rPr>
          <w:rFonts w:ascii="Times New Roman" w:hAnsi="Times New Roman"/>
          <w:b/>
          <w:sz w:val="24"/>
          <w:szCs w:val="24"/>
        </w:rPr>
        <w:t>1 888 53</w:t>
      </w:r>
      <w:r w:rsidR="009C16B2">
        <w:rPr>
          <w:rFonts w:ascii="Times New Roman" w:hAnsi="Times New Roman"/>
          <w:b/>
          <w:sz w:val="24"/>
          <w:szCs w:val="24"/>
        </w:rPr>
        <w:t>5</w:t>
      </w:r>
      <w:r w:rsidRPr="003C3DC3">
        <w:rPr>
          <w:rFonts w:ascii="Times New Roman" w:hAnsi="Times New Roman"/>
          <w:b/>
          <w:sz w:val="24"/>
          <w:szCs w:val="24"/>
        </w:rPr>
        <w:t xml:space="preserve"> </w:t>
      </w:r>
      <w:r w:rsidRPr="003C3DC3">
        <w:rPr>
          <w:rFonts w:ascii="Times New Roman" w:hAnsi="Times New Roman"/>
          <w:b/>
          <w:i/>
          <w:sz w:val="24"/>
          <w:szCs w:val="24"/>
        </w:rPr>
        <w:t>euro</w:t>
      </w:r>
      <w:r w:rsidRPr="003C3DC3">
        <w:rPr>
          <w:rFonts w:ascii="Times New Roman" w:hAnsi="Times New Roman"/>
          <w:b/>
          <w:sz w:val="24"/>
          <w:szCs w:val="24"/>
        </w:rPr>
        <w:t>.</w:t>
      </w:r>
    </w:p>
    <w:p w14:paraId="2DD2C018" w14:textId="77777777" w:rsidR="00992DEF" w:rsidRPr="003C3DC3" w:rsidRDefault="00992DEF" w:rsidP="00992DEF">
      <w:pPr>
        <w:spacing w:after="120" w:line="240" w:lineRule="auto"/>
        <w:jc w:val="both"/>
        <w:rPr>
          <w:rFonts w:ascii="Times New Roman" w:hAnsi="Times New Roman"/>
          <w:sz w:val="24"/>
          <w:szCs w:val="24"/>
        </w:rPr>
      </w:pPr>
      <w:r w:rsidRPr="003C3DC3">
        <w:rPr>
          <w:rFonts w:ascii="Times New Roman" w:hAnsi="Times New Roman"/>
          <w:sz w:val="24"/>
          <w:szCs w:val="24"/>
        </w:rPr>
        <w:tab/>
        <w:t>Pasaules veselības organizācija (turpmāk – PVO) savā ziņojumā par invaliditāti 2011.gadā piedāvā rīcības plānu rehabilitācijas pakalpojumu pieejamības uzlabošanai, nosakot nepieciešamās aktivitātes</w:t>
      </w:r>
      <w:r w:rsidRPr="003C3DC3">
        <w:rPr>
          <w:rStyle w:val="FootnoteReference"/>
          <w:rFonts w:ascii="Times New Roman" w:hAnsi="Times New Roman"/>
          <w:sz w:val="24"/>
          <w:szCs w:val="24"/>
        </w:rPr>
        <w:footnoteReference w:id="49"/>
      </w:r>
      <w:r w:rsidRPr="003C3DC3">
        <w:rPr>
          <w:rFonts w:ascii="Times New Roman" w:hAnsi="Times New Roman"/>
          <w:sz w:val="24"/>
          <w:szCs w:val="24"/>
        </w:rPr>
        <w:t>, t.sk.:</w:t>
      </w:r>
    </w:p>
    <w:p w14:paraId="092016EA" w14:textId="77777777" w:rsidR="00992DEF" w:rsidRPr="00D63888" w:rsidRDefault="00992DEF" w:rsidP="00992DEF">
      <w:pPr>
        <w:pStyle w:val="ListParagraph"/>
        <w:numPr>
          <w:ilvl w:val="0"/>
          <w:numId w:val="30"/>
        </w:numPr>
        <w:spacing w:after="120" w:line="240" w:lineRule="auto"/>
        <w:jc w:val="both"/>
        <w:rPr>
          <w:rFonts w:ascii="Times New Roman" w:hAnsi="Times New Roman"/>
          <w:sz w:val="24"/>
          <w:szCs w:val="24"/>
          <w:lang w:val="lv-LV"/>
        </w:rPr>
      </w:pPr>
      <w:r w:rsidRPr="00D63888">
        <w:rPr>
          <w:rFonts w:ascii="Times New Roman" w:hAnsi="Times New Roman"/>
          <w:sz w:val="24"/>
          <w:szCs w:val="24"/>
          <w:lang w:val="lv-LV"/>
        </w:rPr>
        <w:t>izveidot rehabilitācijas ieviešanas/attīstības plānu, regulējošos normatīvos aktus, vienotu uzraudzības sistēmu;</w:t>
      </w:r>
    </w:p>
    <w:p w14:paraId="2F1BB958" w14:textId="77777777" w:rsidR="00992DEF" w:rsidRPr="00D63888" w:rsidRDefault="00992DEF" w:rsidP="00992DEF">
      <w:pPr>
        <w:pStyle w:val="ListParagraph"/>
        <w:numPr>
          <w:ilvl w:val="0"/>
          <w:numId w:val="30"/>
        </w:numPr>
        <w:spacing w:after="120" w:line="240" w:lineRule="auto"/>
        <w:jc w:val="both"/>
        <w:rPr>
          <w:rFonts w:ascii="Times New Roman" w:hAnsi="Times New Roman"/>
          <w:sz w:val="24"/>
          <w:szCs w:val="24"/>
          <w:lang w:val="lv-LV"/>
        </w:rPr>
      </w:pPr>
      <w:r w:rsidRPr="00D63888">
        <w:rPr>
          <w:rFonts w:ascii="Times New Roman" w:hAnsi="Times New Roman"/>
          <w:sz w:val="24"/>
          <w:szCs w:val="24"/>
          <w:lang w:val="lv-LV"/>
        </w:rPr>
        <w:t>finansēšanas modeļa izveide atbilstoši rehabilitācijas pakalpojumu specifikai;</w:t>
      </w:r>
    </w:p>
    <w:p w14:paraId="55A2307F" w14:textId="77777777" w:rsidR="00992DEF" w:rsidRPr="003C3DC3" w:rsidRDefault="00992DEF" w:rsidP="00992DEF">
      <w:pPr>
        <w:pStyle w:val="ListParagraph"/>
        <w:numPr>
          <w:ilvl w:val="0"/>
          <w:numId w:val="30"/>
        </w:numPr>
        <w:spacing w:after="120" w:line="240" w:lineRule="auto"/>
        <w:jc w:val="both"/>
        <w:rPr>
          <w:rFonts w:ascii="Times New Roman" w:hAnsi="Times New Roman"/>
          <w:sz w:val="24"/>
          <w:szCs w:val="24"/>
        </w:rPr>
      </w:pPr>
      <w:r w:rsidRPr="00D63888">
        <w:rPr>
          <w:rFonts w:ascii="Times New Roman" w:hAnsi="Times New Roman"/>
          <w:sz w:val="24"/>
          <w:szCs w:val="24"/>
          <w:lang w:val="lv-LV"/>
        </w:rPr>
        <w:t>medicīniskās rehabilitācijas pakalpojumu apjoma palielināšana un decentralizācija</w:t>
      </w:r>
      <w:r w:rsidRPr="003C3DC3">
        <w:rPr>
          <w:rFonts w:ascii="Times New Roman" w:hAnsi="Times New Roman"/>
          <w:sz w:val="24"/>
          <w:szCs w:val="24"/>
        </w:rPr>
        <w:t>.</w:t>
      </w:r>
    </w:p>
    <w:p w14:paraId="4A2B5592" w14:textId="661AA952" w:rsidR="00992DEF" w:rsidRDefault="00992DEF" w:rsidP="00D63888">
      <w:pPr>
        <w:spacing w:after="120"/>
        <w:ind w:firstLine="720"/>
        <w:jc w:val="both"/>
        <w:rPr>
          <w:rFonts w:ascii="Times New Roman" w:hAnsi="Times New Roman"/>
          <w:sz w:val="24"/>
          <w:szCs w:val="24"/>
        </w:rPr>
      </w:pPr>
      <w:r w:rsidRPr="003C3DC3">
        <w:rPr>
          <w:rFonts w:ascii="Times New Roman" w:hAnsi="Times New Roman"/>
          <w:sz w:val="24"/>
          <w:szCs w:val="24"/>
        </w:rPr>
        <w:t xml:space="preserve">Ņemot vērā PVO rekomendācijas, 2018.gadā tiek veikta pakalpojumu sniedzēju stratēģiskā atlase no 2019.gada, t.sk. stacionāro subakūtās rehabilitācijas pakalpojumu, ilgtermiņa rehabilitācijas un perinatālā periodā radušos stāvokļu rehabilitācijas pakalpojumu sniedzēju atlase. </w:t>
      </w:r>
    </w:p>
    <w:p w14:paraId="27DE8F26" w14:textId="2CE0082C" w:rsidR="002E52DA" w:rsidRPr="003C3DC3" w:rsidRDefault="002E52DA" w:rsidP="00D63888">
      <w:pPr>
        <w:spacing w:after="120"/>
        <w:ind w:firstLine="720"/>
        <w:jc w:val="both"/>
        <w:rPr>
          <w:rFonts w:ascii="Times New Roman" w:hAnsi="Times New Roman"/>
          <w:sz w:val="24"/>
          <w:szCs w:val="24"/>
        </w:rPr>
      </w:pPr>
      <w:r>
        <w:rPr>
          <w:rFonts w:ascii="Times New Roman" w:eastAsia="Times New Roman" w:hAnsi="Times New Roman"/>
          <w:sz w:val="24"/>
          <w:szCs w:val="24"/>
          <w:shd w:val="clear" w:color="auto" w:fill="FFFFFF"/>
          <w:lang w:eastAsia="lv-LV"/>
        </w:rPr>
        <w:t xml:space="preserve">Ar </w:t>
      </w:r>
      <w:r w:rsidRPr="00E93259">
        <w:rPr>
          <w:rFonts w:ascii="Times New Roman" w:eastAsia="Times New Roman" w:hAnsi="Times New Roman"/>
          <w:sz w:val="24"/>
          <w:szCs w:val="24"/>
          <w:lang w:eastAsia="lv-LV"/>
        </w:rPr>
        <w:t>subakūtu</w:t>
      </w:r>
      <w:r>
        <w:rPr>
          <w:rFonts w:ascii="Times New Roman" w:eastAsia="Times New Roman" w:hAnsi="Times New Roman"/>
          <w:sz w:val="24"/>
          <w:szCs w:val="24"/>
          <w:shd w:val="clear" w:color="auto" w:fill="FFFFFF"/>
          <w:lang w:eastAsia="lv-LV"/>
        </w:rPr>
        <w:t xml:space="preserve"> rehabilitāciju saprot rehabilitācijas procesu, kas sākas pirmajā mēnesī pēc pacienta izrakstīšanas no slimnīcas vai ambulatoras ārstēšanas pabeigšanas sakarā ar akūtu saslimšanu vai traumu.  </w:t>
      </w:r>
      <w:r w:rsidR="00330DAA">
        <w:rPr>
          <w:rFonts w:ascii="Times New Roman" w:eastAsia="Times New Roman" w:hAnsi="Times New Roman"/>
          <w:sz w:val="24"/>
          <w:szCs w:val="24"/>
          <w:shd w:val="clear" w:color="auto" w:fill="FFFFFF"/>
          <w:lang w:eastAsia="lv-LV"/>
        </w:rPr>
        <w:t>Subakūtu</w:t>
      </w:r>
      <w:r>
        <w:rPr>
          <w:rFonts w:ascii="Times New Roman" w:eastAsia="Times New Roman" w:hAnsi="Times New Roman"/>
          <w:sz w:val="24"/>
          <w:szCs w:val="24"/>
          <w:shd w:val="clear" w:color="auto" w:fill="FFFFFF"/>
          <w:lang w:eastAsia="lv-LV"/>
        </w:rPr>
        <w:t xml:space="preserve"> stacionāro rehabilitācijas pakalpojumu sniedz rehabilitācijas gultās līdz sešiem mēnešiem no slimības sākuma (sākot no 6 mēnešiem</w:t>
      </w:r>
      <w:r w:rsidR="00532CFC">
        <w:t xml:space="preserve"> </w:t>
      </w:r>
      <w:r w:rsidR="00532CFC">
        <w:rPr>
          <w:rStyle w:val="FootnoteReference"/>
        </w:rPr>
        <w:footnoteReference w:id="50"/>
      </w:r>
      <w:r w:rsidR="52B20BA9" w:rsidRPr="00E93259">
        <w:rPr>
          <w:rFonts w:ascii="Times New Roman" w:eastAsia="Times New Roman" w:hAnsi="Times New Roman"/>
          <w:sz w:val="24"/>
          <w:szCs w:val="24"/>
          <w:lang w:eastAsia="lv-LV"/>
        </w:rPr>
        <w:t xml:space="preserve"> rehabilitācijas komanda. Ilgtermiņa rehabilitācijas pakalpojumi MK noteikumos Nr.555 tiek definēti kā medicīniskās rehabilitācijas pakalpojumi, kas tiek sniegti hronisku funkcionēšanas traucējumu gadījumā, tos sniedz ilgāk par sešiem mēnešiem pēc slimības sākuma vai slimības paasinājuma ārstēšanas uzsākšanas brīža, vai perinatālu attīstības traucējumu gadījumā, iekļaujot pacientu medicīniskās rehabilitācijas dinamiskajā novērošanā. rehabilitācijas komanda. Ilgtermiņa rehabilitācijas pakalpojumi MK noteikumos Nr.555 tiek definēti kā medicīniskās rehabilitācijas pakalpojumi, kas tiek sniegti hronisku funkcionēšanas traucējumu gadījumā, tos sniedz ilgāk </w:t>
      </w:r>
      <w:r w:rsidR="52B20BA9" w:rsidRPr="00E93259">
        <w:rPr>
          <w:rFonts w:ascii="Times New Roman" w:eastAsia="Times New Roman" w:hAnsi="Times New Roman"/>
          <w:sz w:val="24"/>
          <w:szCs w:val="24"/>
          <w:lang w:eastAsia="lv-LV"/>
        </w:rPr>
        <w:lastRenderedPageBreak/>
        <w:t>par sešiem mēnešiem pēc slimības sākuma vai slimības paasinājuma ārstēšanas uzsākšanas brīža, vai perinatālu attīstības traucējumu gadījumā, iekļaujot pacientu medicīniskās rehabilitācijas dinamiskajā novērošanā. rehabilitācijas komanda. Ilgtermiņa rehabilitācijas pakalpojumi MK noteikumos Nr.555 tiek definēti kā medicīniskās rehabilitācijas pakalpojumi, kas tiek sniegti hronisku funkcionēšanas traucējumu gadījumā, tos sniedz ilgāk par sešiem mēnešiem pēc slimības sākuma vai slimības paasinājuma ārstēšanas uzsākšanas brīža, vai perinatālu attīstības traucējumu gadījumā, iekļaujot pacientu medicīniskās rehabilitācijas dinamiskajā novērošanā. rehabilitācijas komanda. Ilgtermiņa rehabilitācijas pakalpojumi MK noteikumos Nr.555 tiek definēti kā medicīniskās rehabilitācijas pakalpojumi, kas tiek sniegti hronisku funkcionēšanas traucējumu gadījumā, tos sniedz ilgāk par sešiem mēnešiem pēc slimības sākuma vai slimības paasinājuma ārstēšanas uzsākšanas brīža, vai perinatālu attīstības traucējumu gadījumā, iekļaujot pacientu medicīniskās rehabilitācijas dinamiskajā novērošanā. rehabilitācijas komanda. Ilgtermiņa rehabilitācijas pakalpojumi MK noteikumos Nr.555 tiek definēti kā medicīniskās rehabilitācijas pakalpojumi, kas tiek sniegti hronisku funkcionēšanas traucējumu gadījumā, tos sniedz ilgāk par sešiem mēnešiem pēc slimības sākuma vai slimības paasinājuma ārstēšanas uzsākšanas brīža, vai perinatālu attīstības traucējumu gadījumā, iekļaujot pacientu medicīniskās rehabilitācijas dinamiskajā novērošanā.</w:t>
      </w:r>
    </w:p>
    <w:p w14:paraId="7B7EAF48" w14:textId="07FB4C2C" w:rsidR="00992DEF" w:rsidRPr="003C3DC3" w:rsidRDefault="00992DEF" w:rsidP="00D63888">
      <w:pPr>
        <w:spacing w:after="120"/>
        <w:ind w:firstLine="720"/>
        <w:jc w:val="both"/>
        <w:rPr>
          <w:rFonts w:ascii="Times New Roman" w:hAnsi="Times New Roman"/>
          <w:sz w:val="24"/>
          <w:szCs w:val="24"/>
        </w:rPr>
      </w:pPr>
    </w:p>
    <w:p w14:paraId="461756EA" w14:textId="77777777" w:rsidR="00992DEF" w:rsidRPr="003C3DC3" w:rsidRDefault="00992DEF" w:rsidP="00D63888">
      <w:pPr>
        <w:spacing w:after="120"/>
        <w:ind w:firstLine="720"/>
        <w:jc w:val="both"/>
        <w:rPr>
          <w:rFonts w:ascii="Times New Roman" w:hAnsi="Times New Roman"/>
          <w:sz w:val="24"/>
          <w:szCs w:val="24"/>
        </w:rPr>
      </w:pPr>
      <w:r w:rsidRPr="003C3DC3">
        <w:rPr>
          <w:rFonts w:ascii="Times New Roman" w:hAnsi="Times New Roman"/>
          <w:sz w:val="24"/>
          <w:szCs w:val="24"/>
        </w:rPr>
        <w:t>Saskaņā ar Ministru kabineta 2017. gada 7. augusta rīkojumā Nr. 394 “Konceptuālais ziņojums "Par veselības aprūpes sistēmas reformu"” noteiktajiem obligātajiem profiliem slimnīcas līmeņa nodrošinājumam</w:t>
      </w:r>
      <w:r w:rsidRPr="003C3DC3">
        <w:rPr>
          <w:rStyle w:val="FootnoteReference"/>
          <w:rFonts w:ascii="Times New Roman" w:hAnsi="Times New Roman"/>
          <w:sz w:val="24"/>
          <w:szCs w:val="24"/>
        </w:rPr>
        <w:footnoteReference w:id="51"/>
      </w:r>
      <w:r w:rsidRPr="003C3DC3">
        <w:rPr>
          <w:rFonts w:ascii="Times New Roman" w:hAnsi="Times New Roman"/>
          <w:sz w:val="24"/>
          <w:szCs w:val="24"/>
        </w:rPr>
        <w:t>, stratēģiskā iepirkuma nolikumā sākotnēji paredzēts pakalpojumus attīstīt un nodrošināt:</w:t>
      </w:r>
    </w:p>
    <w:p w14:paraId="086E2F4B" w14:textId="77777777" w:rsidR="00992DEF" w:rsidRPr="003C3DC3" w:rsidRDefault="00992DEF" w:rsidP="00D63888">
      <w:pPr>
        <w:pStyle w:val="ListParagraph"/>
        <w:numPr>
          <w:ilvl w:val="0"/>
          <w:numId w:val="28"/>
        </w:numPr>
        <w:spacing w:after="0"/>
        <w:ind w:left="714" w:hanging="357"/>
        <w:jc w:val="both"/>
        <w:rPr>
          <w:rFonts w:ascii="Times New Roman" w:hAnsi="Times New Roman"/>
          <w:sz w:val="24"/>
          <w:szCs w:val="24"/>
          <w:lang w:val="lv-LV"/>
        </w:rPr>
      </w:pPr>
      <w:r w:rsidRPr="003C3DC3">
        <w:rPr>
          <w:rFonts w:ascii="Times New Roman" w:hAnsi="Times New Roman"/>
          <w:sz w:val="24"/>
          <w:szCs w:val="24"/>
          <w:lang w:val="lv-LV"/>
        </w:rPr>
        <w:t>pieaugušo subakūto un ilgtermiņa medicīnisko rehabilitāciju: IV un V līmeņa ārstniecības iestādēs (izņemot VSIA “Bērnu klīniskā universitātes slimnīca”) un V līmeņa specializētājās ārstniecības iestādēs (izņemot SIA "Rīgas Dzemdību nams"), specializētajā ārstniecības iestādē SIA “Rīgas 2.slimnīca”;</w:t>
      </w:r>
    </w:p>
    <w:p w14:paraId="06191363" w14:textId="77777777" w:rsidR="00992DEF" w:rsidRPr="003C3DC3" w:rsidRDefault="00992DEF" w:rsidP="00D63888">
      <w:pPr>
        <w:pStyle w:val="ListParagraph"/>
        <w:numPr>
          <w:ilvl w:val="0"/>
          <w:numId w:val="28"/>
        </w:numPr>
        <w:spacing w:after="0"/>
        <w:ind w:left="714" w:hanging="357"/>
        <w:jc w:val="both"/>
        <w:rPr>
          <w:rFonts w:ascii="Times New Roman" w:hAnsi="Times New Roman"/>
          <w:sz w:val="24"/>
          <w:szCs w:val="24"/>
          <w:lang w:val="lv-LV"/>
        </w:rPr>
      </w:pPr>
      <w:r w:rsidRPr="003C3DC3">
        <w:rPr>
          <w:rFonts w:ascii="Times New Roman" w:hAnsi="Times New Roman"/>
          <w:sz w:val="24"/>
          <w:szCs w:val="24"/>
          <w:lang w:val="lv-LV"/>
        </w:rPr>
        <w:t>bērnu subakūto un ilgtermiņa medicīnisko rehabilitāciju: V līmeņa ārstniecības iestāde VSIA “Bērnu klīniskā universitātes slimnīca”; V līmeņa specializētā ārstniecības iestāde VSIA “Nacionālais rehabilitācijas centrs “Vaivari””; IV līmeņa ārstniecības iestādes;</w:t>
      </w:r>
    </w:p>
    <w:p w14:paraId="0B0966DA" w14:textId="03211C13" w:rsidR="00992DEF" w:rsidRPr="003C3DC3" w:rsidRDefault="00992DEF" w:rsidP="00D63888">
      <w:pPr>
        <w:pStyle w:val="ListParagraph"/>
        <w:numPr>
          <w:ilvl w:val="0"/>
          <w:numId w:val="28"/>
        </w:numPr>
        <w:spacing w:after="0"/>
        <w:ind w:left="714" w:hanging="357"/>
        <w:jc w:val="both"/>
        <w:rPr>
          <w:rFonts w:ascii="Times New Roman" w:hAnsi="Times New Roman"/>
          <w:sz w:val="24"/>
          <w:szCs w:val="24"/>
          <w:lang w:val="lv-LV"/>
        </w:rPr>
      </w:pPr>
      <w:r w:rsidRPr="003C3DC3">
        <w:rPr>
          <w:rFonts w:ascii="Times New Roman" w:hAnsi="Times New Roman"/>
          <w:sz w:val="24"/>
          <w:szCs w:val="24"/>
          <w:lang w:val="lv-LV"/>
        </w:rPr>
        <w:t>perinatālā periodā radušos stāvokļu medicīnisko rehabilitāciju: V līmeņa ārstniecības iestādē VSIA “Bērnu klīniskā universitātes slimnīca</w:t>
      </w:r>
      <w:r w:rsidR="00ED68EB">
        <w:rPr>
          <w:rFonts w:ascii="Times New Roman" w:hAnsi="Times New Roman"/>
          <w:sz w:val="24"/>
          <w:szCs w:val="24"/>
          <w:lang w:val="lv-LV"/>
        </w:rPr>
        <w:t>”</w:t>
      </w:r>
      <w:r w:rsidRPr="003C3DC3">
        <w:rPr>
          <w:rFonts w:ascii="Times New Roman" w:hAnsi="Times New Roman"/>
          <w:sz w:val="24"/>
          <w:szCs w:val="24"/>
          <w:lang w:val="lv-LV"/>
        </w:rPr>
        <w:t>, IV līmeņa  ārstniecības iestādēs – SIA "Liepājas reģionālā slimnīca", SIA "Vidzemes slimnīca", SIA "Jēkabpils reģionālā slimnīca".</w:t>
      </w:r>
    </w:p>
    <w:p w14:paraId="02BB8148" w14:textId="77777777" w:rsidR="00992DEF" w:rsidRPr="003C3DC3" w:rsidRDefault="00992DEF" w:rsidP="00992DEF">
      <w:pPr>
        <w:spacing w:after="0"/>
        <w:ind w:firstLine="720"/>
        <w:jc w:val="both"/>
        <w:rPr>
          <w:rFonts w:ascii="Times New Roman" w:hAnsi="Times New Roman"/>
          <w:sz w:val="24"/>
          <w:szCs w:val="24"/>
        </w:rPr>
      </w:pPr>
    </w:p>
    <w:p w14:paraId="6E5B5097" w14:textId="4B6E8567" w:rsidR="00992DEF" w:rsidRPr="003C3DC3" w:rsidRDefault="00992DEF" w:rsidP="00992DEF">
      <w:pPr>
        <w:spacing w:after="0"/>
        <w:ind w:firstLine="720"/>
        <w:jc w:val="both"/>
        <w:rPr>
          <w:rFonts w:ascii="Times New Roman" w:hAnsi="Times New Roman"/>
          <w:sz w:val="24"/>
          <w:szCs w:val="24"/>
        </w:rPr>
      </w:pPr>
      <w:r w:rsidRPr="003C3DC3">
        <w:rPr>
          <w:rFonts w:ascii="Times New Roman" w:hAnsi="Times New Roman"/>
          <w:sz w:val="24"/>
          <w:szCs w:val="24"/>
        </w:rPr>
        <w:t>2018.gadā tiek nodrošināts tikai subakūtās medicīniskās rehabilitācijas posms 4 ārstniecības iestādēs 3501 pieaugušajam un 1833 bērniem valstī, no kuriem pieaugušajiem 91% rehabilitācijas gadījumu tiek nodrošināti NRC “Vaivari”</w:t>
      </w:r>
      <w:r w:rsidR="00330DAA">
        <w:rPr>
          <w:rFonts w:ascii="Times New Roman" w:hAnsi="Times New Roman"/>
          <w:sz w:val="24"/>
          <w:szCs w:val="24"/>
        </w:rPr>
        <w:t xml:space="preserve"> </w:t>
      </w:r>
      <w:r w:rsidRPr="003C3DC3">
        <w:rPr>
          <w:rFonts w:ascii="Times New Roman" w:hAnsi="Times New Roman"/>
          <w:sz w:val="24"/>
          <w:szCs w:val="24"/>
        </w:rPr>
        <w:t xml:space="preserve">(NRC “Vaivari” 3182, SIA </w:t>
      </w:r>
      <w:r w:rsidR="00330DAA">
        <w:rPr>
          <w:rFonts w:ascii="Times New Roman" w:hAnsi="Times New Roman"/>
          <w:sz w:val="24"/>
          <w:szCs w:val="24"/>
        </w:rPr>
        <w:t xml:space="preserve">“Rīgas </w:t>
      </w:r>
      <w:r w:rsidR="00330DAA">
        <w:rPr>
          <w:rFonts w:ascii="Times New Roman" w:hAnsi="Times New Roman"/>
          <w:sz w:val="24"/>
          <w:szCs w:val="24"/>
        </w:rPr>
        <w:lastRenderedPageBreak/>
        <w:t xml:space="preserve">Austrumu klīniskā universitātes slimnīca” </w:t>
      </w:r>
      <w:r w:rsidRPr="003C3DC3">
        <w:rPr>
          <w:rFonts w:ascii="Times New Roman" w:hAnsi="Times New Roman"/>
          <w:sz w:val="24"/>
          <w:szCs w:val="24"/>
        </w:rPr>
        <w:t xml:space="preserve">160, SIA “Liepājas reģionālā slimnīca” 120, SIA “Vidzemes slimnīca” 39) un 82% rehabilitācijas gadījumu bērniem (NRC “Vaivari  1494, SIA “Vidzemes slimnīca” 5, VSIA </w:t>
      </w:r>
      <w:r w:rsidR="00ED68EB" w:rsidRPr="003C3DC3">
        <w:rPr>
          <w:rFonts w:ascii="Times New Roman" w:hAnsi="Times New Roman"/>
          <w:sz w:val="24"/>
          <w:szCs w:val="24"/>
        </w:rPr>
        <w:t>“Bērnu klīniskā universitātes slimnīca</w:t>
      </w:r>
      <w:r w:rsidR="00ED68EB">
        <w:rPr>
          <w:rFonts w:ascii="Times New Roman" w:hAnsi="Times New Roman"/>
          <w:sz w:val="24"/>
          <w:szCs w:val="24"/>
        </w:rPr>
        <w:t>”</w:t>
      </w:r>
      <w:r w:rsidRPr="003C3DC3">
        <w:rPr>
          <w:rFonts w:ascii="Times New Roman" w:hAnsi="Times New Roman"/>
          <w:sz w:val="24"/>
          <w:szCs w:val="24"/>
        </w:rPr>
        <w:t xml:space="preserve"> 334) nodrošina NRC “Vaivari”. </w:t>
      </w:r>
    </w:p>
    <w:p w14:paraId="402F9BDB" w14:textId="77777777" w:rsidR="00992DEF" w:rsidRPr="003C3DC3" w:rsidRDefault="00992DEF" w:rsidP="00992DEF">
      <w:pPr>
        <w:spacing w:after="0"/>
        <w:ind w:firstLine="720"/>
        <w:jc w:val="both"/>
        <w:rPr>
          <w:rFonts w:ascii="Times New Roman" w:hAnsi="Times New Roman"/>
          <w:sz w:val="24"/>
          <w:szCs w:val="24"/>
        </w:rPr>
      </w:pPr>
    </w:p>
    <w:p w14:paraId="7D7AF9CB" w14:textId="77777777" w:rsidR="00992DEF" w:rsidRPr="003C3DC3" w:rsidRDefault="00992DEF" w:rsidP="00992DEF">
      <w:pPr>
        <w:spacing w:after="0"/>
        <w:ind w:firstLine="720"/>
        <w:jc w:val="both"/>
        <w:rPr>
          <w:rFonts w:ascii="Times New Roman" w:hAnsi="Times New Roman"/>
          <w:sz w:val="24"/>
          <w:szCs w:val="24"/>
        </w:rPr>
      </w:pPr>
      <w:r w:rsidRPr="003C3DC3">
        <w:rPr>
          <w:rFonts w:ascii="Times New Roman" w:hAnsi="Times New Roman"/>
          <w:sz w:val="24"/>
          <w:szCs w:val="24"/>
        </w:rPr>
        <w:t>Subakūtās, ilgtermiņa un perinatālā periodā radušos stāvokļu rehabilitācijas pakalpojumu stratēģiskais iepirkums risinās vairākās problēmas:</w:t>
      </w:r>
    </w:p>
    <w:p w14:paraId="71CDEDC2" w14:textId="02335358" w:rsidR="00992DEF" w:rsidRPr="003C3DC3" w:rsidRDefault="00FA43B3" w:rsidP="64AB90BD">
      <w:pPr>
        <w:pStyle w:val="ListParagraph"/>
        <w:numPr>
          <w:ilvl w:val="0"/>
          <w:numId w:val="25"/>
        </w:numPr>
        <w:spacing w:after="0"/>
        <w:ind w:hanging="306"/>
        <w:jc w:val="both"/>
        <w:rPr>
          <w:rFonts w:ascii="Times New Roman" w:hAnsi="Times New Roman"/>
          <w:sz w:val="24"/>
          <w:szCs w:val="24"/>
          <w:lang w:val="lv-LV"/>
        </w:rPr>
      </w:pPr>
      <w:r>
        <w:rPr>
          <w:rFonts w:ascii="Times New Roman" w:hAnsi="Times New Roman"/>
          <w:sz w:val="24"/>
          <w:szCs w:val="24"/>
          <w:lang w:val="lv-LV"/>
        </w:rPr>
        <w:t>palielinās</w:t>
      </w:r>
      <w:r w:rsidR="00992DEF" w:rsidRPr="003C3DC3">
        <w:rPr>
          <w:rFonts w:ascii="Times New Roman" w:hAnsi="Times New Roman"/>
          <w:sz w:val="24"/>
          <w:szCs w:val="24"/>
          <w:lang w:val="lv-LV"/>
        </w:rPr>
        <w:t xml:space="preserve"> pakalpojuma pieejamība pēc dzīvesvietas;</w:t>
      </w:r>
    </w:p>
    <w:p w14:paraId="042725FD" w14:textId="3F88C95A" w:rsidR="00992DEF" w:rsidRPr="003C3DC3" w:rsidRDefault="00FA43B3" w:rsidP="64AB90BD">
      <w:pPr>
        <w:pStyle w:val="ListParagraph"/>
        <w:numPr>
          <w:ilvl w:val="0"/>
          <w:numId w:val="25"/>
        </w:numPr>
        <w:spacing w:after="0"/>
        <w:ind w:left="1418" w:hanging="284"/>
        <w:jc w:val="both"/>
        <w:rPr>
          <w:rFonts w:ascii="Times New Roman" w:hAnsi="Times New Roman"/>
          <w:sz w:val="24"/>
          <w:szCs w:val="24"/>
          <w:lang w:val="lv-LV"/>
        </w:rPr>
      </w:pPr>
      <w:r>
        <w:rPr>
          <w:rFonts w:ascii="Times New Roman" w:hAnsi="Times New Roman"/>
          <w:sz w:val="24"/>
          <w:szCs w:val="24"/>
          <w:lang w:val="lv-LV"/>
        </w:rPr>
        <w:t>ne</w:t>
      </w:r>
      <w:r w:rsidR="00992DEF" w:rsidRPr="003C3DC3">
        <w:rPr>
          <w:rFonts w:ascii="Times New Roman" w:hAnsi="Times New Roman"/>
          <w:sz w:val="24"/>
          <w:szCs w:val="24"/>
          <w:lang w:val="lv-LV"/>
        </w:rPr>
        <w:t>iztrūks svarīgs atveseļošanās posms, jo pacients tik</w:t>
      </w:r>
      <w:r>
        <w:rPr>
          <w:rFonts w:ascii="Times New Roman" w:hAnsi="Times New Roman"/>
          <w:sz w:val="24"/>
          <w:szCs w:val="24"/>
          <w:lang w:val="lv-LV"/>
        </w:rPr>
        <w:t>s</w:t>
      </w:r>
      <w:r w:rsidR="00992DEF" w:rsidRPr="003C3DC3">
        <w:rPr>
          <w:rFonts w:ascii="Times New Roman" w:hAnsi="Times New Roman"/>
          <w:sz w:val="24"/>
          <w:szCs w:val="24"/>
          <w:lang w:val="lv-LV"/>
        </w:rPr>
        <w:t xml:space="preserve"> nosūtīts tālākai rehabilitācijai,;</w:t>
      </w:r>
    </w:p>
    <w:p w14:paraId="6CE90DC9" w14:textId="5616D6C0" w:rsidR="00992DEF" w:rsidRPr="003C3DC3" w:rsidRDefault="00FA43B3" w:rsidP="64AB90BD">
      <w:pPr>
        <w:pStyle w:val="ListParagraph"/>
        <w:numPr>
          <w:ilvl w:val="0"/>
          <w:numId w:val="25"/>
        </w:numPr>
        <w:spacing w:after="0"/>
        <w:ind w:left="1418" w:hanging="284"/>
        <w:jc w:val="both"/>
        <w:rPr>
          <w:rFonts w:ascii="Times New Roman" w:hAnsi="Times New Roman"/>
          <w:sz w:val="24"/>
          <w:szCs w:val="24"/>
          <w:lang w:val="lv-LV"/>
        </w:rPr>
      </w:pPr>
      <w:r>
        <w:rPr>
          <w:rFonts w:ascii="Times New Roman" w:hAnsi="Times New Roman"/>
          <w:sz w:val="24"/>
          <w:szCs w:val="24"/>
          <w:lang w:val="lv-LV"/>
        </w:rPr>
        <w:t>būs pieejami</w:t>
      </w:r>
      <w:r w:rsidRPr="003C3DC3">
        <w:rPr>
          <w:rFonts w:ascii="Times New Roman" w:hAnsi="Times New Roman"/>
          <w:sz w:val="24"/>
          <w:szCs w:val="24"/>
          <w:lang w:val="lv-LV"/>
        </w:rPr>
        <w:t xml:space="preserve"> </w:t>
      </w:r>
      <w:r w:rsidR="00992DEF" w:rsidRPr="003C3DC3">
        <w:rPr>
          <w:rFonts w:ascii="Times New Roman" w:hAnsi="Times New Roman"/>
          <w:sz w:val="24"/>
          <w:szCs w:val="24"/>
          <w:lang w:val="lv-LV"/>
        </w:rPr>
        <w:t>dat</w:t>
      </w:r>
      <w:r>
        <w:rPr>
          <w:rFonts w:ascii="Times New Roman" w:hAnsi="Times New Roman"/>
          <w:sz w:val="24"/>
          <w:szCs w:val="24"/>
          <w:lang w:val="lv-LV"/>
        </w:rPr>
        <w:t>i</w:t>
      </w:r>
      <w:r w:rsidR="00992DEF" w:rsidRPr="003C3DC3">
        <w:rPr>
          <w:rFonts w:ascii="Times New Roman" w:hAnsi="Times New Roman"/>
          <w:sz w:val="24"/>
          <w:szCs w:val="24"/>
          <w:lang w:val="lv-LV"/>
        </w:rPr>
        <w:t xml:space="preserve"> par rehabilitācijas pakalpojumu apjoma nepieciešamību, pakalpojumu dalījumu u.t.t., jo pakalpojumi tik</w:t>
      </w:r>
      <w:r>
        <w:rPr>
          <w:rFonts w:ascii="Times New Roman" w:hAnsi="Times New Roman"/>
          <w:sz w:val="24"/>
          <w:szCs w:val="24"/>
          <w:lang w:val="lv-LV"/>
        </w:rPr>
        <w:t>s</w:t>
      </w:r>
      <w:r w:rsidR="00992DEF" w:rsidRPr="003C3DC3">
        <w:rPr>
          <w:rFonts w:ascii="Times New Roman" w:hAnsi="Times New Roman"/>
          <w:sz w:val="24"/>
          <w:szCs w:val="24"/>
          <w:lang w:val="lv-LV"/>
        </w:rPr>
        <w:t xml:space="preserve"> kodēti;</w:t>
      </w:r>
    </w:p>
    <w:p w14:paraId="43C2BEAC" w14:textId="482C5AEF" w:rsidR="00992DEF" w:rsidRPr="003C3DC3" w:rsidRDefault="00FA43B3" w:rsidP="00992DEF">
      <w:pPr>
        <w:pStyle w:val="ListParagraph"/>
        <w:numPr>
          <w:ilvl w:val="0"/>
          <w:numId w:val="25"/>
        </w:numPr>
        <w:spacing w:after="0"/>
        <w:ind w:left="1418" w:hanging="284"/>
        <w:jc w:val="both"/>
        <w:rPr>
          <w:rFonts w:ascii="Times New Roman" w:hAnsi="Times New Roman"/>
          <w:sz w:val="24"/>
          <w:szCs w:val="24"/>
          <w:lang w:val="lv-LV"/>
        </w:rPr>
      </w:pPr>
      <w:r>
        <w:rPr>
          <w:rFonts w:ascii="Times New Roman" w:hAnsi="Times New Roman"/>
          <w:sz w:val="24"/>
          <w:szCs w:val="24"/>
          <w:lang w:val="lv-LV"/>
        </w:rPr>
        <w:t xml:space="preserve">tiks novērsta </w:t>
      </w:r>
      <w:r w:rsidR="00992DEF" w:rsidRPr="003C3DC3">
        <w:rPr>
          <w:rFonts w:ascii="Times New Roman" w:hAnsi="Times New Roman"/>
          <w:sz w:val="24"/>
          <w:szCs w:val="24"/>
          <w:lang w:val="lv-LV"/>
        </w:rPr>
        <w:t>pacientu rehospitalizācijas mājās radušos komplikāciju dēļ;</w:t>
      </w:r>
    </w:p>
    <w:p w14:paraId="2119A0A2" w14:textId="44D97AC0" w:rsidR="00992DEF" w:rsidRPr="003C3DC3" w:rsidRDefault="00992DEF" w:rsidP="64AB90BD">
      <w:pPr>
        <w:pStyle w:val="ListParagraph"/>
        <w:numPr>
          <w:ilvl w:val="0"/>
          <w:numId w:val="25"/>
        </w:numPr>
        <w:spacing w:after="160"/>
        <w:ind w:left="1418" w:hanging="284"/>
        <w:jc w:val="both"/>
        <w:rPr>
          <w:rFonts w:ascii="Times New Roman" w:hAnsi="Times New Roman"/>
          <w:sz w:val="24"/>
          <w:szCs w:val="24"/>
          <w:lang w:val="lv-LV"/>
        </w:rPr>
      </w:pPr>
      <w:r w:rsidRPr="003C3DC3">
        <w:rPr>
          <w:rFonts w:ascii="Times New Roman" w:hAnsi="Times New Roman"/>
          <w:sz w:val="24"/>
          <w:szCs w:val="24"/>
          <w:lang w:val="lv-LV"/>
        </w:rPr>
        <w:t>pakalpojums tik</w:t>
      </w:r>
      <w:r w:rsidR="00FA43B3">
        <w:rPr>
          <w:rFonts w:ascii="Times New Roman" w:hAnsi="Times New Roman"/>
          <w:sz w:val="24"/>
          <w:szCs w:val="24"/>
          <w:lang w:val="lv-LV"/>
        </w:rPr>
        <w:t>s</w:t>
      </w:r>
      <w:r w:rsidRPr="003C3DC3">
        <w:rPr>
          <w:rFonts w:ascii="Times New Roman" w:hAnsi="Times New Roman"/>
          <w:sz w:val="24"/>
          <w:szCs w:val="24"/>
          <w:lang w:val="lv-LV"/>
        </w:rPr>
        <w:t xml:space="preserve"> sniegts pēc vienotiem algoritmiem, atbilstošā kvalitātē;</w:t>
      </w:r>
    </w:p>
    <w:p w14:paraId="6F3419A7" w14:textId="7E821671" w:rsidR="00992DEF" w:rsidRDefault="00992DEF" w:rsidP="64AB90BD">
      <w:pPr>
        <w:pStyle w:val="ListParagraph"/>
        <w:numPr>
          <w:ilvl w:val="0"/>
          <w:numId w:val="25"/>
        </w:numPr>
        <w:spacing w:after="160"/>
        <w:ind w:left="1418" w:hanging="284"/>
        <w:jc w:val="both"/>
        <w:rPr>
          <w:rFonts w:ascii="Times New Roman" w:hAnsi="Times New Roman"/>
          <w:sz w:val="24"/>
          <w:szCs w:val="24"/>
          <w:lang w:val="lv-LV"/>
        </w:rPr>
      </w:pPr>
      <w:r w:rsidRPr="003C3DC3">
        <w:rPr>
          <w:rFonts w:ascii="Times New Roman" w:hAnsi="Times New Roman"/>
          <w:sz w:val="24"/>
          <w:szCs w:val="24"/>
          <w:lang w:val="lv-LV"/>
        </w:rPr>
        <w:t>pacienti tik</w:t>
      </w:r>
      <w:r w:rsidR="00FA43B3">
        <w:rPr>
          <w:rFonts w:ascii="Times New Roman" w:hAnsi="Times New Roman"/>
          <w:sz w:val="24"/>
          <w:szCs w:val="24"/>
          <w:lang w:val="lv-LV"/>
        </w:rPr>
        <w:t>s</w:t>
      </w:r>
      <w:r w:rsidRPr="003C3DC3">
        <w:rPr>
          <w:rFonts w:ascii="Times New Roman" w:hAnsi="Times New Roman"/>
          <w:sz w:val="24"/>
          <w:szCs w:val="24"/>
          <w:lang w:val="lv-LV"/>
        </w:rPr>
        <w:t xml:space="preserve"> atbilstoši izvērtēti, nosūtīti uz atbilstošu pakalpojuma saņemšanas veidu – </w:t>
      </w:r>
      <w:r w:rsidR="00FA43B3">
        <w:rPr>
          <w:rFonts w:ascii="Times New Roman" w:hAnsi="Times New Roman"/>
          <w:sz w:val="24"/>
          <w:szCs w:val="24"/>
          <w:lang w:val="lv-LV"/>
        </w:rPr>
        <w:t>būs</w:t>
      </w:r>
      <w:r w:rsidRPr="003C3DC3">
        <w:rPr>
          <w:rFonts w:ascii="Times New Roman" w:hAnsi="Times New Roman"/>
          <w:sz w:val="24"/>
          <w:szCs w:val="24"/>
          <w:lang w:val="lv-LV"/>
        </w:rPr>
        <w:t xml:space="preserve"> skaidrs pacienta ceļš.</w:t>
      </w:r>
    </w:p>
    <w:p w14:paraId="35E756BE" w14:textId="58BDA450" w:rsidR="007C664E" w:rsidRPr="002040CA" w:rsidRDefault="00E118ED" w:rsidP="002040CA">
      <w:pPr>
        <w:pStyle w:val="ListParagraph"/>
        <w:spacing w:after="160"/>
        <w:ind w:left="1418"/>
        <w:jc w:val="right"/>
        <w:rPr>
          <w:rFonts w:ascii="Times New Roman" w:hAnsi="Times New Roman"/>
          <w:sz w:val="24"/>
          <w:szCs w:val="24"/>
          <w:lang w:val="lv-LV"/>
        </w:rPr>
      </w:pPr>
      <w:r>
        <w:rPr>
          <w:rFonts w:ascii="Times New Roman" w:hAnsi="Times New Roman"/>
          <w:sz w:val="24"/>
          <w:szCs w:val="24"/>
          <w:lang w:val="lv-LV"/>
        </w:rPr>
        <w:t>95</w:t>
      </w:r>
      <w:r w:rsidR="00E40B5F">
        <w:rPr>
          <w:rFonts w:ascii="Times New Roman" w:hAnsi="Times New Roman"/>
          <w:sz w:val="24"/>
          <w:szCs w:val="24"/>
          <w:lang w:val="lv-LV"/>
        </w:rPr>
        <w:t>.tabula</w:t>
      </w:r>
    </w:p>
    <w:p w14:paraId="4174A10E" w14:textId="3A17E6BA" w:rsidR="00E40B5F" w:rsidRPr="008E0B7B" w:rsidRDefault="007C664E" w:rsidP="002040CA">
      <w:pPr>
        <w:spacing w:after="0"/>
        <w:jc w:val="center"/>
        <w:rPr>
          <w:rFonts w:ascii="Times New Roman" w:hAnsi="Times New Roman"/>
          <w:b/>
          <w:sz w:val="24"/>
          <w:szCs w:val="24"/>
        </w:rPr>
      </w:pPr>
      <w:r w:rsidRPr="008E0B7B">
        <w:rPr>
          <w:rFonts w:ascii="Times New Roman" w:hAnsi="Times New Roman"/>
          <w:b/>
          <w:sz w:val="24"/>
          <w:szCs w:val="24"/>
        </w:rPr>
        <w:t>Subakūtās, ilgtermiņa un perinatālā periodā radušos stāvokļu medicīniskās rehabilitācijas pakalpojumu nodrošināšanai nepieciešamais finansējums</w:t>
      </w:r>
    </w:p>
    <w:tbl>
      <w:tblPr>
        <w:tblStyle w:val="TableGrid"/>
        <w:tblW w:w="0" w:type="auto"/>
        <w:jc w:val="center"/>
        <w:tblLook w:val="04A0" w:firstRow="1" w:lastRow="0" w:firstColumn="1" w:lastColumn="0" w:noHBand="0" w:noVBand="1"/>
      </w:tblPr>
      <w:tblGrid>
        <w:gridCol w:w="1838"/>
        <w:gridCol w:w="2268"/>
        <w:gridCol w:w="2268"/>
        <w:gridCol w:w="2268"/>
      </w:tblGrid>
      <w:tr w:rsidR="00543764" w14:paraId="42072E51" w14:textId="2E3CA04B" w:rsidTr="003F5285">
        <w:trPr>
          <w:jc w:val="center"/>
        </w:trPr>
        <w:tc>
          <w:tcPr>
            <w:tcW w:w="1838" w:type="dxa"/>
            <w:shd w:val="clear" w:color="auto" w:fill="E36C0A" w:themeFill="accent6" w:themeFillShade="BF"/>
            <w:vAlign w:val="center"/>
          </w:tcPr>
          <w:p w14:paraId="21E457A9" w14:textId="595AC149" w:rsidR="00890CE1" w:rsidRPr="003F5285" w:rsidRDefault="00543764" w:rsidP="00890CE1">
            <w:pPr>
              <w:jc w:val="center"/>
              <w:rPr>
                <w:rFonts w:ascii="Times New Roman" w:hAnsi="Times New Roman"/>
              </w:rPr>
            </w:pPr>
            <w:r w:rsidRPr="003F5285">
              <w:rPr>
                <w:rFonts w:ascii="Times New Roman" w:hAnsi="Times New Roman"/>
              </w:rPr>
              <w:t>Pacientu skaits</w:t>
            </w:r>
            <w:r w:rsidR="00890CE1" w:rsidRPr="003F5285">
              <w:rPr>
                <w:rFonts w:ascii="Times New Roman" w:hAnsi="Times New Roman"/>
              </w:rPr>
              <w:t xml:space="preserve"> no 2019.gada 1.aprīļa</w:t>
            </w:r>
          </w:p>
        </w:tc>
        <w:tc>
          <w:tcPr>
            <w:tcW w:w="2268" w:type="dxa"/>
            <w:shd w:val="clear" w:color="auto" w:fill="E36C0A" w:themeFill="accent6" w:themeFillShade="BF"/>
            <w:vAlign w:val="center"/>
          </w:tcPr>
          <w:p w14:paraId="5003B0B5" w14:textId="6CE63FE4" w:rsidR="00543764" w:rsidRPr="003F5285" w:rsidRDefault="00543764" w:rsidP="007C664E">
            <w:pPr>
              <w:jc w:val="center"/>
              <w:rPr>
                <w:rFonts w:ascii="Times New Roman" w:hAnsi="Times New Roman"/>
              </w:rPr>
            </w:pPr>
            <w:r w:rsidRPr="003F5285">
              <w:rPr>
                <w:rFonts w:ascii="Times New Roman" w:hAnsi="Times New Roman"/>
              </w:rPr>
              <w:t>Vienas vidējās ārstēšanas izmaksas</w:t>
            </w:r>
          </w:p>
        </w:tc>
        <w:tc>
          <w:tcPr>
            <w:tcW w:w="2268" w:type="dxa"/>
            <w:shd w:val="clear" w:color="auto" w:fill="E36C0A" w:themeFill="accent6" w:themeFillShade="BF"/>
            <w:vAlign w:val="center"/>
          </w:tcPr>
          <w:p w14:paraId="389EE014" w14:textId="1ABDF788" w:rsidR="00543764" w:rsidRPr="003F5285" w:rsidRDefault="00543764" w:rsidP="007C664E">
            <w:pPr>
              <w:jc w:val="center"/>
              <w:rPr>
                <w:rFonts w:ascii="Times New Roman" w:hAnsi="Times New Roman"/>
              </w:rPr>
            </w:pPr>
            <w:r w:rsidRPr="003F5285">
              <w:rPr>
                <w:rFonts w:ascii="Times New Roman" w:hAnsi="Times New Roman"/>
              </w:rPr>
              <w:t xml:space="preserve">Nepieciešamais finansējums no 2019.gada 1.aprīļa, </w:t>
            </w:r>
            <w:r w:rsidRPr="003F5285">
              <w:rPr>
                <w:rFonts w:ascii="Times New Roman" w:hAnsi="Times New Roman"/>
                <w:i/>
              </w:rPr>
              <w:t>euro</w:t>
            </w:r>
          </w:p>
        </w:tc>
        <w:tc>
          <w:tcPr>
            <w:tcW w:w="2268" w:type="dxa"/>
            <w:shd w:val="clear" w:color="auto" w:fill="E36C0A" w:themeFill="accent6" w:themeFillShade="BF"/>
            <w:vAlign w:val="center"/>
          </w:tcPr>
          <w:p w14:paraId="66DE307D" w14:textId="706ABAF3" w:rsidR="00543764" w:rsidRPr="003F5285" w:rsidRDefault="00543764" w:rsidP="007C664E">
            <w:pPr>
              <w:jc w:val="center"/>
              <w:rPr>
                <w:rFonts w:ascii="Times New Roman" w:hAnsi="Times New Roman"/>
              </w:rPr>
            </w:pPr>
            <w:r w:rsidRPr="003F5285">
              <w:rPr>
                <w:rFonts w:ascii="Times New Roman" w:hAnsi="Times New Roman"/>
              </w:rPr>
              <w:t xml:space="preserve">Nepieciešamais finansējums 2019.gadam, </w:t>
            </w:r>
            <w:r w:rsidRPr="003F5285">
              <w:rPr>
                <w:rFonts w:ascii="Times New Roman" w:hAnsi="Times New Roman"/>
                <w:i/>
              </w:rPr>
              <w:t>euro</w:t>
            </w:r>
          </w:p>
        </w:tc>
      </w:tr>
      <w:tr w:rsidR="00543764" w14:paraId="6E9AA59A" w14:textId="74F7240B" w:rsidTr="00E93259">
        <w:trPr>
          <w:jc w:val="center"/>
        </w:trPr>
        <w:tc>
          <w:tcPr>
            <w:tcW w:w="1838" w:type="dxa"/>
          </w:tcPr>
          <w:p w14:paraId="2888A51B" w14:textId="650E79A5" w:rsidR="00543764" w:rsidRPr="00E93259" w:rsidRDefault="00543764" w:rsidP="007C664E">
            <w:pPr>
              <w:jc w:val="center"/>
              <w:rPr>
                <w:rFonts w:ascii="Times New Roman" w:hAnsi="Times New Roman"/>
              </w:rPr>
            </w:pPr>
            <w:r w:rsidRPr="00E93259">
              <w:rPr>
                <w:rFonts w:ascii="Times New Roman" w:hAnsi="Times New Roman"/>
                <w:sz w:val="22"/>
                <w:szCs w:val="22"/>
              </w:rPr>
              <w:t>1</w:t>
            </w:r>
          </w:p>
        </w:tc>
        <w:tc>
          <w:tcPr>
            <w:tcW w:w="2268" w:type="dxa"/>
          </w:tcPr>
          <w:p w14:paraId="1D32C1D2" w14:textId="775DA493" w:rsidR="00543764" w:rsidRPr="00E93259" w:rsidRDefault="00543764" w:rsidP="007C664E">
            <w:pPr>
              <w:jc w:val="center"/>
              <w:rPr>
                <w:rFonts w:ascii="Times New Roman" w:hAnsi="Times New Roman"/>
              </w:rPr>
            </w:pPr>
            <w:r w:rsidRPr="00E93259">
              <w:rPr>
                <w:rFonts w:ascii="Times New Roman" w:hAnsi="Times New Roman"/>
                <w:sz w:val="22"/>
                <w:szCs w:val="22"/>
              </w:rPr>
              <w:t>2</w:t>
            </w:r>
          </w:p>
        </w:tc>
        <w:tc>
          <w:tcPr>
            <w:tcW w:w="2268" w:type="dxa"/>
          </w:tcPr>
          <w:p w14:paraId="3F4253EE" w14:textId="4B0CDF1C" w:rsidR="00543764" w:rsidRPr="00E93259" w:rsidRDefault="00543764" w:rsidP="007C664E">
            <w:pPr>
              <w:jc w:val="center"/>
              <w:rPr>
                <w:rFonts w:ascii="Times New Roman" w:hAnsi="Times New Roman"/>
              </w:rPr>
            </w:pPr>
            <w:r w:rsidRPr="00E93259">
              <w:rPr>
                <w:rFonts w:ascii="Times New Roman" w:hAnsi="Times New Roman"/>
                <w:sz w:val="22"/>
                <w:szCs w:val="22"/>
              </w:rPr>
              <w:t>3</w:t>
            </w:r>
            <w:r w:rsidR="00E22E77" w:rsidRPr="00E93259">
              <w:rPr>
                <w:rFonts w:ascii="Times New Roman" w:hAnsi="Times New Roman"/>
                <w:sz w:val="22"/>
                <w:szCs w:val="22"/>
              </w:rPr>
              <w:t>=1*2</w:t>
            </w:r>
          </w:p>
        </w:tc>
        <w:tc>
          <w:tcPr>
            <w:tcW w:w="2268" w:type="dxa"/>
          </w:tcPr>
          <w:p w14:paraId="482EA4C5" w14:textId="63A15135" w:rsidR="00543764" w:rsidRPr="00E93259" w:rsidRDefault="00543764" w:rsidP="007C664E">
            <w:pPr>
              <w:jc w:val="center"/>
              <w:rPr>
                <w:rFonts w:ascii="Times New Roman" w:hAnsi="Times New Roman"/>
              </w:rPr>
            </w:pPr>
            <w:r w:rsidRPr="00E93259">
              <w:rPr>
                <w:rFonts w:ascii="Times New Roman" w:hAnsi="Times New Roman"/>
                <w:sz w:val="22"/>
                <w:szCs w:val="22"/>
              </w:rPr>
              <w:t>4</w:t>
            </w:r>
          </w:p>
        </w:tc>
      </w:tr>
      <w:tr w:rsidR="00543764" w14:paraId="54730773" w14:textId="4073ED43" w:rsidTr="00E93259">
        <w:trPr>
          <w:jc w:val="center"/>
        </w:trPr>
        <w:tc>
          <w:tcPr>
            <w:tcW w:w="1838" w:type="dxa"/>
            <w:shd w:val="clear" w:color="auto" w:fill="FBD4B4" w:themeFill="accent6" w:themeFillTint="66"/>
          </w:tcPr>
          <w:p w14:paraId="3DD00479" w14:textId="28B3349A" w:rsidR="00543764" w:rsidRPr="00E93259" w:rsidRDefault="00543764" w:rsidP="007C664E">
            <w:pPr>
              <w:jc w:val="center"/>
              <w:rPr>
                <w:rFonts w:ascii="Times New Roman" w:hAnsi="Times New Roman"/>
              </w:rPr>
            </w:pPr>
            <w:r w:rsidRPr="00E93259">
              <w:rPr>
                <w:rFonts w:ascii="Times New Roman" w:hAnsi="Times New Roman"/>
                <w:sz w:val="22"/>
                <w:szCs w:val="22"/>
              </w:rPr>
              <w:t>1 829</w:t>
            </w:r>
          </w:p>
        </w:tc>
        <w:tc>
          <w:tcPr>
            <w:tcW w:w="2268" w:type="dxa"/>
            <w:shd w:val="clear" w:color="auto" w:fill="FBD4B4" w:themeFill="accent6" w:themeFillTint="66"/>
          </w:tcPr>
          <w:p w14:paraId="704875CA" w14:textId="49E374B9" w:rsidR="00543764" w:rsidRPr="00E93259" w:rsidRDefault="00543764" w:rsidP="007C664E">
            <w:pPr>
              <w:jc w:val="center"/>
              <w:rPr>
                <w:rFonts w:ascii="Times New Roman" w:hAnsi="Times New Roman"/>
              </w:rPr>
            </w:pPr>
            <w:r w:rsidRPr="00E93259">
              <w:rPr>
                <w:rFonts w:ascii="Times New Roman" w:hAnsi="Times New Roman"/>
                <w:sz w:val="22"/>
                <w:szCs w:val="22"/>
              </w:rPr>
              <w:t>1 085,97</w:t>
            </w:r>
          </w:p>
        </w:tc>
        <w:tc>
          <w:tcPr>
            <w:tcW w:w="2268" w:type="dxa"/>
            <w:shd w:val="clear" w:color="auto" w:fill="FBD4B4" w:themeFill="accent6" w:themeFillTint="66"/>
          </w:tcPr>
          <w:p w14:paraId="26DBAC70" w14:textId="58C7959D" w:rsidR="00543764" w:rsidRPr="00E93259" w:rsidRDefault="00543764" w:rsidP="007C664E">
            <w:pPr>
              <w:jc w:val="center"/>
              <w:rPr>
                <w:rFonts w:ascii="Times New Roman" w:hAnsi="Times New Roman"/>
              </w:rPr>
            </w:pPr>
            <w:r w:rsidRPr="00E93259">
              <w:rPr>
                <w:rFonts w:ascii="Times New Roman" w:hAnsi="Times New Roman"/>
                <w:sz w:val="22"/>
                <w:szCs w:val="22"/>
              </w:rPr>
              <w:t>1 986 239</w:t>
            </w:r>
          </w:p>
        </w:tc>
        <w:tc>
          <w:tcPr>
            <w:tcW w:w="2268" w:type="dxa"/>
            <w:shd w:val="clear" w:color="auto" w:fill="FBD4B4" w:themeFill="accent6" w:themeFillTint="66"/>
          </w:tcPr>
          <w:p w14:paraId="3A61F90F" w14:textId="10FEB505" w:rsidR="00543764" w:rsidRPr="00E93259" w:rsidRDefault="00543764" w:rsidP="007C664E">
            <w:pPr>
              <w:jc w:val="center"/>
              <w:rPr>
                <w:rFonts w:ascii="Times New Roman" w:hAnsi="Times New Roman"/>
              </w:rPr>
            </w:pPr>
            <w:r w:rsidRPr="00E93259">
              <w:rPr>
                <w:rFonts w:ascii="Times New Roman" w:hAnsi="Times New Roman"/>
                <w:sz w:val="22"/>
                <w:szCs w:val="22"/>
              </w:rPr>
              <w:t>3 483 058</w:t>
            </w:r>
          </w:p>
        </w:tc>
      </w:tr>
    </w:tbl>
    <w:p w14:paraId="41FB3E6B" w14:textId="77777777" w:rsidR="007C664E" w:rsidRPr="002040CA" w:rsidRDefault="007C664E" w:rsidP="002040CA">
      <w:pPr>
        <w:spacing w:after="0"/>
        <w:jc w:val="center"/>
        <w:rPr>
          <w:rFonts w:ascii="Times New Roman" w:hAnsi="Times New Roman"/>
          <w:sz w:val="24"/>
          <w:szCs w:val="24"/>
        </w:rPr>
      </w:pPr>
    </w:p>
    <w:p w14:paraId="7D5423A4" w14:textId="44021661" w:rsidR="00F93648" w:rsidRPr="003C577E" w:rsidRDefault="00992DEF" w:rsidP="003C577E">
      <w:pPr>
        <w:spacing w:after="120"/>
        <w:ind w:firstLine="720"/>
        <w:jc w:val="both"/>
        <w:rPr>
          <w:rFonts w:ascii="Times New Roman" w:hAnsi="Times New Roman" w:cs="Times New Roman"/>
          <w:b/>
          <w:sz w:val="28"/>
          <w:szCs w:val="28"/>
        </w:rPr>
      </w:pPr>
      <w:r w:rsidRPr="003C3DC3">
        <w:rPr>
          <w:rFonts w:ascii="Times New Roman" w:hAnsi="Times New Roman"/>
          <w:sz w:val="24"/>
          <w:szCs w:val="24"/>
        </w:rPr>
        <w:t>Subakūtās, ilgtermiņa un perinatālā periodā radušos stāvokļu medicīniskās rehabilitācijas pakalpojumu nodrošināšanai</w:t>
      </w:r>
      <w:r w:rsidR="00FA43B3">
        <w:rPr>
          <w:rFonts w:ascii="Times New Roman" w:hAnsi="Times New Roman"/>
          <w:sz w:val="24"/>
          <w:szCs w:val="24"/>
        </w:rPr>
        <w:t xml:space="preserve"> no 2019.gada 1.aprīļa </w:t>
      </w:r>
      <w:r w:rsidRPr="003C3DC3">
        <w:rPr>
          <w:rFonts w:ascii="Times New Roman" w:hAnsi="Times New Roman"/>
          <w:sz w:val="24"/>
          <w:szCs w:val="24"/>
        </w:rPr>
        <w:t xml:space="preserve"> nepieciešam</w:t>
      </w:r>
      <w:r w:rsidR="00FA43B3">
        <w:rPr>
          <w:rFonts w:ascii="Times New Roman" w:hAnsi="Times New Roman"/>
          <w:sz w:val="24"/>
          <w:szCs w:val="24"/>
        </w:rPr>
        <w:t>i</w:t>
      </w:r>
      <w:r w:rsidRPr="003C3DC3">
        <w:rPr>
          <w:rFonts w:ascii="Times New Roman" w:hAnsi="Times New Roman"/>
          <w:sz w:val="24"/>
          <w:szCs w:val="24"/>
        </w:rPr>
        <w:t xml:space="preserve"> </w:t>
      </w:r>
      <w:r w:rsidRPr="003C3DC3">
        <w:rPr>
          <w:rFonts w:ascii="Times New Roman" w:hAnsi="Times New Roman"/>
          <w:b/>
          <w:sz w:val="24"/>
          <w:szCs w:val="24"/>
        </w:rPr>
        <w:t>1 986 23</w:t>
      </w:r>
      <w:r w:rsidR="009C16B2">
        <w:rPr>
          <w:rFonts w:ascii="Times New Roman" w:hAnsi="Times New Roman"/>
          <w:b/>
          <w:sz w:val="24"/>
          <w:szCs w:val="24"/>
        </w:rPr>
        <w:t>9</w:t>
      </w:r>
      <w:r w:rsidRPr="003C3DC3">
        <w:rPr>
          <w:rFonts w:ascii="Times New Roman" w:hAnsi="Times New Roman"/>
          <w:b/>
          <w:sz w:val="24"/>
          <w:szCs w:val="24"/>
        </w:rPr>
        <w:t xml:space="preserve"> </w:t>
      </w:r>
      <w:r w:rsidRPr="002040CA">
        <w:rPr>
          <w:rFonts w:ascii="Times New Roman" w:hAnsi="Times New Roman"/>
          <w:b/>
          <w:i/>
          <w:sz w:val="24"/>
          <w:szCs w:val="24"/>
        </w:rPr>
        <w:t>e</w:t>
      </w:r>
      <w:r w:rsidR="00FA43B3" w:rsidRPr="002040CA">
        <w:rPr>
          <w:rFonts w:ascii="Times New Roman" w:hAnsi="Times New Roman"/>
          <w:b/>
          <w:i/>
          <w:sz w:val="24"/>
          <w:szCs w:val="24"/>
        </w:rPr>
        <w:t>u</w:t>
      </w:r>
      <w:r w:rsidRPr="002040CA">
        <w:rPr>
          <w:rFonts w:ascii="Times New Roman" w:hAnsi="Times New Roman"/>
          <w:b/>
          <w:i/>
          <w:sz w:val="24"/>
          <w:szCs w:val="24"/>
        </w:rPr>
        <w:t>ro</w:t>
      </w:r>
      <w:r w:rsidR="00476446">
        <w:rPr>
          <w:rFonts w:ascii="Times New Roman" w:hAnsi="Times New Roman"/>
          <w:b/>
          <w:i/>
          <w:sz w:val="24"/>
          <w:szCs w:val="24"/>
        </w:rPr>
        <w:t xml:space="preserve"> </w:t>
      </w:r>
      <w:r w:rsidR="00476446" w:rsidRPr="00E93259">
        <w:rPr>
          <w:rFonts w:ascii="Times New Roman" w:hAnsi="Times New Roman"/>
          <w:sz w:val="24"/>
          <w:szCs w:val="24"/>
        </w:rPr>
        <w:t xml:space="preserve">(pilnam gadam nepieciešami 3 483 058 </w:t>
      </w:r>
      <w:r w:rsidR="00476446" w:rsidRPr="00E93259">
        <w:rPr>
          <w:rFonts w:ascii="Times New Roman" w:hAnsi="Times New Roman"/>
          <w:i/>
          <w:sz w:val="24"/>
          <w:szCs w:val="24"/>
        </w:rPr>
        <w:t>euro</w:t>
      </w:r>
      <w:r w:rsidR="00476446" w:rsidRPr="00E93259">
        <w:rPr>
          <w:rFonts w:ascii="Times New Roman" w:hAnsi="Times New Roman"/>
          <w:sz w:val="24"/>
          <w:szCs w:val="24"/>
        </w:rPr>
        <w:t>)</w:t>
      </w:r>
      <w:r w:rsidRPr="002040CA">
        <w:rPr>
          <w:rFonts w:ascii="Times New Roman" w:hAnsi="Times New Roman"/>
          <w:i/>
          <w:sz w:val="24"/>
          <w:szCs w:val="24"/>
        </w:rPr>
        <w:t xml:space="preserve"> </w:t>
      </w:r>
      <w:r w:rsidRPr="003C3DC3">
        <w:rPr>
          <w:rFonts w:ascii="Times New Roman" w:hAnsi="Times New Roman"/>
          <w:sz w:val="24"/>
          <w:szCs w:val="24"/>
        </w:rPr>
        <w:t xml:space="preserve">– veicot tarifu pārrēķinu sadarbībā ar speciālistiem un papildus pakalpojumu nodrošinot </w:t>
      </w:r>
      <w:r w:rsidRPr="003C3DC3">
        <w:rPr>
          <w:rFonts w:ascii="Times New Roman" w:hAnsi="Times New Roman"/>
          <w:b/>
          <w:sz w:val="24"/>
          <w:szCs w:val="24"/>
        </w:rPr>
        <w:t xml:space="preserve">1 829 </w:t>
      </w:r>
      <w:r w:rsidRPr="003C3DC3">
        <w:rPr>
          <w:rFonts w:ascii="Times New Roman" w:hAnsi="Times New Roman"/>
          <w:sz w:val="24"/>
          <w:szCs w:val="24"/>
        </w:rPr>
        <w:t>pacientiem</w:t>
      </w:r>
      <w:r w:rsidR="001A2025">
        <w:rPr>
          <w:rFonts w:ascii="Times New Roman" w:hAnsi="Times New Roman"/>
          <w:sz w:val="24"/>
          <w:szCs w:val="24"/>
        </w:rPr>
        <w:t xml:space="preserve"> (</w:t>
      </w:r>
      <w:r w:rsidR="00E118ED">
        <w:rPr>
          <w:rFonts w:ascii="Times New Roman" w:hAnsi="Times New Roman"/>
          <w:sz w:val="24"/>
          <w:szCs w:val="24"/>
        </w:rPr>
        <w:t>95</w:t>
      </w:r>
      <w:r w:rsidR="001A2025">
        <w:rPr>
          <w:rFonts w:ascii="Times New Roman" w:hAnsi="Times New Roman"/>
          <w:sz w:val="24"/>
          <w:szCs w:val="24"/>
        </w:rPr>
        <w:t>.tabula)</w:t>
      </w:r>
      <w:r w:rsidR="0050396F" w:rsidRPr="003C3DC3">
        <w:rPr>
          <w:rFonts w:ascii="Times New Roman" w:hAnsi="Times New Roman"/>
          <w:sz w:val="24"/>
          <w:szCs w:val="24"/>
        </w:rPr>
        <w:t>.</w:t>
      </w:r>
    </w:p>
    <w:p w14:paraId="766AFE42" w14:textId="6744F68D" w:rsidR="00D66C84" w:rsidRPr="00F36A9C" w:rsidRDefault="00D66C84" w:rsidP="00F36A9C">
      <w:pPr>
        <w:spacing w:after="0" w:line="240" w:lineRule="auto"/>
        <w:jc w:val="both"/>
        <w:rPr>
          <w:rFonts w:ascii="Times New Roman" w:hAnsi="Times New Roman"/>
          <w:sz w:val="24"/>
          <w:szCs w:val="24"/>
        </w:rPr>
      </w:pPr>
    </w:p>
    <w:p w14:paraId="160BCDAC" w14:textId="21FE7E3D" w:rsidR="000B48D7" w:rsidRPr="00E93259" w:rsidRDefault="00F12137" w:rsidP="00E93259">
      <w:pPr>
        <w:spacing w:after="0" w:line="240" w:lineRule="auto"/>
        <w:jc w:val="center"/>
        <w:rPr>
          <w:rFonts w:ascii="Times New Roman" w:hAnsi="Times New Roman"/>
          <w:b/>
          <w:bCs/>
          <w:sz w:val="24"/>
          <w:szCs w:val="24"/>
        </w:rPr>
      </w:pPr>
      <w:r w:rsidRPr="001E4659">
        <w:rPr>
          <w:rFonts w:ascii="Times New Roman" w:hAnsi="Times New Roman" w:cs="Times New Roman"/>
          <w:b/>
          <w:bCs/>
          <w:sz w:val="24"/>
          <w:szCs w:val="24"/>
        </w:rPr>
        <w:t>8</w:t>
      </w:r>
      <w:r w:rsidR="00F36A9C" w:rsidRPr="001E4659">
        <w:rPr>
          <w:rFonts w:ascii="Times New Roman" w:hAnsi="Times New Roman" w:cs="Times New Roman"/>
          <w:b/>
          <w:bCs/>
          <w:sz w:val="24"/>
          <w:szCs w:val="24"/>
        </w:rPr>
        <w:t>.</w:t>
      </w:r>
      <w:r w:rsidR="005E09BD" w:rsidRPr="001A0684">
        <w:rPr>
          <w:rFonts w:ascii="Times New Roman" w:hAnsi="Times New Roman"/>
          <w:b/>
          <w:bCs/>
          <w:sz w:val="24"/>
          <w:szCs w:val="24"/>
        </w:rPr>
        <w:t xml:space="preserve"> </w:t>
      </w:r>
      <w:r w:rsidR="006027D0" w:rsidRPr="00DA1AFB">
        <w:rPr>
          <w:rFonts w:ascii="Times New Roman" w:hAnsi="Times New Roman"/>
          <w:b/>
          <w:bCs/>
          <w:sz w:val="24"/>
          <w:szCs w:val="24"/>
        </w:rPr>
        <w:t xml:space="preserve">Jaunais reformas pasākums 2019.gadā – Psihiskās veselības </w:t>
      </w:r>
      <w:r w:rsidR="003E3786" w:rsidRPr="00DA1AFB">
        <w:rPr>
          <w:rFonts w:ascii="Times New Roman" w:hAnsi="Times New Roman"/>
          <w:b/>
          <w:bCs/>
          <w:sz w:val="24"/>
          <w:szCs w:val="24"/>
        </w:rPr>
        <w:t>aprūpes</w:t>
      </w:r>
      <w:r w:rsidR="000E594E" w:rsidRPr="00DA1AFB">
        <w:rPr>
          <w:rFonts w:ascii="Times New Roman" w:hAnsi="Times New Roman"/>
          <w:b/>
          <w:bCs/>
          <w:sz w:val="24"/>
          <w:szCs w:val="24"/>
        </w:rPr>
        <w:t xml:space="preserve"> </w:t>
      </w:r>
      <w:r w:rsidR="006027D0" w:rsidRPr="00DA1AFB">
        <w:rPr>
          <w:rFonts w:ascii="Times New Roman" w:hAnsi="Times New Roman"/>
          <w:b/>
          <w:bCs/>
          <w:sz w:val="24"/>
          <w:szCs w:val="24"/>
        </w:rPr>
        <w:t>uzlabošana</w:t>
      </w:r>
    </w:p>
    <w:p w14:paraId="59C2EF19" w14:textId="702B586C" w:rsidR="006027D0" w:rsidRDefault="006027D0" w:rsidP="00F36A9C">
      <w:pPr>
        <w:spacing w:after="0" w:line="240" w:lineRule="auto"/>
        <w:jc w:val="center"/>
        <w:rPr>
          <w:rFonts w:ascii="Times New Roman" w:hAnsi="Times New Roman"/>
          <w:b/>
          <w:sz w:val="24"/>
          <w:szCs w:val="24"/>
        </w:rPr>
      </w:pPr>
    </w:p>
    <w:p w14:paraId="53E7B068" w14:textId="40872099" w:rsidR="00972B28" w:rsidRDefault="00972B28" w:rsidP="00972B28">
      <w:pPr>
        <w:spacing w:after="0"/>
        <w:ind w:firstLine="720"/>
        <w:jc w:val="both"/>
        <w:rPr>
          <w:rFonts w:ascii="Times New Roman" w:eastAsia="Times New Roman" w:hAnsi="Times New Roman" w:cs="Times New Roman"/>
          <w:sz w:val="24"/>
          <w:szCs w:val="24"/>
        </w:rPr>
      </w:pPr>
      <w:r w:rsidRPr="001D6901">
        <w:rPr>
          <w:rFonts w:ascii="Times New Roman" w:eastAsia="Times New Roman" w:hAnsi="Times New Roman" w:cs="Times New Roman"/>
          <w:sz w:val="24"/>
          <w:szCs w:val="24"/>
        </w:rPr>
        <w:t>Psihiskā veselība ir nozīmīga un neatņemama vispārējās veselības komponente. Pasaules Veselības organizācijas ieskatā veselība ir pilnīga fiziska, garīga (psihiska) un sociāla labklājība, nevis tikai stāvoklis bez slimības vai fiziskiem trūkumiem</w:t>
      </w:r>
      <w:r w:rsidRPr="001D6901">
        <w:rPr>
          <w:rStyle w:val="FootnoteReference"/>
          <w:rFonts w:ascii="Times New Roman" w:eastAsia="Times New Roman" w:hAnsi="Times New Roman" w:cs="Times New Roman"/>
          <w:sz w:val="24"/>
          <w:szCs w:val="24"/>
        </w:rPr>
        <w:footnoteReference w:id="52"/>
      </w:r>
      <w:r w:rsidRPr="001D6901">
        <w:rPr>
          <w:rFonts w:ascii="Times New Roman" w:eastAsia="Times New Roman" w:hAnsi="Times New Roman" w:cs="Times New Roman"/>
          <w:sz w:val="24"/>
          <w:szCs w:val="24"/>
        </w:rPr>
        <w:t xml:space="preserve">. Savukārt specifiski psihiskā veselība ir labklājības stāvoklis, kad indivīds spēj īstenot savu potenciālu, tikt galā ar ikdienas stresu, produktīvi strādāt un sniegt savu ieguldījumu. Laba personiskā un vispārējā sabiedrības psihiskā veselība ir būtisks nosacījums stabilas, drošas un labklājības sabiedrības </w:t>
      </w:r>
      <w:r w:rsidRPr="001D6901">
        <w:rPr>
          <w:rFonts w:ascii="Times New Roman" w:eastAsia="Times New Roman" w:hAnsi="Times New Roman" w:cs="Times New Roman"/>
          <w:sz w:val="24"/>
          <w:szCs w:val="24"/>
        </w:rPr>
        <w:lastRenderedPageBreak/>
        <w:t>veidošanai.</w:t>
      </w:r>
      <w:r w:rsidR="00CB4485" w:rsidRPr="00CB4485">
        <w:rPr>
          <w:rFonts w:ascii="Times New Roman" w:eastAsia="Times New Roman" w:hAnsi="Times New Roman" w:cs="Times New Roman"/>
          <w:sz w:val="24"/>
          <w:szCs w:val="24"/>
        </w:rPr>
        <w:t xml:space="preserve"> </w:t>
      </w:r>
      <w:r w:rsidR="00CB4485" w:rsidRPr="002431F7">
        <w:rPr>
          <w:rFonts w:ascii="Times New Roman" w:eastAsia="Times New Roman" w:hAnsi="Times New Roman" w:cs="Times New Roman"/>
          <w:sz w:val="24"/>
          <w:szCs w:val="24"/>
        </w:rPr>
        <w:t>Pretēji tam – garīgā neveselība – nozīmē garīgās veselības sarežģījumus un spriedzi, nervu sistēmas darbības traucējumus, saistītus ar nemieru u.c. simptomiem, arī diagnosticējamus garīgus traucējumus, piemēram, šizofrēniju un depresiju</w:t>
      </w:r>
      <w:r w:rsidR="00CB4485">
        <w:rPr>
          <w:rStyle w:val="FootnoteReference"/>
          <w:rFonts w:ascii="Times New Roman" w:eastAsia="Times New Roman" w:hAnsi="Times New Roman" w:cs="Times New Roman"/>
          <w:sz w:val="24"/>
          <w:szCs w:val="24"/>
        </w:rPr>
        <w:footnoteReference w:id="53"/>
      </w:r>
      <w:r w:rsidR="00CB4485" w:rsidRPr="002431F7">
        <w:rPr>
          <w:rFonts w:ascii="Times New Roman" w:eastAsia="Times New Roman" w:hAnsi="Times New Roman" w:cs="Times New Roman"/>
          <w:sz w:val="24"/>
          <w:szCs w:val="24"/>
        </w:rPr>
        <w:t>.  Ģimenes ar maziem bērniem, vientuļie vecāki, sociālās atstumtības riskam pakļautās personas ietilpst riska grupās, un, pievienojoties vienam vai vairākiem stresa faktoriem, šo grupas locekļu vidū nereti sākas garīgā neveselība</w:t>
      </w:r>
      <w:r w:rsidR="00CB4485">
        <w:rPr>
          <w:rStyle w:val="FootnoteReference"/>
          <w:rFonts w:ascii="Times New Roman" w:eastAsia="Times New Roman" w:hAnsi="Times New Roman" w:cs="Times New Roman"/>
          <w:sz w:val="24"/>
          <w:szCs w:val="24"/>
        </w:rPr>
        <w:footnoteReference w:id="54"/>
      </w:r>
      <w:r w:rsidR="00CB4485">
        <w:rPr>
          <w:rFonts w:ascii="Times New Roman" w:eastAsia="Times New Roman" w:hAnsi="Times New Roman" w:cs="Times New Roman"/>
          <w:sz w:val="24"/>
          <w:szCs w:val="24"/>
        </w:rPr>
        <w:t>.</w:t>
      </w:r>
    </w:p>
    <w:p w14:paraId="1341AD34" w14:textId="77777777" w:rsidR="00CB4485" w:rsidRDefault="00CB4485" w:rsidP="00CB4485">
      <w:pPr>
        <w:spacing w:after="0"/>
        <w:ind w:firstLine="720"/>
        <w:jc w:val="both"/>
        <w:rPr>
          <w:rFonts w:ascii="Times New Roman" w:eastAsia="Times New Roman" w:hAnsi="Times New Roman" w:cs="Times New Roman"/>
          <w:sz w:val="24"/>
          <w:szCs w:val="24"/>
        </w:rPr>
      </w:pPr>
      <w:r w:rsidRPr="00A3751F">
        <w:rPr>
          <w:rFonts w:ascii="Times New Roman" w:eastAsia="Times New Roman" w:hAnsi="Times New Roman" w:cs="Times New Roman"/>
          <w:sz w:val="24"/>
          <w:szCs w:val="24"/>
        </w:rPr>
        <w:t>Cilvēka psihisko veselību raksturo emocionālā labsajūta, kuru veido spēja bez liekām bailēm uzticēties sev un apkārtējiem, bez kauna izjūtas būt neatkarīgam, patstāvīgam, bez patoloģiskas vainas izjūtas aktīvam un iniciatīvas bagātam. Psihiski veseliem cilvēkiem ir augstāks izglītības līmenis, labāka nodarbošanās, kā rezultātā – augstāki ienākumi; viņi ir fiziski veselāki, ar vēlmi un spēju realizēt savu potenciālu dzīvē</w:t>
      </w:r>
      <w:r>
        <w:rPr>
          <w:rStyle w:val="FootnoteReference"/>
          <w:rFonts w:ascii="Times New Roman" w:eastAsia="Times New Roman" w:hAnsi="Times New Roman" w:cs="Times New Roman"/>
          <w:sz w:val="24"/>
          <w:szCs w:val="24"/>
        </w:rPr>
        <w:footnoteReference w:id="55"/>
      </w:r>
      <w:r w:rsidRPr="00A3751F">
        <w:rPr>
          <w:rFonts w:ascii="Times New Roman" w:eastAsia="Times New Roman" w:hAnsi="Times New Roman" w:cs="Times New Roman"/>
          <w:sz w:val="24"/>
          <w:szCs w:val="24"/>
        </w:rPr>
        <w:t>.  No minētā izriet viens no nozīmīgiem faktoriem, ar kuru saistīts sabiedrības veselības un psihiskās veselības stāvoklis, – materiālās labklājības līmenis. Noskaidrots, ka atsevišķās sabiedrības grupās (bezpajumtnieki, ilgstoši bezdarbnieki, trūcīgie), kur pastāv vairāk negatīvo faktoru (aukstums, nepietiekams uzturs), indivīdu dzīves ilgums saīsinās, vairāk ir fiziski un psihiski slimu cilvēku, un ārstējoties ir tendence ilgāk palikt stacionārā nekā materiāli nodrošinātajiem</w:t>
      </w:r>
      <w:r>
        <w:rPr>
          <w:rStyle w:val="FootnoteReference"/>
          <w:rFonts w:ascii="Times New Roman" w:eastAsia="Times New Roman" w:hAnsi="Times New Roman" w:cs="Times New Roman"/>
          <w:sz w:val="24"/>
          <w:szCs w:val="24"/>
        </w:rPr>
        <w:footnoteReference w:id="56"/>
      </w:r>
      <w:r w:rsidRPr="00A3751F">
        <w:rPr>
          <w:rFonts w:ascii="Times New Roman" w:eastAsia="Times New Roman" w:hAnsi="Times New Roman" w:cs="Times New Roman"/>
          <w:sz w:val="24"/>
          <w:szCs w:val="24"/>
        </w:rPr>
        <w:t>.</w:t>
      </w:r>
    </w:p>
    <w:p w14:paraId="1AFA66AD" w14:textId="3B3D9FF6" w:rsidR="00CB4485" w:rsidRPr="00C94F00" w:rsidRDefault="00CB4485" w:rsidP="00972B28">
      <w:pPr>
        <w:spacing w:after="0"/>
        <w:ind w:firstLine="720"/>
        <w:jc w:val="both"/>
        <w:rPr>
          <w:rFonts w:ascii="Times New Roman" w:eastAsia="Times New Roman" w:hAnsi="Times New Roman" w:cs="Times New Roman"/>
          <w:sz w:val="24"/>
          <w:szCs w:val="24"/>
        </w:rPr>
      </w:pPr>
      <w:r w:rsidRPr="009D3A98">
        <w:rPr>
          <w:rFonts w:ascii="Times New Roman" w:eastAsia="Times New Roman" w:hAnsi="Times New Roman" w:cs="Times New Roman"/>
          <w:sz w:val="24"/>
          <w:szCs w:val="24"/>
        </w:rPr>
        <w:t>Health For All datubāzē jaunākie pieejamie dati liecina, ka Latvija joprojām atrodas 8. vietā pēc pirmreizējo pacientu skaita ar psihiskiem un uzvedības traucējumiem uz 100 000 iedzīvotāju 13 Eiropas Savienības (ES) valstu vidū, par kurām pieejami dati</w:t>
      </w:r>
      <w:r>
        <w:rPr>
          <w:rStyle w:val="FootnoteReference"/>
          <w:rFonts w:ascii="Times New Roman" w:eastAsia="Times New Roman" w:hAnsi="Times New Roman" w:cs="Times New Roman"/>
          <w:sz w:val="24"/>
          <w:szCs w:val="24"/>
        </w:rPr>
        <w:footnoteReference w:id="57"/>
      </w:r>
      <w:r>
        <w:rPr>
          <w:rFonts w:ascii="Times New Roman" w:eastAsia="Times New Roman" w:hAnsi="Times New Roman" w:cs="Times New Roman"/>
          <w:sz w:val="24"/>
          <w:szCs w:val="24"/>
        </w:rPr>
        <w:t xml:space="preserve"> </w:t>
      </w:r>
      <w:r w:rsidRPr="00C94F00">
        <w:rPr>
          <w:rFonts w:ascii="Times New Roman" w:eastAsia="Times New Roman" w:hAnsi="Times New Roman" w:cs="Times New Roman"/>
          <w:sz w:val="24"/>
          <w:szCs w:val="24"/>
        </w:rPr>
        <w:t>(</w:t>
      </w:r>
      <w:r w:rsidR="00C94F00" w:rsidRPr="00C94F00">
        <w:rPr>
          <w:rFonts w:ascii="Times New Roman" w:eastAsia="Times New Roman" w:hAnsi="Times New Roman" w:cs="Times New Roman"/>
          <w:sz w:val="24"/>
          <w:szCs w:val="24"/>
        </w:rPr>
        <w:t>7</w:t>
      </w:r>
      <w:r w:rsidRPr="006342E6">
        <w:rPr>
          <w:rFonts w:ascii="Times New Roman" w:eastAsia="Times New Roman" w:hAnsi="Times New Roman" w:cs="Times New Roman"/>
          <w:sz w:val="24"/>
          <w:szCs w:val="24"/>
        </w:rPr>
        <w:t>.</w:t>
      </w:r>
      <w:r w:rsidRPr="00C94F00">
        <w:rPr>
          <w:rFonts w:ascii="Times New Roman" w:eastAsia="Times New Roman" w:hAnsi="Times New Roman" w:cs="Times New Roman"/>
          <w:sz w:val="24"/>
          <w:szCs w:val="24"/>
        </w:rPr>
        <w:t xml:space="preserve"> attēls).</w:t>
      </w:r>
    </w:p>
    <w:p w14:paraId="7E3CFD1F" w14:textId="77777777" w:rsidR="00C94F00" w:rsidRDefault="00C94F00" w:rsidP="00341D81">
      <w:pPr>
        <w:spacing w:after="0"/>
        <w:rPr>
          <w:rFonts w:ascii="Times New Roman" w:eastAsia="Times New Roman" w:hAnsi="Times New Roman" w:cs="Times New Roman"/>
          <w:sz w:val="24"/>
          <w:szCs w:val="24"/>
        </w:rPr>
      </w:pPr>
    </w:p>
    <w:p w14:paraId="43579E07" w14:textId="77777777" w:rsidR="00C94F00" w:rsidRDefault="00C94F00" w:rsidP="006342E6">
      <w:pPr>
        <w:spacing w:after="0"/>
        <w:ind w:firstLine="720"/>
        <w:jc w:val="right"/>
        <w:rPr>
          <w:rFonts w:ascii="Times New Roman" w:eastAsia="Times New Roman" w:hAnsi="Times New Roman" w:cs="Times New Roman"/>
          <w:sz w:val="24"/>
          <w:szCs w:val="24"/>
        </w:rPr>
      </w:pPr>
    </w:p>
    <w:p w14:paraId="12982F3C" w14:textId="77777777" w:rsidR="000930F6" w:rsidRDefault="000930F6" w:rsidP="006342E6">
      <w:pPr>
        <w:spacing w:after="0"/>
        <w:ind w:firstLine="720"/>
        <w:jc w:val="right"/>
        <w:rPr>
          <w:rFonts w:ascii="Times New Roman" w:eastAsia="Times New Roman" w:hAnsi="Times New Roman" w:cs="Times New Roman"/>
          <w:sz w:val="24"/>
          <w:szCs w:val="24"/>
        </w:rPr>
      </w:pPr>
    </w:p>
    <w:p w14:paraId="32821FAB" w14:textId="77777777" w:rsidR="000930F6" w:rsidRDefault="000930F6" w:rsidP="006342E6">
      <w:pPr>
        <w:spacing w:after="0"/>
        <w:ind w:firstLine="720"/>
        <w:jc w:val="right"/>
        <w:rPr>
          <w:rFonts w:ascii="Times New Roman" w:eastAsia="Times New Roman" w:hAnsi="Times New Roman" w:cs="Times New Roman"/>
          <w:sz w:val="24"/>
          <w:szCs w:val="24"/>
        </w:rPr>
      </w:pPr>
    </w:p>
    <w:p w14:paraId="059F9887" w14:textId="77777777" w:rsidR="000930F6" w:rsidRDefault="000930F6" w:rsidP="006342E6">
      <w:pPr>
        <w:spacing w:after="0"/>
        <w:ind w:firstLine="720"/>
        <w:jc w:val="right"/>
        <w:rPr>
          <w:rFonts w:ascii="Times New Roman" w:eastAsia="Times New Roman" w:hAnsi="Times New Roman" w:cs="Times New Roman"/>
          <w:sz w:val="24"/>
          <w:szCs w:val="24"/>
        </w:rPr>
      </w:pPr>
    </w:p>
    <w:p w14:paraId="01B4AE2E" w14:textId="77777777" w:rsidR="000930F6" w:rsidRDefault="000930F6" w:rsidP="006342E6">
      <w:pPr>
        <w:spacing w:after="0"/>
        <w:ind w:firstLine="720"/>
        <w:jc w:val="right"/>
        <w:rPr>
          <w:rFonts w:ascii="Times New Roman" w:eastAsia="Times New Roman" w:hAnsi="Times New Roman" w:cs="Times New Roman"/>
          <w:sz w:val="24"/>
          <w:szCs w:val="24"/>
        </w:rPr>
      </w:pPr>
    </w:p>
    <w:p w14:paraId="6490F614" w14:textId="77777777" w:rsidR="000930F6" w:rsidRDefault="000930F6" w:rsidP="006342E6">
      <w:pPr>
        <w:spacing w:after="0"/>
        <w:ind w:firstLine="720"/>
        <w:jc w:val="right"/>
        <w:rPr>
          <w:rFonts w:ascii="Times New Roman" w:eastAsia="Times New Roman" w:hAnsi="Times New Roman" w:cs="Times New Roman"/>
          <w:sz w:val="24"/>
          <w:szCs w:val="24"/>
        </w:rPr>
      </w:pPr>
    </w:p>
    <w:p w14:paraId="5334B167" w14:textId="77777777" w:rsidR="000930F6" w:rsidRDefault="000930F6" w:rsidP="006342E6">
      <w:pPr>
        <w:spacing w:after="0"/>
        <w:ind w:firstLine="720"/>
        <w:jc w:val="right"/>
        <w:rPr>
          <w:rFonts w:ascii="Times New Roman" w:eastAsia="Times New Roman" w:hAnsi="Times New Roman" w:cs="Times New Roman"/>
          <w:sz w:val="24"/>
          <w:szCs w:val="24"/>
        </w:rPr>
      </w:pPr>
    </w:p>
    <w:p w14:paraId="722DC8E9" w14:textId="77777777" w:rsidR="000930F6" w:rsidRDefault="000930F6" w:rsidP="006342E6">
      <w:pPr>
        <w:spacing w:after="0"/>
        <w:ind w:firstLine="720"/>
        <w:jc w:val="right"/>
        <w:rPr>
          <w:rFonts w:ascii="Times New Roman" w:eastAsia="Times New Roman" w:hAnsi="Times New Roman" w:cs="Times New Roman"/>
          <w:sz w:val="24"/>
          <w:szCs w:val="24"/>
        </w:rPr>
      </w:pPr>
    </w:p>
    <w:p w14:paraId="4355BBB8" w14:textId="77777777" w:rsidR="000930F6" w:rsidRDefault="000930F6" w:rsidP="006342E6">
      <w:pPr>
        <w:spacing w:after="0"/>
        <w:ind w:firstLine="720"/>
        <w:jc w:val="right"/>
        <w:rPr>
          <w:rFonts w:ascii="Times New Roman" w:eastAsia="Times New Roman" w:hAnsi="Times New Roman" w:cs="Times New Roman"/>
          <w:sz w:val="24"/>
          <w:szCs w:val="24"/>
        </w:rPr>
      </w:pPr>
    </w:p>
    <w:p w14:paraId="27513958" w14:textId="77777777" w:rsidR="000930F6" w:rsidRDefault="000930F6" w:rsidP="006342E6">
      <w:pPr>
        <w:spacing w:after="0"/>
        <w:ind w:firstLine="720"/>
        <w:jc w:val="right"/>
        <w:rPr>
          <w:rFonts w:ascii="Times New Roman" w:eastAsia="Times New Roman" w:hAnsi="Times New Roman" w:cs="Times New Roman"/>
          <w:sz w:val="24"/>
          <w:szCs w:val="24"/>
        </w:rPr>
      </w:pPr>
    </w:p>
    <w:p w14:paraId="296DEF70" w14:textId="77777777" w:rsidR="000930F6" w:rsidRDefault="000930F6" w:rsidP="006342E6">
      <w:pPr>
        <w:spacing w:after="0"/>
        <w:ind w:firstLine="720"/>
        <w:jc w:val="right"/>
        <w:rPr>
          <w:rFonts w:ascii="Times New Roman" w:eastAsia="Times New Roman" w:hAnsi="Times New Roman" w:cs="Times New Roman"/>
          <w:sz w:val="24"/>
          <w:szCs w:val="24"/>
        </w:rPr>
      </w:pPr>
    </w:p>
    <w:p w14:paraId="5CA90E3B" w14:textId="77777777" w:rsidR="000930F6" w:rsidRDefault="000930F6" w:rsidP="006342E6">
      <w:pPr>
        <w:spacing w:after="0"/>
        <w:ind w:firstLine="720"/>
        <w:jc w:val="right"/>
        <w:rPr>
          <w:rFonts w:ascii="Times New Roman" w:eastAsia="Times New Roman" w:hAnsi="Times New Roman" w:cs="Times New Roman"/>
          <w:sz w:val="24"/>
          <w:szCs w:val="24"/>
        </w:rPr>
      </w:pPr>
    </w:p>
    <w:p w14:paraId="2EBD7E2B" w14:textId="77777777" w:rsidR="000930F6" w:rsidRDefault="000930F6" w:rsidP="006342E6">
      <w:pPr>
        <w:spacing w:after="0"/>
        <w:ind w:firstLine="720"/>
        <w:jc w:val="right"/>
        <w:rPr>
          <w:rFonts w:ascii="Times New Roman" w:eastAsia="Times New Roman" w:hAnsi="Times New Roman" w:cs="Times New Roman"/>
          <w:sz w:val="24"/>
          <w:szCs w:val="24"/>
        </w:rPr>
      </w:pPr>
    </w:p>
    <w:p w14:paraId="5E264CEC" w14:textId="5C93D775" w:rsidR="00CB4485" w:rsidRDefault="00C94F00" w:rsidP="006342E6">
      <w:pPr>
        <w:spacing w:after="0"/>
        <w:ind w:firstLine="720"/>
        <w:jc w:val="right"/>
        <w:rPr>
          <w:rFonts w:ascii="Times New Roman" w:eastAsia="Times New Roman" w:hAnsi="Times New Roman" w:cs="Times New Roman"/>
          <w:sz w:val="24"/>
          <w:szCs w:val="24"/>
        </w:rPr>
      </w:pPr>
      <w:r w:rsidRPr="006342E6">
        <w:rPr>
          <w:rFonts w:ascii="Times New Roman" w:eastAsia="Times New Roman" w:hAnsi="Times New Roman" w:cs="Times New Roman"/>
          <w:sz w:val="24"/>
          <w:szCs w:val="24"/>
        </w:rPr>
        <w:lastRenderedPageBreak/>
        <w:t>7</w:t>
      </w:r>
      <w:r w:rsidR="00CB4485" w:rsidRPr="006342E6">
        <w:rPr>
          <w:rFonts w:ascii="Times New Roman" w:eastAsia="Times New Roman" w:hAnsi="Times New Roman" w:cs="Times New Roman"/>
          <w:sz w:val="24"/>
          <w:szCs w:val="24"/>
        </w:rPr>
        <w:t>.</w:t>
      </w:r>
      <w:r w:rsidR="00CB4485" w:rsidRPr="00C94F00">
        <w:rPr>
          <w:rFonts w:ascii="Times New Roman" w:eastAsia="Times New Roman" w:hAnsi="Times New Roman" w:cs="Times New Roman"/>
          <w:sz w:val="24"/>
          <w:szCs w:val="24"/>
        </w:rPr>
        <w:t>attēls</w:t>
      </w:r>
      <w:r w:rsidR="00CB4485" w:rsidRPr="009D3A98">
        <w:rPr>
          <w:rFonts w:ascii="Times New Roman" w:eastAsia="Times New Roman" w:hAnsi="Times New Roman" w:cs="Times New Roman"/>
          <w:sz w:val="24"/>
          <w:szCs w:val="24"/>
        </w:rPr>
        <w:t xml:space="preserve">. </w:t>
      </w:r>
    </w:p>
    <w:p w14:paraId="60497A76" w14:textId="7DEBE7BE" w:rsidR="00CB4485" w:rsidRDefault="00CB4485" w:rsidP="006342E6">
      <w:pPr>
        <w:spacing w:after="0"/>
        <w:ind w:firstLine="720"/>
        <w:jc w:val="center"/>
        <w:rPr>
          <w:rFonts w:ascii="Times New Roman" w:eastAsia="Times New Roman" w:hAnsi="Times New Roman" w:cs="Times New Roman"/>
          <w:sz w:val="24"/>
          <w:szCs w:val="24"/>
        </w:rPr>
      </w:pPr>
      <w:r w:rsidRPr="009D3A98">
        <w:rPr>
          <w:rFonts w:ascii="Times New Roman" w:eastAsia="Times New Roman" w:hAnsi="Times New Roman" w:cs="Times New Roman"/>
          <w:sz w:val="24"/>
          <w:szCs w:val="24"/>
        </w:rPr>
        <w:t>Pirmreizējie pacienti ar psihiskiem un uzvedības traucējumiem (F00-F99) uz 100 000 valsts iedzīvotāju 13 ES dalībvalstīs</w:t>
      </w:r>
    </w:p>
    <w:p w14:paraId="51554651" w14:textId="18A1C012" w:rsidR="00CB4485" w:rsidRPr="001D6901" w:rsidRDefault="00CB4485" w:rsidP="00235FE8">
      <w:pPr>
        <w:spacing w:after="0"/>
        <w:ind w:firstLine="720"/>
        <w:rPr>
          <w:rFonts w:ascii="Times New Roman" w:eastAsia="Times New Roman" w:hAnsi="Times New Roman" w:cs="Times New Roman"/>
          <w:sz w:val="24"/>
          <w:szCs w:val="24"/>
        </w:rPr>
      </w:pPr>
      <w:r>
        <w:rPr>
          <w:noProof/>
        </w:rPr>
        <w:drawing>
          <wp:inline distT="0" distB="0" distL="0" distR="0" wp14:anchorId="0A83C528" wp14:editId="3D2EF30A">
            <wp:extent cx="5279666" cy="3355451"/>
            <wp:effectExtent l="0" t="0" r="1651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9E8E32" w14:textId="77777777" w:rsidR="00CB4485" w:rsidRDefault="00CB4485" w:rsidP="00CB4485">
      <w:pPr>
        <w:spacing w:after="0"/>
        <w:ind w:firstLine="720"/>
        <w:jc w:val="both"/>
        <w:rPr>
          <w:rFonts w:ascii="Times New Roman" w:eastAsia="Times New Roman" w:hAnsi="Times New Roman" w:cs="Times New Roman"/>
          <w:sz w:val="24"/>
          <w:szCs w:val="24"/>
        </w:rPr>
      </w:pPr>
    </w:p>
    <w:p w14:paraId="6B719EE8" w14:textId="191BC699" w:rsidR="00CB4485" w:rsidRDefault="00CB4485" w:rsidP="00CB448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OECD datiem psihiskas veselības problēmas  dzīves laikā saskaras katrs otrais cilvēks un katrs piektais pieaugušais darbspējīgā vecumā cieš no psihiskās veselības traucējumiem. Tikai depresija vien ietekmē miljoniem cilvēku katru gadu. Eiropā ar depresiju vidēji slimo 7,9% no populācijas</w:t>
      </w:r>
      <w:r>
        <w:rPr>
          <w:rStyle w:val="FootnoteReference"/>
          <w:rFonts w:ascii="Times New Roman" w:eastAsia="Times New Roman" w:hAnsi="Times New Roman" w:cs="Times New Roman"/>
          <w:sz w:val="24"/>
          <w:szCs w:val="24"/>
        </w:rPr>
        <w:footnoteReference w:id="58"/>
      </w:r>
      <w:r>
        <w:rPr>
          <w:rFonts w:ascii="Times New Roman" w:eastAsia="Times New Roman" w:hAnsi="Times New Roman" w:cs="Times New Roman"/>
          <w:sz w:val="24"/>
          <w:szCs w:val="24"/>
        </w:rPr>
        <w:t>.</w:t>
      </w:r>
    </w:p>
    <w:p w14:paraId="1157AC17" w14:textId="16D3B4DF" w:rsidR="00CB4485" w:rsidRDefault="00CB4485" w:rsidP="00CB448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 liecina PVO apkopotā informācija</w:t>
      </w:r>
      <w:r>
        <w:rPr>
          <w:rStyle w:val="FootnoteReference"/>
          <w:rFonts w:ascii="Times New Roman" w:eastAsia="Times New Roman" w:hAnsi="Times New Roman" w:cs="Times New Roman"/>
          <w:sz w:val="24"/>
          <w:szCs w:val="24"/>
        </w:rPr>
        <w:footnoteReference w:id="59"/>
      </w:r>
      <w:r>
        <w:rPr>
          <w:rFonts w:ascii="Times New Roman" w:eastAsia="Times New Roman" w:hAnsi="Times New Roman" w:cs="Times New Roman"/>
          <w:sz w:val="24"/>
          <w:szCs w:val="24"/>
        </w:rPr>
        <w:t xml:space="preserve"> psihisko traucējumu izplatība Eiropā laika posmā no 2005.gada līdz 2015.gadam palielinājās aptuveni par 16% un ir sagaidāms, ka tas turpinās pieaugt sakarā ar paaugstinātu nelabvēlīgo risku (stress, migrācija) iedarbību, kā arī populācijas novecošanos. Tāpat cilvēki, kuri slimo ar psihiskās veselības traucējumiem mirst 20 gadus ātrāk kā pārējo iedzīvotāju daļa. Tāpat pašnāvības gadījumi ir cieši saistīta ar psihiskās veselības traucējumiem. Eiropā pašnāvību rādītājs ir nepieņemami au</w:t>
      </w:r>
      <w:r w:rsidR="00EC6E7E">
        <w:rPr>
          <w:rFonts w:ascii="Times New Roman" w:eastAsia="Times New Roman" w:hAnsi="Times New Roman" w:cs="Times New Roman"/>
          <w:sz w:val="24"/>
          <w:szCs w:val="24"/>
        </w:rPr>
        <w:t>g</w:t>
      </w:r>
      <w:r>
        <w:rPr>
          <w:rFonts w:ascii="Times New Roman" w:eastAsia="Times New Roman" w:hAnsi="Times New Roman" w:cs="Times New Roman"/>
          <w:sz w:val="24"/>
          <w:szCs w:val="24"/>
        </w:rPr>
        <w:t>sts – vidējais standartizētais rādītājs no pašnāvībām 2015.gadā bija 14,1 uz 100 000 iedzīvotājiem virs  pasaules  vidējā 13,6. Turklāt 11 valstis no top 20 valstīm ar augstāko aprēķināto pašnāvību rādītāju visā pasaulē atrodas Eiropā.</w:t>
      </w:r>
    </w:p>
    <w:p w14:paraId="43F59D13" w14:textId="4E1D5067" w:rsidR="00CB4485" w:rsidRDefault="00CB4485" w:rsidP="00CB4485">
      <w:pPr>
        <w:spacing w:after="0"/>
        <w:ind w:firstLine="720"/>
        <w:jc w:val="both"/>
        <w:rPr>
          <w:rFonts w:ascii="Times New Roman" w:eastAsia="Times New Roman" w:hAnsi="Times New Roman" w:cs="Times New Roman"/>
          <w:sz w:val="24"/>
          <w:szCs w:val="24"/>
        </w:rPr>
      </w:pPr>
      <w:r w:rsidRPr="001D6901">
        <w:rPr>
          <w:rFonts w:ascii="Times New Roman" w:eastAsia="Times New Roman" w:hAnsi="Times New Roman" w:cs="Times New Roman"/>
          <w:sz w:val="24"/>
          <w:szCs w:val="24"/>
        </w:rPr>
        <w:t>Sabiedrības veselības pamatnostādnēs 2014.-2020.gadam identificēt</w:t>
      </w:r>
      <w:r>
        <w:rPr>
          <w:rFonts w:ascii="Times New Roman" w:eastAsia="Times New Roman" w:hAnsi="Times New Roman" w:cs="Times New Roman"/>
          <w:sz w:val="24"/>
          <w:szCs w:val="24"/>
        </w:rPr>
        <w:t>ās</w:t>
      </w:r>
      <w:r w:rsidRPr="001D6901">
        <w:rPr>
          <w:rFonts w:ascii="Times New Roman" w:eastAsia="Times New Roman" w:hAnsi="Times New Roman" w:cs="Times New Roman"/>
          <w:sz w:val="24"/>
          <w:szCs w:val="24"/>
        </w:rPr>
        <w:t xml:space="preserve"> problēm</w:t>
      </w:r>
      <w:r>
        <w:rPr>
          <w:rFonts w:ascii="Times New Roman" w:eastAsia="Times New Roman" w:hAnsi="Times New Roman" w:cs="Times New Roman"/>
          <w:sz w:val="24"/>
          <w:szCs w:val="24"/>
        </w:rPr>
        <w:t>as norāda, ka</w:t>
      </w:r>
      <w:r w:rsidRPr="001D6901">
        <w:rPr>
          <w:rFonts w:ascii="Times New Roman" w:eastAsia="Times New Roman" w:hAnsi="Times New Roman" w:cs="Times New Roman"/>
          <w:sz w:val="24"/>
          <w:szCs w:val="24"/>
        </w:rPr>
        <w:t xml:space="preserve"> sabiedrībā valda aizspriedumi pret cilvēkiem ar </w:t>
      </w:r>
      <w:r>
        <w:rPr>
          <w:rFonts w:ascii="Times New Roman" w:eastAsia="Times New Roman" w:hAnsi="Times New Roman" w:cs="Times New Roman"/>
          <w:sz w:val="24"/>
          <w:szCs w:val="24"/>
        </w:rPr>
        <w:t>psihiskās</w:t>
      </w:r>
      <w:r w:rsidRPr="001D6901">
        <w:rPr>
          <w:rFonts w:ascii="Times New Roman" w:eastAsia="Times New Roman" w:hAnsi="Times New Roman" w:cs="Times New Roman"/>
          <w:sz w:val="24"/>
          <w:szCs w:val="24"/>
        </w:rPr>
        <w:t xml:space="preserve"> veselības traucējumiem, </w:t>
      </w:r>
      <w:r w:rsidRPr="001D6901">
        <w:rPr>
          <w:rFonts w:ascii="Times New Roman" w:eastAsia="Times New Roman" w:hAnsi="Times New Roman" w:cs="Times New Roman"/>
          <w:sz w:val="24"/>
          <w:szCs w:val="24"/>
        </w:rPr>
        <w:lastRenderedPageBreak/>
        <w:t>kas kavē šo cilvēku iekļaušanu sabiedrībā. Saglabājas augsti mirstības rādītāji (jo īpaši vīriešu) no pašnāvībām, pieaug to cilvēku skaits, kuri izjūt stresu, sasprindzinājumu un nomāktību</w:t>
      </w:r>
      <w:r w:rsidRPr="001D6901">
        <w:rPr>
          <w:rStyle w:val="FootnoteReference"/>
          <w:rFonts w:ascii="Times New Roman" w:eastAsia="Times New Roman" w:hAnsi="Times New Roman" w:cs="Times New Roman"/>
          <w:sz w:val="24"/>
          <w:szCs w:val="24"/>
        </w:rPr>
        <w:footnoteReference w:id="60"/>
      </w:r>
      <w:r w:rsidRPr="001D6901">
        <w:rPr>
          <w:rFonts w:ascii="Times New Roman" w:eastAsia="Times New Roman" w:hAnsi="Times New Roman" w:cs="Times New Roman"/>
          <w:sz w:val="24"/>
          <w:szCs w:val="24"/>
        </w:rPr>
        <w:t xml:space="preserve">. Viens no būtiskiem psihiskās veselības indikatoriem ir pašnāvības. </w:t>
      </w:r>
      <w:r w:rsidRPr="001D6901">
        <w:rPr>
          <w:rFonts w:ascii="Times New Roman" w:hAnsi="Times New Roman" w:cs="Times New Roman"/>
          <w:sz w:val="24"/>
          <w:szCs w:val="24"/>
        </w:rPr>
        <w:t>Latvijas iedzīvotāju vidū pašnāvību standartizētie rādītāji ir augstāki nekā vid</w:t>
      </w:r>
      <w:r>
        <w:rPr>
          <w:rFonts w:ascii="Times New Roman" w:hAnsi="Times New Roman" w:cs="Times New Roman"/>
          <w:sz w:val="24"/>
          <w:szCs w:val="24"/>
        </w:rPr>
        <w:t>ēji Eiropā: 2014.</w:t>
      </w:r>
      <w:r w:rsidRPr="001D6901">
        <w:rPr>
          <w:rFonts w:ascii="Times New Roman" w:hAnsi="Times New Roman" w:cs="Times New Roman"/>
          <w:sz w:val="24"/>
          <w:szCs w:val="24"/>
        </w:rPr>
        <w:t xml:space="preserve">gadā </w:t>
      </w:r>
      <w:r>
        <w:rPr>
          <w:rFonts w:ascii="Times New Roman" w:hAnsi="Times New Roman" w:cs="Times New Roman"/>
          <w:sz w:val="24"/>
          <w:szCs w:val="24"/>
        </w:rPr>
        <w:t> Latvijā standartizētais mirstības rādītājs no pašnāvībām bija 17,2 uz 100 000</w:t>
      </w:r>
      <w:r w:rsidRPr="001D6901">
        <w:rPr>
          <w:rFonts w:ascii="Times New Roman" w:hAnsi="Times New Roman" w:cs="Times New Roman"/>
          <w:sz w:val="24"/>
          <w:szCs w:val="24"/>
        </w:rPr>
        <w:t xml:space="preserve"> iedzīvotāj</w:t>
      </w:r>
      <w:r>
        <w:rPr>
          <w:rFonts w:ascii="Times New Roman" w:hAnsi="Times New Roman" w:cs="Times New Roman"/>
          <w:sz w:val="24"/>
          <w:szCs w:val="24"/>
        </w:rPr>
        <w:t>iem</w:t>
      </w:r>
      <w:r w:rsidR="004F0365">
        <w:rPr>
          <w:rFonts w:ascii="Times New Roman" w:hAnsi="Times New Roman" w:cs="Times New Roman"/>
          <w:sz w:val="24"/>
          <w:szCs w:val="24"/>
        </w:rPr>
        <w:t>,</w:t>
      </w:r>
      <w:r w:rsidRPr="001D6901">
        <w:rPr>
          <w:rFonts w:ascii="Times New Roman" w:hAnsi="Times New Roman" w:cs="Times New Roman"/>
          <w:sz w:val="24"/>
          <w:szCs w:val="24"/>
        </w:rPr>
        <w:t xml:space="preserve"> </w:t>
      </w:r>
      <w:r w:rsidR="004F0365">
        <w:rPr>
          <w:rFonts w:ascii="Times New Roman" w:hAnsi="Times New Roman" w:cs="Times New Roman"/>
          <w:sz w:val="24"/>
          <w:szCs w:val="24"/>
        </w:rPr>
        <w:t>d</w:t>
      </w:r>
      <w:r>
        <w:rPr>
          <w:rFonts w:ascii="Times New Roman" w:hAnsi="Times New Roman" w:cs="Times New Roman"/>
          <w:sz w:val="24"/>
          <w:szCs w:val="24"/>
        </w:rPr>
        <w:t>epresija ir minēta kā biežākais pašnāvību cēlonis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p>
    <w:p w14:paraId="4097C362" w14:textId="77777777" w:rsidR="00CB4485" w:rsidRPr="00A8057A" w:rsidRDefault="00CB4485" w:rsidP="00CB448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2016.gadā veikto pētījumu</w:t>
      </w:r>
      <w:r>
        <w:rPr>
          <w:rStyle w:val="FootnoteReference"/>
          <w:rFonts w:ascii="Times New Roman" w:eastAsia="Times New Roman" w:hAnsi="Times New Roman" w:cs="Times New Roman"/>
          <w:sz w:val="24"/>
          <w:szCs w:val="24"/>
        </w:rPr>
        <w:footnoteReference w:id="62"/>
      </w:r>
      <w:r>
        <w:rPr>
          <w:rFonts w:ascii="Times New Roman" w:eastAsia="Times New Roman" w:hAnsi="Times New Roman" w:cs="Times New Roman"/>
          <w:sz w:val="24"/>
          <w:szCs w:val="24"/>
        </w:rPr>
        <w:t xml:space="preserve"> Latvijā </w:t>
      </w:r>
      <w:r w:rsidRPr="002551EE">
        <w:rPr>
          <w:rFonts w:ascii="Times New Roman" w:eastAsia="Times New Roman" w:hAnsi="Times New Roman" w:cs="Times New Roman"/>
          <w:sz w:val="24"/>
          <w:szCs w:val="24"/>
        </w:rPr>
        <w:t>simptomus un sūdzības par depresiju atzīmējuši 6,7% respondentu.</w:t>
      </w:r>
      <w:r>
        <w:rPr>
          <w:rFonts w:ascii="Times New Roman" w:eastAsia="Times New Roman" w:hAnsi="Times New Roman" w:cs="Times New Roman"/>
          <w:sz w:val="24"/>
          <w:szCs w:val="24"/>
        </w:rPr>
        <w:t xml:space="preserve"> </w:t>
      </w:r>
      <w:r w:rsidRPr="002551EE">
        <w:rPr>
          <w:rFonts w:ascii="Times New Roman" w:eastAsia="Times New Roman" w:hAnsi="Times New Roman" w:cs="Times New Roman"/>
          <w:sz w:val="24"/>
          <w:szCs w:val="24"/>
        </w:rPr>
        <w:t>2016. gadā kopumā 6,0% respondentu norādījuši, ka pēdējā mēneša laikā sasprindzinājumu, stresu un nomāktību izjutuši biežāk nekā pārējie, savukārt kopumā 0,6% respondentu savu dzīvi ir atzinuši par neciešamu.</w:t>
      </w:r>
      <w:r>
        <w:rPr>
          <w:rFonts w:ascii="Times New Roman" w:eastAsia="Times New Roman" w:hAnsi="Times New Roman" w:cs="Times New Roman"/>
          <w:sz w:val="24"/>
          <w:szCs w:val="24"/>
        </w:rPr>
        <w:t xml:space="preserve"> </w:t>
      </w:r>
      <w:r w:rsidRPr="00A8057A">
        <w:rPr>
          <w:rFonts w:ascii="Times New Roman" w:eastAsia="Times New Roman" w:hAnsi="Times New Roman" w:cs="Times New Roman"/>
          <w:sz w:val="24"/>
          <w:szCs w:val="24"/>
        </w:rPr>
        <w:t xml:space="preserve">Lai arī Latvijā patlaban ir pieejamas pašas modernākās depresijas ārstēšanas metodes, sabiedrības atšķirīgās attieksmes dēļ cilvēki nelabprāt vēršas pēc palīdzības pie speciālistiem. </w:t>
      </w:r>
      <w:r>
        <w:rPr>
          <w:rFonts w:ascii="Times New Roman" w:eastAsia="Times New Roman" w:hAnsi="Times New Roman" w:cs="Times New Roman"/>
          <w:sz w:val="24"/>
          <w:szCs w:val="24"/>
        </w:rPr>
        <w:t xml:space="preserve">Latvijas psihiatru asociācijas ieskatā tikai 7.5% iedzīvotāju no visiem, kuri </w:t>
      </w:r>
      <w:r w:rsidRPr="00A8057A">
        <w:rPr>
          <w:rFonts w:ascii="Times New Roman" w:eastAsia="Times New Roman" w:hAnsi="Times New Roman" w:cs="Times New Roman"/>
          <w:sz w:val="24"/>
          <w:szCs w:val="24"/>
        </w:rPr>
        <w:t>ir atzīmējuši sev nozīmīgus depresijas simptomus</w:t>
      </w:r>
      <w:r>
        <w:rPr>
          <w:rFonts w:ascii="Times New Roman" w:eastAsia="Times New Roman" w:hAnsi="Times New Roman" w:cs="Times New Roman"/>
          <w:sz w:val="24"/>
          <w:szCs w:val="24"/>
        </w:rPr>
        <w:t>, vēršas pēc palīdzības pie ģimenes ārsta vai speciālista</w:t>
      </w:r>
      <w:r>
        <w:rPr>
          <w:rStyle w:val="FootnoteReference"/>
          <w:rFonts w:ascii="Times New Roman" w:eastAsia="Times New Roman" w:hAnsi="Times New Roman" w:cs="Times New Roman"/>
          <w:sz w:val="24"/>
          <w:szCs w:val="24"/>
        </w:rPr>
        <w:footnoteReference w:id="63"/>
      </w:r>
      <w:r>
        <w:rPr>
          <w:rFonts w:ascii="Times New Roman" w:eastAsia="Times New Roman" w:hAnsi="Times New Roman" w:cs="Times New Roman"/>
          <w:sz w:val="24"/>
          <w:szCs w:val="24"/>
        </w:rPr>
        <w:t xml:space="preserve">. </w:t>
      </w:r>
    </w:p>
    <w:p w14:paraId="192F6C82" w14:textId="77777777" w:rsidR="00CB4485" w:rsidRPr="00A8057A" w:rsidRDefault="00CB4485" w:rsidP="00CB4485">
      <w:pPr>
        <w:spacing w:after="0"/>
        <w:ind w:firstLine="720"/>
        <w:jc w:val="both"/>
        <w:rPr>
          <w:rFonts w:ascii="Times New Roman" w:eastAsia="Times New Roman" w:hAnsi="Times New Roman" w:cs="Times New Roman"/>
          <w:sz w:val="24"/>
          <w:szCs w:val="24"/>
        </w:rPr>
      </w:pPr>
      <w:r w:rsidRPr="00A8057A">
        <w:rPr>
          <w:rFonts w:ascii="Times New Roman" w:eastAsia="Times New Roman" w:hAnsi="Times New Roman" w:cs="Times New Roman"/>
          <w:sz w:val="24"/>
          <w:szCs w:val="24"/>
        </w:rPr>
        <w:t>Tāpat kā citviet pasaulē, arī Latvijā sieviešu saslimstība ar depresiju ir divas reizes biežāka nekā vīriešiem. Taču vīrieši daudz retāk vēršas pēc palīdzības, un tas varētu būt viens no iemesliem, kāpēc viņi piecas reizes biežāk nekā sievietes izdara pašnāvību. Saskaņā ar 2010. gada datiem Latvijā pašnāvību izdarīja 436 cilvēki – no tiem 375 vīrieši un 61 sieviete. Nespējot pielāgoties mainīgiem apstākļiem un nevēršoties pēc palīdzības, ik dienas pašnāvību izdara viens vīrietis, turklāt visbiežāk darbspējīgā (45–54) gadu vecumā.</w:t>
      </w:r>
    </w:p>
    <w:p w14:paraId="4B626BE7" w14:textId="77777777" w:rsidR="00CB4485" w:rsidRDefault="00CB4485" w:rsidP="00CB4485">
      <w:pPr>
        <w:spacing w:after="0"/>
        <w:ind w:firstLine="720"/>
        <w:jc w:val="both"/>
        <w:rPr>
          <w:rFonts w:ascii="Times New Roman" w:eastAsia="Times New Roman" w:hAnsi="Times New Roman" w:cs="Times New Roman"/>
          <w:sz w:val="24"/>
          <w:szCs w:val="24"/>
        </w:rPr>
      </w:pPr>
      <w:r w:rsidRPr="00A8057A">
        <w:rPr>
          <w:rFonts w:ascii="Times New Roman" w:eastAsia="Times New Roman" w:hAnsi="Times New Roman" w:cs="Times New Roman"/>
          <w:sz w:val="24"/>
          <w:szCs w:val="24"/>
        </w:rPr>
        <w:t>Pasaules psihiskās veselības pētījumos ir atklāts, ka aptuveni 60–80 % cilvēku, kas ir izdarījuši pašnāvību, tajā brīdī ir bijuši depresijā. Tāpēc, lai mazinātu pašnāvību skaitu, svarīgi ir laikus pazīt simptomus un ārstēt depresiju, ieklausīties apkārtējos un mudināt meklēt profesionālu palīdzību.</w:t>
      </w:r>
      <w:r>
        <w:rPr>
          <w:rFonts w:ascii="Times New Roman" w:eastAsia="Times New Roman" w:hAnsi="Times New Roman" w:cs="Times New Roman"/>
          <w:sz w:val="24"/>
          <w:szCs w:val="24"/>
        </w:rPr>
        <w:t xml:space="preserve"> </w:t>
      </w:r>
    </w:p>
    <w:p w14:paraId="19D24AFF" w14:textId="77777777" w:rsidR="00CB4485" w:rsidRDefault="00CB4485" w:rsidP="00CB448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Pasaulē ēšanas traucējumi ietekmē vairākus miljonus cilvēku jebkurā vecumā, bet visbiežāk sievietes vecumā no 12 līdz 15 gadiem</w:t>
      </w:r>
      <w:r>
        <w:rPr>
          <w:rStyle w:val="FootnoteReference"/>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 xml:space="preserve">. Daudzos gadījumos ēšanas traucējumi rodas kopā ar citiem </w:t>
      </w:r>
      <w:r w:rsidRPr="00F865E6">
        <w:rPr>
          <w:rFonts w:ascii="Times New Roman" w:eastAsia="Times New Roman" w:hAnsi="Times New Roman" w:cs="Times New Roman"/>
          <w:sz w:val="24"/>
          <w:szCs w:val="24"/>
        </w:rPr>
        <w:t>psihisk</w:t>
      </w:r>
      <w:r>
        <w:rPr>
          <w:rFonts w:ascii="Times New Roman" w:eastAsia="Times New Roman" w:hAnsi="Times New Roman" w:cs="Times New Roman"/>
          <w:sz w:val="24"/>
          <w:szCs w:val="24"/>
        </w:rPr>
        <w:t>ās veselības</w:t>
      </w:r>
      <w:r w:rsidRPr="00F865E6">
        <w:rPr>
          <w:rFonts w:ascii="Times New Roman" w:eastAsia="Times New Roman" w:hAnsi="Times New Roman" w:cs="Times New Roman"/>
          <w:sz w:val="24"/>
          <w:szCs w:val="24"/>
        </w:rPr>
        <w:t xml:space="preserve"> traucējumiem, piemēram, trauksme</w:t>
      </w:r>
      <w:r>
        <w:rPr>
          <w:rFonts w:ascii="Times New Roman" w:eastAsia="Times New Roman" w:hAnsi="Times New Roman" w:cs="Times New Roman"/>
          <w:sz w:val="24"/>
          <w:szCs w:val="24"/>
        </w:rPr>
        <w:t>, panika</w:t>
      </w:r>
      <w:r w:rsidRPr="00F865E6">
        <w:rPr>
          <w:rFonts w:ascii="Times New Roman" w:eastAsia="Times New Roman" w:hAnsi="Times New Roman" w:cs="Times New Roman"/>
          <w:sz w:val="24"/>
          <w:szCs w:val="24"/>
        </w:rPr>
        <w:t xml:space="preserve"> un alkohola un narkotiku lietošanas problēmas. Neatkarīgi no šo traucējumu emocionālajiem un fiziskajiem simptomiem var rasties </w:t>
      </w:r>
      <w:r>
        <w:rPr>
          <w:rFonts w:ascii="Times New Roman" w:eastAsia="Times New Roman" w:hAnsi="Times New Roman" w:cs="Times New Roman"/>
          <w:sz w:val="24"/>
          <w:szCs w:val="24"/>
        </w:rPr>
        <w:t>problēmas dēļ nepietiekama uztura</w:t>
      </w:r>
      <w:r w:rsidRPr="00F865E6">
        <w:rPr>
          <w:rFonts w:ascii="Times New Roman" w:eastAsia="Times New Roman" w:hAnsi="Times New Roman" w:cs="Times New Roman"/>
          <w:sz w:val="24"/>
          <w:szCs w:val="24"/>
        </w:rPr>
        <w:t xml:space="preserve">, sirdsdarbības traucējumi un citi </w:t>
      </w:r>
      <w:r>
        <w:rPr>
          <w:rFonts w:ascii="Times New Roman" w:eastAsia="Times New Roman" w:hAnsi="Times New Roman" w:cs="Times New Roman"/>
          <w:sz w:val="24"/>
          <w:szCs w:val="24"/>
        </w:rPr>
        <w:t>veselības traucējumi</w:t>
      </w:r>
      <w:r w:rsidRPr="00F865E6">
        <w:rPr>
          <w:rFonts w:ascii="Times New Roman" w:eastAsia="Times New Roman" w:hAnsi="Times New Roman" w:cs="Times New Roman"/>
          <w:sz w:val="24"/>
          <w:szCs w:val="24"/>
        </w:rPr>
        <w:t xml:space="preserve">. Tomēr, </w:t>
      </w:r>
      <w:r>
        <w:rPr>
          <w:rFonts w:ascii="Times New Roman" w:eastAsia="Times New Roman" w:hAnsi="Times New Roman" w:cs="Times New Roman"/>
          <w:sz w:val="24"/>
          <w:szCs w:val="24"/>
        </w:rPr>
        <w:t>sniedzot adekvātu veselības aprūpi</w:t>
      </w:r>
      <w:r w:rsidRPr="00F865E6">
        <w:rPr>
          <w:rFonts w:ascii="Times New Roman" w:eastAsia="Times New Roman" w:hAnsi="Times New Roman" w:cs="Times New Roman"/>
          <w:sz w:val="24"/>
          <w:szCs w:val="24"/>
        </w:rPr>
        <w:t>, cilvēki</w:t>
      </w:r>
      <w:r>
        <w:rPr>
          <w:rFonts w:ascii="Times New Roman" w:eastAsia="Times New Roman" w:hAnsi="Times New Roman" w:cs="Times New Roman"/>
          <w:sz w:val="24"/>
          <w:szCs w:val="24"/>
        </w:rPr>
        <w:t>em</w:t>
      </w:r>
      <w:r w:rsidRPr="00F865E6">
        <w:rPr>
          <w:rFonts w:ascii="Times New Roman" w:eastAsia="Times New Roman" w:hAnsi="Times New Roman" w:cs="Times New Roman"/>
          <w:sz w:val="24"/>
          <w:szCs w:val="24"/>
        </w:rPr>
        <w:t xml:space="preserve"> ar ēšanas traucējumiem var atjaunot </w:t>
      </w:r>
      <w:r>
        <w:rPr>
          <w:rFonts w:ascii="Times New Roman" w:eastAsia="Times New Roman" w:hAnsi="Times New Roman" w:cs="Times New Roman"/>
          <w:sz w:val="24"/>
          <w:szCs w:val="24"/>
        </w:rPr>
        <w:t>atbilstošus</w:t>
      </w:r>
      <w:r w:rsidRPr="00F865E6">
        <w:rPr>
          <w:rFonts w:ascii="Times New Roman" w:eastAsia="Times New Roman" w:hAnsi="Times New Roman" w:cs="Times New Roman"/>
          <w:sz w:val="24"/>
          <w:szCs w:val="24"/>
        </w:rPr>
        <w:t xml:space="preserve"> ēšanas paradumus un atgriezties pie labākas emocionālās un psiholoģiskās veselības.</w:t>
      </w:r>
      <w:r>
        <w:rPr>
          <w:rFonts w:ascii="Times New Roman" w:eastAsia="Times New Roman" w:hAnsi="Times New Roman" w:cs="Times New Roman"/>
          <w:sz w:val="24"/>
          <w:szCs w:val="24"/>
        </w:rPr>
        <w:t xml:space="preserve"> Kā liecina 2010.gadā veiktais pētījums par izmaksām veselības aprūpē cilvēkiem ar smadzeņu darbības traucējumiem Eiropā</w:t>
      </w:r>
      <w:r>
        <w:rPr>
          <w:rStyle w:val="FootnoteReference"/>
          <w:rFonts w:ascii="Times New Roman" w:eastAsia="Times New Roman" w:hAnsi="Times New Roman" w:cs="Times New Roman"/>
          <w:sz w:val="24"/>
          <w:szCs w:val="24"/>
        </w:rPr>
        <w:footnoteReference w:id="65"/>
      </w:r>
      <w:r>
        <w:rPr>
          <w:rFonts w:ascii="Times New Roman" w:eastAsia="Times New Roman" w:hAnsi="Times New Roman" w:cs="Times New Roman"/>
          <w:sz w:val="24"/>
          <w:szCs w:val="24"/>
        </w:rPr>
        <w:t xml:space="preserve">, kopējās izmaksas sastādīja 798 </w:t>
      </w:r>
      <w:r>
        <w:rPr>
          <w:rFonts w:ascii="Times New Roman" w:eastAsia="Times New Roman" w:hAnsi="Times New Roman" w:cs="Times New Roman"/>
          <w:sz w:val="24"/>
          <w:szCs w:val="24"/>
        </w:rPr>
        <w:lastRenderedPageBreak/>
        <w:t>miljardu eiro – 60 % no tām bija tiešās izmaksas un 40 % saistīti ar darba spēju zaudējumu. Izmaksu novērtējums sakarā ar ēšanas traucējumiem bija 105,2 milj.eiro.</w:t>
      </w:r>
    </w:p>
    <w:p w14:paraId="3393D674" w14:textId="77777777" w:rsidR="00CB4485" w:rsidRPr="002551EE" w:rsidRDefault="00CB4485" w:rsidP="00CB4485">
      <w:pPr>
        <w:spacing w:after="0"/>
        <w:ind w:firstLine="720"/>
        <w:jc w:val="both"/>
        <w:rPr>
          <w:rFonts w:ascii="Times New Roman" w:eastAsia="Times New Roman" w:hAnsi="Times New Roman" w:cs="Times New Roman"/>
          <w:sz w:val="24"/>
          <w:szCs w:val="24"/>
        </w:rPr>
      </w:pPr>
      <w:r w:rsidRPr="002551EE">
        <w:rPr>
          <w:rFonts w:ascii="Times New Roman" w:eastAsia="Times New Roman" w:hAnsi="Times New Roman" w:cs="Times New Roman"/>
          <w:sz w:val="24"/>
          <w:szCs w:val="24"/>
        </w:rPr>
        <w:t>Saskaņā ar Veselības un darbspēju ekspertīzes ārstu valsts komisijas (VDEĀVK) Invaliditātes informatīvās sistēmas (IIS) datiem, 2016. gada beigās Latvijā kopumā bija 182 048 (173 752 pieaugušie un 8 296 bērni) invalīdi, no kuriem 25 158  (13,8%) invaliditāte noteikta psihisko un uzvedības traucējumu dēļ.</w:t>
      </w:r>
    </w:p>
    <w:p w14:paraId="4996F45C" w14:textId="77777777" w:rsidR="00CB4485" w:rsidRPr="002551EE" w:rsidRDefault="00CB4485" w:rsidP="00CB4485">
      <w:pPr>
        <w:spacing w:after="0"/>
        <w:ind w:firstLine="720"/>
        <w:jc w:val="both"/>
        <w:rPr>
          <w:rFonts w:ascii="Times New Roman" w:eastAsia="Times New Roman" w:hAnsi="Times New Roman" w:cs="Times New Roman"/>
          <w:sz w:val="24"/>
          <w:szCs w:val="24"/>
        </w:rPr>
      </w:pPr>
      <w:r w:rsidRPr="002551EE">
        <w:rPr>
          <w:rFonts w:ascii="Times New Roman" w:eastAsia="Times New Roman" w:hAnsi="Times New Roman" w:cs="Times New Roman"/>
          <w:sz w:val="24"/>
          <w:szCs w:val="24"/>
        </w:rPr>
        <w:t xml:space="preserve">Pirmreizēji invaliditāte 2016. gadā tika noteikta 17 865 personām, no kurām 9,3% jeb 1 667 (256 personas līdz 18 gadu vecumam un 1 411 personas pēc 18 gadu vecuma) personām pirmreizēji invaliditāte tika noteikta psihisko un uzvedības traucējumu dēļ. </w:t>
      </w:r>
    </w:p>
    <w:p w14:paraId="7B714875" w14:textId="57BD3F7F" w:rsidR="00CB4485" w:rsidRDefault="00C94F00" w:rsidP="00CB448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B4485" w:rsidRPr="002551EE">
        <w:rPr>
          <w:rFonts w:ascii="Times New Roman" w:eastAsia="Times New Roman" w:hAnsi="Times New Roman" w:cs="Times New Roman"/>
          <w:sz w:val="24"/>
          <w:szCs w:val="24"/>
        </w:rPr>
        <w:t>. attēlā redzams, ka pirmreizējai invaliditātei psihisko un uzvedības traucējumu dēļ no 2011. gada līdz 2014. gadam tika novērota pieauguma tendence, 2015. gadā vērojams neliels šī rādītāja kritums, savukārt 2016.gadā pirmreizējai invaliditātei psihisko un uzvedības traucējumu dēļ atkal vērojams pieaugums.</w:t>
      </w:r>
    </w:p>
    <w:p w14:paraId="09B7157E" w14:textId="1239DE01" w:rsidR="00CB4485" w:rsidRPr="00E93259" w:rsidRDefault="00C94F00" w:rsidP="00E93259">
      <w:pPr>
        <w:spacing w:after="0"/>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B4485">
        <w:rPr>
          <w:rFonts w:ascii="Times New Roman" w:eastAsia="Times New Roman" w:hAnsi="Times New Roman" w:cs="Times New Roman"/>
          <w:sz w:val="24"/>
          <w:szCs w:val="24"/>
        </w:rPr>
        <w:t>.attēls</w:t>
      </w:r>
    </w:p>
    <w:p w14:paraId="0A59F558" w14:textId="743253A4" w:rsidR="00CB4485" w:rsidRPr="00E93259" w:rsidRDefault="00CB4485" w:rsidP="00E93259">
      <w:pPr>
        <w:spacing w:after="120"/>
        <w:jc w:val="center"/>
        <w:rPr>
          <w:rFonts w:ascii="Times New Roman" w:hAnsi="Times New Roman" w:cs="Times New Roman"/>
          <w:sz w:val="24"/>
          <w:szCs w:val="24"/>
        </w:rPr>
      </w:pPr>
      <w:r w:rsidRPr="00E93259">
        <w:rPr>
          <w:rFonts w:ascii="Times New Roman" w:hAnsi="Times New Roman" w:cs="Times New Roman"/>
          <w:sz w:val="24"/>
          <w:szCs w:val="24"/>
        </w:rPr>
        <w:t>Pirmreizēji noteiktie invalīdi ar psihiskiem un uzvedības traucējumiem uz 100 000 iedzīvotāju dinamikā Latvijā</w:t>
      </w:r>
    </w:p>
    <w:p w14:paraId="49BFB5AF" w14:textId="5E6312A8" w:rsidR="00CB4485" w:rsidRDefault="00CB4485" w:rsidP="00E93259">
      <w:pPr>
        <w:spacing w:after="120"/>
        <w:jc w:val="center"/>
        <w:rPr>
          <w:rFonts w:ascii="Times New Roman" w:hAnsi="Times New Roman" w:cs="Times New Roman"/>
          <w:sz w:val="24"/>
          <w:szCs w:val="24"/>
        </w:rPr>
      </w:pPr>
      <w:r>
        <w:rPr>
          <w:noProof/>
        </w:rPr>
        <w:drawing>
          <wp:inline distT="0" distB="0" distL="0" distR="0" wp14:anchorId="08390959" wp14:editId="60AE6333">
            <wp:extent cx="5291847" cy="2743200"/>
            <wp:effectExtent l="0" t="0" r="444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8D9432" w14:textId="69F89D0A" w:rsidR="00CB4485" w:rsidRDefault="00CB4485" w:rsidP="00CB4485">
      <w:pPr>
        <w:spacing w:after="120"/>
        <w:jc w:val="both"/>
        <w:rPr>
          <w:rFonts w:ascii="Times New Roman" w:hAnsi="Times New Roman" w:cs="Times New Roman"/>
          <w:sz w:val="24"/>
          <w:szCs w:val="24"/>
        </w:rPr>
      </w:pPr>
      <w:r w:rsidRPr="008C4F37">
        <w:rPr>
          <w:rFonts w:ascii="Times New Roman" w:hAnsi="Times New Roman" w:cs="Times New Roman"/>
          <w:sz w:val="24"/>
          <w:szCs w:val="24"/>
        </w:rPr>
        <w:t xml:space="preserve">2016. gadā kopējā pirmreizējās invaliditātes struktūrā pēc izplatītākajiem invaliditātes cēloņiem (slimībām) pieaugušajiem psihiski un uzvedības traucējumi </w:t>
      </w:r>
      <w:r>
        <w:rPr>
          <w:rFonts w:ascii="Times New Roman" w:hAnsi="Times New Roman" w:cs="Times New Roman"/>
          <w:sz w:val="24"/>
          <w:szCs w:val="24"/>
        </w:rPr>
        <w:t>atrodas ceturtajā vietā (</w:t>
      </w:r>
      <w:r w:rsidR="00C94F00" w:rsidRPr="00C94F00">
        <w:rPr>
          <w:rFonts w:ascii="Times New Roman" w:hAnsi="Times New Roman" w:cs="Times New Roman"/>
          <w:sz w:val="24"/>
          <w:szCs w:val="24"/>
        </w:rPr>
        <w:t>9</w:t>
      </w:r>
      <w:r w:rsidRPr="00E93259">
        <w:rPr>
          <w:rFonts w:ascii="Times New Roman" w:hAnsi="Times New Roman" w:cs="Times New Roman"/>
          <w:sz w:val="24"/>
          <w:szCs w:val="24"/>
        </w:rPr>
        <w:t>.</w:t>
      </w:r>
      <w:r w:rsidRPr="008C4F37">
        <w:rPr>
          <w:rFonts w:ascii="Times New Roman" w:hAnsi="Times New Roman" w:cs="Times New Roman"/>
          <w:sz w:val="24"/>
          <w:szCs w:val="24"/>
        </w:rPr>
        <w:t xml:space="preserve"> attēl</w:t>
      </w:r>
      <w:r>
        <w:rPr>
          <w:rFonts w:ascii="Times New Roman" w:hAnsi="Times New Roman" w:cs="Times New Roman"/>
          <w:sz w:val="24"/>
          <w:szCs w:val="24"/>
        </w:rPr>
        <w:t>s</w:t>
      </w:r>
      <w:r w:rsidRPr="008C4F37">
        <w:rPr>
          <w:rFonts w:ascii="Times New Roman" w:hAnsi="Times New Roman" w:cs="Times New Roman"/>
          <w:sz w:val="24"/>
          <w:szCs w:val="24"/>
        </w:rPr>
        <w:t>).</w:t>
      </w:r>
    </w:p>
    <w:p w14:paraId="13253048" w14:textId="77777777" w:rsidR="008E0B7B" w:rsidRDefault="008E0B7B" w:rsidP="00E93259">
      <w:pPr>
        <w:spacing w:after="120"/>
        <w:jc w:val="right"/>
        <w:rPr>
          <w:rFonts w:ascii="Times New Roman" w:hAnsi="Times New Roman" w:cs="Times New Roman"/>
          <w:sz w:val="24"/>
          <w:szCs w:val="24"/>
        </w:rPr>
      </w:pPr>
    </w:p>
    <w:p w14:paraId="3FE902F7" w14:textId="77777777" w:rsidR="008E0B7B" w:rsidRDefault="008E0B7B" w:rsidP="00E93259">
      <w:pPr>
        <w:spacing w:after="120"/>
        <w:jc w:val="right"/>
        <w:rPr>
          <w:rFonts w:ascii="Times New Roman" w:hAnsi="Times New Roman" w:cs="Times New Roman"/>
          <w:sz w:val="24"/>
          <w:szCs w:val="24"/>
        </w:rPr>
      </w:pPr>
    </w:p>
    <w:p w14:paraId="174C38C3" w14:textId="77777777" w:rsidR="008E0B7B" w:rsidRDefault="008E0B7B" w:rsidP="00E93259">
      <w:pPr>
        <w:spacing w:after="120"/>
        <w:jc w:val="right"/>
        <w:rPr>
          <w:rFonts w:ascii="Times New Roman" w:hAnsi="Times New Roman" w:cs="Times New Roman"/>
          <w:sz w:val="24"/>
          <w:szCs w:val="24"/>
        </w:rPr>
      </w:pPr>
    </w:p>
    <w:p w14:paraId="0DEA024E" w14:textId="77777777" w:rsidR="008E0B7B" w:rsidRDefault="008E0B7B" w:rsidP="00E93259">
      <w:pPr>
        <w:spacing w:after="120"/>
        <w:jc w:val="right"/>
        <w:rPr>
          <w:rFonts w:ascii="Times New Roman" w:hAnsi="Times New Roman" w:cs="Times New Roman"/>
          <w:sz w:val="24"/>
          <w:szCs w:val="24"/>
        </w:rPr>
      </w:pPr>
    </w:p>
    <w:p w14:paraId="3E90D603" w14:textId="77777777" w:rsidR="008E0B7B" w:rsidRDefault="008E0B7B" w:rsidP="00E93259">
      <w:pPr>
        <w:spacing w:after="120"/>
        <w:jc w:val="right"/>
        <w:rPr>
          <w:rFonts w:ascii="Times New Roman" w:hAnsi="Times New Roman" w:cs="Times New Roman"/>
          <w:sz w:val="24"/>
          <w:szCs w:val="24"/>
        </w:rPr>
      </w:pPr>
    </w:p>
    <w:p w14:paraId="208D17ED" w14:textId="77777777" w:rsidR="008E0B7B" w:rsidRDefault="008E0B7B" w:rsidP="00E93259">
      <w:pPr>
        <w:spacing w:after="120"/>
        <w:jc w:val="right"/>
        <w:rPr>
          <w:rFonts w:ascii="Times New Roman" w:hAnsi="Times New Roman" w:cs="Times New Roman"/>
          <w:sz w:val="24"/>
          <w:szCs w:val="24"/>
        </w:rPr>
      </w:pPr>
    </w:p>
    <w:p w14:paraId="3E7058B0" w14:textId="556F0E86" w:rsidR="00CB4485" w:rsidRPr="00E93259" w:rsidRDefault="00C94F00" w:rsidP="00E93259">
      <w:pPr>
        <w:spacing w:after="120"/>
        <w:jc w:val="right"/>
        <w:rPr>
          <w:rFonts w:ascii="Times New Roman" w:hAnsi="Times New Roman" w:cs="Times New Roman"/>
          <w:sz w:val="24"/>
          <w:szCs w:val="24"/>
        </w:rPr>
      </w:pPr>
      <w:r>
        <w:rPr>
          <w:rFonts w:ascii="Times New Roman" w:hAnsi="Times New Roman" w:cs="Times New Roman"/>
          <w:sz w:val="24"/>
          <w:szCs w:val="24"/>
        </w:rPr>
        <w:lastRenderedPageBreak/>
        <w:t>9</w:t>
      </w:r>
      <w:r w:rsidR="00CB4485">
        <w:rPr>
          <w:rFonts w:ascii="Times New Roman" w:hAnsi="Times New Roman" w:cs="Times New Roman"/>
          <w:sz w:val="24"/>
          <w:szCs w:val="24"/>
        </w:rPr>
        <w:t>.attēls</w:t>
      </w:r>
    </w:p>
    <w:p w14:paraId="1A2D2E60" w14:textId="36AC8773" w:rsidR="00CB4485" w:rsidRPr="00E93259" w:rsidRDefault="00CB4485" w:rsidP="00E93259">
      <w:pPr>
        <w:spacing w:after="120"/>
        <w:jc w:val="center"/>
        <w:rPr>
          <w:rFonts w:ascii="Times New Roman" w:hAnsi="Times New Roman" w:cs="Times New Roman"/>
          <w:sz w:val="24"/>
          <w:szCs w:val="24"/>
        </w:rPr>
      </w:pPr>
      <w:r w:rsidRPr="00E93259">
        <w:rPr>
          <w:rFonts w:ascii="Times New Roman" w:hAnsi="Times New Roman" w:cs="Times New Roman"/>
          <w:sz w:val="24"/>
          <w:szCs w:val="24"/>
        </w:rPr>
        <w:t>Kopējā pirmreizējās invaliditātes struktūra dalījumā pēc slimībām par 18 gadiem vecākām personām 2014.-2016. gadā</w:t>
      </w:r>
    </w:p>
    <w:p w14:paraId="1B1C1874" w14:textId="3CFBABDC" w:rsidR="00CB4485" w:rsidRDefault="00CB4485" w:rsidP="00D5681C">
      <w:pPr>
        <w:spacing w:after="0"/>
        <w:ind w:firstLine="709"/>
        <w:jc w:val="right"/>
        <w:rPr>
          <w:rFonts w:ascii="Times New Roman" w:eastAsia="Times New Roman" w:hAnsi="Times New Roman" w:cs="Times New Roman"/>
          <w:sz w:val="24"/>
          <w:szCs w:val="24"/>
        </w:rPr>
      </w:pPr>
      <w:r>
        <w:rPr>
          <w:noProof/>
        </w:rPr>
        <w:drawing>
          <wp:inline distT="0" distB="0" distL="0" distR="0" wp14:anchorId="1CB81061" wp14:editId="3FF523BA">
            <wp:extent cx="5276850" cy="2495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FD8352" w14:textId="77777777" w:rsidR="00F30E8C" w:rsidRDefault="00F30E8C" w:rsidP="00CB4485">
      <w:pPr>
        <w:spacing w:after="0"/>
        <w:ind w:firstLine="720"/>
        <w:jc w:val="both"/>
        <w:rPr>
          <w:rFonts w:ascii="Times New Roman" w:eastAsia="Times New Roman" w:hAnsi="Times New Roman" w:cs="Times New Roman"/>
          <w:sz w:val="24"/>
          <w:szCs w:val="24"/>
        </w:rPr>
      </w:pPr>
    </w:p>
    <w:p w14:paraId="1E54733C" w14:textId="63021681" w:rsidR="00CB4485" w:rsidRDefault="00CB4485" w:rsidP="00CB4485">
      <w:pPr>
        <w:spacing w:after="0"/>
        <w:ind w:firstLine="720"/>
        <w:jc w:val="both"/>
        <w:rPr>
          <w:rFonts w:ascii="Times New Roman" w:eastAsia="Times New Roman" w:hAnsi="Times New Roman" w:cs="Times New Roman"/>
          <w:sz w:val="24"/>
          <w:szCs w:val="24"/>
        </w:rPr>
      </w:pPr>
      <w:r w:rsidRPr="002551EE">
        <w:rPr>
          <w:rFonts w:ascii="Times New Roman" w:eastAsia="Times New Roman" w:hAnsi="Times New Roman" w:cs="Times New Roman"/>
          <w:sz w:val="24"/>
          <w:szCs w:val="24"/>
        </w:rPr>
        <w:t>2016. gadā kopējā pirmreizējās invaliditātes struktūrā pēc izplatītākajiem invaliditātes cēloņiem (slimībām) bērniem psihiski un uzvedības traucēju</w:t>
      </w:r>
      <w:r>
        <w:rPr>
          <w:rFonts w:ascii="Times New Roman" w:eastAsia="Times New Roman" w:hAnsi="Times New Roman" w:cs="Times New Roman"/>
          <w:sz w:val="24"/>
          <w:szCs w:val="24"/>
        </w:rPr>
        <w:t>mi atrodas pirmajā vietā (</w:t>
      </w:r>
      <w:r w:rsidR="00C94F00">
        <w:rPr>
          <w:rFonts w:ascii="Times New Roman" w:eastAsia="Times New Roman" w:hAnsi="Times New Roman" w:cs="Times New Roman"/>
          <w:sz w:val="24"/>
          <w:szCs w:val="24"/>
        </w:rPr>
        <w:t>10</w:t>
      </w:r>
      <w:r>
        <w:rPr>
          <w:rFonts w:ascii="Times New Roman" w:eastAsia="Times New Roman" w:hAnsi="Times New Roman" w:cs="Times New Roman"/>
          <w:sz w:val="24"/>
          <w:szCs w:val="24"/>
        </w:rPr>
        <w:t>. attēls</w:t>
      </w:r>
      <w:r w:rsidRPr="002551EE">
        <w:rPr>
          <w:rFonts w:ascii="Times New Roman" w:eastAsia="Times New Roman" w:hAnsi="Times New Roman" w:cs="Times New Roman"/>
          <w:sz w:val="24"/>
          <w:szCs w:val="24"/>
        </w:rPr>
        <w:t>).</w:t>
      </w:r>
    </w:p>
    <w:p w14:paraId="7E74494E" w14:textId="77777777" w:rsidR="00CB4485" w:rsidRDefault="00CB4485" w:rsidP="00CB4485">
      <w:pPr>
        <w:spacing w:after="0"/>
        <w:ind w:firstLine="720"/>
        <w:jc w:val="both"/>
        <w:rPr>
          <w:rFonts w:ascii="Times New Roman" w:eastAsia="Times New Roman" w:hAnsi="Times New Roman" w:cs="Times New Roman"/>
          <w:sz w:val="24"/>
          <w:szCs w:val="24"/>
        </w:rPr>
      </w:pPr>
    </w:p>
    <w:p w14:paraId="720A7609" w14:textId="6F0935FD" w:rsidR="00CB4485" w:rsidRDefault="00C94F00" w:rsidP="00D5681C">
      <w:pPr>
        <w:spacing w:after="0"/>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76DC">
        <w:rPr>
          <w:rFonts w:ascii="Times New Roman" w:eastAsia="Times New Roman" w:hAnsi="Times New Roman" w:cs="Times New Roman"/>
          <w:sz w:val="24"/>
          <w:szCs w:val="24"/>
        </w:rPr>
        <w:t>0</w:t>
      </w:r>
      <w:r w:rsidR="00CB4485">
        <w:rPr>
          <w:rFonts w:ascii="Times New Roman" w:eastAsia="Times New Roman" w:hAnsi="Times New Roman" w:cs="Times New Roman"/>
          <w:sz w:val="24"/>
          <w:szCs w:val="24"/>
        </w:rPr>
        <w:t>.attēls</w:t>
      </w:r>
    </w:p>
    <w:p w14:paraId="23E11E58" w14:textId="29AD3074" w:rsidR="00CB4485" w:rsidRPr="00CB4485" w:rsidRDefault="00CB4485" w:rsidP="00D5681C">
      <w:pPr>
        <w:spacing w:after="0"/>
        <w:ind w:firstLine="720"/>
        <w:jc w:val="center"/>
        <w:rPr>
          <w:rFonts w:ascii="Times New Roman" w:eastAsia="Times New Roman" w:hAnsi="Times New Roman" w:cs="Times New Roman"/>
          <w:sz w:val="24"/>
          <w:szCs w:val="24"/>
        </w:rPr>
      </w:pPr>
      <w:r w:rsidRPr="00D5681C">
        <w:rPr>
          <w:rFonts w:ascii="Times New Roman" w:hAnsi="Times New Roman" w:cs="Times New Roman"/>
          <w:sz w:val="24"/>
          <w:szCs w:val="24"/>
        </w:rPr>
        <w:t>Kopējā pirmreizējās invaliditātes struktūra dalījumā pēc slimībām personām līdz 18 gadu vecumam 2014.-2016. gadā</w:t>
      </w:r>
    </w:p>
    <w:p w14:paraId="366DE67A" w14:textId="20BCC215" w:rsidR="00CB4485" w:rsidRDefault="00CB4485" w:rsidP="00D5681C">
      <w:pPr>
        <w:spacing w:after="0"/>
        <w:ind w:firstLine="720"/>
        <w:jc w:val="right"/>
        <w:rPr>
          <w:rFonts w:ascii="Times New Roman" w:eastAsia="Times New Roman" w:hAnsi="Times New Roman" w:cs="Times New Roman"/>
          <w:sz w:val="24"/>
          <w:szCs w:val="24"/>
        </w:rPr>
      </w:pPr>
      <w:r>
        <w:rPr>
          <w:noProof/>
        </w:rPr>
        <w:drawing>
          <wp:inline distT="0" distB="0" distL="0" distR="0" wp14:anchorId="66199A76" wp14:editId="3080C79E">
            <wp:extent cx="5276850" cy="263842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57064D" w14:textId="77777777" w:rsidR="00CB4485" w:rsidRDefault="00CB4485" w:rsidP="00D5681C">
      <w:pPr>
        <w:spacing w:after="0"/>
        <w:ind w:firstLine="709"/>
        <w:jc w:val="right"/>
        <w:rPr>
          <w:rFonts w:ascii="Times New Roman" w:eastAsia="Times New Roman" w:hAnsi="Times New Roman" w:cs="Times New Roman"/>
          <w:sz w:val="24"/>
          <w:szCs w:val="24"/>
        </w:rPr>
      </w:pPr>
    </w:p>
    <w:p w14:paraId="5C660C77" w14:textId="77777777" w:rsidR="00CB4485" w:rsidRPr="005C1931" w:rsidRDefault="00CB4485" w:rsidP="00CB4485">
      <w:pPr>
        <w:spacing w:after="0"/>
        <w:ind w:firstLine="709"/>
        <w:jc w:val="both"/>
        <w:rPr>
          <w:rFonts w:ascii="Times New Roman" w:eastAsia="Times New Roman" w:hAnsi="Times New Roman" w:cs="Times New Roman"/>
          <w:sz w:val="24"/>
          <w:szCs w:val="24"/>
        </w:rPr>
      </w:pPr>
      <w:r w:rsidRPr="005C1931">
        <w:rPr>
          <w:rFonts w:ascii="Times New Roman" w:eastAsia="Times New Roman" w:hAnsi="Times New Roman" w:cs="Times New Roman"/>
          <w:sz w:val="24"/>
          <w:szCs w:val="24"/>
        </w:rPr>
        <w:lastRenderedPageBreak/>
        <w:t xml:space="preserve">Valsts apmaksātu ambulatoro palīdzību psihisko un uzvedības traucējumu gadījumos pie dažādiem speciālistiem 2016. gadā kopumā saņēmuši 118 593 unikālie  pacienti, kas atbilst 6,1% Latvijas iedzīvotāju un veido 6052,1 unikālos pacientus uz 100 000 iedzīvotāju </w:t>
      </w:r>
    </w:p>
    <w:p w14:paraId="5CE78494" w14:textId="5D18C175" w:rsidR="00CB4485" w:rsidRDefault="00CB4485" w:rsidP="00CB4485">
      <w:pPr>
        <w:spacing w:after="0"/>
        <w:ind w:firstLine="709"/>
        <w:jc w:val="both"/>
        <w:rPr>
          <w:rFonts w:ascii="Times New Roman" w:eastAsia="Times New Roman" w:hAnsi="Times New Roman" w:cs="Times New Roman"/>
          <w:sz w:val="24"/>
          <w:szCs w:val="24"/>
        </w:rPr>
      </w:pPr>
      <w:r w:rsidRPr="005C1931">
        <w:rPr>
          <w:rFonts w:ascii="Times New Roman" w:eastAsia="Times New Roman" w:hAnsi="Times New Roman" w:cs="Times New Roman"/>
          <w:sz w:val="24"/>
          <w:szCs w:val="24"/>
        </w:rPr>
        <w:t>Kopumā 2015. gadā unikālie pacienti ar psihiskiem un uzvedības traucējumiem speciālistus apmeklējuši  388 211 reizes, kas veido 19 811,3 apmeklējumu uz 100 000 iedzīvo</w:t>
      </w:r>
      <w:r>
        <w:rPr>
          <w:rFonts w:ascii="Times New Roman" w:eastAsia="Times New Roman" w:hAnsi="Times New Roman" w:cs="Times New Roman"/>
          <w:sz w:val="24"/>
          <w:szCs w:val="24"/>
        </w:rPr>
        <w:t>tāju.</w:t>
      </w:r>
    </w:p>
    <w:p w14:paraId="7A677ABE" w14:textId="41CECE0E" w:rsidR="00972B28" w:rsidRPr="001D6901" w:rsidRDefault="00972B28" w:rsidP="00972B28">
      <w:pPr>
        <w:spacing w:after="0"/>
        <w:ind w:firstLine="709"/>
        <w:jc w:val="both"/>
        <w:rPr>
          <w:rFonts w:ascii="Times New Roman" w:hAnsi="Times New Roman" w:cs="Times New Roman"/>
          <w:sz w:val="24"/>
          <w:szCs w:val="24"/>
        </w:rPr>
      </w:pPr>
      <w:r w:rsidRPr="001D6901">
        <w:rPr>
          <w:rFonts w:ascii="Times New Roman" w:eastAsia="Times New Roman" w:hAnsi="Times New Roman" w:cs="Times New Roman"/>
          <w:sz w:val="24"/>
          <w:szCs w:val="24"/>
        </w:rPr>
        <w:t xml:space="preserve">Latvijas rādītājs varētu šķist neliels, taču tas skaidrojams ar </w:t>
      </w:r>
      <w:r w:rsidR="00CB4485">
        <w:rPr>
          <w:rFonts w:ascii="Times New Roman" w:eastAsia="Times New Roman" w:hAnsi="Times New Roman" w:cs="Times New Roman"/>
          <w:sz w:val="24"/>
          <w:szCs w:val="24"/>
        </w:rPr>
        <w:t>psihiskās</w:t>
      </w:r>
      <w:r w:rsidRPr="001D6901">
        <w:rPr>
          <w:rFonts w:ascii="Times New Roman" w:eastAsia="Times New Roman" w:hAnsi="Times New Roman" w:cs="Times New Roman"/>
          <w:sz w:val="24"/>
          <w:szCs w:val="24"/>
        </w:rPr>
        <w:t xml:space="preserve"> veselības aprūpes dienesta nepietiekamo pieejamību, kā arī vienotas statistikas par garīga rakstura traucējumiem trūkumu, jo daļa pacientu pēc palīdzības vēršas pie privāti praktizējošiem speciālistiem vai arī nemeklē profesionālu garīgās veselības aprūpes speciālistu palīdzību, baidoties no iespējamās stigmatizācijas un diskriminācijas</w:t>
      </w:r>
      <w:r w:rsidRPr="001D6901">
        <w:rPr>
          <w:rStyle w:val="FootnoteReference"/>
          <w:rFonts w:ascii="Times New Roman" w:eastAsia="Times New Roman" w:hAnsi="Times New Roman" w:cs="Times New Roman"/>
          <w:sz w:val="24"/>
          <w:szCs w:val="24"/>
        </w:rPr>
        <w:footnoteReference w:id="66"/>
      </w:r>
      <w:r w:rsidRPr="001D6901">
        <w:rPr>
          <w:rFonts w:ascii="Times New Roman" w:eastAsia="Times New Roman" w:hAnsi="Times New Roman" w:cs="Times New Roman"/>
          <w:sz w:val="24"/>
          <w:szCs w:val="24"/>
        </w:rPr>
        <w:t>. Ekspertu pieņēmumi liecina, ka reālais nediagnosticēto psihisko un uzvedības traucējumu īpatsvars Latvijas populācijā varētu būt vēl augstāks</w:t>
      </w:r>
      <w:r w:rsidRPr="001D6901">
        <w:rPr>
          <w:rFonts w:ascii="Times New Roman" w:eastAsia="Times New Roman" w:hAnsi="Times New Roman" w:cs="Times New Roman"/>
          <w:sz w:val="24"/>
          <w:szCs w:val="24"/>
          <w:vertAlign w:val="superscript"/>
        </w:rPr>
        <w:footnoteReference w:id="67"/>
      </w:r>
      <w:r w:rsidRPr="001D6901">
        <w:rPr>
          <w:rFonts w:ascii="Times New Roman" w:eastAsia="Times New Roman" w:hAnsi="Times New Roman" w:cs="Times New Roman"/>
          <w:sz w:val="24"/>
          <w:szCs w:val="24"/>
        </w:rPr>
        <w:t>, īpaši ņemot vērā Latvijas sabiedrības ierobežoto gatavību sociāli pieņemt cilvēkus, kuri slimo vai ir slimojuši ar kādu psihisku slimību</w:t>
      </w:r>
      <w:r w:rsidRPr="001D6901">
        <w:rPr>
          <w:rFonts w:ascii="Times New Roman" w:eastAsia="Times New Roman" w:hAnsi="Times New Roman" w:cs="Times New Roman"/>
          <w:sz w:val="24"/>
          <w:szCs w:val="24"/>
          <w:vertAlign w:val="superscript"/>
        </w:rPr>
        <w:footnoteReference w:id="68"/>
      </w:r>
      <w:r w:rsidRPr="001D6901">
        <w:rPr>
          <w:rFonts w:ascii="Times New Roman" w:eastAsia="Times New Roman" w:hAnsi="Times New Roman" w:cs="Times New Roman"/>
          <w:sz w:val="24"/>
          <w:szCs w:val="24"/>
        </w:rPr>
        <w:t>, kas var kļūt par nopietnu šķērsli, lai savlaicīgi vērstos pēc palīdzības</w:t>
      </w:r>
      <w:r w:rsidRPr="001D6901">
        <w:rPr>
          <w:rFonts w:ascii="Times New Roman" w:eastAsia="Times New Roman" w:hAnsi="Times New Roman" w:cs="Times New Roman"/>
          <w:sz w:val="24"/>
          <w:szCs w:val="24"/>
          <w:vertAlign w:val="superscript"/>
        </w:rPr>
        <w:footnoteReference w:id="69"/>
      </w:r>
      <w:r w:rsidRPr="001D6901">
        <w:rPr>
          <w:rFonts w:ascii="Times New Roman" w:eastAsia="Times New Roman" w:hAnsi="Times New Roman" w:cs="Times New Roman"/>
          <w:sz w:val="24"/>
          <w:szCs w:val="24"/>
        </w:rPr>
        <w:t xml:space="preserve">. </w:t>
      </w:r>
    </w:p>
    <w:p w14:paraId="6EDCB99D" w14:textId="77777777" w:rsidR="00972B28" w:rsidRDefault="00972B28" w:rsidP="00972B28">
      <w:pPr>
        <w:spacing w:after="0"/>
        <w:ind w:firstLine="720"/>
        <w:jc w:val="both"/>
        <w:rPr>
          <w:rFonts w:ascii="Times New Roman" w:hAnsi="Times New Roman" w:cs="Times New Roman"/>
          <w:noProof/>
          <w:sz w:val="24"/>
          <w:szCs w:val="24"/>
        </w:rPr>
      </w:pPr>
      <w:r w:rsidRPr="001D6901">
        <w:rPr>
          <w:rFonts w:ascii="Times New Roman" w:hAnsi="Times New Roman" w:cs="Times New Roman"/>
          <w:noProof/>
          <w:sz w:val="24"/>
          <w:szCs w:val="24"/>
        </w:rPr>
        <w:t xml:space="preserve">Atbilstoši </w:t>
      </w:r>
      <w:bookmarkStart w:id="8" w:name="_Hlk523476404"/>
      <w:r w:rsidRPr="001D6901">
        <w:rPr>
          <w:rFonts w:ascii="Times New Roman" w:hAnsi="Times New Roman" w:cs="Times New Roman"/>
          <w:noProof/>
          <w:sz w:val="24"/>
          <w:szCs w:val="24"/>
        </w:rPr>
        <w:t xml:space="preserve">Slimību profilakses un kontroles centra (SPKC) </w:t>
      </w:r>
      <w:bookmarkEnd w:id="8"/>
      <w:r w:rsidRPr="001D6901">
        <w:rPr>
          <w:rFonts w:ascii="Times New Roman" w:hAnsi="Times New Roman" w:cs="Times New Roman"/>
          <w:noProof/>
          <w:sz w:val="24"/>
          <w:szCs w:val="24"/>
        </w:rPr>
        <w:t xml:space="preserve">datiem pacientu skaits ar psihiskiem un uzvedības traucējumiem katru gadu pieaug. </w:t>
      </w:r>
    </w:p>
    <w:p w14:paraId="24C9C023"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Times New Roman" w:hAnsi="Times New Roman" w:cs="Times New Roman"/>
          <w:sz w:val="24"/>
          <w:szCs w:val="24"/>
        </w:rPr>
        <w:t>P</w:t>
      </w:r>
      <w:r w:rsidRPr="001D6901">
        <w:rPr>
          <w:rFonts w:ascii="Times New Roman" w:eastAsia="Helvetica" w:hAnsi="Times New Roman" w:cs="Times New Roman"/>
          <w:sz w:val="24"/>
          <w:szCs w:val="24"/>
        </w:rPr>
        <w:t>ēdējo gadu pētījumos atklāts fakts, ka n</w:t>
      </w:r>
      <w:r w:rsidRPr="001D6901">
        <w:rPr>
          <w:rFonts w:ascii="Times New Roman" w:eastAsia="Times New Roman" w:hAnsi="Times New Roman" w:cs="Times New Roman"/>
          <w:sz w:val="24"/>
          <w:szCs w:val="24"/>
        </w:rPr>
        <w:t>o gar</w:t>
      </w:r>
      <w:r w:rsidRPr="001D6901">
        <w:rPr>
          <w:rFonts w:ascii="Times New Roman" w:eastAsia="Helvetica" w:hAnsi="Times New Roman" w:cs="Times New Roman"/>
          <w:sz w:val="24"/>
          <w:szCs w:val="24"/>
        </w:rPr>
        <w:t>īga rakstura traucējumiem cieš vairāk nekā trešdaļa Eiropas iedzīvotāju,</w:t>
      </w:r>
      <w:r w:rsidRPr="001D6901">
        <w:rPr>
          <w:rFonts w:ascii="Times New Roman" w:eastAsia="Times New Roman" w:hAnsi="Times New Roman" w:cs="Times New Roman"/>
          <w:sz w:val="24"/>
          <w:szCs w:val="24"/>
          <w:vertAlign w:val="superscript"/>
        </w:rPr>
        <w:footnoteReference w:id="70"/>
      </w:r>
      <w:r w:rsidRPr="001D6901">
        <w:rPr>
          <w:rFonts w:ascii="Times New Roman" w:eastAsia="Helvetica" w:hAnsi="Times New Roman" w:cs="Times New Roman"/>
          <w:sz w:val="24"/>
          <w:szCs w:val="24"/>
        </w:rPr>
        <w:t xml:space="preserve"> kuriem aptuveni pusei fiksētas vairākas psihisko traucējumu </w:t>
      </w:r>
      <w:r>
        <w:rPr>
          <w:rFonts w:ascii="Times New Roman" w:eastAsia="Helvetica" w:hAnsi="Times New Roman" w:cs="Times New Roman"/>
          <w:sz w:val="24"/>
          <w:szCs w:val="24"/>
        </w:rPr>
        <w:t>epizodes</w:t>
      </w:r>
      <w:r w:rsidRPr="001D6901">
        <w:rPr>
          <w:rStyle w:val="FootnoteReference"/>
          <w:rFonts w:ascii="Times New Roman" w:hAnsi="Times New Roman" w:cs="Times New Roman"/>
          <w:sz w:val="24"/>
          <w:szCs w:val="24"/>
        </w:rPr>
        <w:footnoteReference w:id="71"/>
      </w:r>
      <w:r w:rsidRPr="001D6901">
        <w:rPr>
          <w:rFonts w:ascii="Times New Roman" w:hAnsi="Times New Roman" w:cs="Times New Roman"/>
          <w:sz w:val="24"/>
          <w:szCs w:val="24"/>
        </w:rPr>
        <w:t xml:space="preserve"> </w:t>
      </w:r>
      <w:r w:rsidRPr="001D6901">
        <w:rPr>
          <w:rFonts w:ascii="Times New Roman" w:eastAsia="Times New Roman" w:hAnsi="Times New Roman" w:cs="Times New Roman"/>
          <w:sz w:val="24"/>
          <w:szCs w:val="24"/>
        </w:rPr>
        <w:t>un gar</w:t>
      </w:r>
      <w:r w:rsidRPr="001D6901">
        <w:rPr>
          <w:rFonts w:ascii="Times New Roman" w:eastAsia="Helvetica" w:hAnsi="Times New Roman" w:cs="Times New Roman"/>
          <w:sz w:val="24"/>
          <w:szCs w:val="24"/>
        </w:rPr>
        <w:t>īgās saslimšanas gadu gaitā kļūst par arvien aktuālāku problēmu</w:t>
      </w:r>
      <w:r w:rsidRPr="001D6901">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w:t>
      </w:r>
      <w:r w:rsidRPr="001D6901">
        <w:rPr>
          <w:rFonts w:ascii="Times New Roman" w:eastAsia="Times New Roman" w:hAnsi="Times New Roman" w:cs="Times New Roman"/>
          <w:color w:val="FF0000"/>
          <w:sz w:val="24"/>
          <w:szCs w:val="24"/>
        </w:rPr>
        <w:t xml:space="preserve"> </w:t>
      </w:r>
      <w:r w:rsidRPr="001D6901">
        <w:rPr>
          <w:rFonts w:ascii="Times New Roman" w:eastAsia="Times New Roman" w:hAnsi="Times New Roman" w:cs="Times New Roman"/>
          <w:sz w:val="24"/>
          <w:szCs w:val="24"/>
        </w:rPr>
        <w:t>K</w:t>
      </w:r>
      <w:r w:rsidRPr="001D6901">
        <w:rPr>
          <w:rFonts w:ascii="Times New Roman" w:eastAsia="Helvetica" w:hAnsi="Times New Roman" w:cs="Times New Roman"/>
          <w:sz w:val="24"/>
          <w:szCs w:val="24"/>
        </w:rPr>
        <w:t>ā liecina SPKC dati, apmeklējumu skaits pie psihiatriem un bērnu psihiatriem pakāpenis</w:t>
      </w:r>
      <w:r w:rsidRPr="001D6901">
        <w:rPr>
          <w:rFonts w:ascii="Times New Roman" w:eastAsia="Times New Roman" w:hAnsi="Times New Roman" w:cs="Times New Roman"/>
          <w:sz w:val="24"/>
          <w:szCs w:val="24"/>
        </w:rPr>
        <w:t>ki palielin</w:t>
      </w:r>
      <w:r w:rsidRPr="001D6901">
        <w:rPr>
          <w:rFonts w:ascii="Times New Roman" w:eastAsia="Helvetica" w:hAnsi="Times New Roman" w:cs="Times New Roman"/>
          <w:sz w:val="24"/>
          <w:szCs w:val="24"/>
        </w:rPr>
        <w:t>ās</w:t>
      </w:r>
      <w:r w:rsidRPr="001D6901">
        <w:rPr>
          <w:rFonts w:ascii="Times New Roman" w:eastAsia="Times New Roman" w:hAnsi="Times New Roman" w:cs="Times New Roman"/>
          <w:sz w:val="24"/>
          <w:szCs w:val="24"/>
          <w:vertAlign w:val="superscript"/>
        </w:rPr>
        <w:footnoteReference w:id="73"/>
      </w:r>
      <w:r w:rsidRPr="001D6901">
        <w:rPr>
          <w:rFonts w:ascii="Times New Roman" w:eastAsia="Helvetica" w:hAnsi="Times New Roman" w:cs="Times New Roman"/>
          <w:sz w:val="24"/>
          <w:szCs w:val="24"/>
        </w:rPr>
        <w:t>, tomēr statistikas datos joprojām neatspoguļojas visi tie iedzīvotāji, kam palīdzība un atbalsts psihisku traucējumu izpausmju mazināšanai faktiski ir nepieciešams.</w:t>
      </w:r>
    </w:p>
    <w:p w14:paraId="6ADCBB2E"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Viens no Pasaules veselības organizācijas pamatprincipiem  - ikvienam ir jānodrošina pamata psihiskās veselības aprūpe</w:t>
      </w:r>
      <w:r>
        <w:rPr>
          <w:rFonts w:ascii="Times New Roman" w:eastAsia="Helvetica" w:hAnsi="Times New Roman" w:cs="Times New Roman"/>
          <w:sz w:val="24"/>
          <w:szCs w:val="24"/>
        </w:rPr>
        <w:t>,</w:t>
      </w:r>
      <w:r w:rsidRPr="001D6901">
        <w:rPr>
          <w:rFonts w:ascii="Times New Roman" w:eastAsia="Helvetica" w:hAnsi="Times New Roman" w:cs="Times New Roman"/>
          <w:sz w:val="24"/>
          <w:szCs w:val="24"/>
        </w:rPr>
        <w:t xml:space="preserve"> kurā ir iekļautas sekojošas komponentes</w:t>
      </w:r>
      <w:r w:rsidRPr="001D6901">
        <w:rPr>
          <w:rStyle w:val="FootnoteReference"/>
          <w:rFonts w:ascii="Times New Roman" w:eastAsia="Helvetica" w:hAnsi="Times New Roman" w:cs="Times New Roman"/>
          <w:sz w:val="24"/>
          <w:szCs w:val="24"/>
        </w:rPr>
        <w:footnoteReference w:id="74"/>
      </w:r>
      <w:r w:rsidRPr="001D6901">
        <w:rPr>
          <w:rFonts w:ascii="Times New Roman" w:eastAsia="Helvetica" w:hAnsi="Times New Roman" w:cs="Times New Roman"/>
          <w:sz w:val="24"/>
          <w:szCs w:val="24"/>
        </w:rPr>
        <w:t>:</w:t>
      </w:r>
    </w:p>
    <w:p w14:paraId="3105C3F4"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1. psihiskās veselības aprūpei jābūt adekvātā kvalitātē, ieskaitot primāro veselības aprūpi, ambulatoro veselības aprūpi  un stacionāro veselības aprūpi;</w:t>
      </w:r>
    </w:p>
    <w:p w14:paraId="453B4560"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2. psihiskās veselības aprūpei jābūt pieejamai un taisnīgai;</w:t>
      </w:r>
    </w:p>
    <w:p w14:paraId="0DE156A2"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lastRenderedPageBreak/>
        <w:t>3. psihiskās veselības aprūpei jābūt ģeogrāfiski pieejamai;</w:t>
      </w:r>
    </w:p>
    <w:p w14:paraId="18C547C4"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4. psihiskās veselības aprūpei jābūt brīvprātīgai līdzīgi kā veselības aprūpei kopumā;</w:t>
      </w:r>
    </w:p>
    <w:p w14:paraId="635EE58B" w14:textId="1721923A"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5. piekļuve veselības aprūpes pakalpojumiem kopumā, tostarp psihiskās veselības aprūpes pakalpojumiem, ir atkarīga no pieejamiem cilvēku un loģistikas resursi</w:t>
      </w:r>
      <w:r w:rsidR="003E3786">
        <w:rPr>
          <w:rFonts w:ascii="Times New Roman" w:eastAsia="Helvetica" w:hAnsi="Times New Roman" w:cs="Times New Roman"/>
          <w:sz w:val="24"/>
          <w:szCs w:val="24"/>
        </w:rPr>
        <w:t>em</w:t>
      </w:r>
      <w:r w:rsidRPr="001D6901">
        <w:rPr>
          <w:rFonts w:ascii="Times New Roman" w:eastAsia="Helvetica" w:hAnsi="Times New Roman" w:cs="Times New Roman"/>
          <w:sz w:val="24"/>
          <w:szCs w:val="24"/>
        </w:rPr>
        <w:t>.</w:t>
      </w:r>
    </w:p>
    <w:p w14:paraId="63186C6C" w14:textId="3931653B" w:rsidR="00341D81" w:rsidRPr="001D6901" w:rsidRDefault="00972B28" w:rsidP="00A43393">
      <w:pPr>
        <w:spacing w:after="0"/>
        <w:ind w:firstLine="720"/>
        <w:jc w:val="both"/>
        <w:rPr>
          <w:rFonts w:ascii="Times New Roman" w:eastAsia="Times New Roman" w:hAnsi="Times New Roman" w:cs="Times New Roman"/>
          <w:sz w:val="24"/>
          <w:szCs w:val="24"/>
        </w:rPr>
      </w:pPr>
      <w:r w:rsidRPr="001D6901">
        <w:rPr>
          <w:rFonts w:ascii="Times New Roman" w:eastAsia="Helvetica" w:hAnsi="Times New Roman" w:cs="Times New Roman"/>
          <w:sz w:val="24"/>
          <w:szCs w:val="24"/>
        </w:rPr>
        <w:t xml:space="preserve"> Latvijā psihiskā veselības aprūpe</w:t>
      </w:r>
      <w:r w:rsidR="003E3786">
        <w:rPr>
          <w:rFonts w:ascii="Times New Roman" w:eastAsia="Helvetica" w:hAnsi="Times New Roman" w:cs="Times New Roman"/>
          <w:sz w:val="24"/>
          <w:szCs w:val="24"/>
        </w:rPr>
        <w:t>s organizācija</w:t>
      </w:r>
      <w:r w:rsidRPr="001D6901">
        <w:rPr>
          <w:rFonts w:ascii="Times New Roman" w:eastAsia="Helvetica" w:hAnsi="Times New Roman" w:cs="Times New Roman"/>
          <w:sz w:val="24"/>
          <w:szCs w:val="24"/>
        </w:rPr>
        <w:t xml:space="preserve"> raksturojas ar vāji attīstītu ambulatoro aprūpi psihiatrijā, nepietiekošu psihiatru skaitu un nepietiekošu rehabilitācijas pakalpojumu nodrošinājumu gan ambulatorajā, gan stacionārajā psihiskajā veselības aprūpē.  </w:t>
      </w:r>
      <w:r w:rsidRPr="001D6901">
        <w:rPr>
          <w:rFonts w:ascii="Times New Roman" w:eastAsia="Times New Roman" w:hAnsi="Times New Roman" w:cs="Times New Roman"/>
          <w:sz w:val="24"/>
          <w:szCs w:val="24"/>
        </w:rPr>
        <w:t xml:space="preserve">Šobrīd neskaidra ir klīniskā un veselības psihologa (turpmāk – psihologa) vieta un loma veselības aprūpes sistēmā. Neskatoties uz to, ka psihologam vajadzētu būt vienam no speciālistiem psihiatra komandā, </w:t>
      </w:r>
      <w:r w:rsidR="003E3786">
        <w:rPr>
          <w:rFonts w:ascii="Times New Roman" w:eastAsia="Times New Roman" w:hAnsi="Times New Roman" w:cs="Times New Roman"/>
          <w:sz w:val="24"/>
          <w:szCs w:val="24"/>
        </w:rPr>
        <w:t xml:space="preserve">ambulatori psihologa pakalpojumi pieejami tikai </w:t>
      </w:r>
      <w:r w:rsidR="003E3786" w:rsidRPr="001D6901">
        <w:rPr>
          <w:rFonts w:ascii="Times" w:hAnsi="Times"/>
          <w:sz w:val="24"/>
          <w:szCs w:val="24"/>
        </w:rPr>
        <w:t>VSIA “Bērnu klīniskās universitātes slimnīcā”</w:t>
      </w:r>
      <w:r w:rsidR="003E3786">
        <w:rPr>
          <w:rFonts w:ascii="Times" w:hAnsi="Times"/>
          <w:sz w:val="24"/>
          <w:szCs w:val="24"/>
        </w:rPr>
        <w:t xml:space="preserve"> vai dienas stacionārā, ja psihologs iesaistīts multiprofesionālā komandā</w:t>
      </w:r>
      <w:r w:rsidRPr="001D6901">
        <w:rPr>
          <w:rFonts w:ascii="Times New Roman" w:eastAsia="Times New Roman" w:hAnsi="Times New Roman" w:cs="Times New Roman"/>
          <w:sz w:val="24"/>
          <w:szCs w:val="24"/>
        </w:rPr>
        <w:t>. Uz nemedikamentozās terapijas nepieejamību ir norādījis arī Latvijas Republikas tiesībsargs savos ziņojumos par bērnu tiesību nodrošināšanu slimnīcās. Arī ANO Bērnu tiesības komiteja ir uzsvērusi nepieciešamību izvairīties no zāļu nevajadzīgas lietošanas un tā vietā izmantot rehabilitācijas metodes bērniem ar garīgās veselības un psihosociāliem traucējumiem. Uz multiprofesionālu komandas nepieciešamību ir norādīts Pasaules veselības organizācijas rokasgrāmatā par psihiskās, neiroloģiskās un atkarības vielu lietošanas veselības stāvokļu traucējumiem</w:t>
      </w:r>
      <w:r w:rsidRPr="001D6901">
        <w:rPr>
          <w:rStyle w:val="FootnoteReference"/>
          <w:rFonts w:ascii="Times New Roman" w:eastAsia="Times New Roman" w:hAnsi="Times New Roman" w:cs="Times New Roman"/>
          <w:sz w:val="24"/>
          <w:szCs w:val="24"/>
        </w:rPr>
        <w:footnoteReference w:id="75"/>
      </w:r>
      <w:r w:rsidRPr="001D6901">
        <w:rPr>
          <w:rFonts w:ascii="Times New Roman" w:eastAsia="Times New Roman" w:hAnsi="Times New Roman" w:cs="Times New Roman"/>
          <w:sz w:val="24"/>
          <w:szCs w:val="24"/>
        </w:rPr>
        <w:t>.</w:t>
      </w:r>
    </w:p>
    <w:p w14:paraId="6AAD7F02" w14:textId="0637A95E" w:rsidR="00972B28" w:rsidRDefault="00972B28" w:rsidP="00972B28">
      <w:pPr>
        <w:spacing w:after="0"/>
        <w:ind w:firstLine="720"/>
        <w:jc w:val="both"/>
        <w:rPr>
          <w:rFonts w:ascii="Times New Roman" w:eastAsia="Times New Roman" w:hAnsi="Times New Roman" w:cs="Times New Roman"/>
          <w:b/>
          <w:sz w:val="24"/>
          <w:szCs w:val="24"/>
        </w:rPr>
      </w:pPr>
      <w:r w:rsidRPr="007D7BD4">
        <w:rPr>
          <w:rFonts w:ascii="Times New Roman" w:eastAsia="Times New Roman" w:hAnsi="Times New Roman" w:cs="Times New Roman"/>
          <w:b/>
          <w:sz w:val="24"/>
          <w:szCs w:val="24"/>
        </w:rPr>
        <w:t xml:space="preserve">Lai nodrošinātu savlaicīgu veselības pakalpojumu pieejamību pacientiem ar diagnosticētiem psihiskiem traucējumiem plānots </w:t>
      </w:r>
      <w:r w:rsidRPr="00486493">
        <w:rPr>
          <w:rFonts w:ascii="Times New Roman" w:eastAsia="Times New Roman" w:hAnsi="Times New Roman" w:cs="Times New Roman"/>
          <w:b/>
          <w:sz w:val="24"/>
          <w:szCs w:val="24"/>
        </w:rPr>
        <w:t>sākot ar 2019.gada 1.</w:t>
      </w:r>
      <w:r w:rsidR="001B1AEF">
        <w:rPr>
          <w:rFonts w:ascii="Times New Roman" w:eastAsia="Times New Roman" w:hAnsi="Times New Roman" w:cs="Times New Roman"/>
          <w:b/>
          <w:sz w:val="24"/>
          <w:szCs w:val="24"/>
        </w:rPr>
        <w:t>aprīli</w:t>
      </w:r>
      <w:r w:rsidRPr="00486493">
        <w:rPr>
          <w:rFonts w:ascii="Times New Roman" w:eastAsia="Times New Roman" w:hAnsi="Times New Roman" w:cs="Times New Roman"/>
          <w:b/>
          <w:sz w:val="24"/>
          <w:szCs w:val="24"/>
        </w:rPr>
        <w:t>:</w:t>
      </w:r>
    </w:p>
    <w:p w14:paraId="5F3FD6F7" w14:textId="77777777" w:rsidR="001840CC" w:rsidRDefault="001840CC" w:rsidP="001840CC">
      <w:pPr>
        <w:spacing w:after="0"/>
        <w:ind w:firstLine="720"/>
        <w:jc w:val="right"/>
        <w:rPr>
          <w:rFonts w:ascii="Times New Roman" w:eastAsia="Times New Roman" w:hAnsi="Times New Roman" w:cs="Times New Roman"/>
          <w:i/>
          <w:sz w:val="24"/>
          <w:szCs w:val="24"/>
        </w:rPr>
        <w:sectPr w:rsidR="001840CC" w:rsidSect="00333B64">
          <w:pgSz w:w="12240" w:h="15840"/>
          <w:pgMar w:top="1440" w:right="1440" w:bottom="1440" w:left="1701" w:header="708" w:footer="708" w:gutter="0"/>
          <w:cols w:space="708"/>
          <w:docGrid w:linePitch="360"/>
        </w:sectPr>
      </w:pPr>
    </w:p>
    <w:p w14:paraId="20692855" w14:textId="010BB0A5" w:rsidR="001840CC" w:rsidRDefault="00E118ED" w:rsidP="00E11AFF">
      <w:pPr>
        <w:spacing w:after="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96</w:t>
      </w:r>
      <w:r w:rsidR="001840CC" w:rsidRPr="00E11AFF">
        <w:rPr>
          <w:rFonts w:ascii="Times New Roman" w:eastAsia="Times New Roman" w:hAnsi="Times New Roman" w:cs="Times New Roman"/>
          <w:i/>
          <w:sz w:val="24"/>
          <w:szCs w:val="24"/>
        </w:rPr>
        <w:t>.tabula</w:t>
      </w:r>
    </w:p>
    <w:p w14:paraId="6ED1A411" w14:textId="730C8F65" w:rsidR="001840CC" w:rsidRPr="00E11AFF" w:rsidRDefault="001840CC" w:rsidP="00E11AFF">
      <w:pPr>
        <w:spacing w:after="0" w:line="240" w:lineRule="auto"/>
        <w:jc w:val="center"/>
        <w:rPr>
          <w:rFonts w:ascii="Times New Roman" w:hAnsi="Times New Roman"/>
          <w:b/>
          <w:bCs/>
          <w:sz w:val="24"/>
          <w:szCs w:val="24"/>
        </w:rPr>
      </w:pPr>
      <w:r w:rsidRPr="00F85EC3">
        <w:rPr>
          <w:rFonts w:ascii="Times New Roman" w:hAnsi="Times New Roman"/>
          <w:b/>
          <w:bCs/>
          <w:sz w:val="24"/>
          <w:szCs w:val="24"/>
        </w:rPr>
        <w:t xml:space="preserve">Psihiskās veselības aprūpes uzlabošanai nepieciešamais finansējums (bez 8.pasākuma - </w:t>
      </w:r>
      <w:r w:rsidRPr="00F85EC3">
        <w:rPr>
          <w:rFonts w:ascii="Times New Roman" w:hAnsi="Times New Roman"/>
          <w:b/>
          <w:sz w:val="24"/>
          <w:szCs w:val="24"/>
        </w:rPr>
        <w:t xml:space="preserve">Kompensējamo zāļu pieejamības uzlabošana psihisko un uzvedības traucējumu diagnožu grupā, skat. </w:t>
      </w:r>
      <w:r w:rsidR="00E118ED" w:rsidRPr="00F85EC3">
        <w:rPr>
          <w:rFonts w:ascii="Times New Roman" w:hAnsi="Times New Roman"/>
          <w:b/>
          <w:sz w:val="24"/>
          <w:szCs w:val="24"/>
        </w:rPr>
        <w:t>104</w:t>
      </w:r>
      <w:r w:rsidRPr="00F85EC3">
        <w:rPr>
          <w:rFonts w:ascii="Times New Roman" w:hAnsi="Times New Roman"/>
          <w:b/>
          <w:sz w:val="24"/>
          <w:szCs w:val="24"/>
        </w:rPr>
        <w:t>.tabulu)</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993"/>
        <w:gridCol w:w="1134"/>
        <w:gridCol w:w="1134"/>
        <w:gridCol w:w="1134"/>
        <w:gridCol w:w="850"/>
        <w:gridCol w:w="992"/>
        <w:gridCol w:w="1134"/>
        <w:gridCol w:w="851"/>
        <w:gridCol w:w="992"/>
        <w:gridCol w:w="1134"/>
        <w:gridCol w:w="851"/>
        <w:gridCol w:w="992"/>
        <w:gridCol w:w="992"/>
      </w:tblGrid>
      <w:tr w:rsidR="001840CC" w14:paraId="6A4CE2B0" w14:textId="77777777" w:rsidTr="008E0B7B">
        <w:trPr>
          <w:cantSplit/>
          <w:trHeight w:val="1397"/>
          <w:jc w:val="center"/>
        </w:trPr>
        <w:tc>
          <w:tcPr>
            <w:tcW w:w="562" w:type="dxa"/>
            <w:shd w:val="clear" w:color="auto" w:fill="E36C0A" w:themeFill="accent6" w:themeFillShade="BF"/>
          </w:tcPr>
          <w:p w14:paraId="2228D500" w14:textId="77777777" w:rsidR="001840CC" w:rsidRPr="00847710" w:rsidRDefault="001840CC" w:rsidP="001840CC">
            <w:pPr>
              <w:spacing w:after="0" w:line="240" w:lineRule="auto"/>
              <w:rPr>
                <w:rFonts w:ascii="Times New Roman" w:eastAsia="Times New Roman" w:hAnsi="Times New Roman" w:cs="Times New Roman"/>
                <w:b/>
                <w:bCs/>
                <w:sz w:val="20"/>
                <w:szCs w:val="20"/>
                <w:lang w:eastAsia="lv-LV"/>
              </w:rPr>
            </w:pPr>
          </w:p>
        </w:tc>
        <w:tc>
          <w:tcPr>
            <w:tcW w:w="1701" w:type="dxa"/>
            <w:shd w:val="clear" w:color="auto" w:fill="E36C0A" w:themeFill="accent6" w:themeFillShade="BF"/>
            <w:vAlign w:val="center"/>
            <w:hideMark/>
          </w:tcPr>
          <w:p w14:paraId="13802DE1" w14:textId="77777777" w:rsidR="001840CC" w:rsidRPr="00847710" w:rsidRDefault="001840CC" w:rsidP="001840CC">
            <w:pPr>
              <w:spacing w:after="0" w:line="240" w:lineRule="auto"/>
              <w:rPr>
                <w:rFonts w:ascii="Times New Roman" w:eastAsia="Times New Roman" w:hAnsi="Times New Roman" w:cs="Times New Roman"/>
                <w:b/>
                <w:bCs/>
                <w:sz w:val="20"/>
                <w:szCs w:val="20"/>
                <w:lang w:eastAsia="lv-LV"/>
              </w:rPr>
            </w:pPr>
          </w:p>
        </w:tc>
        <w:tc>
          <w:tcPr>
            <w:tcW w:w="993" w:type="dxa"/>
            <w:shd w:val="clear" w:color="auto" w:fill="E36C0A" w:themeFill="accent6" w:themeFillShade="BF"/>
            <w:textDirection w:val="btLr"/>
            <w:vAlign w:val="center"/>
            <w:hideMark/>
          </w:tcPr>
          <w:p w14:paraId="376CD227" w14:textId="79FD836A" w:rsidR="001840CC" w:rsidRPr="00847710" w:rsidRDefault="0034630B" w:rsidP="001840CC">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V</w:t>
            </w:r>
            <w:r w:rsidR="001840CC">
              <w:rPr>
                <w:rFonts w:ascii="Times New Roman" w:eastAsia="Times New Roman" w:hAnsi="Times New Roman" w:cs="Times New Roman"/>
                <w:b/>
                <w:bCs/>
                <w:sz w:val="20"/>
                <w:szCs w:val="20"/>
                <w:lang w:eastAsia="lv-LV"/>
              </w:rPr>
              <w:t>idējās</w:t>
            </w:r>
          </w:p>
          <w:p w14:paraId="64C6EB99" w14:textId="77777777" w:rsidR="001840CC" w:rsidRPr="00847710" w:rsidRDefault="001840CC" w:rsidP="001840CC">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3E4926B9" w14:textId="77777777" w:rsidR="001840CC" w:rsidRPr="00847710" w:rsidRDefault="001840CC" w:rsidP="001840CC">
            <w:pPr>
              <w:spacing w:after="0" w:line="240" w:lineRule="auto"/>
              <w:ind w:left="113" w:right="113"/>
              <w:jc w:val="center"/>
              <w:rPr>
                <w:rFonts w:ascii="Times New Roman" w:eastAsia="Times New Roman" w:hAnsi="Times New Roman" w:cs="Times New Roman"/>
                <w:b/>
                <w:bCs/>
                <w:sz w:val="20"/>
                <w:szCs w:val="20"/>
                <w:lang w:eastAsia="lv-LV"/>
              </w:rPr>
            </w:pPr>
          </w:p>
        </w:tc>
        <w:tc>
          <w:tcPr>
            <w:tcW w:w="3402" w:type="dxa"/>
            <w:gridSpan w:val="3"/>
            <w:shd w:val="clear" w:color="auto" w:fill="E36C0A" w:themeFill="accent6" w:themeFillShade="BF"/>
            <w:textDirection w:val="btLr"/>
            <w:vAlign w:val="center"/>
          </w:tcPr>
          <w:p w14:paraId="175F4E64" w14:textId="77777777" w:rsidR="001840CC" w:rsidRPr="00847710" w:rsidRDefault="001840CC" w:rsidP="001840CC">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976" w:type="dxa"/>
            <w:gridSpan w:val="3"/>
            <w:shd w:val="clear" w:color="auto" w:fill="E36C0A" w:themeFill="accent6" w:themeFillShade="BF"/>
            <w:textDirection w:val="btLr"/>
            <w:vAlign w:val="center"/>
          </w:tcPr>
          <w:p w14:paraId="3E4F1B3C" w14:textId="77777777" w:rsidR="001840CC" w:rsidRPr="00847710" w:rsidRDefault="001840CC" w:rsidP="001840CC">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977" w:type="dxa"/>
            <w:gridSpan w:val="3"/>
            <w:shd w:val="clear" w:color="auto" w:fill="E36C0A" w:themeFill="accent6" w:themeFillShade="BF"/>
            <w:textDirection w:val="btLr"/>
            <w:vAlign w:val="center"/>
          </w:tcPr>
          <w:p w14:paraId="7BD49C84" w14:textId="77777777" w:rsidR="001840CC" w:rsidRPr="00847710" w:rsidRDefault="001840CC" w:rsidP="001840CC">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835" w:type="dxa"/>
            <w:gridSpan w:val="3"/>
            <w:shd w:val="clear" w:color="auto" w:fill="E36C0A" w:themeFill="accent6" w:themeFillShade="BF"/>
            <w:textDirection w:val="btLr"/>
            <w:vAlign w:val="center"/>
          </w:tcPr>
          <w:p w14:paraId="26857E59" w14:textId="77777777" w:rsidR="001840CC" w:rsidRPr="00847710" w:rsidRDefault="001840CC" w:rsidP="001840CC">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1840CC" w14:paraId="0A079B67" w14:textId="77777777" w:rsidTr="008E0B7B">
        <w:trPr>
          <w:trHeight w:val="640"/>
          <w:jc w:val="center"/>
        </w:trPr>
        <w:tc>
          <w:tcPr>
            <w:tcW w:w="562" w:type="dxa"/>
            <w:shd w:val="clear" w:color="auto" w:fill="FABF8F" w:themeFill="accent6" w:themeFillTint="99"/>
          </w:tcPr>
          <w:p w14:paraId="22A16948"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p>
        </w:tc>
        <w:tc>
          <w:tcPr>
            <w:tcW w:w="1701" w:type="dxa"/>
            <w:shd w:val="clear" w:color="auto" w:fill="FABF8F" w:themeFill="accent6" w:themeFillTint="99"/>
            <w:vAlign w:val="center"/>
          </w:tcPr>
          <w:p w14:paraId="2550C5DA"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p>
        </w:tc>
        <w:tc>
          <w:tcPr>
            <w:tcW w:w="993" w:type="dxa"/>
            <w:shd w:val="clear" w:color="auto" w:fill="FABF8F" w:themeFill="accent6" w:themeFillTint="99"/>
            <w:vAlign w:val="center"/>
          </w:tcPr>
          <w:p w14:paraId="26C2F5BE" w14:textId="77777777" w:rsidR="001840CC" w:rsidRPr="00847710" w:rsidRDefault="001840CC" w:rsidP="001840CC">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205A40AF"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BF8F" w:themeFill="accent6" w:themeFillTint="99"/>
            <w:vAlign w:val="center"/>
          </w:tcPr>
          <w:p w14:paraId="41703811" w14:textId="77777777" w:rsidR="001840CC"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923AA63" w14:textId="77777777" w:rsidR="001840CC" w:rsidRPr="0012317D" w:rsidRDefault="001840CC" w:rsidP="001840CC">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384C5302" w14:textId="77777777" w:rsidR="001840CC"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31952A9" w14:textId="77777777" w:rsidR="001840CC" w:rsidRPr="0012317D" w:rsidRDefault="001840CC" w:rsidP="001840CC">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5D84FC8D" w14:textId="77777777" w:rsidR="001840CC"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51D9A149" w14:textId="77777777" w:rsidR="001840CC" w:rsidRPr="0012317D" w:rsidRDefault="001840CC" w:rsidP="001840CC">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250D5539" w14:textId="77777777" w:rsidR="001840CC"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B8B2E2C" w14:textId="77777777" w:rsidR="001840CC" w:rsidRPr="0012317D" w:rsidRDefault="001840CC" w:rsidP="001840CC">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757705E1" w14:textId="77777777" w:rsidR="001840CC"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722975E8" w14:textId="77777777" w:rsidR="001840CC" w:rsidRPr="0012317D" w:rsidRDefault="001840CC" w:rsidP="001840CC">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3B9D3826" w14:textId="77777777" w:rsidR="001840CC" w:rsidRDefault="001840CC" w:rsidP="001840CC">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97FCED1" w14:textId="77777777" w:rsidR="001840CC" w:rsidRPr="00C86312"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 1.aprīļa)</w:t>
            </w:r>
          </w:p>
          <w:p w14:paraId="572DE691" w14:textId="77777777" w:rsidR="001840CC" w:rsidRPr="00C86312" w:rsidRDefault="001840CC" w:rsidP="001840CC">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16F31CD3"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992" w:type="dxa"/>
            <w:shd w:val="clear" w:color="auto" w:fill="FABF8F" w:themeFill="accent6" w:themeFillTint="99"/>
            <w:vAlign w:val="center"/>
          </w:tcPr>
          <w:p w14:paraId="07A57D75"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1134" w:type="dxa"/>
            <w:shd w:val="clear" w:color="auto" w:fill="FABF8F" w:themeFill="accent6" w:themeFillTint="99"/>
            <w:vAlign w:val="center"/>
          </w:tcPr>
          <w:p w14:paraId="72CAAAD2"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851" w:type="dxa"/>
            <w:shd w:val="clear" w:color="auto" w:fill="FABF8F" w:themeFill="accent6" w:themeFillTint="99"/>
            <w:vAlign w:val="center"/>
          </w:tcPr>
          <w:p w14:paraId="640838C4"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992" w:type="dxa"/>
            <w:shd w:val="clear" w:color="auto" w:fill="FABF8F" w:themeFill="accent6" w:themeFillTint="99"/>
            <w:vAlign w:val="center"/>
          </w:tcPr>
          <w:p w14:paraId="2A76A86C"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992" w:type="dxa"/>
            <w:shd w:val="clear" w:color="auto" w:fill="FABF8F" w:themeFill="accent6" w:themeFillTint="99"/>
            <w:vAlign w:val="center"/>
          </w:tcPr>
          <w:p w14:paraId="2527FC52" w14:textId="77777777" w:rsidR="001840CC" w:rsidRPr="00847710" w:rsidRDefault="001840CC" w:rsidP="001840CC">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1840CC" w14:paraId="706D7CA6" w14:textId="77777777" w:rsidTr="008E0B7B">
        <w:trPr>
          <w:trHeight w:val="598"/>
          <w:jc w:val="center"/>
        </w:trPr>
        <w:tc>
          <w:tcPr>
            <w:tcW w:w="562" w:type="dxa"/>
            <w:shd w:val="clear" w:color="auto" w:fill="FFFFFF" w:themeFill="background1"/>
          </w:tcPr>
          <w:p w14:paraId="60E16814"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1.1.</w:t>
            </w:r>
          </w:p>
        </w:tc>
        <w:tc>
          <w:tcPr>
            <w:tcW w:w="1701" w:type="dxa"/>
            <w:shd w:val="clear" w:color="auto" w:fill="FFFFFF" w:themeFill="background1"/>
            <w:vAlign w:val="center"/>
          </w:tcPr>
          <w:p w14:paraId="4262A0CE" w14:textId="1CF9FB7B" w:rsidR="001840CC" w:rsidRPr="00E1067B" w:rsidRDefault="001840CC" w:rsidP="001840CC">
            <w:pPr>
              <w:spacing w:after="0" w:line="240" w:lineRule="auto"/>
              <w:rPr>
                <w:rFonts w:ascii="Times New Roman" w:eastAsia="Times New Roman" w:hAnsi="Times New Roman" w:cs="Times New Roman"/>
                <w:bCs/>
                <w:sz w:val="20"/>
                <w:szCs w:val="20"/>
                <w:lang w:eastAsia="lv-LV"/>
              </w:rPr>
            </w:pPr>
            <w:r w:rsidRPr="00330A34">
              <w:rPr>
                <w:rFonts w:ascii="Times New Roman" w:eastAsia="Times New Roman" w:hAnsi="Times New Roman"/>
                <w:sz w:val="18"/>
                <w:szCs w:val="18"/>
              </w:rPr>
              <w:t>Stiprināt esošās psihiatrijas prakses</w:t>
            </w:r>
          </w:p>
        </w:tc>
        <w:tc>
          <w:tcPr>
            <w:tcW w:w="993" w:type="dxa"/>
            <w:shd w:val="clear" w:color="auto" w:fill="FFFFFF" w:themeFill="background1"/>
            <w:vAlign w:val="center"/>
          </w:tcPr>
          <w:p w14:paraId="5CBFDAFF" w14:textId="01A0B8A0" w:rsidR="001840CC" w:rsidRPr="00E1067B" w:rsidRDefault="001840CC" w:rsidP="001840CC">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71</w:t>
            </w:r>
            <w:r w:rsidR="0034630B">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184</w:t>
            </w:r>
            <w:r w:rsidR="0034630B" w:rsidRPr="00B51BB8">
              <w:rPr>
                <w:rFonts w:ascii="Times New Roman" w:eastAsia="Times New Roman" w:hAnsi="Times New Roman"/>
                <w:sz w:val="18"/>
                <w:szCs w:val="18"/>
                <w:vertAlign w:val="superscript"/>
              </w:rPr>
              <w:t>1</w:t>
            </w:r>
          </w:p>
        </w:tc>
        <w:tc>
          <w:tcPr>
            <w:tcW w:w="1134" w:type="dxa"/>
            <w:vMerge w:val="restart"/>
            <w:shd w:val="clear" w:color="auto" w:fill="FFFFFF" w:themeFill="background1"/>
            <w:vAlign w:val="center"/>
          </w:tcPr>
          <w:p w14:paraId="47415283" w14:textId="77777777" w:rsidR="001840CC"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4 151 139</w:t>
            </w:r>
          </w:p>
        </w:tc>
        <w:tc>
          <w:tcPr>
            <w:tcW w:w="1134" w:type="dxa"/>
            <w:vMerge w:val="restart"/>
            <w:shd w:val="clear" w:color="auto" w:fill="FFFFFF" w:themeFill="background1"/>
            <w:vAlign w:val="center"/>
          </w:tcPr>
          <w:p w14:paraId="30073851" w14:textId="77777777" w:rsidR="001840CC"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4 151 139</w:t>
            </w:r>
          </w:p>
        </w:tc>
        <w:tc>
          <w:tcPr>
            <w:tcW w:w="1134" w:type="dxa"/>
            <w:vMerge w:val="restart"/>
            <w:shd w:val="clear" w:color="auto" w:fill="FFFFFF" w:themeFill="background1"/>
            <w:vAlign w:val="center"/>
          </w:tcPr>
          <w:p w14:paraId="20085544"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4 151 139</w:t>
            </w:r>
          </w:p>
        </w:tc>
        <w:tc>
          <w:tcPr>
            <w:tcW w:w="850" w:type="dxa"/>
            <w:vMerge w:val="restart"/>
            <w:shd w:val="clear" w:color="auto" w:fill="FFFFFF" w:themeFill="background1"/>
            <w:vAlign w:val="center"/>
          </w:tcPr>
          <w:p w14:paraId="7ABBE35F" w14:textId="77777777" w:rsidR="001840CC"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c>
          <w:tcPr>
            <w:tcW w:w="992" w:type="dxa"/>
            <w:vMerge w:val="restart"/>
            <w:shd w:val="clear" w:color="auto" w:fill="FFFFFF" w:themeFill="background1"/>
            <w:vAlign w:val="center"/>
          </w:tcPr>
          <w:p w14:paraId="150EB344" w14:textId="77777777" w:rsidR="001840CC"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c>
          <w:tcPr>
            <w:tcW w:w="1134" w:type="dxa"/>
            <w:vMerge w:val="restart"/>
            <w:shd w:val="clear" w:color="auto" w:fill="FFFFFF" w:themeFill="background1"/>
            <w:vAlign w:val="center"/>
          </w:tcPr>
          <w:p w14:paraId="70000600" w14:textId="77777777" w:rsidR="001840CC" w:rsidRPr="009E0295" w:rsidRDefault="001840CC" w:rsidP="001840CC">
            <w:pPr>
              <w:spacing w:after="0" w:line="240" w:lineRule="auto"/>
              <w:jc w:val="center"/>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759 761</w:t>
            </w:r>
          </w:p>
        </w:tc>
        <w:tc>
          <w:tcPr>
            <w:tcW w:w="851" w:type="dxa"/>
            <w:shd w:val="clear" w:color="auto" w:fill="FFFFFF" w:themeFill="background1"/>
            <w:vAlign w:val="center"/>
          </w:tcPr>
          <w:p w14:paraId="4BF32715"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32</w:t>
            </w:r>
          </w:p>
        </w:tc>
        <w:tc>
          <w:tcPr>
            <w:tcW w:w="992" w:type="dxa"/>
            <w:shd w:val="clear" w:color="auto" w:fill="FFFFFF" w:themeFill="background1"/>
            <w:vAlign w:val="center"/>
          </w:tcPr>
          <w:p w14:paraId="4A2F3ED9"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32</w:t>
            </w:r>
          </w:p>
        </w:tc>
        <w:tc>
          <w:tcPr>
            <w:tcW w:w="1134" w:type="dxa"/>
            <w:shd w:val="clear" w:color="auto" w:fill="FFFFFF" w:themeFill="background1"/>
            <w:vAlign w:val="center"/>
          </w:tcPr>
          <w:p w14:paraId="118AEC18"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32</w:t>
            </w:r>
          </w:p>
        </w:tc>
        <w:tc>
          <w:tcPr>
            <w:tcW w:w="851" w:type="dxa"/>
            <w:shd w:val="clear" w:color="auto" w:fill="FFFFFF" w:themeFill="background1"/>
            <w:vAlign w:val="center"/>
          </w:tcPr>
          <w:p w14:paraId="198FFF5B" w14:textId="1AF165D5" w:rsidR="001840CC" w:rsidRDefault="003E3B6E"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c>
          <w:tcPr>
            <w:tcW w:w="992" w:type="dxa"/>
            <w:shd w:val="clear" w:color="auto" w:fill="FFFFFF" w:themeFill="background1"/>
            <w:vAlign w:val="center"/>
          </w:tcPr>
          <w:p w14:paraId="44440719" w14:textId="39DC6B21" w:rsidR="001840CC" w:rsidRDefault="003E3B6E"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c>
          <w:tcPr>
            <w:tcW w:w="992" w:type="dxa"/>
            <w:shd w:val="clear" w:color="auto" w:fill="FFFFFF" w:themeFill="background1"/>
            <w:vAlign w:val="center"/>
          </w:tcPr>
          <w:p w14:paraId="00D1170A" w14:textId="6F5E0B61" w:rsidR="001840CC" w:rsidRPr="00C235D2" w:rsidRDefault="001840CC" w:rsidP="001840CC">
            <w:pPr>
              <w:spacing w:after="0" w:line="240" w:lineRule="auto"/>
              <w:jc w:val="center"/>
              <w:rPr>
                <w:rFonts w:ascii="Times New Roman" w:eastAsia="Times New Roman" w:hAnsi="Times New Roman" w:cs="Times New Roman"/>
                <w:bCs/>
                <w:sz w:val="20"/>
                <w:szCs w:val="20"/>
                <w:vertAlign w:val="superscript"/>
                <w:lang w:eastAsia="lv-LV"/>
              </w:rPr>
            </w:pPr>
            <w:r>
              <w:rPr>
                <w:rFonts w:ascii="Times New Roman" w:eastAsia="Times New Roman" w:hAnsi="Times New Roman" w:cs="Times New Roman"/>
                <w:bCs/>
                <w:sz w:val="20"/>
                <w:szCs w:val="20"/>
                <w:lang w:eastAsia="lv-LV"/>
              </w:rPr>
              <w:t>32</w:t>
            </w:r>
            <w:r w:rsidR="00C235D2">
              <w:rPr>
                <w:rFonts w:ascii="Times New Roman" w:eastAsia="Times New Roman" w:hAnsi="Times New Roman" w:cs="Times New Roman"/>
                <w:bCs/>
                <w:sz w:val="20"/>
                <w:szCs w:val="20"/>
                <w:vertAlign w:val="superscript"/>
                <w:lang w:eastAsia="lv-LV"/>
              </w:rPr>
              <w:t>6</w:t>
            </w:r>
          </w:p>
        </w:tc>
      </w:tr>
      <w:tr w:rsidR="001840CC" w14:paraId="20B110B3" w14:textId="77777777" w:rsidTr="008E0B7B">
        <w:trPr>
          <w:trHeight w:val="598"/>
          <w:jc w:val="center"/>
        </w:trPr>
        <w:tc>
          <w:tcPr>
            <w:tcW w:w="562" w:type="dxa"/>
            <w:shd w:val="clear" w:color="auto" w:fill="FFFFFF" w:themeFill="background1"/>
          </w:tcPr>
          <w:p w14:paraId="3353D7FB"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r w:rsidRPr="00E1067B">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2.</w:t>
            </w:r>
          </w:p>
        </w:tc>
        <w:tc>
          <w:tcPr>
            <w:tcW w:w="1701" w:type="dxa"/>
            <w:shd w:val="clear" w:color="auto" w:fill="FFFFFF" w:themeFill="background1"/>
            <w:vAlign w:val="center"/>
          </w:tcPr>
          <w:p w14:paraId="329177F3" w14:textId="313D6297" w:rsidR="001840CC" w:rsidRPr="00B51BB8" w:rsidRDefault="001840CC" w:rsidP="001840CC">
            <w:pPr>
              <w:spacing w:after="0" w:line="240" w:lineRule="auto"/>
              <w:rPr>
                <w:rFonts w:ascii="Times New Roman" w:eastAsia="Times New Roman" w:hAnsi="Times New Roman" w:cs="Times New Roman"/>
                <w:bCs/>
                <w:sz w:val="20"/>
                <w:szCs w:val="20"/>
                <w:vertAlign w:val="superscript"/>
                <w:lang w:eastAsia="lv-LV"/>
              </w:rPr>
            </w:pPr>
            <w:r w:rsidRPr="00330A34">
              <w:rPr>
                <w:rFonts w:ascii="Times New Roman" w:eastAsia="Times New Roman" w:hAnsi="Times New Roman"/>
                <w:sz w:val="18"/>
                <w:szCs w:val="18"/>
              </w:rPr>
              <w:t>Stiprināt esošās psihiatrijas prakses (</w:t>
            </w:r>
            <w:r>
              <w:rPr>
                <w:rFonts w:ascii="Times New Roman" w:eastAsia="Times New Roman" w:hAnsi="Times New Roman"/>
                <w:sz w:val="18"/>
                <w:szCs w:val="18"/>
              </w:rPr>
              <w:t>ambulatorās iestādēs</w:t>
            </w:r>
            <w:r w:rsidRPr="00330A34">
              <w:rPr>
                <w:rFonts w:ascii="Times New Roman" w:eastAsia="Times New Roman" w:hAnsi="Times New Roman"/>
                <w:sz w:val="18"/>
                <w:szCs w:val="18"/>
              </w:rPr>
              <w:t>)</w:t>
            </w:r>
          </w:p>
        </w:tc>
        <w:tc>
          <w:tcPr>
            <w:tcW w:w="993" w:type="dxa"/>
            <w:shd w:val="clear" w:color="auto" w:fill="FFFFFF" w:themeFill="background1"/>
            <w:vAlign w:val="center"/>
          </w:tcPr>
          <w:p w14:paraId="11B36EDC" w14:textId="44B5491B" w:rsidR="001840CC" w:rsidRPr="00E1067B" w:rsidRDefault="001840CC" w:rsidP="001840CC">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w:t>
            </w:r>
            <w:r w:rsidR="0034630B">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085</w:t>
            </w:r>
            <w:r w:rsidR="0034630B">
              <w:rPr>
                <w:rFonts w:ascii="Times New Roman" w:eastAsia="Times New Roman" w:hAnsi="Times New Roman"/>
                <w:sz w:val="18"/>
                <w:szCs w:val="18"/>
                <w:vertAlign w:val="superscript"/>
              </w:rPr>
              <w:t>1</w:t>
            </w:r>
          </w:p>
        </w:tc>
        <w:tc>
          <w:tcPr>
            <w:tcW w:w="1134" w:type="dxa"/>
            <w:vMerge/>
            <w:shd w:val="clear" w:color="auto" w:fill="FFFFFF" w:themeFill="background1"/>
            <w:vAlign w:val="center"/>
          </w:tcPr>
          <w:p w14:paraId="2BB0AFA3"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p>
        </w:tc>
        <w:tc>
          <w:tcPr>
            <w:tcW w:w="1134" w:type="dxa"/>
            <w:vMerge/>
            <w:shd w:val="clear" w:color="auto" w:fill="FFFFFF" w:themeFill="background1"/>
            <w:vAlign w:val="center"/>
          </w:tcPr>
          <w:p w14:paraId="344EBF28"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p>
        </w:tc>
        <w:tc>
          <w:tcPr>
            <w:tcW w:w="1134" w:type="dxa"/>
            <w:vMerge/>
            <w:shd w:val="clear" w:color="auto" w:fill="FFFFFF" w:themeFill="background1"/>
            <w:vAlign w:val="center"/>
          </w:tcPr>
          <w:p w14:paraId="4C082B2F"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p>
        </w:tc>
        <w:tc>
          <w:tcPr>
            <w:tcW w:w="850" w:type="dxa"/>
            <w:vMerge/>
            <w:shd w:val="clear" w:color="auto" w:fill="FFFFFF" w:themeFill="background1"/>
            <w:vAlign w:val="center"/>
          </w:tcPr>
          <w:p w14:paraId="706D991E"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p>
        </w:tc>
        <w:tc>
          <w:tcPr>
            <w:tcW w:w="992" w:type="dxa"/>
            <w:vMerge/>
            <w:shd w:val="clear" w:color="auto" w:fill="FFFFFF" w:themeFill="background1"/>
            <w:vAlign w:val="center"/>
          </w:tcPr>
          <w:p w14:paraId="3797F515"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p>
        </w:tc>
        <w:tc>
          <w:tcPr>
            <w:tcW w:w="1134" w:type="dxa"/>
            <w:vMerge/>
            <w:shd w:val="clear" w:color="auto" w:fill="FFFFFF" w:themeFill="background1"/>
            <w:vAlign w:val="center"/>
          </w:tcPr>
          <w:p w14:paraId="5BA1F0BB" w14:textId="77777777" w:rsidR="001840CC" w:rsidRPr="009E0295" w:rsidRDefault="001840CC" w:rsidP="001840CC">
            <w:pPr>
              <w:spacing w:after="0" w:line="240" w:lineRule="auto"/>
              <w:jc w:val="center"/>
              <w:rPr>
                <w:rFonts w:ascii="Times New Roman" w:eastAsia="Times New Roman" w:hAnsi="Times New Roman" w:cs="Times New Roman"/>
                <w:bCs/>
                <w:sz w:val="16"/>
                <w:szCs w:val="16"/>
                <w:lang w:eastAsia="lv-LV"/>
              </w:rPr>
            </w:pPr>
          </w:p>
        </w:tc>
        <w:tc>
          <w:tcPr>
            <w:tcW w:w="851" w:type="dxa"/>
            <w:shd w:val="clear" w:color="auto" w:fill="FFFFFF" w:themeFill="background1"/>
            <w:vAlign w:val="center"/>
          </w:tcPr>
          <w:p w14:paraId="6E9D286C"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47,25</w:t>
            </w:r>
          </w:p>
        </w:tc>
        <w:tc>
          <w:tcPr>
            <w:tcW w:w="992" w:type="dxa"/>
            <w:shd w:val="clear" w:color="auto" w:fill="FFFFFF" w:themeFill="background1"/>
            <w:vAlign w:val="center"/>
          </w:tcPr>
          <w:p w14:paraId="1E24A60E"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47,25</w:t>
            </w:r>
          </w:p>
        </w:tc>
        <w:tc>
          <w:tcPr>
            <w:tcW w:w="1134" w:type="dxa"/>
            <w:shd w:val="clear" w:color="auto" w:fill="FFFFFF" w:themeFill="background1"/>
            <w:vAlign w:val="center"/>
          </w:tcPr>
          <w:p w14:paraId="7F03336F" w14:textId="77777777" w:rsidR="001840CC" w:rsidRPr="00E1067B" w:rsidRDefault="001840CC"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47,25</w:t>
            </w:r>
          </w:p>
        </w:tc>
        <w:tc>
          <w:tcPr>
            <w:tcW w:w="851" w:type="dxa"/>
            <w:shd w:val="clear" w:color="auto" w:fill="FFFFFF" w:themeFill="background1"/>
            <w:vAlign w:val="center"/>
          </w:tcPr>
          <w:p w14:paraId="38D92D0D" w14:textId="5806A728" w:rsidR="001840CC" w:rsidRPr="00E1067B" w:rsidRDefault="003E3B6E"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c>
          <w:tcPr>
            <w:tcW w:w="992" w:type="dxa"/>
            <w:shd w:val="clear" w:color="auto" w:fill="FFFFFF" w:themeFill="background1"/>
            <w:vAlign w:val="center"/>
          </w:tcPr>
          <w:p w14:paraId="7EA20BC8" w14:textId="12477F07" w:rsidR="001840CC" w:rsidRPr="00E1067B" w:rsidRDefault="003E3B6E"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c>
          <w:tcPr>
            <w:tcW w:w="992" w:type="dxa"/>
            <w:shd w:val="clear" w:color="auto" w:fill="FFFFFF" w:themeFill="background1"/>
            <w:vAlign w:val="center"/>
          </w:tcPr>
          <w:p w14:paraId="29AB0379" w14:textId="5D8110AA" w:rsidR="001840CC" w:rsidRPr="00FC7D94" w:rsidRDefault="001840CC" w:rsidP="001840CC">
            <w:pPr>
              <w:spacing w:after="0" w:line="240" w:lineRule="auto"/>
              <w:jc w:val="center"/>
              <w:rPr>
                <w:rFonts w:ascii="Times New Roman" w:eastAsia="Times New Roman" w:hAnsi="Times New Roman" w:cs="Times New Roman"/>
                <w:bCs/>
                <w:sz w:val="20"/>
                <w:szCs w:val="20"/>
                <w:vertAlign w:val="superscript"/>
                <w:lang w:eastAsia="lv-LV"/>
              </w:rPr>
            </w:pPr>
            <w:r>
              <w:rPr>
                <w:rFonts w:ascii="Times New Roman" w:eastAsia="Times New Roman" w:hAnsi="Times New Roman" w:cs="Times New Roman"/>
                <w:bCs/>
                <w:sz w:val="20"/>
                <w:szCs w:val="20"/>
                <w:lang w:eastAsia="lv-LV"/>
              </w:rPr>
              <w:t>47,25</w:t>
            </w:r>
            <w:r w:rsidR="00FC7D94">
              <w:rPr>
                <w:rFonts w:ascii="Times New Roman" w:eastAsia="Times New Roman" w:hAnsi="Times New Roman" w:cs="Times New Roman"/>
                <w:bCs/>
                <w:sz w:val="20"/>
                <w:szCs w:val="20"/>
                <w:vertAlign w:val="superscript"/>
                <w:lang w:eastAsia="lv-LV"/>
              </w:rPr>
              <w:t>6</w:t>
            </w:r>
          </w:p>
        </w:tc>
      </w:tr>
      <w:tr w:rsidR="001840CC" w14:paraId="3A669E25"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43DA7167"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p>
        </w:tc>
        <w:tc>
          <w:tcPr>
            <w:tcW w:w="1701" w:type="dxa"/>
            <w:tcBorders>
              <w:top w:val="single" w:sz="4" w:space="0" w:color="auto"/>
              <w:left w:val="single" w:sz="4" w:space="0" w:color="auto"/>
              <w:bottom w:val="single" w:sz="4" w:space="0" w:color="auto"/>
              <w:right w:val="single" w:sz="4" w:space="0" w:color="auto"/>
            </w:tcBorders>
          </w:tcPr>
          <w:p w14:paraId="2E3D561C"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5815FA">
              <w:rPr>
                <w:rFonts w:ascii="Times New Roman" w:eastAsia="Times New Roman" w:hAnsi="Times New Roman"/>
                <w:sz w:val="18"/>
                <w:szCs w:val="18"/>
              </w:rPr>
              <w:t>Papildus 0.3 slodzes  darbam dienas stacionārā esošam apjomam,  strādājot ar pacientiem ar garīgiem un psihiskiem traucējumiem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D33E9" w14:textId="0DA76076" w:rsidR="001840CC" w:rsidRPr="00847710" w:rsidRDefault="001840CC" w:rsidP="001840C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w:t>
            </w:r>
            <w:r w:rsidR="0034630B" w:rsidRPr="0034630B">
              <w:rPr>
                <w:rFonts w:ascii="Times New Roman" w:eastAsia="Times New Roman" w:hAnsi="Times New Roman" w:cs="Times New Roman"/>
                <w:sz w:val="20"/>
                <w:szCs w:val="20"/>
                <w:vertAlign w:val="superscript"/>
                <w:lang w:eastAsia="lv-LV"/>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5D2CEA"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1 166 000</w:t>
            </w:r>
          </w:p>
        </w:tc>
        <w:tc>
          <w:tcPr>
            <w:tcW w:w="1134" w:type="dxa"/>
            <w:tcBorders>
              <w:top w:val="single" w:sz="4" w:space="0" w:color="auto"/>
              <w:left w:val="single" w:sz="4" w:space="0" w:color="auto"/>
              <w:bottom w:val="single" w:sz="4" w:space="0" w:color="auto"/>
              <w:right w:val="single" w:sz="4" w:space="0" w:color="auto"/>
            </w:tcBorders>
            <w:vAlign w:val="center"/>
          </w:tcPr>
          <w:p w14:paraId="5290DA7C"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1 166 000</w:t>
            </w:r>
          </w:p>
        </w:tc>
        <w:tc>
          <w:tcPr>
            <w:tcW w:w="1134" w:type="dxa"/>
            <w:tcBorders>
              <w:top w:val="single" w:sz="4" w:space="0" w:color="auto"/>
              <w:left w:val="single" w:sz="4" w:space="0" w:color="auto"/>
              <w:bottom w:val="single" w:sz="4" w:space="0" w:color="auto"/>
              <w:right w:val="single" w:sz="4" w:space="0" w:color="auto"/>
            </w:tcBorders>
            <w:vAlign w:val="center"/>
          </w:tcPr>
          <w:p w14:paraId="1A1AB0D9"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1 166 000</w:t>
            </w:r>
          </w:p>
        </w:tc>
        <w:tc>
          <w:tcPr>
            <w:tcW w:w="850" w:type="dxa"/>
            <w:tcBorders>
              <w:top w:val="single" w:sz="4" w:space="0" w:color="auto"/>
              <w:left w:val="single" w:sz="4" w:space="0" w:color="auto"/>
              <w:bottom w:val="single" w:sz="4" w:space="0" w:color="auto"/>
              <w:right w:val="single" w:sz="4" w:space="0" w:color="auto"/>
            </w:tcBorders>
            <w:vAlign w:val="center"/>
          </w:tcPr>
          <w:p w14:paraId="0CFF3A98"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367790D1"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B733A" w14:textId="77777777" w:rsidR="001840CC" w:rsidRPr="00EB60F8"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164 806</w:t>
            </w:r>
          </w:p>
        </w:tc>
        <w:tc>
          <w:tcPr>
            <w:tcW w:w="851" w:type="dxa"/>
            <w:tcBorders>
              <w:top w:val="single" w:sz="4" w:space="0" w:color="auto"/>
              <w:left w:val="single" w:sz="4" w:space="0" w:color="auto"/>
              <w:bottom w:val="single" w:sz="4" w:space="0" w:color="auto"/>
              <w:right w:val="single" w:sz="4" w:space="0" w:color="auto"/>
            </w:tcBorders>
            <w:vAlign w:val="center"/>
          </w:tcPr>
          <w:p w14:paraId="00802E9F" w14:textId="77777777" w:rsidR="001840CC" w:rsidRPr="00030FAC" w:rsidRDefault="001840CC" w:rsidP="001840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68 669</w:t>
            </w:r>
          </w:p>
        </w:tc>
        <w:tc>
          <w:tcPr>
            <w:tcW w:w="992" w:type="dxa"/>
            <w:tcBorders>
              <w:top w:val="single" w:sz="4" w:space="0" w:color="auto"/>
              <w:left w:val="single" w:sz="4" w:space="0" w:color="auto"/>
              <w:bottom w:val="single" w:sz="4" w:space="0" w:color="auto"/>
              <w:right w:val="single" w:sz="4" w:space="0" w:color="auto"/>
            </w:tcBorders>
            <w:vAlign w:val="center"/>
          </w:tcPr>
          <w:p w14:paraId="5089463A" w14:textId="77777777" w:rsidR="001840CC" w:rsidRPr="00030FAC" w:rsidRDefault="001840CC" w:rsidP="001840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68 669</w:t>
            </w:r>
          </w:p>
        </w:tc>
        <w:tc>
          <w:tcPr>
            <w:tcW w:w="1134" w:type="dxa"/>
            <w:tcBorders>
              <w:top w:val="single" w:sz="4" w:space="0" w:color="auto"/>
              <w:left w:val="single" w:sz="4" w:space="0" w:color="auto"/>
              <w:bottom w:val="single" w:sz="4" w:space="0" w:color="auto"/>
              <w:right w:val="single" w:sz="4" w:space="0" w:color="auto"/>
            </w:tcBorders>
            <w:vAlign w:val="center"/>
          </w:tcPr>
          <w:p w14:paraId="3D580F51" w14:textId="77777777" w:rsidR="001840CC" w:rsidRPr="00030FAC" w:rsidRDefault="001840CC" w:rsidP="001840CC">
            <w:pPr>
              <w:spacing w:after="0" w:line="240" w:lineRule="auto"/>
              <w:jc w:val="center"/>
              <w:rPr>
                <w:rFonts w:ascii="Times New Roman" w:hAnsi="Times New Roman" w:cs="Times New Roman"/>
                <w:bCs/>
                <w:sz w:val="20"/>
                <w:szCs w:val="20"/>
              </w:rPr>
            </w:pPr>
            <w:r w:rsidRPr="009E0295">
              <w:rPr>
                <w:rFonts w:ascii="Times New Roman" w:hAnsi="Times New Roman" w:cs="Times New Roman"/>
                <w:bCs/>
                <w:sz w:val="20"/>
                <w:szCs w:val="20"/>
              </w:rPr>
              <w:t>68 669</w:t>
            </w:r>
          </w:p>
        </w:tc>
        <w:tc>
          <w:tcPr>
            <w:tcW w:w="851" w:type="dxa"/>
            <w:tcBorders>
              <w:top w:val="single" w:sz="4" w:space="0" w:color="auto"/>
              <w:left w:val="single" w:sz="4" w:space="0" w:color="auto"/>
              <w:bottom w:val="single" w:sz="4" w:space="0" w:color="auto"/>
              <w:right w:val="single" w:sz="4" w:space="0" w:color="auto"/>
            </w:tcBorders>
            <w:vAlign w:val="center"/>
          </w:tcPr>
          <w:p w14:paraId="7650591C" w14:textId="5BE0ECAF" w:rsidR="001840CC" w:rsidRPr="00030FAC" w:rsidRDefault="003E3B6E" w:rsidP="001840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3777A57" w14:textId="5EE4D7CE" w:rsidR="001840CC" w:rsidRPr="00030FAC" w:rsidRDefault="003E3B6E" w:rsidP="001840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199D1621" w14:textId="01199ADC" w:rsidR="001840CC" w:rsidRPr="00FC7D94" w:rsidRDefault="001840CC" w:rsidP="001840CC">
            <w:pPr>
              <w:spacing w:after="0" w:line="240" w:lineRule="auto"/>
              <w:jc w:val="center"/>
              <w:rPr>
                <w:rFonts w:ascii="Times New Roman" w:eastAsia="Times New Roman" w:hAnsi="Times New Roman" w:cs="Times New Roman"/>
                <w:bCs/>
                <w:sz w:val="20"/>
                <w:szCs w:val="20"/>
                <w:highlight w:val="yellow"/>
                <w:vertAlign w:val="superscript"/>
                <w:lang w:eastAsia="lv-LV"/>
              </w:rPr>
            </w:pPr>
            <w:r w:rsidRPr="009E0295">
              <w:rPr>
                <w:rFonts w:ascii="Times New Roman" w:hAnsi="Times New Roman" w:cs="Times New Roman"/>
                <w:bCs/>
                <w:sz w:val="20"/>
                <w:szCs w:val="20"/>
              </w:rPr>
              <w:t>68</w:t>
            </w:r>
            <w:r w:rsidR="00FC7D94">
              <w:rPr>
                <w:rFonts w:ascii="Times New Roman" w:hAnsi="Times New Roman" w:cs="Times New Roman"/>
                <w:bCs/>
                <w:sz w:val="20"/>
                <w:szCs w:val="20"/>
              </w:rPr>
              <w:t> </w:t>
            </w:r>
            <w:r w:rsidRPr="009E0295">
              <w:rPr>
                <w:rFonts w:ascii="Times New Roman" w:hAnsi="Times New Roman" w:cs="Times New Roman"/>
                <w:bCs/>
                <w:sz w:val="20"/>
                <w:szCs w:val="20"/>
              </w:rPr>
              <w:t>669</w:t>
            </w:r>
            <w:r w:rsidR="00FC7D94">
              <w:rPr>
                <w:rFonts w:ascii="Times New Roman" w:hAnsi="Times New Roman" w:cs="Times New Roman"/>
                <w:bCs/>
                <w:sz w:val="20"/>
                <w:szCs w:val="20"/>
                <w:vertAlign w:val="superscript"/>
              </w:rPr>
              <w:t>7</w:t>
            </w:r>
          </w:p>
        </w:tc>
      </w:tr>
      <w:tr w:rsidR="001840CC" w14:paraId="7BDF82E8"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0DCDC716"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p>
        </w:tc>
        <w:tc>
          <w:tcPr>
            <w:tcW w:w="1701" w:type="dxa"/>
            <w:tcBorders>
              <w:top w:val="single" w:sz="4" w:space="0" w:color="auto"/>
              <w:left w:val="single" w:sz="4" w:space="0" w:color="auto"/>
              <w:bottom w:val="single" w:sz="4" w:space="0" w:color="auto"/>
              <w:right w:val="single" w:sz="4" w:space="0" w:color="auto"/>
            </w:tcBorders>
          </w:tcPr>
          <w:p w14:paraId="2A5B6212"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sz w:val="18"/>
                <w:szCs w:val="18"/>
              </w:rPr>
              <w:t>N</w:t>
            </w:r>
            <w:r w:rsidRPr="005815FA">
              <w:rPr>
                <w:rFonts w:ascii="Times New Roman" w:eastAsia="Times New Roman" w:hAnsi="Times New Roman"/>
                <w:sz w:val="18"/>
                <w:szCs w:val="18"/>
              </w:rPr>
              <w:t>odrošinot pakalpojumu pieejamības pieaugumu par 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E2688" w14:textId="1E84941B" w:rsidR="001840CC" w:rsidRPr="0034630B" w:rsidRDefault="001840CC" w:rsidP="001840CC">
            <w:pPr>
              <w:spacing w:after="0" w:line="240" w:lineRule="auto"/>
              <w:jc w:val="center"/>
              <w:rPr>
                <w:rFonts w:ascii="Times New Roman" w:eastAsia="Times New Roman" w:hAnsi="Times New Roman" w:cs="Times New Roman"/>
                <w:sz w:val="20"/>
                <w:szCs w:val="20"/>
                <w:vertAlign w:val="superscript"/>
                <w:lang w:eastAsia="lv-LV"/>
              </w:rPr>
            </w:pPr>
            <w:r>
              <w:rPr>
                <w:rFonts w:ascii="Times New Roman" w:eastAsia="Times New Roman" w:hAnsi="Times New Roman" w:cs="Times New Roman"/>
                <w:sz w:val="20"/>
                <w:szCs w:val="20"/>
                <w:lang w:eastAsia="lv-LV"/>
              </w:rPr>
              <w:t>20,18</w:t>
            </w:r>
            <w:r w:rsidR="0034630B">
              <w:rPr>
                <w:rFonts w:ascii="Times New Roman" w:eastAsia="Times New Roman" w:hAnsi="Times New Roman" w:cs="Times New Roman"/>
                <w:sz w:val="20"/>
                <w:szCs w:val="20"/>
                <w:vertAlign w:val="superscript"/>
                <w:lang w:eastAsia="lv-LV"/>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A8E8A8"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BF21FD2"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2BB63E6"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49F459A0"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3E1F3E9E"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21807"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281 101</w:t>
            </w:r>
          </w:p>
        </w:tc>
        <w:tc>
          <w:tcPr>
            <w:tcW w:w="851" w:type="dxa"/>
            <w:tcBorders>
              <w:top w:val="single" w:sz="4" w:space="0" w:color="auto"/>
              <w:left w:val="single" w:sz="4" w:space="0" w:color="auto"/>
              <w:bottom w:val="single" w:sz="4" w:space="0" w:color="auto"/>
              <w:right w:val="single" w:sz="4" w:space="0" w:color="auto"/>
            </w:tcBorders>
            <w:vAlign w:val="center"/>
          </w:tcPr>
          <w:p w14:paraId="7E509C35" w14:textId="77777777" w:rsidR="001840CC" w:rsidRPr="00030FAC" w:rsidRDefault="001840CC" w:rsidP="001840CC">
            <w:pPr>
              <w:spacing w:after="0" w:line="240" w:lineRule="auto"/>
              <w:jc w:val="center"/>
              <w:rPr>
                <w:rFonts w:ascii="Times New Roman" w:hAnsi="Times New Roman" w:cs="Times New Roman"/>
                <w:bCs/>
                <w:sz w:val="20"/>
                <w:szCs w:val="20"/>
              </w:rPr>
            </w:pPr>
            <w:r w:rsidRPr="00030FAC">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75858B05" w14:textId="77777777" w:rsidR="001840CC" w:rsidRPr="00030FAC" w:rsidRDefault="001840CC" w:rsidP="001840CC">
            <w:pPr>
              <w:spacing w:after="0" w:line="240" w:lineRule="auto"/>
              <w:jc w:val="center"/>
              <w:rPr>
                <w:rFonts w:ascii="Times New Roman" w:hAnsi="Times New Roman" w:cs="Times New Roman"/>
                <w:bCs/>
                <w:sz w:val="20"/>
                <w:szCs w:val="20"/>
              </w:rPr>
            </w:pPr>
            <w:r w:rsidRPr="00030FAC">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F334311" w14:textId="77777777" w:rsidR="001840CC" w:rsidRPr="00030FAC" w:rsidRDefault="001840CC" w:rsidP="001840CC">
            <w:pPr>
              <w:spacing w:after="0" w:line="240" w:lineRule="auto"/>
              <w:jc w:val="center"/>
              <w:rPr>
                <w:rFonts w:ascii="Times New Roman" w:hAnsi="Times New Roman" w:cs="Times New Roman"/>
                <w:bCs/>
                <w:sz w:val="20"/>
                <w:szCs w:val="20"/>
              </w:rPr>
            </w:pPr>
            <w:r w:rsidRPr="00030FAC">
              <w:rPr>
                <w:rFonts w:ascii="Times New Roman" w:hAnsi="Times New Roman" w:cs="Times New Roman"/>
                <w:bCs/>
                <w:sz w:val="20"/>
                <w:szCs w:val="20"/>
              </w:rPr>
              <w:t>13</w:t>
            </w:r>
            <w:r>
              <w:rPr>
                <w:rFonts w:ascii="Times New Roman" w:hAnsi="Times New Roman" w:cs="Times New Roman"/>
                <w:bCs/>
                <w:sz w:val="20"/>
                <w:szCs w:val="20"/>
              </w:rPr>
              <w:t xml:space="preserve"> </w:t>
            </w:r>
            <w:r w:rsidRPr="00030FAC">
              <w:rPr>
                <w:rFonts w:ascii="Times New Roman" w:hAnsi="Times New Roman" w:cs="Times New Roman"/>
                <w:bCs/>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14:paraId="0CA0AD95" w14:textId="77777777" w:rsidR="001840CC" w:rsidRPr="00030FAC" w:rsidRDefault="001840CC" w:rsidP="001840CC">
            <w:pPr>
              <w:spacing w:after="0" w:line="240" w:lineRule="auto"/>
              <w:jc w:val="center"/>
              <w:rPr>
                <w:rFonts w:ascii="Times New Roman" w:hAnsi="Times New Roman" w:cs="Times New Roman"/>
                <w:bCs/>
                <w:sz w:val="20"/>
                <w:szCs w:val="20"/>
              </w:rPr>
            </w:pPr>
            <w:r w:rsidRPr="009E0295">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B2FEEC5" w14:textId="77777777" w:rsidR="001840CC" w:rsidRPr="000C29E1" w:rsidRDefault="001840CC" w:rsidP="001840CC">
            <w:pPr>
              <w:spacing w:after="0" w:line="240" w:lineRule="auto"/>
              <w:jc w:val="center"/>
              <w:rPr>
                <w:rFonts w:ascii="Times New Roman" w:hAnsi="Times New Roman" w:cs="Times New Roman"/>
                <w:b/>
                <w:bCs/>
                <w:sz w:val="20"/>
                <w:szCs w:val="20"/>
              </w:rPr>
            </w:pPr>
            <w:r w:rsidRPr="009E0295">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48E7B38A" w14:textId="316FCF3C" w:rsidR="001840CC" w:rsidRPr="00FC7D94" w:rsidRDefault="001840CC" w:rsidP="001840CC">
            <w:pPr>
              <w:spacing w:after="0" w:line="240" w:lineRule="auto"/>
              <w:jc w:val="center"/>
              <w:rPr>
                <w:rFonts w:ascii="Times New Roman" w:eastAsia="Times New Roman" w:hAnsi="Times New Roman" w:cs="Times New Roman"/>
                <w:b/>
                <w:bCs/>
                <w:sz w:val="20"/>
                <w:szCs w:val="20"/>
                <w:highlight w:val="yellow"/>
                <w:vertAlign w:val="superscript"/>
                <w:lang w:eastAsia="lv-LV"/>
              </w:rPr>
            </w:pPr>
            <w:r w:rsidRPr="009E0295">
              <w:rPr>
                <w:rFonts w:ascii="Times New Roman" w:hAnsi="Times New Roman" w:cs="Times New Roman"/>
                <w:bCs/>
                <w:sz w:val="20"/>
                <w:szCs w:val="20"/>
              </w:rPr>
              <w:t>13</w:t>
            </w:r>
            <w:r w:rsidR="00FC7D94">
              <w:rPr>
                <w:rFonts w:ascii="Times New Roman" w:hAnsi="Times New Roman" w:cs="Times New Roman"/>
                <w:bCs/>
                <w:sz w:val="20"/>
                <w:szCs w:val="20"/>
              </w:rPr>
              <w:t> </w:t>
            </w:r>
            <w:r w:rsidRPr="009E0295">
              <w:rPr>
                <w:rFonts w:ascii="Times New Roman" w:hAnsi="Times New Roman" w:cs="Times New Roman"/>
                <w:bCs/>
                <w:sz w:val="20"/>
                <w:szCs w:val="20"/>
              </w:rPr>
              <w:t>734</w:t>
            </w:r>
            <w:r w:rsidR="00FC7D94">
              <w:rPr>
                <w:rFonts w:ascii="Times New Roman" w:hAnsi="Times New Roman" w:cs="Times New Roman"/>
                <w:bCs/>
                <w:sz w:val="20"/>
                <w:szCs w:val="20"/>
                <w:vertAlign w:val="superscript"/>
              </w:rPr>
              <w:t>7</w:t>
            </w:r>
          </w:p>
        </w:tc>
      </w:tr>
      <w:tr w:rsidR="001840CC" w14:paraId="318A17ED"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48ADECF3"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47710">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w:t>
            </w:r>
          </w:p>
        </w:tc>
        <w:tc>
          <w:tcPr>
            <w:tcW w:w="1701" w:type="dxa"/>
            <w:tcBorders>
              <w:top w:val="single" w:sz="4" w:space="0" w:color="auto"/>
              <w:left w:val="single" w:sz="4" w:space="0" w:color="auto"/>
              <w:bottom w:val="single" w:sz="4" w:space="0" w:color="auto"/>
              <w:right w:val="single" w:sz="4" w:space="0" w:color="auto"/>
            </w:tcBorders>
          </w:tcPr>
          <w:p w14:paraId="53680B0E"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330A34">
              <w:rPr>
                <w:rFonts w:ascii="Times New Roman" w:eastAsia="Times New Roman" w:hAnsi="Times New Roman"/>
                <w:sz w:val="18"/>
                <w:szCs w:val="18"/>
              </w:rPr>
              <w:t>Multiprofesionālas rehabilitācijas komandas darba nodrošināšana stacionārā</w:t>
            </w:r>
            <w:r>
              <w:rPr>
                <w:rFonts w:ascii="Times New Roman" w:eastAsia="Times New Roman" w:hAnsi="Times New Roman"/>
                <w:sz w:val="18"/>
                <w:szCs w:val="18"/>
              </w:rPr>
              <w:t xml:space="preserve"> (jauns pasākums)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CFDB0" w14:textId="5F3287A1" w:rsidR="001840CC" w:rsidRPr="0034630B" w:rsidRDefault="001840CC" w:rsidP="001840CC">
            <w:pPr>
              <w:spacing w:after="0" w:line="240" w:lineRule="auto"/>
              <w:jc w:val="center"/>
              <w:rPr>
                <w:rFonts w:ascii="Times New Roman" w:eastAsia="Times New Roman" w:hAnsi="Times New Roman" w:cs="Times New Roman"/>
                <w:sz w:val="20"/>
                <w:szCs w:val="20"/>
                <w:vertAlign w:val="superscript"/>
                <w:lang w:eastAsia="lv-LV"/>
              </w:rPr>
            </w:pPr>
            <w:r>
              <w:rPr>
                <w:rFonts w:ascii="Times New Roman" w:eastAsia="Times New Roman" w:hAnsi="Times New Roman" w:cs="Times New Roman"/>
                <w:sz w:val="20"/>
                <w:szCs w:val="20"/>
                <w:lang w:eastAsia="lv-LV"/>
              </w:rPr>
              <w:t>34,97</w:t>
            </w:r>
            <w:r w:rsidR="0034630B">
              <w:rPr>
                <w:rFonts w:ascii="Times New Roman" w:eastAsia="Times New Roman" w:hAnsi="Times New Roman" w:cs="Times New Roman"/>
                <w:sz w:val="20"/>
                <w:szCs w:val="20"/>
                <w:vertAlign w:val="superscript"/>
                <w:lang w:eastAsia="lv-LV"/>
              </w:rPr>
              <w:t>2</w:t>
            </w:r>
          </w:p>
        </w:tc>
        <w:tc>
          <w:tcPr>
            <w:tcW w:w="1134" w:type="dxa"/>
            <w:tcBorders>
              <w:top w:val="single" w:sz="4" w:space="0" w:color="auto"/>
              <w:left w:val="single" w:sz="4" w:space="0" w:color="auto"/>
              <w:bottom w:val="single" w:sz="4" w:space="0" w:color="auto"/>
              <w:right w:val="single" w:sz="4" w:space="0" w:color="auto"/>
            </w:tcBorders>
            <w:vAlign w:val="center"/>
          </w:tcPr>
          <w:p w14:paraId="2B1D2E78"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98C69CB"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AC34D10"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7170411E"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7A7F01B9"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210B6"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628 831</w:t>
            </w:r>
          </w:p>
        </w:tc>
        <w:tc>
          <w:tcPr>
            <w:tcW w:w="851" w:type="dxa"/>
            <w:tcBorders>
              <w:top w:val="single" w:sz="4" w:space="0" w:color="auto"/>
              <w:left w:val="single" w:sz="4" w:space="0" w:color="auto"/>
              <w:bottom w:val="single" w:sz="4" w:space="0" w:color="auto"/>
              <w:right w:val="single" w:sz="4" w:space="0" w:color="auto"/>
            </w:tcBorders>
            <w:vAlign w:val="center"/>
          </w:tcPr>
          <w:p w14:paraId="33F815B9"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F661A92"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B162E01" w14:textId="77777777" w:rsidR="001840CC" w:rsidRPr="00FC7D94" w:rsidRDefault="001840CC" w:rsidP="001840CC">
            <w:pPr>
              <w:spacing w:after="0" w:line="240" w:lineRule="auto"/>
              <w:jc w:val="center"/>
              <w:rPr>
                <w:rFonts w:ascii="Times New Roman" w:hAnsi="Times New Roman" w:cs="Times New Roman"/>
                <w:bCs/>
                <w:sz w:val="20"/>
                <w:szCs w:val="20"/>
              </w:rPr>
            </w:pPr>
            <w:r w:rsidRPr="00FC7D94">
              <w:rPr>
                <w:rFonts w:ascii="Times New Roman" w:hAnsi="Times New Roman" w:cs="Times New Roman"/>
                <w:bCs/>
                <w:sz w:val="20"/>
                <w:szCs w:val="20"/>
              </w:rPr>
              <w:t>23 976</w:t>
            </w:r>
          </w:p>
        </w:tc>
        <w:tc>
          <w:tcPr>
            <w:tcW w:w="851" w:type="dxa"/>
            <w:tcBorders>
              <w:top w:val="single" w:sz="4" w:space="0" w:color="auto"/>
              <w:left w:val="single" w:sz="4" w:space="0" w:color="auto"/>
              <w:bottom w:val="single" w:sz="4" w:space="0" w:color="auto"/>
              <w:right w:val="single" w:sz="4" w:space="0" w:color="auto"/>
            </w:tcBorders>
            <w:vAlign w:val="center"/>
          </w:tcPr>
          <w:p w14:paraId="3CEFA379"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505F1AE5"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6B979709" w14:textId="6E4F2E7D" w:rsidR="001840CC" w:rsidRPr="00FC7D94" w:rsidRDefault="001840CC" w:rsidP="001840CC">
            <w:pPr>
              <w:spacing w:after="0" w:line="240" w:lineRule="auto"/>
              <w:jc w:val="center"/>
              <w:rPr>
                <w:rFonts w:ascii="Times New Roman" w:eastAsia="Times New Roman" w:hAnsi="Times New Roman" w:cs="Times New Roman"/>
                <w:b/>
                <w:bCs/>
                <w:sz w:val="20"/>
                <w:szCs w:val="20"/>
                <w:vertAlign w:val="superscript"/>
                <w:lang w:eastAsia="lv-LV"/>
              </w:rPr>
            </w:pPr>
            <w:r w:rsidRPr="00030FAC">
              <w:rPr>
                <w:rFonts w:ascii="Times New Roman" w:eastAsia="Times New Roman" w:hAnsi="Times New Roman" w:cs="Times New Roman"/>
                <w:b/>
                <w:bCs/>
                <w:sz w:val="20"/>
                <w:szCs w:val="20"/>
                <w:lang w:eastAsia="lv-LV"/>
              </w:rPr>
              <w:t>23</w:t>
            </w:r>
            <w:r w:rsidR="00FC7D94">
              <w:rPr>
                <w:rFonts w:ascii="Times New Roman" w:eastAsia="Times New Roman" w:hAnsi="Times New Roman" w:cs="Times New Roman"/>
                <w:b/>
                <w:bCs/>
                <w:sz w:val="20"/>
                <w:szCs w:val="20"/>
                <w:lang w:eastAsia="lv-LV"/>
              </w:rPr>
              <w:t> </w:t>
            </w:r>
            <w:r w:rsidRPr="00030FAC">
              <w:rPr>
                <w:rFonts w:ascii="Times New Roman" w:eastAsia="Times New Roman" w:hAnsi="Times New Roman" w:cs="Times New Roman"/>
                <w:b/>
                <w:bCs/>
                <w:sz w:val="20"/>
                <w:szCs w:val="20"/>
                <w:lang w:eastAsia="lv-LV"/>
              </w:rPr>
              <w:t>976</w:t>
            </w:r>
            <w:r w:rsidR="00FC7D94">
              <w:rPr>
                <w:rFonts w:ascii="Times New Roman" w:eastAsia="Times New Roman" w:hAnsi="Times New Roman" w:cs="Times New Roman"/>
                <w:b/>
                <w:bCs/>
                <w:sz w:val="20"/>
                <w:szCs w:val="20"/>
                <w:vertAlign w:val="superscript"/>
                <w:lang w:eastAsia="lv-LV"/>
              </w:rPr>
              <w:t>8</w:t>
            </w:r>
          </w:p>
        </w:tc>
      </w:tr>
      <w:tr w:rsidR="001840CC" w14:paraId="2D6B69F1"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19C4A90E"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47710">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w:t>
            </w:r>
          </w:p>
        </w:tc>
        <w:tc>
          <w:tcPr>
            <w:tcW w:w="1701" w:type="dxa"/>
            <w:tcBorders>
              <w:top w:val="single" w:sz="4" w:space="0" w:color="auto"/>
              <w:left w:val="single" w:sz="4" w:space="0" w:color="auto"/>
              <w:bottom w:val="single" w:sz="4" w:space="0" w:color="auto"/>
              <w:right w:val="single" w:sz="4" w:space="0" w:color="auto"/>
            </w:tcBorders>
          </w:tcPr>
          <w:p w14:paraId="28963C47"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330A34">
              <w:rPr>
                <w:rFonts w:ascii="Times New Roman" w:eastAsia="Times New Roman" w:hAnsi="Times New Roman"/>
                <w:sz w:val="18"/>
                <w:szCs w:val="18"/>
              </w:rPr>
              <w:t xml:space="preserve">Multiprofesionālas rehabilitācijas komandas darba </w:t>
            </w:r>
            <w:r w:rsidRPr="00330A34">
              <w:rPr>
                <w:rFonts w:ascii="Times New Roman" w:eastAsia="Times New Roman" w:hAnsi="Times New Roman"/>
                <w:sz w:val="18"/>
                <w:szCs w:val="18"/>
              </w:rPr>
              <w:lastRenderedPageBreak/>
              <w:t>nodrošināšana stacionārā</w:t>
            </w:r>
            <w:r>
              <w:rPr>
                <w:rFonts w:ascii="Times New Roman" w:eastAsia="Times New Roman" w:hAnsi="Times New Roman"/>
                <w:sz w:val="18"/>
                <w:szCs w:val="18"/>
              </w:rPr>
              <w:t>, nodrošināts stacionārās iestādēs, kurās nodrošināts tāmes finansējums (jauns pasākums)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3407E" w14:textId="5580FCDB" w:rsidR="001840CC" w:rsidRPr="00847710" w:rsidRDefault="003E3B6E" w:rsidP="001840C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14:paraId="7A1DED4C"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9258068"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5EBC031A"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6DCFD6CE"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59709F49"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B9680"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30 154</w:t>
            </w:r>
          </w:p>
        </w:tc>
        <w:tc>
          <w:tcPr>
            <w:tcW w:w="851" w:type="dxa"/>
            <w:tcBorders>
              <w:top w:val="single" w:sz="4" w:space="0" w:color="auto"/>
              <w:left w:val="single" w:sz="4" w:space="0" w:color="auto"/>
              <w:bottom w:val="single" w:sz="4" w:space="0" w:color="auto"/>
              <w:right w:val="single" w:sz="4" w:space="0" w:color="auto"/>
            </w:tcBorders>
            <w:vAlign w:val="center"/>
          </w:tcPr>
          <w:p w14:paraId="7BE98450" w14:textId="21338391"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885ECC5" w14:textId="6BD77AE5"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54D91735" w14:textId="45712F72"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275C3DB2" w14:textId="0CC4EC01"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8B7AFA8" w14:textId="554E7A9C" w:rsidR="001840CC" w:rsidRPr="00030FAC" w:rsidRDefault="003E3B6E" w:rsidP="001840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59DA7946" w14:textId="4BD12A04" w:rsidR="001840CC" w:rsidRPr="00030FAC" w:rsidRDefault="003E3B6E"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r>
      <w:tr w:rsidR="001840CC" w14:paraId="5437865D"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0CCC1187"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47710">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w:t>
            </w:r>
          </w:p>
        </w:tc>
        <w:tc>
          <w:tcPr>
            <w:tcW w:w="1701" w:type="dxa"/>
            <w:tcBorders>
              <w:top w:val="single" w:sz="4" w:space="0" w:color="auto"/>
              <w:left w:val="single" w:sz="4" w:space="0" w:color="auto"/>
              <w:bottom w:val="single" w:sz="4" w:space="0" w:color="auto"/>
              <w:right w:val="single" w:sz="4" w:space="0" w:color="auto"/>
            </w:tcBorders>
          </w:tcPr>
          <w:p w14:paraId="0BC92CC1"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330A34">
              <w:rPr>
                <w:rFonts w:ascii="Times New Roman" w:eastAsia="Times New Roman" w:hAnsi="Times New Roman"/>
                <w:sz w:val="18"/>
                <w:szCs w:val="18"/>
              </w:rPr>
              <w:t>Gultasdienas izmaksu palielinājums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6B13E" w14:textId="308A11B1" w:rsidR="001840CC" w:rsidRPr="0034630B" w:rsidRDefault="001840CC" w:rsidP="001840CC">
            <w:pPr>
              <w:spacing w:after="0" w:line="240" w:lineRule="auto"/>
              <w:jc w:val="center"/>
              <w:rPr>
                <w:rFonts w:ascii="Times New Roman" w:eastAsia="Times New Roman" w:hAnsi="Times New Roman" w:cs="Times New Roman"/>
                <w:sz w:val="20"/>
                <w:szCs w:val="20"/>
                <w:vertAlign w:val="superscript"/>
                <w:lang w:eastAsia="lv-LV"/>
              </w:rPr>
            </w:pPr>
            <w:r>
              <w:rPr>
                <w:rFonts w:ascii="Times New Roman" w:eastAsia="Times New Roman" w:hAnsi="Times New Roman" w:cs="Times New Roman"/>
                <w:sz w:val="20"/>
                <w:szCs w:val="20"/>
                <w:lang w:eastAsia="lv-LV"/>
              </w:rPr>
              <w:t>6,28</w:t>
            </w:r>
            <w:r w:rsidR="0034630B">
              <w:rPr>
                <w:rFonts w:ascii="Times New Roman" w:eastAsia="Times New Roman" w:hAnsi="Times New Roman" w:cs="Times New Roman"/>
                <w:sz w:val="20"/>
                <w:szCs w:val="20"/>
                <w:vertAlign w:val="superscript"/>
                <w:lang w:eastAsia="lv-LV"/>
              </w:rPr>
              <w:t>3</w:t>
            </w:r>
          </w:p>
        </w:tc>
        <w:tc>
          <w:tcPr>
            <w:tcW w:w="1134" w:type="dxa"/>
            <w:tcBorders>
              <w:top w:val="single" w:sz="4" w:space="0" w:color="auto"/>
              <w:left w:val="single" w:sz="4" w:space="0" w:color="auto"/>
              <w:bottom w:val="single" w:sz="4" w:space="0" w:color="auto"/>
              <w:right w:val="single" w:sz="4" w:space="0" w:color="auto"/>
            </w:tcBorders>
            <w:vAlign w:val="center"/>
          </w:tcPr>
          <w:p w14:paraId="448A7C27"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FC9BBD6"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26 100 484</w:t>
            </w:r>
          </w:p>
        </w:tc>
        <w:tc>
          <w:tcPr>
            <w:tcW w:w="1134" w:type="dxa"/>
            <w:tcBorders>
              <w:top w:val="single" w:sz="4" w:space="0" w:color="auto"/>
              <w:left w:val="single" w:sz="4" w:space="0" w:color="auto"/>
              <w:bottom w:val="single" w:sz="4" w:space="0" w:color="auto"/>
              <w:right w:val="single" w:sz="4" w:space="0" w:color="auto"/>
            </w:tcBorders>
            <w:vAlign w:val="center"/>
          </w:tcPr>
          <w:p w14:paraId="4937C826"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26 100 484</w:t>
            </w:r>
          </w:p>
        </w:tc>
        <w:tc>
          <w:tcPr>
            <w:tcW w:w="850" w:type="dxa"/>
            <w:tcBorders>
              <w:top w:val="single" w:sz="4" w:space="0" w:color="auto"/>
              <w:left w:val="single" w:sz="4" w:space="0" w:color="auto"/>
              <w:bottom w:val="single" w:sz="4" w:space="0" w:color="auto"/>
              <w:right w:val="single" w:sz="4" w:space="0" w:color="auto"/>
            </w:tcBorders>
            <w:vAlign w:val="center"/>
          </w:tcPr>
          <w:p w14:paraId="7C06379D"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5906BC3"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2D6B4"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2 529 491</w:t>
            </w:r>
          </w:p>
        </w:tc>
        <w:tc>
          <w:tcPr>
            <w:tcW w:w="851" w:type="dxa"/>
            <w:tcBorders>
              <w:top w:val="single" w:sz="4" w:space="0" w:color="auto"/>
              <w:left w:val="single" w:sz="4" w:space="0" w:color="auto"/>
              <w:bottom w:val="single" w:sz="4" w:space="0" w:color="auto"/>
              <w:right w:val="single" w:sz="4" w:space="0" w:color="auto"/>
            </w:tcBorders>
            <w:vAlign w:val="center"/>
          </w:tcPr>
          <w:p w14:paraId="1673A071"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CDEDBDA" w14:textId="77777777" w:rsidR="001840CC" w:rsidRPr="00030FAC" w:rsidRDefault="001840CC" w:rsidP="001840CC">
            <w:pPr>
              <w:spacing w:after="0" w:line="240" w:lineRule="auto"/>
              <w:jc w:val="center"/>
              <w:rPr>
                <w:rFonts w:ascii="Times New Roman" w:hAnsi="Times New Roman" w:cs="Times New Roman"/>
                <w:bCs/>
                <w:sz w:val="20"/>
                <w:szCs w:val="20"/>
              </w:rPr>
            </w:pPr>
            <w:r w:rsidRPr="00030FAC">
              <w:rPr>
                <w:rFonts w:ascii="Times New Roman" w:hAnsi="Times New Roman" w:cs="Times New Roman"/>
                <w:bCs/>
                <w:sz w:val="20"/>
                <w:szCs w:val="20"/>
              </w:rPr>
              <w:t>537 047</w:t>
            </w:r>
          </w:p>
        </w:tc>
        <w:tc>
          <w:tcPr>
            <w:tcW w:w="1134" w:type="dxa"/>
            <w:tcBorders>
              <w:top w:val="single" w:sz="4" w:space="0" w:color="auto"/>
              <w:left w:val="single" w:sz="4" w:space="0" w:color="auto"/>
              <w:bottom w:val="single" w:sz="4" w:space="0" w:color="auto"/>
              <w:right w:val="single" w:sz="4" w:space="0" w:color="auto"/>
            </w:tcBorders>
            <w:vAlign w:val="center"/>
          </w:tcPr>
          <w:p w14:paraId="3CA51B01" w14:textId="77777777" w:rsidR="001840CC" w:rsidRPr="00030FAC" w:rsidRDefault="001840CC" w:rsidP="001840CC">
            <w:pPr>
              <w:spacing w:after="0" w:line="240" w:lineRule="auto"/>
              <w:jc w:val="center"/>
              <w:rPr>
                <w:rFonts w:ascii="Times New Roman" w:hAnsi="Times New Roman" w:cs="Times New Roman"/>
                <w:bCs/>
                <w:sz w:val="20"/>
                <w:szCs w:val="20"/>
              </w:rPr>
            </w:pPr>
            <w:r w:rsidRPr="00030FAC">
              <w:rPr>
                <w:rFonts w:ascii="Times New Roman" w:hAnsi="Times New Roman" w:cs="Times New Roman"/>
                <w:bCs/>
                <w:sz w:val="20"/>
                <w:szCs w:val="20"/>
              </w:rPr>
              <w:t>537 047</w:t>
            </w:r>
          </w:p>
        </w:tc>
        <w:tc>
          <w:tcPr>
            <w:tcW w:w="851" w:type="dxa"/>
            <w:tcBorders>
              <w:top w:val="single" w:sz="4" w:space="0" w:color="auto"/>
              <w:left w:val="single" w:sz="4" w:space="0" w:color="auto"/>
              <w:bottom w:val="single" w:sz="4" w:space="0" w:color="auto"/>
              <w:right w:val="single" w:sz="4" w:space="0" w:color="auto"/>
            </w:tcBorders>
            <w:vAlign w:val="center"/>
          </w:tcPr>
          <w:p w14:paraId="2509C2EB" w14:textId="77777777" w:rsidR="001840CC" w:rsidRPr="00030FAC" w:rsidRDefault="001840CC" w:rsidP="001840CC">
            <w:pPr>
              <w:spacing w:after="0" w:line="240" w:lineRule="auto"/>
              <w:jc w:val="center"/>
              <w:rPr>
                <w:rFonts w:ascii="Times New Roman" w:hAnsi="Times New Roman" w:cs="Times New Roman"/>
                <w:bCs/>
                <w:sz w:val="20"/>
                <w:szCs w:val="20"/>
              </w:rPr>
            </w:pPr>
            <w:r w:rsidRPr="00030FAC">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28764C7" w14:textId="77777777" w:rsidR="001840CC" w:rsidRPr="00030FAC" w:rsidRDefault="001840CC" w:rsidP="001840CC">
            <w:pPr>
              <w:spacing w:after="0" w:line="240" w:lineRule="auto"/>
              <w:jc w:val="center"/>
              <w:rPr>
                <w:rFonts w:ascii="Times New Roman" w:hAnsi="Times New Roman" w:cs="Times New Roman"/>
                <w:bCs/>
                <w:sz w:val="20"/>
                <w:szCs w:val="20"/>
              </w:rPr>
            </w:pPr>
            <w:r w:rsidRPr="00030FAC">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1F31CAA3" w14:textId="0E1E3345" w:rsidR="001840CC" w:rsidRPr="007D1249" w:rsidRDefault="001840CC" w:rsidP="001840CC">
            <w:pPr>
              <w:spacing w:after="0" w:line="240" w:lineRule="auto"/>
              <w:jc w:val="center"/>
              <w:rPr>
                <w:rFonts w:ascii="Times New Roman" w:eastAsia="Times New Roman" w:hAnsi="Times New Roman" w:cs="Times New Roman"/>
                <w:bCs/>
                <w:sz w:val="20"/>
                <w:szCs w:val="20"/>
                <w:vertAlign w:val="superscript"/>
                <w:lang w:eastAsia="lv-LV"/>
              </w:rPr>
            </w:pPr>
            <w:r w:rsidRPr="00030FAC">
              <w:rPr>
                <w:rFonts w:ascii="Times New Roman" w:eastAsia="Times New Roman" w:hAnsi="Times New Roman" w:cs="Times New Roman"/>
                <w:bCs/>
                <w:sz w:val="20"/>
                <w:szCs w:val="20"/>
                <w:lang w:eastAsia="lv-LV"/>
              </w:rPr>
              <w:t>537</w:t>
            </w:r>
            <w:r w:rsidR="007D1249">
              <w:rPr>
                <w:rFonts w:ascii="Times New Roman" w:eastAsia="Times New Roman" w:hAnsi="Times New Roman" w:cs="Times New Roman"/>
                <w:bCs/>
                <w:sz w:val="20"/>
                <w:szCs w:val="20"/>
                <w:lang w:eastAsia="lv-LV"/>
              </w:rPr>
              <w:t> </w:t>
            </w:r>
            <w:r w:rsidRPr="00030FAC">
              <w:rPr>
                <w:rFonts w:ascii="Times New Roman" w:eastAsia="Times New Roman" w:hAnsi="Times New Roman" w:cs="Times New Roman"/>
                <w:bCs/>
                <w:sz w:val="20"/>
                <w:szCs w:val="20"/>
                <w:lang w:eastAsia="lv-LV"/>
              </w:rPr>
              <w:t>047</w:t>
            </w:r>
            <w:r w:rsidR="007D1249">
              <w:rPr>
                <w:rFonts w:ascii="Times New Roman" w:eastAsia="Times New Roman" w:hAnsi="Times New Roman" w:cs="Times New Roman"/>
                <w:bCs/>
                <w:sz w:val="20"/>
                <w:szCs w:val="20"/>
                <w:vertAlign w:val="superscript"/>
                <w:lang w:eastAsia="lv-LV"/>
              </w:rPr>
              <w:t>7</w:t>
            </w:r>
          </w:p>
        </w:tc>
      </w:tr>
      <w:tr w:rsidR="001840CC" w14:paraId="07BB53F8"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712A82A3"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47710">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4.</w:t>
            </w:r>
          </w:p>
        </w:tc>
        <w:tc>
          <w:tcPr>
            <w:tcW w:w="1701" w:type="dxa"/>
            <w:tcBorders>
              <w:top w:val="single" w:sz="4" w:space="0" w:color="auto"/>
              <w:left w:val="single" w:sz="4" w:space="0" w:color="auto"/>
              <w:bottom w:val="single" w:sz="4" w:space="0" w:color="auto"/>
              <w:right w:val="single" w:sz="4" w:space="0" w:color="auto"/>
            </w:tcBorders>
          </w:tcPr>
          <w:p w14:paraId="06E293CA"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330A34">
              <w:rPr>
                <w:rFonts w:ascii="Times New Roman" w:eastAsia="Times New Roman" w:hAnsi="Times New Roman"/>
                <w:sz w:val="18"/>
                <w:szCs w:val="18"/>
              </w:rPr>
              <w:t>Gultasdienas izmaksu palielinājums</w:t>
            </w:r>
            <w:r w:rsidRPr="00A43393">
              <w:rPr>
                <w:rFonts w:ascii="Times New Roman" w:eastAsia="Times New Roman" w:hAnsi="Times New Roman"/>
                <w:sz w:val="18"/>
                <w:szCs w:val="18"/>
              </w:rPr>
              <w:t xml:space="preserve"> </w:t>
            </w:r>
            <w:r>
              <w:rPr>
                <w:rFonts w:ascii="Times New Roman" w:eastAsia="Times New Roman" w:hAnsi="Times New Roman"/>
                <w:sz w:val="18"/>
                <w:szCs w:val="18"/>
              </w:rPr>
              <w:t>tāmes finansētās iestādēs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C6780" w14:textId="37938C8E" w:rsidR="001840CC" w:rsidRPr="00847710" w:rsidRDefault="003E3B6E" w:rsidP="001840C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tcPr>
          <w:p w14:paraId="372B7F67"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C36D75"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1 718 772</w:t>
            </w:r>
          </w:p>
        </w:tc>
        <w:tc>
          <w:tcPr>
            <w:tcW w:w="1134" w:type="dxa"/>
            <w:tcBorders>
              <w:top w:val="single" w:sz="4" w:space="0" w:color="auto"/>
              <w:left w:val="single" w:sz="4" w:space="0" w:color="auto"/>
              <w:bottom w:val="single" w:sz="4" w:space="0" w:color="auto"/>
              <w:right w:val="single" w:sz="4" w:space="0" w:color="auto"/>
            </w:tcBorders>
            <w:vAlign w:val="center"/>
          </w:tcPr>
          <w:p w14:paraId="564AEF94"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1 718 772</w:t>
            </w:r>
          </w:p>
        </w:tc>
        <w:tc>
          <w:tcPr>
            <w:tcW w:w="850" w:type="dxa"/>
            <w:tcBorders>
              <w:top w:val="single" w:sz="4" w:space="0" w:color="auto"/>
              <w:left w:val="single" w:sz="4" w:space="0" w:color="auto"/>
              <w:bottom w:val="single" w:sz="4" w:space="0" w:color="auto"/>
              <w:right w:val="single" w:sz="4" w:space="0" w:color="auto"/>
            </w:tcBorders>
            <w:vAlign w:val="center"/>
          </w:tcPr>
          <w:p w14:paraId="13D5E4F3"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FBCEC23"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BB47C"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479 592</w:t>
            </w:r>
          </w:p>
        </w:tc>
        <w:tc>
          <w:tcPr>
            <w:tcW w:w="851" w:type="dxa"/>
            <w:tcBorders>
              <w:top w:val="single" w:sz="4" w:space="0" w:color="auto"/>
              <w:left w:val="single" w:sz="4" w:space="0" w:color="auto"/>
              <w:bottom w:val="single" w:sz="4" w:space="0" w:color="auto"/>
              <w:right w:val="single" w:sz="4" w:space="0" w:color="auto"/>
            </w:tcBorders>
            <w:vAlign w:val="center"/>
          </w:tcPr>
          <w:p w14:paraId="0507D49D" w14:textId="0DBD8357"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8743D2A" w14:textId="3764AB02"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E5B3B97" w14:textId="44B1C18F"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D09E6B2" w14:textId="379826A9"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FE42883" w14:textId="7354AA70" w:rsidR="001840CC" w:rsidRPr="00030FAC" w:rsidRDefault="003E3B6E" w:rsidP="001840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3EF2E801" w14:textId="42DD7EE8" w:rsidR="001840CC" w:rsidRPr="00030FAC" w:rsidRDefault="003E3B6E" w:rsidP="001840C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r>
      <w:tr w:rsidR="001840CC" w14:paraId="239CA246"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38911042"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Pr="00847710">
              <w:rPr>
                <w:rFonts w:ascii="Times New Roman" w:eastAsia="Times New Roman" w:hAnsi="Times New Roman" w:cs="Times New Roman"/>
                <w:sz w:val="20"/>
                <w:szCs w:val="20"/>
                <w:lang w:eastAsia="lv-LV"/>
              </w:rPr>
              <w:t>.</w:t>
            </w:r>
          </w:p>
        </w:tc>
        <w:tc>
          <w:tcPr>
            <w:tcW w:w="1701" w:type="dxa"/>
            <w:tcBorders>
              <w:top w:val="single" w:sz="4" w:space="0" w:color="auto"/>
              <w:left w:val="single" w:sz="4" w:space="0" w:color="auto"/>
              <w:bottom w:val="single" w:sz="4" w:space="0" w:color="auto"/>
              <w:right w:val="single" w:sz="4" w:space="0" w:color="auto"/>
            </w:tcBorders>
            <w:vAlign w:val="bottom"/>
          </w:tcPr>
          <w:p w14:paraId="3029928A"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330A34">
              <w:rPr>
                <w:rFonts w:ascii="Times New Roman" w:eastAsia="Times New Roman" w:hAnsi="Times New Roman"/>
                <w:sz w:val="18"/>
                <w:szCs w:val="18"/>
              </w:rPr>
              <w:t>Pacientu observācijas līdz 24 stundām gultas izveidošana slimnīcām, kuras nodrošina akūto psihiatrisko ārstēšanu</w:t>
            </w:r>
            <w:r>
              <w:rPr>
                <w:rFonts w:ascii="Times New Roman" w:eastAsia="Times New Roman" w:hAnsi="Times New Roman"/>
                <w:sz w:val="18"/>
                <w:szCs w:val="18"/>
              </w:rPr>
              <w:t xml:space="preserve"> (jauns pasākums)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77473" w14:textId="27DDE23C" w:rsidR="001840CC" w:rsidRPr="0034630B" w:rsidRDefault="001840CC" w:rsidP="001840CC">
            <w:pPr>
              <w:spacing w:after="0" w:line="240" w:lineRule="auto"/>
              <w:jc w:val="center"/>
              <w:rPr>
                <w:rFonts w:ascii="Times New Roman" w:eastAsia="Times New Roman" w:hAnsi="Times New Roman" w:cs="Times New Roman"/>
                <w:sz w:val="20"/>
                <w:szCs w:val="20"/>
                <w:vertAlign w:val="superscript"/>
                <w:lang w:eastAsia="lv-LV"/>
              </w:rPr>
            </w:pPr>
            <w:r>
              <w:rPr>
                <w:rFonts w:ascii="Times New Roman" w:eastAsia="Times New Roman" w:hAnsi="Times New Roman" w:cs="Times New Roman"/>
                <w:sz w:val="20"/>
                <w:szCs w:val="20"/>
                <w:lang w:eastAsia="lv-LV"/>
              </w:rPr>
              <w:t>54,88</w:t>
            </w:r>
            <w:r w:rsidR="0034630B">
              <w:rPr>
                <w:rFonts w:ascii="Times New Roman" w:eastAsia="Times New Roman" w:hAnsi="Times New Roman" w:cs="Times New Roman"/>
                <w:sz w:val="20"/>
                <w:szCs w:val="20"/>
                <w:vertAlign w:val="superscript"/>
                <w:lang w:eastAsia="lv-LV"/>
              </w:rPr>
              <w:t>2</w:t>
            </w:r>
          </w:p>
        </w:tc>
        <w:tc>
          <w:tcPr>
            <w:tcW w:w="1134" w:type="dxa"/>
            <w:tcBorders>
              <w:top w:val="single" w:sz="4" w:space="0" w:color="auto"/>
              <w:left w:val="single" w:sz="4" w:space="0" w:color="auto"/>
              <w:bottom w:val="single" w:sz="4" w:space="0" w:color="auto"/>
              <w:right w:val="single" w:sz="4" w:space="0" w:color="auto"/>
            </w:tcBorders>
            <w:vAlign w:val="center"/>
          </w:tcPr>
          <w:p w14:paraId="5B6B4215"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CD30575"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6852D94"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3E323299"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26CBFB63"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7DCB4"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67 502</w:t>
            </w:r>
          </w:p>
        </w:tc>
        <w:tc>
          <w:tcPr>
            <w:tcW w:w="851" w:type="dxa"/>
            <w:tcBorders>
              <w:top w:val="single" w:sz="4" w:space="0" w:color="auto"/>
              <w:left w:val="single" w:sz="4" w:space="0" w:color="auto"/>
              <w:bottom w:val="single" w:sz="4" w:space="0" w:color="auto"/>
              <w:right w:val="single" w:sz="4" w:space="0" w:color="auto"/>
            </w:tcBorders>
            <w:vAlign w:val="center"/>
          </w:tcPr>
          <w:p w14:paraId="635ADA21"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2F6EFDD4"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500C7FB0"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1 640</w:t>
            </w:r>
          </w:p>
        </w:tc>
        <w:tc>
          <w:tcPr>
            <w:tcW w:w="851" w:type="dxa"/>
            <w:tcBorders>
              <w:top w:val="single" w:sz="4" w:space="0" w:color="auto"/>
              <w:left w:val="single" w:sz="4" w:space="0" w:color="auto"/>
              <w:bottom w:val="single" w:sz="4" w:space="0" w:color="auto"/>
              <w:right w:val="single" w:sz="4" w:space="0" w:color="auto"/>
            </w:tcBorders>
            <w:vAlign w:val="center"/>
          </w:tcPr>
          <w:p w14:paraId="0A8B5C55"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F61D0BE"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0691D4C8" w14:textId="37A1A805" w:rsidR="001840CC" w:rsidRPr="007D1249" w:rsidRDefault="001840CC" w:rsidP="001840CC">
            <w:pPr>
              <w:spacing w:after="0" w:line="240" w:lineRule="auto"/>
              <w:jc w:val="center"/>
              <w:rPr>
                <w:rFonts w:ascii="Times New Roman" w:eastAsia="Times New Roman" w:hAnsi="Times New Roman" w:cs="Times New Roman"/>
                <w:b/>
                <w:bCs/>
                <w:sz w:val="20"/>
                <w:szCs w:val="20"/>
                <w:vertAlign w:val="superscript"/>
                <w:lang w:eastAsia="lv-LV"/>
              </w:rPr>
            </w:pPr>
            <w:r w:rsidRPr="00030FAC">
              <w:rPr>
                <w:rFonts w:ascii="Times New Roman" w:eastAsia="Times New Roman" w:hAnsi="Times New Roman" w:cs="Times New Roman"/>
                <w:b/>
                <w:bCs/>
                <w:sz w:val="20"/>
                <w:szCs w:val="20"/>
                <w:lang w:eastAsia="lv-LV"/>
              </w:rPr>
              <w:t>1640</w:t>
            </w:r>
            <w:r w:rsidR="007D1249">
              <w:rPr>
                <w:rFonts w:ascii="Times New Roman" w:eastAsia="Times New Roman" w:hAnsi="Times New Roman" w:cs="Times New Roman"/>
                <w:b/>
                <w:bCs/>
                <w:sz w:val="20"/>
                <w:szCs w:val="20"/>
                <w:vertAlign w:val="superscript"/>
                <w:lang w:eastAsia="lv-LV"/>
              </w:rPr>
              <w:t>7</w:t>
            </w:r>
          </w:p>
        </w:tc>
      </w:tr>
      <w:tr w:rsidR="001840CC" w14:paraId="793A63AF"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4B0A11F3"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Pr="00847710">
              <w:rPr>
                <w:rFonts w:ascii="Times New Roman" w:eastAsia="Times New Roman" w:hAnsi="Times New Roman" w:cs="Times New Roman"/>
                <w:sz w:val="20"/>
                <w:szCs w:val="20"/>
                <w:lang w:eastAsia="lv-LV"/>
              </w:rPr>
              <w:t>.</w:t>
            </w:r>
          </w:p>
        </w:tc>
        <w:tc>
          <w:tcPr>
            <w:tcW w:w="1701" w:type="dxa"/>
            <w:tcBorders>
              <w:top w:val="single" w:sz="4" w:space="0" w:color="auto"/>
              <w:left w:val="single" w:sz="4" w:space="0" w:color="auto"/>
              <w:bottom w:val="single" w:sz="4" w:space="0" w:color="auto"/>
              <w:right w:val="single" w:sz="4" w:space="0" w:color="auto"/>
            </w:tcBorders>
            <w:vAlign w:val="bottom"/>
          </w:tcPr>
          <w:p w14:paraId="5C5F6BCC"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330A34">
              <w:rPr>
                <w:rFonts w:ascii="Times New Roman" w:eastAsia="Times New Roman" w:hAnsi="Times New Roman"/>
                <w:sz w:val="18"/>
                <w:szCs w:val="18"/>
              </w:rPr>
              <w:t>Finansējums, lai nodrošinātu iespēju stacionārā vecākiem atrasties kopā ar bērnu</w:t>
            </w:r>
            <w:r>
              <w:rPr>
                <w:rFonts w:ascii="Times New Roman" w:eastAsia="Times New Roman" w:hAnsi="Times New Roman"/>
                <w:sz w:val="18"/>
                <w:szCs w:val="18"/>
              </w:rPr>
              <w:t xml:space="preserve"> (jauns pasākums psihiatrijas jomā)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746C0" w14:textId="063CEC65" w:rsidR="001840CC" w:rsidRPr="00847710" w:rsidRDefault="001840CC" w:rsidP="001840C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10,81</w:t>
            </w:r>
            <w:r w:rsidR="0034630B" w:rsidRPr="0034630B">
              <w:rPr>
                <w:rFonts w:ascii="Times New Roman" w:eastAsia="Times New Roman" w:hAnsi="Times New Roman" w:cs="Times New Roman"/>
                <w:sz w:val="20"/>
                <w:szCs w:val="20"/>
                <w:vertAlign w:val="superscript"/>
                <w:lang w:eastAsia="lv-LV"/>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222531"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DF9A2CA"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CE6FEFE"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64D1276B"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6E22935"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C153"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10 515</w:t>
            </w:r>
          </w:p>
        </w:tc>
        <w:tc>
          <w:tcPr>
            <w:tcW w:w="851" w:type="dxa"/>
            <w:tcBorders>
              <w:top w:val="single" w:sz="4" w:space="0" w:color="auto"/>
              <w:left w:val="single" w:sz="4" w:space="0" w:color="auto"/>
              <w:bottom w:val="single" w:sz="4" w:space="0" w:color="auto"/>
              <w:right w:val="single" w:sz="4" w:space="0" w:color="auto"/>
            </w:tcBorders>
            <w:vAlign w:val="center"/>
          </w:tcPr>
          <w:p w14:paraId="412C7CA5"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2B6AA91"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4BA7AB5"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1 297</w:t>
            </w:r>
          </w:p>
        </w:tc>
        <w:tc>
          <w:tcPr>
            <w:tcW w:w="851" w:type="dxa"/>
            <w:tcBorders>
              <w:top w:val="single" w:sz="4" w:space="0" w:color="auto"/>
              <w:left w:val="single" w:sz="4" w:space="0" w:color="auto"/>
              <w:bottom w:val="single" w:sz="4" w:space="0" w:color="auto"/>
              <w:right w:val="single" w:sz="4" w:space="0" w:color="auto"/>
            </w:tcBorders>
            <w:vAlign w:val="center"/>
          </w:tcPr>
          <w:p w14:paraId="51023929"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5D57B7B4"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092F5E1E" w14:textId="7D08A824" w:rsidR="001840CC" w:rsidRPr="007D1249" w:rsidRDefault="001840CC" w:rsidP="001840CC">
            <w:pPr>
              <w:spacing w:after="0" w:line="240" w:lineRule="auto"/>
              <w:jc w:val="center"/>
              <w:rPr>
                <w:rFonts w:ascii="Times New Roman" w:eastAsia="Times New Roman" w:hAnsi="Times New Roman" w:cs="Times New Roman"/>
                <w:b/>
                <w:bCs/>
                <w:sz w:val="20"/>
                <w:szCs w:val="20"/>
                <w:vertAlign w:val="superscript"/>
                <w:lang w:eastAsia="lv-LV"/>
              </w:rPr>
            </w:pPr>
            <w:r w:rsidRPr="00030FAC">
              <w:rPr>
                <w:rFonts w:ascii="Times New Roman" w:eastAsia="Times New Roman" w:hAnsi="Times New Roman" w:cs="Times New Roman"/>
                <w:b/>
                <w:bCs/>
                <w:sz w:val="20"/>
                <w:szCs w:val="20"/>
                <w:lang w:eastAsia="lv-LV"/>
              </w:rPr>
              <w:t>1</w:t>
            </w:r>
            <w:r w:rsidR="007D1249">
              <w:rPr>
                <w:rFonts w:ascii="Times New Roman" w:eastAsia="Times New Roman" w:hAnsi="Times New Roman" w:cs="Times New Roman"/>
                <w:b/>
                <w:bCs/>
                <w:sz w:val="20"/>
                <w:szCs w:val="20"/>
                <w:lang w:eastAsia="lv-LV"/>
              </w:rPr>
              <w:t> </w:t>
            </w:r>
            <w:r w:rsidRPr="00030FAC">
              <w:rPr>
                <w:rFonts w:ascii="Times New Roman" w:eastAsia="Times New Roman" w:hAnsi="Times New Roman" w:cs="Times New Roman"/>
                <w:b/>
                <w:bCs/>
                <w:sz w:val="20"/>
                <w:szCs w:val="20"/>
                <w:lang w:eastAsia="lv-LV"/>
              </w:rPr>
              <w:t>297</w:t>
            </w:r>
            <w:r w:rsidR="007D1249">
              <w:rPr>
                <w:rFonts w:ascii="Times New Roman" w:eastAsia="Times New Roman" w:hAnsi="Times New Roman" w:cs="Times New Roman"/>
                <w:b/>
                <w:bCs/>
                <w:sz w:val="20"/>
                <w:szCs w:val="20"/>
                <w:vertAlign w:val="superscript"/>
                <w:lang w:eastAsia="lv-LV"/>
              </w:rPr>
              <w:t>8</w:t>
            </w:r>
          </w:p>
        </w:tc>
      </w:tr>
      <w:tr w:rsidR="001840CC" w14:paraId="5A28E0AB"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500F3905"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Pr="00847710">
              <w:rPr>
                <w:rFonts w:ascii="Times New Roman" w:eastAsia="Times New Roman" w:hAnsi="Times New Roman" w:cs="Times New Roman"/>
                <w:sz w:val="20"/>
                <w:szCs w:val="20"/>
                <w:lang w:eastAsia="lv-LV"/>
              </w:rPr>
              <w:t>.</w:t>
            </w:r>
          </w:p>
        </w:tc>
        <w:tc>
          <w:tcPr>
            <w:tcW w:w="1701" w:type="dxa"/>
            <w:tcBorders>
              <w:top w:val="single" w:sz="4" w:space="0" w:color="auto"/>
              <w:left w:val="single" w:sz="4" w:space="0" w:color="auto"/>
              <w:bottom w:val="single" w:sz="4" w:space="0" w:color="auto"/>
              <w:right w:val="single" w:sz="4" w:space="0" w:color="auto"/>
            </w:tcBorders>
            <w:vAlign w:val="bottom"/>
          </w:tcPr>
          <w:p w14:paraId="730B45D0"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E47E6A">
              <w:rPr>
                <w:rFonts w:ascii="Times New Roman" w:eastAsia="Times New Roman" w:hAnsi="Times New Roman" w:cs="Times New Roman"/>
                <w:sz w:val="20"/>
                <w:szCs w:val="20"/>
                <w:lang w:eastAsia="lv-LV"/>
              </w:rPr>
              <w:t>Interešu izglītības nodrošināšana bērniem ārstniecības un atveseļošanās procesa laikā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223F7" w14:textId="6A4594F0" w:rsidR="001840CC" w:rsidRPr="00847710" w:rsidRDefault="001840CC" w:rsidP="001840C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11 019,2</w:t>
            </w:r>
            <w:r w:rsidR="0034630B" w:rsidRPr="0034630B">
              <w:rPr>
                <w:rFonts w:ascii="Times New Roman" w:eastAsia="Times New Roman" w:hAnsi="Times New Roman" w:cs="Times New Roman"/>
                <w:sz w:val="20"/>
                <w:szCs w:val="20"/>
                <w:vertAlign w:val="superscript"/>
                <w:lang w:eastAsia="lv-LV"/>
              </w:rPr>
              <w:t>4</w:t>
            </w:r>
          </w:p>
        </w:tc>
        <w:tc>
          <w:tcPr>
            <w:tcW w:w="1134" w:type="dxa"/>
            <w:tcBorders>
              <w:top w:val="single" w:sz="4" w:space="0" w:color="auto"/>
              <w:left w:val="single" w:sz="4" w:space="0" w:color="auto"/>
              <w:bottom w:val="single" w:sz="4" w:space="0" w:color="auto"/>
              <w:right w:val="single" w:sz="4" w:space="0" w:color="auto"/>
            </w:tcBorders>
            <w:vAlign w:val="center"/>
          </w:tcPr>
          <w:p w14:paraId="25AA87AF"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21 108</w:t>
            </w:r>
          </w:p>
        </w:tc>
        <w:tc>
          <w:tcPr>
            <w:tcW w:w="1134" w:type="dxa"/>
            <w:tcBorders>
              <w:top w:val="single" w:sz="4" w:space="0" w:color="auto"/>
              <w:left w:val="single" w:sz="4" w:space="0" w:color="auto"/>
              <w:bottom w:val="single" w:sz="4" w:space="0" w:color="auto"/>
              <w:right w:val="single" w:sz="4" w:space="0" w:color="auto"/>
            </w:tcBorders>
            <w:vAlign w:val="center"/>
          </w:tcPr>
          <w:p w14:paraId="1A240CF5"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21 108</w:t>
            </w:r>
          </w:p>
        </w:tc>
        <w:tc>
          <w:tcPr>
            <w:tcW w:w="1134" w:type="dxa"/>
            <w:tcBorders>
              <w:top w:val="single" w:sz="4" w:space="0" w:color="auto"/>
              <w:left w:val="single" w:sz="4" w:space="0" w:color="auto"/>
              <w:bottom w:val="single" w:sz="4" w:space="0" w:color="auto"/>
              <w:right w:val="single" w:sz="4" w:space="0" w:color="auto"/>
            </w:tcBorders>
            <w:vAlign w:val="center"/>
          </w:tcPr>
          <w:p w14:paraId="7411D84F"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21 108</w:t>
            </w:r>
          </w:p>
        </w:tc>
        <w:tc>
          <w:tcPr>
            <w:tcW w:w="850" w:type="dxa"/>
            <w:tcBorders>
              <w:top w:val="single" w:sz="4" w:space="0" w:color="auto"/>
              <w:left w:val="single" w:sz="4" w:space="0" w:color="auto"/>
              <w:bottom w:val="single" w:sz="4" w:space="0" w:color="auto"/>
              <w:right w:val="single" w:sz="4" w:space="0" w:color="auto"/>
            </w:tcBorders>
            <w:vAlign w:val="center"/>
          </w:tcPr>
          <w:p w14:paraId="6BA44F93"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98DA46E"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9C455"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30 992</w:t>
            </w:r>
          </w:p>
        </w:tc>
        <w:tc>
          <w:tcPr>
            <w:tcW w:w="851" w:type="dxa"/>
            <w:tcBorders>
              <w:top w:val="single" w:sz="4" w:space="0" w:color="auto"/>
              <w:left w:val="single" w:sz="4" w:space="0" w:color="auto"/>
              <w:bottom w:val="single" w:sz="4" w:space="0" w:color="auto"/>
              <w:right w:val="single" w:sz="4" w:space="0" w:color="auto"/>
            </w:tcBorders>
            <w:vAlign w:val="center"/>
          </w:tcPr>
          <w:p w14:paraId="481DEFCF"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3F85A680"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5514F3A"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1B590591" w14:textId="465A6518"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1374692" w14:textId="14E52941" w:rsidR="001840CC" w:rsidRPr="000C29E1" w:rsidRDefault="003E3B6E"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009B200A" w14:textId="502770E0" w:rsidR="001840CC" w:rsidRPr="007D1249" w:rsidRDefault="001840CC" w:rsidP="001840CC">
            <w:pPr>
              <w:spacing w:after="0" w:line="240" w:lineRule="auto"/>
              <w:jc w:val="center"/>
              <w:rPr>
                <w:rFonts w:ascii="Times New Roman" w:eastAsia="Times New Roman" w:hAnsi="Times New Roman" w:cs="Times New Roman"/>
                <w:b/>
                <w:bCs/>
                <w:sz w:val="20"/>
                <w:szCs w:val="20"/>
                <w:vertAlign w:val="superscript"/>
                <w:lang w:eastAsia="lv-LV"/>
              </w:rPr>
            </w:pPr>
            <w:r w:rsidRPr="00030FAC">
              <w:rPr>
                <w:rFonts w:ascii="Times New Roman" w:eastAsia="Times New Roman" w:hAnsi="Times New Roman" w:cs="Times New Roman"/>
                <w:b/>
                <w:bCs/>
                <w:sz w:val="20"/>
                <w:szCs w:val="20"/>
                <w:lang w:eastAsia="lv-LV"/>
              </w:rPr>
              <w:t>5,75</w:t>
            </w:r>
            <w:r w:rsidR="007D1249">
              <w:rPr>
                <w:rFonts w:ascii="Times New Roman" w:eastAsia="Times New Roman" w:hAnsi="Times New Roman" w:cs="Times New Roman"/>
                <w:b/>
                <w:bCs/>
                <w:sz w:val="20"/>
                <w:szCs w:val="20"/>
                <w:vertAlign w:val="superscript"/>
                <w:lang w:eastAsia="lv-LV"/>
              </w:rPr>
              <w:t>9</w:t>
            </w:r>
          </w:p>
        </w:tc>
      </w:tr>
      <w:tr w:rsidR="001840CC" w14:paraId="2DD4A8B8" w14:textId="77777777" w:rsidTr="008E0B7B">
        <w:trPr>
          <w:trHeight w:val="525"/>
          <w:jc w:val="center"/>
        </w:trPr>
        <w:tc>
          <w:tcPr>
            <w:tcW w:w="562" w:type="dxa"/>
            <w:tcBorders>
              <w:top w:val="single" w:sz="4" w:space="0" w:color="auto"/>
              <w:left w:val="single" w:sz="4" w:space="0" w:color="auto"/>
              <w:bottom w:val="single" w:sz="4" w:space="0" w:color="auto"/>
              <w:right w:val="single" w:sz="4" w:space="0" w:color="auto"/>
            </w:tcBorders>
          </w:tcPr>
          <w:p w14:paraId="6D3FF36F"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Pr="00847710">
              <w:rPr>
                <w:rFonts w:ascii="Times New Roman" w:eastAsia="Times New Roman" w:hAnsi="Times New Roman" w:cs="Times New Roman"/>
                <w:sz w:val="20"/>
                <w:szCs w:val="20"/>
                <w:lang w:eastAsia="lv-LV"/>
              </w:rPr>
              <w:t>.</w:t>
            </w:r>
          </w:p>
        </w:tc>
        <w:tc>
          <w:tcPr>
            <w:tcW w:w="1701" w:type="dxa"/>
            <w:tcBorders>
              <w:top w:val="single" w:sz="4" w:space="0" w:color="auto"/>
              <w:left w:val="single" w:sz="4" w:space="0" w:color="auto"/>
              <w:bottom w:val="single" w:sz="4" w:space="0" w:color="auto"/>
              <w:right w:val="single" w:sz="4" w:space="0" w:color="auto"/>
            </w:tcBorders>
            <w:vAlign w:val="bottom"/>
          </w:tcPr>
          <w:p w14:paraId="496AE388"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EB60F8">
              <w:rPr>
                <w:rFonts w:ascii="Times New Roman" w:eastAsia="Times New Roman" w:hAnsi="Times New Roman" w:cs="Times New Roman"/>
                <w:sz w:val="20"/>
                <w:szCs w:val="20"/>
                <w:lang w:eastAsia="lv-LV"/>
              </w:rPr>
              <w:t xml:space="preserve">Pilotprojektam “Pierādījumos balstīta jauniešu garīgās veselības sekundārās profilakses </w:t>
            </w:r>
            <w:r w:rsidRPr="00EB60F8">
              <w:rPr>
                <w:rFonts w:ascii="Times New Roman" w:eastAsia="Times New Roman" w:hAnsi="Times New Roman" w:cs="Times New Roman"/>
                <w:sz w:val="20"/>
                <w:szCs w:val="20"/>
                <w:lang w:eastAsia="lv-LV"/>
              </w:rPr>
              <w:lastRenderedPageBreak/>
              <w:t>programma garastāvokļa un uzvedības traucējumu novēršanai un seku mazināšanai” nepieciešamais finansējums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7BC23" w14:textId="6D7EB619" w:rsidR="001840CC" w:rsidRPr="0034630B" w:rsidRDefault="001840CC" w:rsidP="001840CC">
            <w:pPr>
              <w:spacing w:after="0" w:line="240" w:lineRule="auto"/>
              <w:jc w:val="center"/>
              <w:rPr>
                <w:rFonts w:ascii="Times New Roman" w:eastAsia="Times New Roman" w:hAnsi="Times New Roman" w:cs="Times New Roman"/>
                <w:sz w:val="20"/>
                <w:szCs w:val="20"/>
                <w:vertAlign w:val="superscript"/>
                <w:lang w:eastAsia="lv-LV"/>
              </w:rPr>
            </w:pPr>
            <w:r>
              <w:rPr>
                <w:rFonts w:ascii="Times New Roman" w:eastAsia="Times New Roman" w:hAnsi="Times New Roman" w:cs="Times New Roman"/>
                <w:sz w:val="20"/>
                <w:szCs w:val="20"/>
                <w:lang w:eastAsia="lv-LV"/>
              </w:rPr>
              <w:lastRenderedPageBreak/>
              <w:t>2 089,85</w:t>
            </w:r>
            <w:r w:rsidR="0034630B">
              <w:rPr>
                <w:rFonts w:ascii="Times New Roman" w:eastAsia="Times New Roman" w:hAnsi="Times New Roman" w:cs="Times New Roman"/>
                <w:sz w:val="20"/>
                <w:szCs w:val="20"/>
                <w:vertAlign w:val="superscript"/>
                <w:lang w:eastAsia="lv-LV"/>
              </w:rPr>
              <w:t>5</w:t>
            </w:r>
          </w:p>
        </w:tc>
        <w:tc>
          <w:tcPr>
            <w:tcW w:w="1134" w:type="dxa"/>
            <w:tcBorders>
              <w:top w:val="single" w:sz="4" w:space="0" w:color="auto"/>
              <w:left w:val="single" w:sz="4" w:space="0" w:color="auto"/>
              <w:bottom w:val="single" w:sz="4" w:space="0" w:color="auto"/>
              <w:right w:val="single" w:sz="4" w:space="0" w:color="auto"/>
            </w:tcBorders>
            <w:vAlign w:val="center"/>
          </w:tcPr>
          <w:p w14:paraId="51E95B7D"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679CE9"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1FB4999"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404339D7"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E0ECB5D" w14:textId="77777777" w:rsidR="001840CC"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9BF5" w14:textId="77777777" w:rsidR="001840CC" w:rsidRPr="009E0295" w:rsidRDefault="001840CC" w:rsidP="001840CC">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83 594</w:t>
            </w:r>
          </w:p>
        </w:tc>
        <w:tc>
          <w:tcPr>
            <w:tcW w:w="851" w:type="dxa"/>
            <w:tcBorders>
              <w:top w:val="single" w:sz="4" w:space="0" w:color="auto"/>
              <w:left w:val="single" w:sz="4" w:space="0" w:color="auto"/>
              <w:bottom w:val="single" w:sz="4" w:space="0" w:color="auto"/>
              <w:right w:val="single" w:sz="4" w:space="0" w:color="auto"/>
            </w:tcBorders>
            <w:vAlign w:val="center"/>
          </w:tcPr>
          <w:p w14:paraId="3B17D282"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BF38A2A"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90824ED"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787D96B9"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050C365D" w14:textId="77777777" w:rsidR="001840CC" w:rsidRPr="000C29E1" w:rsidRDefault="001840CC" w:rsidP="001840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408E4AB4" w14:textId="33F8F5D8" w:rsidR="001840CC" w:rsidRPr="007D1249" w:rsidRDefault="001840CC" w:rsidP="001840CC">
            <w:pPr>
              <w:spacing w:after="0" w:line="240" w:lineRule="auto"/>
              <w:jc w:val="center"/>
              <w:rPr>
                <w:rFonts w:ascii="Times New Roman" w:eastAsia="Times New Roman" w:hAnsi="Times New Roman" w:cs="Times New Roman"/>
                <w:bCs/>
                <w:sz w:val="20"/>
                <w:szCs w:val="20"/>
                <w:highlight w:val="yellow"/>
                <w:vertAlign w:val="superscript"/>
                <w:lang w:eastAsia="lv-LV"/>
              </w:rPr>
            </w:pPr>
            <w:r w:rsidRPr="00030FAC">
              <w:rPr>
                <w:rFonts w:ascii="Times New Roman" w:eastAsia="Times New Roman" w:hAnsi="Times New Roman" w:cs="Times New Roman"/>
                <w:bCs/>
                <w:sz w:val="20"/>
                <w:szCs w:val="20"/>
                <w:lang w:eastAsia="lv-LV"/>
              </w:rPr>
              <w:t>40</w:t>
            </w:r>
            <w:r w:rsidR="007D1249">
              <w:rPr>
                <w:rFonts w:ascii="Times New Roman" w:eastAsia="Times New Roman" w:hAnsi="Times New Roman" w:cs="Times New Roman"/>
                <w:bCs/>
                <w:sz w:val="20"/>
                <w:szCs w:val="20"/>
                <w:vertAlign w:val="superscript"/>
                <w:lang w:eastAsia="lv-LV"/>
              </w:rPr>
              <w:t>10</w:t>
            </w:r>
          </w:p>
        </w:tc>
      </w:tr>
      <w:tr w:rsidR="001840CC" w14:paraId="1E268979" w14:textId="77777777" w:rsidTr="008E0B7B">
        <w:trPr>
          <w:trHeight w:val="168"/>
          <w:jc w:val="center"/>
        </w:trPr>
        <w:tc>
          <w:tcPr>
            <w:tcW w:w="562" w:type="dxa"/>
            <w:shd w:val="clear" w:color="auto" w:fill="FBD4B4" w:themeFill="accent6" w:themeFillTint="66"/>
          </w:tcPr>
          <w:p w14:paraId="52595FB4"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p>
        </w:tc>
        <w:tc>
          <w:tcPr>
            <w:tcW w:w="1701" w:type="dxa"/>
            <w:shd w:val="clear" w:color="auto" w:fill="FBD4B4" w:themeFill="accent6" w:themeFillTint="66"/>
            <w:vAlign w:val="bottom"/>
          </w:tcPr>
          <w:p w14:paraId="49B95375" w14:textId="77777777" w:rsidR="001840CC" w:rsidRPr="00847710" w:rsidRDefault="001840CC" w:rsidP="001840C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3" w:type="dxa"/>
            <w:shd w:val="clear" w:color="auto" w:fill="FBD4B4" w:themeFill="accent6" w:themeFillTint="66"/>
            <w:noWrap/>
            <w:vAlign w:val="bottom"/>
          </w:tcPr>
          <w:p w14:paraId="65C38BE3" w14:textId="77777777" w:rsidR="001840CC" w:rsidRPr="00847710" w:rsidRDefault="001840CC" w:rsidP="001840C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c>
          <w:tcPr>
            <w:tcW w:w="1134" w:type="dxa"/>
            <w:shd w:val="clear" w:color="auto" w:fill="FBD4B4" w:themeFill="accent6" w:themeFillTint="66"/>
            <w:vAlign w:val="center"/>
          </w:tcPr>
          <w:p w14:paraId="19DA823F" w14:textId="77777777" w:rsidR="001840CC" w:rsidRPr="00847710"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5 338 247</w:t>
            </w:r>
          </w:p>
        </w:tc>
        <w:tc>
          <w:tcPr>
            <w:tcW w:w="1134" w:type="dxa"/>
            <w:shd w:val="clear" w:color="auto" w:fill="FBD4B4" w:themeFill="accent6" w:themeFillTint="66"/>
            <w:vAlign w:val="center"/>
          </w:tcPr>
          <w:p w14:paraId="6EC36B3F" w14:textId="77777777" w:rsidR="001840CC" w:rsidRPr="00847710"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33 157 503</w:t>
            </w:r>
          </w:p>
        </w:tc>
        <w:tc>
          <w:tcPr>
            <w:tcW w:w="1134" w:type="dxa"/>
            <w:shd w:val="clear" w:color="auto" w:fill="FBD4B4" w:themeFill="accent6" w:themeFillTint="66"/>
            <w:vAlign w:val="center"/>
          </w:tcPr>
          <w:p w14:paraId="59F65136" w14:textId="77777777" w:rsidR="001840CC" w:rsidRPr="00847710"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33 157 503</w:t>
            </w:r>
          </w:p>
        </w:tc>
        <w:tc>
          <w:tcPr>
            <w:tcW w:w="850" w:type="dxa"/>
            <w:shd w:val="clear" w:color="auto" w:fill="FBD4B4" w:themeFill="accent6" w:themeFillTint="66"/>
            <w:vAlign w:val="center"/>
          </w:tcPr>
          <w:p w14:paraId="5996723C" w14:textId="77777777" w:rsidR="001840CC" w:rsidRPr="00847710"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FBD4B4" w:themeFill="accent6" w:themeFillTint="66"/>
            <w:vAlign w:val="center"/>
          </w:tcPr>
          <w:p w14:paraId="7BA95E08" w14:textId="77777777" w:rsidR="001840CC" w:rsidRPr="00847710" w:rsidRDefault="001840CC" w:rsidP="00184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shd w:val="clear" w:color="auto" w:fill="FBD4B4" w:themeFill="accent6" w:themeFillTint="66"/>
            <w:noWrap/>
            <w:vAlign w:val="center"/>
          </w:tcPr>
          <w:p w14:paraId="2B894AE0" w14:textId="77777777" w:rsidR="001840CC" w:rsidRPr="009E0295" w:rsidRDefault="001840CC" w:rsidP="001840CC">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5 066 339</w:t>
            </w:r>
          </w:p>
        </w:tc>
        <w:tc>
          <w:tcPr>
            <w:tcW w:w="851" w:type="dxa"/>
            <w:shd w:val="clear" w:color="auto" w:fill="FBD4B4" w:themeFill="accent6" w:themeFillTint="66"/>
            <w:vAlign w:val="center"/>
          </w:tcPr>
          <w:p w14:paraId="4D0A317D" w14:textId="77777777" w:rsidR="001840CC" w:rsidRPr="00AE3965" w:rsidRDefault="001840CC" w:rsidP="001840CC">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sz w:val="20"/>
                <w:szCs w:val="20"/>
                <w:lang w:eastAsia="lv-LV"/>
              </w:rPr>
              <w:t>X</w:t>
            </w:r>
          </w:p>
        </w:tc>
        <w:tc>
          <w:tcPr>
            <w:tcW w:w="992" w:type="dxa"/>
            <w:shd w:val="clear" w:color="auto" w:fill="FBD4B4" w:themeFill="accent6" w:themeFillTint="66"/>
            <w:vAlign w:val="center"/>
          </w:tcPr>
          <w:p w14:paraId="1B197881" w14:textId="77777777" w:rsidR="001840CC" w:rsidRPr="00AE3965" w:rsidRDefault="001840CC" w:rsidP="001840CC">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sz w:val="20"/>
                <w:szCs w:val="20"/>
                <w:lang w:eastAsia="lv-LV"/>
              </w:rPr>
              <w:t>X</w:t>
            </w:r>
          </w:p>
        </w:tc>
        <w:tc>
          <w:tcPr>
            <w:tcW w:w="1134" w:type="dxa"/>
            <w:shd w:val="clear" w:color="auto" w:fill="FBD4B4" w:themeFill="accent6" w:themeFillTint="66"/>
            <w:vAlign w:val="center"/>
          </w:tcPr>
          <w:p w14:paraId="3B30BC83" w14:textId="77777777" w:rsidR="001840CC" w:rsidRPr="00AE3965" w:rsidRDefault="001840CC" w:rsidP="001840CC">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sz w:val="20"/>
                <w:szCs w:val="20"/>
                <w:lang w:eastAsia="lv-LV"/>
              </w:rPr>
              <w:t>X</w:t>
            </w:r>
          </w:p>
        </w:tc>
        <w:tc>
          <w:tcPr>
            <w:tcW w:w="851" w:type="dxa"/>
            <w:shd w:val="clear" w:color="auto" w:fill="FBD4B4" w:themeFill="accent6" w:themeFillTint="66"/>
            <w:vAlign w:val="center"/>
          </w:tcPr>
          <w:p w14:paraId="57BCCAA6" w14:textId="77777777" w:rsidR="001840CC" w:rsidRPr="00AE3965" w:rsidRDefault="001840CC" w:rsidP="001840CC">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sz w:val="20"/>
                <w:szCs w:val="20"/>
                <w:lang w:eastAsia="lv-LV"/>
              </w:rPr>
              <w:t>X</w:t>
            </w:r>
          </w:p>
        </w:tc>
        <w:tc>
          <w:tcPr>
            <w:tcW w:w="992" w:type="dxa"/>
            <w:shd w:val="clear" w:color="auto" w:fill="FBD4B4" w:themeFill="accent6" w:themeFillTint="66"/>
            <w:vAlign w:val="center"/>
          </w:tcPr>
          <w:p w14:paraId="00B73313" w14:textId="77777777" w:rsidR="001840CC" w:rsidRPr="00AE3965" w:rsidRDefault="001840CC" w:rsidP="001840CC">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sz w:val="20"/>
                <w:szCs w:val="20"/>
                <w:lang w:eastAsia="lv-LV"/>
              </w:rPr>
              <w:t>X</w:t>
            </w:r>
          </w:p>
        </w:tc>
        <w:tc>
          <w:tcPr>
            <w:tcW w:w="992" w:type="dxa"/>
            <w:shd w:val="clear" w:color="auto" w:fill="FBD4B4" w:themeFill="accent6" w:themeFillTint="66"/>
            <w:noWrap/>
            <w:vAlign w:val="center"/>
          </w:tcPr>
          <w:p w14:paraId="0F2F218B" w14:textId="77777777" w:rsidR="001840CC" w:rsidRPr="00C86312" w:rsidRDefault="001840CC" w:rsidP="001840CC">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eastAsia="Times New Roman" w:hAnsi="Times New Roman" w:cs="Times New Roman"/>
                <w:sz w:val="20"/>
                <w:szCs w:val="20"/>
                <w:lang w:eastAsia="lv-LV"/>
              </w:rPr>
              <w:t>X</w:t>
            </w:r>
          </w:p>
        </w:tc>
      </w:tr>
    </w:tbl>
    <w:p w14:paraId="654CD55C" w14:textId="77777777" w:rsidR="0034630B" w:rsidRPr="00235FE8" w:rsidRDefault="00B51BB8"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sidRPr="00235FE8">
        <w:rPr>
          <w:rFonts w:ascii="Times New Roman" w:eastAsia="Times New Roman" w:hAnsi="Times New Roman" w:cs="Times New Roman"/>
          <w:i/>
          <w:sz w:val="24"/>
          <w:szCs w:val="24"/>
          <w:vertAlign w:val="superscript"/>
        </w:rPr>
        <w:t xml:space="preserve">1 </w:t>
      </w:r>
      <w:r w:rsidR="0034630B" w:rsidRPr="00235FE8">
        <w:rPr>
          <w:rFonts w:ascii="Times New Roman" w:eastAsia="Times New Roman" w:hAnsi="Times New Roman" w:cs="Times New Roman"/>
          <w:i/>
          <w:sz w:val="24"/>
          <w:szCs w:val="24"/>
          <w:vertAlign w:val="superscript"/>
        </w:rPr>
        <w:t>Pakalpojuma  vidējās izmaksa gadam</w:t>
      </w:r>
    </w:p>
    <w:p w14:paraId="4907780E" w14:textId="77777777" w:rsidR="0034630B" w:rsidRPr="00235FE8" w:rsidRDefault="0034630B"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sidRPr="00235FE8">
        <w:rPr>
          <w:rFonts w:ascii="Times New Roman" w:eastAsia="Times New Roman" w:hAnsi="Times New Roman" w:cs="Times New Roman"/>
          <w:i/>
          <w:sz w:val="24"/>
          <w:szCs w:val="24"/>
          <w:vertAlign w:val="superscript"/>
        </w:rPr>
        <w:t>2 Tarifs</w:t>
      </w:r>
    </w:p>
    <w:p w14:paraId="78A05D96" w14:textId="4597D8EE" w:rsidR="0034630B" w:rsidRPr="00235FE8" w:rsidRDefault="0034630B"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sidRPr="00235FE8">
        <w:rPr>
          <w:rFonts w:ascii="Times New Roman" w:eastAsia="Times New Roman" w:hAnsi="Times New Roman" w:cs="Times New Roman"/>
          <w:i/>
          <w:sz w:val="24"/>
          <w:szCs w:val="24"/>
          <w:vertAlign w:val="superscript"/>
        </w:rPr>
        <w:t>3 Tarifa elementu (D+S)</w:t>
      </w:r>
      <w:r w:rsidR="00354454" w:rsidRPr="00235FE8">
        <w:rPr>
          <w:rFonts w:ascii="Times New Roman" w:eastAsia="Times New Roman" w:hAnsi="Times New Roman" w:cs="Times New Roman"/>
          <w:i/>
          <w:sz w:val="24"/>
          <w:szCs w:val="24"/>
          <w:vertAlign w:val="superscript"/>
        </w:rPr>
        <w:t xml:space="preserve"> palielinājums</w:t>
      </w:r>
    </w:p>
    <w:p w14:paraId="39E0DC99" w14:textId="77777777" w:rsidR="0034630B" w:rsidRPr="00235FE8" w:rsidRDefault="0034630B"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sidRPr="00235FE8">
        <w:rPr>
          <w:rFonts w:ascii="Times New Roman" w:eastAsia="Times New Roman" w:hAnsi="Times New Roman" w:cs="Times New Roman"/>
          <w:i/>
          <w:sz w:val="24"/>
          <w:szCs w:val="24"/>
          <w:vertAlign w:val="superscript"/>
        </w:rPr>
        <w:t>4 Papildu slodžu vidējās izmaksas gadam</w:t>
      </w:r>
    </w:p>
    <w:p w14:paraId="1D22778B" w14:textId="77777777" w:rsidR="00C235D2" w:rsidRPr="00235FE8" w:rsidRDefault="0034630B"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sidRPr="00235FE8">
        <w:rPr>
          <w:rFonts w:ascii="Times New Roman" w:eastAsia="Times New Roman" w:hAnsi="Times New Roman" w:cs="Times New Roman"/>
          <w:i/>
          <w:sz w:val="24"/>
          <w:szCs w:val="24"/>
          <w:vertAlign w:val="superscript"/>
        </w:rPr>
        <w:t>5 Vidējās izmaksas uz vienu pacientu</w:t>
      </w:r>
    </w:p>
    <w:p w14:paraId="21FB3B5E" w14:textId="19B78E7B" w:rsidR="00FC7D94" w:rsidRPr="00235FE8" w:rsidRDefault="00D51D25"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6 ārstniecības personu  slodzes funkcionālajos kabinetos</w:t>
      </w:r>
    </w:p>
    <w:p w14:paraId="0F414938" w14:textId="77777777" w:rsidR="007D1249" w:rsidRPr="00235FE8" w:rsidRDefault="00FC7D94"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sidRPr="00235FE8">
        <w:rPr>
          <w:rFonts w:ascii="Times New Roman" w:eastAsia="Times New Roman" w:hAnsi="Times New Roman" w:cs="Times New Roman"/>
          <w:i/>
          <w:sz w:val="24"/>
          <w:szCs w:val="24"/>
          <w:vertAlign w:val="superscript"/>
        </w:rPr>
        <w:t>7 gultasdienu skaits</w:t>
      </w:r>
    </w:p>
    <w:p w14:paraId="7E663D06" w14:textId="77777777" w:rsidR="007D1249" w:rsidRPr="00235FE8" w:rsidRDefault="007D1249"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sidRPr="00235FE8">
        <w:rPr>
          <w:rFonts w:ascii="Times New Roman" w:eastAsia="Times New Roman" w:hAnsi="Times New Roman" w:cs="Times New Roman"/>
          <w:i/>
          <w:sz w:val="24"/>
          <w:szCs w:val="24"/>
          <w:vertAlign w:val="superscript"/>
        </w:rPr>
        <w:t>8 manipulāciju skaits</w:t>
      </w:r>
    </w:p>
    <w:p w14:paraId="1865CF68" w14:textId="77777777" w:rsidR="007D1249" w:rsidRPr="00235FE8" w:rsidRDefault="007D1249" w:rsidP="007D1249">
      <w:pPr>
        <w:tabs>
          <w:tab w:val="center" w:pos="6840"/>
        </w:tabs>
        <w:spacing w:after="0" w:line="240" w:lineRule="auto"/>
        <w:ind w:firstLine="720"/>
        <w:rPr>
          <w:rFonts w:ascii="Times New Roman" w:eastAsia="Times New Roman" w:hAnsi="Times New Roman" w:cs="Times New Roman"/>
          <w:i/>
          <w:sz w:val="24"/>
          <w:szCs w:val="24"/>
          <w:vertAlign w:val="superscript"/>
        </w:rPr>
      </w:pPr>
      <w:r w:rsidRPr="00235FE8">
        <w:rPr>
          <w:rFonts w:ascii="Times New Roman" w:eastAsia="Times New Roman" w:hAnsi="Times New Roman" w:cs="Times New Roman"/>
          <w:i/>
          <w:sz w:val="24"/>
          <w:szCs w:val="24"/>
          <w:vertAlign w:val="superscript"/>
        </w:rPr>
        <w:t>9 slodzes</w:t>
      </w:r>
    </w:p>
    <w:p w14:paraId="78DD0E2E" w14:textId="0B8B8B46" w:rsidR="00B51BB8" w:rsidRPr="007D1249" w:rsidRDefault="007D1249" w:rsidP="007D1249">
      <w:pPr>
        <w:tabs>
          <w:tab w:val="center" w:pos="6840"/>
        </w:tabs>
        <w:spacing w:after="0" w:line="240" w:lineRule="auto"/>
        <w:ind w:firstLine="720"/>
        <w:rPr>
          <w:rFonts w:ascii="Times New Roman" w:eastAsia="Times New Roman" w:hAnsi="Times New Roman" w:cs="Times New Roman"/>
          <w:i/>
          <w:sz w:val="20"/>
          <w:szCs w:val="20"/>
          <w:vertAlign w:val="superscript"/>
        </w:rPr>
      </w:pPr>
      <w:r w:rsidRPr="00235FE8">
        <w:rPr>
          <w:rFonts w:ascii="Times New Roman" w:eastAsia="Times New Roman" w:hAnsi="Times New Roman" w:cs="Times New Roman"/>
          <w:i/>
          <w:sz w:val="24"/>
          <w:szCs w:val="24"/>
          <w:vertAlign w:val="superscript"/>
        </w:rPr>
        <w:t>10 pacientu skaits</w:t>
      </w:r>
      <w:r w:rsidR="00B51BB8" w:rsidRPr="007D1249">
        <w:rPr>
          <w:rFonts w:ascii="Times New Roman" w:eastAsia="Times New Roman" w:hAnsi="Times New Roman" w:cs="Times New Roman"/>
          <w:i/>
          <w:sz w:val="20"/>
          <w:szCs w:val="20"/>
          <w:vertAlign w:val="superscript"/>
        </w:rPr>
        <w:tab/>
      </w:r>
    </w:p>
    <w:p w14:paraId="16A83D4C" w14:textId="77777777" w:rsidR="001840CC" w:rsidRPr="00B51BB8" w:rsidRDefault="001840CC" w:rsidP="00B51BB8">
      <w:pPr>
        <w:rPr>
          <w:rFonts w:ascii="Times New Roman" w:eastAsia="Times New Roman" w:hAnsi="Times New Roman" w:cs="Times New Roman"/>
          <w:sz w:val="24"/>
          <w:szCs w:val="24"/>
        </w:rPr>
        <w:sectPr w:rsidR="001840CC" w:rsidRPr="00B51BB8" w:rsidSect="00333B64">
          <w:pgSz w:w="15840" w:h="12240" w:orient="landscape"/>
          <w:pgMar w:top="1701" w:right="1440" w:bottom="1440" w:left="1440" w:header="709" w:footer="709" w:gutter="0"/>
          <w:cols w:space="708"/>
          <w:docGrid w:linePitch="360"/>
        </w:sectPr>
      </w:pPr>
    </w:p>
    <w:p w14:paraId="1CEE654B" w14:textId="7428C147" w:rsidR="00972B28" w:rsidRDefault="00972B28" w:rsidP="00972B28">
      <w:pPr>
        <w:spacing w:after="0"/>
        <w:jc w:val="both"/>
        <w:rPr>
          <w:rFonts w:ascii="Times New Roman" w:eastAsia="Times New Roman" w:hAnsi="Times New Roman" w:cs="Times New Roman"/>
          <w:sz w:val="24"/>
          <w:szCs w:val="24"/>
        </w:rPr>
      </w:pPr>
    </w:p>
    <w:p w14:paraId="00B0A180" w14:textId="3CFC0334" w:rsidR="00972B28" w:rsidRDefault="00972B28" w:rsidP="00972B28">
      <w:pPr>
        <w:spacing w:after="0"/>
        <w:jc w:val="both"/>
        <w:rPr>
          <w:rFonts w:ascii="Times New Roman" w:eastAsia="Times New Roman" w:hAnsi="Times New Roman" w:cs="Times New Roman"/>
          <w:sz w:val="24"/>
          <w:szCs w:val="24"/>
        </w:rPr>
      </w:pPr>
      <w:r w:rsidRPr="005D6776">
        <w:rPr>
          <w:rFonts w:ascii="Times New Roman" w:eastAsia="Times New Roman" w:hAnsi="Times New Roman" w:cs="Times New Roman"/>
          <w:sz w:val="24"/>
          <w:szCs w:val="24"/>
          <w:u w:val="single"/>
        </w:rPr>
        <w:t>1.pas</w:t>
      </w:r>
      <w:r w:rsidR="003E3786">
        <w:rPr>
          <w:rFonts w:ascii="Times New Roman" w:eastAsia="Times New Roman" w:hAnsi="Times New Roman" w:cs="Times New Roman"/>
          <w:sz w:val="24"/>
          <w:szCs w:val="24"/>
          <w:u w:val="single"/>
        </w:rPr>
        <w:t>ā</w:t>
      </w:r>
      <w:r w:rsidRPr="005D6776">
        <w:rPr>
          <w:rFonts w:ascii="Times New Roman" w:eastAsia="Times New Roman" w:hAnsi="Times New Roman" w:cs="Times New Roman"/>
          <w:sz w:val="24"/>
          <w:szCs w:val="24"/>
          <w:u w:val="single"/>
        </w:rPr>
        <w:t>kums</w:t>
      </w:r>
      <w:r>
        <w:rPr>
          <w:rFonts w:ascii="Times New Roman" w:eastAsia="Times New Roman" w:hAnsi="Times New Roman" w:cs="Times New Roman"/>
          <w:sz w:val="24"/>
          <w:szCs w:val="24"/>
        </w:rPr>
        <w:t xml:space="preserve">: </w:t>
      </w:r>
      <w:r w:rsidR="003E3786" w:rsidRPr="001D6901">
        <w:rPr>
          <w:rFonts w:ascii="Times New Roman" w:eastAsia="Times New Roman" w:hAnsi="Times New Roman" w:cs="Times New Roman"/>
          <w:sz w:val="24"/>
          <w:szCs w:val="24"/>
        </w:rPr>
        <w:t>Attīst</w:t>
      </w:r>
      <w:r w:rsidR="003E3786">
        <w:rPr>
          <w:rFonts w:ascii="Times New Roman" w:eastAsia="Times New Roman" w:hAnsi="Times New Roman" w:cs="Times New Roman"/>
          <w:sz w:val="24"/>
          <w:szCs w:val="24"/>
        </w:rPr>
        <w:t>o</w:t>
      </w:r>
      <w:r w:rsidR="003E3786" w:rsidRPr="001D6901">
        <w:rPr>
          <w:rFonts w:ascii="Times New Roman" w:eastAsia="Times New Roman" w:hAnsi="Times New Roman" w:cs="Times New Roman"/>
          <w:sz w:val="24"/>
          <w:szCs w:val="24"/>
        </w:rPr>
        <w:t>t psihiatra komandas darbu</w:t>
      </w:r>
      <w:r w:rsidR="003E3786">
        <w:rPr>
          <w:rFonts w:ascii="Times New Roman" w:eastAsia="Times New Roman" w:hAnsi="Times New Roman" w:cs="Times New Roman"/>
          <w:sz w:val="24"/>
          <w:szCs w:val="24"/>
        </w:rPr>
        <w:t xml:space="preserve"> ambulatorā aprūpē</w:t>
      </w:r>
      <w:r w:rsidR="003E3786" w:rsidRPr="001D6901">
        <w:rPr>
          <w:rFonts w:ascii="Times New Roman" w:eastAsia="Times New Roman" w:hAnsi="Times New Roman" w:cs="Times New Roman"/>
          <w:sz w:val="24"/>
          <w:szCs w:val="24"/>
        </w:rPr>
        <w:t xml:space="preserve">, psihiatra komandā iesaistāms bērnu psihiatrs, psihologs, garīgā māsa un funkcionālie speciālisti (ergoterapeits, fizioterapeits u.tml.), </w:t>
      </w:r>
      <w:r w:rsidR="003E3786">
        <w:rPr>
          <w:rFonts w:ascii="Times New Roman" w:eastAsia="Times New Roman" w:hAnsi="Times New Roman" w:cs="Times New Roman"/>
          <w:sz w:val="24"/>
          <w:szCs w:val="24"/>
        </w:rPr>
        <w:t xml:space="preserve">tādējādi </w:t>
      </w:r>
      <w:r w:rsidR="003E3786" w:rsidRPr="001D6901">
        <w:rPr>
          <w:rFonts w:ascii="Times New Roman" w:eastAsia="Times New Roman" w:hAnsi="Times New Roman" w:cs="Times New Roman"/>
          <w:sz w:val="24"/>
          <w:szCs w:val="24"/>
        </w:rPr>
        <w:t xml:space="preserve">stiprinot esošās psihiatriskās prakses un psihiatriskās prakses </w:t>
      </w:r>
      <w:r w:rsidR="003E3786">
        <w:rPr>
          <w:rFonts w:ascii="Times New Roman" w:eastAsia="Times New Roman" w:hAnsi="Times New Roman" w:cs="Times New Roman"/>
          <w:sz w:val="24"/>
          <w:szCs w:val="24"/>
        </w:rPr>
        <w:t xml:space="preserve">ambulatorajos </w:t>
      </w:r>
      <w:r w:rsidR="003E3786" w:rsidRPr="001D6901">
        <w:rPr>
          <w:rFonts w:ascii="Times New Roman" w:eastAsia="Times New Roman" w:hAnsi="Times New Roman" w:cs="Times New Roman"/>
          <w:sz w:val="24"/>
          <w:szCs w:val="24"/>
        </w:rPr>
        <w:t>centros</w:t>
      </w:r>
      <w:r w:rsidR="003E3786">
        <w:rPr>
          <w:rFonts w:ascii="Times New Roman" w:eastAsia="Times New Roman" w:hAnsi="Times New Roman" w:cs="Times New Roman"/>
          <w:sz w:val="24"/>
          <w:szCs w:val="24"/>
        </w:rPr>
        <w:t>.</w:t>
      </w:r>
      <w:r w:rsidRPr="001D6901">
        <w:rPr>
          <w:rFonts w:ascii="Times New Roman" w:eastAsia="Times New Roman" w:hAnsi="Times New Roman" w:cs="Times New Roman"/>
          <w:sz w:val="24"/>
          <w:szCs w:val="24"/>
        </w:rPr>
        <w:t xml:space="preserve"> </w:t>
      </w:r>
      <w:r w:rsidRPr="00E12849">
        <w:rPr>
          <w:rFonts w:ascii="Times New Roman" w:eastAsia="Times New Roman" w:hAnsi="Times New Roman" w:cs="Times New Roman"/>
          <w:b/>
          <w:bCs/>
          <w:sz w:val="24"/>
          <w:szCs w:val="24"/>
        </w:rPr>
        <w:t>Š</w:t>
      </w:r>
      <w:r w:rsidR="3EB6908D" w:rsidRPr="00E12849">
        <w:rPr>
          <w:rFonts w:ascii="Times New Roman" w:eastAsia="Times New Roman" w:hAnsi="Times New Roman" w:cs="Times New Roman"/>
          <w:b/>
          <w:bCs/>
          <w:sz w:val="24"/>
          <w:szCs w:val="24"/>
        </w:rPr>
        <w:t>i</w:t>
      </w:r>
      <w:r w:rsidRPr="00E12849">
        <w:rPr>
          <w:rFonts w:ascii="Times New Roman" w:eastAsia="Times New Roman" w:hAnsi="Times New Roman" w:cs="Times New Roman"/>
          <w:b/>
          <w:bCs/>
          <w:sz w:val="24"/>
          <w:szCs w:val="24"/>
        </w:rPr>
        <w:t xml:space="preserve">m mērķim 2019.gadā papildus nepieciešamais finansējums ir </w:t>
      </w:r>
      <w:r w:rsidR="001B1AEF" w:rsidRPr="00E12849">
        <w:rPr>
          <w:rFonts w:ascii="Times New Roman" w:eastAsia="Times New Roman" w:hAnsi="Times New Roman" w:cs="Times New Roman"/>
          <w:b/>
          <w:bCs/>
          <w:sz w:val="24"/>
          <w:szCs w:val="24"/>
        </w:rPr>
        <w:t>759 </w:t>
      </w:r>
      <w:r w:rsidR="002A7CB3">
        <w:rPr>
          <w:rFonts w:ascii="Times New Roman" w:eastAsia="Times New Roman" w:hAnsi="Times New Roman" w:cs="Times New Roman"/>
          <w:b/>
          <w:bCs/>
          <w:sz w:val="24"/>
          <w:szCs w:val="24"/>
        </w:rPr>
        <w:t>761</w:t>
      </w:r>
      <w:r w:rsidRPr="00E12849">
        <w:rPr>
          <w:rFonts w:ascii="Times New Roman" w:eastAsia="Times New Roman" w:hAnsi="Times New Roman" w:cs="Times New Roman"/>
          <w:b/>
          <w:bCs/>
          <w:sz w:val="24"/>
          <w:szCs w:val="24"/>
        </w:rPr>
        <w:t xml:space="preserve"> </w:t>
      </w:r>
      <w:r w:rsidRPr="00E12849">
        <w:rPr>
          <w:rFonts w:ascii="Times New Roman" w:eastAsia="Times New Roman" w:hAnsi="Times New Roman" w:cs="Times New Roman"/>
          <w:b/>
          <w:bCs/>
          <w:i/>
          <w:iCs/>
          <w:sz w:val="24"/>
          <w:szCs w:val="24"/>
        </w:rPr>
        <w:t>euro</w:t>
      </w:r>
      <w:r w:rsidRPr="00E12849">
        <w:rPr>
          <w:rFonts w:ascii="Times New Roman" w:eastAsia="Times New Roman" w:hAnsi="Times New Roman" w:cs="Times New Roman"/>
          <w:b/>
          <w:bCs/>
          <w:sz w:val="24"/>
          <w:szCs w:val="24"/>
        </w:rPr>
        <w:t xml:space="preserve">. </w:t>
      </w:r>
    </w:p>
    <w:p w14:paraId="13306845" w14:textId="71922534" w:rsidR="00972B28" w:rsidRDefault="00972B28" w:rsidP="00972B2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Esošo psihiatrisko prakšu stiprināšanai a</w:t>
      </w:r>
      <w:r w:rsidRPr="007D7BD4">
        <w:rPr>
          <w:rFonts w:ascii="Times New Roman" w:eastAsia="Times New Roman" w:hAnsi="Times New Roman" w:cs="Times New Roman"/>
          <w:sz w:val="24"/>
          <w:szCs w:val="24"/>
        </w:rPr>
        <w:t>prēķins tika veikts pieņemot, ka esošās psihiatriskās prakses tiktu stiprinātas</w:t>
      </w:r>
      <w:r>
        <w:rPr>
          <w:rFonts w:ascii="Times New Roman" w:eastAsia="Times New Roman" w:hAnsi="Times New Roman" w:cs="Times New Roman"/>
          <w:sz w:val="24"/>
          <w:szCs w:val="24"/>
        </w:rPr>
        <w:t xml:space="preserve"> tā,</w:t>
      </w:r>
      <w:r w:rsidRPr="007D7BD4">
        <w:rPr>
          <w:rFonts w:ascii="Times New Roman" w:eastAsia="Times New Roman" w:hAnsi="Times New Roman" w:cs="Times New Roman"/>
          <w:sz w:val="24"/>
          <w:szCs w:val="24"/>
        </w:rPr>
        <w:t xml:space="preserve"> lai praksē tiktu nodrošināts (pacientiem būtu pieejams) psihiatra, psihologa un funkcionālo speciālistu pakalpojumi. Funkcionāliem speciālistiem ir paredzēta kopējā slodze 1, kas var tikt sadalīta, piemēram, piesaistot uz nepilnu slodzi mākslas terapeitu un citus speciālistus pēc nepieciešamības</w:t>
      </w:r>
      <w:r>
        <w:rPr>
          <w:rFonts w:ascii="Times New Roman" w:eastAsia="Times New Roman" w:hAnsi="Times New Roman" w:cs="Times New Roman"/>
          <w:sz w:val="24"/>
          <w:szCs w:val="24"/>
        </w:rPr>
        <w:t xml:space="preserve">. Savukārt psihiatrisko prakšu stiprināšanai </w:t>
      </w:r>
      <w:r w:rsidR="003E3786">
        <w:rPr>
          <w:rFonts w:ascii="Times New Roman" w:eastAsia="Times New Roman" w:hAnsi="Times New Roman" w:cs="Times New Roman"/>
          <w:sz w:val="24"/>
          <w:szCs w:val="24"/>
        </w:rPr>
        <w:t xml:space="preserve">ambulatoros </w:t>
      </w:r>
      <w:r w:rsidR="00401FE4">
        <w:rPr>
          <w:rFonts w:ascii="Times New Roman" w:eastAsia="Times New Roman" w:hAnsi="Times New Roman" w:cs="Times New Roman"/>
          <w:sz w:val="24"/>
          <w:szCs w:val="24"/>
        </w:rPr>
        <w:t>iestādē</w:t>
      </w:r>
      <w:r w:rsidR="003E3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D7BD4">
        <w:rPr>
          <w:rFonts w:ascii="Times New Roman" w:eastAsia="Times New Roman" w:hAnsi="Times New Roman" w:cs="Times New Roman"/>
          <w:sz w:val="24"/>
          <w:szCs w:val="24"/>
        </w:rPr>
        <w:t>prēķins tika veikts psihiatriskām praksēm, kur pakalpojumu sniedz vairāk kā viens ārsts iestādē. Ņemot vērā, ka iestādē ir vairāk kā 1 psihi</w:t>
      </w:r>
      <w:r>
        <w:rPr>
          <w:rFonts w:ascii="Times New Roman" w:eastAsia="Times New Roman" w:hAnsi="Times New Roman" w:cs="Times New Roman"/>
          <w:sz w:val="24"/>
          <w:szCs w:val="24"/>
        </w:rPr>
        <w:t>a</w:t>
      </w:r>
      <w:r w:rsidRPr="007D7BD4">
        <w:rPr>
          <w:rFonts w:ascii="Times New Roman" w:eastAsia="Times New Roman" w:hAnsi="Times New Roman" w:cs="Times New Roman"/>
          <w:sz w:val="24"/>
          <w:szCs w:val="24"/>
        </w:rPr>
        <w:t>trs, psihologu un funkcionālo spec</w:t>
      </w:r>
      <w:r>
        <w:rPr>
          <w:rFonts w:ascii="Times New Roman" w:eastAsia="Times New Roman" w:hAnsi="Times New Roman" w:cs="Times New Roman"/>
          <w:sz w:val="24"/>
          <w:szCs w:val="24"/>
        </w:rPr>
        <w:t>iālistu slodzes ir paredzētas 0,</w:t>
      </w:r>
      <w:r w:rsidRPr="007D7BD4">
        <w:rPr>
          <w:rFonts w:ascii="Times New Roman" w:eastAsia="Times New Roman" w:hAnsi="Times New Roman" w:cs="Times New Roman"/>
          <w:sz w:val="24"/>
          <w:szCs w:val="24"/>
        </w:rPr>
        <w:t>5 slodze uz 1 psihiatra slodzi, izejot no pieņēmuma, ka šīs speciālistu slodzes tiek efektīvi izmantotas psihiatru savstarpējā sadarbībā.</w:t>
      </w:r>
      <w:r w:rsidR="001B1AEF">
        <w:rPr>
          <w:rFonts w:ascii="Times New Roman" w:eastAsia="Times New Roman" w:hAnsi="Times New Roman" w:cs="Times New Roman"/>
          <w:sz w:val="24"/>
          <w:szCs w:val="24"/>
        </w:rPr>
        <w:t xml:space="preserve"> </w:t>
      </w:r>
      <w:r w:rsidR="001B1AEF" w:rsidRPr="001B1AEF">
        <w:rPr>
          <w:rFonts w:ascii="Times New Roman" w:eastAsia="Times New Roman" w:hAnsi="Times New Roman" w:cs="Times New Roman"/>
          <w:sz w:val="24"/>
          <w:szCs w:val="24"/>
        </w:rPr>
        <w:t>Pirmajā pakalpojuma gadā ir paredzēts, ka slodzes apjoms pieaugs pakāpeniski, piesaistot speciālistus laika gaitā</w:t>
      </w:r>
      <w:r w:rsidR="00B61E4A">
        <w:rPr>
          <w:rFonts w:ascii="Times New Roman" w:eastAsia="Times New Roman" w:hAnsi="Times New Roman" w:cs="Times New Roman"/>
          <w:sz w:val="24"/>
          <w:szCs w:val="24"/>
        </w:rPr>
        <w:t xml:space="preserve"> (</w:t>
      </w:r>
      <w:r w:rsidR="00F56DA4">
        <w:rPr>
          <w:rFonts w:ascii="Times New Roman" w:eastAsia="Times New Roman" w:hAnsi="Times New Roman" w:cs="Times New Roman"/>
          <w:sz w:val="24"/>
          <w:szCs w:val="24"/>
        </w:rPr>
        <w:t>9</w:t>
      </w:r>
      <w:r w:rsidR="00E118ED">
        <w:rPr>
          <w:rFonts w:ascii="Times New Roman" w:eastAsia="Times New Roman" w:hAnsi="Times New Roman" w:cs="Times New Roman"/>
          <w:sz w:val="24"/>
          <w:szCs w:val="24"/>
        </w:rPr>
        <w:t>7</w:t>
      </w:r>
      <w:r w:rsidR="00B61E4A">
        <w:rPr>
          <w:rFonts w:ascii="Times New Roman" w:eastAsia="Times New Roman" w:hAnsi="Times New Roman" w:cs="Times New Roman"/>
          <w:sz w:val="24"/>
          <w:szCs w:val="24"/>
        </w:rPr>
        <w:t>.tabula)</w:t>
      </w:r>
      <w:r w:rsidR="00F44F63">
        <w:rPr>
          <w:rFonts w:ascii="Times New Roman" w:eastAsia="Times New Roman" w:hAnsi="Times New Roman" w:cs="Times New Roman"/>
          <w:sz w:val="24"/>
          <w:szCs w:val="24"/>
        </w:rPr>
        <w:t>.</w:t>
      </w:r>
    </w:p>
    <w:p w14:paraId="431CDE75" w14:textId="6D7D7876" w:rsidR="00972B28" w:rsidRPr="00E93259" w:rsidRDefault="00E118ED" w:rsidP="26166EDA">
      <w:pPr>
        <w:spacing w:after="120"/>
        <w:ind w:firstLine="72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97</w:t>
      </w:r>
      <w:r w:rsidR="00972B28" w:rsidRPr="26166EDA">
        <w:rPr>
          <w:rFonts w:ascii="Times New Roman" w:eastAsia="Times New Roman" w:hAnsi="Times New Roman" w:cs="Times New Roman"/>
          <w:i/>
          <w:iCs/>
          <w:sz w:val="24"/>
          <w:szCs w:val="24"/>
        </w:rPr>
        <w:t>.tabula</w:t>
      </w:r>
    </w:p>
    <w:p w14:paraId="7C1C593D" w14:textId="1E11D1A7" w:rsidR="009F471A" w:rsidRPr="005870F7" w:rsidRDefault="009F471A" w:rsidP="005870F7">
      <w:pPr>
        <w:spacing w:after="120"/>
        <w:ind w:firstLine="720"/>
        <w:jc w:val="center"/>
        <w:rPr>
          <w:rFonts w:ascii="Times New Roman" w:eastAsia="Times New Roman" w:hAnsi="Times New Roman" w:cs="Times New Roman"/>
          <w:b/>
          <w:bCs/>
          <w:sz w:val="24"/>
          <w:szCs w:val="24"/>
        </w:rPr>
      </w:pPr>
      <w:r w:rsidRPr="005870F7">
        <w:rPr>
          <w:rFonts w:ascii="Times New Roman" w:eastAsia="Times New Roman" w:hAnsi="Times New Roman" w:cs="Times New Roman"/>
          <w:b/>
          <w:bCs/>
          <w:sz w:val="24"/>
          <w:szCs w:val="24"/>
        </w:rPr>
        <w:t>Psihiatrijas prakšu stiprināšanai nepieciešamais finansējums</w:t>
      </w:r>
    </w:p>
    <w:tbl>
      <w:tblPr>
        <w:tblStyle w:val="TableGrid"/>
        <w:tblW w:w="8324" w:type="dxa"/>
        <w:jc w:val="center"/>
        <w:tblLook w:val="04A0" w:firstRow="1" w:lastRow="0" w:firstColumn="1" w:lastColumn="0" w:noHBand="0" w:noVBand="1"/>
      </w:tblPr>
      <w:tblGrid>
        <w:gridCol w:w="2547"/>
        <w:gridCol w:w="851"/>
        <w:gridCol w:w="1134"/>
        <w:gridCol w:w="1275"/>
        <w:gridCol w:w="1090"/>
        <w:gridCol w:w="1427"/>
      </w:tblGrid>
      <w:tr w:rsidR="00972B28" w:rsidRPr="00CE6921" w14:paraId="58A717BE" w14:textId="77777777" w:rsidTr="005870F7">
        <w:trPr>
          <w:jc w:val="center"/>
        </w:trPr>
        <w:tc>
          <w:tcPr>
            <w:tcW w:w="2547" w:type="dxa"/>
            <w:shd w:val="clear" w:color="auto" w:fill="E36C0A" w:themeFill="accent6" w:themeFillShade="BF"/>
            <w:vAlign w:val="center"/>
          </w:tcPr>
          <w:p w14:paraId="458F071B"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Pozīcija</w:t>
            </w:r>
          </w:p>
        </w:tc>
        <w:tc>
          <w:tcPr>
            <w:tcW w:w="851" w:type="dxa"/>
            <w:shd w:val="clear" w:color="auto" w:fill="E36C0A" w:themeFill="accent6" w:themeFillShade="BF"/>
            <w:vAlign w:val="center"/>
          </w:tcPr>
          <w:p w14:paraId="1B107BD1"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ārstu slodžu skaits</w:t>
            </w:r>
          </w:p>
        </w:tc>
        <w:tc>
          <w:tcPr>
            <w:tcW w:w="1134" w:type="dxa"/>
            <w:shd w:val="clear" w:color="auto" w:fill="E36C0A" w:themeFill="accent6" w:themeFillShade="BF"/>
            <w:vAlign w:val="center"/>
          </w:tcPr>
          <w:p w14:paraId="626AAEB5"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vidējās izmaksas, euro</w:t>
            </w:r>
          </w:p>
        </w:tc>
        <w:tc>
          <w:tcPr>
            <w:tcW w:w="1275" w:type="dxa"/>
            <w:shd w:val="clear" w:color="auto" w:fill="E36C0A" w:themeFill="accent6" w:themeFillShade="BF"/>
            <w:vAlign w:val="center"/>
          </w:tcPr>
          <w:p w14:paraId="31BD2EEB"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prognozējamais finansējums 2019.gadam, euro</w:t>
            </w:r>
          </w:p>
        </w:tc>
        <w:tc>
          <w:tcPr>
            <w:tcW w:w="1090" w:type="dxa"/>
            <w:shd w:val="clear" w:color="auto" w:fill="E36C0A" w:themeFill="accent6" w:themeFillShade="BF"/>
            <w:vAlign w:val="center"/>
          </w:tcPr>
          <w:p w14:paraId="41BDCD0E"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2018.gada finansējums, euro</w:t>
            </w:r>
          </w:p>
        </w:tc>
        <w:tc>
          <w:tcPr>
            <w:tcW w:w="1427" w:type="dxa"/>
            <w:shd w:val="clear" w:color="auto" w:fill="E36C0A" w:themeFill="accent6" w:themeFillShade="BF"/>
            <w:vAlign w:val="center"/>
          </w:tcPr>
          <w:p w14:paraId="29706A34" w14:textId="5C018201"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sākot no 2019.gada 1.</w:t>
            </w:r>
            <w:r w:rsidR="00F44F63">
              <w:rPr>
                <w:rFonts w:ascii="Times New Roman" w:eastAsia="Times New Roman" w:hAnsi="Times New Roman"/>
                <w:sz w:val="16"/>
                <w:szCs w:val="16"/>
              </w:rPr>
              <w:t>aprīļa</w:t>
            </w:r>
            <w:r w:rsidR="005B3D2F" w:rsidRPr="00E93259">
              <w:rPr>
                <w:rFonts w:ascii="Times New Roman" w:eastAsia="Times New Roman" w:hAnsi="Times New Roman"/>
                <w:i/>
                <w:sz w:val="16"/>
                <w:szCs w:val="16"/>
              </w:rPr>
              <w:t>, euro</w:t>
            </w:r>
          </w:p>
        </w:tc>
      </w:tr>
      <w:tr w:rsidR="002A7CB3" w:rsidRPr="00330A34" w14:paraId="60DAF733" w14:textId="77777777" w:rsidTr="00972B28">
        <w:trPr>
          <w:trHeight w:val="433"/>
          <w:jc w:val="center"/>
        </w:trPr>
        <w:tc>
          <w:tcPr>
            <w:tcW w:w="2547" w:type="dxa"/>
          </w:tcPr>
          <w:p w14:paraId="1D46BF79" w14:textId="77777777" w:rsidR="002A7CB3" w:rsidRPr="00330A34" w:rsidRDefault="002A7CB3" w:rsidP="002A7CB3">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Stiprināt esošās psihiatrijas prakses</w:t>
            </w:r>
          </w:p>
        </w:tc>
        <w:tc>
          <w:tcPr>
            <w:tcW w:w="851" w:type="dxa"/>
            <w:vAlign w:val="center"/>
          </w:tcPr>
          <w:p w14:paraId="3E2C4A91" w14:textId="40E53C13" w:rsidR="002A7CB3" w:rsidRPr="00330A34" w:rsidRDefault="002A7CB3" w:rsidP="002A7CB3">
            <w:pPr>
              <w:spacing w:line="276" w:lineRule="auto"/>
              <w:jc w:val="center"/>
              <w:rPr>
                <w:rFonts w:ascii="Times New Roman" w:eastAsia="Times New Roman" w:hAnsi="Times New Roman"/>
                <w:sz w:val="18"/>
                <w:szCs w:val="18"/>
              </w:rPr>
            </w:pPr>
            <w:r>
              <w:rPr>
                <w:rFonts w:ascii="Times New Roman" w:eastAsia="Times New Roman" w:hAnsi="Times New Roman"/>
                <w:sz w:val="18"/>
                <w:szCs w:val="18"/>
              </w:rPr>
              <w:t>32.00</w:t>
            </w:r>
          </w:p>
        </w:tc>
        <w:tc>
          <w:tcPr>
            <w:tcW w:w="1134" w:type="dxa"/>
            <w:vAlign w:val="center"/>
          </w:tcPr>
          <w:p w14:paraId="44356CB3" w14:textId="1494D25F" w:rsidR="002A7CB3" w:rsidRPr="00330A34" w:rsidRDefault="002A7CB3" w:rsidP="002A7CB3">
            <w:pPr>
              <w:jc w:val="center"/>
              <w:rPr>
                <w:rFonts w:ascii="Times New Roman" w:eastAsia="Times New Roman" w:hAnsi="Times New Roman"/>
                <w:sz w:val="18"/>
                <w:szCs w:val="18"/>
              </w:rPr>
            </w:pPr>
            <w:r>
              <w:rPr>
                <w:rFonts w:ascii="Times New Roman" w:hAnsi="Times New Roman"/>
                <w:sz w:val="18"/>
                <w:szCs w:val="18"/>
                <w:lang w:val="en-US"/>
              </w:rPr>
              <w:t>71 184</w:t>
            </w:r>
          </w:p>
        </w:tc>
        <w:tc>
          <w:tcPr>
            <w:tcW w:w="1275" w:type="dxa"/>
            <w:vAlign w:val="center"/>
          </w:tcPr>
          <w:p w14:paraId="5097E891" w14:textId="2C57417B" w:rsidR="002A7CB3" w:rsidRPr="00330A34" w:rsidRDefault="002A7CB3" w:rsidP="002A7CB3">
            <w:pPr>
              <w:jc w:val="center"/>
              <w:rPr>
                <w:rFonts w:ascii="Times New Roman" w:eastAsia="Times New Roman" w:hAnsi="Times New Roman"/>
                <w:sz w:val="18"/>
                <w:szCs w:val="18"/>
              </w:rPr>
            </w:pPr>
            <w:r>
              <w:rPr>
                <w:rFonts w:ascii="Times New Roman" w:hAnsi="Times New Roman"/>
                <w:sz w:val="18"/>
                <w:szCs w:val="18"/>
                <w:lang w:val="en-US"/>
              </w:rPr>
              <w:t>2 277 888</w:t>
            </w:r>
          </w:p>
        </w:tc>
        <w:tc>
          <w:tcPr>
            <w:tcW w:w="1090" w:type="dxa"/>
            <w:vMerge w:val="restart"/>
            <w:vAlign w:val="center"/>
          </w:tcPr>
          <w:p w14:paraId="44CBCFBC" w14:textId="2A77E3A7" w:rsidR="002A7CB3" w:rsidRPr="00330A34" w:rsidRDefault="002A7CB3" w:rsidP="002A7CB3">
            <w:pPr>
              <w:spacing w:line="276" w:lineRule="auto"/>
              <w:jc w:val="center"/>
              <w:rPr>
                <w:rFonts w:ascii="Times New Roman" w:eastAsia="Times New Roman" w:hAnsi="Times New Roman"/>
                <w:sz w:val="18"/>
                <w:szCs w:val="18"/>
              </w:rPr>
            </w:pPr>
            <w:r>
              <w:rPr>
                <w:rFonts w:ascii="Times New Roman" w:eastAsia="Times New Roman" w:hAnsi="Times New Roman"/>
                <w:sz w:val="18"/>
                <w:szCs w:val="18"/>
                <w:lang w:val="en-US"/>
              </w:rPr>
              <w:t>4 151 139</w:t>
            </w:r>
          </w:p>
          <w:p w14:paraId="6EC1DED6" w14:textId="2ABC0E2E" w:rsidR="002A7CB3" w:rsidRPr="00330A34" w:rsidRDefault="002A7CB3" w:rsidP="002A7CB3">
            <w:pPr>
              <w:spacing w:line="276" w:lineRule="auto"/>
              <w:jc w:val="center"/>
              <w:rPr>
                <w:rFonts w:ascii="Times New Roman" w:eastAsia="Times New Roman" w:hAnsi="Times New Roman"/>
                <w:sz w:val="18"/>
                <w:szCs w:val="18"/>
              </w:rPr>
            </w:pPr>
          </w:p>
        </w:tc>
        <w:tc>
          <w:tcPr>
            <w:tcW w:w="1427" w:type="dxa"/>
            <w:vMerge w:val="restart"/>
            <w:vAlign w:val="center"/>
          </w:tcPr>
          <w:p w14:paraId="1138C3CA" w14:textId="54653A95"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759 761</w:t>
            </w:r>
          </w:p>
          <w:p w14:paraId="1E8EA19E" w14:textId="0B78CAF6" w:rsidR="002A7CB3" w:rsidRPr="00330A34" w:rsidRDefault="002A7CB3" w:rsidP="002A7CB3">
            <w:pPr>
              <w:jc w:val="center"/>
              <w:rPr>
                <w:rFonts w:ascii="Times New Roman" w:eastAsia="Times New Roman" w:hAnsi="Times New Roman"/>
                <w:sz w:val="18"/>
                <w:szCs w:val="18"/>
              </w:rPr>
            </w:pPr>
          </w:p>
        </w:tc>
      </w:tr>
      <w:tr w:rsidR="002A7CB3" w:rsidRPr="00330A34" w14:paraId="35EDDB16" w14:textId="77777777" w:rsidTr="00E11AFF">
        <w:trPr>
          <w:jc w:val="center"/>
        </w:trPr>
        <w:tc>
          <w:tcPr>
            <w:tcW w:w="2547" w:type="dxa"/>
          </w:tcPr>
          <w:p w14:paraId="4B4A4056" w14:textId="3C18C760" w:rsidR="002A7CB3" w:rsidRPr="00330A34" w:rsidRDefault="002A7CB3" w:rsidP="002A7CB3">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Stiprināt esošās psihiatrijas prakses (</w:t>
            </w:r>
            <w:r>
              <w:rPr>
                <w:rFonts w:ascii="Times New Roman" w:eastAsia="Times New Roman" w:hAnsi="Times New Roman"/>
                <w:sz w:val="18"/>
                <w:szCs w:val="18"/>
              </w:rPr>
              <w:t>ambulatorās iestādēs</w:t>
            </w:r>
            <w:r w:rsidRPr="00330A34">
              <w:rPr>
                <w:rFonts w:ascii="Times New Roman" w:eastAsia="Times New Roman" w:hAnsi="Times New Roman"/>
                <w:sz w:val="18"/>
                <w:szCs w:val="18"/>
              </w:rPr>
              <w:t>)</w:t>
            </w:r>
          </w:p>
        </w:tc>
        <w:tc>
          <w:tcPr>
            <w:tcW w:w="851" w:type="dxa"/>
            <w:vAlign w:val="center"/>
          </w:tcPr>
          <w:p w14:paraId="7A92F0CA" w14:textId="1DA58FCF" w:rsidR="002A7CB3" w:rsidRPr="00330A34" w:rsidRDefault="002A7CB3" w:rsidP="002A7CB3">
            <w:pPr>
              <w:spacing w:line="276" w:lineRule="auto"/>
              <w:jc w:val="center"/>
              <w:rPr>
                <w:rFonts w:ascii="Times New Roman" w:eastAsia="Times New Roman" w:hAnsi="Times New Roman"/>
                <w:sz w:val="18"/>
                <w:szCs w:val="18"/>
              </w:rPr>
            </w:pPr>
            <w:r>
              <w:rPr>
                <w:rFonts w:ascii="Times New Roman" w:eastAsia="Times New Roman" w:hAnsi="Times New Roman"/>
                <w:sz w:val="18"/>
                <w:szCs w:val="18"/>
              </w:rPr>
              <w:t>47.25</w:t>
            </w:r>
          </w:p>
        </w:tc>
        <w:tc>
          <w:tcPr>
            <w:tcW w:w="1134" w:type="dxa"/>
            <w:vAlign w:val="center"/>
          </w:tcPr>
          <w:p w14:paraId="722C7582" w14:textId="204C3A7E" w:rsidR="002A7CB3" w:rsidRPr="00330A34" w:rsidRDefault="00746487" w:rsidP="002A7CB3">
            <w:pPr>
              <w:jc w:val="center"/>
              <w:rPr>
                <w:rFonts w:ascii="Times New Roman" w:eastAsia="Times New Roman" w:hAnsi="Times New Roman"/>
                <w:sz w:val="18"/>
                <w:szCs w:val="18"/>
              </w:rPr>
            </w:pPr>
            <w:r>
              <w:rPr>
                <w:rFonts w:ascii="Times New Roman" w:hAnsi="Times New Roman"/>
                <w:sz w:val="18"/>
                <w:szCs w:val="18"/>
                <w:lang w:val="en-US"/>
              </w:rPr>
              <w:t>61 085</w:t>
            </w:r>
          </w:p>
        </w:tc>
        <w:tc>
          <w:tcPr>
            <w:tcW w:w="1275" w:type="dxa"/>
            <w:vAlign w:val="center"/>
          </w:tcPr>
          <w:p w14:paraId="2EA4ED72" w14:textId="4A8559D1" w:rsidR="002A7CB3" w:rsidRPr="00330A34" w:rsidRDefault="00746487" w:rsidP="002A7CB3">
            <w:pPr>
              <w:jc w:val="center"/>
              <w:rPr>
                <w:rFonts w:ascii="Times New Roman" w:eastAsia="Times New Roman" w:hAnsi="Times New Roman"/>
                <w:sz w:val="18"/>
                <w:szCs w:val="18"/>
              </w:rPr>
            </w:pPr>
            <w:r>
              <w:rPr>
                <w:rFonts w:ascii="Times New Roman" w:hAnsi="Times New Roman"/>
                <w:sz w:val="18"/>
                <w:szCs w:val="18"/>
              </w:rPr>
              <w:t>2 886 266</w:t>
            </w:r>
          </w:p>
        </w:tc>
        <w:tc>
          <w:tcPr>
            <w:tcW w:w="1090" w:type="dxa"/>
            <w:vMerge/>
            <w:vAlign w:val="center"/>
          </w:tcPr>
          <w:p w14:paraId="0835F394" w14:textId="77777777" w:rsidR="002A7CB3" w:rsidRPr="00330A34" w:rsidRDefault="002A7CB3" w:rsidP="002A7CB3">
            <w:pPr>
              <w:spacing w:line="276" w:lineRule="auto"/>
              <w:jc w:val="center"/>
              <w:rPr>
                <w:rFonts w:ascii="Times New Roman" w:eastAsia="Times New Roman" w:hAnsi="Times New Roman"/>
                <w:sz w:val="18"/>
                <w:szCs w:val="18"/>
              </w:rPr>
            </w:pPr>
          </w:p>
        </w:tc>
        <w:tc>
          <w:tcPr>
            <w:tcW w:w="1427" w:type="dxa"/>
            <w:vMerge/>
            <w:vAlign w:val="center"/>
          </w:tcPr>
          <w:p w14:paraId="18CE1AFB" w14:textId="77777777" w:rsidR="002A7CB3" w:rsidRPr="00330A34" w:rsidRDefault="002A7CB3" w:rsidP="002A7CB3">
            <w:pPr>
              <w:spacing w:line="276" w:lineRule="auto"/>
              <w:jc w:val="center"/>
              <w:rPr>
                <w:rFonts w:ascii="Times New Roman" w:eastAsia="Times New Roman" w:hAnsi="Times New Roman"/>
                <w:sz w:val="18"/>
                <w:szCs w:val="18"/>
              </w:rPr>
            </w:pPr>
          </w:p>
        </w:tc>
      </w:tr>
    </w:tbl>
    <w:p w14:paraId="00FAB4E9" w14:textId="5430AFEC" w:rsidR="00972B28" w:rsidRDefault="00972B28" w:rsidP="00972B28">
      <w:pPr>
        <w:spacing w:after="0"/>
        <w:ind w:firstLine="720"/>
        <w:jc w:val="both"/>
        <w:rPr>
          <w:rFonts w:ascii="Times New Roman" w:eastAsia="Times New Roman" w:hAnsi="Times New Roman" w:cs="Times New Roman"/>
          <w:sz w:val="24"/>
          <w:szCs w:val="24"/>
        </w:rPr>
      </w:pPr>
    </w:p>
    <w:p w14:paraId="6AD9C03B" w14:textId="596ACB47" w:rsidR="004C77A5" w:rsidRDefault="004C77A5" w:rsidP="001E4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Indikatīvi nepieciešamais finansējums 2020.gadam psihiatrisko prakšu stirpināšanai ir 3</w:t>
      </w:r>
      <w:r w:rsidR="00746487">
        <w:rPr>
          <w:rFonts w:ascii="Times New Roman" w:eastAsia="Times New Roman" w:hAnsi="Times New Roman" w:cs="Times New Roman"/>
          <w:sz w:val="24"/>
          <w:szCs w:val="24"/>
        </w:rPr>
        <w:t> </w:t>
      </w:r>
      <w:r>
        <w:rPr>
          <w:rFonts w:ascii="Times New Roman" w:eastAsia="Times New Roman" w:hAnsi="Times New Roman" w:cs="Times New Roman"/>
          <w:sz w:val="24"/>
          <w:szCs w:val="24"/>
        </w:rPr>
        <w:t>22</w:t>
      </w:r>
      <w:r w:rsidR="00746487">
        <w:rPr>
          <w:rFonts w:ascii="Times New Roman" w:eastAsia="Times New Roman" w:hAnsi="Times New Roman" w:cs="Times New Roman"/>
          <w:sz w:val="24"/>
          <w:szCs w:val="24"/>
        </w:rPr>
        <w:t>9 549</w:t>
      </w:r>
      <w:r>
        <w:rPr>
          <w:rFonts w:ascii="Times New Roman" w:eastAsia="Times New Roman" w:hAnsi="Times New Roman" w:cs="Times New Roman"/>
          <w:sz w:val="24"/>
          <w:szCs w:val="24"/>
        </w:rPr>
        <w:t xml:space="preserve"> </w:t>
      </w:r>
      <w:r w:rsidRPr="00E9325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ņemot vērā, ka prakšu stiprināšana papildus speciālistiem notiks pakāpeniski.</w:t>
      </w:r>
    </w:p>
    <w:p w14:paraId="4F1EB4C1" w14:textId="77777777" w:rsidR="004C77A5" w:rsidRDefault="004C77A5">
      <w:pPr>
        <w:spacing w:after="0"/>
        <w:ind w:firstLine="720"/>
        <w:jc w:val="both"/>
        <w:rPr>
          <w:rFonts w:ascii="Times New Roman" w:eastAsia="Times New Roman" w:hAnsi="Times New Roman" w:cs="Times New Roman"/>
          <w:sz w:val="24"/>
          <w:szCs w:val="24"/>
        </w:rPr>
      </w:pPr>
    </w:p>
    <w:p w14:paraId="2CFB00EC" w14:textId="05E3E593" w:rsidR="00972B28" w:rsidRDefault="00972B28" w:rsidP="00972B28">
      <w:pPr>
        <w:spacing w:after="0"/>
        <w:jc w:val="both"/>
        <w:rPr>
          <w:rFonts w:ascii="Times New Roman" w:eastAsia="Times New Roman" w:hAnsi="Times New Roman" w:cs="Times New Roman"/>
          <w:sz w:val="24"/>
          <w:szCs w:val="24"/>
        </w:rPr>
      </w:pPr>
      <w:r w:rsidRPr="005D6776">
        <w:rPr>
          <w:rFonts w:ascii="Times New Roman" w:eastAsia="Times New Roman" w:hAnsi="Times New Roman" w:cs="Times New Roman"/>
          <w:sz w:val="24"/>
          <w:szCs w:val="24"/>
          <w:u w:val="single"/>
        </w:rPr>
        <w:t>2.pasākums</w:t>
      </w:r>
      <w:r>
        <w:rPr>
          <w:rFonts w:ascii="Times New Roman" w:eastAsia="Times New Roman" w:hAnsi="Times New Roman" w:cs="Times New Roman"/>
          <w:sz w:val="24"/>
          <w:szCs w:val="24"/>
        </w:rPr>
        <w:t>:</w:t>
      </w:r>
      <w:r w:rsidRPr="001D6901">
        <w:rPr>
          <w:rFonts w:ascii="Times New Roman" w:eastAsia="Times New Roman" w:hAnsi="Times New Roman" w:cs="Times New Roman"/>
          <w:sz w:val="24"/>
          <w:szCs w:val="24"/>
        </w:rPr>
        <w:t xml:space="preserve"> Uzlabot pieejamību dienas stacionāra pakalpojumiem psihiskajā veselības aprūpē</w:t>
      </w:r>
      <w:r w:rsidR="00B61E4A">
        <w:rPr>
          <w:rFonts w:ascii="Times New Roman" w:eastAsia="Times New Roman" w:hAnsi="Times New Roman" w:cs="Times New Roman"/>
          <w:sz w:val="24"/>
          <w:szCs w:val="24"/>
        </w:rPr>
        <w:t xml:space="preserve"> (</w:t>
      </w:r>
      <w:r w:rsidR="00E118ED">
        <w:rPr>
          <w:rFonts w:ascii="Times New Roman" w:eastAsia="Times New Roman" w:hAnsi="Times New Roman" w:cs="Times New Roman"/>
          <w:sz w:val="24"/>
          <w:szCs w:val="24"/>
        </w:rPr>
        <w:t>98</w:t>
      </w:r>
      <w:r w:rsidR="00B61E4A">
        <w:rPr>
          <w:rFonts w:ascii="Times New Roman" w:eastAsia="Times New Roman" w:hAnsi="Times New Roman" w:cs="Times New Roman"/>
          <w:sz w:val="24"/>
          <w:szCs w:val="24"/>
        </w:rPr>
        <w:t>.tabula)</w:t>
      </w:r>
      <w:r w:rsidRPr="001D6901">
        <w:rPr>
          <w:rFonts w:ascii="Times New Roman" w:eastAsia="Times New Roman" w:hAnsi="Times New Roman" w:cs="Times New Roman"/>
          <w:sz w:val="24"/>
          <w:szCs w:val="24"/>
        </w:rPr>
        <w:t xml:space="preserve">. </w:t>
      </w:r>
    </w:p>
    <w:p w14:paraId="608E38C1" w14:textId="6987E279" w:rsidR="00CB4485" w:rsidRDefault="00CB4485" w:rsidP="00CB448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palīdzētu pacientam nenokļūt slimnīcā, dienas stacionārs ir veids kā palīdzēt pacientam tikt ātrāk izrakstītam un saņemt atbalstu pēc stacionāra. Dienas stacionārā tiek nodrošināta multiprofesionāla veselības aprūpe, iesaistot rehabilitācijas speciālistus (fizioterapeits, ergoterapeit</w:t>
      </w:r>
      <w:r w:rsidR="007B624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mākslu terapeits, uztura speciālists u.c.), kā arī klīniskos un veselības psihologus, tādējādi nodrošinot nefarmakoloģiskās terapijas iespējamību jau ambulatorā līmenī. </w:t>
      </w:r>
    </w:p>
    <w:p w14:paraId="3CD4F04A" w14:textId="77777777" w:rsidR="007B624A" w:rsidRDefault="00CB4485" w:rsidP="005870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Atbilstoši SPKC datiem </w:t>
      </w:r>
      <w:r w:rsidRPr="00E21A6C">
        <w:rPr>
          <w:rFonts w:ascii="Times New Roman" w:eastAsia="Times New Roman" w:hAnsi="Times New Roman" w:cs="Times New Roman"/>
          <w:sz w:val="24"/>
          <w:szCs w:val="24"/>
        </w:rPr>
        <w:t>2016. gadā ir saglabājies nemainīgs vietu skaits dienas stacionāros pacientiem ar psihiskiem un uzvedības traucējumiem. Dienas stacionāros ārstēto pacientu skaits, salīdzinot ar 2015. gadu, ir samazinājies par 1%</w:t>
      </w:r>
      <w:r>
        <w:rPr>
          <w:rStyle w:val="FootnoteReference"/>
          <w:rFonts w:ascii="Times New Roman" w:eastAsia="Times New Roman" w:hAnsi="Times New Roman" w:cs="Times New Roman"/>
          <w:sz w:val="24"/>
          <w:szCs w:val="24"/>
        </w:rPr>
        <w:footnoteReference w:id="76"/>
      </w:r>
      <w:r>
        <w:rPr>
          <w:rFonts w:ascii="Times New Roman" w:eastAsia="Times New Roman" w:hAnsi="Times New Roman" w:cs="Times New Roman"/>
          <w:sz w:val="24"/>
          <w:szCs w:val="24"/>
        </w:rPr>
        <w:t xml:space="preserve">. </w:t>
      </w:r>
    </w:p>
    <w:p w14:paraId="05647FA8" w14:textId="36ECFDE4" w:rsidR="00CB4485" w:rsidRPr="001D6901" w:rsidRDefault="00CB4485" w:rsidP="005870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kvalitatīvu ambulatoro veselības aprūpi un uzlabotu pieejamību dienas stacionāra pacientiem, nepieciešams dienas stacionārā nodrošināt  multiprofesionālas komandas sniegtu veselības aprūpi un palielināt dienas stacionārā sniegto veselības aprūpes pakalpojumu apjomu.</w:t>
      </w:r>
    </w:p>
    <w:p w14:paraId="345F3301" w14:textId="78D39225" w:rsidR="00972B28" w:rsidRPr="00334D65" w:rsidRDefault="00972B28" w:rsidP="00972B28">
      <w:pPr>
        <w:spacing w:after="0"/>
        <w:ind w:firstLine="720"/>
        <w:jc w:val="both"/>
        <w:rPr>
          <w:rFonts w:ascii="Times New Roman" w:eastAsia="Times New Roman" w:hAnsi="Times New Roman" w:cs="Times New Roman"/>
          <w:b/>
          <w:sz w:val="24"/>
          <w:szCs w:val="24"/>
        </w:rPr>
      </w:pPr>
      <w:r w:rsidRPr="005870F7">
        <w:rPr>
          <w:rFonts w:ascii="Times New Roman" w:eastAsia="Times New Roman" w:hAnsi="Times New Roman" w:cs="Times New Roman"/>
          <w:sz w:val="24"/>
          <w:szCs w:val="24"/>
        </w:rPr>
        <w:t>Nepieciešamais finansējums</w:t>
      </w:r>
      <w:r w:rsidR="0058262A">
        <w:rPr>
          <w:rFonts w:ascii="Times New Roman" w:eastAsia="Times New Roman" w:hAnsi="Times New Roman" w:cs="Times New Roman"/>
          <w:sz w:val="24"/>
          <w:szCs w:val="24"/>
        </w:rPr>
        <w:t xml:space="preserve"> no</w:t>
      </w:r>
      <w:r w:rsidRPr="005870F7">
        <w:rPr>
          <w:rFonts w:ascii="Times New Roman" w:eastAsia="Times New Roman" w:hAnsi="Times New Roman" w:cs="Times New Roman"/>
          <w:sz w:val="24"/>
          <w:szCs w:val="24"/>
        </w:rPr>
        <w:t xml:space="preserve"> 2019.gad</w:t>
      </w:r>
      <w:r w:rsidR="0058262A">
        <w:rPr>
          <w:rFonts w:ascii="Times New Roman" w:eastAsia="Times New Roman" w:hAnsi="Times New Roman" w:cs="Times New Roman"/>
          <w:sz w:val="24"/>
          <w:szCs w:val="24"/>
        </w:rPr>
        <w:t>a 1.aprīļa</w:t>
      </w:r>
      <w:r w:rsidRPr="00334D65">
        <w:rPr>
          <w:rFonts w:ascii="Times New Roman" w:eastAsia="Times New Roman" w:hAnsi="Times New Roman" w:cs="Times New Roman"/>
          <w:b/>
          <w:sz w:val="24"/>
          <w:szCs w:val="24"/>
        </w:rPr>
        <w:t xml:space="preserve"> </w:t>
      </w:r>
      <w:r w:rsidR="00F44F63">
        <w:rPr>
          <w:rFonts w:ascii="Times New Roman" w:eastAsia="Times New Roman" w:hAnsi="Times New Roman" w:cs="Times New Roman"/>
          <w:b/>
          <w:sz w:val="24"/>
          <w:szCs w:val="24"/>
        </w:rPr>
        <w:t>445</w:t>
      </w:r>
      <w:r w:rsidR="000F085F">
        <w:rPr>
          <w:rFonts w:ascii="Times New Roman" w:eastAsia="Times New Roman" w:hAnsi="Times New Roman" w:cs="Times New Roman"/>
          <w:b/>
          <w:sz w:val="24"/>
          <w:szCs w:val="24"/>
        </w:rPr>
        <w:t> </w:t>
      </w:r>
      <w:r w:rsidR="00966DE0">
        <w:rPr>
          <w:rFonts w:ascii="Times New Roman" w:eastAsia="Times New Roman" w:hAnsi="Times New Roman" w:cs="Times New Roman"/>
          <w:b/>
          <w:sz w:val="24"/>
          <w:szCs w:val="24"/>
        </w:rPr>
        <w:t>90</w:t>
      </w:r>
      <w:r w:rsidR="002A7CB3">
        <w:rPr>
          <w:rFonts w:ascii="Times New Roman" w:eastAsia="Times New Roman" w:hAnsi="Times New Roman" w:cs="Times New Roman"/>
          <w:b/>
          <w:sz w:val="24"/>
          <w:szCs w:val="24"/>
        </w:rPr>
        <w:t>7</w:t>
      </w:r>
      <w:r w:rsidR="000F085F">
        <w:rPr>
          <w:rFonts w:ascii="Times New Roman" w:eastAsia="Times New Roman" w:hAnsi="Times New Roman" w:cs="Times New Roman"/>
          <w:b/>
          <w:sz w:val="24"/>
          <w:szCs w:val="24"/>
        </w:rPr>
        <w:t xml:space="preserve"> </w:t>
      </w:r>
      <w:r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w:t>
      </w:r>
    </w:p>
    <w:p w14:paraId="43348777" w14:textId="37CAB547" w:rsidR="00972B28" w:rsidRPr="00E93259" w:rsidRDefault="00E118ED" w:rsidP="26166EDA">
      <w:pPr>
        <w:spacing w:after="120"/>
        <w:ind w:firstLine="72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98</w:t>
      </w:r>
      <w:r w:rsidR="00972B28" w:rsidRPr="26166EDA">
        <w:rPr>
          <w:rFonts w:ascii="Times New Roman" w:eastAsia="Times New Roman" w:hAnsi="Times New Roman" w:cs="Times New Roman"/>
          <w:i/>
          <w:iCs/>
          <w:sz w:val="24"/>
          <w:szCs w:val="24"/>
        </w:rPr>
        <w:t>.tabula</w:t>
      </w:r>
    </w:p>
    <w:p w14:paraId="018528E8" w14:textId="01465489" w:rsidR="00CB0AA6" w:rsidRPr="005870F7" w:rsidRDefault="00CB0AA6" w:rsidP="005870F7">
      <w:pPr>
        <w:spacing w:after="120"/>
        <w:jc w:val="center"/>
        <w:rPr>
          <w:rFonts w:ascii="Times New Roman" w:eastAsia="Times New Roman" w:hAnsi="Times New Roman" w:cs="Times New Roman"/>
          <w:b/>
          <w:bCs/>
          <w:i/>
          <w:iCs/>
          <w:sz w:val="24"/>
          <w:szCs w:val="24"/>
        </w:rPr>
      </w:pPr>
      <w:r w:rsidRPr="005870F7">
        <w:rPr>
          <w:rFonts w:ascii="Times New Roman" w:eastAsia="Times New Roman" w:hAnsi="Times New Roman"/>
          <w:b/>
          <w:bCs/>
          <w:sz w:val="24"/>
          <w:szCs w:val="24"/>
        </w:rPr>
        <w:t>Psihiatrisko slimnieku ārstēšana</w:t>
      </w:r>
      <w:r w:rsidRPr="00E12849">
        <w:rPr>
          <w:rFonts w:ascii="Times New Roman" w:eastAsia="Times New Roman" w:hAnsi="Times New Roman"/>
          <w:b/>
          <w:bCs/>
          <w:sz w:val="24"/>
          <w:szCs w:val="24"/>
        </w:rPr>
        <w:t>i</w:t>
      </w:r>
      <w:r w:rsidRPr="005870F7">
        <w:rPr>
          <w:rFonts w:ascii="Times New Roman" w:eastAsia="Times New Roman" w:hAnsi="Times New Roman"/>
          <w:b/>
          <w:bCs/>
          <w:sz w:val="24"/>
          <w:szCs w:val="24"/>
        </w:rPr>
        <w:t xml:space="preserve"> psihiatriskā profila dienas stacionārā, nodrošinot speciālistu piesaisti un palielinot pakalpojumu pieejamību par 20%</w:t>
      </w:r>
      <w:r w:rsidRPr="00E12849">
        <w:rPr>
          <w:rFonts w:ascii="Times New Roman" w:eastAsia="Times New Roman" w:hAnsi="Times New Roman"/>
          <w:b/>
          <w:bCs/>
          <w:sz w:val="24"/>
          <w:szCs w:val="24"/>
        </w:rPr>
        <w:t xml:space="preserve"> nepieciešamais finansējums</w:t>
      </w:r>
    </w:p>
    <w:tbl>
      <w:tblPr>
        <w:tblStyle w:val="TableGrid"/>
        <w:tblW w:w="9378" w:type="dxa"/>
        <w:jc w:val="center"/>
        <w:tblLook w:val="04A0" w:firstRow="1" w:lastRow="0" w:firstColumn="1" w:lastColumn="0" w:noHBand="0" w:noVBand="1"/>
      </w:tblPr>
      <w:tblGrid>
        <w:gridCol w:w="1850"/>
        <w:gridCol w:w="954"/>
        <w:gridCol w:w="803"/>
        <w:gridCol w:w="1229"/>
        <w:gridCol w:w="1129"/>
        <w:gridCol w:w="1030"/>
        <w:gridCol w:w="1185"/>
        <w:gridCol w:w="1198"/>
      </w:tblGrid>
      <w:tr w:rsidR="00776606" w:rsidRPr="00CE6921" w14:paraId="68F67057" w14:textId="77777777" w:rsidTr="008E0B7B">
        <w:trPr>
          <w:jc w:val="center"/>
        </w:trPr>
        <w:tc>
          <w:tcPr>
            <w:tcW w:w="1850" w:type="dxa"/>
            <w:shd w:val="clear" w:color="auto" w:fill="E36C0A" w:themeFill="accent6" w:themeFillShade="BF"/>
            <w:vAlign w:val="center"/>
          </w:tcPr>
          <w:p w14:paraId="513DB71C" w14:textId="77777777" w:rsidR="00776606" w:rsidRPr="00CE6921" w:rsidRDefault="00776606"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Pozīcija</w:t>
            </w:r>
          </w:p>
        </w:tc>
        <w:tc>
          <w:tcPr>
            <w:tcW w:w="954" w:type="dxa"/>
            <w:shd w:val="clear" w:color="auto" w:fill="E36C0A" w:themeFill="accent6" w:themeFillShade="BF"/>
            <w:vAlign w:val="center"/>
          </w:tcPr>
          <w:p w14:paraId="47A68B48" w14:textId="77777777" w:rsidR="00776606" w:rsidRPr="00CE6921" w:rsidRDefault="00776606"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pacientu/ gultasdienu skaits</w:t>
            </w:r>
          </w:p>
        </w:tc>
        <w:tc>
          <w:tcPr>
            <w:tcW w:w="803" w:type="dxa"/>
            <w:shd w:val="clear" w:color="auto" w:fill="E36C0A" w:themeFill="accent6" w:themeFillShade="BF"/>
            <w:vAlign w:val="center"/>
          </w:tcPr>
          <w:p w14:paraId="5B3A2864" w14:textId="2117EC30" w:rsidR="00776606" w:rsidRPr="00E93259" w:rsidRDefault="00776606" w:rsidP="00972B28">
            <w:pPr>
              <w:spacing w:line="276" w:lineRule="auto"/>
              <w:jc w:val="center"/>
              <w:rPr>
                <w:rFonts w:ascii="Times New Roman" w:eastAsia="Times New Roman" w:hAnsi="Times New Roman"/>
                <w:i/>
                <w:sz w:val="16"/>
                <w:szCs w:val="16"/>
              </w:rPr>
            </w:pPr>
            <w:r w:rsidRPr="00CE6921">
              <w:rPr>
                <w:rFonts w:ascii="Times New Roman" w:eastAsia="Times New Roman" w:hAnsi="Times New Roman"/>
                <w:sz w:val="16"/>
                <w:szCs w:val="16"/>
              </w:rPr>
              <w:t xml:space="preserve">Plānotais tarifs, </w:t>
            </w:r>
            <w:r>
              <w:rPr>
                <w:rFonts w:ascii="Times New Roman" w:eastAsia="Times New Roman" w:hAnsi="Times New Roman"/>
                <w:i/>
                <w:sz w:val="16"/>
                <w:szCs w:val="16"/>
              </w:rPr>
              <w:t>euro</w:t>
            </w:r>
          </w:p>
        </w:tc>
        <w:tc>
          <w:tcPr>
            <w:tcW w:w="1229" w:type="dxa"/>
            <w:shd w:val="clear" w:color="auto" w:fill="E36C0A" w:themeFill="accent6" w:themeFillShade="BF"/>
            <w:vAlign w:val="center"/>
          </w:tcPr>
          <w:p w14:paraId="612C58FF" w14:textId="77777777" w:rsidR="00776606" w:rsidRPr="00CE6921" w:rsidRDefault="00776606"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prognozējamais finansējums 2019.gadam, euro</w:t>
            </w:r>
          </w:p>
        </w:tc>
        <w:tc>
          <w:tcPr>
            <w:tcW w:w="1129" w:type="dxa"/>
            <w:shd w:val="clear" w:color="auto" w:fill="E36C0A" w:themeFill="accent6" w:themeFillShade="BF"/>
            <w:vAlign w:val="center"/>
          </w:tcPr>
          <w:p w14:paraId="7D5F1237" w14:textId="4AD2D748" w:rsidR="00776606" w:rsidRPr="00E93259" w:rsidRDefault="00776606" w:rsidP="00972B28">
            <w:pPr>
              <w:spacing w:line="276" w:lineRule="auto"/>
              <w:jc w:val="center"/>
              <w:rPr>
                <w:rFonts w:ascii="Times New Roman" w:eastAsia="Times New Roman" w:hAnsi="Times New Roman"/>
                <w:i/>
                <w:sz w:val="16"/>
                <w:szCs w:val="16"/>
              </w:rPr>
            </w:pPr>
            <w:r w:rsidRPr="00CE6921">
              <w:rPr>
                <w:rFonts w:ascii="Times New Roman" w:eastAsia="Times New Roman" w:hAnsi="Times New Roman"/>
                <w:sz w:val="16"/>
                <w:szCs w:val="16"/>
              </w:rPr>
              <w:t>Pacientu iemaksas kompensācija par atbrīvotajām kategorijām 2019.gadam</w:t>
            </w:r>
            <w:r>
              <w:rPr>
                <w:rFonts w:ascii="Times New Roman" w:eastAsia="Times New Roman" w:hAnsi="Times New Roman"/>
                <w:sz w:val="16"/>
                <w:szCs w:val="16"/>
              </w:rPr>
              <w:t xml:space="preserve">, </w:t>
            </w:r>
            <w:r>
              <w:rPr>
                <w:rFonts w:ascii="Times New Roman" w:eastAsia="Times New Roman" w:hAnsi="Times New Roman"/>
                <w:i/>
                <w:sz w:val="16"/>
                <w:szCs w:val="16"/>
              </w:rPr>
              <w:t>euro</w:t>
            </w:r>
          </w:p>
        </w:tc>
        <w:tc>
          <w:tcPr>
            <w:tcW w:w="1030" w:type="dxa"/>
            <w:shd w:val="clear" w:color="auto" w:fill="E36C0A" w:themeFill="accent6" w:themeFillShade="BF"/>
            <w:vAlign w:val="center"/>
          </w:tcPr>
          <w:p w14:paraId="32279C99" w14:textId="50780B41" w:rsidR="00776606" w:rsidRPr="00E93259" w:rsidRDefault="00776606" w:rsidP="00776606">
            <w:pPr>
              <w:jc w:val="center"/>
              <w:rPr>
                <w:rFonts w:ascii="Times New Roman" w:eastAsia="Times New Roman" w:hAnsi="Times New Roman"/>
                <w:i/>
                <w:sz w:val="16"/>
                <w:szCs w:val="16"/>
              </w:rPr>
            </w:pPr>
            <w:r>
              <w:rPr>
                <w:rFonts w:ascii="Times New Roman" w:eastAsia="Times New Roman" w:hAnsi="Times New Roman"/>
                <w:sz w:val="16"/>
                <w:szCs w:val="16"/>
              </w:rPr>
              <w:t xml:space="preserve">2018.gada finansējums, </w:t>
            </w:r>
            <w:r>
              <w:rPr>
                <w:rFonts w:ascii="Times New Roman" w:eastAsia="Times New Roman" w:hAnsi="Times New Roman"/>
                <w:i/>
                <w:sz w:val="16"/>
                <w:szCs w:val="16"/>
              </w:rPr>
              <w:t>euro</w:t>
            </w:r>
          </w:p>
        </w:tc>
        <w:tc>
          <w:tcPr>
            <w:tcW w:w="1185" w:type="dxa"/>
            <w:shd w:val="clear" w:color="auto" w:fill="E36C0A" w:themeFill="accent6" w:themeFillShade="BF"/>
            <w:vAlign w:val="center"/>
          </w:tcPr>
          <w:p w14:paraId="434AB12E" w14:textId="69851947" w:rsidR="00776606" w:rsidRPr="00CE6921" w:rsidRDefault="00776606"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 kopā</w:t>
            </w:r>
            <w:r>
              <w:rPr>
                <w:rFonts w:ascii="Times New Roman" w:eastAsia="Times New Roman" w:hAnsi="Times New Roman"/>
                <w:sz w:val="16"/>
                <w:szCs w:val="16"/>
              </w:rPr>
              <w:t xml:space="preserve"> </w:t>
            </w:r>
            <w:r w:rsidRPr="00E93259">
              <w:rPr>
                <w:rFonts w:ascii="Times New Roman" w:eastAsia="Times New Roman" w:hAnsi="Times New Roman"/>
                <w:i/>
                <w:sz w:val="16"/>
                <w:szCs w:val="16"/>
              </w:rPr>
              <w:t>euro</w:t>
            </w:r>
          </w:p>
        </w:tc>
        <w:tc>
          <w:tcPr>
            <w:tcW w:w="1198" w:type="dxa"/>
            <w:shd w:val="clear" w:color="auto" w:fill="E36C0A" w:themeFill="accent6" w:themeFillShade="BF"/>
            <w:vAlign w:val="center"/>
          </w:tcPr>
          <w:p w14:paraId="237C0C73" w14:textId="69724487" w:rsidR="00776606" w:rsidRPr="00E93259" w:rsidRDefault="00776606" w:rsidP="00972B28">
            <w:pPr>
              <w:spacing w:line="276" w:lineRule="auto"/>
              <w:jc w:val="center"/>
              <w:rPr>
                <w:rFonts w:ascii="Times New Roman" w:eastAsia="Times New Roman" w:hAnsi="Times New Roman"/>
                <w:i/>
                <w:sz w:val="16"/>
                <w:szCs w:val="16"/>
              </w:rPr>
            </w:pPr>
            <w:r w:rsidRPr="00CE6921">
              <w:rPr>
                <w:rFonts w:ascii="Times New Roman" w:eastAsia="Times New Roman" w:hAnsi="Times New Roman"/>
                <w:sz w:val="16"/>
                <w:szCs w:val="16"/>
              </w:rPr>
              <w:t>Papildus nepieciešamais finansējums  sākot no 2019.gada 1.</w:t>
            </w:r>
            <w:r>
              <w:rPr>
                <w:rFonts w:ascii="Times New Roman" w:eastAsia="Times New Roman" w:hAnsi="Times New Roman"/>
                <w:sz w:val="16"/>
                <w:szCs w:val="16"/>
              </w:rPr>
              <w:t xml:space="preserve">aprīļa </w:t>
            </w:r>
            <w:r>
              <w:rPr>
                <w:rFonts w:ascii="Times New Roman" w:eastAsia="Times New Roman" w:hAnsi="Times New Roman"/>
                <w:i/>
                <w:sz w:val="16"/>
                <w:szCs w:val="16"/>
              </w:rPr>
              <w:t>euro</w:t>
            </w:r>
          </w:p>
        </w:tc>
      </w:tr>
      <w:tr w:rsidR="002A7CB3" w:rsidRPr="00CE6921" w14:paraId="05DA6E9F" w14:textId="77777777" w:rsidTr="008E0B7B">
        <w:trPr>
          <w:jc w:val="center"/>
        </w:trPr>
        <w:tc>
          <w:tcPr>
            <w:tcW w:w="1850" w:type="dxa"/>
            <w:shd w:val="clear" w:color="auto" w:fill="auto"/>
          </w:tcPr>
          <w:p w14:paraId="0CE5E159" w14:textId="5C58A4DE"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Papildus 0.3 slodzes  darbam dienas stacionārā esošam apjomam,  strādājot ar pacientiem ar garīgiem un psihiskiem traucējumiem</w:t>
            </w:r>
          </w:p>
        </w:tc>
        <w:tc>
          <w:tcPr>
            <w:tcW w:w="954" w:type="dxa"/>
            <w:shd w:val="clear" w:color="auto" w:fill="auto"/>
            <w:vAlign w:val="center"/>
          </w:tcPr>
          <w:p w14:paraId="6A02C1B6" w14:textId="4FB9C78B"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68 669</w:t>
            </w:r>
          </w:p>
        </w:tc>
        <w:tc>
          <w:tcPr>
            <w:tcW w:w="803" w:type="dxa"/>
            <w:shd w:val="clear" w:color="auto" w:fill="auto"/>
            <w:vAlign w:val="center"/>
          </w:tcPr>
          <w:p w14:paraId="06CE4DAB" w14:textId="2528F2BE"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3,2</w:t>
            </w:r>
          </w:p>
        </w:tc>
        <w:tc>
          <w:tcPr>
            <w:tcW w:w="1229" w:type="dxa"/>
            <w:shd w:val="clear" w:color="auto" w:fill="auto"/>
            <w:vAlign w:val="center"/>
          </w:tcPr>
          <w:p w14:paraId="338657D6" w14:textId="2EF5354C"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219 741</w:t>
            </w:r>
          </w:p>
        </w:tc>
        <w:tc>
          <w:tcPr>
            <w:tcW w:w="1129" w:type="dxa"/>
            <w:shd w:val="clear" w:color="auto" w:fill="auto"/>
            <w:vAlign w:val="center"/>
          </w:tcPr>
          <w:p w14:paraId="43E487DB" w14:textId="77777777" w:rsidR="002A7CB3" w:rsidRPr="00CE6921" w:rsidRDefault="002A7CB3" w:rsidP="002A7CB3">
            <w:pPr>
              <w:jc w:val="center"/>
              <w:rPr>
                <w:rFonts w:ascii="Times New Roman" w:eastAsia="Times New Roman" w:hAnsi="Times New Roman"/>
                <w:sz w:val="16"/>
                <w:szCs w:val="16"/>
              </w:rPr>
            </w:pPr>
          </w:p>
        </w:tc>
        <w:tc>
          <w:tcPr>
            <w:tcW w:w="1030" w:type="dxa"/>
            <w:shd w:val="clear" w:color="auto" w:fill="auto"/>
            <w:vAlign w:val="center"/>
          </w:tcPr>
          <w:p w14:paraId="313CB19A" w14:textId="77777777" w:rsidR="002A7CB3" w:rsidRDefault="002A7CB3" w:rsidP="002A7CB3">
            <w:pPr>
              <w:jc w:val="center"/>
              <w:rPr>
                <w:rFonts w:ascii="Times New Roman" w:eastAsia="Times New Roman" w:hAnsi="Times New Roman"/>
                <w:sz w:val="16"/>
                <w:szCs w:val="16"/>
              </w:rPr>
            </w:pPr>
          </w:p>
        </w:tc>
        <w:tc>
          <w:tcPr>
            <w:tcW w:w="1185" w:type="dxa"/>
            <w:shd w:val="clear" w:color="auto" w:fill="auto"/>
            <w:vAlign w:val="center"/>
          </w:tcPr>
          <w:p w14:paraId="00764102" w14:textId="100A6906"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219 741</w:t>
            </w:r>
          </w:p>
        </w:tc>
        <w:tc>
          <w:tcPr>
            <w:tcW w:w="1198" w:type="dxa"/>
            <w:shd w:val="clear" w:color="auto" w:fill="auto"/>
            <w:vAlign w:val="center"/>
          </w:tcPr>
          <w:p w14:paraId="53A897F5" w14:textId="7A6BB86F"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164 806</w:t>
            </w:r>
          </w:p>
        </w:tc>
      </w:tr>
      <w:tr w:rsidR="002A7CB3" w:rsidRPr="00CE6921" w14:paraId="60DD7F67" w14:textId="77777777" w:rsidTr="008E0B7B">
        <w:trPr>
          <w:jc w:val="center"/>
        </w:trPr>
        <w:tc>
          <w:tcPr>
            <w:tcW w:w="1850" w:type="dxa"/>
            <w:shd w:val="clear" w:color="auto" w:fill="auto"/>
          </w:tcPr>
          <w:p w14:paraId="4DCFB378" w14:textId="654EE1BE"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Nodrošinot pakalpojumu pieejamības pieaugumu par 20%</w:t>
            </w:r>
            <w:r w:rsidR="00FE6739">
              <w:rPr>
                <w:rFonts w:ascii="Times New Roman" w:eastAsia="Times New Roman" w:hAnsi="Times New Roman"/>
                <w:sz w:val="18"/>
                <w:szCs w:val="18"/>
                <w:lang w:val="en-US"/>
              </w:rPr>
              <w:t>*</w:t>
            </w:r>
          </w:p>
        </w:tc>
        <w:tc>
          <w:tcPr>
            <w:tcW w:w="954" w:type="dxa"/>
            <w:shd w:val="clear" w:color="auto" w:fill="auto"/>
            <w:vAlign w:val="center"/>
          </w:tcPr>
          <w:p w14:paraId="3424D3F8" w14:textId="46B2F1EE"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13 734</w:t>
            </w:r>
          </w:p>
        </w:tc>
        <w:tc>
          <w:tcPr>
            <w:tcW w:w="803" w:type="dxa"/>
            <w:shd w:val="clear" w:color="auto" w:fill="auto"/>
            <w:vAlign w:val="center"/>
          </w:tcPr>
          <w:p w14:paraId="03E48E9D" w14:textId="59F813EC"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20,18</w:t>
            </w:r>
          </w:p>
        </w:tc>
        <w:tc>
          <w:tcPr>
            <w:tcW w:w="1229" w:type="dxa"/>
            <w:shd w:val="clear" w:color="auto" w:fill="auto"/>
            <w:vAlign w:val="center"/>
          </w:tcPr>
          <w:p w14:paraId="723FD561" w14:textId="1D21241F"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277 152</w:t>
            </w:r>
          </w:p>
        </w:tc>
        <w:tc>
          <w:tcPr>
            <w:tcW w:w="1129" w:type="dxa"/>
            <w:shd w:val="clear" w:color="auto" w:fill="auto"/>
            <w:vAlign w:val="center"/>
          </w:tcPr>
          <w:p w14:paraId="15E9DADC" w14:textId="1B737582"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97 649</w:t>
            </w:r>
          </w:p>
        </w:tc>
        <w:tc>
          <w:tcPr>
            <w:tcW w:w="1030" w:type="dxa"/>
            <w:shd w:val="clear" w:color="auto" w:fill="auto"/>
            <w:vAlign w:val="center"/>
          </w:tcPr>
          <w:p w14:paraId="477DDDB2" w14:textId="77777777" w:rsidR="002A7CB3" w:rsidRDefault="002A7CB3" w:rsidP="002A7CB3">
            <w:pPr>
              <w:jc w:val="center"/>
              <w:rPr>
                <w:rFonts w:ascii="Times New Roman" w:eastAsia="Times New Roman" w:hAnsi="Times New Roman"/>
                <w:sz w:val="16"/>
                <w:szCs w:val="16"/>
              </w:rPr>
            </w:pPr>
          </w:p>
        </w:tc>
        <w:tc>
          <w:tcPr>
            <w:tcW w:w="1185" w:type="dxa"/>
            <w:shd w:val="clear" w:color="auto" w:fill="auto"/>
            <w:vAlign w:val="center"/>
          </w:tcPr>
          <w:p w14:paraId="42AEE336" w14:textId="376FB134"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374 801</w:t>
            </w:r>
          </w:p>
        </w:tc>
        <w:tc>
          <w:tcPr>
            <w:tcW w:w="1198" w:type="dxa"/>
            <w:shd w:val="clear" w:color="auto" w:fill="auto"/>
            <w:vAlign w:val="center"/>
          </w:tcPr>
          <w:p w14:paraId="4A4F5786" w14:textId="52EDDB7A" w:rsidR="002A7CB3" w:rsidRPr="00CE6921" w:rsidRDefault="002A7CB3" w:rsidP="002A7CB3">
            <w:pPr>
              <w:jc w:val="center"/>
              <w:rPr>
                <w:rFonts w:ascii="Times New Roman" w:eastAsia="Times New Roman" w:hAnsi="Times New Roman"/>
                <w:sz w:val="16"/>
                <w:szCs w:val="16"/>
              </w:rPr>
            </w:pPr>
            <w:r>
              <w:rPr>
                <w:rFonts w:ascii="Times New Roman" w:eastAsia="Times New Roman" w:hAnsi="Times New Roman"/>
                <w:sz w:val="18"/>
                <w:szCs w:val="18"/>
                <w:lang w:val="en-US"/>
              </w:rPr>
              <w:t>281 101</w:t>
            </w:r>
          </w:p>
        </w:tc>
      </w:tr>
      <w:tr w:rsidR="002A7CB3" w:rsidRPr="00330A34" w14:paraId="64A8464D" w14:textId="77777777" w:rsidTr="008E0B7B">
        <w:trPr>
          <w:trHeight w:val="433"/>
          <w:jc w:val="center"/>
        </w:trPr>
        <w:tc>
          <w:tcPr>
            <w:tcW w:w="1850" w:type="dxa"/>
            <w:vAlign w:val="center"/>
          </w:tcPr>
          <w:p w14:paraId="5140AE45" w14:textId="3DA24E36" w:rsidR="002A7CB3" w:rsidRPr="00330A34" w:rsidRDefault="002A7CB3" w:rsidP="002A7CB3">
            <w:pPr>
              <w:spacing w:line="276" w:lineRule="auto"/>
              <w:jc w:val="center"/>
              <w:rPr>
                <w:rFonts w:ascii="Times New Roman" w:eastAsia="Times New Roman" w:hAnsi="Times New Roman"/>
                <w:sz w:val="18"/>
                <w:szCs w:val="18"/>
              </w:rPr>
            </w:pPr>
            <w:r>
              <w:rPr>
                <w:rFonts w:ascii="Times New Roman" w:eastAsia="Times New Roman" w:hAnsi="Times New Roman"/>
                <w:sz w:val="18"/>
                <w:szCs w:val="18"/>
                <w:lang w:val="en-US"/>
              </w:rPr>
              <w:t>Kopā</w:t>
            </w:r>
          </w:p>
        </w:tc>
        <w:tc>
          <w:tcPr>
            <w:tcW w:w="954" w:type="dxa"/>
            <w:vAlign w:val="center"/>
          </w:tcPr>
          <w:p w14:paraId="396A5FCA" w14:textId="169F4C1B" w:rsidR="002A7CB3" w:rsidRPr="00330A34" w:rsidRDefault="002A7CB3" w:rsidP="002A7CB3">
            <w:pPr>
              <w:spacing w:line="276" w:lineRule="auto"/>
              <w:jc w:val="center"/>
              <w:rPr>
                <w:rFonts w:ascii="Times New Roman" w:eastAsia="Times New Roman" w:hAnsi="Times New Roman"/>
                <w:sz w:val="18"/>
                <w:szCs w:val="18"/>
              </w:rPr>
            </w:pPr>
            <w:r>
              <w:rPr>
                <w:rFonts w:ascii="Times New Roman" w:eastAsia="Times New Roman" w:hAnsi="Times New Roman"/>
                <w:sz w:val="18"/>
                <w:szCs w:val="18"/>
                <w:lang w:val="en-US"/>
              </w:rPr>
              <w:t>82 403</w:t>
            </w:r>
          </w:p>
        </w:tc>
        <w:tc>
          <w:tcPr>
            <w:tcW w:w="803" w:type="dxa"/>
            <w:vAlign w:val="center"/>
          </w:tcPr>
          <w:p w14:paraId="40E9903D" w14:textId="78375D28" w:rsidR="002A7CB3" w:rsidRPr="00330A34" w:rsidRDefault="002A7CB3" w:rsidP="002A7CB3">
            <w:pPr>
              <w:jc w:val="center"/>
              <w:rPr>
                <w:rFonts w:ascii="Times New Roman" w:eastAsia="Times New Roman" w:hAnsi="Times New Roman"/>
                <w:sz w:val="18"/>
                <w:szCs w:val="18"/>
              </w:rPr>
            </w:pPr>
            <w:r>
              <w:rPr>
                <w:rFonts w:ascii="Times New Roman" w:hAnsi="Times New Roman"/>
                <w:sz w:val="18"/>
                <w:szCs w:val="18"/>
                <w:lang w:val="en-US"/>
              </w:rPr>
              <w:t>6,03</w:t>
            </w:r>
          </w:p>
        </w:tc>
        <w:tc>
          <w:tcPr>
            <w:tcW w:w="1229" w:type="dxa"/>
            <w:vAlign w:val="center"/>
          </w:tcPr>
          <w:p w14:paraId="5B4F556A" w14:textId="65077588"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496 893</w:t>
            </w:r>
          </w:p>
        </w:tc>
        <w:tc>
          <w:tcPr>
            <w:tcW w:w="1129" w:type="dxa"/>
            <w:vAlign w:val="center"/>
          </w:tcPr>
          <w:p w14:paraId="0D8CBADF" w14:textId="6A34C10A" w:rsidR="002A7CB3" w:rsidRPr="00330A34" w:rsidRDefault="002A7CB3" w:rsidP="002A7CB3">
            <w:pPr>
              <w:spacing w:line="276" w:lineRule="auto"/>
              <w:jc w:val="center"/>
              <w:rPr>
                <w:rFonts w:ascii="Times New Roman" w:eastAsia="Times New Roman" w:hAnsi="Times New Roman"/>
                <w:sz w:val="18"/>
                <w:szCs w:val="18"/>
              </w:rPr>
            </w:pPr>
            <w:r>
              <w:rPr>
                <w:rFonts w:ascii="Times New Roman" w:eastAsia="Times New Roman" w:hAnsi="Times New Roman"/>
                <w:sz w:val="18"/>
                <w:szCs w:val="18"/>
                <w:lang w:val="en-US"/>
              </w:rPr>
              <w:t>97 649</w:t>
            </w:r>
          </w:p>
        </w:tc>
        <w:tc>
          <w:tcPr>
            <w:tcW w:w="1030" w:type="dxa"/>
            <w:vAlign w:val="center"/>
          </w:tcPr>
          <w:p w14:paraId="499B4B87" w14:textId="04DE8649" w:rsidR="002A7CB3" w:rsidRDefault="002A7CB3" w:rsidP="002A7CB3">
            <w:pPr>
              <w:jc w:val="center"/>
              <w:rPr>
                <w:rFonts w:ascii="Times New Roman" w:eastAsia="Times New Roman" w:hAnsi="Times New Roman"/>
                <w:sz w:val="18"/>
                <w:szCs w:val="18"/>
              </w:rPr>
            </w:pPr>
            <w:r>
              <w:rPr>
                <w:rFonts w:ascii="Times New Roman" w:eastAsia="Times New Roman" w:hAnsi="Times New Roman"/>
                <w:lang w:val="en-US" w:eastAsia="lv-LV"/>
              </w:rPr>
              <w:t>1 318 995</w:t>
            </w:r>
          </w:p>
        </w:tc>
        <w:tc>
          <w:tcPr>
            <w:tcW w:w="1185" w:type="dxa"/>
            <w:vAlign w:val="center"/>
          </w:tcPr>
          <w:p w14:paraId="6AE9BE0C" w14:textId="67D25657"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594 542</w:t>
            </w:r>
          </w:p>
        </w:tc>
        <w:tc>
          <w:tcPr>
            <w:tcW w:w="1198" w:type="dxa"/>
            <w:vAlign w:val="center"/>
          </w:tcPr>
          <w:p w14:paraId="242CC5AD" w14:textId="0B472DD0"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445 907</w:t>
            </w:r>
          </w:p>
        </w:tc>
      </w:tr>
    </w:tbl>
    <w:p w14:paraId="269DEA9D" w14:textId="01318B36" w:rsidR="00972B28" w:rsidRDefault="00FE6739" w:rsidP="00972B28">
      <w:pPr>
        <w:spacing w:after="0"/>
        <w:ind w:firstLine="720"/>
        <w:jc w:val="both"/>
        <w:rPr>
          <w:rFonts w:ascii="Times New Roman" w:eastAsia="Times New Roman" w:hAnsi="Times New Roman" w:cs="Times New Roman"/>
          <w:sz w:val="20"/>
          <w:szCs w:val="20"/>
        </w:rPr>
      </w:pPr>
      <w:r w:rsidRPr="00FE6739">
        <w:rPr>
          <w:rFonts w:ascii="Times New Roman" w:eastAsia="Times New Roman" w:hAnsi="Times New Roman" w:cs="Times New Roman"/>
          <w:sz w:val="20"/>
          <w:szCs w:val="20"/>
        </w:rPr>
        <w:t xml:space="preserve">*Izvērtējot esošo psihiatru skaitu un iestāžu kapacitāti ir </w:t>
      </w:r>
      <w:r>
        <w:rPr>
          <w:rFonts w:ascii="Times New Roman" w:eastAsia="Times New Roman" w:hAnsi="Times New Roman" w:cs="Times New Roman"/>
          <w:sz w:val="20"/>
          <w:szCs w:val="20"/>
        </w:rPr>
        <w:t>novērtēts</w:t>
      </w:r>
      <w:r w:rsidRPr="00FE6739">
        <w:rPr>
          <w:rFonts w:ascii="Times New Roman" w:eastAsia="Times New Roman" w:hAnsi="Times New Roman" w:cs="Times New Roman"/>
          <w:sz w:val="20"/>
          <w:szCs w:val="20"/>
        </w:rPr>
        <w:t>, ka 2019.gadā iespējams palielināt pakalpojumu pieejamību par 20%</w:t>
      </w:r>
    </w:p>
    <w:p w14:paraId="64B65A33" w14:textId="77777777" w:rsidR="00EE4CEE" w:rsidRPr="00FE6739" w:rsidRDefault="00EE4CEE" w:rsidP="00972B28">
      <w:pPr>
        <w:spacing w:after="0"/>
        <w:ind w:firstLine="720"/>
        <w:jc w:val="both"/>
        <w:rPr>
          <w:rFonts w:ascii="Times New Roman" w:eastAsia="Times New Roman" w:hAnsi="Times New Roman" w:cs="Times New Roman"/>
          <w:sz w:val="20"/>
          <w:szCs w:val="20"/>
        </w:rPr>
      </w:pPr>
    </w:p>
    <w:p w14:paraId="52253757" w14:textId="33564D22" w:rsidR="004C77A5" w:rsidRDefault="004C77A5" w:rsidP="00972B2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Indikatīvi nepieciešamais finansējums 2020.gadam </w:t>
      </w:r>
      <w:r w:rsidRPr="00E93259">
        <w:rPr>
          <w:rFonts w:ascii="Times New Roman" w:eastAsia="Times New Roman" w:hAnsi="Times New Roman"/>
          <w:bCs/>
          <w:sz w:val="24"/>
          <w:szCs w:val="24"/>
        </w:rPr>
        <w:t xml:space="preserve">psihiatrisko slimnieku ārstēšanai psihiatriskā profila dienas stacionārā, nodrošinot speciālistu piesaisti un palielinot pakalpojumu pieejamību </w:t>
      </w:r>
      <w:r w:rsidR="005F637B">
        <w:rPr>
          <w:rFonts w:ascii="Times New Roman" w:eastAsia="Times New Roman" w:hAnsi="Times New Roman"/>
          <w:bCs/>
          <w:sz w:val="24"/>
          <w:szCs w:val="24"/>
        </w:rPr>
        <w:t xml:space="preserve"> vēl </w:t>
      </w:r>
      <w:r w:rsidRPr="00E93259">
        <w:rPr>
          <w:rFonts w:ascii="Times New Roman" w:eastAsia="Times New Roman" w:hAnsi="Times New Roman"/>
          <w:bCs/>
          <w:sz w:val="24"/>
          <w:szCs w:val="24"/>
        </w:rPr>
        <w:t xml:space="preserve">par </w:t>
      </w:r>
      <w:r w:rsidR="005F637B">
        <w:rPr>
          <w:rFonts w:ascii="Times New Roman" w:eastAsia="Times New Roman" w:hAnsi="Times New Roman"/>
          <w:bCs/>
          <w:sz w:val="24"/>
          <w:szCs w:val="24"/>
        </w:rPr>
        <w:t>1</w:t>
      </w:r>
      <w:r w:rsidRPr="00E93259">
        <w:rPr>
          <w:rFonts w:ascii="Times New Roman" w:eastAsia="Times New Roman" w:hAnsi="Times New Roman"/>
          <w:bCs/>
          <w:sz w:val="24"/>
          <w:szCs w:val="24"/>
        </w:rPr>
        <w:t>0%</w:t>
      </w:r>
      <w:r>
        <w:rPr>
          <w:rFonts w:ascii="Times New Roman" w:eastAsia="Times New Roman" w:hAnsi="Times New Roman"/>
          <w:bCs/>
          <w:sz w:val="24"/>
          <w:szCs w:val="24"/>
        </w:rPr>
        <w:t xml:space="preserve"> </w:t>
      </w:r>
      <w:r w:rsidRPr="001E465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r </w:t>
      </w:r>
      <w:r w:rsidR="005F637B">
        <w:rPr>
          <w:rFonts w:ascii="Times New Roman" w:eastAsia="Times New Roman" w:hAnsi="Times New Roman" w:cs="Times New Roman"/>
          <w:sz w:val="24"/>
          <w:szCs w:val="24"/>
        </w:rPr>
        <w:t xml:space="preserve">nepieciešami </w:t>
      </w:r>
      <w:r>
        <w:rPr>
          <w:rFonts w:ascii="Times New Roman" w:eastAsia="Times New Roman" w:hAnsi="Times New Roman" w:cs="Times New Roman"/>
          <w:sz w:val="24"/>
          <w:szCs w:val="24"/>
        </w:rPr>
        <w:t xml:space="preserve">819 369 </w:t>
      </w:r>
      <w:r w:rsidRPr="00FA733E">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ņemot vērā, ka papildus speciālistu piesaiste un pakalpojumu pieejamības uzlabošana plānota pakāpeniski.</w:t>
      </w:r>
    </w:p>
    <w:p w14:paraId="511913A4" w14:textId="77777777" w:rsidR="004C77A5" w:rsidRDefault="004C77A5" w:rsidP="00972B28">
      <w:pPr>
        <w:spacing w:after="0"/>
        <w:ind w:firstLine="720"/>
        <w:jc w:val="both"/>
        <w:rPr>
          <w:rFonts w:ascii="Times New Roman" w:eastAsia="Times New Roman" w:hAnsi="Times New Roman" w:cs="Times New Roman"/>
          <w:sz w:val="24"/>
          <w:szCs w:val="24"/>
        </w:rPr>
      </w:pPr>
    </w:p>
    <w:p w14:paraId="133E5F6E" w14:textId="53355F27" w:rsidR="00972B28" w:rsidRPr="001D6901" w:rsidRDefault="00972B28" w:rsidP="00972B28">
      <w:pPr>
        <w:spacing w:after="0"/>
        <w:jc w:val="both"/>
        <w:rPr>
          <w:rFonts w:ascii="Times New Roman" w:eastAsia="Times New Roman" w:hAnsi="Times New Roman" w:cs="Times New Roman"/>
          <w:sz w:val="24"/>
          <w:szCs w:val="24"/>
        </w:rPr>
      </w:pPr>
      <w:r w:rsidRPr="005D6776">
        <w:rPr>
          <w:rFonts w:ascii="Times New Roman" w:eastAsia="Times New Roman" w:hAnsi="Times New Roman" w:cs="Times New Roman"/>
          <w:sz w:val="24"/>
          <w:szCs w:val="24"/>
          <w:u w:val="single"/>
        </w:rPr>
        <w:t>3.pasākums:</w:t>
      </w:r>
      <w:r>
        <w:rPr>
          <w:rFonts w:ascii="Times New Roman" w:eastAsia="Times New Roman" w:hAnsi="Times New Roman" w:cs="Times New Roman"/>
          <w:sz w:val="24"/>
          <w:szCs w:val="24"/>
        </w:rPr>
        <w:t xml:space="preserve"> </w:t>
      </w:r>
      <w:r w:rsidRPr="001D6901">
        <w:rPr>
          <w:rFonts w:ascii="Times New Roman" w:eastAsia="Times New Roman" w:hAnsi="Times New Roman" w:cs="Times New Roman"/>
          <w:sz w:val="24"/>
          <w:szCs w:val="24"/>
        </w:rPr>
        <w:t>Paplašināt nemedikamentozās ārstēšanas iespējas stacionārā, piesaistot papildus speciālistus</w:t>
      </w:r>
      <w:r w:rsidR="00B66F2A">
        <w:rPr>
          <w:rFonts w:ascii="Times New Roman" w:eastAsia="Times New Roman" w:hAnsi="Times New Roman" w:cs="Times New Roman"/>
          <w:sz w:val="24"/>
          <w:szCs w:val="24"/>
        </w:rPr>
        <w:t xml:space="preserve"> un</w:t>
      </w:r>
      <w:r w:rsidR="00152FD4" w:rsidRPr="00152FD4">
        <w:rPr>
          <w:rFonts w:ascii="Times New Roman" w:hAnsi="Times New Roman" w:cs="Times New Roman"/>
          <w:sz w:val="24"/>
          <w:szCs w:val="24"/>
        </w:rPr>
        <w:t xml:space="preserve"> </w:t>
      </w:r>
      <w:r w:rsidR="00B66F2A">
        <w:rPr>
          <w:rFonts w:ascii="Times New Roman" w:hAnsi="Times New Roman" w:cs="Times New Roman"/>
          <w:sz w:val="24"/>
          <w:szCs w:val="24"/>
        </w:rPr>
        <w:t>uzlabot</w:t>
      </w:r>
      <w:r w:rsidR="00152FD4" w:rsidRPr="00FA733E">
        <w:rPr>
          <w:rFonts w:ascii="Times New Roman" w:hAnsi="Times New Roman" w:cs="Times New Roman"/>
          <w:sz w:val="24"/>
          <w:szCs w:val="24"/>
        </w:rPr>
        <w:t xml:space="preserve"> veselības aprūpes pakalpojuma pieejamīb</w:t>
      </w:r>
      <w:r w:rsidR="00B66F2A">
        <w:rPr>
          <w:rFonts w:ascii="Times New Roman" w:hAnsi="Times New Roman" w:cs="Times New Roman"/>
          <w:sz w:val="24"/>
          <w:szCs w:val="24"/>
        </w:rPr>
        <w:t>u</w:t>
      </w:r>
      <w:r w:rsidR="00152FD4" w:rsidRPr="00FA733E">
        <w:rPr>
          <w:rFonts w:ascii="Times New Roman" w:hAnsi="Times New Roman" w:cs="Times New Roman"/>
          <w:sz w:val="24"/>
          <w:szCs w:val="24"/>
        </w:rPr>
        <w:t xml:space="preserve"> atbilstoši noteiktās slimnīcas līmenim</w:t>
      </w:r>
      <w:r w:rsidRPr="001D69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D6901">
        <w:rPr>
          <w:rFonts w:ascii="Times New Roman" w:eastAsia="Times New Roman" w:hAnsi="Times New Roman" w:cs="Times New Roman"/>
          <w:sz w:val="24"/>
          <w:szCs w:val="24"/>
        </w:rPr>
        <w:t>psihiatrus un garīgās veselības māsas, funkcionālos speciālistus, psihologus, sociālos darbiniekus un bērnu psihiatriskajā veselības aprūpē – arī sociālos pedagogus</w:t>
      </w:r>
      <w:r w:rsidR="007738E1">
        <w:rPr>
          <w:rFonts w:ascii="Times New Roman" w:eastAsia="Times New Roman" w:hAnsi="Times New Roman" w:cs="Times New Roman"/>
          <w:sz w:val="24"/>
          <w:szCs w:val="24"/>
        </w:rPr>
        <w:t xml:space="preserve">, tādejādi </w:t>
      </w:r>
      <w:r w:rsidR="007738E1">
        <w:rPr>
          <w:rFonts w:ascii="Times New Roman" w:eastAsia="Times New Roman" w:hAnsi="Times New Roman" w:cs="Times New Roman"/>
          <w:sz w:val="24"/>
          <w:szCs w:val="24"/>
        </w:rPr>
        <w:lastRenderedPageBreak/>
        <w:t>uzlabojot pakalpojumu pieejamību un laicīgāk novēršot potenciālos draudus sabiedrībai kopumā</w:t>
      </w:r>
      <w:r w:rsidR="00E118ED">
        <w:rPr>
          <w:rFonts w:ascii="Times New Roman" w:eastAsia="Times New Roman" w:hAnsi="Times New Roman" w:cs="Times New Roman"/>
          <w:sz w:val="24"/>
          <w:szCs w:val="24"/>
        </w:rPr>
        <w:t xml:space="preserve"> (99.</w:t>
      </w:r>
      <w:r w:rsidR="00B61E4A">
        <w:rPr>
          <w:rFonts w:ascii="Times New Roman" w:eastAsia="Times New Roman" w:hAnsi="Times New Roman" w:cs="Times New Roman"/>
          <w:sz w:val="24"/>
          <w:szCs w:val="24"/>
        </w:rPr>
        <w:t>tabula)</w:t>
      </w:r>
      <w:r w:rsidRPr="001D6901">
        <w:rPr>
          <w:rFonts w:ascii="Times New Roman" w:eastAsia="Times New Roman" w:hAnsi="Times New Roman" w:cs="Times New Roman"/>
          <w:sz w:val="24"/>
          <w:szCs w:val="24"/>
        </w:rPr>
        <w:t>.</w:t>
      </w:r>
    </w:p>
    <w:p w14:paraId="5ADFC2FF" w14:textId="44B52EBF" w:rsidR="00972B28" w:rsidRPr="00334D65" w:rsidRDefault="00972B28" w:rsidP="00972B28">
      <w:pPr>
        <w:spacing w:after="0"/>
        <w:ind w:firstLine="720"/>
        <w:jc w:val="both"/>
        <w:rPr>
          <w:rFonts w:ascii="Times New Roman" w:eastAsia="Times New Roman" w:hAnsi="Times New Roman" w:cs="Times New Roman"/>
          <w:b/>
          <w:sz w:val="24"/>
          <w:szCs w:val="24"/>
        </w:rPr>
      </w:pPr>
      <w:r w:rsidRPr="00E93259">
        <w:rPr>
          <w:rFonts w:ascii="Times New Roman" w:eastAsia="Times New Roman" w:hAnsi="Times New Roman" w:cs="Times New Roman"/>
          <w:sz w:val="24"/>
          <w:szCs w:val="24"/>
        </w:rPr>
        <w:t xml:space="preserve">Nepieciešamais finansējums </w:t>
      </w:r>
      <w:r w:rsidR="0058262A">
        <w:rPr>
          <w:rFonts w:ascii="Times New Roman" w:eastAsia="Times New Roman" w:hAnsi="Times New Roman" w:cs="Times New Roman"/>
          <w:sz w:val="24"/>
          <w:szCs w:val="24"/>
        </w:rPr>
        <w:t xml:space="preserve">no </w:t>
      </w:r>
      <w:r w:rsidRPr="00E93259">
        <w:rPr>
          <w:rFonts w:ascii="Times New Roman" w:eastAsia="Times New Roman" w:hAnsi="Times New Roman" w:cs="Times New Roman"/>
          <w:sz w:val="24"/>
          <w:szCs w:val="24"/>
        </w:rPr>
        <w:t>2019.gad</w:t>
      </w:r>
      <w:r w:rsidR="0058262A">
        <w:rPr>
          <w:rFonts w:ascii="Times New Roman" w:eastAsia="Times New Roman" w:hAnsi="Times New Roman" w:cs="Times New Roman"/>
          <w:sz w:val="24"/>
          <w:szCs w:val="24"/>
        </w:rPr>
        <w:t>a 1.aprīļa</w:t>
      </w:r>
      <w:r w:rsidRPr="00334D65">
        <w:rPr>
          <w:rFonts w:ascii="Times New Roman" w:eastAsia="Times New Roman" w:hAnsi="Times New Roman" w:cs="Times New Roman"/>
          <w:b/>
          <w:sz w:val="24"/>
          <w:szCs w:val="24"/>
        </w:rPr>
        <w:t xml:space="preserve"> </w:t>
      </w:r>
      <w:r w:rsidR="005617D7">
        <w:rPr>
          <w:rFonts w:ascii="Times New Roman" w:eastAsia="Times New Roman" w:hAnsi="Times New Roman" w:cs="Times New Roman"/>
          <w:b/>
          <w:sz w:val="24"/>
          <w:szCs w:val="24"/>
        </w:rPr>
        <w:t>3 </w:t>
      </w:r>
      <w:r w:rsidR="002A7CB3">
        <w:rPr>
          <w:rFonts w:ascii="Times New Roman" w:eastAsia="Times New Roman" w:hAnsi="Times New Roman" w:cs="Times New Roman"/>
          <w:b/>
          <w:sz w:val="24"/>
          <w:szCs w:val="24"/>
        </w:rPr>
        <w:t>668 068</w:t>
      </w:r>
      <w:r w:rsidRPr="00334D65">
        <w:rPr>
          <w:rFonts w:ascii="Times New Roman" w:eastAsia="Times New Roman" w:hAnsi="Times New Roman" w:cs="Times New Roman"/>
          <w:b/>
          <w:sz w:val="24"/>
          <w:szCs w:val="24"/>
        </w:rPr>
        <w:t xml:space="preserve"> </w:t>
      </w:r>
      <w:r w:rsidR="0053102E"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w:t>
      </w:r>
    </w:p>
    <w:p w14:paraId="554887C7" w14:textId="5ED8B150" w:rsidR="00972B28" w:rsidRDefault="00E118ED" w:rsidP="00E93259">
      <w:pPr>
        <w:spacing w:after="120"/>
        <w:ind w:firstLine="72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99</w:t>
      </w:r>
      <w:r w:rsidR="00972B28" w:rsidRPr="00E12849">
        <w:rPr>
          <w:rFonts w:ascii="Times New Roman" w:eastAsia="Times New Roman" w:hAnsi="Times New Roman" w:cs="Times New Roman"/>
          <w:i/>
          <w:iCs/>
          <w:sz w:val="24"/>
          <w:szCs w:val="24"/>
        </w:rPr>
        <w:t>.tabula</w:t>
      </w:r>
    </w:p>
    <w:p w14:paraId="60D46DDA" w14:textId="00FD42DF" w:rsidR="001524A4" w:rsidRPr="00E93259" w:rsidRDefault="001524A4" w:rsidP="00E93259">
      <w:pPr>
        <w:spacing w:after="120"/>
        <w:ind w:firstLine="720"/>
        <w:jc w:val="center"/>
        <w:rPr>
          <w:rFonts w:ascii="Times New Roman" w:eastAsia="Times New Roman" w:hAnsi="Times New Roman" w:cs="Times New Roman"/>
          <w:b/>
          <w:iCs/>
          <w:sz w:val="24"/>
          <w:szCs w:val="24"/>
        </w:rPr>
      </w:pPr>
      <w:r w:rsidRPr="00E93259">
        <w:rPr>
          <w:rFonts w:ascii="Times New Roman" w:eastAsia="Times New Roman" w:hAnsi="Times New Roman" w:cs="Times New Roman"/>
          <w:b/>
          <w:iCs/>
          <w:sz w:val="24"/>
          <w:szCs w:val="24"/>
        </w:rPr>
        <w:t xml:space="preserve">Nemedikamentozās ārstēšanas iespēju paplašināšanai </w:t>
      </w:r>
      <w:r>
        <w:rPr>
          <w:rFonts w:ascii="Times New Roman" w:eastAsia="Times New Roman" w:hAnsi="Times New Roman" w:cs="Times New Roman"/>
          <w:b/>
          <w:iCs/>
          <w:sz w:val="24"/>
          <w:szCs w:val="24"/>
        </w:rPr>
        <w:t xml:space="preserve">stacionārā </w:t>
      </w:r>
      <w:r w:rsidRPr="00E93259">
        <w:rPr>
          <w:rFonts w:ascii="Times New Roman" w:eastAsia="Times New Roman" w:hAnsi="Times New Roman" w:cs="Times New Roman"/>
          <w:b/>
          <w:iCs/>
          <w:sz w:val="24"/>
          <w:szCs w:val="24"/>
        </w:rPr>
        <w:t>nepieciešamais fina</w:t>
      </w:r>
      <w:r>
        <w:rPr>
          <w:rFonts w:ascii="Times New Roman" w:eastAsia="Times New Roman" w:hAnsi="Times New Roman" w:cs="Times New Roman"/>
          <w:b/>
          <w:iCs/>
          <w:sz w:val="24"/>
          <w:szCs w:val="24"/>
        </w:rPr>
        <w:t>n</w:t>
      </w:r>
      <w:r w:rsidRPr="00E93259">
        <w:rPr>
          <w:rFonts w:ascii="Times New Roman" w:eastAsia="Times New Roman" w:hAnsi="Times New Roman" w:cs="Times New Roman"/>
          <w:b/>
          <w:iCs/>
          <w:sz w:val="24"/>
          <w:szCs w:val="24"/>
        </w:rPr>
        <w:t>sējums</w:t>
      </w:r>
    </w:p>
    <w:tbl>
      <w:tblPr>
        <w:tblStyle w:val="TableGrid"/>
        <w:tblW w:w="9776" w:type="dxa"/>
        <w:jc w:val="center"/>
        <w:tblLayout w:type="fixed"/>
        <w:tblLook w:val="04A0" w:firstRow="1" w:lastRow="0" w:firstColumn="1" w:lastColumn="0" w:noHBand="0" w:noVBand="1"/>
      </w:tblPr>
      <w:tblGrid>
        <w:gridCol w:w="704"/>
        <w:gridCol w:w="1767"/>
        <w:gridCol w:w="1245"/>
        <w:gridCol w:w="1007"/>
        <w:gridCol w:w="1368"/>
        <w:gridCol w:w="1169"/>
        <w:gridCol w:w="1276"/>
        <w:gridCol w:w="1240"/>
      </w:tblGrid>
      <w:tr w:rsidR="00D05E0C" w:rsidRPr="00CE6921" w14:paraId="1F676537" w14:textId="77777777" w:rsidTr="008E0B7B">
        <w:trPr>
          <w:jc w:val="center"/>
        </w:trPr>
        <w:tc>
          <w:tcPr>
            <w:tcW w:w="704" w:type="dxa"/>
            <w:shd w:val="clear" w:color="auto" w:fill="E36C0A" w:themeFill="accent6" w:themeFillShade="BF"/>
            <w:vAlign w:val="center"/>
          </w:tcPr>
          <w:p w14:paraId="4B18895C" w14:textId="34142F27" w:rsidR="00D05E0C" w:rsidRPr="00CE6921" w:rsidRDefault="00D05E0C" w:rsidP="00972B28">
            <w:pPr>
              <w:jc w:val="center"/>
              <w:rPr>
                <w:rFonts w:ascii="Times New Roman" w:eastAsia="Times New Roman" w:hAnsi="Times New Roman"/>
                <w:sz w:val="16"/>
                <w:szCs w:val="16"/>
              </w:rPr>
            </w:pPr>
            <w:r>
              <w:rPr>
                <w:rFonts w:ascii="Times New Roman" w:eastAsia="Times New Roman" w:hAnsi="Times New Roman"/>
                <w:sz w:val="16"/>
                <w:szCs w:val="16"/>
              </w:rPr>
              <w:t xml:space="preserve">N.P.K. </w:t>
            </w:r>
          </w:p>
        </w:tc>
        <w:tc>
          <w:tcPr>
            <w:tcW w:w="1767" w:type="dxa"/>
            <w:shd w:val="clear" w:color="auto" w:fill="E36C0A" w:themeFill="accent6" w:themeFillShade="BF"/>
            <w:vAlign w:val="center"/>
          </w:tcPr>
          <w:p w14:paraId="5A8DC0A6" w14:textId="120774CA" w:rsidR="00D05E0C" w:rsidRPr="00CE6921" w:rsidRDefault="00D05E0C"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w:t>
            </w:r>
            <w:r>
              <w:rPr>
                <w:rFonts w:ascii="Times New Roman" w:eastAsia="Times New Roman" w:hAnsi="Times New Roman"/>
                <w:sz w:val="16"/>
                <w:szCs w:val="16"/>
              </w:rPr>
              <w:t>asākums</w:t>
            </w:r>
          </w:p>
        </w:tc>
        <w:tc>
          <w:tcPr>
            <w:tcW w:w="1245" w:type="dxa"/>
            <w:shd w:val="clear" w:color="auto" w:fill="E36C0A" w:themeFill="accent6" w:themeFillShade="BF"/>
            <w:vAlign w:val="center"/>
          </w:tcPr>
          <w:p w14:paraId="0B24749A" w14:textId="77777777" w:rsidR="00D05E0C" w:rsidRPr="00CE6921" w:rsidRDefault="00D05E0C"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manipulāciju skaits/Plānotais gultasdienu skaits 2018.g. līgumos</w:t>
            </w:r>
          </w:p>
        </w:tc>
        <w:tc>
          <w:tcPr>
            <w:tcW w:w="1007" w:type="dxa"/>
            <w:shd w:val="clear" w:color="auto" w:fill="E36C0A" w:themeFill="accent6" w:themeFillShade="BF"/>
            <w:vAlign w:val="center"/>
          </w:tcPr>
          <w:p w14:paraId="1099F8B0" w14:textId="77777777" w:rsidR="00D05E0C" w:rsidRPr="00CE6921" w:rsidRDefault="00D05E0C"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Tarifs /Izmaiņas gultasdienas tarifā</w:t>
            </w:r>
          </w:p>
        </w:tc>
        <w:tc>
          <w:tcPr>
            <w:tcW w:w="1368" w:type="dxa"/>
            <w:shd w:val="clear" w:color="auto" w:fill="E36C0A" w:themeFill="accent6" w:themeFillShade="BF"/>
            <w:vAlign w:val="center"/>
          </w:tcPr>
          <w:p w14:paraId="7DE62903" w14:textId="77777777" w:rsidR="00D05E0C" w:rsidRPr="00CE6921" w:rsidRDefault="00D05E0C"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 xml:space="preserve">Pakalpojuma prognozējamais finansējums 2019.gadam, </w:t>
            </w:r>
            <w:r w:rsidRPr="008E0B7B">
              <w:rPr>
                <w:rFonts w:ascii="Times New Roman" w:eastAsia="Times New Roman" w:hAnsi="Times New Roman"/>
                <w:i/>
                <w:sz w:val="16"/>
                <w:szCs w:val="16"/>
              </w:rPr>
              <w:t>euro</w:t>
            </w:r>
          </w:p>
        </w:tc>
        <w:tc>
          <w:tcPr>
            <w:tcW w:w="1169" w:type="dxa"/>
            <w:shd w:val="clear" w:color="auto" w:fill="E36C0A" w:themeFill="accent6" w:themeFillShade="BF"/>
            <w:vAlign w:val="center"/>
          </w:tcPr>
          <w:p w14:paraId="01C05752" w14:textId="77777777" w:rsidR="00D05E0C" w:rsidRPr="00CE6921" w:rsidRDefault="00D05E0C"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 xml:space="preserve">2018.gada finansējums, </w:t>
            </w:r>
            <w:r w:rsidRPr="008E0B7B">
              <w:rPr>
                <w:rFonts w:ascii="Times New Roman" w:eastAsia="Times New Roman" w:hAnsi="Times New Roman"/>
                <w:i/>
                <w:sz w:val="16"/>
                <w:szCs w:val="16"/>
              </w:rPr>
              <w:t>euro</w:t>
            </w:r>
          </w:p>
        </w:tc>
        <w:tc>
          <w:tcPr>
            <w:tcW w:w="1276" w:type="dxa"/>
            <w:shd w:val="clear" w:color="auto" w:fill="E36C0A" w:themeFill="accent6" w:themeFillShade="BF"/>
            <w:vAlign w:val="center"/>
          </w:tcPr>
          <w:p w14:paraId="4AE2A8C0" w14:textId="77777777" w:rsidR="00D05E0C" w:rsidRPr="00CE6921" w:rsidRDefault="00D05E0C"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w:t>
            </w:r>
          </w:p>
        </w:tc>
        <w:tc>
          <w:tcPr>
            <w:tcW w:w="1240" w:type="dxa"/>
            <w:shd w:val="clear" w:color="auto" w:fill="E36C0A" w:themeFill="accent6" w:themeFillShade="BF"/>
            <w:vAlign w:val="center"/>
          </w:tcPr>
          <w:p w14:paraId="74709DEC" w14:textId="431827CC" w:rsidR="00D05E0C" w:rsidRPr="00E93259" w:rsidRDefault="00D05E0C" w:rsidP="00972B28">
            <w:pPr>
              <w:spacing w:line="276" w:lineRule="auto"/>
              <w:jc w:val="center"/>
              <w:rPr>
                <w:rFonts w:ascii="Times New Roman" w:eastAsia="Times New Roman" w:hAnsi="Times New Roman"/>
                <w:i/>
                <w:sz w:val="16"/>
                <w:szCs w:val="16"/>
              </w:rPr>
            </w:pPr>
            <w:r w:rsidRPr="00CE6921">
              <w:rPr>
                <w:rFonts w:ascii="Times New Roman" w:eastAsia="Times New Roman" w:hAnsi="Times New Roman"/>
                <w:sz w:val="16"/>
                <w:szCs w:val="16"/>
              </w:rPr>
              <w:t>Papildus nepieciešamais finansējums sākot no 2019.gada 1.</w:t>
            </w:r>
            <w:r>
              <w:rPr>
                <w:rFonts w:ascii="Times New Roman" w:eastAsia="Times New Roman" w:hAnsi="Times New Roman"/>
                <w:sz w:val="16"/>
                <w:szCs w:val="16"/>
              </w:rPr>
              <w:t xml:space="preserve">aprīļa </w:t>
            </w:r>
            <w:r>
              <w:rPr>
                <w:rFonts w:ascii="Times New Roman" w:eastAsia="Times New Roman" w:hAnsi="Times New Roman"/>
                <w:i/>
                <w:sz w:val="16"/>
                <w:szCs w:val="16"/>
              </w:rPr>
              <w:t>euro</w:t>
            </w:r>
          </w:p>
        </w:tc>
      </w:tr>
      <w:tr w:rsidR="00D05E0C" w:rsidRPr="00330A34" w14:paraId="16045C17" w14:textId="77777777" w:rsidTr="008E0B7B">
        <w:trPr>
          <w:trHeight w:val="433"/>
          <w:jc w:val="center"/>
        </w:trPr>
        <w:tc>
          <w:tcPr>
            <w:tcW w:w="704" w:type="dxa"/>
          </w:tcPr>
          <w:p w14:paraId="6F140154" w14:textId="5ABB3C6B" w:rsidR="00D05E0C" w:rsidRPr="00330A34" w:rsidRDefault="00D05E0C" w:rsidP="00972B28">
            <w:pPr>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767" w:type="dxa"/>
          </w:tcPr>
          <w:p w14:paraId="5CA2B9D5" w14:textId="5E5E9F59" w:rsidR="00D05E0C" w:rsidRPr="00330A34" w:rsidRDefault="00D05E0C"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Multiprofesionālas rehabilitācijas komandas darba nodrošināšana stacionārā</w:t>
            </w:r>
          </w:p>
        </w:tc>
        <w:tc>
          <w:tcPr>
            <w:tcW w:w="1245" w:type="dxa"/>
            <w:vAlign w:val="center"/>
          </w:tcPr>
          <w:p w14:paraId="69C00BD3" w14:textId="77777777" w:rsidR="00D05E0C" w:rsidRPr="00330A34" w:rsidRDefault="00D05E0C" w:rsidP="00E91BDA">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23 976*</w:t>
            </w:r>
          </w:p>
        </w:tc>
        <w:tc>
          <w:tcPr>
            <w:tcW w:w="1007" w:type="dxa"/>
            <w:vAlign w:val="center"/>
          </w:tcPr>
          <w:p w14:paraId="079289A1" w14:textId="77777777" w:rsidR="00D05E0C" w:rsidRPr="00330A34" w:rsidRDefault="00D05E0C"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34,97**</w:t>
            </w:r>
          </w:p>
        </w:tc>
        <w:tc>
          <w:tcPr>
            <w:tcW w:w="1368" w:type="dxa"/>
            <w:vAlign w:val="center"/>
          </w:tcPr>
          <w:p w14:paraId="1BB68F27" w14:textId="77777777" w:rsidR="00D05E0C" w:rsidRPr="00330A34" w:rsidRDefault="00D05E0C"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838 441</w:t>
            </w:r>
          </w:p>
        </w:tc>
        <w:tc>
          <w:tcPr>
            <w:tcW w:w="1169" w:type="dxa"/>
            <w:vAlign w:val="center"/>
          </w:tcPr>
          <w:p w14:paraId="459E7E58" w14:textId="77777777" w:rsidR="00D05E0C" w:rsidRPr="00330A34" w:rsidRDefault="00D05E0C">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0</w:t>
            </w:r>
          </w:p>
        </w:tc>
        <w:tc>
          <w:tcPr>
            <w:tcW w:w="1276" w:type="dxa"/>
            <w:vAlign w:val="center"/>
          </w:tcPr>
          <w:p w14:paraId="6C61D221" w14:textId="095E05A6" w:rsidR="00D05E0C" w:rsidRPr="00330A34" w:rsidRDefault="00510276" w:rsidP="00E91BDA">
            <w:pPr>
              <w:jc w:val="center"/>
              <w:rPr>
                <w:rFonts w:ascii="Times New Roman" w:eastAsia="Times New Roman" w:hAnsi="Times New Roman"/>
                <w:sz w:val="18"/>
                <w:szCs w:val="18"/>
              </w:rPr>
            </w:pPr>
            <w:r>
              <w:rPr>
                <w:rFonts w:ascii="Times New Roman" w:eastAsia="Times New Roman" w:hAnsi="Times New Roman"/>
                <w:sz w:val="18"/>
                <w:szCs w:val="18"/>
              </w:rPr>
              <w:t>838 441</w:t>
            </w:r>
          </w:p>
        </w:tc>
        <w:tc>
          <w:tcPr>
            <w:tcW w:w="1240" w:type="dxa"/>
            <w:vAlign w:val="center"/>
          </w:tcPr>
          <w:p w14:paraId="7FC725DC" w14:textId="0BDB362F" w:rsidR="00D05E0C" w:rsidRPr="00330A34" w:rsidRDefault="00510276" w:rsidP="00E91BDA">
            <w:pPr>
              <w:jc w:val="center"/>
              <w:rPr>
                <w:rFonts w:ascii="Times New Roman" w:eastAsia="Times New Roman" w:hAnsi="Times New Roman"/>
                <w:sz w:val="18"/>
                <w:szCs w:val="18"/>
              </w:rPr>
            </w:pPr>
            <w:r>
              <w:rPr>
                <w:rFonts w:ascii="Times New Roman" w:eastAsia="Times New Roman" w:hAnsi="Times New Roman"/>
                <w:sz w:val="18"/>
                <w:szCs w:val="18"/>
              </w:rPr>
              <w:t>628 831</w:t>
            </w:r>
          </w:p>
        </w:tc>
      </w:tr>
      <w:tr w:rsidR="00B66F2A" w:rsidRPr="00330A34" w14:paraId="4D551BDE" w14:textId="77777777" w:rsidTr="008E0B7B">
        <w:trPr>
          <w:trHeight w:val="433"/>
          <w:jc w:val="center"/>
        </w:trPr>
        <w:tc>
          <w:tcPr>
            <w:tcW w:w="704" w:type="dxa"/>
          </w:tcPr>
          <w:p w14:paraId="7D61DF79" w14:textId="2CC2087D" w:rsidR="00B66F2A" w:rsidRDefault="002A7CB3" w:rsidP="00B66F2A">
            <w:pPr>
              <w:jc w:val="center"/>
              <w:rPr>
                <w:rFonts w:ascii="Times New Roman" w:eastAsia="Times New Roman" w:hAnsi="Times New Roman"/>
                <w:sz w:val="18"/>
                <w:szCs w:val="18"/>
              </w:rPr>
            </w:pPr>
            <w:r>
              <w:rPr>
                <w:rFonts w:ascii="Times New Roman" w:eastAsia="Times New Roman" w:hAnsi="Times New Roman"/>
                <w:sz w:val="18"/>
                <w:szCs w:val="18"/>
              </w:rPr>
              <w:t>2.</w:t>
            </w:r>
          </w:p>
        </w:tc>
        <w:tc>
          <w:tcPr>
            <w:tcW w:w="1767" w:type="dxa"/>
          </w:tcPr>
          <w:p w14:paraId="2EC7167A" w14:textId="4DCF717C" w:rsidR="00B66F2A" w:rsidRPr="00330A34" w:rsidRDefault="00B66F2A" w:rsidP="00B66F2A">
            <w:pPr>
              <w:jc w:val="center"/>
              <w:rPr>
                <w:rFonts w:ascii="Times New Roman" w:eastAsia="Times New Roman" w:hAnsi="Times New Roman"/>
                <w:sz w:val="18"/>
                <w:szCs w:val="18"/>
              </w:rPr>
            </w:pPr>
            <w:r w:rsidRPr="00330A34">
              <w:rPr>
                <w:rFonts w:ascii="Times New Roman" w:eastAsia="Times New Roman" w:hAnsi="Times New Roman"/>
                <w:sz w:val="18"/>
                <w:szCs w:val="18"/>
              </w:rPr>
              <w:t>Multiprofesionālas rehabilitācijas komandas darba nodrošināšana stacionārā</w:t>
            </w:r>
            <w:r>
              <w:rPr>
                <w:rFonts w:ascii="Times New Roman" w:eastAsia="Times New Roman" w:hAnsi="Times New Roman"/>
                <w:sz w:val="18"/>
                <w:szCs w:val="18"/>
              </w:rPr>
              <w:t>, nodrošināts stacionārās iestādēs, kurās nodrošināts tāmes finansējums***</w:t>
            </w:r>
          </w:p>
        </w:tc>
        <w:tc>
          <w:tcPr>
            <w:tcW w:w="1245" w:type="dxa"/>
            <w:vAlign w:val="center"/>
          </w:tcPr>
          <w:p w14:paraId="26B600FE" w14:textId="77777777" w:rsidR="00B66F2A" w:rsidRPr="00330A34" w:rsidRDefault="00B66F2A" w:rsidP="00B66F2A">
            <w:pPr>
              <w:jc w:val="center"/>
              <w:rPr>
                <w:rFonts w:ascii="Times New Roman" w:eastAsia="Times New Roman" w:hAnsi="Times New Roman"/>
                <w:sz w:val="18"/>
                <w:szCs w:val="18"/>
              </w:rPr>
            </w:pPr>
          </w:p>
        </w:tc>
        <w:tc>
          <w:tcPr>
            <w:tcW w:w="1007" w:type="dxa"/>
            <w:vAlign w:val="center"/>
          </w:tcPr>
          <w:p w14:paraId="2F50CC5E" w14:textId="77777777" w:rsidR="00B66F2A" w:rsidRPr="00330A34" w:rsidRDefault="00B66F2A" w:rsidP="00B66F2A">
            <w:pPr>
              <w:jc w:val="center"/>
              <w:rPr>
                <w:rFonts w:ascii="Times New Roman" w:eastAsia="Times New Roman" w:hAnsi="Times New Roman"/>
                <w:sz w:val="18"/>
                <w:szCs w:val="18"/>
              </w:rPr>
            </w:pPr>
          </w:p>
        </w:tc>
        <w:tc>
          <w:tcPr>
            <w:tcW w:w="1368" w:type="dxa"/>
            <w:vAlign w:val="center"/>
          </w:tcPr>
          <w:p w14:paraId="49BCFF8D" w14:textId="77777777" w:rsidR="00B66F2A" w:rsidRPr="00330A34" w:rsidRDefault="00B66F2A" w:rsidP="00B66F2A">
            <w:pPr>
              <w:jc w:val="center"/>
              <w:rPr>
                <w:rFonts w:ascii="Times New Roman" w:eastAsia="Times New Roman" w:hAnsi="Times New Roman"/>
                <w:sz w:val="18"/>
                <w:szCs w:val="18"/>
              </w:rPr>
            </w:pPr>
          </w:p>
        </w:tc>
        <w:tc>
          <w:tcPr>
            <w:tcW w:w="1169" w:type="dxa"/>
            <w:vAlign w:val="center"/>
          </w:tcPr>
          <w:p w14:paraId="72A4900C" w14:textId="53F1C811" w:rsidR="00B66F2A" w:rsidRPr="00330A34" w:rsidRDefault="00B66F2A" w:rsidP="00B66F2A">
            <w:pPr>
              <w:jc w:val="center"/>
              <w:rPr>
                <w:rFonts w:ascii="Times New Roman" w:eastAsia="Times New Roman" w:hAnsi="Times New Roman"/>
                <w:sz w:val="18"/>
                <w:szCs w:val="18"/>
              </w:rPr>
            </w:pPr>
            <w:r>
              <w:rPr>
                <w:rFonts w:ascii="Times New Roman" w:eastAsia="Times New Roman" w:hAnsi="Times New Roman"/>
                <w:sz w:val="18"/>
                <w:szCs w:val="18"/>
              </w:rPr>
              <w:t>0</w:t>
            </w:r>
          </w:p>
        </w:tc>
        <w:tc>
          <w:tcPr>
            <w:tcW w:w="1276" w:type="dxa"/>
            <w:vAlign w:val="center"/>
          </w:tcPr>
          <w:p w14:paraId="2E3715AB" w14:textId="63B8C7BC" w:rsidR="00B66F2A" w:rsidRPr="00330A34" w:rsidRDefault="00510276" w:rsidP="00B66F2A">
            <w:pPr>
              <w:jc w:val="center"/>
              <w:rPr>
                <w:rFonts w:ascii="Times New Roman" w:eastAsia="Times New Roman" w:hAnsi="Times New Roman"/>
                <w:sz w:val="18"/>
                <w:szCs w:val="18"/>
              </w:rPr>
            </w:pPr>
            <w:r>
              <w:rPr>
                <w:rFonts w:ascii="Times New Roman" w:eastAsia="Times New Roman" w:hAnsi="Times New Roman"/>
                <w:sz w:val="18"/>
                <w:szCs w:val="18"/>
              </w:rPr>
              <w:t>40 205</w:t>
            </w:r>
          </w:p>
        </w:tc>
        <w:tc>
          <w:tcPr>
            <w:tcW w:w="1240" w:type="dxa"/>
            <w:vAlign w:val="center"/>
          </w:tcPr>
          <w:p w14:paraId="12471DF6" w14:textId="363F1574" w:rsidR="00B66F2A" w:rsidRPr="00621267" w:rsidRDefault="00510276">
            <w:pPr>
              <w:jc w:val="center"/>
              <w:rPr>
                <w:rFonts w:ascii="Times New Roman" w:eastAsia="Times New Roman" w:hAnsi="Times New Roman"/>
                <w:sz w:val="18"/>
                <w:szCs w:val="18"/>
              </w:rPr>
            </w:pPr>
            <w:r>
              <w:rPr>
                <w:rFonts w:ascii="Times New Roman" w:eastAsia="Times New Roman" w:hAnsi="Times New Roman"/>
                <w:sz w:val="18"/>
                <w:szCs w:val="18"/>
              </w:rPr>
              <w:t>30 154</w:t>
            </w:r>
          </w:p>
        </w:tc>
      </w:tr>
      <w:tr w:rsidR="002A7CB3" w:rsidRPr="00330A34" w14:paraId="2E303505" w14:textId="77777777" w:rsidTr="008E0B7B">
        <w:trPr>
          <w:trHeight w:val="433"/>
          <w:jc w:val="center"/>
        </w:trPr>
        <w:tc>
          <w:tcPr>
            <w:tcW w:w="704" w:type="dxa"/>
          </w:tcPr>
          <w:p w14:paraId="44FCD432" w14:textId="75CF3957"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rPr>
              <w:t>3.</w:t>
            </w:r>
          </w:p>
        </w:tc>
        <w:tc>
          <w:tcPr>
            <w:tcW w:w="1767" w:type="dxa"/>
          </w:tcPr>
          <w:p w14:paraId="404D98E0" w14:textId="042971BB" w:rsidR="002A7CB3" w:rsidRPr="00330A34" w:rsidRDefault="002A7CB3" w:rsidP="002A7CB3">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Gultasdienas izmaksu palielinājums</w:t>
            </w:r>
          </w:p>
        </w:tc>
        <w:tc>
          <w:tcPr>
            <w:tcW w:w="1245" w:type="dxa"/>
            <w:vAlign w:val="center"/>
          </w:tcPr>
          <w:p w14:paraId="7BEE9DE4" w14:textId="3C485780" w:rsidR="002A7CB3" w:rsidRPr="00330A34" w:rsidRDefault="002A7CB3" w:rsidP="002A7CB3">
            <w:pPr>
              <w:spacing w:line="276" w:lineRule="auto"/>
              <w:jc w:val="center"/>
              <w:rPr>
                <w:rFonts w:ascii="Times New Roman" w:eastAsia="Times New Roman" w:hAnsi="Times New Roman"/>
                <w:sz w:val="18"/>
                <w:szCs w:val="18"/>
              </w:rPr>
            </w:pPr>
            <w:r>
              <w:rPr>
                <w:rFonts w:ascii="Times New Roman" w:eastAsia="Times New Roman" w:hAnsi="Times New Roman"/>
                <w:sz w:val="18"/>
                <w:szCs w:val="18"/>
              </w:rPr>
              <w:t>537 047</w:t>
            </w:r>
          </w:p>
        </w:tc>
        <w:tc>
          <w:tcPr>
            <w:tcW w:w="1007" w:type="dxa"/>
            <w:vAlign w:val="center"/>
          </w:tcPr>
          <w:p w14:paraId="0C2C2FD7" w14:textId="29D7A449"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6,28</w:t>
            </w:r>
          </w:p>
        </w:tc>
        <w:tc>
          <w:tcPr>
            <w:tcW w:w="1368" w:type="dxa"/>
            <w:vAlign w:val="center"/>
          </w:tcPr>
          <w:p w14:paraId="1633EFE6" w14:textId="50C64ABA"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3 372 655</w:t>
            </w:r>
          </w:p>
        </w:tc>
        <w:tc>
          <w:tcPr>
            <w:tcW w:w="1169" w:type="dxa"/>
            <w:vAlign w:val="center"/>
          </w:tcPr>
          <w:p w14:paraId="61870526" w14:textId="622DA2FA" w:rsidR="002A7CB3" w:rsidRPr="00330A34" w:rsidRDefault="002A7CB3" w:rsidP="002A7CB3">
            <w:pPr>
              <w:spacing w:line="276" w:lineRule="auto"/>
              <w:jc w:val="center"/>
              <w:rPr>
                <w:rFonts w:ascii="Times New Roman" w:eastAsia="Times New Roman" w:hAnsi="Times New Roman"/>
                <w:sz w:val="18"/>
                <w:szCs w:val="18"/>
              </w:rPr>
            </w:pPr>
            <w:r>
              <w:rPr>
                <w:rFonts w:ascii="Times New Roman" w:eastAsia="Times New Roman" w:hAnsi="Times New Roman"/>
                <w:sz w:val="18"/>
                <w:szCs w:val="18"/>
                <w:lang w:val="en-US"/>
              </w:rPr>
              <w:t>0</w:t>
            </w:r>
          </w:p>
        </w:tc>
        <w:tc>
          <w:tcPr>
            <w:tcW w:w="1276" w:type="dxa"/>
            <w:vAlign w:val="center"/>
          </w:tcPr>
          <w:p w14:paraId="13DD5E4C" w14:textId="0BD22FC2"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3 372 655</w:t>
            </w:r>
          </w:p>
        </w:tc>
        <w:tc>
          <w:tcPr>
            <w:tcW w:w="1240" w:type="dxa"/>
            <w:vAlign w:val="center"/>
          </w:tcPr>
          <w:p w14:paraId="2E7734C5" w14:textId="197EDE46"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2 529 491</w:t>
            </w:r>
          </w:p>
        </w:tc>
      </w:tr>
      <w:tr w:rsidR="002A7CB3" w:rsidRPr="00330A34" w14:paraId="24883C4B" w14:textId="77777777" w:rsidTr="008E0B7B">
        <w:trPr>
          <w:trHeight w:val="433"/>
          <w:jc w:val="center"/>
        </w:trPr>
        <w:tc>
          <w:tcPr>
            <w:tcW w:w="704" w:type="dxa"/>
          </w:tcPr>
          <w:p w14:paraId="43C15551" w14:textId="3321F122" w:rsidR="002A7CB3" w:rsidRPr="00A43393"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rPr>
              <w:t>4.</w:t>
            </w:r>
          </w:p>
        </w:tc>
        <w:tc>
          <w:tcPr>
            <w:tcW w:w="1767" w:type="dxa"/>
          </w:tcPr>
          <w:p w14:paraId="0A02D6A3" w14:textId="26A0F2EE" w:rsidR="002A7CB3" w:rsidRPr="00330A34" w:rsidRDefault="002A7CB3" w:rsidP="002A7CB3">
            <w:pPr>
              <w:jc w:val="center"/>
              <w:rPr>
                <w:rFonts w:ascii="Times New Roman" w:eastAsia="Times New Roman" w:hAnsi="Times New Roman"/>
                <w:sz w:val="18"/>
                <w:szCs w:val="18"/>
              </w:rPr>
            </w:pPr>
            <w:r w:rsidRPr="00330A34">
              <w:rPr>
                <w:rFonts w:ascii="Times New Roman" w:eastAsia="Times New Roman" w:hAnsi="Times New Roman"/>
                <w:sz w:val="18"/>
                <w:szCs w:val="18"/>
              </w:rPr>
              <w:t>Gultasdienas izmaksu palielinājums</w:t>
            </w:r>
            <w:r w:rsidRPr="00A43393">
              <w:rPr>
                <w:rFonts w:ascii="Times New Roman" w:eastAsia="Times New Roman" w:hAnsi="Times New Roman"/>
                <w:sz w:val="18"/>
                <w:szCs w:val="18"/>
              </w:rPr>
              <w:t xml:space="preserve"> </w:t>
            </w:r>
            <w:r>
              <w:rPr>
                <w:rFonts w:ascii="Times New Roman" w:eastAsia="Times New Roman" w:hAnsi="Times New Roman"/>
                <w:sz w:val="18"/>
                <w:szCs w:val="18"/>
              </w:rPr>
              <w:t>tāmes finansētās iestādēs</w:t>
            </w:r>
          </w:p>
        </w:tc>
        <w:tc>
          <w:tcPr>
            <w:tcW w:w="1245" w:type="dxa"/>
            <w:vAlign w:val="center"/>
          </w:tcPr>
          <w:p w14:paraId="29F0F086" w14:textId="77777777" w:rsidR="002A7CB3" w:rsidRDefault="002A7CB3" w:rsidP="002A7CB3">
            <w:pPr>
              <w:jc w:val="center"/>
              <w:rPr>
                <w:rFonts w:ascii="Times New Roman" w:eastAsia="Times New Roman" w:hAnsi="Times New Roman"/>
                <w:sz w:val="18"/>
                <w:szCs w:val="18"/>
              </w:rPr>
            </w:pPr>
          </w:p>
        </w:tc>
        <w:tc>
          <w:tcPr>
            <w:tcW w:w="1007" w:type="dxa"/>
            <w:vAlign w:val="center"/>
          </w:tcPr>
          <w:p w14:paraId="1B481F32" w14:textId="77777777" w:rsidR="002A7CB3" w:rsidRDefault="002A7CB3" w:rsidP="002A7CB3">
            <w:pPr>
              <w:jc w:val="center"/>
              <w:rPr>
                <w:rFonts w:ascii="Times New Roman" w:eastAsia="Times New Roman" w:hAnsi="Times New Roman"/>
                <w:sz w:val="18"/>
                <w:szCs w:val="18"/>
              </w:rPr>
            </w:pPr>
          </w:p>
        </w:tc>
        <w:tc>
          <w:tcPr>
            <w:tcW w:w="1368" w:type="dxa"/>
            <w:vAlign w:val="center"/>
          </w:tcPr>
          <w:p w14:paraId="38E184D3" w14:textId="77777777" w:rsidR="002A7CB3" w:rsidRPr="00330A34" w:rsidRDefault="002A7CB3" w:rsidP="002A7CB3">
            <w:pPr>
              <w:jc w:val="center"/>
              <w:rPr>
                <w:rFonts w:ascii="Times New Roman" w:eastAsia="Times New Roman" w:hAnsi="Times New Roman"/>
                <w:sz w:val="18"/>
                <w:szCs w:val="18"/>
              </w:rPr>
            </w:pPr>
          </w:p>
        </w:tc>
        <w:tc>
          <w:tcPr>
            <w:tcW w:w="1169" w:type="dxa"/>
            <w:vAlign w:val="center"/>
          </w:tcPr>
          <w:p w14:paraId="3EB16D51" w14:textId="382C66B1"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0</w:t>
            </w:r>
          </w:p>
        </w:tc>
        <w:tc>
          <w:tcPr>
            <w:tcW w:w="1276" w:type="dxa"/>
            <w:vAlign w:val="center"/>
          </w:tcPr>
          <w:p w14:paraId="37BB8E06" w14:textId="1A6C56C4" w:rsidR="002A7CB3" w:rsidRPr="00E93259" w:rsidDel="007B193D" w:rsidRDefault="002A7CB3" w:rsidP="002A7CB3">
            <w:pPr>
              <w:jc w:val="center"/>
              <w:rPr>
                <w:rFonts w:ascii="Times New Roman" w:hAnsi="Times New Roman"/>
              </w:rPr>
            </w:pPr>
            <w:r>
              <w:rPr>
                <w:rFonts w:ascii="Times New Roman" w:eastAsia="Times New Roman" w:hAnsi="Times New Roman"/>
                <w:sz w:val="18"/>
                <w:szCs w:val="18"/>
                <w:lang w:val="en-US"/>
              </w:rPr>
              <w:t>639 456</w:t>
            </w:r>
          </w:p>
        </w:tc>
        <w:tc>
          <w:tcPr>
            <w:tcW w:w="1240" w:type="dxa"/>
            <w:vAlign w:val="center"/>
          </w:tcPr>
          <w:p w14:paraId="31444E9A" w14:textId="49495519" w:rsidR="002A7CB3" w:rsidRPr="00621267" w:rsidDel="00693CD5" w:rsidRDefault="002A7CB3" w:rsidP="002A7CB3">
            <w:pPr>
              <w:jc w:val="center"/>
              <w:rPr>
                <w:rFonts w:ascii="Times New Roman" w:eastAsia="Times New Roman" w:hAnsi="Times New Roman"/>
                <w:sz w:val="18"/>
                <w:szCs w:val="18"/>
              </w:rPr>
            </w:pPr>
            <w:r>
              <w:rPr>
                <w:rFonts w:ascii="Times New Roman" w:hAnsi="Times New Roman"/>
                <w:lang w:val="en-US"/>
              </w:rPr>
              <w:t>479 592</w:t>
            </w:r>
          </w:p>
        </w:tc>
      </w:tr>
      <w:tr w:rsidR="002A7CB3" w:rsidRPr="00330A34" w14:paraId="74C36F97" w14:textId="77777777" w:rsidTr="00E93259">
        <w:trPr>
          <w:trHeight w:val="433"/>
          <w:jc w:val="center"/>
        </w:trPr>
        <w:tc>
          <w:tcPr>
            <w:tcW w:w="7260" w:type="dxa"/>
            <w:gridSpan w:val="6"/>
          </w:tcPr>
          <w:p w14:paraId="7D888E3F" w14:textId="6AF18EE9" w:rsidR="002A7CB3" w:rsidRPr="00330A34" w:rsidRDefault="002A7CB3" w:rsidP="002A7CB3">
            <w:pPr>
              <w:spacing w:line="276" w:lineRule="auto"/>
              <w:jc w:val="right"/>
              <w:rPr>
                <w:rFonts w:ascii="Times New Roman" w:eastAsia="Times New Roman" w:hAnsi="Times New Roman"/>
                <w:sz w:val="18"/>
                <w:szCs w:val="18"/>
              </w:rPr>
            </w:pPr>
            <w:r w:rsidRPr="00330A34">
              <w:rPr>
                <w:rFonts w:ascii="Times New Roman" w:eastAsia="Times New Roman" w:hAnsi="Times New Roman"/>
                <w:sz w:val="18"/>
                <w:szCs w:val="18"/>
              </w:rPr>
              <w:t>Nepieciešamais finansējums kopā</w:t>
            </w:r>
          </w:p>
        </w:tc>
        <w:tc>
          <w:tcPr>
            <w:tcW w:w="1276" w:type="dxa"/>
            <w:vAlign w:val="center"/>
          </w:tcPr>
          <w:p w14:paraId="7AC5FFBE" w14:textId="0301C30B" w:rsidR="002A7CB3" w:rsidRPr="00330A34" w:rsidRDefault="002A7CB3" w:rsidP="002A7CB3">
            <w:pPr>
              <w:jc w:val="center"/>
              <w:rPr>
                <w:rFonts w:ascii="Times New Roman" w:eastAsia="Times New Roman" w:hAnsi="Times New Roman"/>
                <w:sz w:val="18"/>
                <w:szCs w:val="18"/>
              </w:rPr>
            </w:pPr>
            <w:r>
              <w:rPr>
                <w:rFonts w:ascii="Times New Roman" w:eastAsia="Times New Roman" w:hAnsi="Times New Roman"/>
                <w:sz w:val="18"/>
                <w:szCs w:val="18"/>
                <w:lang w:val="en-US"/>
              </w:rPr>
              <w:t xml:space="preserve">4 890 757 </w:t>
            </w:r>
          </w:p>
        </w:tc>
        <w:tc>
          <w:tcPr>
            <w:tcW w:w="1240" w:type="dxa"/>
            <w:vAlign w:val="center"/>
          </w:tcPr>
          <w:p w14:paraId="18F11BC7" w14:textId="75A43AF5" w:rsidR="002A7CB3" w:rsidRPr="00E93259" w:rsidRDefault="002A7CB3" w:rsidP="002A7CB3">
            <w:pPr>
              <w:jc w:val="center"/>
              <w:rPr>
                <w:rFonts w:ascii="Times New Roman" w:eastAsia="Times New Roman" w:hAnsi="Times New Roman"/>
                <w:b/>
                <w:sz w:val="18"/>
                <w:szCs w:val="18"/>
              </w:rPr>
            </w:pPr>
            <w:r>
              <w:rPr>
                <w:rFonts w:ascii="Times New Roman" w:eastAsia="Times New Roman" w:hAnsi="Times New Roman"/>
                <w:b/>
                <w:sz w:val="18"/>
                <w:szCs w:val="18"/>
                <w:lang w:val="en-US"/>
              </w:rPr>
              <w:t>3 668 068</w:t>
            </w:r>
          </w:p>
        </w:tc>
      </w:tr>
    </w:tbl>
    <w:p w14:paraId="089CECF1" w14:textId="77777777" w:rsidR="00972B28" w:rsidRDefault="00972B28">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w:t>
      </w:r>
      <w:r w:rsidRPr="002F4C77">
        <w:rPr>
          <w:rFonts w:ascii="Times New Roman" w:eastAsia="Times New Roman" w:hAnsi="Times New Roman" w:cs="Times New Roman"/>
          <w:sz w:val="20"/>
          <w:szCs w:val="20"/>
        </w:rPr>
        <w:t>lānotais manipulāciju skaits noteikts ārstniecības iestāžu aptaujas rezultātā</w:t>
      </w:r>
      <w:r>
        <w:rPr>
          <w:rFonts w:ascii="Times New Roman" w:eastAsia="Times New Roman" w:hAnsi="Times New Roman" w:cs="Times New Roman"/>
          <w:sz w:val="20"/>
          <w:szCs w:val="20"/>
        </w:rPr>
        <w:t>.</w:t>
      </w:r>
    </w:p>
    <w:p w14:paraId="62F9EB84" w14:textId="77777777" w:rsidR="005736FB" w:rsidRDefault="00972B28">
      <w:pPr>
        <w:spacing w:after="0"/>
        <w:ind w:firstLine="720"/>
        <w:jc w:val="both"/>
        <w:rPr>
          <w:rFonts w:ascii="Times New Roman" w:eastAsia="Times New Roman" w:hAnsi="Times New Roman" w:cs="Times New Roman"/>
          <w:sz w:val="20"/>
          <w:szCs w:val="20"/>
        </w:rPr>
      </w:pPr>
      <w:r w:rsidRPr="002F4C7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2F4C77">
        <w:rPr>
          <w:rFonts w:ascii="Times New Roman" w:eastAsia="Times New Roman" w:hAnsi="Times New Roman" w:cs="Times New Roman"/>
          <w:sz w:val="20"/>
          <w:szCs w:val="20"/>
        </w:rPr>
        <w:t>Multiprofesionālas rehabilitācijas komandas darbu stacionārā  ir plānots apmaksāt ar esošu ambulatoru manip</w:t>
      </w:r>
      <w:r>
        <w:rPr>
          <w:rFonts w:ascii="Times New Roman" w:eastAsia="Times New Roman" w:hAnsi="Times New Roman" w:cs="Times New Roman"/>
          <w:sz w:val="20"/>
          <w:szCs w:val="20"/>
        </w:rPr>
        <w:t>ulācijas tarifu (kods 55076) 34,</w:t>
      </w:r>
      <w:r w:rsidRPr="002F4C77">
        <w:rPr>
          <w:rFonts w:ascii="Times New Roman" w:eastAsia="Times New Roman" w:hAnsi="Times New Roman" w:cs="Times New Roman"/>
          <w:sz w:val="20"/>
          <w:szCs w:val="20"/>
        </w:rPr>
        <w:t xml:space="preserve">97 </w:t>
      </w:r>
      <w:r w:rsidRPr="00E91BDA">
        <w:rPr>
          <w:rFonts w:ascii="Times New Roman" w:eastAsia="Times New Roman" w:hAnsi="Times New Roman" w:cs="Times New Roman"/>
          <w:i/>
          <w:sz w:val="20"/>
          <w:szCs w:val="20"/>
        </w:rPr>
        <w:t>euro</w:t>
      </w:r>
      <w:r w:rsidRPr="002F4C77">
        <w:rPr>
          <w:rFonts w:ascii="Times New Roman" w:eastAsia="Times New Roman" w:hAnsi="Times New Roman" w:cs="Times New Roman"/>
          <w:sz w:val="20"/>
          <w:szCs w:val="20"/>
        </w:rPr>
        <w:t xml:space="preserve"> apmērā</w:t>
      </w:r>
    </w:p>
    <w:p w14:paraId="3AA1C0CC" w14:textId="77777777" w:rsidR="00B66F2A" w:rsidRPr="00E93259" w:rsidRDefault="005736FB" w:rsidP="00E93259">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papildus tiks nodrošinātas divas slodzes funkcionālajiem speciālistiem, katrā iestādē 1 slodze, tajās ārstniecības iestādēs (</w:t>
      </w:r>
      <w:r w:rsidRPr="00E93259">
        <w:rPr>
          <w:rFonts w:ascii="Times New Roman" w:eastAsia="Times New Roman" w:hAnsi="Times New Roman" w:cs="Times New Roman"/>
          <w:sz w:val="20"/>
          <w:szCs w:val="20"/>
          <w:lang w:eastAsia="lv-LV"/>
        </w:rPr>
        <w:t xml:space="preserve">Bērnu psihoneiroloģiskā slimnīca Ainaži </w:t>
      </w:r>
      <w:r w:rsidRPr="005736FB">
        <w:rPr>
          <w:rFonts w:ascii="Times New Roman" w:eastAsia="Times New Roman" w:hAnsi="Times New Roman" w:cs="Times New Roman"/>
          <w:sz w:val="20"/>
          <w:szCs w:val="20"/>
        </w:rPr>
        <w:t xml:space="preserve">un </w:t>
      </w:r>
      <w:r w:rsidRPr="00E93259">
        <w:rPr>
          <w:rFonts w:ascii="Times New Roman" w:eastAsia="Times New Roman" w:hAnsi="Times New Roman" w:cs="Times New Roman"/>
          <w:sz w:val="20"/>
          <w:szCs w:val="20"/>
          <w:lang w:eastAsia="lv-LV"/>
        </w:rPr>
        <w:t>Aknīstes psihoneiroloģiskā slimnīca</w:t>
      </w:r>
      <w:r w:rsidRPr="005736F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kurās noteikts tāmes finansējums</w:t>
      </w:r>
    </w:p>
    <w:p w14:paraId="263CAF36" w14:textId="77777777" w:rsidR="001524A4" w:rsidRDefault="001524A4" w:rsidP="00972B28">
      <w:pPr>
        <w:spacing w:after="0"/>
        <w:ind w:firstLine="720"/>
        <w:jc w:val="both"/>
        <w:rPr>
          <w:rFonts w:ascii="Times New Roman" w:eastAsia="Times New Roman" w:hAnsi="Times New Roman" w:cs="Times New Roman"/>
          <w:sz w:val="20"/>
          <w:szCs w:val="20"/>
        </w:rPr>
      </w:pPr>
    </w:p>
    <w:p w14:paraId="5FC9669D" w14:textId="48E3F84F" w:rsidR="001524A4" w:rsidRPr="00E93259" w:rsidRDefault="001524A4" w:rsidP="00E93259">
      <w:pPr>
        <w:spacing w:after="120"/>
        <w:ind w:firstLine="720"/>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Indikatīvi nepieciešamais finansējums 2020.gadam n</w:t>
      </w:r>
      <w:r w:rsidRPr="00E93259">
        <w:rPr>
          <w:rFonts w:ascii="Times New Roman" w:eastAsia="Times New Roman" w:hAnsi="Times New Roman" w:cs="Times New Roman"/>
          <w:iCs/>
          <w:sz w:val="24"/>
          <w:szCs w:val="24"/>
        </w:rPr>
        <w:t xml:space="preserve">emedikamentozās ārstēšanas iespēju paplašināšanai stacionārā </w:t>
      </w:r>
      <w:r>
        <w:rPr>
          <w:rFonts w:ascii="Times New Roman" w:eastAsia="Times New Roman" w:hAnsi="Times New Roman" w:cs="Times New Roman"/>
          <w:iCs/>
          <w:sz w:val="24"/>
          <w:szCs w:val="24"/>
        </w:rPr>
        <w:t>ir saglabājams 2019.gada līmenī</w:t>
      </w:r>
      <w:r>
        <w:rPr>
          <w:rFonts w:ascii="Times New Roman" w:eastAsia="Times New Roman" w:hAnsi="Times New Roman" w:cs="Times New Roman"/>
          <w:sz w:val="24"/>
          <w:szCs w:val="24"/>
        </w:rPr>
        <w:t>.</w:t>
      </w:r>
    </w:p>
    <w:p w14:paraId="6F4EF409" w14:textId="77777777" w:rsidR="00972B28" w:rsidRPr="002F4C77" w:rsidRDefault="00972B28" w:rsidP="00972B28">
      <w:pPr>
        <w:spacing w:after="0"/>
        <w:ind w:firstLine="720"/>
        <w:jc w:val="both"/>
        <w:rPr>
          <w:rFonts w:ascii="Times New Roman" w:eastAsia="Times New Roman" w:hAnsi="Times New Roman" w:cs="Times New Roman"/>
          <w:sz w:val="20"/>
          <w:szCs w:val="20"/>
        </w:rPr>
      </w:pPr>
    </w:p>
    <w:p w14:paraId="42F4F4A1" w14:textId="3DE45464" w:rsidR="00972B28" w:rsidRPr="001D6901" w:rsidRDefault="00972B28" w:rsidP="00972B28">
      <w:pPr>
        <w:spacing w:after="0"/>
        <w:jc w:val="both"/>
        <w:rPr>
          <w:rFonts w:ascii="Times New Roman" w:eastAsia="Times New Roman" w:hAnsi="Times New Roman" w:cs="Times New Roman"/>
          <w:sz w:val="24"/>
          <w:szCs w:val="24"/>
        </w:rPr>
      </w:pPr>
      <w:r w:rsidRPr="005D6776">
        <w:rPr>
          <w:rFonts w:ascii="Times New Roman" w:eastAsia="Times New Roman" w:hAnsi="Times New Roman" w:cs="Times New Roman"/>
          <w:sz w:val="24"/>
          <w:szCs w:val="24"/>
          <w:u w:val="single"/>
        </w:rPr>
        <w:t>4.pasākums:</w:t>
      </w:r>
      <w:r w:rsidRPr="001D6901">
        <w:rPr>
          <w:rFonts w:ascii="Times New Roman" w:eastAsia="Times New Roman" w:hAnsi="Times New Roman" w:cs="Times New Roman"/>
          <w:sz w:val="24"/>
          <w:szCs w:val="24"/>
        </w:rPr>
        <w:t xml:space="preserve"> Izveidot observācijas gultas pie psihoneiroloģiskām slimnīcām, tādējādi mazinot nepamatotus stacionēšanas gadījums</w:t>
      </w:r>
      <w:r w:rsidR="00B61E4A">
        <w:rPr>
          <w:rFonts w:ascii="Times New Roman" w:eastAsia="Times New Roman" w:hAnsi="Times New Roman" w:cs="Times New Roman"/>
          <w:sz w:val="24"/>
          <w:szCs w:val="24"/>
        </w:rPr>
        <w:t xml:space="preserve"> (</w:t>
      </w:r>
      <w:r w:rsidR="00E118ED">
        <w:rPr>
          <w:rFonts w:ascii="Times New Roman" w:eastAsia="Times New Roman" w:hAnsi="Times New Roman" w:cs="Times New Roman"/>
          <w:sz w:val="24"/>
          <w:szCs w:val="24"/>
        </w:rPr>
        <w:t>100</w:t>
      </w:r>
      <w:r w:rsidR="00B61E4A">
        <w:rPr>
          <w:rFonts w:ascii="Times New Roman" w:eastAsia="Times New Roman" w:hAnsi="Times New Roman" w:cs="Times New Roman"/>
          <w:sz w:val="24"/>
          <w:szCs w:val="24"/>
        </w:rPr>
        <w:t>.tabula)</w:t>
      </w:r>
      <w:r w:rsidRPr="001D6901">
        <w:rPr>
          <w:rFonts w:ascii="Times New Roman" w:eastAsia="Times New Roman" w:hAnsi="Times New Roman" w:cs="Times New Roman"/>
          <w:sz w:val="24"/>
          <w:szCs w:val="24"/>
        </w:rPr>
        <w:t>.</w:t>
      </w:r>
    </w:p>
    <w:p w14:paraId="4A59ABF7" w14:textId="3876D187" w:rsidR="00972B28" w:rsidRPr="00334D65" w:rsidRDefault="00972B28" w:rsidP="00972B28">
      <w:pPr>
        <w:spacing w:after="0"/>
        <w:ind w:firstLine="720"/>
        <w:jc w:val="both"/>
        <w:rPr>
          <w:rFonts w:ascii="Times New Roman" w:eastAsia="Times New Roman" w:hAnsi="Times New Roman" w:cs="Times New Roman"/>
          <w:b/>
          <w:sz w:val="24"/>
          <w:szCs w:val="24"/>
        </w:rPr>
      </w:pPr>
      <w:r w:rsidRPr="00E93259">
        <w:rPr>
          <w:rFonts w:ascii="Times New Roman" w:eastAsia="Times New Roman" w:hAnsi="Times New Roman" w:cs="Times New Roman"/>
          <w:sz w:val="24"/>
          <w:szCs w:val="24"/>
        </w:rPr>
        <w:t xml:space="preserve">Nepieciešamais finansējums </w:t>
      </w:r>
      <w:r w:rsidR="00177C9C">
        <w:rPr>
          <w:rFonts w:ascii="Times New Roman" w:eastAsia="Times New Roman" w:hAnsi="Times New Roman" w:cs="Times New Roman"/>
          <w:sz w:val="24"/>
          <w:szCs w:val="24"/>
        </w:rPr>
        <w:t xml:space="preserve">no </w:t>
      </w:r>
      <w:r w:rsidRPr="00E93259">
        <w:rPr>
          <w:rFonts w:ascii="Times New Roman" w:eastAsia="Times New Roman" w:hAnsi="Times New Roman" w:cs="Times New Roman"/>
          <w:sz w:val="24"/>
          <w:szCs w:val="24"/>
        </w:rPr>
        <w:t>2019.gad</w:t>
      </w:r>
      <w:r w:rsidR="00177C9C">
        <w:rPr>
          <w:rFonts w:ascii="Times New Roman" w:eastAsia="Times New Roman" w:hAnsi="Times New Roman" w:cs="Times New Roman"/>
          <w:sz w:val="24"/>
          <w:szCs w:val="24"/>
        </w:rPr>
        <w:t>a 1.aprīļa</w:t>
      </w:r>
      <w:r w:rsidRPr="00334D65">
        <w:rPr>
          <w:rFonts w:ascii="Times New Roman" w:eastAsia="Times New Roman" w:hAnsi="Times New Roman" w:cs="Times New Roman"/>
          <w:b/>
          <w:sz w:val="24"/>
          <w:szCs w:val="24"/>
        </w:rPr>
        <w:t xml:space="preserve"> </w:t>
      </w:r>
      <w:r w:rsidR="002A7CB3">
        <w:rPr>
          <w:rFonts w:ascii="Times New Roman" w:eastAsia="Times New Roman" w:hAnsi="Times New Roman" w:cs="Times New Roman"/>
          <w:b/>
          <w:sz w:val="24"/>
          <w:szCs w:val="24"/>
        </w:rPr>
        <w:t>67 502</w:t>
      </w:r>
      <w:r w:rsidRPr="00334D65">
        <w:rPr>
          <w:rFonts w:ascii="Times New Roman" w:eastAsia="Times New Roman" w:hAnsi="Times New Roman" w:cs="Times New Roman"/>
          <w:b/>
          <w:sz w:val="24"/>
          <w:szCs w:val="24"/>
        </w:rPr>
        <w:t xml:space="preserve"> </w:t>
      </w:r>
      <w:r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w:t>
      </w:r>
    </w:p>
    <w:p w14:paraId="0E334EA1" w14:textId="77777777" w:rsidR="008E0B7B" w:rsidRDefault="008E0B7B" w:rsidP="00E93259">
      <w:pPr>
        <w:spacing w:after="120"/>
        <w:ind w:firstLine="720"/>
        <w:jc w:val="right"/>
        <w:rPr>
          <w:rFonts w:ascii="Times New Roman" w:eastAsia="Times New Roman" w:hAnsi="Times New Roman" w:cs="Times New Roman"/>
          <w:i/>
          <w:iCs/>
          <w:sz w:val="24"/>
          <w:szCs w:val="24"/>
        </w:rPr>
      </w:pPr>
    </w:p>
    <w:p w14:paraId="6D26F6A6" w14:textId="114E9192" w:rsidR="00972B28" w:rsidRPr="00E93259" w:rsidRDefault="00E118ED" w:rsidP="00E93259">
      <w:pPr>
        <w:spacing w:after="120"/>
        <w:ind w:firstLine="72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100</w:t>
      </w:r>
      <w:r w:rsidR="00972B28" w:rsidRPr="26166EDA">
        <w:rPr>
          <w:rFonts w:ascii="Times New Roman" w:eastAsia="Times New Roman" w:hAnsi="Times New Roman" w:cs="Times New Roman"/>
          <w:i/>
          <w:iCs/>
          <w:sz w:val="24"/>
          <w:szCs w:val="24"/>
        </w:rPr>
        <w:t>.tabula</w:t>
      </w:r>
    </w:p>
    <w:p w14:paraId="71023F6C" w14:textId="2D8EF494" w:rsidR="0058262A" w:rsidRPr="00E93259" w:rsidRDefault="0058262A" w:rsidP="00E93259">
      <w:pPr>
        <w:spacing w:after="120"/>
        <w:jc w:val="center"/>
        <w:rPr>
          <w:rFonts w:ascii="Times New Roman" w:eastAsia="Times New Roman" w:hAnsi="Times New Roman" w:cs="Times New Roman"/>
          <w:b/>
          <w:bCs/>
          <w:i/>
          <w:iCs/>
          <w:sz w:val="24"/>
          <w:szCs w:val="24"/>
        </w:rPr>
      </w:pPr>
      <w:r w:rsidRPr="00E93259">
        <w:rPr>
          <w:rFonts w:ascii="Times New Roman" w:eastAsia="Times New Roman" w:hAnsi="Times New Roman"/>
          <w:b/>
          <w:bCs/>
          <w:sz w:val="24"/>
          <w:szCs w:val="24"/>
        </w:rPr>
        <w:t>Pacientu observācijas līdz 24 stundām gultas izveidošana slimnīcām, kuras nodrošina akūto psihiatrisko ārstēšanu</w:t>
      </w:r>
      <w:r w:rsidR="00C33DB3" w:rsidRPr="00E12849">
        <w:rPr>
          <w:rFonts w:ascii="Times New Roman" w:eastAsia="Times New Roman" w:hAnsi="Times New Roman"/>
          <w:b/>
          <w:bCs/>
          <w:sz w:val="24"/>
          <w:szCs w:val="24"/>
        </w:rPr>
        <w:t xml:space="preserve"> nepieciešamais finansējums</w:t>
      </w:r>
    </w:p>
    <w:tbl>
      <w:tblPr>
        <w:tblStyle w:val="TableGrid"/>
        <w:tblW w:w="9067" w:type="dxa"/>
        <w:jc w:val="center"/>
        <w:tblLook w:val="04A0" w:firstRow="1" w:lastRow="0" w:firstColumn="1" w:lastColumn="0" w:noHBand="0" w:noVBand="1"/>
      </w:tblPr>
      <w:tblGrid>
        <w:gridCol w:w="2066"/>
        <w:gridCol w:w="954"/>
        <w:gridCol w:w="1007"/>
        <w:gridCol w:w="1413"/>
        <w:gridCol w:w="1030"/>
        <w:gridCol w:w="1185"/>
        <w:gridCol w:w="1412"/>
      </w:tblGrid>
      <w:tr w:rsidR="00972B28" w:rsidRPr="00CE6921" w14:paraId="6F22F292" w14:textId="77777777" w:rsidTr="009507A7">
        <w:trPr>
          <w:jc w:val="center"/>
        </w:trPr>
        <w:tc>
          <w:tcPr>
            <w:tcW w:w="2066" w:type="dxa"/>
            <w:shd w:val="clear" w:color="auto" w:fill="E36C0A" w:themeFill="accent6" w:themeFillShade="BF"/>
            <w:vAlign w:val="center"/>
          </w:tcPr>
          <w:p w14:paraId="0AD128EE" w14:textId="402799AC" w:rsidR="00972B28" w:rsidRPr="00CE6921" w:rsidRDefault="00401FE4" w:rsidP="00972B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Pasākums</w:t>
            </w:r>
          </w:p>
        </w:tc>
        <w:tc>
          <w:tcPr>
            <w:tcW w:w="954" w:type="dxa"/>
            <w:shd w:val="clear" w:color="auto" w:fill="E36C0A" w:themeFill="accent6" w:themeFillShade="BF"/>
            <w:vAlign w:val="center"/>
          </w:tcPr>
          <w:p w14:paraId="151BF839"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gultasdienu skaits</w:t>
            </w:r>
          </w:p>
        </w:tc>
        <w:tc>
          <w:tcPr>
            <w:tcW w:w="1007" w:type="dxa"/>
            <w:shd w:val="clear" w:color="auto" w:fill="E36C0A" w:themeFill="accent6" w:themeFillShade="BF"/>
            <w:vAlign w:val="center"/>
          </w:tcPr>
          <w:p w14:paraId="6D0E5A4D"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gultasdienas tarifs</w:t>
            </w:r>
          </w:p>
        </w:tc>
        <w:tc>
          <w:tcPr>
            <w:tcW w:w="1413" w:type="dxa"/>
            <w:shd w:val="clear" w:color="auto" w:fill="E36C0A" w:themeFill="accent6" w:themeFillShade="BF"/>
            <w:vAlign w:val="center"/>
          </w:tcPr>
          <w:p w14:paraId="5AAB33A2"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prognozējamais finansējums 2019.gadam, euro</w:t>
            </w:r>
          </w:p>
        </w:tc>
        <w:tc>
          <w:tcPr>
            <w:tcW w:w="1030" w:type="dxa"/>
            <w:shd w:val="clear" w:color="auto" w:fill="E36C0A" w:themeFill="accent6" w:themeFillShade="BF"/>
            <w:vAlign w:val="center"/>
          </w:tcPr>
          <w:p w14:paraId="74E8AAD6"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2018.gada finansējums, euro</w:t>
            </w:r>
          </w:p>
        </w:tc>
        <w:tc>
          <w:tcPr>
            <w:tcW w:w="1185" w:type="dxa"/>
            <w:shd w:val="clear" w:color="auto" w:fill="E36C0A" w:themeFill="accent6" w:themeFillShade="BF"/>
            <w:vAlign w:val="center"/>
          </w:tcPr>
          <w:p w14:paraId="1CEEBD8B"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w:t>
            </w:r>
          </w:p>
        </w:tc>
        <w:tc>
          <w:tcPr>
            <w:tcW w:w="1412" w:type="dxa"/>
            <w:shd w:val="clear" w:color="auto" w:fill="E36C0A" w:themeFill="accent6" w:themeFillShade="BF"/>
            <w:vAlign w:val="center"/>
          </w:tcPr>
          <w:p w14:paraId="0DEA4342" w14:textId="5BD3F95F"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 euro, sākot no 2019.gada 1.</w:t>
            </w:r>
            <w:r w:rsidR="00565271">
              <w:rPr>
                <w:rFonts w:ascii="Times New Roman" w:eastAsia="Times New Roman" w:hAnsi="Times New Roman"/>
                <w:sz w:val="16"/>
                <w:szCs w:val="16"/>
              </w:rPr>
              <w:t>aprīļa</w:t>
            </w:r>
            <w:r w:rsidRPr="00CE6921">
              <w:rPr>
                <w:rFonts w:ascii="Times New Roman" w:eastAsia="Times New Roman" w:hAnsi="Times New Roman"/>
                <w:sz w:val="16"/>
                <w:szCs w:val="16"/>
              </w:rPr>
              <w:t>a</w:t>
            </w:r>
          </w:p>
        </w:tc>
      </w:tr>
      <w:tr w:rsidR="00A74987" w:rsidRPr="00330A34" w14:paraId="78E4CA5A" w14:textId="77777777" w:rsidTr="009507A7">
        <w:trPr>
          <w:trHeight w:val="433"/>
          <w:jc w:val="center"/>
        </w:trPr>
        <w:tc>
          <w:tcPr>
            <w:tcW w:w="2066" w:type="dxa"/>
          </w:tcPr>
          <w:p w14:paraId="2AC0C2B3" w14:textId="77777777" w:rsidR="00A74987" w:rsidRPr="00330A34" w:rsidRDefault="00A74987" w:rsidP="00A74987">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Pacientu observācijas līdz 24 stundām gultas izveidošana slimnīcām, kuras nodrošina akūto psihiatrisko ārstēšanu</w:t>
            </w:r>
          </w:p>
        </w:tc>
        <w:tc>
          <w:tcPr>
            <w:tcW w:w="954" w:type="dxa"/>
            <w:vAlign w:val="center"/>
          </w:tcPr>
          <w:p w14:paraId="3FFA2A04" w14:textId="77777777" w:rsidR="00A74987" w:rsidRPr="00330A34" w:rsidRDefault="00A74987" w:rsidP="00A74987">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1 640</w:t>
            </w:r>
          </w:p>
        </w:tc>
        <w:tc>
          <w:tcPr>
            <w:tcW w:w="1007" w:type="dxa"/>
            <w:vAlign w:val="center"/>
          </w:tcPr>
          <w:p w14:paraId="7B2A9EE3" w14:textId="4150F0A6" w:rsidR="00A74987" w:rsidRPr="00330A34" w:rsidRDefault="00A74987" w:rsidP="00A74987">
            <w:pPr>
              <w:jc w:val="center"/>
              <w:rPr>
                <w:rFonts w:ascii="Times New Roman" w:eastAsia="Times New Roman" w:hAnsi="Times New Roman"/>
                <w:sz w:val="18"/>
                <w:szCs w:val="18"/>
              </w:rPr>
            </w:pPr>
            <w:r>
              <w:rPr>
                <w:rFonts w:ascii="Times New Roman" w:eastAsia="Times New Roman" w:hAnsi="Times New Roman"/>
                <w:sz w:val="18"/>
                <w:szCs w:val="18"/>
                <w:lang w:val="en-US"/>
              </w:rPr>
              <w:t>54,88*</w:t>
            </w:r>
          </w:p>
        </w:tc>
        <w:tc>
          <w:tcPr>
            <w:tcW w:w="1413" w:type="dxa"/>
            <w:vAlign w:val="center"/>
          </w:tcPr>
          <w:p w14:paraId="2D1E5696" w14:textId="592CEA84" w:rsidR="00A74987" w:rsidRPr="00330A34" w:rsidRDefault="00A74987" w:rsidP="00A74987">
            <w:pPr>
              <w:jc w:val="center"/>
              <w:rPr>
                <w:rFonts w:ascii="Times New Roman" w:eastAsia="Times New Roman" w:hAnsi="Times New Roman"/>
                <w:sz w:val="18"/>
                <w:szCs w:val="18"/>
              </w:rPr>
            </w:pPr>
            <w:r>
              <w:rPr>
                <w:rFonts w:ascii="Times New Roman" w:eastAsia="Times New Roman" w:hAnsi="Times New Roman"/>
                <w:sz w:val="18"/>
                <w:szCs w:val="18"/>
                <w:lang w:val="en-US"/>
              </w:rPr>
              <w:t>90 003</w:t>
            </w:r>
          </w:p>
        </w:tc>
        <w:tc>
          <w:tcPr>
            <w:tcW w:w="1030" w:type="dxa"/>
            <w:vAlign w:val="center"/>
          </w:tcPr>
          <w:p w14:paraId="7FEC9686" w14:textId="2B2DBE78" w:rsidR="00A74987" w:rsidRPr="00330A34" w:rsidRDefault="00A74987" w:rsidP="00A74987">
            <w:pPr>
              <w:spacing w:line="276" w:lineRule="auto"/>
              <w:jc w:val="center"/>
              <w:rPr>
                <w:rFonts w:ascii="Times New Roman" w:eastAsia="Times New Roman" w:hAnsi="Times New Roman"/>
                <w:sz w:val="18"/>
                <w:szCs w:val="18"/>
              </w:rPr>
            </w:pPr>
            <w:r>
              <w:rPr>
                <w:rFonts w:ascii="Times New Roman" w:eastAsia="Times New Roman" w:hAnsi="Times New Roman"/>
                <w:sz w:val="18"/>
                <w:szCs w:val="18"/>
                <w:lang w:val="en-US"/>
              </w:rPr>
              <w:t>0</w:t>
            </w:r>
          </w:p>
        </w:tc>
        <w:tc>
          <w:tcPr>
            <w:tcW w:w="1185" w:type="dxa"/>
            <w:vAlign w:val="center"/>
          </w:tcPr>
          <w:p w14:paraId="3257914F" w14:textId="14F0C662" w:rsidR="00A74987" w:rsidRPr="00330A34" w:rsidRDefault="00A74987" w:rsidP="00A74987">
            <w:pPr>
              <w:jc w:val="center"/>
              <w:rPr>
                <w:rFonts w:ascii="Times New Roman" w:eastAsia="Times New Roman" w:hAnsi="Times New Roman"/>
                <w:sz w:val="18"/>
                <w:szCs w:val="18"/>
              </w:rPr>
            </w:pPr>
            <w:r>
              <w:rPr>
                <w:rFonts w:ascii="Times New Roman" w:eastAsia="Times New Roman" w:hAnsi="Times New Roman"/>
                <w:sz w:val="18"/>
                <w:szCs w:val="18"/>
                <w:lang w:val="en-US"/>
              </w:rPr>
              <w:t>90 003</w:t>
            </w:r>
          </w:p>
        </w:tc>
        <w:tc>
          <w:tcPr>
            <w:tcW w:w="1412" w:type="dxa"/>
            <w:vAlign w:val="center"/>
          </w:tcPr>
          <w:p w14:paraId="646E5CA3" w14:textId="73F74755" w:rsidR="00A74987" w:rsidRPr="00330A34" w:rsidRDefault="00A74987" w:rsidP="00A74987">
            <w:pPr>
              <w:jc w:val="center"/>
              <w:rPr>
                <w:rFonts w:ascii="Times New Roman" w:eastAsia="Times New Roman" w:hAnsi="Times New Roman"/>
                <w:sz w:val="18"/>
                <w:szCs w:val="18"/>
              </w:rPr>
            </w:pPr>
            <w:r>
              <w:rPr>
                <w:rFonts w:ascii="Times New Roman" w:eastAsia="Times New Roman" w:hAnsi="Times New Roman"/>
                <w:sz w:val="18"/>
                <w:szCs w:val="18"/>
                <w:lang w:val="en-US"/>
              </w:rPr>
              <w:t>67 502</w:t>
            </w:r>
          </w:p>
        </w:tc>
      </w:tr>
    </w:tbl>
    <w:p w14:paraId="7C33E989" w14:textId="77777777" w:rsidR="00972B28" w:rsidRPr="005D6776" w:rsidRDefault="00972B28" w:rsidP="00972B28">
      <w:pPr>
        <w:spacing w:after="0"/>
        <w:ind w:firstLine="720"/>
        <w:jc w:val="both"/>
        <w:rPr>
          <w:rFonts w:ascii="Times New Roman" w:eastAsia="Times New Roman" w:hAnsi="Times New Roman" w:cs="Times New Roman"/>
          <w:sz w:val="20"/>
          <w:szCs w:val="20"/>
        </w:rPr>
      </w:pPr>
      <w:r w:rsidRPr="005D6776">
        <w:rPr>
          <w:rFonts w:ascii="Times New Roman" w:eastAsia="Times New Roman" w:hAnsi="Times New Roman" w:cs="Times New Roman"/>
          <w:sz w:val="20"/>
          <w:szCs w:val="20"/>
        </w:rPr>
        <w:t>*Gultasdienas tarifa projekts specializētās slimnīcas psihiatrijā un narkoloģijā.</w:t>
      </w:r>
    </w:p>
    <w:p w14:paraId="1FBCE90F" w14:textId="1AFB18DB" w:rsidR="00F0694D" w:rsidRDefault="00F0694D" w:rsidP="00972B28">
      <w:pPr>
        <w:spacing w:after="0"/>
        <w:jc w:val="both"/>
        <w:rPr>
          <w:rFonts w:ascii="Times New Roman" w:eastAsia="Times New Roman" w:hAnsi="Times New Roman" w:cs="Times New Roman"/>
          <w:sz w:val="24"/>
          <w:szCs w:val="24"/>
          <w:u w:val="single"/>
        </w:rPr>
      </w:pPr>
    </w:p>
    <w:p w14:paraId="2DF54C9F" w14:textId="44148EDB" w:rsidR="003C0E9E" w:rsidRPr="003C0E9E" w:rsidRDefault="003C0E9E" w:rsidP="00E93259">
      <w:pPr>
        <w:spacing w:after="0"/>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Indikatīvi nepieciešamais finansējums 2020.gadam </w:t>
      </w:r>
      <w:r w:rsidRPr="001E4659">
        <w:rPr>
          <w:rFonts w:ascii="Times New Roman" w:eastAsia="Times New Roman" w:hAnsi="Times New Roman" w:cs="Times New Roman"/>
          <w:sz w:val="24"/>
          <w:szCs w:val="24"/>
        </w:rPr>
        <w:t>p</w:t>
      </w:r>
      <w:r w:rsidRPr="00E93259">
        <w:rPr>
          <w:rFonts w:ascii="Times New Roman" w:eastAsia="Times New Roman" w:hAnsi="Times New Roman"/>
          <w:bCs/>
          <w:sz w:val="24"/>
          <w:szCs w:val="24"/>
        </w:rPr>
        <w:t>acientu obs</w:t>
      </w:r>
      <w:r w:rsidRPr="001E4659">
        <w:rPr>
          <w:rFonts w:ascii="Times New Roman" w:eastAsia="Times New Roman" w:hAnsi="Times New Roman"/>
          <w:bCs/>
          <w:sz w:val="24"/>
          <w:szCs w:val="24"/>
        </w:rPr>
        <w:t>ervācijas līdz 24 stundām gult</w:t>
      </w:r>
      <w:r>
        <w:rPr>
          <w:rFonts w:ascii="Times New Roman" w:eastAsia="Times New Roman" w:hAnsi="Times New Roman"/>
          <w:bCs/>
          <w:sz w:val="24"/>
          <w:szCs w:val="24"/>
        </w:rPr>
        <w:t>u</w:t>
      </w:r>
      <w:r w:rsidRPr="00E93259">
        <w:rPr>
          <w:rFonts w:ascii="Times New Roman" w:eastAsia="Times New Roman" w:hAnsi="Times New Roman"/>
          <w:bCs/>
          <w:sz w:val="24"/>
          <w:szCs w:val="24"/>
        </w:rPr>
        <w:t xml:space="preserve"> izveidošana</w:t>
      </w:r>
      <w:r>
        <w:rPr>
          <w:rFonts w:ascii="Times New Roman" w:eastAsia="Times New Roman" w:hAnsi="Times New Roman"/>
          <w:bCs/>
          <w:sz w:val="24"/>
          <w:szCs w:val="24"/>
        </w:rPr>
        <w:t>i</w:t>
      </w:r>
      <w:r w:rsidRPr="00E93259">
        <w:rPr>
          <w:rFonts w:ascii="Times New Roman" w:eastAsia="Times New Roman" w:hAnsi="Times New Roman"/>
          <w:bCs/>
          <w:sz w:val="24"/>
          <w:szCs w:val="24"/>
        </w:rPr>
        <w:t xml:space="preserve"> slimnīcām, kuras nodrošina akūto psihiatrisko ārstēšanu</w:t>
      </w:r>
      <w:r w:rsidRPr="001E4659">
        <w:rPr>
          <w:rFonts w:ascii="Times New Roman" w:eastAsia="Times New Roman" w:hAnsi="Times New Roman" w:cs="Times New Roman"/>
          <w:iCs/>
          <w:sz w:val="24"/>
          <w:szCs w:val="24"/>
        </w:rPr>
        <w:t xml:space="preserve"> </w:t>
      </w:r>
      <w:r w:rsidRPr="003C0E9E">
        <w:rPr>
          <w:rFonts w:ascii="Times New Roman" w:eastAsia="Times New Roman" w:hAnsi="Times New Roman" w:cs="Times New Roman"/>
          <w:iCs/>
          <w:sz w:val="24"/>
          <w:szCs w:val="24"/>
        </w:rPr>
        <w:t>ir saglabājams 2019.gada līmenī.</w:t>
      </w:r>
    </w:p>
    <w:p w14:paraId="3168BECC" w14:textId="77777777" w:rsidR="003C0E9E" w:rsidRDefault="003C0E9E" w:rsidP="00972B28">
      <w:pPr>
        <w:spacing w:after="0"/>
        <w:jc w:val="both"/>
        <w:rPr>
          <w:rFonts w:ascii="Times New Roman" w:eastAsia="Times New Roman" w:hAnsi="Times New Roman" w:cs="Times New Roman"/>
          <w:sz w:val="24"/>
          <w:szCs w:val="24"/>
          <w:u w:val="single"/>
        </w:rPr>
      </w:pPr>
    </w:p>
    <w:p w14:paraId="6E931CEF" w14:textId="3725AA81" w:rsidR="00972B28" w:rsidRDefault="00972B28" w:rsidP="00972B28">
      <w:pPr>
        <w:spacing w:after="0"/>
        <w:jc w:val="both"/>
        <w:rPr>
          <w:rFonts w:ascii="Times New Roman" w:eastAsia="Times New Roman" w:hAnsi="Times New Roman" w:cs="Times New Roman"/>
          <w:sz w:val="24"/>
          <w:szCs w:val="24"/>
        </w:rPr>
      </w:pPr>
      <w:r w:rsidRPr="00DC3772">
        <w:rPr>
          <w:rFonts w:ascii="Times New Roman" w:eastAsia="Times New Roman" w:hAnsi="Times New Roman" w:cs="Times New Roman"/>
          <w:sz w:val="24"/>
          <w:szCs w:val="24"/>
          <w:u w:val="single"/>
        </w:rPr>
        <w:t>5.pasākums:</w:t>
      </w:r>
      <w:r w:rsidRPr="001D6901">
        <w:rPr>
          <w:rFonts w:ascii="Times New Roman" w:eastAsia="Times New Roman" w:hAnsi="Times New Roman" w:cs="Times New Roman"/>
          <w:sz w:val="24"/>
          <w:szCs w:val="24"/>
        </w:rPr>
        <w:t xml:space="preserve"> Lai izpildītu ANO Bērnu tiesības komitejas rekomendācijas</w:t>
      </w:r>
      <w:r w:rsidRPr="001D6901">
        <w:rPr>
          <w:rStyle w:val="FootnoteReference"/>
          <w:rFonts w:ascii="Times New Roman" w:eastAsia="Times New Roman" w:hAnsi="Times New Roman" w:cs="Times New Roman"/>
          <w:sz w:val="24"/>
          <w:szCs w:val="24"/>
        </w:rPr>
        <w:footnoteReference w:id="77"/>
      </w:r>
      <w:r w:rsidRPr="001D6901">
        <w:rPr>
          <w:rFonts w:ascii="Times New Roman" w:eastAsia="Times New Roman" w:hAnsi="Times New Roman" w:cs="Times New Roman"/>
          <w:sz w:val="24"/>
          <w:szCs w:val="24"/>
        </w:rPr>
        <w:t>, nodrošināt iespēju vecākiem uzturēties kopā ar bērniem</w:t>
      </w:r>
      <w:r w:rsidR="001564E8">
        <w:rPr>
          <w:rFonts w:ascii="Times New Roman" w:eastAsia="Times New Roman" w:hAnsi="Times New Roman" w:cs="Times New Roman"/>
          <w:sz w:val="24"/>
          <w:szCs w:val="24"/>
        </w:rPr>
        <w:t>, kas kopumā sekmē bērna ātrāku veselības uzlabošanos un atgriešanos sabiedrībā</w:t>
      </w:r>
      <w:r w:rsidR="00CB0AA6">
        <w:rPr>
          <w:rFonts w:ascii="Times New Roman" w:eastAsia="Times New Roman" w:hAnsi="Times New Roman" w:cs="Times New Roman"/>
          <w:sz w:val="24"/>
          <w:szCs w:val="24"/>
        </w:rPr>
        <w:t xml:space="preserve"> (</w:t>
      </w:r>
      <w:r w:rsidR="00E118ED">
        <w:rPr>
          <w:rFonts w:ascii="Times New Roman" w:eastAsia="Times New Roman" w:hAnsi="Times New Roman" w:cs="Times New Roman"/>
          <w:sz w:val="24"/>
          <w:szCs w:val="24"/>
        </w:rPr>
        <w:t>101</w:t>
      </w:r>
      <w:r w:rsidR="00CB0AA6">
        <w:rPr>
          <w:rFonts w:ascii="Times New Roman" w:eastAsia="Times New Roman" w:hAnsi="Times New Roman" w:cs="Times New Roman"/>
          <w:sz w:val="24"/>
          <w:szCs w:val="24"/>
        </w:rPr>
        <w:t>.tabula)</w:t>
      </w:r>
      <w:r w:rsidRPr="001D6901">
        <w:rPr>
          <w:rFonts w:ascii="Times New Roman" w:eastAsia="Times New Roman" w:hAnsi="Times New Roman" w:cs="Times New Roman"/>
          <w:sz w:val="24"/>
          <w:szCs w:val="24"/>
        </w:rPr>
        <w:t>.</w:t>
      </w:r>
    </w:p>
    <w:p w14:paraId="0BA3B677" w14:textId="15C49310" w:rsidR="00E56FEC" w:rsidRPr="001D6901" w:rsidRDefault="00E56FEC" w:rsidP="00972B2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Tarifs 10.81 </w:t>
      </w:r>
      <w:r w:rsidRPr="000678A1">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ietver sevī </w:t>
      </w:r>
      <w:r w:rsidR="000678A1">
        <w:rPr>
          <w:rFonts w:ascii="Times New Roman" w:eastAsia="Times New Roman" w:hAnsi="Times New Roman" w:cs="Times New Roman"/>
          <w:sz w:val="24"/>
          <w:szCs w:val="24"/>
        </w:rPr>
        <w:t xml:space="preserve">tikai </w:t>
      </w:r>
      <w:r>
        <w:rPr>
          <w:rFonts w:ascii="Times New Roman" w:eastAsia="Times New Roman" w:hAnsi="Times New Roman" w:cs="Times New Roman"/>
          <w:sz w:val="24"/>
          <w:szCs w:val="24"/>
        </w:rPr>
        <w:t>netiešās uzturēšanas izmaksas, kas rodas vecākiem ilgstoši uzturpties vienā palātā ar bērnu (elektrība, apkure, ūdens, gultasveļa, telpu uzkopšana, dezinfekcija)</w:t>
      </w:r>
    </w:p>
    <w:p w14:paraId="1CC9F9E2" w14:textId="7823C958" w:rsidR="00972B28" w:rsidRPr="00334D65" w:rsidRDefault="00972B28" w:rsidP="00972B28">
      <w:pPr>
        <w:spacing w:after="0"/>
        <w:ind w:firstLine="720"/>
        <w:jc w:val="both"/>
        <w:rPr>
          <w:rFonts w:ascii="Times New Roman" w:eastAsia="Times New Roman" w:hAnsi="Times New Roman" w:cs="Times New Roman"/>
          <w:b/>
          <w:sz w:val="24"/>
          <w:szCs w:val="24"/>
        </w:rPr>
      </w:pPr>
      <w:r w:rsidRPr="00E93259">
        <w:rPr>
          <w:rFonts w:ascii="Times New Roman" w:eastAsia="Times New Roman" w:hAnsi="Times New Roman" w:cs="Times New Roman"/>
          <w:sz w:val="24"/>
          <w:szCs w:val="24"/>
        </w:rPr>
        <w:t>Nepieciešamais finansējums</w:t>
      </w:r>
      <w:r w:rsidR="006609E8">
        <w:rPr>
          <w:rFonts w:ascii="Times New Roman" w:eastAsia="Times New Roman" w:hAnsi="Times New Roman" w:cs="Times New Roman"/>
          <w:sz w:val="24"/>
          <w:szCs w:val="24"/>
        </w:rPr>
        <w:t xml:space="preserve"> no</w:t>
      </w:r>
      <w:r w:rsidRPr="00E93259">
        <w:rPr>
          <w:rFonts w:ascii="Times New Roman" w:eastAsia="Times New Roman" w:hAnsi="Times New Roman" w:cs="Times New Roman"/>
          <w:sz w:val="24"/>
          <w:szCs w:val="24"/>
        </w:rPr>
        <w:t xml:space="preserve"> 2019.gad</w:t>
      </w:r>
      <w:r w:rsidR="006609E8">
        <w:rPr>
          <w:rFonts w:ascii="Times New Roman" w:eastAsia="Times New Roman" w:hAnsi="Times New Roman" w:cs="Times New Roman"/>
          <w:sz w:val="24"/>
          <w:szCs w:val="24"/>
        </w:rPr>
        <w:t>a 1.aprīļa</w:t>
      </w:r>
      <w:r w:rsidRPr="00334D65">
        <w:rPr>
          <w:rFonts w:ascii="Times New Roman" w:eastAsia="Times New Roman" w:hAnsi="Times New Roman" w:cs="Times New Roman"/>
          <w:b/>
          <w:sz w:val="24"/>
          <w:szCs w:val="24"/>
        </w:rPr>
        <w:t xml:space="preserve"> </w:t>
      </w:r>
      <w:r w:rsidR="00272E3D">
        <w:rPr>
          <w:rFonts w:ascii="Times New Roman" w:eastAsia="Times New Roman" w:hAnsi="Times New Roman" w:cs="Times New Roman"/>
          <w:b/>
          <w:sz w:val="24"/>
          <w:szCs w:val="24"/>
        </w:rPr>
        <w:t>10 515</w:t>
      </w:r>
      <w:r w:rsidRPr="00334D65">
        <w:rPr>
          <w:rFonts w:ascii="Times New Roman" w:eastAsia="Times New Roman" w:hAnsi="Times New Roman" w:cs="Times New Roman"/>
          <w:b/>
          <w:sz w:val="24"/>
          <w:szCs w:val="24"/>
        </w:rPr>
        <w:t xml:space="preserve"> </w:t>
      </w:r>
      <w:r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w:t>
      </w:r>
    </w:p>
    <w:p w14:paraId="0B840CBA" w14:textId="71C3EC0F" w:rsidR="00972B28" w:rsidRPr="00E93259" w:rsidRDefault="00E118ED" w:rsidP="00E118ED">
      <w:pPr>
        <w:spacing w:after="120"/>
        <w:ind w:firstLine="72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101</w:t>
      </w:r>
      <w:r w:rsidR="00972B28" w:rsidRPr="26166EDA">
        <w:rPr>
          <w:rFonts w:ascii="Times New Roman" w:eastAsia="Times New Roman" w:hAnsi="Times New Roman" w:cs="Times New Roman"/>
          <w:i/>
          <w:iCs/>
          <w:sz w:val="24"/>
          <w:szCs w:val="24"/>
        </w:rPr>
        <w:t>.tabula</w:t>
      </w:r>
    </w:p>
    <w:p w14:paraId="2BB0C314" w14:textId="3E70CD89" w:rsidR="006609E8" w:rsidRPr="00E93259" w:rsidRDefault="00462345" w:rsidP="00E93259">
      <w:pPr>
        <w:spacing w:after="120"/>
        <w:jc w:val="center"/>
        <w:rPr>
          <w:rFonts w:ascii="Times New Roman" w:eastAsia="Times New Roman" w:hAnsi="Times New Roman" w:cs="Times New Roman"/>
          <w:b/>
          <w:bCs/>
          <w:i/>
          <w:iCs/>
          <w:sz w:val="24"/>
          <w:szCs w:val="24"/>
        </w:rPr>
      </w:pPr>
      <w:r w:rsidRPr="00E12849">
        <w:rPr>
          <w:rFonts w:ascii="Times New Roman" w:eastAsia="Times New Roman" w:hAnsi="Times New Roman"/>
          <w:b/>
          <w:bCs/>
          <w:sz w:val="24"/>
          <w:szCs w:val="24"/>
        </w:rPr>
        <w:t>Nepieciešamais f</w:t>
      </w:r>
      <w:r w:rsidR="006609E8" w:rsidRPr="00E93259">
        <w:rPr>
          <w:rFonts w:ascii="Times New Roman" w:eastAsia="Times New Roman" w:hAnsi="Times New Roman"/>
          <w:b/>
          <w:bCs/>
          <w:sz w:val="24"/>
          <w:szCs w:val="24"/>
        </w:rPr>
        <w:t>inansējums, lai nodrošinātu iespēju stacionārā vecākiem atrasties kopā ar bērnu</w:t>
      </w:r>
    </w:p>
    <w:tbl>
      <w:tblPr>
        <w:tblStyle w:val="TableGrid"/>
        <w:tblW w:w="8839" w:type="dxa"/>
        <w:jc w:val="center"/>
        <w:tblLook w:val="04A0" w:firstRow="1" w:lastRow="0" w:firstColumn="1" w:lastColumn="0" w:noHBand="0" w:noVBand="1"/>
      </w:tblPr>
      <w:tblGrid>
        <w:gridCol w:w="1859"/>
        <w:gridCol w:w="1070"/>
        <w:gridCol w:w="842"/>
        <w:gridCol w:w="1441"/>
        <w:gridCol w:w="1030"/>
        <w:gridCol w:w="1326"/>
        <w:gridCol w:w="1271"/>
      </w:tblGrid>
      <w:tr w:rsidR="00972B28" w:rsidRPr="00CE6921" w14:paraId="221711AA" w14:textId="77777777" w:rsidTr="009507A7">
        <w:trPr>
          <w:jc w:val="center"/>
        </w:trPr>
        <w:tc>
          <w:tcPr>
            <w:tcW w:w="1889" w:type="dxa"/>
            <w:shd w:val="clear" w:color="auto" w:fill="E36C0A" w:themeFill="accent6" w:themeFillShade="BF"/>
            <w:vAlign w:val="center"/>
          </w:tcPr>
          <w:p w14:paraId="63E8E2D5" w14:textId="69B19731" w:rsidR="00972B28" w:rsidRPr="00CE6921" w:rsidRDefault="00401FE4" w:rsidP="00972B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Pasākums</w:t>
            </w:r>
          </w:p>
        </w:tc>
        <w:tc>
          <w:tcPr>
            <w:tcW w:w="1070" w:type="dxa"/>
            <w:shd w:val="clear" w:color="auto" w:fill="E36C0A" w:themeFill="accent6" w:themeFillShade="BF"/>
            <w:vAlign w:val="center"/>
          </w:tcPr>
          <w:p w14:paraId="7852E61C"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Manipulāciju skaits</w:t>
            </w:r>
          </w:p>
        </w:tc>
        <w:tc>
          <w:tcPr>
            <w:tcW w:w="844" w:type="dxa"/>
            <w:shd w:val="clear" w:color="auto" w:fill="E36C0A" w:themeFill="accent6" w:themeFillShade="BF"/>
            <w:vAlign w:val="center"/>
          </w:tcPr>
          <w:p w14:paraId="1F52AD1F"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tarifs</w:t>
            </w:r>
          </w:p>
        </w:tc>
        <w:tc>
          <w:tcPr>
            <w:tcW w:w="1450" w:type="dxa"/>
            <w:shd w:val="clear" w:color="auto" w:fill="E36C0A" w:themeFill="accent6" w:themeFillShade="BF"/>
            <w:vAlign w:val="center"/>
          </w:tcPr>
          <w:p w14:paraId="41C835EF"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prognozējamais finansējums 2019.gadam, euro</w:t>
            </w:r>
          </w:p>
        </w:tc>
        <w:tc>
          <w:tcPr>
            <w:tcW w:w="979" w:type="dxa"/>
            <w:shd w:val="clear" w:color="auto" w:fill="E36C0A" w:themeFill="accent6" w:themeFillShade="BF"/>
            <w:vAlign w:val="center"/>
          </w:tcPr>
          <w:p w14:paraId="38C9EA17"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2018.gada finansējums, euro</w:t>
            </w:r>
          </w:p>
        </w:tc>
        <w:tc>
          <w:tcPr>
            <w:tcW w:w="1332" w:type="dxa"/>
            <w:shd w:val="clear" w:color="auto" w:fill="E36C0A" w:themeFill="accent6" w:themeFillShade="BF"/>
            <w:vAlign w:val="center"/>
          </w:tcPr>
          <w:p w14:paraId="35264D25"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w:t>
            </w:r>
          </w:p>
        </w:tc>
        <w:tc>
          <w:tcPr>
            <w:tcW w:w="1275" w:type="dxa"/>
            <w:shd w:val="clear" w:color="auto" w:fill="E36C0A" w:themeFill="accent6" w:themeFillShade="BF"/>
            <w:vAlign w:val="center"/>
          </w:tcPr>
          <w:p w14:paraId="196A67A6" w14:textId="5D022C2F" w:rsidR="00972B28" w:rsidRPr="00E93259" w:rsidRDefault="00972B28" w:rsidP="00972B28">
            <w:pPr>
              <w:spacing w:line="276" w:lineRule="auto"/>
              <w:jc w:val="center"/>
              <w:rPr>
                <w:rFonts w:ascii="Times New Roman" w:eastAsia="Times New Roman" w:hAnsi="Times New Roman"/>
                <w:i/>
                <w:sz w:val="16"/>
                <w:szCs w:val="16"/>
              </w:rPr>
            </w:pPr>
            <w:r w:rsidRPr="00CE6921">
              <w:rPr>
                <w:rFonts w:ascii="Times New Roman" w:eastAsia="Times New Roman" w:hAnsi="Times New Roman"/>
                <w:sz w:val="16"/>
                <w:szCs w:val="16"/>
              </w:rPr>
              <w:t>Papildus nepieciešamais sākot no 2019.gada 1.</w:t>
            </w:r>
            <w:r w:rsidR="00565271">
              <w:rPr>
                <w:rFonts w:ascii="Times New Roman" w:eastAsia="Times New Roman" w:hAnsi="Times New Roman"/>
                <w:sz w:val="16"/>
                <w:szCs w:val="16"/>
              </w:rPr>
              <w:t>aprīļa</w:t>
            </w:r>
            <w:r w:rsidR="005A2D7E">
              <w:rPr>
                <w:rFonts w:ascii="Times New Roman" w:eastAsia="Times New Roman" w:hAnsi="Times New Roman"/>
                <w:i/>
                <w:sz w:val="16"/>
                <w:szCs w:val="16"/>
              </w:rPr>
              <w:t xml:space="preserve"> euro</w:t>
            </w:r>
          </w:p>
        </w:tc>
      </w:tr>
      <w:tr w:rsidR="00972B28" w:rsidRPr="00330A34" w14:paraId="0C73F543" w14:textId="77777777" w:rsidTr="00972B28">
        <w:trPr>
          <w:trHeight w:val="433"/>
          <w:jc w:val="center"/>
        </w:trPr>
        <w:tc>
          <w:tcPr>
            <w:tcW w:w="1889" w:type="dxa"/>
          </w:tcPr>
          <w:p w14:paraId="6A0D6FBC" w14:textId="77777777"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Finansējums, lai nodrošinātu iespēju stacionārā vecākiem atrasties kopā ar bērnu</w:t>
            </w:r>
          </w:p>
        </w:tc>
        <w:tc>
          <w:tcPr>
            <w:tcW w:w="1070" w:type="dxa"/>
            <w:vAlign w:val="center"/>
          </w:tcPr>
          <w:p w14:paraId="20847C5B" w14:textId="77777777" w:rsidR="00972B28" w:rsidRPr="00330A34" w:rsidRDefault="00972B28" w:rsidP="00E91BDA">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1 297</w:t>
            </w:r>
          </w:p>
        </w:tc>
        <w:tc>
          <w:tcPr>
            <w:tcW w:w="844" w:type="dxa"/>
            <w:vAlign w:val="center"/>
          </w:tcPr>
          <w:p w14:paraId="15A3689B"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10,81</w:t>
            </w:r>
          </w:p>
        </w:tc>
        <w:tc>
          <w:tcPr>
            <w:tcW w:w="1450" w:type="dxa"/>
            <w:vAlign w:val="center"/>
          </w:tcPr>
          <w:p w14:paraId="38F0C8F7"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14 021</w:t>
            </w:r>
          </w:p>
        </w:tc>
        <w:tc>
          <w:tcPr>
            <w:tcW w:w="979" w:type="dxa"/>
            <w:vAlign w:val="center"/>
          </w:tcPr>
          <w:p w14:paraId="085A9096" w14:textId="77777777" w:rsidR="00972B28" w:rsidRPr="00330A34" w:rsidRDefault="00972B28" w:rsidP="00F251AE">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0</w:t>
            </w:r>
          </w:p>
        </w:tc>
        <w:tc>
          <w:tcPr>
            <w:tcW w:w="1332" w:type="dxa"/>
            <w:vAlign w:val="center"/>
          </w:tcPr>
          <w:p w14:paraId="156990B4"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14 021</w:t>
            </w:r>
          </w:p>
        </w:tc>
        <w:tc>
          <w:tcPr>
            <w:tcW w:w="1275" w:type="dxa"/>
            <w:vAlign w:val="center"/>
          </w:tcPr>
          <w:p w14:paraId="0DE10470" w14:textId="13E4C345" w:rsidR="00972B28" w:rsidRPr="00330A34" w:rsidRDefault="00272E3D" w:rsidP="00E91BDA">
            <w:pPr>
              <w:jc w:val="center"/>
              <w:rPr>
                <w:rFonts w:ascii="Times New Roman" w:eastAsia="Times New Roman" w:hAnsi="Times New Roman"/>
                <w:sz w:val="18"/>
                <w:szCs w:val="18"/>
              </w:rPr>
            </w:pPr>
            <w:r w:rsidRPr="00272E3D">
              <w:rPr>
                <w:rFonts w:ascii="Times New Roman" w:eastAsia="Times New Roman" w:hAnsi="Times New Roman"/>
                <w:sz w:val="18"/>
                <w:szCs w:val="18"/>
              </w:rPr>
              <w:t>10 515</w:t>
            </w:r>
          </w:p>
        </w:tc>
      </w:tr>
    </w:tbl>
    <w:p w14:paraId="5794C422" w14:textId="434096DD" w:rsidR="00972B28" w:rsidRDefault="00972B28" w:rsidP="00972B28">
      <w:pPr>
        <w:spacing w:after="0"/>
        <w:ind w:firstLine="720"/>
        <w:jc w:val="both"/>
        <w:rPr>
          <w:rFonts w:ascii="Times New Roman" w:eastAsia="Times New Roman" w:hAnsi="Times New Roman" w:cs="Times New Roman"/>
          <w:sz w:val="24"/>
          <w:szCs w:val="24"/>
        </w:rPr>
      </w:pPr>
    </w:p>
    <w:p w14:paraId="1FE865DE" w14:textId="2769873C" w:rsidR="002A6ADA" w:rsidRDefault="002A6ADA" w:rsidP="00972B28">
      <w:pPr>
        <w:spacing w:after="0"/>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Indikatīvi nepieciešamais finansējums 2020.gadam, </w:t>
      </w:r>
      <w:r w:rsidRPr="00E93259">
        <w:rPr>
          <w:rFonts w:ascii="Times New Roman" w:eastAsia="Times New Roman" w:hAnsi="Times New Roman"/>
          <w:bCs/>
          <w:sz w:val="24"/>
          <w:szCs w:val="24"/>
        </w:rPr>
        <w:t>lai nodrošinātu iespēju stacionārā vecākiem atrasties kopā ar bērnu</w:t>
      </w:r>
      <w:r w:rsidRPr="001E4659">
        <w:rPr>
          <w:rFonts w:ascii="Times New Roman" w:eastAsia="Times New Roman" w:hAnsi="Times New Roman" w:cs="Times New Roman"/>
          <w:iCs/>
          <w:sz w:val="24"/>
          <w:szCs w:val="24"/>
        </w:rPr>
        <w:t xml:space="preserve"> </w:t>
      </w:r>
      <w:r w:rsidRPr="002A6ADA">
        <w:rPr>
          <w:rFonts w:ascii="Times New Roman" w:eastAsia="Times New Roman" w:hAnsi="Times New Roman" w:cs="Times New Roman"/>
          <w:iCs/>
          <w:sz w:val="24"/>
          <w:szCs w:val="24"/>
        </w:rPr>
        <w:t>i</w:t>
      </w:r>
      <w:r w:rsidRPr="00FA733E">
        <w:rPr>
          <w:rFonts w:ascii="Times New Roman" w:eastAsia="Times New Roman" w:hAnsi="Times New Roman" w:cs="Times New Roman"/>
          <w:iCs/>
          <w:sz w:val="24"/>
          <w:szCs w:val="24"/>
        </w:rPr>
        <w:t>r saglabājams 2019.gada līmenī</w:t>
      </w:r>
      <w:r>
        <w:rPr>
          <w:rFonts w:ascii="Times New Roman" w:eastAsia="Times New Roman" w:hAnsi="Times New Roman" w:cs="Times New Roman"/>
          <w:iCs/>
          <w:sz w:val="24"/>
          <w:szCs w:val="24"/>
        </w:rPr>
        <w:t>.</w:t>
      </w:r>
    </w:p>
    <w:p w14:paraId="6A4D0FC0" w14:textId="77777777" w:rsidR="002A6ADA" w:rsidRDefault="002A6ADA" w:rsidP="00972B28">
      <w:pPr>
        <w:spacing w:after="0"/>
        <w:ind w:firstLine="720"/>
        <w:jc w:val="both"/>
        <w:rPr>
          <w:rFonts w:ascii="Times New Roman" w:eastAsia="Times New Roman" w:hAnsi="Times New Roman" w:cs="Times New Roman"/>
          <w:sz w:val="24"/>
          <w:szCs w:val="24"/>
        </w:rPr>
      </w:pPr>
    </w:p>
    <w:p w14:paraId="0135406B" w14:textId="03779D1F" w:rsidR="00972B28" w:rsidRDefault="00972B28" w:rsidP="00972B28">
      <w:pPr>
        <w:spacing w:after="0"/>
        <w:jc w:val="both"/>
        <w:rPr>
          <w:rFonts w:ascii="Times New Roman" w:eastAsia="Times New Roman" w:hAnsi="Times New Roman" w:cs="Times New Roman"/>
          <w:sz w:val="24"/>
          <w:szCs w:val="24"/>
        </w:rPr>
      </w:pPr>
      <w:r w:rsidRPr="00EB3369">
        <w:rPr>
          <w:rFonts w:ascii="Times New Roman" w:eastAsia="Times New Roman" w:hAnsi="Times New Roman" w:cs="Times New Roman"/>
          <w:sz w:val="24"/>
          <w:szCs w:val="24"/>
          <w:u w:val="single"/>
        </w:rPr>
        <w:t>6.pasākums:</w:t>
      </w:r>
      <w:r w:rsidRPr="001D6901">
        <w:rPr>
          <w:rFonts w:ascii="Times New Roman" w:eastAsia="Times New Roman" w:hAnsi="Times New Roman" w:cs="Times New Roman"/>
          <w:sz w:val="24"/>
          <w:szCs w:val="24"/>
        </w:rPr>
        <w:t xml:space="preserve"> Nodrošināt interešu izglītību bērniem ārstniecības un atveseļošanās procesa laikā VSIA “Bērnu klī</w:t>
      </w:r>
      <w:r>
        <w:rPr>
          <w:rFonts w:ascii="Times New Roman" w:eastAsia="Times New Roman" w:hAnsi="Times New Roman" w:cs="Times New Roman"/>
          <w:sz w:val="24"/>
          <w:szCs w:val="24"/>
        </w:rPr>
        <w:t>niskā universitātes slimnīcā”, kā</w:t>
      </w:r>
      <w:r w:rsidRPr="001D6901">
        <w:rPr>
          <w:rFonts w:ascii="Times New Roman" w:eastAsia="Times New Roman" w:hAnsi="Times New Roman" w:cs="Times New Roman"/>
          <w:sz w:val="24"/>
          <w:szCs w:val="24"/>
        </w:rPr>
        <w:t xml:space="preserve"> arī palīdzēt bērniem mazināt stresu, pārvarēt adaptācijas grūtības atšķirīgajā slimnīcas vidē un aizpildīt no medicīniskajām manipulācijām brīvo laiku</w:t>
      </w:r>
      <w:r w:rsidR="00815A62">
        <w:rPr>
          <w:rFonts w:ascii="Times New Roman" w:eastAsia="Times New Roman" w:hAnsi="Times New Roman" w:cs="Times New Roman"/>
          <w:sz w:val="24"/>
          <w:szCs w:val="24"/>
        </w:rPr>
        <w:t>, kas šobrīd tieši šai pacientu grupai ir bijis ierobežots pasākums</w:t>
      </w:r>
      <w:r w:rsidRPr="001D6901">
        <w:rPr>
          <w:rFonts w:ascii="Times New Roman" w:eastAsia="Times New Roman" w:hAnsi="Times New Roman" w:cs="Times New Roman"/>
          <w:sz w:val="24"/>
          <w:szCs w:val="24"/>
        </w:rPr>
        <w:t xml:space="preserve">. </w:t>
      </w:r>
    </w:p>
    <w:p w14:paraId="72F50A35" w14:textId="5C0933CA" w:rsidR="00972B28" w:rsidRDefault="00972B28" w:rsidP="00972B28">
      <w:pPr>
        <w:spacing w:after="0"/>
        <w:ind w:firstLine="851"/>
        <w:jc w:val="both"/>
        <w:rPr>
          <w:rFonts w:ascii="Times New Roman" w:eastAsia="Times New Roman" w:hAnsi="Times New Roman" w:cs="Times New Roman"/>
          <w:sz w:val="24"/>
          <w:szCs w:val="24"/>
        </w:rPr>
      </w:pPr>
      <w:r w:rsidRPr="001D6901">
        <w:rPr>
          <w:rFonts w:ascii="Times New Roman" w:eastAsia="Times New Roman" w:hAnsi="Times New Roman" w:cs="Times New Roman"/>
          <w:sz w:val="24"/>
          <w:szCs w:val="24"/>
        </w:rPr>
        <w:t>Bērni, kuri ārstējas psihiatrijas nodaļā saistībā ar paškontroles un uzvedības specifiku pedagoģiskās aktivitāt</w:t>
      </w:r>
      <w:r>
        <w:rPr>
          <w:rFonts w:ascii="Times New Roman" w:eastAsia="Times New Roman" w:hAnsi="Times New Roman" w:cs="Times New Roman"/>
          <w:sz w:val="24"/>
          <w:szCs w:val="24"/>
        </w:rPr>
        <w:t>es ir nepietiekami pieejamas, un</w:t>
      </w:r>
      <w:r w:rsidRPr="001D6901">
        <w:rPr>
          <w:rFonts w:ascii="Times New Roman" w:eastAsia="Times New Roman" w:hAnsi="Times New Roman" w:cs="Times New Roman"/>
          <w:sz w:val="24"/>
          <w:szCs w:val="24"/>
        </w:rPr>
        <w:t xml:space="preserve"> brīvdienās un vakara stundās, ko pedagogu darba stundas nenosedz, pacienti ir nomāktā noskaņojumā, jo nav piemērotas nodarbošanās, utt. Tas, savukārt, noved pie uzvedības traucējumu saasinājumiem un konflikta situācijām, ko būtu sevišķi svarīgi novērst ārstēšanās un atveseļošanās procesa laikā. Optimālais interešu izglītības pedagogu atrašanās laiks pie bērniem psihiatrijas nodaļā, kas būtu primāri nepieciešams, ir no pl.10.00 līdz pl. 20.00 katru dienu, ieskaitot brīvās dienas. Lai to nodrošinātu 2 posteņos, pie pašreiz esošajām 2 interešu izglītības pedagogu </w:t>
      </w:r>
      <w:r w:rsidR="00A74987">
        <w:rPr>
          <w:rFonts w:ascii="Times New Roman" w:eastAsia="Times New Roman" w:hAnsi="Times New Roman" w:cs="Times New Roman"/>
          <w:sz w:val="24"/>
          <w:szCs w:val="24"/>
        </w:rPr>
        <w:t>slodzēm</w:t>
      </w:r>
      <w:r w:rsidRPr="001D6901">
        <w:rPr>
          <w:rFonts w:ascii="Times New Roman" w:eastAsia="Times New Roman" w:hAnsi="Times New Roman" w:cs="Times New Roman"/>
          <w:sz w:val="24"/>
          <w:szCs w:val="24"/>
        </w:rPr>
        <w:t xml:space="preserve"> būtu nepieciešams papildus ieviest vēl 3</w:t>
      </w:r>
      <w:r w:rsidR="00A74987">
        <w:rPr>
          <w:rFonts w:ascii="Times New Roman" w:eastAsia="Times New Roman" w:hAnsi="Times New Roman" w:cs="Times New Roman"/>
          <w:sz w:val="24"/>
          <w:szCs w:val="24"/>
        </w:rPr>
        <w:t>,75</w:t>
      </w:r>
      <w:r w:rsidRPr="001D6901">
        <w:rPr>
          <w:rFonts w:ascii="Times New Roman" w:eastAsia="Times New Roman" w:hAnsi="Times New Roman" w:cs="Times New Roman"/>
          <w:sz w:val="24"/>
          <w:szCs w:val="24"/>
        </w:rPr>
        <w:t xml:space="preserve"> interešu izglītības pedagogu </w:t>
      </w:r>
      <w:r w:rsidR="00A74987">
        <w:rPr>
          <w:rFonts w:ascii="Times New Roman" w:eastAsia="Times New Roman" w:hAnsi="Times New Roman" w:cs="Times New Roman"/>
          <w:sz w:val="24"/>
          <w:szCs w:val="24"/>
        </w:rPr>
        <w:t>slodzes</w:t>
      </w:r>
      <w:r w:rsidR="00D55481">
        <w:rPr>
          <w:rFonts w:ascii="Times New Roman" w:eastAsia="Times New Roman" w:hAnsi="Times New Roman" w:cs="Times New Roman"/>
          <w:sz w:val="24"/>
          <w:szCs w:val="24"/>
        </w:rPr>
        <w:t xml:space="preserve"> (</w:t>
      </w:r>
      <w:r w:rsidR="00E118ED">
        <w:rPr>
          <w:rFonts w:ascii="Times New Roman" w:eastAsia="Times New Roman" w:hAnsi="Times New Roman" w:cs="Times New Roman"/>
          <w:sz w:val="24"/>
          <w:szCs w:val="24"/>
        </w:rPr>
        <w:t>102</w:t>
      </w:r>
      <w:r w:rsidR="00D55481">
        <w:rPr>
          <w:rFonts w:ascii="Times New Roman" w:eastAsia="Times New Roman" w:hAnsi="Times New Roman" w:cs="Times New Roman"/>
          <w:sz w:val="24"/>
          <w:szCs w:val="24"/>
        </w:rPr>
        <w:t>.tabula)</w:t>
      </w:r>
      <w:r w:rsidRPr="001D6901">
        <w:rPr>
          <w:rFonts w:ascii="Times New Roman" w:eastAsia="Times New Roman" w:hAnsi="Times New Roman" w:cs="Times New Roman"/>
          <w:sz w:val="24"/>
          <w:szCs w:val="24"/>
        </w:rPr>
        <w:t>. Tas bērniem nodrošinātu nepieciešamās pēcpusdienas āra pastaigas, kas šobrīd personāla trūkuma dēļ tiek veiktas daļēji, un pacientu drošību pastaigu laikā, kā arī būtu iespējams vērst vairāk uzmanības  pacientu individuālajām vajadzībām, kas ir būtiski darbā ar bērniem ar psihiatrijas spektra traucējumiem.</w:t>
      </w:r>
    </w:p>
    <w:p w14:paraId="41CFB3FF" w14:textId="77777777" w:rsidR="00B96378" w:rsidRDefault="00B96378" w:rsidP="00972B28">
      <w:pPr>
        <w:spacing w:after="0"/>
        <w:ind w:firstLine="851"/>
        <w:jc w:val="both"/>
        <w:rPr>
          <w:rFonts w:ascii="Times New Roman" w:eastAsia="Times New Roman" w:hAnsi="Times New Roman" w:cs="Times New Roman"/>
          <w:sz w:val="24"/>
          <w:szCs w:val="24"/>
        </w:rPr>
      </w:pPr>
    </w:p>
    <w:p w14:paraId="0C631241" w14:textId="41341BAD" w:rsidR="00DF1BD8" w:rsidRPr="00E93259" w:rsidRDefault="00E118ED" w:rsidP="00E118ED">
      <w:pPr>
        <w:spacing w:after="0"/>
        <w:ind w:firstLine="851"/>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102</w:t>
      </w:r>
      <w:r w:rsidR="00DF1BD8" w:rsidRPr="00E93259">
        <w:rPr>
          <w:rFonts w:ascii="Times New Roman" w:eastAsia="Times New Roman" w:hAnsi="Times New Roman" w:cs="Times New Roman"/>
          <w:i/>
          <w:iCs/>
          <w:sz w:val="24"/>
          <w:szCs w:val="24"/>
        </w:rPr>
        <w:t>.tabula</w:t>
      </w:r>
    </w:p>
    <w:p w14:paraId="2B4DB81F" w14:textId="6D7512FD" w:rsidR="00E42920" w:rsidRPr="00E93259" w:rsidRDefault="00E42920" w:rsidP="00E93259">
      <w:pPr>
        <w:spacing w:after="0"/>
        <w:ind w:firstLine="851"/>
        <w:rPr>
          <w:rFonts w:ascii="Times New Roman" w:eastAsia="Times New Roman" w:hAnsi="Times New Roman" w:cs="Times New Roman"/>
          <w:b/>
          <w:bCs/>
          <w:sz w:val="24"/>
          <w:szCs w:val="24"/>
        </w:rPr>
      </w:pPr>
      <w:r w:rsidRPr="00E93259">
        <w:rPr>
          <w:rFonts w:ascii="Times New Roman" w:eastAsia="Times New Roman" w:hAnsi="Times New Roman" w:cs="Times New Roman"/>
          <w:b/>
          <w:bCs/>
          <w:sz w:val="24"/>
          <w:szCs w:val="24"/>
        </w:rPr>
        <w:t>Interešu izglītības nodrošināšanai bērniem ārstniecības un atveseļošanās procesa laikā VSIA “Bērnu klīniskā universitātes slimnīcā” nepieciešamais finansējums</w:t>
      </w:r>
    </w:p>
    <w:tbl>
      <w:tblPr>
        <w:tblStyle w:val="TableGrid"/>
        <w:tblW w:w="9099" w:type="dxa"/>
        <w:tblLook w:val="04A0" w:firstRow="1" w:lastRow="0" w:firstColumn="1" w:lastColumn="0" w:noHBand="0" w:noVBand="1"/>
      </w:tblPr>
      <w:tblGrid>
        <w:gridCol w:w="1838"/>
        <w:gridCol w:w="1517"/>
        <w:gridCol w:w="1911"/>
        <w:gridCol w:w="1911"/>
        <w:gridCol w:w="1922"/>
      </w:tblGrid>
      <w:tr w:rsidR="009F3484" w14:paraId="409F96A3" w14:textId="77777777" w:rsidTr="00E93259">
        <w:tc>
          <w:tcPr>
            <w:tcW w:w="1838" w:type="dxa"/>
            <w:shd w:val="clear" w:color="auto" w:fill="E36C0A" w:themeFill="accent6" w:themeFillShade="BF"/>
          </w:tcPr>
          <w:p w14:paraId="3A033BCE" w14:textId="48C3802B" w:rsidR="009F3484" w:rsidRPr="00F279D3" w:rsidRDefault="00401FE4" w:rsidP="00E93259">
            <w:pPr>
              <w:jc w:val="center"/>
              <w:rPr>
                <w:rFonts w:ascii="Times New Roman" w:eastAsia="Times New Roman" w:hAnsi="Times New Roman"/>
                <w:b/>
                <w:bCs/>
              </w:rPr>
            </w:pPr>
            <w:r w:rsidRPr="00F279D3">
              <w:rPr>
                <w:rFonts w:ascii="Times New Roman" w:eastAsia="Times New Roman" w:hAnsi="Times New Roman"/>
                <w:b/>
                <w:bCs/>
              </w:rPr>
              <w:t>Pasākums</w:t>
            </w:r>
          </w:p>
        </w:tc>
        <w:tc>
          <w:tcPr>
            <w:tcW w:w="1517" w:type="dxa"/>
            <w:shd w:val="clear" w:color="auto" w:fill="E36C0A" w:themeFill="accent6" w:themeFillShade="BF"/>
          </w:tcPr>
          <w:p w14:paraId="74738BD4" w14:textId="678870BC" w:rsidR="009F3484" w:rsidRPr="00F279D3" w:rsidRDefault="009F3484">
            <w:pPr>
              <w:jc w:val="center"/>
              <w:rPr>
                <w:rFonts w:ascii="Times New Roman" w:eastAsia="Times New Roman" w:hAnsi="Times New Roman"/>
                <w:b/>
                <w:bCs/>
              </w:rPr>
            </w:pPr>
            <w:r w:rsidRPr="00F279D3">
              <w:rPr>
                <w:rFonts w:ascii="Times New Roman" w:eastAsia="Times New Roman" w:hAnsi="Times New Roman"/>
                <w:b/>
                <w:bCs/>
              </w:rPr>
              <w:t xml:space="preserve">2018.gadā pieejamais finansējums </w:t>
            </w:r>
            <w:r w:rsidRPr="00F279D3">
              <w:rPr>
                <w:rFonts w:ascii="Times New Roman" w:eastAsia="Times New Roman" w:hAnsi="Times New Roman"/>
                <w:b/>
                <w:bCs/>
                <w:i/>
                <w:iCs/>
              </w:rPr>
              <w:t>euro</w:t>
            </w:r>
          </w:p>
        </w:tc>
        <w:tc>
          <w:tcPr>
            <w:tcW w:w="1911" w:type="dxa"/>
            <w:shd w:val="clear" w:color="auto" w:fill="E36C0A" w:themeFill="accent6" w:themeFillShade="BF"/>
          </w:tcPr>
          <w:p w14:paraId="291A1B63" w14:textId="249EA02C" w:rsidR="009F3484" w:rsidRPr="00F279D3" w:rsidRDefault="009F3484" w:rsidP="00E93259">
            <w:pPr>
              <w:jc w:val="center"/>
              <w:rPr>
                <w:rFonts w:ascii="Times New Roman" w:eastAsia="Times New Roman" w:hAnsi="Times New Roman"/>
                <w:b/>
                <w:bCs/>
              </w:rPr>
            </w:pPr>
            <w:r w:rsidRPr="00F279D3">
              <w:rPr>
                <w:rFonts w:ascii="Times New Roman" w:eastAsia="Times New Roman" w:hAnsi="Times New Roman"/>
                <w:b/>
                <w:bCs/>
              </w:rPr>
              <w:t xml:space="preserve">2019.gadā nepieciešamais finansējums </w:t>
            </w:r>
            <w:r w:rsidRPr="00F279D3">
              <w:rPr>
                <w:rFonts w:ascii="Times New Roman" w:eastAsia="Times New Roman" w:hAnsi="Times New Roman"/>
                <w:b/>
                <w:bCs/>
                <w:i/>
                <w:iCs/>
              </w:rPr>
              <w:t>euro</w:t>
            </w:r>
          </w:p>
        </w:tc>
        <w:tc>
          <w:tcPr>
            <w:tcW w:w="1911" w:type="dxa"/>
            <w:shd w:val="clear" w:color="auto" w:fill="E36C0A" w:themeFill="accent6" w:themeFillShade="BF"/>
          </w:tcPr>
          <w:p w14:paraId="1679DDA5" w14:textId="69BC5E84" w:rsidR="7AC5D0E7" w:rsidRPr="00F279D3" w:rsidRDefault="7AC5D0E7" w:rsidP="00E93259">
            <w:pPr>
              <w:jc w:val="center"/>
              <w:rPr>
                <w:rFonts w:ascii="Times New Roman" w:eastAsia="Times New Roman" w:hAnsi="Times New Roman"/>
                <w:b/>
                <w:bCs/>
              </w:rPr>
            </w:pPr>
            <w:r w:rsidRPr="00F279D3">
              <w:rPr>
                <w:rFonts w:ascii="Times New Roman" w:eastAsia="Times New Roman" w:hAnsi="Times New Roman"/>
                <w:b/>
                <w:bCs/>
              </w:rPr>
              <w:t xml:space="preserve">Papildus nepieciešamais finansējums no 2019.gada 1.aprīļa </w:t>
            </w:r>
            <w:r w:rsidRPr="00F279D3">
              <w:rPr>
                <w:rFonts w:ascii="Times New Roman" w:eastAsia="Times New Roman" w:hAnsi="Times New Roman"/>
                <w:b/>
                <w:bCs/>
                <w:i/>
                <w:iCs/>
              </w:rPr>
              <w:t>euro</w:t>
            </w:r>
          </w:p>
        </w:tc>
        <w:tc>
          <w:tcPr>
            <w:tcW w:w="1922" w:type="dxa"/>
            <w:shd w:val="clear" w:color="auto" w:fill="E36C0A" w:themeFill="accent6" w:themeFillShade="BF"/>
          </w:tcPr>
          <w:p w14:paraId="69997EBA" w14:textId="0F18CAF0" w:rsidR="009F3484" w:rsidRPr="00F279D3" w:rsidRDefault="4CC006CE" w:rsidP="00E93259">
            <w:pPr>
              <w:jc w:val="center"/>
              <w:rPr>
                <w:rFonts w:ascii="Times New Roman" w:eastAsia="Times New Roman" w:hAnsi="Times New Roman"/>
                <w:b/>
                <w:bCs/>
              </w:rPr>
            </w:pPr>
            <w:r w:rsidRPr="00F279D3">
              <w:rPr>
                <w:rFonts w:ascii="Times New Roman" w:eastAsia="Times New Roman" w:hAnsi="Times New Roman"/>
                <w:b/>
                <w:bCs/>
              </w:rPr>
              <w:t>Papil</w:t>
            </w:r>
            <w:r w:rsidR="11CFECBE" w:rsidRPr="00F279D3">
              <w:rPr>
                <w:rFonts w:ascii="Times New Roman" w:eastAsia="Times New Roman" w:hAnsi="Times New Roman"/>
                <w:b/>
                <w:bCs/>
              </w:rPr>
              <w:t>dus n</w:t>
            </w:r>
            <w:r w:rsidR="009F3484" w:rsidRPr="00F279D3">
              <w:rPr>
                <w:rFonts w:ascii="Times New Roman" w:eastAsia="Times New Roman" w:hAnsi="Times New Roman"/>
                <w:b/>
                <w:bCs/>
              </w:rPr>
              <w:t xml:space="preserve">epieciešamais finansējums no 2019.gada 1.aprīļa </w:t>
            </w:r>
            <w:r w:rsidR="009F3484" w:rsidRPr="00F279D3">
              <w:rPr>
                <w:rFonts w:ascii="Times New Roman" w:eastAsia="Times New Roman" w:hAnsi="Times New Roman"/>
                <w:b/>
                <w:bCs/>
                <w:i/>
                <w:iCs/>
              </w:rPr>
              <w:t>euro</w:t>
            </w:r>
          </w:p>
        </w:tc>
      </w:tr>
      <w:tr w:rsidR="009F3484" w14:paraId="0F335EF6" w14:textId="77777777" w:rsidTr="00E93259">
        <w:tc>
          <w:tcPr>
            <w:tcW w:w="1838" w:type="dxa"/>
            <w:vMerge w:val="restart"/>
          </w:tcPr>
          <w:p w14:paraId="4562C8BA" w14:textId="7F22416D" w:rsidR="009F3484" w:rsidRPr="00E93259" w:rsidRDefault="00D47770" w:rsidP="00E93259">
            <w:pPr>
              <w:jc w:val="center"/>
              <w:rPr>
                <w:rFonts w:ascii="Times New Roman" w:eastAsia="Times New Roman" w:hAnsi="Times New Roman"/>
              </w:rPr>
            </w:pPr>
            <w:r w:rsidRPr="00E93259">
              <w:rPr>
                <w:rFonts w:ascii="Times New Roman" w:eastAsia="Times New Roman" w:hAnsi="Times New Roman"/>
                <w:sz w:val="22"/>
                <w:szCs w:val="22"/>
              </w:rPr>
              <w:t>Interešu izglītības nodrošināšana bērniem ārstniecības un atveseļošanās procesa laikā</w:t>
            </w:r>
          </w:p>
        </w:tc>
        <w:tc>
          <w:tcPr>
            <w:tcW w:w="1517" w:type="dxa"/>
          </w:tcPr>
          <w:p w14:paraId="0CA6BB71" w14:textId="5CC9470A" w:rsidR="009F3484" w:rsidRPr="00E93259" w:rsidRDefault="009F3484" w:rsidP="00E2169E">
            <w:pPr>
              <w:jc w:val="center"/>
              <w:rPr>
                <w:rFonts w:ascii="Times New Roman" w:eastAsia="Times New Roman" w:hAnsi="Times New Roman"/>
              </w:rPr>
            </w:pPr>
            <w:r w:rsidRPr="00E93259">
              <w:rPr>
                <w:rFonts w:ascii="Times New Roman" w:eastAsia="Times New Roman" w:hAnsi="Times New Roman"/>
                <w:sz w:val="22"/>
                <w:szCs w:val="22"/>
              </w:rPr>
              <w:t>1</w:t>
            </w:r>
          </w:p>
        </w:tc>
        <w:tc>
          <w:tcPr>
            <w:tcW w:w="1911" w:type="dxa"/>
          </w:tcPr>
          <w:p w14:paraId="79BB556B" w14:textId="0FC827AC" w:rsidR="009F3484" w:rsidRPr="00E93259" w:rsidRDefault="009F3484" w:rsidP="00E93259">
            <w:pPr>
              <w:jc w:val="center"/>
              <w:rPr>
                <w:rFonts w:ascii="Times New Roman" w:eastAsia="Times New Roman" w:hAnsi="Times New Roman"/>
              </w:rPr>
            </w:pPr>
            <w:r w:rsidRPr="00E93259">
              <w:rPr>
                <w:rFonts w:ascii="Times New Roman" w:eastAsia="Times New Roman" w:hAnsi="Times New Roman"/>
                <w:sz w:val="22"/>
                <w:szCs w:val="22"/>
              </w:rPr>
              <w:t>2</w:t>
            </w:r>
          </w:p>
        </w:tc>
        <w:tc>
          <w:tcPr>
            <w:tcW w:w="1911" w:type="dxa"/>
          </w:tcPr>
          <w:p w14:paraId="7E39DB14" w14:textId="1D9E47D5" w:rsidR="7AC5D0E7" w:rsidRPr="00E93259" w:rsidRDefault="280FC1E6" w:rsidP="00E93259">
            <w:pPr>
              <w:jc w:val="center"/>
              <w:rPr>
                <w:rFonts w:ascii="Times New Roman" w:eastAsia="Times New Roman" w:hAnsi="Times New Roman"/>
              </w:rPr>
            </w:pPr>
            <w:r w:rsidRPr="00E93259">
              <w:rPr>
                <w:rFonts w:ascii="Times New Roman" w:eastAsia="Times New Roman" w:hAnsi="Times New Roman"/>
              </w:rPr>
              <w:t>3=2-1</w:t>
            </w:r>
          </w:p>
        </w:tc>
        <w:tc>
          <w:tcPr>
            <w:tcW w:w="1922" w:type="dxa"/>
          </w:tcPr>
          <w:p w14:paraId="22C8DF83" w14:textId="452E2072" w:rsidR="009F3484" w:rsidRPr="00E93259" w:rsidRDefault="0C4F73A1" w:rsidP="00E93259">
            <w:pPr>
              <w:jc w:val="center"/>
              <w:rPr>
                <w:rFonts w:ascii="Times New Roman" w:eastAsia="Times New Roman" w:hAnsi="Times New Roman"/>
              </w:rPr>
            </w:pPr>
            <w:r w:rsidRPr="00E93259">
              <w:rPr>
                <w:rFonts w:ascii="Times New Roman" w:eastAsia="Times New Roman" w:hAnsi="Times New Roman"/>
                <w:sz w:val="22"/>
                <w:szCs w:val="22"/>
              </w:rPr>
              <w:t>4=3/12*9</w:t>
            </w:r>
          </w:p>
        </w:tc>
      </w:tr>
      <w:tr w:rsidR="00A74987" w14:paraId="361B7186" w14:textId="77777777" w:rsidTr="00E93259">
        <w:tc>
          <w:tcPr>
            <w:tcW w:w="1838" w:type="dxa"/>
            <w:vMerge/>
          </w:tcPr>
          <w:p w14:paraId="40CEC9F3" w14:textId="703B7F46" w:rsidR="00A74987" w:rsidRPr="00E93259" w:rsidRDefault="00A74987" w:rsidP="00A74987">
            <w:pPr>
              <w:jc w:val="center"/>
              <w:rPr>
                <w:rFonts w:ascii="Times New Roman" w:hAnsi="Times New Roman"/>
              </w:rPr>
            </w:pPr>
          </w:p>
        </w:tc>
        <w:tc>
          <w:tcPr>
            <w:tcW w:w="1517" w:type="dxa"/>
            <w:vAlign w:val="center"/>
          </w:tcPr>
          <w:p w14:paraId="6883C738" w14:textId="6814B6B4" w:rsidR="00A74987" w:rsidRPr="002E55AB" w:rsidRDefault="00A74987" w:rsidP="00A74987">
            <w:pPr>
              <w:jc w:val="center"/>
              <w:rPr>
                <w:rFonts w:ascii="Times New Roman" w:hAnsi="Times New Roman"/>
                <w:bCs/>
              </w:rPr>
            </w:pPr>
            <w:r>
              <w:rPr>
                <w:rFonts w:ascii="Times New Roman" w:hAnsi="Times New Roman"/>
                <w:lang w:val="en-US"/>
              </w:rPr>
              <w:t>21 108</w:t>
            </w:r>
          </w:p>
        </w:tc>
        <w:tc>
          <w:tcPr>
            <w:tcW w:w="1911" w:type="dxa"/>
            <w:vAlign w:val="center"/>
          </w:tcPr>
          <w:p w14:paraId="58264D29" w14:textId="7DB20DEC" w:rsidR="00A74987" w:rsidRPr="00E93259" w:rsidRDefault="00A74987" w:rsidP="00A74987">
            <w:pPr>
              <w:jc w:val="center"/>
              <w:rPr>
                <w:rFonts w:ascii="Times New Roman" w:hAnsi="Times New Roman"/>
                <w:bCs/>
              </w:rPr>
            </w:pPr>
            <w:r>
              <w:rPr>
                <w:rFonts w:ascii="Times New Roman" w:hAnsi="Times New Roman"/>
                <w:bCs/>
                <w:lang w:val="en-US"/>
              </w:rPr>
              <w:t>62 430</w:t>
            </w:r>
          </w:p>
        </w:tc>
        <w:tc>
          <w:tcPr>
            <w:tcW w:w="1911" w:type="dxa"/>
            <w:vAlign w:val="center"/>
          </w:tcPr>
          <w:p w14:paraId="37BE5C44" w14:textId="32CD2493" w:rsidR="00A74987" w:rsidRPr="00E93259" w:rsidRDefault="00A74987" w:rsidP="00A74987">
            <w:pPr>
              <w:jc w:val="center"/>
              <w:rPr>
                <w:rFonts w:ascii="Times New Roman" w:hAnsi="Times New Roman"/>
              </w:rPr>
            </w:pPr>
            <w:r>
              <w:rPr>
                <w:rFonts w:ascii="Times New Roman" w:hAnsi="Times New Roman"/>
                <w:lang w:val="en-US"/>
              </w:rPr>
              <w:t>41 322</w:t>
            </w:r>
          </w:p>
        </w:tc>
        <w:tc>
          <w:tcPr>
            <w:tcW w:w="1922" w:type="dxa"/>
            <w:vAlign w:val="center"/>
          </w:tcPr>
          <w:p w14:paraId="506B0E96" w14:textId="0300EF67" w:rsidR="00A74987" w:rsidRPr="00E93259" w:rsidRDefault="00A74987" w:rsidP="00A74987">
            <w:pPr>
              <w:jc w:val="center"/>
              <w:rPr>
                <w:rFonts w:ascii="Times New Roman" w:eastAsia="Times New Roman" w:hAnsi="Times New Roman"/>
                <w:b/>
              </w:rPr>
            </w:pPr>
            <w:r>
              <w:rPr>
                <w:rFonts w:ascii="Times New Roman" w:eastAsia="Times New Roman" w:hAnsi="Times New Roman"/>
                <w:b/>
                <w:lang w:val="en-US"/>
              </w:rPr>
              <w:t>30 992</w:t>
            </w:r>
          </w:p>
        </w:tc>
      </w:tr>
    </w:tbl>
    <w:p w14:paraId="57F79681" w14:textId="77777777" w:rsidR="00E2169E" w:rsidRDefault="00E2169E" w:rsidP="00E93259">
      <w:pPr>
        <w:spacing w:after="0"/>
        <w:ind w:firstLine="851"/>
        <w:jc w:val="right"/>
        <w:rPr>
          <w:rFonts w:ascii="Times New Roman" w:eastAsia="Times New Roman" w:hAnsi="Times New Roman" w:cs="Times New Roman"/>
          <w:sz w:val="24"/>
          <w:szCs w:val="24"/>
        </w:rPr>
      </w:pPr>
    </w:p>
    <w:p w14:paraId="11EAE009" w14:textId="77777777" w:rsidR="00DF1BD8" w:rsidRPr="001D6901" w:rsidRDefault="00DF1BD8" w:rsidP="00E93259">
      <w:pPr>
        <w:spacing w:after="0"/>
        <w:ind w:firstLine="851"/>
        <w:jc w:val="right"/>
        <w:rPr>
          <w:rFonts w:ascii="Times New Roman" w:eastAsia="Times New Roman" w:hAnsi="Times New Roman" w:cs="Times New Roman"/>
          <w:sz w:val="24"/>
          <w:szCs w:val="24"/>
        </w:rPr>
      </w:pPr>
    </w:p>
    <w:p w14:paraId="3CFA94B4" w14:textId="77777777" w:rsidR="00A74987" w:rsidRDefault="00A74987" w:rsidP="00A74987">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to īsteno, papildus 2018.gada jau esošām finansējumam 21 108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apmērā ir </w:t>
      </w:r>
      <w:r>
        <w:rPr>
          <w:rFonts w:ascii="Times New Roman" w:eastAsia="Times New Roman" w:hAnsi="Times New Roman" w:cs="Times New Roman"/>
          <w:b/>
          <w:sz w:val="24"/>
          <w:szCs w:val="24"/>
        </w:rPr>
        <w:t xml:space="preserve">nepieciešams nodrošināt 30 992 </w:t>
      </w:r>
      <w:r>
        <w:rPr>
          <w:rFonts w:ascii="Times New Roman" w:eastAsia="Times New Roman" w:hAnsi="Times New Roman" w:cs="Times New Roman"/>
          <w:b/>
          <w:i/>
          <w:sz w:val="24"/>
          <w:szCs w:val="24"/>
        </w:rPr>
        <w:t>euro</w:t>
      </w:r>
      <w:r>
        <w:rPr>
          <w:rFonts w:ascii="Times New Roman" w:eastAsia="Times New Roman" w:hAnsi="Times New Roman" w:cs="Times New Roman"/>
          <w:b/>
          <w:sz w:val="24"/>
          <w:szCs w:val="24"/>
        </w:rPr>
        <w:t xml:space="preserve"> 2019.gada 9 mēnešiem</w:t>
      </w:r>
      <w:r>
        <w:rPr>
          <w:rFonts w:ascii="Times New Roman" w:eastAsia="Times New Roman" w:hAnsi="Times New Roman" w:cs="Times New Roman"/>
          <w:sz w:val="24"/>
          <w:szCs w:val="24"/>
        </w:rPr>
        <w:t xml:space="preserve"> (pakalpojuma kopējais finansējums pilnām 2019.gadam ir 62 430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w:t>
      </w:r>
    </w:p>
    <w:p w14:paraId="3F98208D" w14:textId="77777777" w:rsidR="002A6ADA" w:rsidRDefault="002A6ADA" w:rsidP="00972B28">
      <w:pPr>
        <w:spacing w:after="0"/>
        <w:ind w:firstLine="851"/>
        <w:jc w:val="both"/>
        <w:rPr>
          <w:rFonts w:ascii="Times New Roman" w:eastAsia="Times New Roman" w:hAnsi="Times New Roman" w:cs="Times New Roman"/>
          <w:sz w:val="24"/>
          <w:szCs w:val="24"/>
        </w:rPr>
      </w:pPr>
    </w:p>
    <w:p w14:paraId="3EA4D104" w14:textId="419E1CFD" w:rsidR="002A6ADA" w:rsidRDefault="002A6ADA" w:rsidP="00972B2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Indikatīvi nepieciešamais finansējums 2020.gadam</w:t>
      </w:r>
      <w:r w:rsidRPr="002A6ADA">
        <w:rPr>
          <w:rFonts w:ascii="Times New Roman" w:eastAsia="Times New Roman" w:hAnsi="Times New Roman" w:cs="Times New Roman"/>
          <w:b/>
          <w:bCs/>
          <w:sz w:val="24"/>
          <w:szCs w:val="24"/>
        </w:rPr>
        <w:t xml:space="preserve"> </w:t>
      </w:r>
      <w:r w:rsidRPr="001E4659">
        <w:rPr>
          <w:rFonts w:ascii="Times New Roman" w:eastAsia="Times New Roman" w:hAnsi="Times New Roman" w:cs="Times New Roman"/>
          <w:bCs/>
          <w:sz w:val="24"/>
          <w:szCs w:val="24"/>
        </w:rPr>
        <w:t>i</w:t>
      </w:r>
      <w:r w:rsidRPr="00E93259">
        <w:rPr>
          <w:rFonts w:ascii="Times New Roman" w:eastAsia="Times New Roman" w:hAnsi="Times New Roman" w:cs="Times New Roman"/>
          <w:bCs/>
          <w:sz w:val="24"/>
          <w:szCs w:val="24"/>
        </w:rPr>
        <w:t>nterešu izglītības nodrošināšanai bērniem ārstniecības un atveseļošanās procesa laikā VSIA “Bērnu klīniskā universitātes slimnīcā”</w:t>
      </w:r>
      <w:r w:rsidRPr="00FA733E">
        <w:rPr>
          <w:rFonts w:ascii="Times New Roman" w:eastAsia="Times New Roman" w:hAnsi="Times New Roman" w:cs="Times New Roman"/>
          <w:b/>
          <w:bCs/>
          <w:sz w:val="24"/>
          <w:szCs w:val="24"/>
        </w:rPr>
        <w:t xml:space="preserve"> </w:t>
      </w:r>
      <w:r w:rsidRPr="00FA733E">
        <w:rPr>
          <w:rFonts w:ascii="Times New Roman" w:eastAsia="Times New Roman" w:hAnsi="Times New Roman" w:cs="Times New Roman"/>
          <w:iCs/>
          <w:sz w:val="24"/>
          <w:szCs w:val="24"/>
        </w:rPr>
        <w:t xml:space="preserve"> ir saglabājams 2019.gada līmenī</w:t>
      </w:r>
      <w:r>
        <w:rPr>
          <w:rFonts w:ascii="Times New Roman" w:eastAsia="Times New Roman" w:hAnsi="Times New Roman" w:cs="Times New Roman"/>
          <w:iCs/>
          <w:sz w:val="24"/>
          <w:szCs w:val="24"/>
        </w:rPr>
        <w:t>.</w:t>
      </w:r>
    </w:p>
    <w:p w14:paraId="2AC5F524" w14:textId="77777777" w:rsidR="00972B28" w:rsidRPr="001D6901" w:rsidRDefault="00972B28" w:rsidP="00972B28">
      <w:pPr>
        <w:spacing w:after="0"/>
        <w:ind w:firstLine="720"/>
        <w:jc w:val="both"/>
        <w:rPr>
          <w:rFonts w:ascii="Times" w:hAnsi="Times"/>
          <w:sz w:val="24"/>
          <w:szCs w:val="24"/>
        </w:rPr>
      </w:pPr>
    </w:p>
    <w:p w14:paraId="075A32CF" w14:textId="77777777" w:rsidR="00972B28" w:rsidRDefault="00972B28" w:rsidP="00972B28">
      <w:pPr>
        <w:spacing w:after="0"/>
        <w:jc w:val="both"/>
        <w:rPr>
          <w:rFonts w:ascii="Times" w:hAnsi="Times"/>
          <w:sz w:val="24"/>
          <w:szCs w:val="24"/>
        </w:rPr>
      </w:pPr>
      <w:r w:rsidRPr="003E0776">
        <w:rPr>
          <w:rFonts w:ascii="Times" w:hAnsi="Times"/>
          <w:sz w:val="24"/>
          <w:szCs w:val="24"/>
          <w:u w:val="single"/>
        </w:rPr>
        <w:lastRenderedPageBreak/>
        <w:t>7.pasākums:</w:t>
      </w:r>
      <w:r>
        <w:rPr>
          <w:rFonts w:ascii="Times" w:hAnsi="Times"/>
          <w:sz w:val="24"/>
          <w:szCs w:val="24"/>
        </w:rPr>
        <w:t xml:space="preserve"> Pilotprojekts “</w:t>
      </w:r>
      <w:r w:rsidRPr="003E0776">
        <w:rPr>
          <w:rFonts w:ascii="Times" w:hAnsi="Times"/>
          <w:sz w:val="24"/>
          <w:szCs w:val="24"/>
        </w:rPr>
        <w:t>Pierādījumos balstīta jauniešu garīgās veselības sekundārās profilakses programma garastāvokļa un uzvedības traucējumu novēršanai un seku mazināšanai</w:t>
      </w:r>
      <w:r>
        <w:rPr>
          <w:rFonts w:ascii="Times" w:hAnsi="Times"/>
          <w:sz w:val="24"/>
          <w:szCs w:val="24"/>
        </w:rPr>
        <w:t>”.</w:t>
      </w:r>
    </w:p>
    <w:p w14:paraId="2A5BE2AD" w14:textId="77777777" w:rsidR="00972B28" w:rsidRPr="001D6901" w:rsidRDefault="00972B28" w:rsidP="00972B28">
      <w:pPr>
        <w:spacing w:after="0"/>
        <w:ind w:firstLine="709"/>
        <w:jc w:val="both"/>
        <w:rPr>
          <w:rFonts w:ascii="Times" w:hAnsi="Times"/>
          <w:sz w:val="24"/>
          <w:szCs w:val="24"/>
        </w:rPr>
      </w:pPr>
      <w:r w:rsidRPr="001D6901">
        <w:rPr>
          <w:rFonts w:ascii="Times" w:hAnsi="Times"/>
          <w:sz w:val="24"/>
          <w:szCs w:val="24"/>
        </w:rPr>
        <w:t>Latvijā ar garīgās veselības traucējumiem saskaras ap 10% nepilngadīgo,</w:t>
      </w:r>
      <w:r w:rsidRPr="001D6901">
        <w:rPr>
          <w:rStyle w:val="FootnoteReference"/>
          <w:rFonts w:ascii="Times" w:hAnsi="Times"/>
          <w:sz w:val="24"/>
          <w:szCs w:val="24"/>
        </w:rPr>
        <w:footnoteReference w:id="78"/>
      </w:r>
      <w:r w:rsidRPr="001D6901">
        <w:rPr>
          <w:rFonts w:ascii="Times" w:hAnsi="Times"/>
          <w:sz w:val="24"/>
          <w:szCs w:val="24"/>
        </w:rPr>
        <w:t xml:space="preserve"> bet 4% jauniešu 15-24 gadu vecumā identificējami depresijas simptomi.</w:t>
      </w:r>
      <w:r w:rsidRPr="001D6901">
        <w:rPr>
          <w:rStyle w:val="FootnoteReference"/>
          <w:rFonts w:ascii="Times" w:hAnsi="Times"/>
          <w:sz w:val="24"/>
          <w:szCs w:val="24"/>
        </w:rPr>
        <w:t xml:space="preserve"> </w:t>
      </w:r>
      <w:r w:rsidRPr="001D6901">
        <w:rPr>
          <w:rStyle w:val="FootnoteReference"/>
          <w:rFonts w:ascii="Times" w:hAnsi="Times"/>
          <w:sz w:val="24"/>
          <w:szCs w:val="24"/>
        </w:rPr>
        <w:footnoteReference w:id="79"/>
      </w:r>
      <w:r w:rsidRPr="001D6901">
        <w:rPr>
          <w:rFonts w:ascii="Times" w:hAnsi="Times"/>
          <w:sz w:val="24"/>
          <w:szCs w:val="24"/>
        </w:rPr>
        <w:t xml:space="preserve"> Pēc speciālistu domām reālie skaitļi visticamāk ir lielāki, un dažādi garīgās veselības traucējumi pat pie ļoti konservatīviem aprēķiniem varētu būt konstatējami vidēji 6% bērnu, bet vēl 6% atrodas riska grupā. Ja šiem skaitļiem pieskaita dažādas atkarības, tad riska grupā atrodas vairāk nekā 30% jauniešu.</w:t>
      </w:r>
      <w:r w:rsidRPr="001D6901">
        <w:rPr>
          <w:rStyle w:val="FootnoteReference"/>
          <w:rFonts w:ascii="Times" w:hAnsi="Times"/>
          <w:sz w:val="24"/>
          <w:szCs w:val="24"/>
        </w:rPr>
        <w:footnoteReference w:id="80"/>
      </w:r>
      <w:r w:rsidRPr="001D6901">
        <w:rPr>
          <w:rFonts w:ascii="Times" w:hAnsi="Times"/>
          <w:sz w:val="24"/>
          <w:szCs w:val="24"/>
        </w:rPr>
        <w:t xml:space="preserve"> Tikmēr bērnu psihiatru pēdējā gada laikā ir apmeklējuši tikai 2,5% bērnu un uzskaitē atrodas 3%, kas nozīmē, ka ievērojams skaits bērnu un jauniešu ar garīgās veselības grūtībām un to risku nesaņem palīdzību vispār, saņem to novēloti, vai arī tiek apkalpoti privātajā sektorā, kur pielietotās metodes un to efektivitāti ir maz iespēju kontrolēt. </w:t>
      </w:r>
    </w:p>
    <w:p w14:paraId="2213D886" w14:textId="77777777" w:rsidR="00972B28" w:rsidRPr="001D6901" w:rsidRDefault="00972B28" w:rsidP="00972B28">
      <w:pPr>
        <w:spacing w:after="0"/>
        <w:ind w:firstLine="709"/>
        <w:jc w:val="both"/>
        <w:rPr>
          <w:rFonts w:ascii="Times" w:hAnsi="Times"/>
          <w:sz w:val="24"/>
          <w:szCs w:val="24"/>
        </w:rPr>
      </w:pPr>
      <w:r w:rsidRPr="001D6901">
        <w:rPr>
          <w:rFonts w:ascii="Times" w:hAnsi="Times"/>
          <w:sz w:val="24"/>
          <w:szCs w:val="24"/>
        </w:rPr>
        <w:t>Pārresoru koordinācijas centra ziņojumā</w:t>
      </w:r>
      <w:r w:rsidRPr="001D6901">
        <w:rPr>
          <w:rStyle w:val="FootnoteReference"/>
          <w:rFonts w:ascii="Times" w:hAnsi="Times"/>
          <w:sz w:val="24"/>
          <w:szCs w:val="24"/>
        </w:rPr>
        <w:footnoteReference w:id="81"/>
      </w:r>
      <w:r w:rsidRPr="001D6901">
        <w:rPr>
          <w:rFonts w:ascii="Times" w:hAnsi="Times"/>
          <w:sz w:val="24"/>
          <w:szCs w:val="24"/>
        </w:rPr>
        <w:t xml:space="preserve"> norādīti daži būtiskākie trūkumi pašreizējā atbalsta sistēmā, tostarp:</w:t>
      </w:r>
    </w:p>
    <w:p w14:paraId="6E663FB4" w14:textId="77777777" w:rsidR="00972B28" w:rsidRPr="00E91BDA" w:rsidRDefault="00972B28" w:rsidP="00972B28">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firstLine="0"/>
        <w:jc w:val="both"/>
        <w:rPr>
          <w:rFonts w:ascii="Times" w:hAnsi="Times"/>
          <w:sz w:val="24"/>
          <w:szCs w:val="24"/>
          <w:lang w:val="lv-LV"/>
        </w:rPr>
      </w:pPr>
      <w:r w:rsidRPr="00E91BDA">
        <w:rPr>
          <w:rFonts w:ascii="Times" w:hAnsi="Times"/>
          <w:sz w:val="24"/>
          <w:szCs w:val="24"/>
          <w:lang w:val="lv-LV"/>
        </w:rPr>
        <w:t>psihiskās veselības pakalpojumu nepieejamība;</w:t>
      </w:r>
    </w:p>
    <w:p w14:paraId="63A6D0FA" w14:textId="77777777" w:rsidR="00972B28" w:rsidRPr="00E91BDA" w:rsidRDefault="00972B28" w:rsidP="00972B28">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firstLine="0"/>
        <w:jc w:val="both"/>
        <w:rPr>
          <w:rFonts w:ascii="Times" w:hAnsi="Times"/>
          <w:sz w:val="24"/>
          <w:szCs w:val="24"/>
          <w:lang w:val="lv-LV"/>
        </w:rPr>
      </w:pPr>
      <w:r w:rsidRPr="00E91BDA">
        <w:rPr>
          <w:rFonts w:ascii="Times" w:hAnsi="Times"/>
          <w:sz w:val="24"/>
          <w:szCs w:val="24"/>
          <w:lang w:val="lv-LV"/>
        </w:rPr>
        <w:t>bērniem un jauniešiem pieejamo pakalpojumu neatbilstība labai psihiskās veselības aprūpes praksei;</w:t>
      </w:r>
    </w:p>
    <w:p w14:paraId="11ABF8F0" w14:textId="77777777" w:rsidR="00972B28" w:rsidRPr="00E91BDA" w:rsidRDefault="00972B28" w:rsidP="00972B28">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firstLine="0"/>
        <w:jc w:val="both"/>
        <w:rPr>
          <w:rFonts w:ascii="Times" w:hAnsi="Times"/>
          <w:sz w:val="24"/>
          <w:szCs w:val="24"/>
          <w:lang w:val="lv-LV"/>
        </w:rPr>
      </w:pPr>
      <w:r w:rsidRPr="00E91BDA">
        <w:rPr>
          <w:rFonts w:ascii="Times" w:hAnsi="Times"/>
          <w:sz w:val="24"/>
          <w:szCs w:val="24"/>
          <w:lang w:val="lv-LV"/>
        </w:rPr>
        <w:t>stigmatizācija un izpratnes trūkums gan sabiedrībā, gan speciālistu vidū;</w:t>
      </w:r>
    </w:p>
    <w:p w14:paraId="0D79DB2B" w14:textId="77777777" w:rsidR="00972B28" w:rsidRPr="001D6901" w:rsidRDefault="00972B28" w:rsidP="00972B28">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firstLine="0"/>
        <w:jc w:val="both"/>
        <w:rPr>
          <w:rFonts w:ascii="Times" w:hAnsi="Times"/>
          <w:sz w:val="24"/>
          <w:szCs w:val="24"/>
        </w:rPr>
      </w:pPr>
      <w:r w:rsidRPr="00E91BDA">
        <w:rPr>
          <w:rFonts w:ascii="Times" w:hAnsi="Times"/>
          <w:sz w:val="24"/>
          <w:szCs w:val="24"/>
          <w:lang w:val="lv-LV"/>
        </w:rPr>
        <w:t>nemedikamentozās terapijas nepieejamība</w:t>
      </w:r>
      <w:r w:rsidRPr="001D6901">
        <w:rPr>
          <w:rFonts w:ascii="Times" w:hAnsi="Times"/>
          <w:sz w:val="24"/>
          <w:szCs w:val="24"/>
        </w:rPr>
        <w:t>.</w:t>
      </w:r>
    </w:p>
    <w:p w14:paraId="16D9BB25" w14:textId="77777777" w:rsidR="00972B28" w:rsidRPr="001D6901"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09"/>
        <w:jc w:val="both"/>
        <w:rPr>
          <w:rFonts w:ascii="Times" w:hAnsi="Times"/>
          <w:sz w:val="24"/>
          <w:szCs w:val="24"/>
        </w:rPr>
      </w:pPr>
      <w:r w:rsidRPr="001D6901">
        <w:rPr>
          <w:rFonts w:ascii="Times" w:hAnsi="Times"/>
          <w:sz w:val="24"/>
          <w:szCs w:val="24"/>
        </w:rPr>
        <w:t>Labās prakses piemēri ārvalstīs pierāda, ka viens no veidiem šo trūkumu efektīvai mazināšanai pie ierobežotiem finanšu un cilvēkresursiem, ir veidot sabiedrībā balstītus sekundārās garīgās veselības aprūpes un profilakses centrus. Šādu centru uzbūve balstās:</w:t>
      </w:r>
    </w:p>
    <w:p w14:paraId="39ED2899" w14:textId="77777777" w:rsidR="00972B28" w:rsidRPr="00E91BDA" w:rsidRDefault="00972B28" w:rsidP="00EA2B59">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714" w:hanging="357"/>
        <w:jc w:val="both"/>
        <w:rPr>
          <w:rFonts w:ascii="Times" w:hAnsi="Times"/>
          <w:sz w:val="24"/>
          <w:szCs w:val="24"/>
          <w:lang w:val="lv-LV"/>
        </w:rPr>
      </w:pPr>
      <w:r w:rsidRPr="006465DD">
        <w:rPr>
          <w:rFonts w:ascii="Times" w:hAnsi="Times"/>
          <w:sz w:val="24"/>
          <w:szCs w:val="24"/>
          <w:lang w:val="lv-LV"/>
        </w:rPr>
        <w:t xml:space="preserve">1. </w:t>
      </w:r>
      <w:r w:rsidRPr="00E91BDA">
        <w:rPr>
          <w:rFonts w:ascii="Times" w:hAnsi="Times"/>
          <w:sz w:val="24"/>
          <w:szCs w:val="24"/>
          <w:lang w:val="lv-LV"/>
        </w:rPr>
        <w:t>Mūsdienīgā izpratnē par garīgās veselības nozari;</w:t>
      </w:r>
    </w:p>
    <w:p w14:paraId="5A3B4B39" w14:textId="77777777" w:rsidR="00972B28" w:rsidRPr="00E91BDA" w:rsidRDefault="00972B28" w:rsidP="00EA2B59">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714" w:hanging="357"/>
        <w:jc w:val="both"/>
        <w:rPr>
          <w:rFonts w:ascii="Times" w:hAnsi="Times"/>
          <w:sz w:val="24"/>
          <w:szCs w:val="24"/>
          <w:lang w:val="lv-LV"/>
        </w:rPr>
      </w:pPr>
      <w:r w:rsidRPr="00E91BDA">
        <w:rPr>
          <w:rFonts w:ascii="Times" w:hAnsi="Times"/>
          <w:sz w:val="24"/>
          <w:szCs w:val="24"/>
          <w:lang w:val="lv-LV"/>
        </w:rPr>
        <w:t>2. Klientu orientētā pieejā;</w:t>
      </w:r>
    </w:p>
    <w:p w14:paraId="2FC1BB26" w14:textId="77777777" w:rsidR="00972B28" w:rsidRPr="00E91BDA" w:rsidRDefault="00972B28" w:rsidP="00EA2B59">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714" w:hanging="357"/>
        <w:jc w:val="both"/>
        <w:rPr>
          <w:rFonts w:ascii="Times" w:hAnsi="Times"/>
          <w:sz w:val="24"/>
          <w:szCs w:val="24"/>
          <w:lang w:val="lv-LV"/>
        </w:rPr>
      </w:pPr>
      <w:r w:rsidRPr="00E91BDA">
        <w:rPr>
          <w:rFonts w:ascii="Times" w:hAnsi="Times"/>
          <w:sz w:val="24"/>
          <w:szCs w:val="24"/>
          <w:lang w:val="lv-LV"/>
        </w:rPr>
        <w:t>3.  Pierādījumos balstītos pakalpojumos;</w:t>
      </w:r>
    </w:p>
    <w:p w14:paraId="36357ACB" w14:textId="77777777" w:rsidR="00972B28" w:rsidRPr="00E91BDA" w:rsidRDefault="00972B28" w:rsidP="00EA2B59">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714" w:hanging="357"/>
        <w:jc w:val="both"/>
        <w:rPr>
          <w:rFonts w:ascii="Times" w:hAnsi="Times"/>
          <w:sz w:val="24"/>
          <w:szCs w:val="24"/>
          <w:lang w:val="lv-LV"/>
        </w:rPr>
      </w:pPr>
      <w:r w:rsidRPr="00E91BDA">
        <w:rPr>
          <w:rFonts w:ascii="Times" w:hAnsi="Times"/>
          <w:sz w:val="24"/>
          <w:szCs w:val="24"/>
          <w:lang w:val="lv-LV"/>
        </w:rPr>
        <w:t xml:space="preserve">4. Kvantitatīvi izmērāmos efektivitātes rādītājos. </w:t>
      </w:r>
    </w:p>
    <w:p w14:paraId="3CB49D5B" w14:textId="77777777" w:rsidR="00972B28" w:rsidRPr="001D6901"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09"/>
        <w:jc w:val="both"/>
        <w:rPr>
          <w:rFonts w:ascii="Times" w:hAnsi="Times"/>
          <w:sz w:val="24"/>
          <w:szCs w:val="24"/>
        </w:rPr>
      </w:pPr>
      <w:r w:rsidRPr="001D6901">
        <w:rPr>
          <w:rFonts w:ascii="Times" w:hAnsi="Times"/>
          <w:sz w:val="24"/>
          <w:szCs w:val="24"/>
        </w:rPr>
        <w:t>Lai pārvirzīt</w:t>
      </w:r>
      <w:r>
        <w:rPr>
          <w:rFonts w:ascii="Times" w:hAnsi="Times"/>
          <w:sz w:val="24"/>
          <w:szCs w:val="24"/>
        </w:rPr>
        <w:t>u</w:t>
      </w:r>
      <w:r w:rsidRPr="001D6901">
        <w:rPr>
          <w:rFonts w:ascii="Times" w:hAnsi="Times"/>
          <w:sz w:val="24"/>
          <w:szCs w:val="24"/>
        </w:rPr>
        <w:t xml:space="preserve"> pacientus ar smagākiem traucējumiem ārstēšanai primārās veselības aprūpes sistēmā, kamēr bērniem un pusaudžiem agrīnā grūtību vai paaugstināta riska fāzē piedāvā</w:t>
      </w:r>
      <w:r w:rsidRPr="00E12849">
        <w:rPr>
          <w:rFonts w:ascii="Times" w:hAnsi="Times"/>
          <w:b/>
          <w:bCs/>
          <w:sz w:val="24"/>
          <w:szCs w:val="24"/>
        </w:rPr>
        <w:t xml:space="preserve"> </w:t>
      </w:r>
      <w:r w:rsidRPr="001D6901">
        <w:rPr>
          <w:rFonts w:ascii="Times" w:hAnsi="Times"/>
          <w:sz w:val="24"/>
          <w:szCs w:val="24"/>
        </w:rPr>
        <w:t>psihosociālu pieeju, izslēdzot nepamatotas stacionēšanas, pārliekas medikamentozās terapijas vai nesamērīgi ilgas rindā gaidīšanas sagādātos riskus</w:t>
      </w:r>
      <w:r>
        <w:rPr>
          <w:rFonts w:ascii="Times" w:hAnsi="Times"/>
          <w:sz w:val="24"/>
          <w:szCs w:val="24"/>
        </w:rPr>
        <w:t>, pilotprojekta ietvaros plānota</w:t>
      </w:r>
      <w:r w:rsidRPr="001D6901">
        <w:rPr>
          <w:rFonts w:ascii="Times" w:hAnsi="Times"/>
          <w:sz w:val="24"/>
          <w:szCs w:val="24"/>
        </w:rPr>
        <w:t xml:space="preserve"> sabiedrībā balstīta sekundārās aprūpes programmas/pakalpojuma izveid</w:t>
      </w:r>
      <w:r>
        <w:rPr>
          <w:rFonts w:ascii="Times" w:hAnsi="Times"/>
          <w:sz w:val="24"/>
          <w:szCs w:val="24"/>
        </w:rPr>
        <w:t>e</w:t>
      </w:r>
      <w:r w:rsidRPr="001D6901">
        <w:rPr>
          <w:rFonts w:ascii="Times" w:hAnsi="Times"/>
          <w:sz w:val="24"/>
          <w:szCs w:val="24"/>
        </w:rPr>
        <w:t xml:space="preserve"> VSIA “Bērnu klīniskās universitātes slimnīcā” bērniem un pusaudžiem ar garastāvokļa traucējumiem – tostarp, depresīviem un trauksmes traucējumiem, kā arī pašsavainošanos un pašnāvību risku. </w:t>
      </w:r>
      <w:r w:rsidRPr="001D6901">
        <w:rPr>
          <w:rFonts w:ascii="Times" w:hAnsi="Times"/>
          <w:sz w:val="24"/>
          <w:szCs w:val="24"/>
        </w:rPr>
        <w:lastRenderedPageBreak/>
        <w:t xml:space="preserve">Mērķauditorija ir pusaudži vecumā </w:t>
      </w:r>
      <w:r>
        <w:rPr>
          <w:rFonts w:ascii="Times" w:hAnsi="Times"/>
          <w:sz w:val="24"/>
          <w:szCs w:val="24"/>
        </w:rPr>
        <w:t xml:space="preserve">no </w:t>
      </w:r>
      <w:r w:rsidRPr="001D6901">
        <w:rPr>
          <w:rFonts w:ascii="Times" w:hAnsi="Times"/>
          <w:sz w:val="24"/>
          <w:szCs w:val="24"/>
        </w:rPr>
        <w:t>11 līdz 18 gadiem, kuriem internalizētie garastāvokļa traucējumi ir starp biežāk sastopamajām garīgās veselības grūtībām. Tāpat būtiski, ka depresīvie traucējumi un pašsavainošanās ir galvenie pašnāvību prognozējošie faktori minētajā vecuma grupā. Tāpat šāda pieeja ņem vērā jaunākās pierādījumos balstītās vadlīnijas, kas apliecina kon</w:t>
      </w:r>
      <w:r>
        <w:rPr>
          <w:rFonts w:ascii="Times" w:hAnsi="Times"/>
          <w:sz w:val="24"/>
          <w:szCs w:val="24"/>
        </w:rPr>
        <w:t xml:space="preserve">krētu nemedikamentozo terapiju </w:t>
      </w:r>
      <w:r w:rsidRPr="001D6901">
        <w:rPr>
          <w:rFonts w:ascii="Times" w:hAnsi="Times"/>
          <w:sz w:val="24"/>
          <w:szCs w:val="24"/>
        </w:rPr>
        <w:t>efektivitāti depresīvo traucējumu un suicidālas ideācijas novēršanā un depresijas riska mazināšanā jauniešiem. Būtiski, ka šajā vecuma grupā arī medikamentozā terapija sniedz lielāku efektivitāti, ja tiek lietota apvienojumā ar nemedikamentozo terapiju</w:t>
      </w:r>
      <w:r w:rsidRPr="001D6901">
        <w:rPr>
          <w:rStyle w:val="FootnoteReference"/>
          <w:rFonts w:ascii="Times" w:hAnsi="Times"/>
          <w:sz w:val="24"/>
          <w:szCs w:val="24"/>
        </w:rPr>
        <w:footnoteReference w:id="82"/>
      </w:r>
      <w:r w:rsidRPr="001D6901">
        <w:rPr>
          <w:rFonts w:ascii="Times" w:hAnsi="Times"/>
          <w:sz w:val="24"/>
          <w:szCs w:val="24"/>
        </w:rPr>
        <w:t>. Īpaši svarīga programmas sastāvdaļa ir jauniešu un ģimeņu iesaiste profilakses un ārstēšanas procesā, kā arī terapeitiskās sadarbības veidošana, kas garīgās veselības pētījumos bieži tiek minēts kā būtiskākais veiksmīga ārstēšanas iznākuma prognozējošais faktors.</w:t>
      </w:r>
    </w:p>
    <w:p w14:paraId="78057D34" w14:textId="77777777" w:rsidR="00972B28" w:rsidRPr="001D6901"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rPr>
      </w:pPr>
      <w:r w:rsidRPr="001D6901">
        <w:rPr>
          <w:rFonts w:ascii="Times" w:hAnsi="Times"/>
          <w:sz w:val="24"/>
          <w:szCs w:val="24"/>
        </w:rPr>
        <w:tab/>
        <w:t>Programmas vadlīnijas paredz diagnostisku fokusu, profilējot klientus atbilstoši grūtību pakāpei un raksturam, ko izvērtēšanas fāzē veic klīniskais psihologs un psihiatrs. Tam seko pēc katra pacienta individuālajām vajadzībām nozīmēta nemedikamentozā terapija, kuru pēc vajadzības papildina psihiatra uzraudzībā veikta un psihologa motivēta medikamentozā terapija, kā arī ģimenes iesaiste, psihoizglītošana un atbalsta (fizio, mākslas u.c.) terapijas.</w:t>
      </w:r>
    </w:p>
    <w:p w14:paraId="05A1293B" w14:textId="56C3B8B5" w:rsidR="00972B28"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rPr>
      </w:pPr>
      <w:r w:rsidRPr="001D6901">
        <w:rPr>
          <w:rFonts w:ascii="Times" w:hAnsi="Times"/>
          <w:sz w:val="24"/>
          <w:szCs w:val="24"/>
        </w:rPr>
        <w:tab/>
        <w:t>Programmas efektiv</w:t>
      </w:r>
      <w:r>
        <w:rPr>
          <w:rFonts w:ascii="Times" w:hAnsi="Times"/>
          <w:sz w:val="24"/>
          <w:szCs w:val="24"/>
        </w:rPr>
        <w:t>it</w:t>
      </w:r>
      <w:r w:rsidRPr="001D6901">
        <w:rPr>
          <w:rFonts w:ascii="Times" w:hAnsi="Times"/>
          <w:sz w:val="24"/>
          <w:szCs w:val="24"/>
        </w:rPr>
        <w:t>ātes noteikšanai  paredzēts veikt īstermiņa un vidēja/ilgāka termiņa ietekmes mērījumus. Īstermiņā plānots mērīt izmaiņas depresijas simptomu skalā, paškaitējošās uzvedības mazinājumu, ietekmi uz kopējiem funkcionāliem rādītājiem, kā arī pacienta subjektīvo pašvērtējumu. Vidējā un ilgākā termiņā var prognozēt, ka šāds sabiedrībā balstīts palīdzības veids uzlabos profilakses aktivitāšu pieejamību bērniem un pusaudžiem, mazinās bērnu skaitu ar novēloti diagnosticētiem garīgās veselības traucējumiem, vienlaikus mazinoties pašnāvību un pašnāvību mēģinājumu skaitam. Tāpat arī var prognozēt, ka samazināsies bērnu un pusaudžu skaits, kuriem nepieciešama psihiatra palīdzība un kuri tiek stacionēti psihisku saslimšanu dēļ.</w:t>
      </w:r>
    </w:p>
    <w:p w14:paraId="2D91EB72" w14:textId="57E80DF4" w:rsidR="00863BE7" w:rsidRPr="00E93259" w:rsidRDefault="00E118ED" w:rsidP="00E93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w:hAnsi="Times"/>
          <w:i/>
          <w:iCs/>
          <w:sz w:val="24"/>
          <w:szCs w:val="24"/>
        </w:rPr>
      </w:pPr>
      <w:r>
        <w:rPr>
          <w:rFonts w:ascii="Times" w:hAnsi="Times"/>
          <w:i/>
          <w:iCs/>
          <w:sz w:val="24"/>
          <w:szCs w:val="24"/>
        </w:rPr>
        <w:t>103</w:t>
      </w:r>
      <w:r w:rsidR="00863BE7" w:rsidRPr="00E93259">
        <w:rPr>
          <w:rFonts w:ascii="Times" w:hAnsi="Times"/>
          <w:i/>
          <w:iCs/>
          <w:sz w:val="24"/>
          <w:szCs w:val="24"/>
        </w:rPr>
        <w:t>.tabula</w:t>
      </w:r>
    </w:p>
    <w:p w14:paraId="40980CFB" w14:textId="30A5C3BC" w:rsidR="00863BE7" w:rsidRPr="00E93259" w:rsidRDefault="00863BE7" w:rsidP="00E93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b/>
          <w:bCs/>
          <w:sz w:val="24"/>
          <w:szCs w:val="24"/>
        </w:rPr>
      </w:pPr>
      <w:r w:rsidRPr="00E93259">
        <w:rPr>
          <w:rFonts w:ascii="Times" w:hAnsi="Times"/>
          <w:b/>
          <w:bCs/>
          <w:sz w:val="24"/>
          <w:szCs w:val="24"/>
        </w:rPr>
        <w:t>Pilotprojektam “Pier</w:t>
      </w:r>
      <w:r w:rsidRPr="00E93259">
        <w:rPr>
          <w:rFonts w:ascii="Times" w:hAnsi="Times" w:hint="eastAsia"/>
          <w:b/>
          <w:bCs/>
          <w:sz w:val="24"/>
          <w:szCs w:val="24"/>
        </w:rPr>
        <w:t>ā</w:t>
      </w:r>
      <w:r w:rsidRPr="00E93259">
        <w:rPr>
          <w:rFonts w:ascii="Times" w:hAnsi="Times"/>
          <w:b/>
          <w:bCs/>
          <w:sz w:val="24"/>
          <w:szCs w:val="24"/>
        </w:rPr>
        <w:t>d</w:t>
      </w:r>
      <w:r w:rsidRPr="00E93259">
        <w:rPr>
          <w:rFonts w:ascii="Times" w:hAnsi="Times" w:hint="eastAsia"/>
          <w:b/>
          <w:bCs/>
          <w:sz w:val="24"/>
          <w:szCs w:val="24"/>
        </w:rPr>
        <w:t>ī</w:t>
      </w:r>
      <w:r w:rsidRPr="00E93259">
        <w:rPr>
          <w:rFonts w:ascii="Times" w:hAnsi="Times"/>
          <w:b/>
          <w:bCs/>
          <w:sz w:val="24"/>
          <w:szCs w:val="24"/>
        </w:rPr>
        <w:t>jumos balst</w:t>
      </w:r>
      <w:r w:rsidRPr="00E93259">
        <w:rPr>
          <w:rFonts w:ascii="Times" w:hAnsi="Times" w:hint="eastAsia"/>
          <w:b/>
          <w:bCs/>
          <w:sz w:val="24"/>
          <w:szCs w:val="24"/>
        </w:rPr>
        <w:t>ī</w:t>
      </w:r>
      <w:r w:rsidRPr="00E93259">
        <w:rPr>
          <w:rFonts w:ascii="Times" w:hAnsi="Times"/>
          <w:b/>
          <w:bCs/>
          <w:sz w:val="24"/>
          <w:szCs w:val="24"/>
        </w:rPr>
        <w:t>ta jauniešu gar</w:t>
      </w:r>
      <w:r w:rsidRPr="00E93259">
        <w:rPr>
          <w:rFonts w:ascii="Times" w:hAnsi="Times" w:hint="eastAsia"/>
          <w:b/>
          <w:bCs/>
          <w:sz w:val="24"/>
          <w:szCs w:val="24"/>
        </w:rPr>
        <w:t>ī</w:t>
      </w:r>
      <w:r w:rsidRPr="00E93259">
        <w:rPr>
          <w:rFonts w:ascii="Times" w:hAnsi="Times"/>
          <w:b/>
          <w:bCs/>
          <w:sz w:val="24"/>
          <w:szCs w:val="24"/>
        </w:rPr>
        <w:t>g</w:t>
      </w:r>
      <w:r w:rsidRPr="00E93259">
        <w:rPr>
          <w:rFonts w:ascii="Times" w:hAnsi="Times" w:hint="eastAsia"/>
          <w:b/>
          <w:bCs/>
          <w:sz w:val="24"/>
          <w:szCs w:val="24"/>
        </w:rPr>
        <w:t>ā</w:t>
      </w:r>
      <w:r w:rsidRPr="00E93259">
        <w:rPr>
          <w:rFonts w:ascii="Times" w:hAnsi="Times"/>
          <w:b/>
          <w:bCs/>
          <w:sz w:val="24"/>
          <w:szCs w:val="24"/>
        </w:rPr>
        <w:t>s vesel</w:t>
      </w:r>
      <w:r w:rsidRPr="00E93259">
        <w:rPr>
          <w:rFonts w:ascii="Times" w:hAnsi="Times" w:hint="eastAsia"/>
          <w:b/>
          <w:bCs/>
          <w:sz w:val="24"/>
          <w:szCs w:val="24"/>
        </w:rPr>
        <w:t>ī</w:t>
      </w:r>
      <w:r w:rsidRPr="00E93259">
        <w:rPr>
          <w:rFonts w:ascii="Times" w:hAnsi="Times"/>
          <w:b/>
          <w:bCs/>
          <w:sz w:val="24"/>
          <w:szCs w:val="24"/>
        </w:rPr>
        <w:t>bas sekund</w:t>
      </w:r>
      <w:r w:rsidRPr="00E93259">
        <w:rPr>
          <w:rFonts w:ascii="Times" w:hAnsi="Times" w:hint="eastAsia"/>
          <w:b/>
          <w:bCs/>
          <w:sz w:val="24"/>
          <w:szCs w:val="24"/>
        </w:rPr>
        <w:t>ā</w:t>
      </w:r>
      <w:r w:rsidRPr="00E93259">
        <w:rPr>
          <w:rFonts w:ascii="Times" w:hAnsi="Times"/>
          <w:b/>
          <w:bCs/>
          <w:sz w:val="24"/>
          <w:szCs w:val="24"/>
        </w:rPr>
        <w:t>r</w:t>
      </w:r>
      <w:r w:rsidRPr="00E93259">
        <w:rPr>
          <w:rFonts w:ascii="Times" w:hAnsi="Times" w:hint="eastAsia"/>
          <w:b/>
          <w:bCs/>
          <w:sz w:val="24"/>
          <w:szCs w:val="24"/>
        </w:rPr>
        <w:t>ā</w:t>
      </w:r>
      <w:r w:rsidRPr="00E93259">
        <w:rPr>
          <w:rFonts w:ascii="Times" w:hAnsi="Times"/>
          <w:b/>
          <w:bCs/>
          <w:sz w:val="24"/>
          <w:szCs w:val="24"/>
        </w:rPr>
        <w:t>s profilakses programma garast</w:t>
      </w:r>
      <w:r w:rsidRPr="00E93259">
        <w:rPr>
          <w:rFonts w:ascii="Times" w:hAnsi="Times" w:hint="eastAsia"/>
          <w:b/>
          <w:bCs/>
          <w:sz w:val="24"/>
          <w:szCs w:val="24"/>
        </w:rPr>
        <w:t>ā</w:t>
      </w:r>
      <w:r w:rsidRPr="00E93259">
        <w:rPr>
          <w:rFonts w:ascii="Times" w:hAnsi="Times"/>
          <w:b/>
          <w:bCs/>
          <w:sz w:val="24"/>
          <w:szCs w:val="24"/>
        </w:rPr>
        <w:t>vok</w:t>
      </w:r>
      <w:r w:rsidRPr="00E93259">
        <w:rPr>
          <w:rFonts w:ascii="Times" w:hAnsi="Times" w:hint="eastAsia"/>
          <w:b/>
          <w:bCs/>
          <w:sz w:val="24"/>
          <w:szCs w:val="24"/>
        </w:rPr>
        <w:t>ļ</w:t>
      </w:r>
      <w:r w:rsidRPr="00E93259">
        <w:rPr>
          <w:rFonts w:ascii="Times" w:hAnsi="Times"/>
          <w:b/>
          <w:bCs/>
          <w:sz w:val="24"/>
          <w:szCs w:val="24"/>
        </w:rPr>
        <w:t>a un uzved</w:t>
      </w:r>
      <w:r w:rsidRPr="00E93259">
        <w:rPr>
          <w:rFonts w:ascii="Times" w:hAnsi="Times" w:hint="eastAsia"/>
          <w:b/>
          <w:bCs/>
          <w:sz w:val="24"/>
          <w:szCs w:val="24"/>
        </w:rPr>
        <w:t>ī</w:t>
      </w:r>
      <w:r w:rsidRPr="00E93259">
        <w:rPr>
          <w:rFonts w:ascii="Times" w:hAnsi="Times"/>
          <w:b/>
          <w:bCs/>
          <w:sz w:val="24"/>
          <w:szCs w:val="24"/>
        </w:rPr>
        <w:t>bas trauc</w:t>
      </w:r>
      <w:r w:rsidRPr="00E93259">
        <w:rPr>
          <w:rFonts w:ascii="Times" w:hAnsi="Times" w:hint="eastAsia"/>
          <w:b/>
          <w:bCs/>
          <w:sz w:val="24"/>
          <w:szCs w:val="24"/>
        </w:rPr>
        <w:t>ē</w:t>
      </w:r>
      <w:r w:rsidRPr="00E93259">
        <w:rPr>
          <w:rFonts w:ascii="Times" w:hAnsi="Times"/>
          <w:b/>
          <w:bCs/>
          <w:sz w:val="24"/>
          <w:szCs w:val="24"/>
        </w:rPr>
        <w:t>jumu nov</w:t>
      </w:r>
      <w:r w:rsidRPr="00E93259">
        <w:rPr>
          <w:rFonts w:ascii="Times" w:hAnsi="Times" w:hint="eastAsia"/>
          <w:b/>
          <w:bCs/>
          <w:sz w:val="24"/>
          <w:szCs w:val="24"/>
        </w:rPr>
        <w:t>ē</w:t>
      </w:r>
      <w:r w:rsidRPr="00E93259">
        <w:rPr>
          <w:rFonts w:ascii="Times" w:hAnsi="Times"/>
          <w:b/>
          <w:bCs/>
          <w:sz w:val="24"/>
          <w:szCs w:val="24"/>
        </w:rPr>
        <w:t>ršanai un seku mazin</w:t>
      </w:r>
      <w:r w:rsidRPr="00E93259">
        <w:rPr>
          <w:rFonts w:ascii="Times" w:hAnsi="Times" w:hint="eastAsia"/>
          <w:b/>
          <w:bCs/>
          <w:sz w:val="24"/>
          <w:szCs w:val="24"/>
        </w:rPr>
        <w:t>āš</w:t>
      </w:r>
      <w:r w:rsidRPr="00E93259">
        <w:rPr>
          <w:rFonts w:ascii="Times" w:hAnsi="Times"/>
          <w:b/>
          <w:bCs/>
          <w:sz w:val="24"/>
          <w:szCs w:val="24"/>
        </w:rPr>
        <w:t>anai” nepieciešamais finans</w:t>
      </w:r>
      <w:r w:rsidRPr="00E93259">
        <w:rPr>
          <w:rFonts w:ascii="Times" w:hAnsi="Times" w:hint="eastAsia"/>
          <w:b/>
          <w:bCs/>
          <w:sz w:val="24"/>
          <w:szCs w:val="24"/>
        </w:rPr>
        <w:t>ē</w:t>
      </w:r>
      <w:r w:rsidRPr="00E93259">
        <w:rPr>
          <w:rFonts w:ascii="Times" w:hAnsi="Times"/>
          <w:b/>
          <w:bCs/>
          <w:sz w:val="24"/>
          <w:szCs w:val="24"/>
        </w:rPr>
        <w:t>jums</w:t>
      </w:r>
    </w:p>
    <w:tbl>
      <w:tblPr>
        <w:tblStyle w:val="TableGrid"/>
        <w:tblW w:w="9089" w:type="dxa"/>
        <w:jc w:val="center"/>
        <w:tblLook w:val="04A0" w:firstRow="1" w:lastRow="0" w:firstColumn="1" w:lastColumn="0" w:noHBand="0" w:noVBand="1"/>
      </w:tblPr>
      <w:tblGrid>
        <w:gridCol w:w="1764"/>
        <w:gridCol w:w="1604"/>
        <w:gridCol w:w="2185"/>
        <w:gridCol w:w="1630"/>
        <w:gridCol w:w="1906"/>
      </w:tblGrid>
      <w:tr w:rsidR="0043074C" w14:paraId="6B928F79" w14:textId="77777777" w:rsidTr="00E93259">
        <w:trPr>
          <w:jc w:val="center"/>
        </w:trPr>
        <w:tc>
          <w:tcPr>
            <w:tcW w:w="1764" w:type="dxa"/>
            <w:shd w:val="clear" w:color="auto" w:fill="E36C0A" w:themeFill="accent6" w:themeFillShade="BF"/>
            <w:vAlign w:val="center"/>
          </w:tcPr>
          <w:p w14:paraId="79F8D49A" w14:textId="5474920C"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Poz</w:t>
            </w:r>
            <w:r w:rsidRPr="009507A7">
              <w:rPr>
                <w:rFonts w:ascii="Times New Roman" w:hAnsi="Times New Roman" w:hint="eastAsia"/>
              </w:rPr>
              <w:t>ī</w:t>
            </w:r>
            <w:r w:rsidRPr="009507A7">
              <w:rPr>
                <w:rFonts w:ascii="Times New Roman" w:hAnsi="Times New Roman"/>
              </w:rPr>
              <w:t>cija</w:t>
            </w:r>
          </w:p>
        </w:tc>
        <w:tc>
          <w:tcPr>
            <w:tcW w:w="1604" w:type="dxa"/>
            <w:shd w:val="clear" w:color="auto" w:fill="E36C0A" w:themeFill="accent6" w:themeFillShade="BF"/>
            <w:vAlign w:val="center"/>
          </w:tcPr>
          <w:p w14:paraId="31AC22FE" w14:textId="715C3AB2"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B</w:t>
            </w:r>
            <w:r w:rsidRPr="009507A7">
              <w:rPr>
                <w:rFonts w:ascii="Times New Roman" w:hAnsi="Times New Roman" w:hint="eastAsia"/>
              </w:rPr>
              <w:t>ē</w:t>
            </w:r>
            <w:r w:rsidRPr="009507A7">
              <w:rPr>
                <w:rFonts w:ascii="Times New Roman" w:hAnsi="Times New Roman"/>
              </w:rPr>
              <w:t>rnu skaits</w:t>
            </w:r>
          </w:p>
        </w:tc>
        <w:tc>
          <w:tcPr>
            <w:tcW w:w="2185" w:type="dxa"/>
            <w:shd w:val="clear" w:color="auto" w:fill="E36C0A" w:themeFill="accent6" w:themeFillShade="BF"/>
            <w:vAlign w:val="center"/>
          </w:tcPr>
          <w:p w14:paraId="5A011466" w14:textId="3CC48C1D"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Viena b</w:t>
            </w:r>
            <w:r w:rsidRPr="009507A7">
              <w:rPr>
                <w:rFonts w:ascii="Times New Roman" w:hAnsi="Times New Roman" w:hint="eastAsia"/>
              </w:rPr>
              <w:t>ē</w:t>
            </w:r>
            <w:r w:rsidRPr="009507A7">
              <w:rPr>
                <w:rFonts w:ascii="Times New Roman" w:hAnsi="Times New Roman"/>
              </w:rPr>
              <w:t>rna vid</w:t>
            </w:r>
            <w:r w:rsidRPr="009507A7">
              <w:rPr>
                <w:rFonts w:ascii="Times New Roman" w:hAnsi="Times New Roman" w:hint="eastAsia"/>
              </w:rPr>
              <w:t>ē</w:t>
            </w:r>
            <w:r w:rsidRPr="009507A7">
              <w:rPr>
                <w:rFonts w:ascii="Times New Roman" w:hAnsi="Times New Roman"/>
              </w:rPr>
              <w:t>j</w:t>
            </w:r>
            <w:r w:rsidRPr="009507A7">
              <w:rPr>
                <w:rFonts w:ascii="Times New Roman" w:hAnsi="Times New Roman" w:hint="eastAsia"/>
              </w:rPr>
              <w:t>ā</w:t>
            </w:r>
            <w:r w:rsidRPr="009507A7">
              <w:rPr>
                <w:rFonts w:ascii="Times New Roman" w:hAnsi="Times New Roman"/>
              </w:rPr>
              <w:t xml:space="preserve">s </w:t>
            </w:r>
            <w:r w:rsidRPr="009507A7">
              <w:rPr>
                <w:rFonts w:ascii="Times New Roman" w:hAnsi="Times New Roman" w:hint="eastAsia"/>
              </w:rPr>
              <w:t>ā</w:t>
            </w:r>
            <w:r w:rsidRPr="009507A7">
              <w:rPr>
                <w:rFonts w:ascii="Times New Roman" w:hAnsi="Times New Roman"/>
              </w:rPr>
              <w:t>rst</w:t>
            </w:r>
            <w:r w:rsidRPr="009507A7">
              <w:rPr>
                <w:rFonts w:ascii="Times New Roman" w:hAnsi="Times New Roman" w:hint="eastAsia"/>
              </w:rPr>
              <w:t>ēš</w:t>
            </w:r>
            <w:r w:rsidRPr="009507A7">
              <w:rPr>
                <w:rFonts w:ascii="Times New Roman" w:hAnsi="Times New Roman"/>
              </w:rPr>
              <w:t xml:space="preserve">anas izmaksas </w:t>
            </w:r>
            <w:r w:rsidRPr="009507A7">
              <w:rPr>
                <w:rFonts w:ascii="Times New Roman" w:hAnsi="Times New Roman" w:hint="eastAsia"/>
              </w:rPr>
              <w:t>ā</w:t>
            </w:r>
            <w:r w:rsidRPr="009507A7">
              <w:rPr>
                <w:rFonts w:ascii="Times New Roman" w:hAnsi="Times New Roman"/>
              </w:rPr>
              <w:t>rst</w:t>
            </w:r>
            <w:r w:rsidRPr="009507A7">
              <w:rPr>
                <w:rFonts w:ascii="Times New Roman" w:hAnsi="Times New Roman" w:hint="eastAsia"/>
              </w:rPr>
              <w:t>ēš</w:t>
            </w:r>
            <w:r w:rsidRPr="009507A7">
              <w:rPr>
                <w:rFonts w:ascii="Times New Roman" w:hAnsi="Times New Roman"/>
              </w:rPr>
              <w:t xml:space="preserve">anas kursam </w:t>
            </w:r>
            <w:r w:rsidRPr="009507A7">
              <w:rPr>
                <w:rFonts w:ascii="Times New Roman" w:hAnsi="Times New Roman"/>
                <w:i/>
              </w:rPr>
              <w:t>euro</w:t>
            </w:r>
          </w:p>
        </w:tc>
        <w:tc>
          <w:tcPr>
            <w:tcW w:w="1630" w:type="dxa"/>
            <w:shd w:val="clear" w:color="auto" w:fill="E36C0A" w:themeFill="accent6" w:themeFillShade="BF"/>
            <w:vAlign w:val="center"/>
          </w:tcPr>
          <w:p w14:paraId="015FD187" w14:textId="32592423"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 xml:space="preserve">2018.gadā pieejamais finansējums, </w:t>
            </w:r>
            <w:r w:rsidRPr="009507A7">
              <w:rPr>
                <w:rFonts w:ascii="Times New Roman" w:hAnsi="Times New Roman"/>
                <w:i/>
              </w:rPr>
              <w:t>euro</w:t>
            </w:r>
          </w:p>
        </w:tc>
        <w:tc>
          <w:tcPr>
            <w:tcW w:w="1906" w:type="dxa"/>
            <w:shd w:val="clear" w:color="auto" w:fill="E36C0A" w:themeFill="accent6" w:themeFillShade="BF"/>
            <w:vAlign w:val="center"/>
          </w:tcPr>
          <w:p w14:paraId="0820C20D" w14:textId="294B85C4"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Nepieciešamais finans</w:t>
            </w:r>
            <w:r w:rsidRPr="009507A7">
              <w:rPr>
                <w:rFonts w:ascii="Times New Roman" w:hAnsi="Times New Roman" w:hint="eastAsia"/>
              </w:rPr>
              <w:t>ē</w:t>
            </w:r>
            <w:r w:rsidRPr="009507A7">
              <w:rPr>
                <w:rFonts w:ascii="Times New Roman" w:hAnsi="Times New Roman"/>
              </w:rPr>
              <w:t>jums no 2019.gada 1.</w:t>
            </w:r>
            <w:r w:rsidRPr="009507A7">
              <w:rPr>
                <w:rFonts w:ascii="Times New Roman" w:hAnsi="Times New Roman"/>
                <w:i/>
              </w:rPr>
              <w:t>aprīļa euro</w:t>
            </w:r>
          </w:p>
        </w:tc>
      </w:tr>
      <w:tr w:rsidR="0043074C" w14:paraId="5666C604" w14:textId="77777777" w:rsidTr="00E93259">
        <w:trPr>
          <w:trHeight w:val="759"/>
          <w:jc w:val="center"/>
        </w:trPr>
        <w:tc>
          <w:tcPr>
            <w:tcW w:w="1764" w:type="dxa"/>
          </w:tcPr>
          <w:p w14:paraId="7096FE61" w14:textId="38BDBAEC"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Pilotprojektam nepieciešamais finans</w:t>
            </w:r>
            <w:r w:rsidRPr="009507A7">
              <w:rPr>
                <w:rFonts w:ascii="Times New Roman" w:hAnsi="Times New Roman" w:hint="eastAsia"/>
              </w:rPr>
              <w:t>ē</w:t>
            </w:r>
            <w:r w:rsidRPr="009507A7">
              <w:rPr>
                <w:rFonts w:ascii="Times New Roman" w:hAnsi="Times New Roman"/>
              </w:rPr>
              <w:t>jums</w:t>
            </w:r>
          </w:p>
        </w:tc>
        <w:tc>
          <w:tcPr>
            <w:tcW w:w="1604" w:type="dxa"/>
            <w:vAlign w:val="center"/>
          </w:tcPr>
          <w:p w14:paraId="7D538C4D" w14:textId="6783E95B"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40</w:t>
            </w:r>
          </w:p>
        </w:tc>
        <w:tc>
          <w:tcPr>
            <w:tcW w:w="2185" w:type="dxa"/>
            <w:vAlign w:val="center"/>
          </w:tcPr>
          <w:p w14:paraId="6BA9BEF4" w14:textId="30B3500E"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2 089.85</w:t>
            </w:r>
          </w:p>
        </w:tc>
        <w:tc>
          <w:tcPr>
            <w:tcW w:w="1630" w:type="dxa"/>
            <w:vAlign w:val="center"/>
          </w:tcPr>
          <w:p w14:paraId="19B131F7" w14:textId="2A82FC39"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rPr>
              <w:t>0</w:t>
            </w:r>
          </w:p>
        </w:tc>
        <w:tc>
          <w:tcPr>
            <w:tcW w:w="1906" w:type="dxa"/>
            <w:vAlign w:val="center"/>
          </w:tcPr>
          <w:p w14:paraId="721DB998" w14:textId="3F23514E" w:rsidR="0043074C" w:rsidRPr="009507A7" w:rsidRDefault="0043074C" w:rsidP="0047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9507A7">
              <w:rPr>
                <w:rFonts w:ascii="Times New Roman" w:hAnsi="Times New Roman"/>
                <w:b/>
              </w:rPr>
              <w:t>83 594</w:t>
            </w:r>
          </w:p>
        </w:tc>
      </w:tr>
    </w:tbl>
    <w:p w14:paraId="6252CCBA" w14:textId="77777777" w:rsidR="00863BE7" w:rsidRPr="00863BE7" w:rsidRDefault="00863BE7" w:rsidP="00E93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sz w:val="24"/>
          <w:szCs w:val="24"/>
        </w:rPr>
      </w:pPr>
    </w:p>
    <w:p w14:paraId="12B7814C" w14:textId="05E42061" w:rsidR="00972B28"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b/>
          <w:bCs/>
          <w:sz w:val="24"/>
          <w:szCs w:val="24"/>
        </w:rPr>
      </w:pPr>
      <w:r w:rsidRPr="001D6901">
        <w:rPr>
          <w:rFonts w:ascii="Times" w:hAnsi="Times"/>
          <w:sz w:val="24"/>
          <w:szCs w:val="24"/>
        </w:rPr>
        <w:tab/>
        <w:t>Pilotprojekta ietvaros 2019.gadā plānots šāda veida programmu īstenot 40 bērniem</w:t>
      </w:r>
      <w:r w:rsidR="00E118ED">
        <w:rPr>
          <w:rFonts w:ascii="Times" w:hAnsi="Times"/>
          <w:sz w:val="24"/>
          <w:szCs w:val="24"/>
        </w:rPr>
        <w:t xml:space="preserve"> (103</w:t>
      </w:r>
      <w:r w:rsidR="00242FB4">
        <w:rPr>
          <w:rFonts w:ascii="Times" w:hAnsi="Times"/>
          <w:sz w:val="24"/>
          <w:szCs w:val="24"/>
        </w:rPr>
        <w:t>.tabula)</w:t>
      </w:r>
      <w:r w:rsidRPr="001D6901">
        <w:rPr>
          <w:rFonts w:ascii="Times" w:hAnsi="Times"/>
          <w:sz w:val="24"/>
          <w:szCs w:val="24"/>
        </w:rPr>
        <w:t>,</w:t>
      </w:r>
      <w:r>
        <w:rPr>
          <w:rFonts w:ascii="Times" w:hAnsi="Times"/>
          <w:sz w:val="24"/>
          <w:szCs w:val="24"/>
        </w:rPr>
        <w:t xml:space="preserve"> katram bērnam nodrošinot no 3</w:t>
      </w:r>
      <w:r w:rsidRPr="001D6901">
        <w:rPr>
          <w:rFonts w:ascii="Times" w:hAnsi="Times"/>
          <w:sz w:val="24"/>
          <w:szCs w:val="24"/>
        </w:rPr>
        <w:t xml:space="preserve"> līdz 6 mēnešu ilgu ārstēšanas kursu. Viena bērna ārstēšanas izmaksas ārstēšanas kursam vidēji 2 089,85 </w:t>
      </w:r>
      <w:r w:rsidR="00D557FD" w:rsidRPr="00E12849">
        <w:rPr>
          <w:rFonts w:ascii="Times" w:hAnsi="Times"/>
          <w:i/>
          <w:iCs/>
          <w:sz w:val="24"/>
          <w:szCs w:val="24"/>
        </w:rPr>
        <w:t>euro</w:t>
      </w:r>
      <w:r w:rsidRPr="001D6901">
        <w:rPr>
          <w:rFonts w:ascii="Times" w:hAnsi="Times"/>
          <w:sz w:val="24"/>
          <w:szCs w:val="24"/>
        </w:rPr>
        <w:t xml:space="preserve">. </w:t>
      </w:r>
      <w:r w:rsidRPr="00E93259">
        <w:rPr>
          <w:rFonts w:ascii="Times" w:hAnsi="Times"/>
          <w:sz w:val="24"/>
          <w:szCs w:val="24"/>
        </w:rPr>
        <w:t>Kop</w:t>
      </w:r>
      <w:r w:rsidRPr="00E93259">
        <w:rPr>
          <w:rFonts w:ascii="Times" w:hAnsi="Times" w:hint="eastAsia"/>
          <w:sz w:val="24"/>
          <w:szCs w:val="24"/>
        </w:rPr>
        <w:t>ā</w:t>
      </w:r>
      <w:r w:rsidRPr="00E93259">
        <w:rPr>
          <w:rFonts w:ascii="Times" w:hAnsi="Times"/>
          <w:sz w:val="24"/>
          <w:szCs w:val="24"/>
        </w:rPr>
        <w:t xml:space="preserve"> </w:t>
      </w:r>
      <w:r w:rsidR="002C770C" w:rsidRPr="00E93259">
        <w:rPr>
          <w:rFonts w:ascii="Times" w:hAnsi="Times"/>
          <w:sz w:val="24"/>
          <w:szCs w:val="24"/>
        </w:rPr>
        <w:t xml:space="preserve">no </w:t>
      </w:r>
      <w:r w:rsidRPr="00E93259">
        <w:rPr>
          <w:rFonts w:ascii="Times" w:hAnsi="Times"/>
          <w:sz w:val="24"/>
          <w:szCs w:val="24"/>
        </w:rPr>
        <w:t>2019.gad</w:t>
      </w:r>
      <w:r w:rsidR="002C770C" w:rsidRPr="00E93259">
        <w:rPr>
          <w:rFonts w:ascii="Times" w:hAnsi="Times"/>
          <w:sz w:val="24"/>
          <w:szCs w:val="24"/>
        </w:rPr>
        <w:t>a 1.apr</w:t>
      </w:r>
      <w:r w:rsidR="002C770C" w:rsidRPr="00E93259">
        <w:rPr>
          <w:rFonts w:ascii="Times" w:hAnsi="Times" w:hint="eastAsia"/>
          <w:sz w:val="24"/>
          <w:szCs w:val="24"/>
        </w:rPr>
        <w:t>īļ</w:t>
      </w:r>
      <w:r w:rsidR="002C770C" w:rsidRPr="00E93259">
        <w:rPr>
          <w:rFonts w:ascii="Times" w:hAnsi="Times"/>
          <w:sz w:val="24"/>
          <w:szCs w:val="24"/>
        </w:rPr>
        <w:t>a</w:t>
      </w:r>
      <w:r w:rsidRPr="00E93259">
        <w:rPr>
          <w:rFonts w:ascii="Times" w:hAnsi="Times"/>
          <w:sz w:val="24"/>
          <w:szCs w:val="24"/>
        </w:rPr>
        <w:t xml:space="preserve"> </w:t>
      </w:r>
      <w:r w:rsidRPr="00E93259">
        <w:rPr>
          <w:rFonts w:ascii="Times" w:hAnsi="Times"/>
          <w:sz w:val="24"/>
          <w:szCs w:val="24"/>
        </w:rPr>
        <w:lastRenderedPageBreak/>
        <w:t>nepieciešamais finans</w:t>
      </w:r>
      <w:r w:rsidRPr="00E93259">
        <w:rPr>
          <w:rFonts w:ascii="Times" w:hAnsi="Times" w:hint="eastAsia"/>
          <w:sz w:val="24"/>
          <w:szCs w:val="24"/>
        </w:rPr>
        <w:t>ē</w:t>
      </w:r>
      <w:r w:rsidRPr="00E93259">
        <w:rPr>
          <w:rFonts w:ascii="Times" w:hAnsi="Times"/>
          <w:sz w:val="24"/>
          <w:szCs w:val="24"/>
        </w:rPr>
        <w:t>jums</w:t>
      </w:r>
      <w:r w:rsidRPr="00E12849">
        <w:rPr>
          <w:rFonts w:ascii="Times" w:hAnsi="Times"/>
          <w:b/>
          <w:bCs/>
          <w:sz w:val="24"/>
          <w:szCs w:val="24"/>
        </w:rPr>
        <w:t xml:space="preserve"> 83 59</w:t>
      </w:r>
      <w:r w:rsidR="00611BA4" w:rsidRPr="00E12849">
        <w:rPr>
          <w:rFonts w:ascii="Times" w:hAnsi="Times"/>
          <w:b/>
          <w:bCs/>
          <w:sz w:val="24"/>
          <w:szCs w:val="24"/>
        </w:rPr>
        <w:t>4</w:t>
      </w:r>
      <w:r w:rsidRPr="00E12849">
        <w:rPr>
          <w:rFonts w:ascii="Times" w:hAnsi="Times"/>
          <w:b/>
          <w:bCs/>
          <w:sz w:val="24"/>
          <w:szCs w:val="24"/>
        </w:rPr>
        <w:t xml:space="preserve"> </w:t>
      </w:r>
      <w:r w:rsidRPr="00E12849">
        <w:rPr>
          <w:rFonts w:ascii="Times" w:hAnsi="Times"/>
          <w:b/>
          <w:bCs/>
          <w:i/>
          <w:iCs/>
          <w:sz w:val="24"/>
          <w:szCs w:val="24"/>
        </w:rPr>
        <w:t>euro</w:t>
      </w:r>
      <w:r w:rsidRPr="00E12849">
        <w:rPr>
          <w:rFonts w:ascii="Times" w:hAnsi="Times"/>
          <w:b/>
          <w:bCs/>
          <w:sz w:val="24"/>
          <w:szCs w:val="24"/>
        </w:rPr>
        <w:t>.</w:t>
      </w:r>
    </w:p>
    <w:p w14:paraId="7A5D2177" w14:textId="77777777" w:rsidR="002A6ADA" w:rsidRDefault="002A6ADA"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b/>
          <w:bCs/>
          <w:sz w:val="24"/>
          <w:szCs w:val="24"/>
        </w:rPr>
      </w:pPr>
    </w:p>
    <w:p w14:paraId="72DA697B" w14:textId="48BD1EB7" w:rsidR="002A6ADA" w:rsidRDefault="002A6ADA" w:rsidP="00E93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20"/>
        <w:jc w:val="both"/>
        <w:rPr>
          <w:rFonts w:ascii="Times" w:hAnsi="Times"/>
          <w:sz w:val="24"/>
          <w:szCs w:val="24"/>
        </w:rPr>
      </w:pPr>
      <w:r>
        <w:rPr>
          <w:rFonts w:ascii="Times New Roman" w:eastAsia="Times New Roman" w:hAnsi="Times New Roman" w:cs="Times New Roman"/>
          <w:sz w:val="24"/>
          <w:szCs w:val="24"/>
        </w:rPr>
        <w:t>Indikatīvi nepieciešamais finansējums 2020.gadam</w:t>
      </w:r>
      <w:r w:rsidRPr="002A6ADA">
        <w:rPr>
          <w:rFonts w:ascii="Times New Roman" w:eastAsia="Times New Roman" w:hAnsi="Times New Roman" w:cs="Times New Roman"/>
          <w:b/>
          <w:bCs/>
          <w:sz w:val="24"/>
          <w:szCs w:val="24"/>
        </w:rPr>
        <w:t xml:space="preserve"> </w:t>
      </w:r>
      <w:r w:rsidR="00DB4412">
        <w:rPr>
          <w:rFonts w:ascii="Times New Roman" w:eastAsia="Times New Roman" w:hAnsi="Times New Roman" w:cs="Times New Roman"/>
          <w:b/>
          <w:bCs/>
          <w:sz w:val="24"/>
          <w:szCs w:val="24"/>
        </w:rPr>
        <w:t>p</w:t>
      </w:r>
      <w:r w:rsidR="00DB4412" w:rsidRPr="00E93259">
        <w:rPr>
          <w:rFonts w:ascii="Times New Roman" w:hAnsi="Times New Roman" w:cs="Times New Roman"/>
          <w:bCs/>
          <w:sz w:val="24"/>
          <w:szCs w:val="24"/>
        </w:rPr>
        <w:t>ilotprojektam “Pier</w:t>
      </w:r>
      <w:r w:rsidR="00DB4412" w:rsidRPr="00E93259">
        <w:rPr>
          <w:rFonts w:ascii="Times New Roman" w:hAnsi="Times New Roman" w:cs="Times New Roman" w:hint="eastAsia"/>
          <w:bCs/>
          <w:sz w:val="24"/>
          <w:szCs w:val="24"/>
        </w:rPr>
        <w:t>ā</w:t>
      </w:r>
      <w:r w:rsidR="00DB4412" w:rsidRPr="00E93259">
        <w:rPr>
          <w:rFonts w:ascii="Times New Roman" w:hAnsi="Times New Roman" w:cs="Times New Roman"/>
          <w:bCs/>
          <w:sz w:val="24"/>
          <w:szCs w:val="24"/>
        </w:rPr>
        <w:t>d</w:t>
      </w:r>
      <w:r w:rsidR="00DB4412" w:rsidRPr="00E93259">
        <w:rPr>
          <w:rFonts w:ascii="Times New Roman" w:hAnsi="Times New Roman" w:cs="Times New Roman" w:hint="eastAsia"/>
          <w:bCs/>
          <w:sz w:val="24"/>
          <w:szCs w:val="24"/>
        </w:rPr>
        <w:t>ī</w:t>
      </w:r>
      <w:r w:rsidR="00DB4412" w:rsidRPr="00E93259">
        <w:rPr>
          <w:rFonts w:ascii="Times New Roman" w:hAnsi="Times New Roman" w:cs="Times New Roman"/>
          <w:bCs/>
          <w:sz w:val="24"/>
          <w:szCs w:val="24"/>
        </w:rPr>
        <w:t>jumos balst</w:t>
      </w:r>
      <w:r w:rsidR="00DB4412" w:rsidRPr="00E93259">
        <w:rPr>
          <w:rFonts w:ascii="Times New Roman" w:hAnsi="Times New Roman" w:cs="Times New Roman" w:hint="eastAsia"/>
          <w:bCs/>
          <w:sz w:val="24"/>
          <w:szCs w:val="24"/>
        </w:rPr>
        <w:t>ī</w:t>
      </w:r>
      <w:r w:rsidR="00DB4412" w:rsidRPr="00E93259">
        <w:rPr>
          <w:rFonts w:ascii="Times New Roman" w:hAnsi="Times New Roman" w:cs="Times New Roman"/>
          <w:bCs/>
          <w:sz w:val="24"/>
          <w:szCs w:val="24"/>
        </w:rPr>
        <w:t>ta jauniešu gar</w:t>
      </w:r>
      <w:r w:rsidR="00DB4412" w:rsidRPr="00E93259">
        <w:rPr>
          <w:rFonts w:ascii="Times New Roman" w:hAnsi="Times New Roman" w:cs="Times New Roman" w:hint="eastAsia"/>
          <w:bCs/>
          <w:sz w:val="24"/>
          <w:szCs w:val="24"/>
        </w:rPr>
        <w:t>ī</w:t>
      </w:r>
      <w:r w:rsidR="00DB4412" w:rsidRPr="00E93259">
        <w:rPr>
          <w:rFonts w:ascii="Times New Roman" w:hAnsi="Times New Roman" w:cs="Times New Roman"/>
          <w:bCs/>
          <w:sz w:val="24"/>
          <w:szCs w:val="24"/>
        </w:rPr>
        <w:t>g</w:t>
      </w:r>
      <w:r w:rsidR="00DB4412" w:rsidRPr="00E93259">
        <w:rPr>
          <w:rFonts w:ascii="Times New Roman" w:hAnsi="Times New Roman" w:cs="Times New Roman" w:hint="eastAsia"/>
          <w:bCs/>
          <w:sz w:val="24"/>
          <w:szCs w:val="24"/>
        </w:rPr>
        <w:t>ā</w:t>
      </w:r>
      <w:r w:rsidR="00DB4412" w:rsidRPr="00E93259">
        <w:rPr>
          <w:rFonts w:ascii="Times New Roman" w:hAnsi="Times New Roman" w:cs="Times New Roman"/>
          <w:bCs/>
          <w:sz w:val="24"/>
          <w:szCs w:val="24"/>
        </w:rPr>
        <w:t>s vesel</w:t>
      </w:r>
      <w:r w:rsidR="00DB4412" w:rsidRPr="00E93259">
        <w:rPr>
          <w:rFonts w:ascii="Times New Roman" w:hAnsi="Times New Roman" w:cs="Times New Roman" w:hint="eastAsia"/>
          <w:bCs/>
          <w:sz w:val="24"/>
          <w:szCs w:val="24"/>
        </w:rPr>
        <w:t>ī</w:t>
      </w:r>
      <w:r w:rsidR="00DB4412" w:rsidRPr="00E93259">
        <w:rPr>
          <w:rFonts w:ascii="Times New Roman" w:hAnsi="Times New Roman" w:cs="Times New Roman"/>
          <w:bCs/>
          <w:sz w:val="24"/>
          <w:szCs w:val="24"/>
        </w:rPr>
        <w:t>bas sekund</w:t>
      </w:r>
      <w:r w:rsidR="00DB4412" w:rsidRPr="00E93259">
        <w:rPr>
          <w:rFonts w:ascii="Times New Roman" w:hAnsi="Times New Roman" w:cs="Times New Roman" w:hint="eastAsia"/>
          <w:bCs/>
          <w:sz w:val="24"/>
          <w:szCs w:val="24"/>
        </w:rPr>
        <w:t>ā</w:t>
      </w:r>
      <w:r w:rsidR="00DB4412" w:rsidRPr="00E93259">
        <w:rPr>
          <w:rFonts w:ascii="Times New Roman" w:hAnsi="Times New Roman" w:cs="Times New Roman"/>
          <w:bCs/>
          <w:sz w:val="24"/>
          <w:szCs w:val="24"/>
        </w:rPr>
        <w:t>r</w:t>
      </w:r>
      <w:r w:rsidR="00DB4412" w:rsidRPr="00E93259">
        <w:rPr>
          <w:rFonts w:ascii="Times New Roman" w:hAnsi="Times New Roman" w:cs="Times New Roman" w:hint="eastAsia"/>
          <w:bCs/>
          <w:sz w:val="24"/>
          <w:szCs w:val="24"/>
        </w:rPr>
        <w:t>ā</w:t>
      </w:r>
      <w:r w:rsidR="00DB4412" w:rsidRPr="00E93259">
        <w:rPr>
          <w:rFonts w:ascii="Times New Roman" w:hAnsi="Times New Roman" w:cs="Times New Roman"/>
          <w:bCs/>
          <w:sz w:val="24"/>
          <w:szCs w:val="24"/>
        </w:rPr>
        <w:t>s profilakses programma garast</w:t>
      </w:r>
      <w:r w:rsidR="00DB4412" w:rsidRPr="00E93259">
        <w:rPr>
          <w:rFonts w:ascii="Times New Roman" w:hAnsi="Times New Roman" w:cs="Times New Roman" w:hint="eastAsia"/>
          <w:bCs/>
          <w:sz w:val="24"/>
          <w:szCs w:val="24"/>
        </w:rPr>
        <w:t>ā</w:t>
      </w:r>
      <w:r w:rsidR="00DB4412" w:rsidRPr="00E93259">
        <w:rPr>
          <w:rFonts w:ascii="Times New Roman" w:hAnsi="Times New Roman" w:cs="Times New Roman"/>
          <w:bCs/>
          <w:sz w:val="24"/>
          <w:szCs w:val="24"/>
        </w:rPr>
        <w:t>vok</w:t>
      </w:r>
      <w:r w:rsidR="00DB4412" w:rsidRPr="00E93259">
        <w:rPr>
          <w:rFonts w:ascii="Times New Roman" w:hAnsi="Times New Roman" w:cs="Times New Roman" w:hint="eastAsia"/>
          <w:bCs/>
          <w:sz w:val="24"/>
          <w:szCs w:val="24"/>
        </w:rPr>
        <w:t>ļ</w:t>
      </w:r>
      <w:r w:rsidR="00DB4412" w:rsidRPr="00E93259">
        <w:rPr>
          <w:rFonts w:ascii="Times New Roman" w:hAnsi="Times New Roman" w:cs="Times New Roman"/>
          <w:bCs/>
          <w:sz w:val="24"/>
          <w:szCs w:val="24"/>
        </w:rPr>
        <w:t>a un uzved</w:t>
      </w:r>
      <w:r w:rsidR="00DB4412" w:rsidRPr="00E93259">
        <w:rPr>
          <w:rFonts w:ascii="Times New Roman" w:hAnsi="Times New Roman" w:cs="Times New Roman" w:hint="eastAsia"/>
          <w:bCs/>
          <w:sz w:val="24"/>
          <w:szCs w:val="24"/>
        </w:rPr>
        <w:t>ī</w:t>
      </w:r>
      <w:r w:rsidR="00DB4412" w:rsidRPr="00E93259">
        <w:rPr>
          <w:rFonts w:ascii="Times New Roman" w:hAnsi="Times New Roman" w:cs="Times New Roman"/>
          <w:bCs/>
          <w:sz w:val="24"/>
          <w:szCs w:val="24"/>
        </w:rPr>
        <w:t>bas trauc</w:t>
      </w:r>
      <w:r w:rsidR="00DB4412" w:rsidRPr="00E93259">
        <w:rPr>
          <w:rFonts w:ascii="Times New Roman" w:hAnsi="Times New Roman" w:cs="Times New Roman" w:hint="eastAsia"/>
          <w:bCs/>
          <w:sz w:val="24"/>
          <w:szCs w:val="24"/>
        </w:rPr>
        <w:t>ē</w:t>
      </w:r>
      <w:r w:rsidR="00DB4412" w:rsidRPr="00E93259">
        <w:rPr>
          <w:rFonts w:ascii="Times New Roman" w:hAnsi="Times New Roman" w:cs="Times New Roman"/>
          <w:bCs/>
          <w:sz w:val="24"/>
          <w:szCs w:val="24"/>
        </w:rPr>
        <w:t>jumu nov</w:t>
      </w:r>
      <w:r w:rsidR="00DB4412" w:rsidRPr="00E93259">
        <w:rPr>
          <w:rFonts w:ascii="Times New Roman" w:hAnsi="Times New Roman" w:cs="Times New Roman" w:hint="eastAsia"/>
          <w:bCs/>
          <w:sz w:val="24"/>
          <w:szCs w:val="24"/>
        </w:rPr>
        <w:t>ē</w:t>
      </w:r>
      <w:r w:rsidR="00DB4412" w:rsidRPr="00E93259">
        <w:rPr>
          <w:rFonts w:ascii="Times New Roman" w:hAnsi="Times New Roman" w:cs="Times New Roman"/>
          <w:bCs/>
          <w:sz w:val="24"/>
          <w:szCs w:val="24"/>
        </w:rPr>
        <w:t>ršanai un seku mazin</w:t>
      </w:r>
      <w:r w:rsidR="00DB4412" w:rsidRPr="00E93259">
        <w:rPr>
          <w:rFonts w:ascii="Times New Roman" w:hAnsi="Times New Roman" w:cs="Times New Roman" w:hint="eastAsia"/>
          <w:bCs/>
          <w:sz w:val="24"/>
          <w:szCs w:val="24"/>
        </w:rPr>
        <w:t>āš</w:t>
      </w:r>
      <w:r w:rsidR="00DB4412" w:rsidRPr="00E93259">
        <w:rPr>
          <w:rFonts w:ascii="Times New Roman" w:hAnsi="Times New Roman" w:cs="Times New Roman"/>
          <w:bCs/>
          <w:sz w:val="24"/>
          <w:szCs w:val="24"/>
        </w:rPr>
        <w:t xml:space="preserve">anai” </w:t>
      </w:r>
      <w:r w:rsidRPr="001E4659">
        <w:rPr>
          <w:rFonts w:ascii="Times New Roman" w:eastAsia="Times New Roman" w:hAnsi="Times New Roman" w:cs="Times New Roman"/>
          <w:iCs/>
          <w:sz w:val="24"/>
          <w:szCs w:val="24"/>
        </w:rPr>
        <w:t xml:space="preserve"> </w:t>
      </w:r>
      <w:r w:rsidRPr="00FA733E">
        <w:rPr>
          <w:rFonts w:ascii="Times New Roman" w:eastAsia="Times New Roman" w:hAnsi="Times New Roman" w:cs="Times New Roman"/>
          <w:iCs/>
          <w:sz w:val="24"/>
          <w:szCs w:val="24"/>
        </w:rPr>
        <w:t>ir saglabājams 2019.gada līmenī</w:t>
      </w:r>
      <w:r>
        <w:rPr>
          <w:rFonts w:ascii="Times New Roman" w:eastAsia="Times New Roman" w:hAnsi="Times New Roman" w:cs="Times New Roman"/>
          <w:iCs/>
          <w:sz w:val="24"/>
          <w:szCs w:val="24"/>
        </w:rPr>
        <w:t>.</w:t>
      </w:r>
    </w:p>
    <w:p w14:paraId="04A51117" w14:textId="31CF2AFA" w:rsidR="61194539" w:rsidRPr="00E93259" w:rsidRDefault="61194539" w:rsidP="00E93259">
      <w:pPr>
        <w:spacing w:after="0"/>
        <w:jc w:val="both"/>
        <w:rPr>
          <w:rFonts w:ascii="Times" w:hAnsi="Times"/>
          <w:b/>
          <w:bCs/>
          <w:sz w:val="24"/>
          <w:szCs w:val="24"/>
        </w:rPr>
      </w:pPr>
    </w:p>
    <w:p w14:paraId="341FD408" w14:textId="31CF2AFA" w:rsidR="61194539" w:rsidRPr="00E93259" w:rsidRDefault="61194539" w:rsidP="00E93259">
      <w:pPr>
        <w:spacing w:after="0" w:line="240" w:lineRule="auto"/>
        <w:jc w:val="both"/>
        <w:rPr>
          <w:rFonts w:ascii="Times New Roman" w:hAnsi="Times New Roman"/>
          <w:b/>
          <w:bCs/>
          <w:sz w:val="24"/>
          <w:szCs w:val="24"/>
        </w:rPr>
      </w:pPr>
      <w:r w:rsidRPr="00E93259">
        <w:rPr>
          <w:rFonts w:ascii="Times New Roman" w:hAnsi="Times New Roman"/>
          <w:sz w:val="24"/>
          <w:szCs w:val="24"/>
          <w:u w:val="single"/>
        </w:rPr>
        <w:t>8.pasākums:</w:t>
      </w:r>
      <w:r w:rsidRPr="00E93259">
        <w:rPr>
          <w:rFonts w:ascii="Times New Roman" w:hAnsi="Times New Roman"/>
          <w:sz w:val="24"/>
          <w:szCs w:val="24"/>
        </w:rPr>
        <w:t xml:space="preserve"> Kompensējamo zāļu pieejamības uzlabošana psihisko un uzvedības traucējumu diagnožu grupā</w:t>
      </w:r>
    </w:p>
    <w:p w14:paraId="5419A63E" w14:textId="31CF2AFA" w:rsidR="61194539" w:rsidRPr="00E93259" w:rsidRDefault="61194539" w:rsidP="00E93259">
      <w:pPr>
        <w:spacing w:after="0" w:line="240" w:lineRule="auto"/>
        <w:jc w:val="center"/>
        <w:rPr>
          <w:rFonts w:ascii="Times New Roman" w:hAnsi="Times New Roman" w:cs="Times New Roman"/>
          <w:b/>
          <w:bCs/>
          <w:sz w:val="24"/>
          <w:szCs w:val="24"/>
        </w:rPr>
      </w:pPr>
    </w:p>
    <w:p w14:paraId="4DF41466" w14:textId="31CF2AFA" w:rsidR="61194539" w:rsidRPr="00E93259" w:rsidRDefault="61194539" w:rsidP="00E93259">
      <w:pPr>
        <w:spacing w:after="120"/>
        <w:ind w:firstLine="720"/>
        <w:jc w:val="both"/>
        <w:rPr>
          <w:rFonts w:ascii="Times New Roman" w:hAnsi="Times New Roman" w:cs="Times New Roman"/>
          <w:sz w:val="24"/>
          <w:szCs w:val="24"/>
        </w:rPr>
      </w:pPr>
      <w:r w:rsidRPr="00E93259">
        <w:rPr>
          <w:rFonts w:ascii="Times New Roman" w:hAnsi="Times New Roman" w:cs="Times New Roman"/>
          <w:sz w:val="24"/>
          <w:szCs w:val="24"/>
        </w:rPr>
        <w:t>Ambulatorajai ārstēšanai paredzēto zāļu un medicīnisko ierīču iegādes izdevumu kompensācija ir nepieciešama, lai nodrošinātu pilnvērtīgu pacientu ārstēšanu ambulatorās veselības aprūpes līmenī, kā arī atkarībā  no slimības smaguma novērstu vai samazinātu dzīvības apdraudējumu, uzturētu veselības stāvokli, kontrolētu slimības izpausmes, lai persona nezaudētu darbspēju, un mazinātu nepieciešamību pacientiem ārstēties stacionārā. Kompensējamo zāļu sarakstā tiek iekļautas zāles, kas atbilst konkrētās diagnozes starptautiskām ārstēšanas vadlīnijām, kam ir veikta terapeitiskā un ekonomiskā novērtēšanu, pierādot izmaksu efektivitāti un kuru izmaksas atbilst zāļu kompensācijai piešķirtajam finansējumam</w:t>
      </w:r>
      <w:r w:rsidRPr="00E93259">
        <w:rPr>
          <w:rStyle w:val="FootnoteReference"/>
          <w:rFonts w:ascii="Times New Roman" w:hAnsi="Times New Roman" w:cs="Times New Roman"/>
          <w:sz w:val="24"/>
          <w:szCs w:val="24"/>
        </w:rPr>
        <w:footnoteReference w:id="83"/>
      </w:r>
      <w:r w:rsidRPr="00E93259">
        <w:rPr>
          <w:rFonts w:ascii="Times New Roman" w:hAnsi="Times New Roman" w:cs="Times New Roman"/>
          <w:sz w:val="24"/>
          <w:szCs w:val="24"/>
        </w:rPr>
        <w:t xml:space="preserve">. </w:t>
      </w:r>
    </w:p>
    <w:p w14:paraId="18B086EF" w14:textId="31CF2AFA" w:rsidR="61194539" w:rsidRPr="00E93259" w:rsidRDefault="61194539" w:rsidP="00E93259">
      <w:pPr>
        <w:spacing w:after="120"/>
        <w:ind w:firstLine="720"/>
        <w:jc w:val="both"/>
        <w:rPr>
          <w:rFonts w:ascii="Times New Roman" w:hAnsi="Times New Roman" w:cs="Times New Roman"/>
          <w:sz w:val="24"/>
          <w:szCs w:val="24"/>
        </w:rPr>
      </w:pPr>
      <w:r w:rsidRPr="00E93259">
        <w:rPr>
          <w:rFonts w:ascii="Times New Roman" w:hAnsi="Times New Roman" w:cs="Times New Roman"/>
          <w:sz w:val="24"/>
          <w:szCs w:val="24"/>
        </w:rPr>
        <w:t>Rīcības plāns psihiskās veselības uzlabošanai 2019.-2020.gadam paredz veikt izmaiņas kompensējamo zāļu sarakstā, mainot kompensācijas apmēru, papildinot sarakstu ar jaunām zālēm un jaunām diagnozēm, lai tādējādi uzlabotu ar psihiskām slimībām slimojošo iedzīvotāju darba un mācību spējas, kā arī atslogotu viņu līdzcilvēkus.</w:t>
      </w:r>
    </w:p>
    <w:p w14:paraId="2EBD681E" w14:textId="33392890" w:rsidR="61194539" w:rsidRPr="00E93259" w:rsidRDefault="61194539" w:rsidP="00E93259">
      <w:pPr>
        <w:spacing w:after="120"/>
        <w:ind w:firstLine="720"/>
        <w:jc w:val="both"/>
        <w:rPr>
          <w:rFonts w:ascii="Times New Roman" w:hAnsi="Times New Roman" w:cs="Times New Roman"/>
          <w:sz w:val="24"/>
          <w:szCs w:val="24"/>
        </w:rPr>
      </w:pPr>
      <w:r w:rsidRPr="00E93259">
        <w:rPr>
          <w:rFonts w:ascii="Times New Roman" w:hAnsi="Times New Roman" w:cs="Times New Roman"/>
          <w:sz w:val="24"/>
          <w:szCs w:val="24"/>
        </w:rPr>
        <w:t>Pēdējos gados psihisko un uzvedības traucējumu grupā vērojams to pacientu skaita pieaugums, kas saņem zāles kompensācijas sistēmas ietvaros (</w:t>
      </w:r>
      <w:r w:rsidR="00C94F00">
        <w:rPr>
          <w:rFonts w:ascii="Times New Roman" w:hAnsi="Times New Roman" w:cs="Times New Roman"/>
          <w:sz w:val="24"/>
          <w:szCs w:val="24"/>
        </w:rPr>
        <w:t>12</w:t>
      </w:r>
      <w:r w:rsidRPr="00E93259">
        <w:rPr>
          <w:rFonts w:ascii="Times New Roman" w:hAnsi="Times New Roman" w:cs="Times New Roman"/>
          <w:sz w:val="24"/>
          <w:szCs w:val="24"/>
        </w:rPr>
        <w:t>.attēls). Vienlaikus samazinās izlietotā valsts budžeta finansējuma kopējais apjoms (samazinoties arī finansējumam uz vienu pacientu). Tas izskaidrojams ar kompensējamo zāļu cenu samazināšanos un liecina, ka ārsti, kas tiesīgi izrakstīt kompensējamās zāles psihisko slimību pacientiem, ļoti stingri ievēro tiesību aktu prasību par lētākā pieejamā medikamenta izrakstīšanu. Tomēr daļai pacientu zāļu iegādes grūtības joprojām sagādā pazeminātais kompensācijas apmērs (50%), kas ir spēkā no 2009.gada 1.marta, kā arī tas, ka diagnoze nav iekļauta zāļu kompensācijas sistēmā. Latvijas Psihiatru asociācija jau vairākkārt ir aktualizējusi nepieciešamību paplašināt zāļu kompensācijas iespējas psihisko un uzvedības traucējumu grupā, ņemot vērā, ka savlaicīga un regulāra zāļu lietošana nodrošina pacientiem iespēju būt par pilnvērtīgu sabiedrības locekli, kā arī novērst veselības stāvokļa pasliktināšanos, kas novestu pie dārgākas ārstēšanas.</w:t>
      </w:r>
    </w:p>
    <w:p w14:paraId="10A62551" w14:textId="77777777" w:rsidR="00F279D3" w:rsidRDefault="00F279D3" w:rsidP="00E93259">
      <w:pPr>
        <w:spacing w:after="0" w:line="240" w:lineRule="auto"/>
        <w:ind w:firstLine="720"/>
        <w:jc w:val="right"/>
        <w:rPr>
          <w:rFonts w:ascii="Times New Roman" w:hAnsi="Times New Roman" w:cs="Times New Roman"/>
          <w:i/>
          <w:iCs/>
          <w:sz w:val="24"/>
          <w:szCs w:val="24"/>
        </w:rPr>
      </w:pPr>
    </w:p>
    <w:p w14:paraId="7A5E3358" w14:textId="77777777" w:rsidR="00F279D3" w:rsidRDefault="00F279D3" w:rsidP="00E93259">
      <w:pPr>
        <w:spacing w:after="0" w:line="240" w:lineRule="auto"/>
        <w:ind w:firstLine="720"/>
        <w:jc w:val="right"/>
        <w:rPr>
          <w:rFonts w:ascii="Times New Roman" w:hAnsi="Times New Roman" w:cs="Times New Roman"/>
          <w:i/>
          <w:iCs/>
          <w:sz w:val="24"/>
          <w:szCs w:val="24"/>
        </w:rPr>
      </w:pPr>
    </w:p>
    <w:p w14:paraId="032BA68C" w14:textId="77777777" w:rsidR="00F279D3" w:rsidRDefault="00F279D3" w:rsidP="00E93259">
      <w:pPr>
        <w:spacing w:after="0" w:line="240" w:lineRule="auto"/>
        <w:ind w:firstLine="720"/>
        <w:jc w:val="right"/>
        <w:rPr>
          <w:rFonts w:ascii="Times New Roman" w:hAnsi="Times New Roman" w:cs="Times New Roman"/>
          <w:i/>
          <w:iCs/>
          <w:sz w:val="24"/>
          <w:szCs w:val="24"/>
        </w:rPr>
      </w:pPr>
    </w:p>
    <w:p w14:paraId="051D3685" w14:textId="77777777" w:rsidR="00F279D3" w:rsidRDefault="00F279D3" w:rsidP="00E93259">
      <w:pPr>
        <w:spacing w:after="0" w:line="240" w:lineRule="auto"/>
        <w:ind w:firstLine="720"/>
        <w:jc w:val="right"/>
        <w:rPr>
          <w:rFonts w:ascii="Times New Roman" w:hAnsi="Times New Roman" w:cs="Times New Roman"/>
          <w:i/>
          <w:iCs/>
          <w:sz w:val="24"/>
          <w:szCs w:val="24"/>
        </w:rPr>
      </w:pPr>
    </w:p>
    <w:p w14:paraId="0D95DACE" w14:textId="77777777" w:rsidR="009507A7" w:rsidRDefault="009507A7" w:rsidP="00E93259">
      <w:pPr>
        <w:spacing w:after="0" w:line="240" w:lineRule="auto"/>
        <w:ind w:firstLine="720"/>
        <w:jc w:val="right"/>
        <w:rPr>
          <w:rFonts w:ascii="Times New Roman" w:hAnsi="Times New Roman" w:cs="Times New Roman"/>
          <w:i/>
          <w:iCs/>
          <w:sz w:val="24"/>
          <w:szCs w:val="24"/>
        </w:rPr>
      </w:pPr>
    </w:p>
    <w:p w14:paraId="6E30C2C6" w14:textId="5138DD7D" w:rsidR="61194539" w:rsidRPr="00E93259" w:rsidRDefault="00C94F00" w:rsidP="00E93259">
      <w:pPr>
        <w:spacing w:after="0" w:line="240" w:lineRule="auto"/>
        <w:ind w:firstLine="720"/>
        <w:jc w:val="right"/>
        <w:rPr>
          <w:rFonts w:ascii="Times New Roman" w:hAnsi="Times New Roman" w:cs="Times New Roman"/>
          <w:i/>
          <w:iCs/>
          <w:sz w:val="24"/>
          <w:szCs w:val="24"/>
        </w:rPr>
      </w:pPr>
      <w:r w:rsidRPr="26166EDA">
        <w:rPr>
          <w:rFonts w:ascii="Times New Roman" w:hAnsi="Times New Roman" w:cs="Times New Roman"/>
          <w:i/>
          <w:iCs/>
          <w:sz w:val="24"/>
          <w:szCs w:val="24"/>
        </w:rPr>
        <w:lastRenderedPageBreak/>
        <w:t>12</w:t>
      </w:r>
      <w:r w:rsidR="61194539" w:rsidRPr="00E93259">
        <w:rPr>
          <w:rFonts w:ascii="Times New Roman" w:hAnsi="Times New Roman" w:cs="Times New Roman"/>
          <w:i/>
          <w:iCs/>
          <w:sz w:val="24"/>
          <w:szCs w:val="24"/>
        </w:rPr>
        <w:t>.attēls</w:t>
      </w:r>
    </w:p>
    <w:p w14:paraId="2681EEE2" w14:textId="5CC208AA" w:rsidR="0039771D" w:rsidRPr="00E93259" w:rsidRDefault="0039771D" w:rsidP="00E93259">
      <w:pPr>
        <w:spacing w:after="0"/>
        <w:jc w:val="center"/>
        <w:rPr>
          <w:rFonts w:ascii="Times New Roman" w:hAnsi="Times New Roman" w:cs="Times New Roman"/>
          <w:sz w:val="20"/>
          <w:szCs w:val="20"/>
        </w:rPr>
      </w:pPr>
      <w:r w:rsidRPr="26166EDA">
        <w:rPr>
          <w:rFonts w:ascii="Times New Roman" w:hAnsi="Times New Roman" w:cs="Times New Roman"/>
          <w:i/>
          <w:iCs/>
          <w:sz w:val="20"/>
          <w:szCs w:val="20"/>
        </w:rPr>
        <w:t>Zāļu kompensācijas rādītāji diagnožu grupā “Psihiski un uzvedības traucējumi”</w:t>
      </w:r>
    </w:p>
    <w:p w14:paraId="4DC65EFA" w14:textId="556BB716" w:rsidR="61194539" w:rsidRPr="00E93259" w:rsidRDefault="61194539" w:rsidP="00E93259">
      <w:pPr>
        <w:spacing w:after="0" w:line="240" w:lineRule="auto"/>
        <w:jc w:val="center"/>
        <w:rPr>
          <w:rFonts w:ascii="Times New Roman" w:hAnsi="Times New Roman" w:cs="Times New Roman"/>
          <w:b/>
          <w:bCs/>
          <w:sz w:val="24"/>
          <w:szCs w:val="24"/>
        </w:rPr>
      </w:pPr>
    </w:p>
    <w:p w14:paraId="24A16E00" w14:textId="41CC80F1" w:rsidR="61194539" w:rsidRPr="00E93259" w:rsidRDefault="61194539" w:rsidP="00E93259">
      <w:pPr>
        <w:spacing w:after="0" w:line="240" w:lineRule="auto"/>
        <w:jc w:val="center"/>
        <w:rPr>
          <w:rFonts w:ascii="Times New Roman" w:hAnsi="Times New Roman" w:cs="Times New Roman"/>
          <w:b/>
          <w:bCs/>
          <w:sz w:val="24"/>
          <w:szCs w:val="24"/>
        </w:rPr>
      </w:pPr>
      <w:r>
        <w:rPr>
          <w:noProof/>
        </w:rPr>
        <w:drawing>
          <wp:inline distT="0" distB="0" distL="0" distR="0" wp14:anchorId="7F5459B7" wp14:editId="47857FD8">
            <wp:extent cx="4610098" cy="2705100"/>
            <wp:effectExtent l="0" t="0" r="0" b="0"/>
            <wp:docPr id="1747997438" name="Picture 1747997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4610098" cy="2705100"/>
                    </a:xfrm>
                    <a:prstGeom prst="rect">
                      <a:avLst/>
                    </a:prstGeom>
                    <a:noFill/>
                  </pic:spPr>
                </pic:pic>
              </a:graphicData>
            </a:graphic>
          </wp:inline>
        </w:drawing>
      </w:r>
    </w:p>
    <w:p w14:paraId="1EF62E84" w14:textId="6F8D6426" w:rsidR="6747AA42" w:rsidRPr="00E93259" w:rsidRDefault="6747AA42" w:rsidP="00E93259">
      <w:pPr>
        <w:spacing w:after="120"/>
        <w:ind w:firstLine="720"/>
        <w:jc w:val="both"/>
        <w:rPr>
          <w:rFonts w:ascii="Times New Roman" w:hAnsi="Times New Roman" w:cs="Times New Roman"/>
          <w:sz w:val="24"/>
          <w:szCs w:val="24"/>
        </w:rPr>
      </w:pPr>
    </w:p>
    <w:p w14:paraId="3B4CBE06" w14:textId="77777777" w:rsidR="61194539" w:rsidRPr="00E93259" w:rsidRDefault="3940D45A" w:rsidP="00E93259">
      <w:pPr>
        <w:spacing w:after="120"/>
        <w:ind w:firstLine="720"/>
        <w:jc w:val="both"/>
        <w:rPr>
          <w:rFonts w:ascii="Times New Roman" w:hAnsi="Times New Roman" w:cs="Times New Roman"/>
          <w:sz w:val="24"/>
          <w:szCs w:val="24"/>
        </w:rPr>
      </w:pPr>
      <w:r w:rsidRPr="00E93259">
        <w:rPr>
          <w:rFonts w:ascii="Times New Roman" w:hAnsi="Times New Roman" w:cs="Times New Roman"/>
          <w:sz w:val="24"/>
          <w:szCs w:val="24"/>
        </w:rPr>
        <w:t>Ņemot vērā, ka apakšprogrammā 33.03.00 “Kompensējamo medikamentu un materiālu apmaksāšana” piešķirtie līdzekļi nav iezīmēti konkrētu slimību pacientiem, līdzekļu ietaupījums psihiatrijā neļauj paplašināt kompensējamo zāļu sarakstu šīs grupas pacientiem. Tādējādi, lai uzlabotu zāļu pieejamību psihisko un uzvedības traucējumu grupā un risinātu ar psihiskiem un uzvedības traucējumiem saistītos riskus pacientam un sabiedrībai, nepieciešams papildu finansējums. Ņemot vērā Latvijas Psihiatru asociācijas priekšlikumus, kā aktuālākie tiek izvirzīti šādi pasākumi:</w:t>
      </w:r>
    </w:p>
    <w:p w14:paraId="2B36BE33" w14:textId="508B0C18" w:rsidR="3940D45A" w:rsidRPr="00E93259" w:rsidRDefault="6F38FE43" w:rsidP="00E93259">
      <w:pPr>
        <w:spacing w:after="0"/>
        <w:ind w:left="357"/>
        <w:jc w:val="both"/>
        <w:rPr>
          <w:rFonts w:ascii="Times New Roman" w:hAnsi="Times New Roman" w:cs="Times New Roman"/>
          <w:sz w:val="24"/>
          <w:szCs w:val="24"/>
        </w:rPr>
      </w:pPr>
      <w:r w:rsidRPr="00E93259">
        <w:rPr>
          <w:rFonts w:ascii="Times New Roman" w:hAnsi="Times New Roman" w:cs="Times New Roman"/>
          <w:sz w:val="24"/>
          <w:szCs w:val="24"/>
        </w:rPr>
        <w:t xml:space="preserve">1.Diagnozes </w:t>
      </w:r>
      <w:r w:rsidRPr="00E93259">
        <w:rPr>
          <w:rFonts w:ascii="Times New Roman" w:hAnsi="Times New Roman" w:cs="Times New Roman"/>
          <w:i/>
          <w:iCs/>
          <w:sz w:val="24"/>
          <w:szCs w:val="24"/>
        </w:rPr>
        <w:t>F32 Depresīva epizode</w:t>
      </w:r>
      <w:r w:rsidRPr="00E93259">
        <w:rPr>
          <w:rFonts w:ascii="Times New Roman" w:hAnsi="Times New Roman" w:cs="Times New Roman"/>
          <w:sz w:val="24"/>
          <w:szCs w:val="24"/>
        </w:rPr>
        <w:t xml:space="preserve"> iekļaušana zāļu kompensācijas sistēmā. Ir būtiski jau pirmās epizodes gadījumā uzsākt atbilstošu ārstēšanu, lai pacients saglabātu funkcionēšanas spēju sabiedrībā. Slimību profilakses un kontroles centra aptaujas dati liecina, ka ar depresiju 2016.gadā saskārušies 6,7% respondentu</w:t>
      </w:r>
      <w:r w:rsidR="3940D45A" w:rsidRPr="00E93259">
        <w:rPr>
          <w:rStyle w:val="FootnoteReference"/>
          <w:rFonts w:ascii="Times New Roman" w:hAnsi="Times New Roman" w:cs="Times New Roman"/>
          <w:sz w:val="24"/>
          <w:szCs w:val="24"/>
        </w:rPr>
        <w:footnoteReference w:id="84"/>
      </w:r>
      <w:r w:rsidRPr="00E93259">
        <w:rPr>
          <w:rFonts w:ascii="Times New Roman" w:hAnsi="Times New Roman" w:cs="Times New Roman"/>
          <w:sz w:val="24"/>
          <w:szCs w:val="24"/>
        </w:rPr>
        <w:t>. Bez tam pieaug uzskaitē esošo, kā arī pirmreizējo pacientu skaits, kam diagnosticēta depresīva epizode</w:t>
      </w:r>
      <w:r w:rsidR="3940D45A" w:rsidRPr="00E93259">
        <w:rPr>
          <w:rStyle w:val="FootnoteReference"/>
          <w:rFonts w:ascii="Times New Roman" w:hAnsi="Times New Roman" w:cs="Times New Roman"/>
          <w:sz w:val="24"/>
          <w:szCs w:val="24"/>
        </w:rPr>
        <w:footnoteReference w:id="85"/>
      </w:r>
      <w:r w:rsidRPr="00E93259">
        <w:rPr>
          <w:rFonts w:ascii="Times New Roman" w:hAnsi="Times New Roman" w:cs="Times New Roman"/>
          <w:sz w:val="24"/>
          <w:szCs w:val="24"/>
        </w:rPr>
        <w:t>.</w:t>
      </w:r>
    </w:p>
    <w:p w14:paraId="27384B66" w14:textId="1D343FEF" w:rsidR="3940D45A" w:rsidRPr="00E93259" w:rsidRDefault="39245716" w:rsidP="00E93259">
      <w:pPr>
        <w:spacing w:after="0"/>
        <w:ind w:left="357"/>
        <w:jc w:val="both"/>
        <w:rPr>
          <w:sz w:val="24"/>
          <w:szCs w:val="24"/>
        </w:rPr>
      </w:pPr>
      <w:r w:rsidRPr="00E93259">
        <w:rPr>
          <w:rFonts w:ascii="Times New Roman" w:hAnsi="Times New Roman" w:cs="Times New Roman"/>
          <w:sz w:val="24"/>
          <w:szCs w:val="24"/>
        </w:rPr>
        <w:t>2.</w:t>
      </w:r>
      <w:r w:rsidR="6F38FE43" w:rsidRPr="00E93259">
        <w:rPr>
          <w:rFonts w:ascii="Times New Roman" w:hAnsi="Times New Roman" w:cs="Times New Roman"/>
          <w:sz w:val="24"/>
          <w:szCs w:val="24"/>
        </w:rPr>
        <w:t xml:space="preserve">Diagnozes </w:t>
      </w:r>
      <w:r w:rsidR="6F38FE43" w:rsidRPr="00E93259">
        <w:rPr>
          <w:rFonts w:ascii="Times New Roman" w:hAnsi="Times New Roman" w:cs="Times New Roman"/>
          <w:i/>
          <w:iCs/>
          <w:sz w:val="24"/>
          <w:szCs w:val="24"/>
        </w:rPr>
        <w:t>F23 Akūti un transitoriski psihotiski traucējumi</w:t>
      </w:r>
      <w:r w:rsidR="6F38FE43" w:rsidRPr="00E93259">
        <w:rPr>
          <w:rFonts w:ascii="Times New Roman" w:hAnsi="Times New Roman" w:cs="Times New Roman"/>
          <w:sz w:val="24"/>
          <w:szCs w:val="24"/>
        </w:rPr>
        <w:t xml:space="preserve"> iekļaušana zāļu kompensācijas sistēmā. Vairums pacientu, saņemot atbilstošu ārstēšanu ambulatori, varētu ilgāk saglabāt darba un mācību spējas, kā arī atjaunot funkcionēšanas spējas sabiedrībā. Būtiski mazinātos atkārtotu psihožu un rehospitalizācijas risks, palēninātos neirodeģeneratīvo pārmaiņu rašanās smadzenēs.</w:t>
      </w:r>
    </w:p>
    <w:p w14:paraId="7908567F" w14:textId="31BFE861" w:rsidR="3940D45A" w:rsidRPr="00E93259" w:rsidRDefault="6F38FE43" w:rsidP="00E93259">
      <w:pPr>
        <w:spacing w:after="0"/>
        <w:ind w:left="357"/>
        <w:jc w:val="both"/>
        <w:rPr>
          <w:rFonts w:ascii="Times New Roman" w:hAnsi="Times New Roman" w:cs="Times New Roman"/>
          <w:sz w:val="24"/>
          <w:szCs w:val="24"/>
        </w:rPr>
      </w:pPr>
      <w:r w:rsidRPr="00E93259">
        <w:rPr>
          <w:rFonts w:ascii="Times New Roman" w:hAnsi="Times New Roman" w:cs="Times New Roman"/>
          <w:sz w:val="24"/>
          <w:szCs w:val="24"/>
        </w:rPr>
        <w:t xml:space="preserve">3.Diagnozes </w:t>
      </w:r>
      <w:r w:rsidRPr="00E93259">
        <w:rPr>
          <w:rFonts w:ascii="Times New Roman" w:hAnsi="Times New Roman" w:cs="Times New Roman"/>
          <w:i/>
          <w:iCs/>
          <w:sz w:val="24"/>
          <w:szCs w:val="24"/>
        </w:rPr>
        <w:t>F90 Hiperkinētiski traucējumi</w:t>
      </w:r>
      <w:r w:rsidRPr="00E93259">
        <w:rPr>
          <w:rFonts w:ascii="Times New Roman" w:hAnsi="Times New Roman" w:cs="Times New Roman"/>
          <w:sz w:val="24"/>
          <w:szCs w:val="24"/>
        </w:rPr>
        <w:t xml:space="preserve"> (ietver uzmanības deficīta un hiperaktivitātes sindromu) iekļaušana zāļu kompensācijas sistēmā (vienlaikus nosakot stingrus kritērijus personām, kas tiesīgas noteikt diagnozi, kā arī izrakstīšanas nosacījumus, paredzot </w:t>
      </w:r>
      <w:r w:rsidRPr="00E93259">
        <w:rPr>
          <w:rFonts w:ascii="Times New Roman" w:hAnsi="Times New Roman" w:cs="Times New Roman"/>
          <w:sz w:val="24"/>
          <w:szCs w:val="24"/>
        </w:rPr>
        <w:lastRenderedPageBreak/>
        <w:t xml:space="preserve">medikamentozās ārstēšanas uzsākšanas kritērijus, kā pirmo izvēli nosakot ārstēšanu, kas nav saistīta ar zāļu lietošanu). Nodrošinot iespēju bērniem no sešu gadu vecuma saņemt atbalstu zāļu iegādē zāles, tiktu mazināta simptomātika, ļaujot pilnvērtīgāk iekļauties mācību procesā un nodrošinot labākus mācību un darba apstākļu apkārtējiem. </w:t>
      </w:r>
    </w:p>
    <w:p w14:paraId="741C3917" w14:textId="5982263B" w:rsidR="3940D45A" w:rsidRPr="00E93259" w:rsidRDefault="39245716" w:rsidP="00E93259">
      <w:pPr>
        <w:spacing w:after="0"/>
        <w:ind w:left="357"/>
        <w:jc w:val="both"/>
        <w:rPr>
          <w:sz w:val="24"/>
          <w:szCs w:val="24"/>
        </w:rPr>
      </w:pPr>
      <w:r w:rsidRPr="00E93259">
        <w:rPr>
          <w:rFonts w:ascii="Times New Roman" w:hAnsi="Times New Roman" w:cs="Times New Roman"/>
          <w:sz w:val="24"/>
          <w:szCs w:val="24"/>
        </w:rPr>
        <w:t>4.</w:t>
      </w:r>
      <w:r w:rsidR="36C703EA" w:rsidRPr="00E93259">
        <w:rPr>
          <w:rFonts w:ascii="Times New Roman" w:hAnsi="Times New Roman" w:cs="Times New Roman"/>
          <w:sz w:val="24"/>
          <w:szCs w:val="24"/>
        </w:rPr>
        <w:t xml:space="preserve">Diagnozes </w:t>
      </w:r>
      <w:r w:rsidR="36C703EA" w:rsidRPr="00E93259">
        <w:rPr>
          <w:rFonts w:ascii="Times New Roman" w:hAnsi="Times New Roman" w:cs="Times New Roman"/>
          <w:i/>
          <w:iCs/>
          <w:sz w:val="24"/>
          <w:szCs w:val="24"/>
        </w:rPr>
        <w:t>F32 Depresīva epizode</w:t>
      </w:r>
      <w:r w:rsidR="36C703EA" w:rsidRPr="00E93259">
        <w:rPr>
          <w:rFonts w:ascii="Times New Roman" w:hAnsi="Times New Roman" w:cs="Times New Roman"/>
          <w:sz w:val="24"/>
          <w:szCs w:val="24"/>
        </w:rPr>
        <w:t xml:space="preserve"> iekļaušana zāļu kompensācijas sistēmā. Ir būtiski jau pirmās epizodes gadījumā uzsākt atbilstošu ārstēšanu, lai pacients saglabātu funkcionēšanas spēju sabiedrībā. Slimību profilakses un kontroles centra aptaujas dati liecina, ka ar depresiju 2016.gadā saskārušies 6,7% respondentu</w:t>
      </w:r>
      <w:r w:rsidR="3940D45A" w:rsidRPr="00E93259">
        <w:rPr>
          <w:rStyle w:val="FootnoteReference"/>
          <w:rFonts w:ascii="Times New Roman" w:hAnsi="Times New Roman" w:cs="Times New Roman"/>
          <w:sz w:val="24"/>
          <w:szCs w:val="24"/>
        </w:rPr>
        <w:footnoteReference w:id="86"/>
      </w:r>
      <w:r w:rsidR="36C703EA" w:rsidRPr="00E93259">
        <w:rPr>
          <w:rFonts w:ascii="Times New Roman" w:hAnsi="Times New Roman" w:cs="Times New Roman"/>
          <w:sz w:val="24"/>
          <w:szCs w:val="24"/>
        </w:rPr>
        <w:t>. Bez tam pieaug uzskaitē esošo, kā arī pirmreizējo pacientu skaits, kam diagnosticēta depresīva epizode</w:t>
      </w:r>
      <w:r w:rsidR="3940D45A" w:rsidRPr="00E93259">
        <w:rPr>
          <w:rStyle w:val="FootnoteReference"/>
          <w:rFonts w:ascii="Times New Roman" w:hAnsi="Times New Roman" w:cs="Times New Roman"/>
          <w:sz w:val="24"/>
          <w:szCs w:val="24"/>
        </w:rPr>
        <w:footnoteReference w:id="87"/>
      </w:r>
      <w:r w:rsidR="36C703EA" w:rsidRPr="00E93259">
        <w:rPr>
          <w:rFonts w:ascii="Times New Roman" w:hAnsi="Times New Roman" w:cs="Times New Roman"/>
          <w:sz w:val="24"/>
          <w:szCs w:val="24"/>
        </w:rPr>
        <w:t>.</w:t>
      </w:r>
    </w:p>
    <w:p w14:paraId="6A3D0E54" w14:textId="79996469" w:rsidR="3940D45A" w:rsidRPr="00E93259" w:rsidRDefault="39245716" w:rsidP="00E93259">
      <w:pPr>
        <w:spacing w:after="0"/>
        <w:ind w:left="357"/>
        <w:jc w:val="both"/>
        <w:rPr>
          <w:rFonts w:ascii="Times New Roman" w:hAnsi="Times New Roman" w:cs="Times New Roman"/>
          <w:sz w:val="24"/>
          <w:szCs w:val="24"/>
        </w:rPr>
      </w:pPr>
      <w:r w:rsidRPr="00E93259">
        <w:rPr>
          <w:rFonts w:ascii="Times New Roman" w:hAnsi="Times New Roman" w:cs="Times New Roman"/>
          <w:sz w:val="24"/>
          <w:szCs w:val="24"/>
        </w:rPr>
        <w:t>5.</w:t>
      </w:r>
      <w:r w:rsidR="6F38FE43" w:rsidRPr="00E93259">
        <w:rPr>
          <w:rFonts w:ascii="Times New Roman" w:hAnsi="Times New Roman" w:cs="Times New Roman"/>
          <w:sz w:val="24"/>
          <w:szCs w:val="24"/>
        </w:rPr>
        <w:t>Palielināt zāļu kompensācijas apmēru diagnozēm psihisko un uzvedības traucējumu grupā no 50% uz 75% (izņemot diagnozes F71 – F73 – skat. iepriekšējo punktu), tādējādi atjaunojot kompensācijas apmēru līmenī, kādā tas bija pirms 2009. gada 1. marta</w:t>
      </w:r>
      <w:r w:rsidR="3940D45A" w:rsidRPr="00E93259">
        <w:rPr>
          <w:rStyle w:val="FootnoteReference"/>
          <w:rFonts w:ascii="Times New Roman" w:hAnsi="Times New Roman" w:cs="Times New Roman"/>
          <w:sz w:val="24"/>
          <w:szCs w:val="24"/>
        </w:rPr>
        <w:footnoteReference w:id="88"/>
      </w:r>
      <w:r w:rsidR="6F38FE43" w:rsidRPr="00E93259">
        <w:rPr>
          <w:rFonts w:ascii="Times New Roman" w:hAnsi="Times New Roman" w:cs="Times New Roman"/>
          <w:sz w:val="24"/>
          <w:szCs w:val="24"/>
        </w:rPr>
        <w:t>. Psihisko un uzvedības traucējumu gadījumā būtiska ir pacientu līdzestība ārstēšanai, un pacienta līdzmaksājuma apmērs ir tieši saistīts ar pacienta vēlmi vai iespējām iegādāties zāles.</w:t>
      </w:r>
    </w:p>
    <w:p w14:paraId="14226FC8" w14:textId="17EB4AA8" w:rsidR="3940D45A" w:rsidRPr="00E93259" w:rsidRDefault="6F38FE43" w:rsidP="00E93259">
      <w:pPr>
        <w:spacing w:after="0"/>
        <w:ind w:left="357"/>
        <w:jc w:val="both"/>
        <w:rPr>
          <w:rFonts w:ascii="Times New Roman" w:hAnsi="Times New Roman" w:cs="Times New Roman"/>
          <w:sz w:val="24"/>
          <w:szCs w:val="24"/>
        </w:rPr>
      </w:pPr>
      <w:r w:rsidRPr="00E93259">
        <w:rPr>
          <w:rFonts w:ascii="Times New Roman" w:hAnsi="Times New Roman" w:cs="Times New Roman"/>
          <w:sz w:val="24"/>
          <w:szCs w:val="24"/>
        </w:rPr>
        <w:t xml:space="preserve">6. Diagnožu </w:t>
      </w:r>
      <w:r w:rsidRPr="00E93259">
        <w:rPr>
          <w:rFonts w:ascii="Times New Roman" w:hAnsi="Times New Roman" w:cs="Times New Roman"/>
          <w:i/>
          <w:iCs/>
          <w:sz w:val="24"/>
          <w:szCs w:val="24"/>
        </w:rPr>
        <w:t>F07.0 Organiski personības traucējumi</w:t>
      </w:r>
      <w:r w:rsidRPr="00E93259">
        <w:rPr>
          <w:rFonts w:ascii="Times New Roman" w:hAnsi="Times New Roman" w:cs="Times New Roman"/>
          <w:sz w:val="24"/>
          <w:szCs w:val="24"/>
        </w:rPr>
        <w:t xml:space="preserve">, </w:t>
      </w:r>
      <w:r w:rsidRPr="00E93259">
        <w:rPr>
          <w:rFonts w:ascii="Times New Roman" w:hAnsi="Times New Roman" w:cs="Times New Roman"/>
          <w:i/>
          <w:iCs/>
          <w:sz w:val="24"/>
          <w:szCs w:val="24"/>
        </w:rPr>
        <w:t>F07.8 Citi organiski personības un uzvedības traucējumi smadzeņu slimības, bojājuma un disfunkcijas dēļ</w:t>
      </w:r>
      <w:r w:rsidRPr="00E93259">
        <w:rPr>
          <w:rFonts w:ascii="Times New Roman" w:hAnsi="Times New Roman" w:cs="Times New Roman"/>
          <w:sz w:val="24"/>
          <w:szCs w:val="24"/>
        </w:rPr>
        <w:t xml:space="preserve"> un </w:t>
      </w:r>
      <w:r w:rsidRPr="00E93259">
        <w:rPr>
          <w:rFonts w:ascii="Times New Roman" w:hAnsi="Times New Roman" w:cs="Times New Roman"/>
          <w:i/>
          <w:iCs/>
          <w:sz w:val="24"/>
          <w:szCs w:val="24"/>
        </w:rPr>
        <w:t>F70 Viegla garīga atpalicība</w:t>
      </w:r>
      <w:r w:rsidRPr="00E93259">
        <w:rPr>
          <w:rFonts w:ascii="Times New Roman" w:hAnsi="Times New Roman" w:cs="Times New Roman"/>
          <w:sz w:val="24"/>
          <w:szCs w:val="24"/>
        </w:rPr>
        <w:t xml:space="preserve"> iekļaušana zāļu kompensācijas sistēmā (kompensācija 100% apmērā) pacientiem, kuriem ar tiesas lēmumu sakarā ar krimināli sodāmu nodarījumu noteikts medicīniska rakstura piespiedu līdzeklis – ambulatora ārstēšana medicīnas iestādē. Šīs grupas pacienti agrāk veikuši krimināli sodāmus nodarījumus, bet savu psihisko traucējumu dēļ atbrīvoti no kriminālatbildības. Šie pacienti ir ar zemu līdzestību, ne vienmēr gatavi par saviem līdzekļiem iegādāties medikamentus, bet viņu ārstēšanas nodrošināšana ir visas sabiedrības interesēs.  </w:t>
      </w:r>
    </w:p>
    <w:p w14:paraId="3314294E" w14:textId="247F5381" w:rsidR="25020689" w:rsidRPr="00E93259" w:rsidRDefault="25020689" w:rsidP="00E93259">
      <w:pPr>
        <w:spacing w:after="0"/>
        <w:ind w:left="714" w:hanging="357"/>
        <w:jc w:val="both"/>
        <w:rPr>
          <w:rFonts w:ascii="Times New Roman" w:hAnsi="Times New Roman" w:cs="Times New Roman"/>
          <w:b/>
          <w:bCs/>
          <w:sz w:val="24"/>
          <w:szCs w:val="24"/>
        </w:rPr>
      </w:pPr>
    </w:p>
    <w:p w14:paraId="7A838980" w14:textId="2530D984" w:rsidR="25020689" w:rsidRPr="00E93259" w:rsidRDefault="25020689" w:rsidP="00E93259">
      <w:pPr>
        <w:spacing w:after="0"/>
        <w:ind w:left="357" w:firstLine="720"/>
        <w:jc w:val="both"/>
        <w:rPr>
          <w:rFonts w:ascii="Times New Roman" w:hAnsi="Times New Roman" w:cs="Times New Roman"/>
          <w:sz w:val="24"/>
          <w:szCs w:val="24"/>
        </w:rPr>
      </w:pPr>
      <w:r w:rsidRPr="00E93259">
        <w:rPr>
          <w:rFonts w:ascii="Times New Roman" w:hAnsi="Times New Roman" w:cs="Times New Roman"/>
          <w:b/>
          <w:bCs/>
          <w:sz w:val="24"/>
          <w:szCs w:val="24"/>
        </w:rPr>
        <w:t xml:space="preserve">Visu minēto </w:t>
      </w:r>
      <w:r w:rsidR="4ADD3330" w:rsidRPr="00E93259">
        <w:rPr>
          <w:rFonts w:ascii="Times New Roman" w:hAnsi="Times New Roman" w:cs="Times New Roman"/>
          <w:b/>
          <w:bCs/>
          <w:sz w:val="24"/>
          <w:szCs w:val="24"/>
        </w:rPr>
        <w:t>8.</w:t>
      </w:r>
      <w:r w:rsidRPr="00E93259">
        <w:rPr>
          <w:rFonts w:ascii="Times New Roman" w:hAnsi="Times New Roman" w:cs="Times New Roman"/>
          <w:b/>
          <w:bCs/>
          <w:sz w:val="24"/>
          <w:szCs w:val="24"/>
        </w:rPr>
        <w:t>p</w:t>
      </w:r>
      <w:r w:rsidR="6747AA42" w:rsidRPr="00E93259">
        <w:rPr>
          <w:rFonts w:ascii="Times New Roman" w:hAnsi="Times New Roman" w:cs="Times New Roman"/>
          <w:b/>
          <w:bCs/>
          <w:sz w:val="24"/>
          <w:szCs w:val="24"/>
        </w:rPr>
        <w:t xml:space="preserve">unkta </w:t>
      </w:r>
      <w:r w:rsidRPr="00E93259">
        <w:rPr>
          <w:rFonts w:ascii="Times New Roman" w:hAnsi="Times New Roman" w:cs="Times New Roman"/>
          <w:b/>
          <w:bCs/>
          <w:sz w:val="24"/>
          <w:szCs w:val="24"/>
        </w:rPr>
        <w:t>pasākumu ieviešanai veicami grozījumi Ministru kabineta 2006.gada</w:t>
      </w:r>
      <w:r w:rsidR="4ADD3330" w:rsidRPr="00E93259">
        <w:rPr>
          <w:rFonts w:ascii="Times New Roman" w:hAnsi="Times New Roman" w:cs="Times New Roman"/>
          <w:b/>
          <w:bCs/>
          <w:sz w:val="24"/>
          <w:szCs w:val="24"/>
        </w:rPr>
        <w:t xml:space="preserve"> </w:t>
      </w:r>
      <w:r w:rsidRPr="00E93259">
        <w:rPr>
          <w:rFonts w:ascii="Times New Roman" w:hAnsi="Times New Roman" w:cs="Times New Roman"/>
          <w:b/>
          <w:bCs/>
          <w:sz w:val="24"/>
          <w:szCs w:val="24"/>
        </w:rPr>
        <w:t>31.oktobra noteikumos Nr.899 “Ambulatorajai ārstēšanai paredzēto zāļu un medicīnisko ierīču iegādes izdevumu kompensācijas kārtība</w:t>
      </w:r>
      <w:r w:rsidRPr="00E93259">
        <w:rPr>
          <w:rFonts w:ascii="Times New Roman" w:hAnsi="Times New Roman" w:cs="Times New Roman"/>
          <w:sz w:val="24"/>
          <w:szCs w:val="24"/>
        </w:rPr>
        <w:t>”</w:t>
      </w:r>
    </w:p>
    <w:p w14:paraId="05822892" w14:textId="77777777" w:rsidR="00D1261D" w:rsidRDefault="00D1261D" w:rsidP="00E93259">
      <w:pPr>
        <w:spacing w:after="0"/>
        <w:jc w:val="right"/>
        <w:rPr>
          <w:rFonts w:ascii="Times New Roman" w:hAnsi="Times New Roman" w:cs="Times New Roman"/>
          <w:i/>
          <w:iCs/>
          <w:sz w:val="24"/>
          <w:szCs w:val="24"/>
        </w:rPr>
        <w:sectPr w:rsidR="00D1261D" w:rsidSect="00333B64">
          <w:pgSz w:w="12240" w:h="15840"/>
          <w:pgMar w:top="1440" w:right="1440" w:bottom="1440" w:left="1701" w:header="708" w:footer="708" w:gutter="0"/>
          <w:cols w:space="708"/>
          <w:docGrid w:linePitch="360"/>
        </w:sectPr>
      </w:pPr>
    </w:p>
    <w:p w14:paraId="39D4EC13" w14:textId="24817E8D" w:rsidR="7725EEA7" w:rsidRPr="00E93259" w:rsidRDefault="00E118ED" w:rsidP="00E93259">
      <w:pPr>
        <w:spacing w:after="0"/>
        <w:jc w:val="right"/>
        <w:rPr>
          <w:rFonts w:ascii="Times New Roman" w:hAnsi="Times New Roman" w:cs="Times New Roman"/>
          <w:i/>
          <w:iCs/>
          <w:sz w:val="24"/>
          <w:szCs w:val="24"/>
        </w:rPr>
      </w:pPr>
      <w:r>
        <w:rPr>
          <w:rFonts w:ascii="Times New Roman" w:hAnsi="Times New Roman" w:cs="Times New Roman"/>
          <w:i/>
          <w:iCs/>
          <w:sz w:val="24"/>
          <w:szCs w:val="24"/>
        </w:rPr>
        <w:lastRenderedPageBreak/>
        <w:t>104</w:t>
      </w:r>
      <w:r w:rsidR="48CC145F" w:rsidRPr="00E93259">
        <w:rPr>
          <w:rFonts w:ascii="Times New Roman" w:hAnsi="Times New Roman" w:cs="Times New Roman"/>
          <w:i/>
          <w:iCs/>
          <w:sz w:val="24"/>
          <w:szCs w:val="24"/>
        </w:rPr>
        <w:t>.tabula</w:t>
      </w:r>
    </w:p>
    <w:p w14:paraId="19D0AC0B" w14:textId="7B639A0D" w:rsidR="48CC145F" w:rsidRPr="00E93259" w:rsidRDefault="48CC145F" w:rsidP="00E93259">
      <w:pPr>
        <w:spacing w:after="0" w:line="240" w:lineRule="auto"/>
        <w:ind w:firstLine="709"/>
        <w:jc w:val="center"/>
        <w:rPr>
          <w:rFonts w:ascii="Times New Roman" w:hAnsi="Times New Roman" w:cs="Times New Roman"/>
          <w:b/>
          <w:bCs/>
          <w:sz w:val="24"/>
          <w:szCs w:val="24"/>
        </w:rPr>
      </w:pPr>
      <w:r w:rsidRPr="00E93259">
        <w:rPr>
          <w:rFonts w:ascii="Times New Roman" w:hAnsi="Times New Roman" w:cs="Times New Roman"/>
          <w:b/>
          <w:bCs/>
          <w:sz w:val="24"/>
          <w:szCs w:val="24"/>
        </w:rPr>
        <w:t xml:space="preserve">Zāļu kompensācija pacientiem diagnožu grupā </w:t>
      </w:r>
    </w:p>
    <w:p w14:paraId="7082C02D" w14:textId="15EE3BD3" w:rsidR="48CC145F" w:rsidRPr="00E93259" w:rsidRDefault="48CC145F" w:rsidP="00E93259">
      <w:pPr>
        <w:spacing w:after="0" w:line="240" w:lineRule="auto"/>
        <w:ind w:firstLine="709"/>
        <w:jc w:val="center"/>
        <w:rPr>
          <w:rFonts w:ascii="Times New Roman" w:hAnsi="Times New Roman" w:cs="Times New Roman"/>
          <w:b/>
          <w:bCs/>
          <w:sz w:val="24"/>
          <w:szCs w:val="24"/>
        </w:rPr>
      </w:pPr>
      <w:r w:rsidRPr="00E93259">
        <w:rPr>
          <w:rFonts w:ascii="Times New Roman" w:hAnsi="Times New Roman" w:cs="Times New Roman"/>
          <w:b/>
          <w:bCs/>
          <w:sz w:val="24"/>
          <w:szCs w:val="24"/>
        </w:rPr>
        <w:t>“Psihiski un uzvedības traucējumi”</w:t>
      </w:r>
    </w:p>
    <w:tbl>
      <w:tblPr>
        <w:tblStyle w:val="TableGrid"/>
        <w:tblW w:w="13454" w:type="dxa"/>
        <w:tblLayout w:type="fixed"/>
        <w:tblLook w:val="04A0" w:firstRow="1" w:lastRow="0" w:firstColumn="1" w:lastColumn="0" w:noHBand="0" w:noVBand="1"/>
      </w:tblPr>
      <w:tblGrid>
        <w:gridCol w:w="316"/>
        <w:gridCol w:w="1805"/>
        <w:gridCol w:w="1105"/>
        <w:gridCol w:w="866"/>
        <w:gridCol w:w="866"/>
        <w:gridCol w:w="866"/>
        <w:gridCol w:w="716"/>
        <w:gridCol w:w="826"/>
        <w:gridCol w:w="1166"/>
        <w:gridCol w:w="13"/>
        <w:gridCol w:w="785"/>
        <w:gridCol w:w="766"/>
        <w:gridCol w:w="766"/>
        <w:gridCol w:w="23"/>
        <w:gridCol w:w="753"/>
        <w:gridCol w:w="811"/>
        <w:gridCol w:w="992"/>
        <w:gridCol w:w="13"/>
      </w:tblGrid>
      <w:tr w:rsidR="000015C0" w14:paraId="77C7F202" w14:textId="77777777" w:rsidTr="00B04CD5">
        <w:tc>
          <w:tcPr>
            <w:tcW w:w="316" w:type="dxa"/>
            <w:shd w:val="clear" w:color="auto" w:fill="E36C0A" w:themeFill="accent6" w:themeFillShade="BF"/>
          </w:tcPr>
          <w:p w14:paraId="67ACC083" w14:textId="77777777" w:rsidR="00287DC0" w:rsidRPr="00E93259" w:rsidRDefault="00287DC0" w:rsidP="00E93259">
            <w:pPr>
              <w:jc w:val="both"/>
              <w:rPr>
                <w:rFonts w:ascii="Times New Roman" w:hAnsi="Times New Roman"/>
                <w:sz w:val="22"/>
                <w:szCs w:val="22"/>
              </w:rPr>
            </w:pPr>
          </w:p>
        </w:tc>
        <w:tc>
          <w:tcPr>
            <w:tcW w:w="1805" w:type="dxa"/>
            <w:shd w:val="clear" w:color="auto" w:fill="E36C0A" w:themeFill="accent6" w:themeFillShade="BF"/>
            <w:vAlign w:val="center"/>
          </w:tcPr>
          <w:p w14:paraId="04C7D352" w14:textId="77777777" w:rsidR="00287DC0" w:rsidRPr="00E93259" w:rsidRDefault="00287DC0" w:rsidP="00E93259">
            <w:pPr>
              <w:jc w:val="both"/>
              <w:rPr>
                <w:rFonts w:ascii="Times New Roman" w:hAnsi="Times New Roman"/>
              </w:rPr>
            </w:pPr>
          </w:p>
        </w:tc>
        <w:tc>
          <w:tcPr>
            <w:tcW w:w="1105" w:type="dxa"/>
            <w:shd w:val="clear" w:color="auto" w:fill="E36C0A" w:themeFill="accent6" w:themeFillShade="BF"/>
            <w:vAlign w:val="center"/>
          </w:tcPr>
          <w:p w14:paraId="62BDDAE5" w14:textId="1469C7E8" w:rsidR="00287DC0" w:rsidRPr="00E93259" w:rsidRDefault="005177E1" w:rsidP="00E93259">
            <w:pPr>
              <w:jc w:val="center"/>
              <w:rPr>
                <w:rFonts w:ascii="Times New Roman" w:hAnsi="Times New Roman"/>
                <w:b/>
                <w:bCs/>
              </w:rPr>
            </w:pPr>
            <w:r>
              <w:rPr>
                <w:rFonts w:ascii="Times New Roman" w:hAnsi="Times New Roman"/>
                <w:b/>
                <w:bCs/>
              </w:rPr>
              <w:t xml:space="preserve">Medikamentu </w:t>
            </w:r>
            <w:r w:rsidR="003D05E5">
              <w:rPr>
                <w:rFonts w:ascii="Times New Roman" w:hAnsi="Times New Roman"/>
                <w:b/>
                <w:bCs/>
              </w:rPr>
              <w:t>i</w:t>
            </w:r>
            <w:r w:rsidR="00287DC0" w:rsidRPr="00E93259">
              <w:rPr>
                <w:rFonts w:ascii="Times New Roman" w:hAnsi="Times New Roman"/>
                <w:b/>
                <w:bCs/>
              </w:rPr>
              <w:t>zmaksas vidēji vienam pacientam</w:t>
            </w:r>
          </w:p>
        </w:tc>
        <w:tc>
          <w:tcPr>
            <w:tcW w:w="2598" w:type="dxa"/>
            <w:gridSpan w:val="3"/>
            <w:shd w:val="clear" w:color="auto" w:fill="E36C0A" w:themeFill="accent6" w:themeFillShade="BF"/>
            <w:vAlign w:val="center"/>
          </w:tcPr>
          <w:p w14:paraId="5450D4CF" w14:textId="3691E3F9" w:rsidR="00287DC0" w:rsidRPr="00E93259" w:rsidRDefault="00287DC0" w:rsidP="00E93259">
            <w:pPr>
              <w:jc w:val="center"/>
              <w:rPr>
                <w:rFonts w:ascii="Times New Roman" w:hAnsi="Times New Roman"/>
                <w:b/>
                <w:bCs/>
              </w:rPr>
            </w:pPr>
            <w:r w:rsidRPr="00E93259">
              <w:rPr>
                <w:rFonts w:ascii="Times New Roman" w:hAnsi="Times New Roman"/>
                <w:b/>
                <w:bCs/>
              </w:rPr>
              <w:t>Plānotais finansējums</w:t>
            </w:r>
          </w:p>
        </w:tc>
        <w:tc>
          <w:tcPr>
            <w:tcW w:w="2721" w:type="dxa"/>
            <w:gridSpan w:val="4"/>
            <w:shd w:val="clear" w:color="auto" w:fill="E36C0A" w:themeFill="accent6" w:themeFillShade="BF"/>
            <w:vAlign w:val="center"/>
          </w:tcPr>
          <w:p w14:paraId="49A44B76" w14:textId="717CA444" w:rsidR="00287DC0" w:rsidRPr="00E93259" w:rsidRDefault="00287DC0" w:rsidP="00E93259">
            <w:pPr>
              <w:jc w:val="center"/>
              <w:rPr>
                <w:rFonts w:ascii="Times New Roman" w:hAnsi="Times New Roman"/>
                <w:b/>
                <w:bCs/>
              </w:rPr>
            </w:pPr>
            <w:r w:rsidRPr="00E93259">
              <w:rPr>
                <w:rFonts w:ascii="Times New Roman" w:hAnsi="Times New Roman"/>
                <w:b/>
                <w:bCs/>
              </w:rPr>
              <w:t xml:space="preserve">Papildu </w:t>
            </w:r>
            <w:r w:rsidR="003D05E5">
              <w:rPr>
                <w:rFonts w:ascii="Times New Roman" w:hAnsi="Times New Roman"/>
                <w:b/>
                <w:bCs/>
              </w:rPr>
              <w:t xml:space="preserve">piešķirtais </w:t>
            </w:r>
            <w:r w:rsidRPr="00E93259">
              <w:rPr>
                <w:rFonts w:ascii="Times New Roman" w:hAnsi="Times New Roman"/>
                <w:b/>
                <w:bCs/>
              </w:rPr>
              <w:t>finansējums</w:t>
            </w:r>
          </w:p>
        </w:tc>
        <w:tc>
          <w:tcPr>
            <w:tcW w:w="2340" w:type="dxa"/>
            <w:gridSpan w:val="4"/>
            <w:shd w:val="clear" w:color="auto" w:fill="E36C0A" w:themeFill="accent6" w:themeFillShade="BF"/>
            <w:vAlign w:val="center"/>
          </w:tcPr>
          <w:p w14:paraId="7C70B38E" w14:textId="11435B24" w:rsidR="00287DC0" w:rsidRPr="00E93259" w:rsidRDefault="00287DC0" w:rsidP="00E93259">
            <w:pPr>
              <w:jc w:val="center"/>
              <w:rPr>
                <w:rFonts w:ascii="Times New Roman" w:hAnsi="Times New Roman"/>
                <w:b/>
                <w:bCs/>
              </w:rPr>
            </w:pPr>
            <w:r w:rsidRPr="00E93259">
              <w:rPr>
                <w:rFonts w:ascii="Times New Roman" w:hAnsi="Times New Roman"/>
                <w:b/>
                <w:bCs/>
              </w:rPr>
              <w:t>Plānotais pakalpojumu skaits</w:t>
            </w:r>
          </w:p>
        </w:tc>
        <w:tc>
          <w:tcPr>
            <w:tcW w:w="2569" w:type="dxa"/>
            <w:gridSpan w:val="4"/>
            <w:shd w:val="clear" w:color="auto" w:fill="E36C0A" w:themeFill="accent6" w:themeFillShade="BF"/>
            <w:vAlign w:val="center"/>
          </w:tcPr>
          <w:p w14:paraId="02CF1222" w14:textId="1E37B02B" w:rsidR="00287DC0" w:rsidRPr="00E93259" w:rsidRDefault="00287DC0" w:rsidP="00E93259">
            <w:pPr>
              <w:jc w:val="center"/>
              <w:rPr>
                <w:rFonts w:ascii="Times New Roman" w:hAnsi="Times New Roman"/>
                <w:b/>
                <w:bCs/>
              </w:rPr>
            </w:pPr>
            <w:r w:rsidRPr="00E93259">
              <w:rPr>
                <w:rFonts w:ascii="Times New Roman" w:hAnsi="Times New Roman"/>
                <w:b/>
                <w:bCs/>
              </w:rPr>
              <w:t>Plānotais pakalpojumu skaits pēc finansējuma piešķīruma)</w:t>
            </w:r>
          </w:p>
        </w:tc>
      </w:tr>
      <w:tr w:rsidR="00A7425A" w14:paraId="4C192297" w14:textId="77777777" w:rsidTr="00700D4E">
        <w:trPr>
          <w:gridAfter w:val="1"/>
          <w:wAfter w:w="13" w:type="dxa"/>
        </w:trPr>
        <w:tc>
          <w:tcPr>
            <w:tcW w:w="316" w:type="dxa"/>
          </w:tcPr>
          <w:p w14:paraId="582A4BFD" w14:textId="77777777" w:rsidR="00287DC0" w:rsidRPr="00E93259" w:rsidRDefault="00287DC0" w:rsidP="00E93259">
            <w:pPr>
              <w:jc w:val="both"/>
              <w:rPr>
                <w:rFonts w:ascii="Times New Roman" w:hAnsi="Times New Roman"/>
                <w:sz w:val="22"/>
                <w:szCs w:val="22"/>
              </w:rPr>
            </w:pPr>
          </w:p>
        </w:tc>
        <w:tc>
          <w:tcPr>
            <w:tcW w:w="1805" w:type="dxa"/>
          </w:tcPr>
          <w:p w14:paraId="2E0387BD" w14:textId="77777777" w:rsidR="00287DC0" w:rsidRPr="00E93259" w:rsidRDefault="00287DC0" w:rsidP="00E93259">
            <w:pPr>
              <w:jc w:val="both"/>
              <w:rPr>
                <w:rFonts w:ascii="Times New Roman" w:hAnsi="Times New Roman"/>
              </w:rPr>
            </w:pPr>
          </w:p>
        </w:tc>
        <w:tc>
          <w:tcPr>
            <w:tcW w:w="1105" w:type="dxa"/>
            <w:vAlign w:val="center"/>
          </w:tcPr>
          <w:p w14:paraId="2B0C4F5D" w14:textId="77777777" w:rsidR="00287DC0" w:rsidRPr="00E93259" w:rsidRDefault="00287DC0" w:rsidP="00E93259">
            <w:pPr>
              <w:jc w:val="center"/>
              <w:rPr>
                <w:rFonts w:ascii="Times New Roman" w:hAnsi="Times New Roman"/>
              </w:rPr>
            </w:pPr>
            <w:r w:rsidRPr="00E93259">
              <w:rPr>
                <w:rFonts w:ascii="Times New Roman" w:eastAsia="Times New Roman" w:hAnsi="Times New Roman"/>
                <w:color w:val="000000" w:themeColor="text1"/>
                <w:lang w:eastAsia="lv-LV"/>
              </w:rPr>
              <w:t>(</w:t>
            </w:r>
            <w:r w:rsidRPr="00E93259">
              <w:rPr>
                <w:rFonts w:ascii="Times New Roman" w:eastAsia="Times New Roman" w:hAnsi="Times New Roman"/>
                <w:i/>
                <w:iCs/>
                <w:color w:val="000000" w:themeColor="text1"/>
                <w:lang w:eastAsia="lv-LV"/>
              </w:rPr>
              <w:t>euro</w:t>
            </w:r>
            <w:r w:rsidRPr="00E93259">
              <w:rPr>
                <w:rFonts w:ascii="Times New Roman" w:eastAsia="Times New Roman" w:hAnsi="Times New Roman"/>
                <w:color w:val="000000" w:themeColor="text1"/>
                <w:lang w:eastAsia="lv-LV"/>
              </w:rPr>
              <w:t>)</w:t>
            </w:r>
          </w:p>
        </w:tc>
        <w:tc>
          <w:tcPr>
            <w:tcW w:w="866" w:type="dxa"/>
            <w:vAlign w:val="center"/>
          </w:tcPr>
          <w:p w14:paraId="6673D9B2" w14:textId="77777777" w:rsidR="00287DC0" w:rsidRDefault="00287DC0" w:rsidP="00E93259">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 xml:space="preserve">2017 </w:t>
            </w:r>
          </w:p>
          <w:p w14:paraId="7137192F" w14:textId="17E9266D" w:rsidR="00287DC0" w:rsidRPr="005F5B16" w:rsidRDefault="00287DC0" w:rsidP="00E93259">
            <w:pPr>
              <w:jc w:val="center"/>
              <w:rPr>
                <w:rFonts w:ascii="Times New Roman" w:eastAsia="Times New Roman" w:hAnsi="Times New Roman"/>
                <w:i/>
                <w:color w:val="000000" w:themeColor="text1"/>
                <w:lang w:eastAsia="lv-LV"/>
              </w:rPr>
            </w:pPr>
            <w:r w:rsidRPr="005F5B16">
              <w:rPr>
                <w:rFonts w:ascii="Times New Roman" w:eastAsia="Times New Roman" w:hAnsi="Times New Roman"/>
                <w:i/>
                <w:color w:val="000000" w:themeColor="text1"/>
                <w:lang w:eastAsia="lv-LV"/>
              </w:rPr>
              <w:t>(euro)</w:t>
            </w:r>
          </w:p>
        </w:tc>
        <w:tc>
          <w:tcPr>
            <w:tcW w:w="866" w:type="dxa"/>
            <w:vAlign w:val="center"/>
          </w:tcPr>
          <w:p w14:paraId="26986C3E" w14:textId="58849438" w:rsidR="00287DC0" w:rsidRPr="00E93259" w:rsidRDefault="00287DC0" w:rsidP="00E93259">
            <w:pPr>
              <w:jc w:val="center"/>
              <w:rPr>
                <w:rFonts w:ascii="Times New Roman" w:hAnsi="Times New Roman"/>
              </w:rPr>
            </w:pPr>
            <w:r w:rsidRPr="00E93259">
              <w:rPr>
                <w:rFonts w:ascii="Times New Roman" w:eastAsia="Times New Roman" w:hAnsi="Times New Roman"/>
                <w:color w:val="000000" w:themeColor="text1"/>
                <w:lang w:eastAsia="lv-LV"/>
              </w:rPr>
              <w:t>2018 (</w:t>
            </w:r>
            <w:r w:rsidRPr="00E93259">
              <w:rPr>
                <w:rFonts w:ascii="Times New Roman" w:eastAsia="Times New Roman" w:hAnsi="Times New Roman"/>
                <w:i/>
                <w:iCs/>
                <w:color w:val="000000" w:themeColor="text1"/>
                <w:lang w:eastAsia="lv-LV"/>
              </w:rPr>
              <w:t>euro</w:t>
            </w:r>
            <w:r w:rsidRPr="00E93259">
              <w:rPr>
                <w:rFonts w:ascii="Times New Roman" w:eastAsia="Times New Roman" w:hAnsi="Times New Roman"/>
                <w:color w:val="000000" w:themeColor="text1"/>
                <w:lang w:eastAsia="lv-LV"/>
              </w:rPr>
              <w:t>)</w:t>
            </w:r>
          </w:p>
        </w:tc>
        <w:tc>
          <w:tcPr>
            <w:tcW w:w="866" w:type="dxa"/>
            <w:vAlign w:val="center"/>
          </w:tcPr>
          <w:p w14:paraId="0E9C3E4B" w14:textId="77777777" w:rsidR="00287DC0" w:rsidRPr="00E93259" w:rsidRDefault="00287DC0" w:rsidP="00E93259">
            <w:pPr>
              <w:jc w:val="center"/>
              <w:rPr>
                <w:rFonts w:ascii="Times New Roman" w:hAnsi="Times New Roman"/>
              </w:rPr>
            </w:pPr>
            <w:r w:rsidRPr="00E93259">
              <w:rPr>
                <w:rFonts w:ascii="Times New Roman" w:eastAsia="Times New Roman" w:hAnsi="Times New Roman"/>
                <w:color w:val="000000" w:themeColor="text1"/>
                <w:lang w:eastAsia="lv-LV"/>
              </w:rPr>
              <w:t>2019 (</w:t>
            </w:r>
            <w:r w:rsidRPr="00E93259">
              <w:rPr>
                <w:rFonts w:ascii="Times New Roman" w:eastAsia="Times New Roman" w:hAnsi="Times New Roman"/>
                <w:i/>
                <w:iCs/>
                <w:color w:val="000000" w:themeColor="text1"/>
                <w:lang w:eastAsia="lv-LV"/>
              </w:rPr>
              <w:t>euro</w:t>
            </w:r>
            <w:r w:rsidRPr="00E93259">
              <w:rPr>
                <w:rFonts w:ascii="Times New Roman" w:eastAsia="Times New Roman" w:hAnsi="Times New Roman"/>
                <w:color w:val="000000" w:themeColor="text1"/>
                <w:lang w:eastAsia="lv-LV"/>
              </w:rPr>
              <w:t>)</w:t>
            </w:r>
          </w:p>
        </w:tc>
        <w:tc>
          <w:tcPr>
            <w:tcW w:w="716" w:type="dxa"/>
            <w:vAlign w:val="center"/>
          </w:tcPr>
          <w:p w14:paraId="68A68D14" w14:textId="5708B191" w:rsidR="00287DC0" w:rsidRDefault="00287DC0" w:rsidP="00E93259">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2017 (</w:t>
            </w:r>
            <w:r w:rsidRPr="00E11AFF">
              <w:rPr>
                <w:rFonts w:ascii="Times New Roman" w:eastAsia="Times New Roman" w:hAnsi="Times New Roman"/>
                <w:i/>
                <w:color w:val="000000" w:themeColor="text1"/>
                <w:lang w:eastAsia="lv-LV"/>
              </w:rPr>
              <w:t>euro)</w:t>
            </w:r>
          </w:p>
        </w:tc>
        <w:tc>
          <w:tcPr>
            <w:tcW w:w="826" w:type="dxa"/>
            <w:vAlign w:val="center"/>
          </w:tcPr>
          <w:p w14:paraId="52D298E8" w14:textId="71338AD0" w:rsidR="00287DC0" w:rsidRDefault="00287DC0" w:rsidP="00E93259">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2018 (euro)</w:t>
            </w:r>
          </w:p>
        </w:tc>
        <w:tc>
          <w:tcPr>
            <w:tcW w:w="1166" w:type="dxa"/>
            <w:vAlign w:val="center"/>
          </w:tcPr>
          <w:p w14:paraId="6AD7A20E" w14:textId="77777777" w:rsidR="00287DC0" w:rsidRDefault="00287DC0" w:rsidP="00E93259">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 xml:space="preserve">2019 </w:t>
            </w:r>
          </w:p>
          <w:p w14:paraId="702AAE71" w14:textId="61613FC0" w:rsidR="00287DC0" w:rsidRPr="00E93259" w:rsidRDefault="00287DC0" w:rsidP="00E93259">
            <w:pPr>
              <w:jc w:val="center"/>
              <w:rPr>
                <w:rFonts w:ascii="Times New Roman" w:hAnsi="Times New Roman"/>
              </w:rPr>
            </w:pPr>
            <w:r w:rsidRPr="00E93259">
              <w:rPr>
                <w:rFonts w:ascii="Times New Roman" w:eastAsia="Times New Roman" w:hAnsi="Times New Roman"/>
                <w:color w:val="000000" w:themeColor="text1"/>
                <w:lang w:eastAsia="lv-LV"/>
              </w:rPr>
              <w:t>(</w:t>
            </w:r>
            <w:r w:rsidRPr="00E93259">
              <w:rPr>
                <w:rFonts w:ascii="Times New Roman" w:eastAsia="Times New Roman" w:hAnsi="Times New Roman"/>
                <w:i/>
                <w:iCs/>
                <w:color w:val="000000" w:themeColor="text1"/>
                <w:lang w:eastAsia="lv-LV"/>
              </w:rPr>
              <w:t>euro</w:t>
            </w:r>
            <w:r w:rsidRPr="00E93259">
              <w:rPr>
                <w:rFonts w:ascii="Times New Roman" w:eastAsia="Times New Roman" w:hAnsi="Times New Roman"/>
                <w:color w:val="000000" w:themeColor="text1"/>
                <w:lang w:eastAsia="lv-LV"/>
              </w:rPr>
              <w:t>)</w:t>
            </w:r>
          </w:p>
        </w:tc>
        <w:tc>
          <w:tcPr>
            <w:tcW w:w="798" w:type="dxa"/>
            <w:gridSpan w:val="2"/>
            <w:vAlign w:val="center"/>
          </w:tcPr>
          <w:p w14:paraId="34EA6CBD" w14:textId="697F874E" w:rsidR="00287DC0" w:rsidRPr="00E93259" w:rsidRDefault="00287DC0" w:rsidP="00E93259">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2017</w:t>
            </w:r>
          </w:p>
        </w:tc>
        <w:tc>
          <w:tcPr>
            <w:tcW w:w="766" w:type="dxa"/>
            <w:vAlign w:val="center"/>
          </w:tcPr>
          <w:p w14:paraId="6B0F2F8D" w14:textId="4C2B51B5" w:rsidR="00287DC0" w:rsidRPr="00E93259" w:rsidRDefault="00287DC0" w:rsidP="00E93259">
            <w:pPr>
              <w:jc w:val="center"/>
              <w:rPr>
                <w:rFonts w:ascii="Times New Roman" w:hAnsi="Times New Roman"/>
              </w:rPr>
            </w:pPr>
            <w:r w:rsidRPr="00E93259">
              <w:rPr>
                <w:rFonts w:ascii="Times New Roman" w:eastAsia="Times New Roman" w:hAnsi="Times New Roman"/>
                <w:color w:val="000000" w:themeColor="text1"/>
                <w:lang w:eastAsia="lv-LV"/>
              </w:rPr>
              <w:t>2018</w:t>
            </w:r>
          </w:p>
        </w:tc>
        <w:tc>
          <w:tcPr>
            <w:tcW w:w="766" w:type="dxa"/>
            <w:vAlign w:val="center"/>
          </w:tcPr>
          <w:p w14:paraId="32E758D3" w14:textId="77777777" w:rsidR="00287DC0" w:rsidRPr="00E93259" w:rsidRDefault="00287DC0" w:rsidP="00E93259">
            <w:pPr>
              <w:jc w:val="center"/>
              <w:rPr>
                <w:rFonts w:ascii="Times New Roman" w:hAnsi="Times New Roman"/>
              </w:rPr>
            </w:pPr>
            <w:r w:rsidRPr="00E93259">
              <w:rPr>
                <w:rFonts w:ascii="Times New Roman" w:eastAsia="Times New Roman" w:hAnsi="Times New Roman"/>
                <w:color w:val="000000" w:themeColor="text1"/>
                <w:lang w:eastAsia="lv-LV"/>
              </w:rPr>
              <w:t>2019</w:t>
            </w:r>
          </w:p>
        </w:tc>
        <w:tc>
          <w:tcPr>
            <w:tcW w:w="776" w:type="dxa"/>
            <w:gridSpan w:val="2"/>
            <w:vAlign w:val="center"/>
          </w:tcPr>
          <w:p w14:paraId="616F5214" w14:textId="429E1F32" w:rsidR="00287DC0" w:rsidRPr="00E93259" w:rsidRDefault="00287DC0" w:rsidP="00E93259">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2017</w:t>
            </w:r>
          </w:p>
        </w:tc>
        <w:tc>
          <w:tcPr>
            <w:tcW w:w="811" w:type="dxa"/>
            <w:vAlign w:val="center"/>
          </w:tcPr>
          <w:p w14:paraId="5DE65F42" w14:textId="5BE945B2" w:rsidR="00287DC0" w:rsidRPr="00E93259" w:rsidRDefault="00287DC0" w:rsidP="00E93259">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2018</w:t>
            </w:r>
          </w:p>
        </w:tc>
        <w:tc>
          <w:tcPr>
            <w:tcW w:w="992" w:type="dxa"/>
            <w:vAlign w:val="center"/>
          </w:tcPr>
          <w:p w14:paraId="2B695B35" w14:textId="71261AFD" w:rsidR="00287DC0" w:rsidRPr="00E93259" w:rsidRDefault="00287DC0" w:rsidP="00E93259">
            <w:pPr>
              <w:jc w:val="center"/>
              <w:rPr>
                <w:rFonts w:ascii="Times New Roman" w:hAnsi="Times New Roman"/>
              </w:rPr>
            </w:pPr>
            <w:r w:rsidRPr="00E93259">
              <w:rPr>
                <w:rFonts w:ascii="Times New Roman" w:eastAsia="Times New Roman" w:hAnsi="Times New Roman"/>
                <w:color w:val="000000" w:themeColor="text1"/>
                <w:lang w:eastAsia="lv-LV"/>
              </w:rPr>
              <w:t>2019</w:t>
            </w:r>
          </w:p>
        </w:tc>
      </w:tr>
      <w:tr w:rsidR="00A7425A" w14:paraId="16E43B82" w14:textId="77777777" w:rsidTr="00700D4E">
        <w:trPr>
          <w:gridAfter w:val="1"/>
          <w:wAfter w:w="13" w:type="dxa"/>
        </w:trPr>
        <w:tc>
          <w:tcPr>
            <w:tcW w:w="316" w:type="dxa"/>
          </w:tcPr>
          <w:p w14:paraId="0DC24F96" w14:textId="77777777" w:rsidR="00287DC0" w:rsidRPr="00E93259" w:rsidRDefault="00287DC0" w:rsidP="00287DC0">
            <w:pPr>
              <w:jc w:val="both"/>
              <w:rPr>
                <w:rFonts w:ascii="Times New Roman" w:hAnsi="Times New Roman"/>
                <w:sz w:val="22"/>
                <w:szCs w:val="22"/>
              </w:rPr>
            </w:pPr>
            <w:r w:rsidRPr="00E93259">
              <w:rPr>
                <w:rFonts w:ascii="Times New Roman" w:hAnsi="Times New Roman"/>
              </w:rPr>
              <w:t>1</w:t>
            </w:r>
          </w:p>
        </w:tc>
        <w:tc>
          <w:tcPr>
            <w:tcW w:w="1805" w:type="dxa"/>
          </w:tcPr>
          <w:p w14:paraId="5449BE72" w14:textId="2223DD87" w:rsidR="00287DC0" w:rsidRPr="00E93259" w:rsidRDefault="00287DC0" w:rsidP="00287DC0">
            <w:pPr>
              <w:jc w:val="both"/>
              <w:rPr>
                <w:rFonts w:ascii="Times New Roman" w:hAnsi="Times New Roman"/>
              </w:rPr>
            </w:pPr>
            <w:r w:rsidRPr="00E93259">
              <w:rPr>
                <w:rFonts w:ascii="Times New Roman" w:hAnsi="Times New Roman"/>
              </w:rPr>
              <w:t>Kompensējamo zāļu pieejamības nodrošināšana pacientiem ar depresīvu epizodi (F32) (terapijas ilgums 6 mēneši)</w:t>
            </w:r>
          </w:p>
        </w:tc>
        <w:tc>
          <w:tcPr>
            <w:tcW w:w="1105" w:type="dxa"/>
            <w:vAlign w:val="center"/>
          </w:tcPr>
          <w:p w14:paraId="26F3B764" w14:textId="20445482" w:rsidR="00287DC0" w:rsidRPr="00E93259" w:rsidRDefault="00287DC0" w:rsidP="00287DC0">
            <w:pPr>
              <w:jc w:val="center"/>
              <w:rPr>
                <w:rFonts w:ascii="Times New Roman" w:hAnsi="Times New Roman"/>
              </w:rPr>
            </w:pPr>
            <w:r w:rsidRPr="00E93259">
              <w:rPr>
                <w:rFonts w:ascii="Times New Roman" w:hAnsi="Times New Roman"/>
              </w:rPr>
              <w:t>60</w:t>
            </w:r>
          </w:p>
        </w:tc>
        <w:tc>
          <w:tcPr>
            <w:tcW w:w="866" w:type="dxa"/>
            <w:vAlign w:val="center"/>
          </w:tcPr>
          <w:p w14:paraId="2123F349" w14:textId="1B45EEBC" w:rsidR="00287DC0" w:rsidRPr="00E93259" w:rsidRDefault="00287DC0" w:rsidP="00287DC0">
            <w:pPr>
              <w:jc w:val="center"/>
              <w:rPr>
                <w:rFonts w:ascii="Times New Roman" w:hAnsi="Times New Roman"/>
              </w:rPr>
            </w:pPr>
            <w:r w:rsidRPr="00E93259">
              <w:rPr>
                <w:rFonts w:ascii="Times New Roman" w:hAnsi="Times New Roman"/>
              </w:rPr>
              <w:t>0</w:t>
            </w:r>
          </w:p>
        </w:tc>
        <w:tc>
          <w:tcPr>
            <w:tcW w:w="866" w:type="dxa"/>
            <w:vAlign w:val="center"/>
          </w:tcPr>
          <w:p w14:paraId="07149FE0" w14:textId="69CE0F0A" w:rsidR="00287DC0" w:rsidRPr="00E93259" w:rsidRDefault="00287DC0" w:rsidP="00287DC0">
            <w:pPr>
              <w:jc w:val="center"/>
              <w:rPr>
                <w:rFonts w:ascii="Times New Roman" w:hAnsi="Times New Roman"/>
              </w:rPr>
            </w:pPr>
            <w:r w:rsidRPr="00E93259">
              <w:rPr>
                <w:rFonts w:ascii="Times New Roman" w:hAnsi="Times New Roman"/>
              </w:rPr>
              <w:t>0</w:t>
            </w:r>
          </w:p>
        </w:tc>
        <w:tc>
          <w:tcPr>
            <w:tcW w:w="866" w:type="dxa"/>
            <w:vAlign w:val="center"/>
          </w:tcPr>
          <w:p w14:paraId="0D0B658F" w14:textId="77777777" w:rsidR="00287DC0" w:rsidRPr="00E93259" w:rsidRDefault="00287DC0" w:rsidP="00287DC0">
            <w:pPr>
              <w:jc w:val="center"/>
              <w:rPr>
                <w:rFonts w:ascii="Times New Roman" w:hAnsi="Times New Roman"/>
              </w:rPr>
            </w:pPr>
            <w:r w:rsidRPr="00E93259">
              <w:rPr>
                <w:rFonts w:ascii="Times New Roman" w:hAnsi="Times New Roman"/>
              </w:rPr>
              <w:t>0</w:t>
            </w:r>
          </w:p>
        </w:tc>
        <w:tc>
          <w:tcPr>
            <w:tcW w:w="716" w:type="dxa"/>
            <w:vAlign w:val="center"/>
          </w:tcPr>
          <w:p w14:paraId="218F7D53" w14:textId="7C5B6609" w:rsidR="00287DC0" w:rsidRPr="00E93259" w:rsidRDefault="00287DC0" w:rsidP="00287DC0">
            <w:pPr>
              <w:jc w:val="center"/>
              <w:rPr>
                <w:rFonts w:ascii="Times New Roman" w:hAnsi="Times New Roman"/>
              </w:rPr>
            </w:pPr>
            <w:r w:rsidRPr="00E93259">
              <w:rPr>
                <w:rFonts w:ascii="Times New Roman" w:hAnsi="Times New Roman"/>
              </w:rPr>
              <w:t>0</w:t>
            </w:r>
          </w:p>
        </w:tc>
        <w:tc>
          <w:tcPr>
            <w:tcW w:w="826" w:type="dxa"/>
            <w:vAlign w:val="center"/>
          </w:tcPr>
          <w:p w14:paraId="7668F4AC" w14:textId="596670FD" w:rsidR="00287DC0" w:rsidRPr="00E93259" w:rsidRDefault="00287DC0" w:rsidP="00287DC0">
            <w:pPr>
              <w:jc w:val="center"/>
              <w:rPr>
                <w:rFonts w:ascii="Times New Roman" w:hAnsi="Times New Roman"/>
              </w:rPr>
            </w:pPr>
            <w:r w:rsidRPr="00E93259">
              <w:rPr>
                <w:rFonts w:ascii="Times New Roman" w:hAnsi="Times New Roman"/>
              </w:rPr>
              <w:t>0</w:t>
            </w:r>
          </w:p>
        </w:tc>
        <w:tc>
          <w:tcPr>
            <w:tcW w:w="1166" w:type="dxa"/>
            <w:vAlign w:val="center"/>
          </w:tcPr>
          <w:p w14:paraId="2E3F5B66" w14:textId="7440D644" w:rsidR="00287DC0" w:rsidRPr="00E93259" w:rsidRDefault="00287DC0" w:rsidP="00287DC0">
            <w:pPr>
              <w:jc w:val="center"/>
              <w:rPr>
                <w:rFonts w:ascii="Times New Roman" w:hAnsi="Times New Roman"/>
              </w:rPr>
            </w:pPr>
            <w:r w:rsidRPr="00E93259">
              <w:rPr>
                <w:rFonts w:ascii="Times New Roman" w:hAnsi="Times New Roman"/>
              </w:rPr>
              <w:t>112 500</w:t>
            </w:r>
          </w:p>
        </w:tc>
        <w:tc>
          <w:tcPr>
            <w:tcW w:w="798" w:type="dxa"/>
            <w:gridSpan w:val="2"/>
            <w:vAlign w:val="center"/>
          </w:tcPr>
          <w:p w14:paraId="45933D40" w14:textId="09EB4D8A" w:rsidR="00287DC0" w:rsidRPr="00E93259" w:rsidRDefault="00287DC0" w:rsidP="00287DC0">
            <w:pPr>
              <w:jc w:val="center"/>
              <w:rPr>
                <w:rFonts w:ascii="Times New Roman" w:hAnsi="Times New Roman"/>
              </w:rPr>
            </w:pPr>
            <w:r w:rsidRPr="00E93259">
              <w:rPr>
                <w:rFonts w:ascii="Times New Roman" w:hAnsi="Times New Roman"/>
              </w:rPr>
              <w:t>0</w:t>
            </w:r>
          </w:p>
        </w:tc>
        <w:tc>
          <w:tcPr>
            <w:tcW w:w="766" w:type="dxa"/>
            <w:vAlign w:val="center"/>
          </w:tcPr>
          <w:p w14:paraId="51D04C8A" w14:textId="205A5C4A" w:rsidR="00287DC0" w:rsidRPr="00E93259" w:rsidRDefault="00287DC0" w:rsidP="00287DC0">
            <w:pPr>
              <w:jc w:val="center"/>
              <w:rPr>
                <w:rFonts w:ascii="Times New Roman" w:hAnsi="Times New Roman"/>
              </w:rPr>
            </w:pPr>
            <w:r w:rsidRPr="00E93259">
              <w:rPr>
                <w:rFonts w:ascii="Times New Roman" w:hAnsi="Times New Roman"/>
              </w:rPr>
              <w:t>0</w:t>
            </w:r>
          </w:p>
        </w:tc>
        <w:tc>
          <w:tcPr>
            <w:tcW w:w="766" w:type="dxa"/>
            <w:vAlign w:val="center"/>
          </w:tcPr>
          <w:p w14:paraId="774EEFD9" w14:textId="77777777" w:rsidR="00287DC0" w:rsidRPr="00E93259" w:rsidRDefault="00287DC0" w:rsidP="00287DC0">
            <w:pPr>
              <w:jc w:val="center"/>
              <w:rPr>
                <w:rFonts w:ascii="Times New Roman" w:hAnsi="Times New Roman"/>
              </w:rPr>
            </w:pPr>
            <w:r w:rsidRPr="00E93259">
              <w:rPr>
                <w:rFonts w:ascii="Times New Roman" w:hAnsi="Times New Roman"/>
              </w:rPr>
              <w:t>0</w:t>
            </w:r>
          </w:p>
        </w:tc>
        <w:tc>
          <w:tcPr>
            <w:tcW w:w="776" w:type="dxa"/>
            <w:gridSpan w:val="2"/>
            <w:vAlign w:val="center"/>
          </w:tcPr>
          <w:p w14:paraId="29BD602E" w14:textId="7D86F0C5" w:rsidR="00287DC0" w:rsidRPr="00E93259" w:rsidRDefault="00287DC0" w:rsidP="00287DC0">
            <w:pPr>
              <w:jc w:val="center"/>
              <w:rPr>
                <w:rFonts w:ascii="Times New Roman" w:hAnsi="Times New Roman"/>
              </w:rPr>
            </w:pPr>
            <w:r w:rsidRPr="00E93259">
              <w:rPr>
                <w:rFonts w:ascii="Times New Roman" w:hAnsi="Times New Roman"/>
              </w:rPr>
              <w:t>0</w:t>
            </w:r>
          </w:p>
        </w:tc>
        <w:tc>
          <w:tcPr>
            <w:tcW w:w="811" w:type="dxa"/>
            <w:vAlign w:val="center"/>
          </w:tcPr>
          <w:p w14:paraId="03E787ED" w14:textId="63B025C8" w:rsidR="00287DC0" w:rsidRPr="00E93259" w:rsidRDefault="00287DC0" w:rsidP="00287DC0">
            <w:pPr>
              <w:jc w:val="center"/>
              <w:rPr>
                <w:rFonts w:ascii="Times New Roman" w:hAnsi="Times New Roman"/>
              </w:rPr>
            </w:pPr>
            <w:r w:rsidRPr="00E93259">
              <w:rPr>
                <w:rFonts w:ascii="Times New Roman" w:hAnsi="Times New Roman"/>
              </w:rPr>
              <w:t>0</w:t>
            </w:r>
          </w:p>
        </w:tc>
        <w:tc>
          <w:tcPr>
            <w:tcW w:w="992" w:type="dxa"/>
            <w:vAlign w:val="center"/>
          </w:tcPr>
          <w:p w14:paraId="0AC150CB" w14:textId="69E150D9" w:rsidR="00287DC0" w:rsidRPr="00E93259" w:rsidRDefault="00287DC0" w:rsidP="00287DC0">
            <w:pPr>
              <w:jc w:val="center"/>
              <w:rPr>
                <w:rFonts w:ascii="Times New Roman" w:hAnsi="Times New Roman"/>
              </w:rPr>
            </w:pPr>
            <w:r w:rsidRPr="00E93259">
              <w:rPr>
                <w:rFonts w:ascii="Times New Roman" w:hAnsi="Times New Roman"/>
              </w:rPr>
              <w:t>1 875</w:t>
            </w:r>
          </w:p>
        </w:tc>
      </w:tr>
      <w:tr w:rsidR="00A7425A" w14:paraId="3F4F5199" w14:textId="77777777" w:rsidTr="00700D4E">
        <w:trPr>
          <w:gridAfter w:val="1"/>
          <w:wAfter w:w="13" w:type="dxa"/>
        </w:trPr>
        <w:tc>
          <w:tcPr>
            <w:tcW w:w="316" w:type="dxa"/>
          </w:tcPr>
          <w:p w14:paraId="5FC5DDBF" w14:textId="77777777" w:rsidR="00287DC0" w:rsidRPr="00E93259" w:rsidRDefault="00287DC0" w:rsidP="00287DC0">
            <w:pPr>
              <w:jc w:val="both"/>
              <w:rPr>
                <w:rFonts w:ascii="Times New Roman" w:hAnsi="Times New Roman"/>
                <w:sz w:val="22"/>
                <w:szCs w:val="22"/>
              </w:rPr>
            </w:pPr>
            <w:r w:rsidRPr="00E93259">
              <w:rPr>
                <w:rFonts w:ascii="Times New Roman" w:hAnsi="Times New Roman"/>
              </w:rPr>
              <w:t>2</w:t>
            </w:r>
          </w:p>
        </w:tc>
        <w:tc>
          <w:tcPr>
            <w:tcW w:w="1805" w:type="dxa"/>
          </w:tcPr>
          <w:p w14:paraId="223D6E56" w14:textId="021E827D" w:rsidR="00287DC0" w:rsidRPr="00E93259" w:rsidRDefault="00287DC0" w:rsidP="00287DC0">
            <w:pPr>
              <w:jc w:val="both"/>
              <w:rPr>
                <w:rFonts w:ascii="Times New Roman" w:hAnsi="Times New Roman"/>
              </w:rPr>
            </w:pPr>
            <w:r w:rsidRPr="00E93259">
              <w:rPr>
                <w:rFonts w:ascii="Times New Roman" w:hAnsi="Times New Roman"/>
              </w:rPr>
              <w:t>Kompensējamo zāļu pieejamības nodrošināšana pacientiem ar akūtiem un transitoriskiem psihotiskiem traucējumiem (F23) (terapijas ilgums 6 mēneši)</w:t>
            </w:r>
          </w:p>
        </w:tc>
        <w:tc>
          <w:tcPr>
            <w:tcW w:w="1105" w:type="dxa"/>
            <w:vAlign w:val="center"/>
          </w:tcPr>
          <w:p w14:paraId="515D784E" w14:textId="77777777" w:rsidR="00287DC0" w:rsidRPr="00E93259" w:rsidRDefault="00287DC0" w:rsidP="00287DC0">
            <w:pPr>
              <w:jc w:val="center"/>
              <w:rPr>
                <w:rFonts w:ascii="Times New Roman" w:hAnsi="Times New Roman"/>
              </w:rPr>
            </w:pPr>
            <w:r w:rsidRPr="00E93259">
              <w:rPr>
                <w:rFonts w:ascii="Times New Roman" w:hAnsi="Times New Roman"/>
              </w:rPr>
              <w:t>110</w:t>
            </w:r>
          </w:p>
        </w:tc>
        <w:tc>
          <w:tcPr>
            <w:tcW w:w="866" w:type="dxa"/>
            <w:vAlign w:val="center"/>
          </w:tcPr>
          <w:p w14:paraId="56A6B03D" w14:textId="64E45732" w:rsidR="00287DC0" w:rsidRPr="00E93259" w:rsidRDefault="00287DC0" w:rsidP="00287DC0">
            <w:pPr>
              <w:jc w:val="center"/>
              <w:rPr>
                <w:rFonts w:ascii="Times New Roman" w:hAnsi="Times New Roman"/>
              </w:rPr>
            </w:pPr>
            <w:r w:rsidRPr="00E93259">
              <w:rPr>
                <w:rFonts w:ascii="Times New Roman" w:hAnsi="Times New Roman"/>
              </w:rPr>
              <w:t>0</w:t>
            </w:r>
          </w:p>
        </w:tc>
        <w:tc>
          <w:tcPr>
            <w:tcW w:w="866" w:type="dxa"/>
            <w:vAlign w:val="center"/>
          </w:tcPr>
          <w:p w14:paraId="4F2CD284" w14:textId="7B390CA3" w:rsidR="00287DC0" w:rsidRPr="00E93259" w:rsidRDefault="00287DC0" w:rsidP="00287DC0">
            <w:pPr>
              <w:jc w:val="center"/>
              <w:rPr>
                <w:rFonts w:ascii="Times New Roman" w:hAnsi="Times New Roman"/>
              </w:rPr>
            </w:pPr>
            <w:r w:rsidRPr="00E93259">
              <w:rPr>
                <w:rFonts w:ascii="Times New Roman" w:hAnsi="Times New Roman"/>
              </w:rPr>
              <w:t>0</w:t>
            </w:r>
          </w:p>
        </w:tc>
        <w:tc>
          <w:tcPr>
            <w:tcW w:w="866" w:type="dxa"/>
            <w:vAlign w:val="center"/>
          </w:tcPr>
          <w:p w14:paraId="4863BE6C" w14:textId="77777777" w:rsidR="00287DC0" w:rsidRPr="00E93259" w:rsidRDefault="00287DC0" w:rsidP="00287DC0">
            <w:pPr>
              <w:jc w:val="center"/>
              <w:rPr>
                <w:rFonts w:ascii="Times New Roman" w:hAnsi="Times New Roman"/>
              </w:rPr>
            </w:pPr>
            <w:r w:rsidRPr="00E93259">
              <w:rPr>
                <w:rFonts w:ascii="Times New Roman" w:hAnsi="Times New Roman"/>
              </w:rPr>
              <w:t>0</w:t>
            </w:r>
          </w:p>
        </w:tc>
        <w:tc>
          <w:tcPr>
            <w:tcW w:w="716" w:type="dxa"/>
            <w:vAlign w:val="center"/>
          </w:tcPr>
          <w:p w14:paraId="3A3CD03B" w14:textId="4A096E5B" w:rsidR="00287DC0" w:rsidRPr="00E93259" w:rsidRDefault="00287DC0" w:rsidP="00287DC0">
            <w:pPr>
              <w:jc w:val="center"/>
              <w:rPr>
                <w:rFonts w:ascii="Times New Roman" w:hAnsi="Times New Roman"/>
              </w:rPr>
            </w:pPr>
            <w:r w:rsidRPr="00E93259">
              <w:rPr>
                <w:rFonts w:ascii="Times New Roman" w:hAnsi="Times New Roman"/>
              </w:rPr>
              <w:t>0</w:t>
            </w:r>
          </w:p>
        </w:tc>
        <w:tc>
          <w:tcPr>
            <w:tcW w:w="826" w:type="dxa"/>
            <w:vAlign w:val="center"/>
          </w:tcPr>
          <w:p w14:paraId="38DF42B0" w14:textId="66DB67BB" w:rsidR="00287DC0" w:rsidRPr="00E93259" w:rsidRDefault="00287DC0" w:rsidP="00287DC0">
            <w:pPr>
              <w:jc w:val="center"/>
              <w:rPr>
                <w:rFonts w:ascii="Times New Roman" w:hAnsi="Times New Roman"/>
              </w:rPr>
            </w:pPr>
            <w:r w:rsidRPr="00E93259">
              <w:rPr>
                <w:rFonts w:ascii="Times New Roman" w:hAnsi="Times New Roman"/>
              </w:rPr>
              <w:t>0</w:t>
            </w:r>
          </w:p>
        </w:tc>
        <w:tc>
          <w:tcPr>
            <w:tcW w:w="1166" w:type="dxa"/>
            <w:vAlign w:val="center"/>
          </w:tcPr>
          <w:p w14:paraId="4FDA7CE8" w14:textId="337F61FF" w:rsidR="00287DC0" w:rsidRPr="00E93259" w:rsidRDefault="00287DC0" w:rsidP="00287DC0">
            <w:pPr>
              <w:jc w:val="center"/>
              <w:rPr>
                <w:rFonts w:ascii="Times New Roman" w:hAnsi="Times New Roman"/>
              </w:rPr>
            </w:pPr>
            <w:r w:rsidRPr="00E93259">
              <w:rPr>
                <w:rFonts w:ascii="Times New Roman" w:hAnsi="Times New Roman"/>
              </w:rPr>
              <w:t>16 500</w:t>
            </w:r>
          </w:p>
        </w:tc>
        <w:tc>
          <w:tcPr>
            <w:tcW w:w="798" w:type="dxa"/>
            <w:gridSpan w:val="2"/>
            <w:vAlign w:val="center"/>
          </w:tcPr>
          <w:p w14:paraId="217E350D" w14:textId="230A6207" w:rsidR="00287DC0" w:rsidRPr="00E93259" w:rsidRDefault="00287DC0" w:rsidP="00287DC0">
            <w:pPr>
              <w:jc w:val="center"/>
              <w:rPr>
                <w:rFonts w:ascii="Times New Roman" w:hAnsi="Times New Roman"/>
              </w:rPr>
            </w:pPr>
            <w:r w:rsidRPr="00E93259">
              <w:rPr>
                <w:rFonts w:ascii="Times New Roman" w:hAnsi="Times New Roman"/>
              </w:rPr>
              <w:t>0</w:t>
            </w:r>
          </w:p>
        </w:tc>
        <w:tc>
          <w:tcPr>
            <w:tcW w:w="766" w:type="dxa"/>
            <w:vAlign w:val="center"/>
          </w:tcPr>
          <w:p w14:paraId="14ABA4B9" w14:textId="3CA1AD32" w:rsidR="00287DC0" w:rsidRPr="00E93259" w:rsidRDefault="00287DC0" w:rsidP="00287DC0">
            <w:pPr>
              <w:jc w:val="center"/>
              <w:rPr>
                <w:rFonts w:ascii="Times New Roman" w:hAnsi="Times New Roman"/>
              </w:rPr>
            </w:pPr>
            <w:r w:rsidRPr="00E93259">
              <w:rPr>
                <w:rFonts w:ascii="Times New Roman" w:hAnsi="Times New Roman"/>
              </w:rPr>
              <w:t>0</w:t>
            </w:r>
          </w:p>
        </w:tc>
        <w:tc>
          <w:tcPr>
            <w:tcW w:w="766" w:type="dxa"/>
            <w:vAlign w:val="center"/>
          </w:tcPr>
          <w:p w14:paraId="7161AA38" w14:textId="77777777" w:rsidR="00287DC0" w:rsidRPr="00E93259" w:rsidRDefault="00287DC0" w:rsidP="00287DC0">
            <w:pPr>
              <w:jc w:val="center"/>
              <w:rPr>
                <w:rFonts w:ascii="Times New Roman" w:hAnsi="Times New Roman"/>
              </w:rPr>
            </w:pPr>
            <w:r w:rsidRPr="00E93259">
              <w:rPr>
                <w:rFonts w:ascii="Times New Roman" w:hAnsi="Times New Roman"/>
              </w:rPr>
              <w:t>0</w:t>
            </w:r>
          </w:p>
        </w:tc>
        <w:tc>
          <w:tcPr>
            <w:tcW w:w="776" w:type="dxa"/>
            <w:gridSpan w:val="2"/>
            <w:vAlign w:val="center"/>
          </w:tcPr>
          <w:p w14:paraId="1007B2F7" w14:textId="3CCF9F97" w:rsidR="00287DC0" w:rsidRPr="00E93259" w:rsidRDefault="00287DC0" w:rsidP="00287DC0">
            <w:pPr>
              <w:jc w:val="center"/>
              <w:rPr>
                <w:rFonts w:ascii="Times New Roman" w:hAnsi="Times New Roman"/>
              </w:rPr>
            </w:pPr>
            <w:r w:rsidRPr="00E93259">
              <w:rPr>
                <w:rFonts w:ascii="Times New Roman" w:hAnsi="Times New Roman"/>
              </w:rPr>
              <w:t>0</w:t>
            </w:r>
          </w:p>
        </w:tc>
        <w:tc>
          <w:tcPr>
            <w:tcW w:w="811" w:type="dxa"/>
            <w:vAlign w:val="center"/>
          </w:tcPr>
          <w:p w14:paraId="5C44D313" w14:textId="77A65E51" w:rsidR="00287DC0" w:rsidRPr="00E93259" w:rsidRDefault="00287DC0" w:rsidP="00287DC0">
            <w:pPr>
              <w:jc w:val="center"/>
              <w:rPr>
                <w:rFonts w:ascii="Times New Roman" w:hAnsi="Times New Roman"/>
              </w:rPr>
            </w:pPr>
            <w:r w:rsidRPr="00E93259">
              <w:rPr>
                <w:rFonts w:ascii="Times New Roman" w:hAnsi="Times New Roman"/>
              </w:rPr>
              <w:t>0</w:t>
            </w:r>
          </w:p>
        </w:tc>
        <w:tc>
          <w:tcPr>
            <w:tcW w:w="992" w:type="dxa"/>
            <w:vAlign w:val="center"/>
          </w:tcPr>
          <w:p w14:paraId="7A693D57" w14:textId="64564292" w:rsidR="00287DC0" w:rsidRPr="00E93259" w:rsidRDefault="00287DC0" w:rsidP="00287DC0">
            <w:pPr>
              <w:jc w:val="center"/>
              <w:rPr>
                <w:rFonts w:ascii="Times New Roman" w:hAnsi="Times New Roman"/>
              </w:rPr>
            </w:pPr>
            <w:r w:rsidRPr="00E93259">
              <w:rPr>
                <w:rFonts w:ascii="Times New Roman" w:hAnsi="Times New Roman"/>
              </w:rPr>
              <w:t>150</w:t>
            </w:r>
          </w:p>
        </w:tc>
      </w:tr>
      <w:tr w:rsidR="00A7425A" w14:paraId="1A958FEA" w14:textId="77777777" w:rsidTr="00700D4E">
        <w:trPr>
          <w:gridAfter w:val="1"/>
          <w:wAfter w:w="13" w:type="dxa"/>
        </w:trPr>
        <w:tc>
          <w:tcPr>
            <w:tcW w:w="316" w:type="dxa"/>
          </w:tcPr>
          <w:p w14:paraId="18B70F21" w14:textId="5312DB96" w:rsidR="00287DC0" w:rsidRPr="000F7607" w:rsidRDefault="00287DC0" w:rsidP="00287DC0">
            <w:pPr>
              <w:jc w:val="both"/>
              <w:rPr>
                <w:rFonts w:ascii="Times New Roman" w:hAnsi="Times New Roman"/>
              </w:rPr>
            </w:pPr>
            <w:r w:rsidRPr="00CD7DB3">
              <w:rPr>
                <w:rFonts w:ascii="Times New Roman" w:hAnsi="Times New Roman"/>
              </w:rPr>
              <w:t>3</w:t>
            </w:r>
          </w:p>
        </w:tc>
        <w:tc>
          <w:tcPr>
            <w:tcW w:w="1805" w:type="dxa"/>
          </w:tcPr>
          <w:p w14:paraId="41CC2B7F" w14:textId="157EF8B0" w:rsidR="00287DC0" w:rsidRPr="000F7607" w:rsidRDefault="00287DC0" w:rsidP="00287DC0">
            <w:pPr>
              <w:jc w:val="both"/>
              <w:rPr>
                <w:rFonts w:ascii="Times New Roman" w:hAnsi="Times New Roman"/>
              </w:rPr>
            </w:pPr>
            <w:r w:rsidRPr="00CD7DB3">
              <w:rPr>
                <w:rFonts w:ascii="Times New Roman" w:hAnsi="Times New Roman"/>
              </w:rPr>
              <w:t xml:space="preserve">Ārstēšanas nodrošināšana bērniem (no 6.g.v.) ar hiperkinētiskiem traucējumiem (uzmanības deficīta un hiperaktivitātes sindroms) (F90) (ar stingriem </w:t>
            </w:r>
            <w:r w:rsidRPr="00CD7DB3">
              <w:rPr>
                <w:rFonts w:ascii="Times New Roman" w:hAnsi="Times New Roman"/>
              </w:rPr>
              <w:lastRenderedPageBreak/>
              <w:t>izrakstīšanas nosacījumiem)</w:t>
            </w:r>
          </w:p>
        </w:tc>
        <w:tc>
          <w:tcPr>
            <w:tcW w:w="1105" w:type="dxa"/>
            <w:vAlign w:val="center"/>
          </w:tcPr>
          <w:p w14:paraId="50AD7E0E" w14:textId="431740B1" w:rsidR="00287DC0" w:rsidRPr="000F7607" w:rsidRDefault="00287DC0" w:rsidP="00287DC0">
            <w:pPr>
              <w:jc w:val="center"/>
              <w:rPr>
                <w:rFonts w:ascii="Times New Roman" w:hAnsi="Times New Roman"/>
              </w:rPr>
            </w:pPr>
            <w:r w:rsidRPr="00CD7DB3">
              <w:rPr>
                <w:rFonts w:ascii="Times New Roman" w:hAnsi="Times New Roman"/>
              </w:rPr>
              <w:lastRenderedPageBreak/>
              <w:t>500</w:t>
            </w:r>
          </w:p>
        </w:tc>
        <w:tc>
          <w:tcPr>
            <w:tcW w:w="866" w:type="dxa"/>
            <w:vAlign w:val="center"/>
          </w:tcPr>
          <w:p w14:paraId="22E9957F" w14:textId="26F1FC25" w:rsidR="00287DC0" w:rsidRPr="00CD7DB3" w:rsidRDefault="00287DC0" w:rsidP="00287DC0">
            <w:pPr>
              <w:jc w:val="center"/>
              <w:rPr>
                <w:rFonts w:ascii="Times New Roman" w:hAnsi="Times New Roman"/>
              </w:rPr>
            </w:pPr>
            <w:r w:rsidRPr="00CD7DB3">
              <w:rPr>
                <w:rFonts w:ascii="Times New Roman" w:hAnsi="Times New Roman"/>
              </w:rPr>
              <w:t>0</w:t>
            </w:r>
          </w:p>
        </w:tc>
        <w:tc>
          <w:tcPr>
            <w:tcW w:w="866" w:type="dxa"/>
            <w:vAlign w:val="center"/>
          </w:tcPr>
          <w:p w14:paraId="2AC9AD8A" w14:textId="53C40B12" w:rsidR="00287DC0" w:rsidRPr="000F7607" w:rsidRDefault="00287DC0" w:rsidP="00287DC0">
            <w:pPr>
              <w:jc w:val="center"/>
              <w:rPr>
                <w:rFonts w:ascii="Times New Roman" w:hAnsi="Times New Roman"/>
              </w:rPr>
            </w:pPr>
            <w:r w:rsidRPr="00CD7DB3">
              <w:rPr>
                <w:rFonts w:ascii="Times New Roman" w:hAnsi="Times New Roman"/>
              </w:rPr>
              <w:t>0</w:t>
            </w:r>
          </w:p>
        </w:tc>
        <w:tc>
          <w:tcPr>
            <w:tcW w:w="866" w:type="dxa"/>
            <w:vAlign w:val="center"/>
          </w:tcPr>
          <w:p w14:paraId="1613416E" w14:textId="6A465E0C" w:rsidR="00287DC0" w:rsidRPr="000F7607" w:rsidRDefault="00287DC0" w:rsidP="00287DC0">
            <w:pPr>
              <w:jc w:val="center"/>
              <w:rPr>
                <w:rFonts w:ascii="Times New Roman" w:hAnsi="Times New Roman"/>
              </w:rPr>
            </w:pPr>
            <w:r w:rsidRPr="00CD7DB3">
              <w:rPr>
                <w:rFonts w:ascii="Times New Roman" w:hAnsi="Times New Roman"/>
              </w:rPr>
              <w:t>0</w:t>
            </w:r>
          </w:p>
        </w:tc>
        <w:tc>
          <w:tcPr>
            <w:tcW w:w="716" w:type="dxa"/>
            <w:vAlign w:val="center"/>
          </w:tcPr>
          <w:p w14:paraId="77DEBF7F" w14:textId="0A276680" w:rsidR="00287DC0" w:rsidRPr="00CD7DB3" w:rsidRDefault="00287DC0" w:rsidP="00287DC0">
            <w:pPr>
              <w:jc w:val="center"/>
              <w:rPr>
                <w:rFonts w:ascii="Times New Roman" w:hAnsi="Times New Roman"/>
              </w:rPr>
            </w:pPr>
            <w:r w:rsidRPr="00CD7DB3">
              <w:rPr>
                <w:rFonts w:ascii="Times New Roman" w:hAnsi="Times New Roman"/>
              </w:rPr>
              <w:t>0</w:t>
            </w:r>
          </w:p>
        </w:tc>
        <w:tc>
          <w:tcPr>
            <w:tcW w:w="826" w:type="dxa"/>
            <w:vAlign w:val="center"/>
          </w:tcPr>
          <w:p w14:paraId="01C5E369" w14:textId="2493EFC1" w:rsidR="00287DC0" w:rsidRPr="00CD7DB3" w:rsidRDefault="00287DC0" w:rsidP="00287DC0">
            <w:pPr>
              <w:jc w:val="center"/>
              <w:rPr>
                <w:rFonts w:ascii="Times New Roman" w:hAnsi="Times New Roman"/>
              </w:rPr>
            </w:pPr>
            <w:r w:rsidRPr="00CD7DB3">
              <w:rPr>
                <w:rFonts w:ascii="Times New Roman" w:hAnsi="Times New Roman"/>
              </w:rPr>
              <w:t>0</w:t>
            </w:r>
          </w:p>
        </w:tc>
        <w:tc>
          <w:tcPr>
            <w:tcW w:w="1166" w:type="dxa"/>
            <w:vAlign w:val="center"/>
          </w:tcPr>
          <w:p w14:paraId="7BC1D892" w14:textId="680E259D" w:rsidR="00287DC0" w:rsidRPr="000F7607" w:rsidRDefault="00287DC0" w:rsidP="00287DC0">
            <w:pPr>
              <w:jc w:val="center"/>
              <w:rPr>
                <w:rFonts w:ascii="Times New Roman" w:hAnsi="Times New Roman"/>
              </w:rPr>
            </w:pPr>
            <w:r w:rsidRPr="00CD7DB3">
              <w:rPr>
                <w:rFonts w:ascii="Times New Roman" w:hAnsi="Times New Roman"/>
              </w:rPr>
              <w:t>131 500</w:t>
            </w:r>
          </w:p>
        </w:tc>
        <w:tc>
          <w:tcPr>
            <w:tcW w:w="798" w:type="dxa"/>
            <w:gridSpan w:val="2"/>
            <w:vAlign w:val="center"/>
          </w:tcPr>
          <w:p w14:paraId="23B019C2" w14:textId="605F778A" w:rsidR="00287DC0" w:rsidRPr="00CD7DB3" w:rsidRDefault="00287DC0" w:rsidP="00287DC0">
            <w:pPr>
              <w:jc w:val="center"/>
              <w:rPr>
                <w:rFonts w:ascii="Times New Roman" w:hAnsi="Times New Roman"/>
              </w:rPr>
            </w:pPr>
            <w:r w:rsidRPr="00CD7DB3">
              <w:rPr>
                <w:rFonts w:ascii="Times New Roman" w:hAnsi="Times New Roman"/>
              </w:rPr>
              <w:t>0</w:t>
            </w:r>
          </w:p>
        </w:tc>
        <w:tc>
          <w:tcPr>
            <w:tcW w:w="766" w:type="dxa"/>
            <w:vAlign w:val="center"/>
          </w:tcPr>
          <w:p w14:paraId="569E6168" w14:textId="01C5FE0E" w:rsidR="00287DC0" w:rsidRPr="000F7607" w:rsidRDefault="00287DC0" w:rsidP="00287DC0">
            <w:pPr>
              <w:jc w:val="center"/>
              <w:rPr>
                <w:rFonts w:ascii="Times New Roman" w:hAnsi="Times New Roman"/>
              </w:rPr>
            </w:pPr>
            <w:r w:rsidRPr="00CD7DB3">
              <w:rPr>
                <w:rFonts w:ascii="Times New Roman" w:hAnsi="Times New Roman"/>
              </w:rPr>
              <w:t>0</w:t>
            </w:r>
          </w:p>
        </w:tc>
        <w:tc>
          <w:tcPr>
            <w:tcW w:w="766" w:type="dxa"/>
            <w:vAlign w:val="center"/>
          </w:tcPr>
          <w:p w14:paraId="150BC31A" w14:textId="2975A175" w:rsidR="00287DC0" w:rsidRPr="000F7607" w:rsidRDefault="00287DC0" w:rsidP="00287DC0">
            <w:pPr>
              <w:jc w:val="center"/>
              <w:rPr>
                <w:rFonts w:ascii="Times New Roman" w:hAnsi="Times New Roman"/>
              </w:rPr>
            </w:pPr>
            <w:r w:rsidRPr="00CD7DB3">
              <w:rPr>
                <w:rFonts w:ascii="Times New Roman" w:hAnsi="Times New Roman"/>
              </w:rPr>
              <w:t>0</w:t>
            </w:r>
          </w:p>
        </w:tc>
        <w:tc>
          <w:tcPr>
            <w:tcW w:w="776" w:type="dxa"/>
            <w:gridSpan w:val="2"/>
            <w:vAlign w:val="center"/>
          </w:tcPr>
          <w:p w14:paraId="7107D14F" w14:textId="042A3E99" w:rsidR="00287DC0" w:rsidRPr="00CD7DB3" w:rsidRDefault="00287DC0" w:rsidP="00287DC0">
            <w:pPr>
              <w:jc w:val="center"/>
              <w:rPr>
                <w:rFonts w:ascii="Times New Roman" w:hAnsi="Times New Roman"/>
              </w:rPr>
            </w:pPr>
            <w:r w:rsidRPr="00CD7DB3">
              <w:rPr>
                <w:rFonts w:ascii="Times New Roman" w:hAnsi="Times New Roman"/>
              </w:rPr>
              <w:t>0</w:t>
            </w:r>
          </w:p>
        </w:tc>
        <w:tc>
          <w:tcPr>
            <w:tcW w:w="811" w:type="dxa"/>
            <w:vAlign w:val="center"/>
          </w:tcPr>
          <w:p w14:paraId="73086078" w14:textId="447D4283" w:rsidR="00287DC0" w:rsidRPr="00CD7DB3" w:rsidRDefault="00287DC0" w:rsidP="00287DC0">
            <w:pPr>
              <w:jc w:val="center"/>
              <w:rPr>
                <w:rFonts w:ascii="Times New Roman" w:hAnsi="Times New Roman"/>
              </w:rPr>
            </w:pPr>
            <w:r w:rsidRPr="00CD7DB3">
              <w:rPr>
                <w:rFonts w:ascii="Times New Roman" w:hAnsi="Times New Roman"/>
              </w:rPr>
              <w:t>0</w:t>
            </w:r>
          </w:p>
        </w:tc>
        <w:tc>
          <w:tcPr>
            <w:tcW w:w="992" w:type="dxa"/>
            <w:vAlign w:val="center"/>
          </w:tcPr>
          <w:p w14:paraId="7F487AA2" w14:textId="5762594A" w:rsidR="00287DC0" w:rsidRPr="000F7607" w:rsidRDefault="00287DC0" w:rsidP="00287DC0">
            <w:pPr>
              <w:jc w:val="center"/>
              <w:rPr>
                <w:rFonts w:ascii="Times New Roman" w:hAnsi="Times New Roman"/>
              </w:rPr>
            </w:pPr>
            <w:r w:rsidRPr="00CD7DB3">
              <w:rPr>
                <w:rFonts w:ascii="Times New Roman" w:hAnsi="Times New Roman"/>
              </w:rPr>
              <w:t>263</w:t>
            </w:r>
          </w:p>
        </w:tc>
      </w:tr>
      <w:tr w:rsidR="00A7425A" w14:paraId="03995A27" w14:textId="77777777" w:rsidTr="00700D4E">
        <w:trPr>
          <w:gridAfter w:val="1"/>
          <w:wAfter w:w="13" w:type="dxa"/>
        </w:trPr>
        <w:tc>
          <w:tcPr>
            <w:tcW w:w="316" w:type="dxa"/>
          </w:tcPr>
          <w:p w14:paraId="28B2E414" w14:textId="289D9765" w:rsidR="00287DC0" w:rsidRPr="00CD7DB3" w:rsidRDefault="00287DC0" w:rsidP="00287DC0">
            <w:pPr>
              <w:jc w:val="both"/>
              <w:rPr>
                <w:rFonts w:ascii="Times New Roman" w:hAnsi="Times New Roman"/>
              </w:rPr>
            </w:pPr>
            <w:r w:rsidRPr="00CD7DB3">
              <w:rPr>
                <w:rFonts w:ascii="Times New Roman" w:hAnsi="Times New Roman"/>
              </w:rPr>
              <w:t>4</w:t>
            </w:r>
          </w:p>
        </w:tc>
        <w:tc>
          <w:tcPr>
            <w:tcW w:w="1805" w:type="dxa"/>
          </w:tcPr>
          <w:p w14:paraId="71E49520" w14:textId="40C5B9B6" w:rsidR="00287DC0" w:rsidRPr="00CD7DB3" w:rsidRDefault="00287DC0" w:rsidP="00287DC0">
            <w:pPr>
              <w:jc w:val="both"/>
              <w:rPr>
                <w:rFonts w:ascii="Times New Roman" w:hAnsi="Times New Roman"/>
              </w:rPr>
            </w:pPr>
            <w:r w:rsidRPr="00CD7DB3">
              <w:rPr>
                <w:rFonts w:ascii="Times New Roman" w:hAnsi="Times New Roman"/>
              </w:rPr>
              <w:t>Kompensācijas apmēra palielināšana pacientiem ar garīgo atpalicību (F71-F73) no 50% līdz 100%</w:t>
            </w:r>
          </w:p>
        </w:tc>
        <w:tc>
          <w:tcPr>
            <w:tcW w:w="1105" w:type="dxa"/>
            <w:vAlign w:val="center"/>
          </w:tcPr>
          <w:p w14:paraId="6939DFDD" w14:textId="00800E3A" w:rsidR="00287DC0" w:rsidRPr="00CD7DB3" w:rsidRDefault="00B30E72" w:rsidP="00287DC0">
            <w:pPr>
              <w:jc w:val="center"/>
              <w:rPr>
                <w:rFonts w:ascii="Times New Roman" w:hAnsi="Times New Roman"/>
              </w:rPr>
            </w:pPr>
            <w:r>
              <w:rPr>
                <w:rFonts w:ascii="Times New Roman" w:hAnsi="Times New Roman"/>
              </w:rPr>
              <w:t>37</w:t>
            </w:r>
          </w:p>
        </w:tc>
        <w:tc>
          <w:tcPr>
            <w:tcW w:w="866" w:type="dxa"/>
            <w:vAlign w:val="center"/>
          </w:tcPr>
          <w:p w14:paraId="349A7046" w14:textId="438CEDAC" w:rsidR="00287DC0" w:rsidRPr="00CD7DB3" w:rsidRDefault="00287DC0" w:rsidP="00287DC0">
            <w:pPr>
              <w:jc w:val="center"/>
              <w:rPr>
                <w:rFonts w:ascii="Times New Roman" w:eastAsia="Times New Roman" w:hAnsi="Times New Roman"/>
                <w:color w:val="000000" w:themeColor="text1"/>
                <w:lang w:eastAsia="lv-LV"/>
              </w:rPr>
            </w:pPr>
            <w:r w:rsidRPr="00CD7DB3">
              <w:rPr>
                <w:rFonts w:ascii="Times New Roman" w:eastAsia="Times New Roman" w:hAnsi="Times New Roman"/>
                <w:color w:val="000000" w:themeColor="text1"/>
                <w:lang w:eastAsia="lv-LV"/>
              </w:rPr>
              <w:t>86 580</w:t>
            </w:r>
          </w:p>
        </w:tc>
        <w:tc>
          <w:tcPr>
            <w:tcW w:w="866" w:type="dxa"/>
            <w:vAlign w:val="center"/>
          </w:tcPr>
          <w:p w14:paraId="6C4E0935" w14:textId="7618E873" w:rsidR="00287DC0" w:rsidRPr="00CD7DB3" w:rsidRDefault="00287DC0" w:rsidP="00287DC0">
            <w:pPr>
              <w:jc w:val="center"/>
              <w:rPr>
                <w:rFonts w:ascii="Times New Roman" w:hAnsi="Times New Roman"/>
              </w:rPr>
            </w:pPr>
            <w:r w:rsidRPr="00CD7DB3">
              <w:rPr>
                <w:rFonts w:ascii="Times New Roman" w:eastAsia="Times New Roman" w:hAnsi="Times New Roman"/>
                <w:color w:val="000000" w:themeColor="text1"/>
                <w:lang w:eastAsia="lv-LV"/>
              </w:rPr>
              <w:t>86 580</w:t>
            </w:r>
          </w:p>
        </w:tc>
        <w:tc>
          <w:tcPr>
            <w:tcW w:w="866" w:type="dxa"/>
            <w:vAlign w:val="center"/>
          </w:tcPr>
          <w:p w14:paraId="08C433FD" w14:textId="0EE000A2" w:rsidR="00287DC0" w:rsidRPr="00CD7DB3" w:rsidRDefault="00287DC0" w:rsidP="00287DC0">
            <w:pPr>
              <w:jc w:val="center"/>
              <w:rPr>
                <w:rFonts w:ascii="Times New Roman" w:hAnsi="Times New Roman"/>
              </w:rPr>
            </w:pPr>
            <w:r w:rsidRPr="00CD7DB3">
              <w:rPr>
                <w:rFonts w:ascii="Times New Roman" w:eastAsia="Times New Roman" w:hAnsi="Times New Roman"/>
                <w:color w:val="000000" w:themeColor="text1"/>
                <w:lang w:eastAsia="lv-LV"/>
              </w:rPr>
              <w:t>86 580</w:t>
            </w:r>
          </w:p>
        </w:tc>
        <w:tc>
          <w:tcPr>
            <w:tcW w:w="716" w:type="dxa"/>
            <w:vAlign w:val="center"/>
          </w:tcPr>
          <w:p w14:paraId="496933A1" w14:textId="749E756D" w:rsidR="00287DC0" w:rsidRPr="00CD7DB3" w:rsidRDefault="00287DC0" w:rsidP="00287DC0">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826" w:type="dxa"/>
            <w:vAlign w:val="center"/>
          </w:tcPr>
          <w:p w14:paraId="0895802C" w14:textId="7E0BCA5C" w:rsidR="00287DC0" w:rsidRPr="00CD7DB3" w:rsidRDefault="00287DC0" w:rsidP="00287DC0">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1166" w:type="dxa"/>
            <w:vAlign w:val="center"/>
          </w:tcPr>
          <w:p w14:paraId="6A0B1C97" w14:textId="42E27309" w:rsidR="00287DC0" w:rsidRPr="009329AB" w:rsidRDefault="00287DC0" w:rsidP="00287DC0">
            <w:pPr>
              <w:jc w:val="center"/>
              <w:rPr>
                <w:rFonts w:ascii="Times New Roman" w:hAnsi="Times New Roman"/>
              </w:rPr>
            </w:pPr>
            <w:r w:rsidRPr="009329AB">
              <w:rPr>
                <w:rFonts w:ascii="Times New Roman" w:eastAsia="Times New Roman" w:hAnsi="Times New Roman"/>
                <w:color w:val="000000" w:themeColor="text1"/>
                <w:lang w:eastAsia="lv-LV"/>
              </w:rPr>
              <w:t> </w:t>
            </w:r>
            <w:r w:rsidR="00AA0668" w:rsidRPr="009329AB">
              <w:rPr>
                <w:rFonts w:ascii="Times New Roman" w:eastAsia="Times New Roman" w:hAnsi="Times New Roman"/>
                <w:color w:val="000000" w:themeColor="text1"/>
                <w:lang w:eastAsia="lv-LV"/>
              </w:rPr>
              <w:t xml:space="preserve">103 </w:t>
            </w:r>
            <w:r w:rsidR="00A51E64" w:rsidRPr="009329AB">
              <w:rPr>
                <w:rFonts w:ascii="Times New Roman" w:eastAsia="Times New Roman" w:hAnsi="Times New Roman"/>
                <w:color w:val="000000" w:themeColor="text1"/>
                <w:lang w:eastAsia="lv-LV"/>
              </w:rPr>
              <w:t>8</w:t>
            </w:r>
            <w:r w:rsidR="003461CB" w:rsidRPr="009329AB">
              <w:rPr>
                <w:rFonts w:ascii="Times New Roman" w:eastAsia="Times New Roman" w:hAnsi="Times New Roman"/>
                <w:color w:val="000000" w:themeColor="text1"/>
                <w:lang w:eastAsia="lv-LV"/>
              </w:rPr>
              <w:t>22</w:t>
            </w:r>
          </w:p>
        </w:tc>
        <w:tc>
          <w:tcPr>
            <w:tcW w:w="798" w:type="dxa"/>
            <w:gridSpan w:val="2"/>
            <w:vAlign w:val="center"/>
          </w:tcPr>
          <w:p w14:paraId="5C9F3C71" w14:textId="48F7D4DF" w:rsidR="00287DC0" w:rsidRPr="009329AB" w:rsidRDefault="00AA0668" w:rsidP="00287DC0">
            <w:pPr>
              <w:jc w:val="center"/>
              <w:rPr>
                <w:rFonts w:ascii="Times New Roman" w:eastAsia="Times New Roman" w:hAnsi="Times New Roman"/>
                <w:color w:val="000000" w:themeColor="text1"/>
                <w:lang w:eastAsia="lv-LV"/>
              </w:rPr>
            </w:pPr>
            <w:r w:rsidRPr="009329AB">
              <w:rPr>
                <w:rFonts w:ascii="Times New Roman" w:eastAsia="Times New Roman" w:hAnsi="Times New Roman"/>
                <w:color w:val="000000" w:themeColor="text1"/>
                <w:lang w:eastAsia="lv-LV"/>
              </w:rPr>
              <w:t>2</w:t>
            </w:r>
            <w:r w:rsidR="009507A7" w:rsidRPr="009329AB">
              <w:rPr>
                <w:rFonts w:ascii="Times New Roman" w:eastAsia="Times New Roman" w:hAnsi="Times New Roman"/>
                <w:color w:val="000000" w:themeColor="text1"/>
                <w:lang w:eastAsia="lv-LV"/>
              </w:rPr>
              <w:t xml:space="preserve"> </w:t>
            </w:r>
            <w:r w:rsidRPr="009329AB">
              <w:rPr>
                <w:rFonts w:ascii="Times New Roman" w:eastAsia="Times New Roman" w:hAnsi="Times New Roman"/>
                <w:color w:val="000000" w:themeColor="text1"/>
                <w:lang w:eastAsia="lv-LV"/>
              </w:rPr>
              <w:t>340</w:t>
            </w:r>
          </w:p>
        </w:tc>
        <w:tc>
          <w:tcPr>
            <w:tcW w:w="766" w:type="dxa"/>
            <w:vAlign w:val="center"/>
          </w:tcPr>
          <w:p w14:paraId="4754C916" w14:textId="66AE4627" w:rsidR="00287DC0" w:rsidRPr="009329AB" w:rsidRDefault="00287DC0" w:rsidP="00287DC0">
            <w:pPr>
              <w:jc w:val="center"/>
              <w:rPr>
                <w:rFonts w:ascii="Times New Roman" w:hAnsi="Times New Roman"/>
              </w:rPr>
            </w:pPr>
            <w:r w:rsidRPr="009329AB">
              <w:rPr>
                <w:rFonts w:ascii="Times New Roman" w:eastAsia="Times New Roman" w:hAnsi="Times New Roman"/>
                <w:color w:val="000000" w:themeColor="text1"/>
                <w:lang w:eastAsia="lv-LV"/>
              </w:rPr>
              <w:t>2</w:t>
            </w:r>
            <w:r w:rsidR="009507A7" w:rsidRPr="009329AB">
              <w:rPr>
                <w:rFonts w:ascii="Times New Roman" w:eastAsia="Times New Roman" w:hAnsi="Times New Roman"/>
                <w:color w:val="000000" w:themeColor="text1"/>
                <w:lang w:eastAsia="lv-LV"/>
              </w:rPr>
              <w:t xml:space="preserve"> </w:t>
            </w:r>
            <w:r w:rsidRPr="009329AB">
              <w:rPr>
                <w:rFonts w:ascii="Times New Roman" w:eastAsia="Times New Roman" w:hAnsi="Times New Roman"/>
                <w:color w:val="000000" w:themeColor="text1"/>
                <w:lang w:eastAsia="lv-LV"/>
              </w:rPr>
              <w:t>340</w:t>
            </w:r>
          </w:p>
        </w:tc>
        <w:tc>
          <w:tcPr>
            <w:tcW w:w="766" w:type="dxa"/>
            <w:vAlign w:val="center"/>
          </w:tcPr>
          <w:p w14:paraId="1AB330FA" w14:textId="46C62986" w:rsidR="00287DC0" w:rsidRPr="009329AB" w:rsidRDefault="00287DC0" w:rsidP="00287DC0">
            <w:pPr>
              <w:jc w:val="center"/>
              <w:rPr>
                <w:rFonts w:ascii="Times New Roman" w:hAnsi="Times New Roman"/>
              </w:rPr>
            </w:pPr>
            <w:r w:rsidRPr="009329AB">
              <w:rPr>
                <w:rFonts w:ascii="Times New Roman" w:eastAsia="Times New Roman" w:hAnsi="Times New Roman"/>
                <w:color w:val="000000" w:themeColor="text1"/>
                <w:lang w:eastAsia="lv-LV"/>
              </w:rPr>
              <w:t>2</w:t>
            </w:r>
            <w:r w:rsidR="009507A7" w:rsidRPr="009329AB">
              <w:rPr>
                <w:rFonts w:ascii="Times New Roman" w:eastAsia="Times New Roman" w:hAnsi="Times New Roman"/>
                <w:color w:val="000000" w:themeColor="text1"/>
                <w:lang w:eastAsia="lv-LV"/>
              </w:rPr>
              <w:t xml:space="preserve"> </w:t>
            </w:r>
            <w:r w:rsidRPr="009329AB">
              <w:rPr>
                <w:rFonts w:ascii="Times New Roman" w:eastAsia="Times New Roman" w:hAnsi="Times New Roman"/>
                <w:color w:val="000000" w:themeColor="text1"/>
                <w:lang w:eastAsia="lv-LV"/>
              </w:rPr>
              <w:t>340</w:t>
            </w:r>
          </w:p>
        </w:tc>
        <w:tc>
          <w:tcPr>
            <w:tcW w:w="776" w:type="dxa"/>
            <w:gridSpan w:val="2"/>
            <w:vAlign w:val="center"/>
          </w:tcPr>
          <w:p w14:paraId="158BF0B3" w14:textId="202736BD" w:rsidR="00287DC0" w:rsidRPr="00CD7DB3" w:rsidRDefault="00AA0668" w:rsidP="00287DC0">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811" w:type="dxa"/>
            <w:vAlign w:val="center"/>
          </w:tcPr>
          <w:p w14:paraId="2D058B2C" w14:textId="1B6BB226" w:rsidR="00287DC0" w:rsidRPr="00CD7DB3" w:rsidRDefault="00AA0668" w:rsidP="00287DC0">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992" w:type="dxa"/>
            <w:vAlign w:val="center"/>
          </w:tcPr>
          <w:p w14:paraId="676AB472" w14:textId="6F553340" w:rsidR="00287DC0" w:rsidRPr="00CD7DB3" w:rsidRDefault="00AA0668" w:rsidP="00287DC0">
            <w:pPr>
              <w:jc w:val="center"/>
              <w:rPr>
                <w:rFonts w:ascii="Times New Roman" w:hAnsi="Times New Roman"/>
              </w:rPr>
            </w:pPr>
            <w:r>
              <w:rPr>
                <w:rFonts w:ascii="Times New Roman" w:eastAsia="Times New Roman" w:hAnsi="Times New Roman"/>
                <w:color w:val="000000" w:themeColor="text1"/>
                <w:lang w:eastAsia="lv-LV"/>
              </w:rPr>
              <w:t>2</w:t>
            </w:r>
            <w:r w:rsidR="009507A7">
              <w:rPr>
                <w:rFonts w:ascii="Times New Roman" w:eastAsia="Times New Roman" w:hAnsi="Times New Roman"/>
                <w:color w:val="000000" w:themeColor="text1"/>
                <w:lang w:eastAsia="lv-LV"/>
              </w:rPr>
              <w:t xml:space="preserve"> </w:t>
            </w:r>
            <w:r>
              <w:rPr>
                <w:rFonts w:ascii="Times New Roman" w:eastAsia="Times New Roman" w:hAnsi="Times New Roman"/>
                <w:color w:val="000000" w:themeColor="text1"/>
                <w:lang w:eastAsia="lv-LV"/>
              </w:rPr>
              <w:t>5</w:t>
            </w:r>
            <w:r w:rsidR="003461CB">
              <w:rPr>
                <w:rFonts w:ascii="Times New Roman" w:eastAsia="Times New Roman" w:hAnsi="Times New Roman"/>
                <w:color w:val="000000" w:themeColor="text1"/>
                <w:lang w:eastAsia="lv-LV"/>
              </w:rPr>
              <w:t>73</w:t>
            </w:r>
          </w:p>
        </w:tc>
      </w:tr>
      <w:tr w:rsidR="00A7425A" w14:paraId="0584F20E" w14:textId="77777777" w:rsidTr="00700D4E">
        <w:trPr>
          <w:gridAfter w:val="1"/>
          <w:wAfter w:w="13" w:type="dxa"/>
        </w:trPr>
        <w:tc>
          <w:tcPr>
            <w:tcW w:w="316" w:type="dxa"/>
          </w:tcPr>
          <w:p w14:paraId="4DB610AC" w14:textId="77777777" w:rsidR="00A7425A" w:rsidRPr="00CD7DB3" w:rsidRDefault="00A7425A" w:rsidP="00A7425A">
            <w:pPr>
              <w:jc w:val="both"/>
              <w:rPr>
                <w:rFonts w:ascii="Times New Roman" w:hAnsi="Times New Roman"/>
              </w:rPr>
            </w:pPr>
          </w:p>
        </w:tc>
        <w:tc>
          <w:tcPr>
            <w:tcW w:w="1805" w:type="dxa"/>
          </w:tcPr>
          <w:p w14:paraId="5CAA659B" w14:textId="3137791C" w:rsidR="00A7425A" w:rsidRDefault="00A7425A" w:rsidP="00A7425A">
            <w:pPr>
              <w:jc w:val="both"/>
              <w:rPr>
                <w:rFonts w:ascii="Times New Roman" w:hAnsi="Times New Roman"/>
              </w:rPr>
            </w:pPr>
            <w:r>
              <w:rPr>
                <w:rFonts w:ascii="Times New Roman" w:hAnsi="Times New Roman"/>
              </w:rPr>
              <w:t xml:space="preserve">Inkontinences līdzekļu </w:t>
            </w:r>
            <w:r w:rsidRPr="00CD7DB3">
              <w:rPr>
                <w:rFonts w:ascii="Times New Roman" w:hAnsi="Times New Roman"/>
              </w:rPr>
              <w:t>pieejamības nodrošināšana pacientiem ar garīgo atpalicību (F71-F73)</w:t>
            </w:r>
          </w:p>
        </w:tc>
        <w:tc>
          <w:tcPr>
            <w:tcW w:w="1105" w:type="dxa"/>
            <w:vAlign w:val="center"/>
          </w:tcPr>
          <w:p w14:paraId="1008E452" w14:textId="382DEE5B" w:rsidR="00A7425A" w:rsidRPr="00CD7DB3" w:rsidRDefault="00A7425A" w:rsidP="00A7425A">
            <w:pPr>
              <w:jc w:val="center"/>
              <w:rPr>
                <w:rFonts w:ascii="Times New Roman" w:eastAsia="Times New Roman" w:hAnsi="Times New Roman"/>
                <w:color w:val="000000" w:themeColor="text1"/>
                <w:lang w:eastAsia="lv-LV"/>
              </w:rPr>
            </w:pPr>
            <w:r w:rsidRPr="00CD7DB3">
              <w:rPr>
                <w:rFonts w:ascii="Times New Roman" w:eastAsia="Times New Roman" w:hAnsi="Times New Roman"/>
                <w:color w:val="000000" w:themeColor="text1"/>
                <w:lang w:eastAsia="lv-LV"/>
              </w:rPr>
              <w:t>547.5</w:t>
            </w:r>
          </w:p>
        </w:tc>
        <w:tc>
          <w:tcPr>
            <w:tcW w:w="866" w:type="dxa"/>
            <w:vAlign w:val="center"/>
          </w:tcPr>
          <w:p w14:paraId="402BDEAD" w14:textId="551DE1F6" w:rsidR="00A7425A" w:rsidRDefault="00A7425A" w:rsidP="00A7425A">
            <w:pPr>
              <w:jc w:val="center"/>
              <w:rPr>
                <w:rFonts w:ascii="Times New Roman" w:hAnsi="Times New Roman"/>
              </w:rPr>
            </w:pPr>
            <w:r>
              <w:rPr>
                <w:rFonts w:ascii="Times New Roman" w:hAnsi="Times New Roman"/>
              </w:rPr>
              <w:t>0</w:t>
            </w:r>
          </w:p>
        </w:tc>
        <w:tc>
          <w:tcPr>
            <w:tcW w:w="866" w:type="dxa"/>
            <w:vAlign w:val="center"/>
          </w:tcPr>
          <w:p w14:paraId="6E0A7839" w14:textId="76729074" w:rsidR="00A7425A" w:rsidRPr="00CD7DB3" w:rsidRDefault="00A7425A" w:rsidP="00A7425A">
            <w:pPr>
              <w:jc w:val="center"/>
              <w:rPr>
                <w:rFonts w:ascii="Times New Roman" w:hAnsi="Times New Roman"/>
              </w:rPr>
            </w:pPr>
            <w:r w:rsidRPr="00CD7DB3">
              <w:rPr>
                <w:rFonts w:ascii="Times New Roman" w:hAnsi="Times New Roman"/>
              </w:rPr>
              <w:t>0</w:t>
            </w:r>
          </w:p>
        </w:tc>
        <w:tc>
          <w:tcPr>
            <w:tcW w:w="866" w:type="dxa"/>
            <w:vAlign w:val="center"/>
          </w:tcPr>
          <w:p w14:paraId="22B319B2" w14:textId="241C962C" w:rsidR="00A7425A" w:rsidRPr="00CD7DB3" w:rsidRDefault="00A7425A" w:rsidP="00A7425A">
            <w:pPr>
              <w:jc w:val="center"/>
              <w:rPr>
                <w:rFonts w:ascii="Times New Roman" w:hAnsi="Times New Roman"/>
              </w:rPr>
            </w:pPr>
            <w:r w:rsidRPr="00CD7DB3">
              <w:rPr>
                <w:rFonts w:ascii="Times New Roman" w:hAnsi="Times New Roman"/>
              </w:rPr>
              <w:t>0</w:t>
            </w:r>
          </w:p>
        </w:tc>
        <w:tc>
          <w:tcPr>
            <w:tcW w:w="716" w:type="dxa"/>
            <w:vAlign w:val="center"/>
          </w:tcPr>
          <w:p w14:paraId="4BED8639" w14:textId="77B9DC57" w:rsidR="00A7425A" w:rsidRDefault="00A7425A" w:rsidP="00A7425A">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826" w:type="dxa"/>
            <w:vAlign w:val="center"/>
          </w:tcPr>
          <w:p w14:paraId="72431A43" w14:textId="3046E4F3" w:rsidR="00A7425A" w:rsidRDefault="00A7425A" w:rsidP="00A7425A">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1166" w:type="dxa"/>
            <w:vAlign w:val="center"/>
          </w:tcPr>
          <w:p w14:paraId="13536937" w14:textId="2ACA151F" w:rsidR="00A7425A" w:rsidRPr="009329AB" w:rsidRDefault="00A7425A" w:rsidP="00A7425A">
            <w:pPr>
              <w:jc w:val="center"/>
              <w:rPr>
                <w:rFonts w:ascii="Times New Roman" w:eastAsia="Times New Roman" w:hAnsi="Times New Roman"/>
                <w:color w:val="000000" w:themeColor="text1"/>
                <w:lang w:eastAsia="lv-LV"/>
              </w:rPr>
            </w:pPr>
            <w:r w:rsidRPr="009329AB">
              <w:rPr>
                <w:rFonts w:ascii="Times New Roman" w:eastAsia="Times New Roman" w:hAnsi="Times New Roman"/>
                <w:color w:val="000000" w:themeColor="text1"/>
                <w:lang w:eastAsia="lv-LV"/>
              </w:rPr>
              <w:t>410 625</w:t>
            </w:r>
          </w:p>
        </w:tc>
        <w:tc>
          <w:tcPr>
            <w:tcW w:w="798" w:type="dxa"/>
            <w:gridSpan w:val="2"/>
            <w:vAlign w:val="center"/>
          </w:tcPr>
          <w:p w14:paraId="01F8139D" w14:textId="25990DBF" w:rsidR="00A7425A" w:rsidRPr="009329AB" w:rsidRDefault="00A7425A" w:rsidP="00A7425A">
            <w:pPr>
              <w:jc w:val="center"/>
              <w:rPr>
                <w:rFonts w:ascii="Times New Roman" w:hAnsi="Times New Roman"/>
              </w:rPr>
            </w:pPr>
            <w:r w:rsidRPr="009329AB">
              <w:rPr>
                <w:rFonts w:ascii="Times New Roman" w:hAnsi="Times New Roman"/>
              </w:rPr>
              <w:t>0</w:t>
            </w:r>
          </w:p>
        </w:tc>
        <w:tc>
          <w:tcPr>
            <w:tcW w:w="766" w:type="dxa"/>
            <w:vAlign w:val="center"/>
          </w:tcPr>
          <w:p w14:paraId="25151D18" w14:textId="7BB116CC" w:rsidR="00A7425A" w:rsidRPr="009329AB" w:rsidRDefault="00A7425A" w:rsidP="00A7425A">
            <w:pPr>
              <w:jc w:val="center"/>
              <w:rPr>
                <w:rFonts w:ascii="Times New Roman" w:hAnsi="Times New Roman"/>
              </w:rPr>
            </w:pPr>
            <w:r w:rsidRPr="009329AB">
              <w:rPr>
                <w:rFonts w:ascii="Times New Roman" w:hAnsi="Times New Roman"/>
              </w:rPr>
              <w:t>0</w:t>
            </w:r>
          </w:p>
        </w:tc>
        <w:tc>
          <w:tcPr>
            <w:tcW w:w="766" w:type="dxa"/>
            <w:vAlign w:val="center"/>
          </w:tcPr>
          <w:p w14:paraId="3609D7E5" w14:textId="53C49C13" w:rsidR="00A7425A" w:rsidRPr="009329AB" w:rsidRDefault="00A7425A" w:rsidP="00A7425A">
            <w:pPr>
              <w:jc w:val="center"/>
              <w:rPr>
                <w:rFonts w:ascii="Times New Roman" w:hAnsi="Times New Roman"/>
              </w:rPr>
            </w:pPr>
            <w:r w:rsidRPr="009329AB">
              <w:rPr>
                <w:rFonts w:ascii="Times New Roman" w:hAnsi="Times New Roman"/>
              </w:rPr>
              <w:t>0</w:t>
            </w:r>
          </w:p>
        </w:tc>
        <w:tc>
          <w:tcPr>
            <w:tcW w:w="776" w:type="dxa"/>
            <w:gridSpan w:val="2"/>
            <w:vAlign w:val="center"/>
          </w:tcPr>
          <w:p w14:paraId="32AC432F" w14:textId="38A46A6E" w:rsidR="00A7425A" w:rsidRDefault="00A7425A" w:rsidP="00A7425A">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811" w:type="dxa"/>
            <w:vAlign w:val="center"/>
          </w:tcPr>
          <w:p w14:paraId="159A377F" w14:textId="1693DC86" w:rsidR="00A7425A" w:rsidRDefault="00A7425A" w:rsidP="00A7425A">
            <w:pPr>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992" w:type="dxa"/>
            <w:vAlign w:val="center"/>
          </w:tcPr>
          <w:p w14:paraId="584FB94F" w14:textId="417FBCFF" w:rsidR="00A7425A" w:rsidRPr="00CD7DB3" w:rsidRDefault="00A7425A" w:rsidP="00A7425A">
            <w:pPr>
              <w:jc w:val="center"/>
              <w:rPr>
                <w:rFonts w:ascii="Times New Roman" w:eastAsia="Times New Roman" w:hAnsi="Times New Roman"/>
                <w:color w:val="000000" w:themeColor="text1"/>
                <w:lang w:eastAsia="lv-LV"/>
              </w:rPr>
            </w:pPr>
            <w:r w:rsidRPr="00CD7DB3">
              <w:rPr>
                <w:rFonts w:ascii="Times New Roman" w:eastAsia="Times New Roman" w:hAnsi="Times New Roman"/>
                <w:color w:val="000000" w:themeColor="text1"/>
                <w:lang w:eastAsia="lv-LV"/>
              </w:rPr>
              <w:t>750</w:t>
            </w:r>
          </w:p>
        </w:tc>
      </w:tr>
      <w:tr w:rsidR="005C3C72" w14:paraId="6EAED5C4" w14:textId="77777777" w:rsidTr="00700D4E">
        <w:trPr>
          <w:gridAfter w:val="1"/>
          <w:wAfter w:w="13" w:type="dxa"/>
        </w:trPr>
        <w:tc>
          <w:tcPr>
            <w:tcW w:w="316" w:type="dxa"/>
          </w:tcPr>
          <w:p w14:paraId="1C26E98A" w14:textId="3E148C49" w:rsidR="005C3C72" w:rsidRPr="00CD7DB3" w:rsidRDefault="005C3C72" w:rsidP="005C3C72">
            <w:pPr>
              <w:jc w:val="both"/>
              <w:rPr>
                <w:rFonts w:ascii="Times New Roman" w:hAnsi="Times New Roman"/>
              </w:rPr>
            </w:pPr>
            <w:r w:rsidRPr="00CD7DB3">
              <w:rPr>
                <w:rFonts w:ascii="Times New Roman" w:hAnsi="Times New Roman"/>
                <w:b/>
                <w:bCs/>
              </w:rPr>
              <w:t>5</w:t>
            </w:r>
          </w:p>
        </w:tc>
        <w:tc>
          <w:tcPr>
            <w:tcW w:w="1805" w:type="dxa"/>
          </w:tcPr>
          <w:p w14:paraId="1BDA1A2B" w14:textId="3556A2C3" w:rsidR="005C3C72" w:rsidRDefault="005C3C72" w:rsidP="005C3C72">
            <w:pPr>
              <w:jc w:val="both"/>
              <w:rPr>
                <w:rFonts w:ascii="Times New Roman" w:hAnsi="Times New Roman"/>
              </w:rPr>
            </w:pPr>
            <w:r w:rsidRPr="00CD7DB3">
              <w:rPr>
                <w:rFonts w:ascii="Times New Roman" w:hAnsi="Times New Roman"/>
              </w:rPr>
              <w:t>Palielināt zāļu kompensācijas apmēru diagnozēm psihisko un uzvedības traucējumu grupā no 50% uz 75% (izņemot diagnozes F31 – F33</w:t>
            </w:r>
          </w:p>
        </w:tc>
        <w:tc>
          <w:tcPr>
            <w:tcW w:w="1105" w:type="dxa"/>
            <w:vAlign w:val="center"/>
          </w:tcPr>
          <w:p w14:paraId="192A9E98" w14:textId="57AEEF4D" w:rsidR="005C3C72" w:rsidRPr="00CD7DB3" w:rsidRDefault="005C3C72" w:rsidP="005C3C72">
            <w:pPr>
              <w:jc w:val="center"/>
              <w:rPr>
                <w:rFonts w:ascii="Times New Roman" w:eastAsia="Times New Roman" w:hAnsi="Times New Roman"/>
                <w:color w:val="000000" w:themeColor="text1"/>
                <w:lang w:eastAsia="lv-LV"/>
              </w:rPr>
            </w:pPr>
            <w:r w:rsidRPr="00CD7DB3">
              <w:rPr>
                <w:rFonts w:ascii="Times New Roman" w:hAnsi="Times New Roman"/>
              </w:rPr>
              <w:t>60</w:t>
            </w:r>
          </w:p>
        </w:tc>
        <w:tc>
          <w:tcPr>
            <w:tcW w:w="866" w:type="dxa"/>
            <w:vAlign w:val="center"/>
          </w:tcPr>
          <w:p w14:paraId="7336C991" w14:textId="69088957" w:rsidR="005C3C72" w:rsidRPr="009329AB" w:rsidRDefault="005C3C72" w:rsidP="005C3C72">
            <w:pPr>
              <w:jc w:val="center"/>
              <w:rPr>
                <w:rFonts w:ascii="Times New Roman" w:hAnsi="Times New Roman"/>
              </w:rPr>
            </w:pPr>
            <w:r w:rsidRPr="009329AB">
              <w:rPr>
                <w:rFonts w:ascii="Times New Roman" w:hAnsi="Times New Roman"/>
              </w:rPr>
              <w:t>639 960</w:t>
            </w:r>
          </w:p>
        </w:tc>
        <w:tc>
          <w:tcPr>
            <w:tcW w:w="866" w:type="dxa"/>
            <w:vAlign w:val="center"/>
          </w:tcPr>
          <w:p w14:paraId="1312DED3" w14:textId="45930386" w:rsidR="005C3C72" w:rsidRPr="009329AB" w:rsidRDefault="005C3C72" w:rsidP="005C3C72">
            <w:pPr>
              <w:jc w:val="center"/>
              <w:rPr>
                <w:rFonts w:ascii="Times New Roman" w:hAnsi="Times New Roman"/>
              </w:rPr>
            </w:pPr>
            <w:r w:rsidRPr="009329AB">
              <w:rPr>
                <w:rFonts w:ascii="Times New Roman" w:hAnsi="Times New Roman"/>
              </w:rPr>
              <w:t>639 960</w:t>
            </w:r>
          </w:p>
        </w:tc>
        <w:tc>
          <w:tcPr>
            <w:tcW w:w="866" w:type="dxa"/>
            <w:vAlign w:val="center"/>
          </w:tcPr>
          <w:p w14:paraId="55FB0191" w14:textId="428AD468" w:rsidR="005C3C72" w:rsidRPr="009329AB" w:rsidRDefault="005C3C72" w:rsidP="005C3C72">
            <w:pPr>
              <w:jc w:val="center"/>
              <w:rPr>
                <w:rFonts w:ascii="Times New Roman" w:hAnsi="Times New Roman"/>
              </w:rPr>
            </w:pPr>
            <w:r w:rsidRPr="009329AB">
              <w:rPr>
                <w:rFonts w:ascii="Times New Roman" w:hAnsi="Times New Roman"/>
              </w:rPr>
              <w:t>639 960</w:t>
            </w:r>
          </w:p>
        </w:tc>
        <w:tc>
          <w:tcPr>
            <w:tcW w:w="716" w:type="dxa"/>
            <w:vAlign w:val="center"/>
          </w:tcPr>
          <w:p w14:paraId="689CA70D" w14:textId="2A6C9F0E" w:rsidR="005C3C72" w:rsidRPr="009329AB" w:rsidRDefault="005C3C72" w:rsidP="005C3C72">
            <w:pPr>
              <w:jc w:val="center"/>
              <w:rPr>
                <w:rFonts w:ascii="Times New Roman" w:hAnsi="Times New Roman"/>
              </w:rPr>
            </w:pPr>
            <w:r w:rsidRPr="009329AB">
              <w:rPr>
                <w:rFonts w:ascii="Times New Roman" w:hAnsi="Times New Roman"/>
              </w:rPr>
              <w:t>0</w:t>
            </w:r>
          </w:p>
        </w:tc>
        <w:tc>
          <w:tcPr>
            <w:tcW w:w="826" w:type="dxa"/>
            <w:vAlign w:val="center"/>
          </w:tcPr>
          <w:p w14:paraId="11865984" w14:textId="241EB81A" w:rsidR="005C3C72" w:rsidRPr="009329AB" w:rsidRDefault="005C3C72" w:rsidP="005C3C72">
            <w:pPr>
              <w:jc w:val="center"/>
              <w:rPr>
                <w:rFonts w:ascii="Times New Roman" w:hAnsi="Times New Roman"/>
              </w:rPr>
            </w:pPr>
            <w:r w:rsidRPr="009329AB">
              <w:rPr>
                <w:rFonts w:ascii="Times New Roman" w:hAnsi="Times New Roman"/>
              </w:rPr>
              <w:t>0</w:t>
            </w:r>
          </w:p>
        </w:tc>
        <w:tc>
          <w:tcPr>
            <w:tcW w:w="1166" w:type="dxa"/>
            <w:vAlign w:val="center"/>
          </w:tcPr>
          <w:p w14:paraId="19780B5E" w14:textId="4AAFA997" w:rsidR="005C3C72" w:rsidRPr="009329AB" w:rsidRDefault="003461CB" w:rsidP="005C3C72">
            <w:pPr>
              <w:jc w:val="center"/>
              <w:rPr>
                <w:rFonts w:ascii="Times New Roman" w:eastAsia="Times New Roman" w:hAnsi="Times New Roman"/>
                <w:color w:val="000000" w:themeColor="text1"/>
                <w:lang w:eastAsia="lv-LV"/>
              </w:rPr>
            </w:pPr>
            <w:r w:rsidRPr="009329AB">
              <w:rPr>
                <w:rFonts w:ascii="Times New Roman" w:hAnsi="Times New Roman"/>
              </w:rPr>
              <w:t>463 620</w:t>
            </w:r>
          </w:p>
        </w:tc>
        <w:tc>
          <w:tcPr>
            <w:tcW w:w="798" w:type="dxa"/>
            <w:gridSpan w:val="2"/>
            <w:vAlign w:val="center"/>
          </w:tcPr>
          <w:p w14:paraId="36942D7E" w14:textId="524D86B7" w:rsidR="005C3C72" w:rsidRPr="009329AB" w:rsidRDefault="005C3C72" w:rsidP="005C3C72">
            <w:pPr>
              <w:jc w:val="center"/>
              <w:rPr>
                <w:rFonts w:ascii="Times New Roman" w:hAnsi="Times New Roman"/>
              </w:rPr>
            </w:pPr>
            <w:r w:rsidRPr="009329AB">
              <w:rPr>
                <w:rFonts w:ascii="Times New Roman" w:hAnsi="Times New Roman"/>
              </w:rPr>
              <w:t>10 666</w:t>
            </w:r>
          </w:p>
        </w:tc>
        <w:tc>
          <w:tcPr>
            <w:tcW w:w="766" w:type="dxa"/>
            <w:vAlign w:val="center"/>
          </w:tcPr>
          <w:p w14:paraId="2D58DA02" w14:textId="075E9382" w:rsidR="005C3C72" w:rsidRPr="009329AB" w:rsidRDefault="005C3C72" w:rsidP="005C3C72">
            <w:pPr>
              <w:jc w:val="center"/>
              <w:rPr>
                <w:rFonts w:ascii="Times New Roman" w:hAnsi="Times New Roman"/>
              </w:rPr>
            </w:pPr>
            <w:r w:rsidRPr="009329AB">
              <w:rPr>
                <w:rFonts w:ascii="Times New Roman" w:hAnsi="Times New Roman"/>
              </w:rPr>
              <w:t>10</w:t>
            </w:r>
            <w:r w:rsidRPr="009329AB">
              <w:rPr>
                <w:rFonts w:ascii="Times New Roman" w:hAnsi="Times New Roman"/>
              </w:rPr>
              <w:t xml:space="preserve"> </w:t>
            </w:r>
            <w:r w:rsidRPr="009329AB">
              <w:rPr>
                <w:rFonts w:ascii="Times New Roman" w:hAnsi="Times New Roman"/>
              </w:rPr>
              <w:t>666</w:t>
            </w:r>
          </w:p>
        </w:tc>
        <w:tc>
          <w:tcPr>
            <w:tcW w:w="766" w:type="dxa"/>
            <w:vAlign w:val="center"/>
          </w:tcPr>
          <w:p w14:paraId="44B055CB" w14:textId="03FFCCC0" w:rsidR="005C3C72" w:rsidRPr="009329AB" w:rsidRDefault="005C3C72" w:rsidP="005C3C72">
            <w:pPr>
              <w:jc w:val="center"/>
              <w:rPr>
                <w:rFonts w:ascii="Times New Roman" w:hAnsi="Times New Roman"/>
              </w:rPr>
            </w:pPr>
            <w:r w:rsidRPr="009329AB">
              <w:rPr>
                <w:rFonts w:ascii="Times New Roman" w:hAnsi="Times New Roman"/>
              </w:rPr>
              <w:t>10</w:t>
            </w:r>
            <w:r w:rsidRPr="009329AB">
              <w:rPr>
                <w:rFonts w:ascii="Times New Roman" w:hAnsi="Times New Roman"/>
              </w:rPr>
              <w:t xml:space="preserve"> </w:t>
            </w:r>
            <w:r w:rsidRPr="009329AB">
              <w:rPr>
                <w:rFonts w:ascii="Times New Roman" w:hAnsi="Times New Roman"/>
              </w:rPr>
              <w:t>666</w:t>
            </w:r>
          </w:p>
        </w:tc>
        <w:tc>
          <w:tcPr>
            <w:tcW w:w="776" w:type="dxa"/>
            <w:gridSpan w:val="2"/>
            <w:vAlign w:val="center"/>
          </w:tcPr>
          <w:p w14:paraId="284184CE" w14:textId="0F7A7BB0" w:rsidR="005C3C72" w:rsidRPr="009329AB" w:rsidRDefault="005C3C72" w:rsidP="005C3C72">
            <w:pPr>
              <w:jc w:val="center"/>
              <w:rPr>
                <w:rFonts w:ascii="Times New Roman" w:hAnsi="Times New Roman"/>
              </w:rPr>
            </w:pPr>
            <w:r w:rsidRPr="009329AB">
              <w:rPr>
                <w:rFonts w:ascii="Times New Roman" w:hAnsi="Times New Roman"/>
              </w:rPr>
              <w:t>0</w:t>
            </w:r>
          </w:p>
        </w:tc>
        <w:tc>
          <w:tcPr>
            <w:tcW w:w="811" w:type="dxa"/>
            <w:vAlign w:val="center"/>
          </w:tcPr>
          <w:p w14:paraId="6FF5F5D2" w14:textId="68E7CD5A" w:rsidR="005C3C72" w:rsidRPr="009329AB" w:rsidRDefault="005C3C72" w:rsidP="005C3C72">
            <w:pPr>
              <w:jc w:val="center"/>
              <w:rPr>
                <w:rFonts w:ascii="Times New Roman" w:hAnsi="Times New Roman"/>
              </w:rPr>
            </w:pPr>
            <w:r w:rsidRPr="009329AB">
              <w:rPr>
                <w:rFonts w:ascii="Times New Roman" w:hAnsi="Times New Roman"/>
              </w:rPr>
              <w:t>0</w:t>
            </w:r>
          </w:p>
        </w:tc>
        <w:tc>
          <w:tcPr>
            <w:tcW w:w="992" w:type="dxa"/>
            <w:vAlign w:val="center"/>
          </w:tcPr>
          <w:p w14:paraId="3BD82922" w14:textId="17072071" w:rsidR="005C3C72" w:rsidRPr="009329AB" w:rsidRDefault="005C3C72" w:rsidP="005C3C72">
            <w:pPr>
              <w:jc w:val="center"/>
              <w:rPr>
                <w:rFonts w:ascii="Times New Roman" w:eastAsia="Times New Roman" w:hAnsi="Times New Roman"/>
                <w:color w:val="000000" w:themeColor="text1"/>
                <w:lang w:eastAsia="lv-LV"/>
              </w:rPr>
            </w:pPr>
            <w:r w:rsidRPr="009329AB">
              <w:rPr>
                <w:rFonts w:ascii="Times New Roman" w:hAnsi="Times New Roman"/>
              </w:rPr>
              <w:t xml:space="preserve">11 </w:t>
            </w:r>
            <w:r w:rsidR="003461CB" w:rsidRPr="009329AB">
              <w:rPr>
                <w:rFonts w:ascii="Times New Roman" w:hAnsi="Times New Roman"/>
              </w:rPr>
              <w:t>464</w:t>
            </w:r>
          </w:p>
        </w:tc>
      </w:tr>
      <w:tr w:rsidR="00A7425A" w14:paraId="05656EFB" w14:textId="77777777" w:rsidTr="00700D4E">
        <w:trPr>
          <w:gridAfter w:val="1"/>
          <w:wAfter w:w="13" w:type="dxa"/>
        </w:trPr>
        <w:tc>
          <w:tcPr>
            <w:tcW w:w="316" w:type="dxa"/>
          </w:tcPr>
          <w:p w14:paraId="0952C9A1" w14:textId="014DE0E7" w:rsidR="00287DC0" w:rsidRPr="00CD7DB3" w:rsidRDefault="00287DC0" w:rsidP="000F7607">
            <w:pPr>
              <w:jc w:val="both"/>
              <w:rPr>
                <w:rFonts w:ascii="Times New Roman" w:hAnsi="Times New Roman"/>
                <w:b/>
                <w:bCs/>
              </w:rPr>
            </w:pPr>
            <w:r w:rsidRPr="00CD7DB3">
              <w:rPr>
                <w:rFonts w:ascii="Times New Roman" w:hAnsi="Times New Roman"/>
                <w:b/>
                <w:bCs/>
              </w:rPr>
              <w:t>6</w:t>
            </w:r>
          </w:p>
        </w:tc>
        <w:tc>
          <w:tcPr>
            <w:tcW w:w="1805" w:type="dxa"/>
          </w:tcPr>
          <w:p w14:paraId="480DE507" w14:textId="23B9AC3A" w:rsidR="00287DC0" w:rsidRPr="00CD7DB3" w:rsidRDefault="00287DC0" w:rsidP="000F7607">
            <w:pPr>
              <w:jc w:val="both"/>
              <w:rPr>
                <w:rFonts w:ascii="Times New Roman" w:hAnsi="Times New Roman"/>
              </w:rPr>
            </w:pPr>
            <w:r w:rsidRPr="00CD7DB3">
              <w:rPr>
                <w:rFonts w:ascii="Times New Roman" w:hAnsi="Times New Roman"/>
              </w:rPr>
              <w:t>Pacientu, kuriem noteikts medicīniska rakstura piespiedu līdzeklis – ambulatora ārstēšana medicīnas iestādē, līdzestības palielināšana (kompenācija 100% apmērā)</w:t>
            </w:r>
          </w:p>
        </w:tc>
        <w:tc>
          <w:tcPr>
            <w:tcW w:w="1105" w:type="dxa"/>
            <w:vAlign w:val="center"/>
          </w:tcPr>
          <w:p w14:paraId="58181894" w14:textId="2510EA4A" w:rsidR="00287DC0" w:rsidRPr="00CD7DB3" w:rsidRDefault="00287DC0" w:rsidP="000F7607">
            <w:pPr>
              <w:jc w:val="center"/>
              <w:rPr>
                <w:rFonts w:ascii="Times New Roman" w:hAnsi="Times New Roman"/>
              </w:rPr>
            </w:pPr>
            <w:r w:rsidRPr="00CD7DB3">
              <w:rPr>
                <w:rFonts w:ascii="Times New Roman" w:hAnsi="Times New Roman"/>
              </w:rPr>
              <w:t>80</w:t>
            </w:r>
          </w:p>
        </w:tc>
        <w:tc>
          <w:tcPr>
            <w:tcW w:w="866" w:type="dxa"/>
            <w:vAlign w:val="center"/>
          </w:tcPr>
          <w:p w14:paraId="7D3B7335" w14:textId="49898A06" w:rsidR="00287DC0" w:rsidRPr="00CD7DB3" w:rsidRDefault="00287DC0" w:rsidP="000F7607">
            <w:pPr>
              <w:jc w:val="center"/>
              <w:rPr>
                <w:rFonts w:ascii="Times New Roman" w:hAnsi="Times New Roman"/>
              </w:rPr>
            </w:pPr>
            <w:r>
              <w:rPr>
                <w:rFonts w:ascii="Times New Roman" w:hAnsi="Times New Roman"/>
              </w:rPr>
              <w:t>0</w:t>
            </w:r>
          </w:p>
        </w:tc>
        <w:tc>
          <w:tcPr>
            <w:tcW w:w="866" w:type="dxa"/>
            <w:vAlign w:val="center"/>
          </w:tcPr>
          <w:p w14:paraId="2F73DA35" w14:textId="17DFBBFC" w:rsidR="00287DC0" w:rsidRPr="00CD7DB3" w:rsidRDefault="00287DC0" w:rsidP="000F7607">
            <w:pPr>
              <w:jc w:val="center"/>
              <w:rPr>
                <w:rFonts w:ascii="Times New Roman" w:hAnsi="Times New Roman"/>
              </w:rPr>
            </w:pPr>
            <w:r w:rsidRPr="00CD7DB3">
              <w:rPr>
                <w:rFonts w:ascii="Times New Roman" w:hAnsi="Times New Roman"/>
              </w:rPr>
              <w:t>0</w:t>
            </w:r>
          </w:p>
        </w:tc>
        <w:tc>
          <w:tcPr>
            <w:tcW w:w="866" w:type="dxa"/>
            <w:vAlign w:val="center"/>
          </w:tcPr>
          <w:p w14:paraId="0A86E113" w14:textId="2BCB38BB" w:rsidR="00287DC0" w:rsidRPr="00CD7DB3" w:rsidRDefault="00287DC0" w:rsidP="000F7607">
            <w:pPr>
              <w:jc w:val="center"/>
              <w:rPr>
                <w:rFonts w:ascii="Times New Roman" w:hAnsi="Times New Roman"/>
              </w:rPr>
            </w:pPr>
            <w:r w:rsidRPr="00CD7DB3">
              <w:rPr>
                <w:rFonts w:ascii="Times New Roman" w:hAnsi="Times New Roman"/>
              </w:rPr>
              <w:t>0</w:t>
            </w:r>
          </w:p>
        </w:tc>
        <w:tc>
          <w:tcPr>
            <w:tcW w:w="716" w:type="dxa"/>
            <w:vAlign w:val="center"/>
          </w:tcPr>
          <w:p w14:paraId="0625B4B4" w14:textId="55F247FB" w:rsidR="00287DC0" w:rsidRPr="00CD7DB3" w:rsidRDefault="00287DC0" w:rsidP="000F7607">
            <w:pPr>
              <w:jc w:val="center"/>
              <w:rPr>
                <w:rFonts w:ascii="Times New Roman" w:hAnsi="Times New Roman"/>
              </w:rPr>
            </w:pPr>
            <w:r>
              <w:rPr>
                <w:rFonts w:ascii="Times New Roman" w:hAnsi="Times New Roman"/>
              </w:rPr>
              <w:t>0</w:t>
            </w:r>
          </w:p>
        </w:tc>
        <w:tc>
          <w:tcPr>
            <w:tcW w:w="826" w:type="dxa"/>
            <w:vAlign w:val="center"/>
          </w:tcPr>
          <w:p w14:paraId="22F50B45" w14:textId="1975C424" w:rsidR="00287DC0" w:rsidRPr="00CD7DB3" w:rsidRDefault="00287DC0" w:rsidP="000F7607">
            <w:pPr>
              <w:jc w:val="center"/>
              <w:rPr>
                <w:rFonts w:ascii="Times New Roman" w:hAnsi="Times New Roman"/>
              </w:rPr>
            </w:pPr>
            <w:r>
              <w:rPr>
                <w:rFonts w:ascii="Times New Roman" w:hAnsi="Times New Roman"/>
              </w:rPr>
              <w:t>0</w:t>
            </w:r>
          </w:p>
        </w:tc>
        <w:tc>
          <w:tcPr>
            <w:tcW w:w="1166" w:type="dxa"/>
            <w:vAlign w:val="center"/>
          </w:tcPr>
          <w:p w14:paraId="737543C1" w14:textId="4D71B08F" w:rsidR="00287DC0" w:rsidRPr="009329AB" w:rsidRDefault="00287DC0" w:rsidP="000F7607">
            <w:pPr>
              <w:jc w:val="center"/>
              <w:rPr>
                <w:rFonts w:ascii="Times New Roman" w:hAnsi="Times New Roman"/>
              </w:rPr>
            </w:pPr>
            <w:r w:rsidRPr="009329AB">
              <w:rPr>
                <w:rFonts w:ascii="Times New Roman" w:hAnsi="Times New Roman"/>
              </w:rPr>
              <w:t>4</w:t>
            </w:r>
            <w:r w:rsidR="009507A7" w:rsidRPr="009329AB">
              <w:rPr>
                <w:rFonts w:ascii="Times New Roman" w:hAnsi="Times New Roman"/>
              </w:rPr>
              <w:t xml:space="preserve"> </w:t>
            </w:r>
            <w:r w:rsidRPr="009329AB">
              <w:rPr>
                <w:rFonts w:ascii="Times New Roman" w:hAnsi="Times New Roman"/>
              </w:rPr>
              <w:t>000</w:t>
            </w:r>
          </w:p>
        </w:tc>
        <w:tc>
          <w:tcPr>
            <w:tcW w:w="798" w:type="dxa"/>
            <w:gridSpan w:val="2"/>
            <w:vAlign w:val="center"/>
          </w:tcPr>
          <w:p w14:paraId="7E81D6C1" w14:textId="4AC05D25" w:rsidR="00287DC0" w:rsidRPr="009329AB" w:rsidRDefault="00287DC0" w:rsidP="000F7607">
            <w:pPr>
              <w:jc w:val="center"/>
              <w:rPr>
                <w:rFonts w:ascii="Times New Roman" w:hAnsi="Times New Roman"/>
              </w:rPr>
            </w:pPr>
            <w:r w:rsidRPr="009329AB">
              <w:rPr>
                <w:rFonts w:ascii="Times New Roman" w:hAnsi="Times New Roman"/>
              </w:rPr>
              <w:t>0</w:t>
            </w:r>
          </w:p>
        </w:tc>
        <w:tc>
          <w:tcPr>
            <w:tcW w:w="766" w:type="dxa"/>
            <w:vAlign w:val="center"/>
          </w:tcPr>
          <w:p w14:paraId="74B5499B" w14:textId="6DA2180F" w:rsidR="00287DC0" w:rsidRPr="009329AB" w:rsidRDefault="00287DC0" w:rsidP="000F7607">
            <w:pPr>
              <w:jc w:val="center"/>
              <w:rPr>
                <w:rFonts w:ascii="Times New Roman" w:hAnsi="Times New Roman"/>
              </w:rPr>
            </w:pPr>
            <w:r w:rsidRPr="009329AB">
              <w:rPr>
                <w:rFonts w:ascii="Times New Roman" w:hAnsi="Times New Roman"/>
              </w:rPr>
              <w:t>0</w:t>
            </w:r>
          </w:p>
        </w:tc>
        <w:tc>
          <w:tcPr>
            <w:tcW w:w="766" w:type="dxa"/>
            <w:vAlign w:val="center"/>
          </w:tcPr>
          <w:p w14:paraId="69D5C14F" w14:textId="7B69C397" w:rsidR="00287DC0" w:rsidRPr="009329AB" w:rsidRDefault="00287DC0" w:rsidP="000F7607">
            <w:pPr>
              <w:jc w:val="center"/>
              <w:rPr>
                <w:rFonts w:ascii="Times New Roman" w:hAnsi="Times New Roman"/>
              </w:rPr>
            </w:pPr>
            <w:r w:rsidRPr="009329AB">
              <w:rPr>
                <w:rFonts w:ascii="Times New Roman" w:hAnsi="Times New Roman"/>
              </w:rPr>
              <w:t>0</w:t>
            </w:r>
          </w:p>
        </w:tc>
        <w:tc>
          <w:tcPr>
            <w:tcW w:w="776" w:type="dxa"/>
            <w:gridSpan w:val="2"/>
            <w:vAlign w:val="center"/>
          </w:tcPr>
          <w:p w14:paraId="69800595" w14:textId="350B2B2C" w:rsidR="00287DC0" w:rsidRPr="00CD7DB3" w:rsidRDefault="00287DC0" w:rsidP="000F7607">
            <w:pPr>
              <w:jc w:val="center"/>
              <w:rPr>
                <w:rFonts w:ascii="Times New Roman" w:hAnsi="Times New Roman"/>
              </w:rPr>
            </w:pPr>
            <w:r>
              <w:rPr>
                <w:rFonts w:ascii="Times New Roman" w:hAnsi="Times New Roman"/>
              </w:rPr>
              <w:t>0</w:t>
            </w:r>
          </w:p>
        </w:tc>
        <w:tc>
          <w:tcPr>
            <w:tcW w:w="811" w:type="dxa"/>
            <w:vAlign w:val="center"/>
          </w:tcPr>
          <w:p w14:paraId="5A04EBE6" w14:textId="5C5E9F1E" w:rsidR="00287DC0" w:rsidRPr="00CD7DB3" w:rsidRDefault="00287DC0" w:rsidP="000F7607">
            <w:pPr>
              <w:jc w:val="center"/>
              <w:rPr>
                <w:rFonts w:ascii="Times New Roman" w:hAnsi="Times New Roman"/>
              </w:rPr>
            </w:pPr>
            <w:r>
              <w:rPr>
                <w:rFonts w:ascii="Times New Roman" w:hAnsi="Times New Roman"/>
              </w:rPr>
              <w:t>0</w:t>
            </w:r>
          </w:p>
        </w:tc>
        <w:tc>
          <w:tcPr>
            <w:tcW w:w="992" w:type="dxa"/>
            <w:vAlign w:val="center"/>
          </w:tcPr>
          <w:p w14:paraId="4865D33C" w14:textId="49E46509" w:rsidR="00287DC0" w:rsidRPr="00CD7DB3" w:rsidRDefault="00287DC0" w:rsidP="000F7607">
            <w:pPr>
              <w:jc w:val="center"/>
              <w:rPr>
                <w:rFonts w:ascii="Times New Roman" w:hAnsi="Times New Roman"/>
              </w:rPr>
            </w:pPr>
            <w:r w:rsidRPr="00CD7DB3">
              <w:rPr>
                <w:rFonts w:ascii="Times New Roman" w:hAnsi="Times New Roman"/>
              </w:rPr>
              <w:t>50</w:t>
            </w:r>
          </w:p>
        </w:tc>
      </w:tr>
      <w:tr w:rsidR="00A7425A" w14:paraId="28536F84" w14:textId="77777777" w:rsidTr="00700D4E">
        <w:trPr>
          <w:gridAfter w:val="1"/>
          <w:wAfter w:w="13" w:type="dxa"/>
        </w:trPr>
        <w:tc>
          <w:tcPr>
            <w:tcW w:w="316" w:type="dxa"/>
          </w:tcPr>
          <w:p w14:paraId="7D9A50A1" w14:textId="77777777" w:rsidR="00287DC0" w:rsidRPr="00CD7DB3" w:rsidRDefault="00287DC0" w:rsidP="000F7607">
            <w:pPr>
              <w:jc w:val="both"/>
              <w:rPr>
                <w:rFonts w:ascii="Times New Roman" w:hAnsi="Times New Roman"/>
                <w:b/>
                <w:bCs/>
              </w:rPr>
            </w:pPr>
          </w:p>
        </w:tc>
        <w:tc>
          <w:tcPr>
            <w:tcW w:w="1805" w:type="dxa"/>
          </w:tcPr>
          <w:p w14:paraId="241423F4" w14:textId="4A952DF5" w:rsidR="00287DC0" w:rsidRPr="00CD7DB3" w:rsidRDefault="00287DC0" w:rsidP="000F7607">
            <w:pPr>
              <w:jc w:val="both"/>
              <w:rPr>
                <w:rFonts w:ascii="Times New Roman" w:hAnsi="Times New Roman"/>
              </w:rPr>
            </w:pPr>
            <w:r w:rsidRPr="00CD7DB3">
              <w:rPr>
                <w:rFonts w:ascii="Times New Roman" w:hAnsi="Times New Roman"/>
                <w:b/>
                <w:bCs/>
              </w:rPr>
              <w:t>KOPĀ</w:t>
            </w:r>
          </w:p>
        </w:tc>
        <w:tc>
          <w:tcPr>
            <w:tcW w:w="1105" w:type="dxa"/>
            <w:vAlign w:val="center"/>
          </w:tcPr>
          <w:p w14:paraId="33B41E09" w14:textId="77777777" w:rsidR="00287DC0" w:rsidRPr="00CD7DB3" w:rsidRDefault="00287DC0" w:rsidP="000F7607">
            <w:pPr>
              <w:jc w:val="center"/>
              <w:rPr>
                <w:rFonts w:ascii="Times New Roman" w:hAnsi="Times New Roman"/>
              </w:rPr>
            </w:pPr>
          </w:p>
        </w:tc>
        <w:tc>
          <w:tcPr>
            <w:tcW w:w="866" w:type="dxa"/>
            <w:vAlign w:val="center"/>
          </w:tcPr>
          <w:p w14:paraId="10ACE27F" w14:textId="77777777" w:rsidR="00287DC0" w:rsidRPr="00CD7DB3" w:rsidRDefault="00287DC0" w:rsidP="000F7607">
            <w:pPr>
              <w:jc w:val="center"/>
              <w:rPr>
                <w:rFonts w:ascii="Times New Roman" w:hAnsi="Times New Roman"/>
              </w:rPr>
            </w:pPr>
          </w:p>
        </w:tc>
        <w:tc>
          <w:tcPr>
            <w:tcW w:w="866" w:type="dxa"/>
            <w:vAlign w:val="center"/>
          </w:tcPr>
          <w:p w14:paraId="1FF1034F" w14:textId="6CBFAF16" w:rsidR="00287DC0" w:rsidRPr="00CD7DB3" w:rsidRDefault="00287DC0" w:rsidP="000F7607">
            <w:pPr>
              <w:jc w:val="center"/>
              <w:rPr>
                <w:rFonts w:ascii="Times New Roman" w:hAnsi="Times New Roman"/>
              </w:rPr>
            </w:pPr>
          </w:p>
        </w:tc>
        <w:tc>
          <w:tcPr>
            <w:tcW w:w="866" w:type="dxa"/>
            <w:vAlign w:val="center"/>
          </w:tcPr>
          <w:p w14:paraId="7C189E79" w14:textId="77777777" w:rsidR="00287DC0" w:rsidRPr="00CD7DB3" w:rsidRDefault="00287DC0" w:rsidP="000F7607">
            <w:pPr>
              <w:jc w:val="center"/>
              <w:rPr>
                <w:rFonts w:ascii="Times New Roman" w:hAnsi="Times New Roman"/>
              </w:rPr>
            </w:pPr>
          </w:p>
        </w:tc>
        <w:tc>
          <w:tcPr>
            <w:tcW w:w="716" w:type="dxa"/>
            <w:vAlign w:val="center"/>
          </w:tcPr>
          <w:p w14:paraId="505ED4AD" w14:textId="77777777" w:rsidR="00287DC0" w:rsidRPr="00CD7DB3" w:rsidRDefault="00287DC0" w:rsidP="000F7607">
            <w:pPr>
              <w:jc w:val="center"/>
              <w:rPr>
                <w:rFonts w:ascii="Times New Roman" w:hAnsi="Times New Roman"/>
                <w:b/>
                <w:bCs/>
              </w:rPr>
            </w:pPr>
          </w:p>
        </w:tc>
        <w:tc>
          <w:tcPr>
            <w:tcW w:w="826" w:type="dxa"/>
            <w:vAlign w:val="center"/>
          </w:tcPr>
          <w:p w14:paraId="72B9BA8A" w14:textId="6F92088C" w:rsidR="00287DC0" w:rsidRPr="00CD7DB3" w:rsidRDefault="00287DC0" w:rsidP="000F7607">
            <w:pPr>
              <w:jc w:val="center"/>
              <w:rPr>
                <w:rFonts w:ascii="Times New Roman" w:hAnsi="Times New Roman"/>
                <w:b/>
                <w:bCs/>
              </w:rPr>
            </w:pPr>
          </w:p>
        </w:tc>
        <w:tc>
          <w:tcPr>
            <w:tcW w:w="1166" w:type="dxa"/>
            <w:vAlign w:val="center"/>
          </w:tcPr>
          <w:p w14:paraId="578491AD" w14:textId="260F684E" w:rsidR="00287DC0" w:rsidRPr="009329AB" w:rsidRDefault="005606E5" w:rsidP="000F7607">
            <w:pPr>
              <w:jc w:val="center"/>
              <w:rPr>
                <w:rFonts w:ascii="Times New Roman" w:hAnsi="Times New Roman"/>
              </w:rPr>
            </w:pPr>
            <w:r w:rsidRPr="009329AB">
              <w:rPr>
                <w:rFonts w:ascii="Times New Roman" w:hAnsi="Times New Roman"/>
                <w:b/>
                <w:bCs/>
              </w:rPr>
              <w:t>1 242 5</w:t>
            </w:r>
            <w:r w:rsidR="003461CB" w:rsidRPr="009329AB">
              <w:rPr>
                <w:rFonts w:ascii="Times New Roman" w:hAnsi="Times New Roman"/>
                <w:b/>
                <w:bCs/>
              </w:rPr>
              <w:t>67</w:t>
            </w:r>
          </w:p>
        </w:tc>
        <w:tc>
          <w:tcPr>
            <w:tcW w:w="798" w:type="dxa"/>
            <w:gridSpan w:val="2"/>
            <w:vAlign w:val="center"/>
          </w:tcPr>
          <w:p w14:paraId="0B8FB412" w14:textId="77777777" w:rsidR="00287DC0" w:rsidRPr="009329AB" w:rsidRDefault="00287DC0" w:rsidP="000F7607">
            <w:pPr>
              <w:jc w:val="center"/>
              <w:rPr>
                <w:rFonts w:ascii="Times New Roman" w:hAnsi="Times New Roman"/>
              </w:rPr>
            </w:pPr>
          </w:p>
        </w:tc>
        <w:tc>
          <w:tcPr>
            <w:tcW w:w="766" w:type="dxa"/>
            <w:vAlign w:val="center"/>
          </w:tcPr>
          <w:p w14:paraId="13D56E4B" w14:textId="5618AC1D" w:rsidR="00287DC0" w:rsidRPr="009329AB" w:rsidRDefault="00287DC0" w:rsidP="000F7607">
            <w:pPr>
              <w:jc w:val="center"/>
              <w:rPr>
                <w:rFonts w:ascii="Times New Roman" w:hAnsi="Times New Roman"/>
              </w:rPr>
            </w:pPr>
          </w:p>
        </w:tc>
        <w:tc>
          <w:tcPr>
            <w:tcW w:w="766" w:type="dxa"/>
            <w:vAlign w:val="center"/>
          </w:tcPr>
          <w:p w14:paraId="7DF501EB" w14:textId="77777777" w:rsidR="00287DC0" w:rsidRPr="009329AB" w:rsidRDefault="00287DC0" w:rsidP="000F7607">
            <w:pPr>
              <w:jc w:val="center"/>
              <w:rPr>
                <w:rFonts w:ascii="Times New Roman" w:hAnsi="Times New Roman"/>
              </w:rPr>
            </w:pPr>
          </w:p>
        </w:tc>
        <w:tc>
          <w:tcPr>
            <w:tcW w:w="776" w:type="dxa"/>
            <w:gridSpan w:val="2"/>
            <w:vAlign w:val="center"/>
          </w:tcPr>
          <w:p w14:paraId="483D4F54" w14:textId="77777777" w:rsidR="00287DC0" w:rsidRPr="00CD7DB3" w:rsidRDefault="00287DC0" w:rsidP="000F7607">
            <w:pPr>
              <w:jc w:val="center"/>
              <w:rPr>
                <w:rFonts w:ascii="Times New Roman" w:hAnsi="Times New Roman"/>
                <w:b/>
                <w:bCs/>
              </w:rPr>
            </w:pPr>
          </w:p>
        </w:tc>
        <w:tc>
          <w:tcPr>
            <w:tcW w:w="811" w:type="dxa"/>
            <w:vAlign w:val="center"/>
          </w:tcPr>
          <w:p w14:paraId="2993577D" w14:textId="77777777" w:rsidR="00287DC0" w:rsidRPr="00CD7DB3" w:rsidRDefault="00287DC0" w:rsidP="000F7607">
            <w:pPr>
              <w:jc w:val="center"/>
              <w:rPr>
                <w:rFonts w:ascii="Times New Roman" w:hAnsi="Times New Roman"/>
                <w:b/>
                <w:bCs/>
              </w:rPr>
            </w:pPr>
          </w:p>
        </w:tc>
        <w:tc>
          <w:tcPr>
            <w:tcW w:w="992" w:type="dxa"/>
            <w:vAlign w:val="center"/>
          </w:tcPr>
          <w:p w14:paraId="3B5789EF" w14:textId="15A79C34" w:rsidR="00287DC0" w:rsidRPr="00CD7DB3" w:rsidRDefault="00AE040C" w:rsidP="000F7607">
            <w:pPr>
              <w:jc w:val="center"/>
              <w:rPr>
                <w:rFonts w:ascii="Times New Roman" w:hAnsi="Times New Roman"/>
              </w:rPr>
            </w:pPr>
            <w:r>
              <w:rPr>
                <w:rFonts w:ascii="Times New Roman" w:hAnsi="Times New Roman"/>
                <w:b/>
                <w:bCs/>
              </w:rPr>
              <w:t>17 125</w:t>
            </w:r>
          </w:p>
        </w:tc>
      </w:tr>
    </w:tbl>
    <w:p w14:paraId="7196C3E4" w14:textId="589DCB25" w:rsidR="7B651614" w:rsidRDefault="7B651614" w:rsidP="009A7F4C">
      <w:pPr>
        <w:spacing w:after="0"/>
        <w:jc w:val="right"/>
        <w:rPr>
          <w:rFonts w:ascii="Times New Roman" w:hAnsi="Times New Roman" w:cs="Times New Roman"/>
          <w:i/>
          <w:iCs/>
          <w:sz w:val="24"/>
          <w:szCs w:val="24"/>
        </w:rPr>
      </w:pPr>
    </w:p>
    <w:p w14:paraId="553475A0" w14:textId="6DC4B615" w:rsidR="00181418" w:rsidRDefault="004818D5" w:rsidP="009A7F4C">
      <w:pPr>
        <w:spacing w:after="120"/>
        <w:ind w:firstLine="720"/>
        <w:jc w:val="both"/>
        <w:rPr>
          <w:rFonts w:ascii="Times New Roman" w:hAnsi="Times New Roman" w:cs="Times New Roman"/>
          <w:sz w:val="24"/>
          <w:szCs w:val="24"/>
          <w:lang w:eastAsia="lv-LV"/>
        </w:rPr>
      </w:pPr>
      <w:r w:rsidRPr="00D41D5A">
        <w:rPr>
          <w:rFonts w:ascii="Times New Roman" w:hAnsi="Times New Roman" w:cs="Times New Roman"/>
          <w:sz w:val="24"/>
          <w:szCs w:val="24"/>
          <w:lang w:eastAsia="lv-LV"/>
        </w:rPr>
        <w:lastRenderedPageBreak/>
        <w:t>Reformas rezultātā</w:t>
      </w:r>
      <w:r>
        <w:rPr>
          <w:rFonts w:ascii="Times New Roman" w:hAnsi="Times New Roman" w:cs="Times New Roman"/>
          <w:sz w:val="24"/>
          <w:szCs w:val="24"/>
          <w:lang w:eastAsia="lv-LV"/>
        </w:rPr>
        <w:t xml:space="preserve"> tiks nodrošinātas </w:t>
      </w:r>
      <w:r w:rsidRPr="004F69B6">
        <w:rPr>
          <w:rFonts w:ascii="Times New Roman" w:hAnsi="Times New Roman" w:cs="Times New Roman"/>
          <w:sz w:val="24"/>
          <w:szCs w:val="24"/>
          <w:lang w:eastAsia="lv-LV"/>
        </w:rPr>
        <w:t xml:space="preserve">zāles </w:t>
      </w:r>
      <w:r w:rsidR="005606E5">
        <w:rPr>
          <w:rFonts w:ascii="Times New Roman" w:hAnsi="Times New Roman" w:cs="Times New Roman"/>
          <w:b/>
          <w:bCs/>
          <w:sz w:val="24"/>
          <w:szCs w:val="24"/>
          <w:lang w:eastAsia="lv-LV"/>
        </w:rPr>
        <w:t>3 3</w:t>
      </w:r>
      <w:r w:rsidR="00F0234E">
        <w:rPr>
          <w:rFonts w:ascii="Times New Roman" w:hAnsi="Times New Roman" w:cs="Times New Roman"/>
          <w:b/>
          <w:bCs/>
          <w:sz w:val="24"/>
          <w:szCs w:val="24"/>
          <w:lang w:eastAsia="lv-LV"/>
        </w:rPr>
        <w:t>69</w:t>
      </w:r>
      <w:r w:rsidRPr="004F69B6">
        <w:rPr>
          <w:rFonts w:ascii="Times New Roman" w:hAnsi="Times New Roman" w:cs="Times New Roman"/>
          <w:sz w:val="24"/>
          <w:szCs w:val="24"/>
          <w:lang w:eastAsia="lv-LV"/>
        </w:rPr>
        <w:t xml:space="preserve"> jauniem pacientiem psihisko un uzvedības traucējumu grupā, kā arī uzlabots stāvoklis </w:t>
      </w:r>
      <w:r w:rsidRPr="00E12849">
        <w:rPr>
          <w:rFonts w:ascii="Times New Roman" w:hAnsi="Times New Roman" w:cs="Times New Roman"/>
          <w:b/>
          <w:bCs/>
          <w:sz w:val="24"/>
          <w:szCs w:val="24"/>
          <w:lang w:eastAsia="lv-LV"/>
        </w:rPr>
        <w:t>1</w:t>
      </w:r>
      <w:r w:rsidR="00AE040C">
        <w:rPr>
          <w:rFonts w:ascii="Times New Roman" w:hAnsi="Times New Roman" w:cs="Times New Roman"/>
          <w:b/>
          <w:bCs/>
          <w:sz w:val="24"/>
          <w:szCs w:val="24"/>
          <w:lang w:eastAsia="lv-LV"/>
        </w:rPr>
        <w:t>3 756</w:t>
      </w:r>
      <w:r w:rsidRPr="004F69B6">
        <w:rPr>
          <w:rFonts w:ascii="Times New Roman" w:hAnsi="Times New Roman" w:cs="Times New Roman"/>
          <w:sz w:val="24"/>
          <w:szCs w:val="24"/>
          <w:lang w:eastAsia="lv-LV"/>
        </w:rPr>
        <w:t xml:space="preserve"> pacientiem</w:t>
      </w:r>
      <w:r>
        <w:rPr>
          <w:rFonts w:ascii="Times New Roman" w:hAnsi="Times New Roman" w:cs="Times New Roman"/>
          <w:sz w:val="24"/>
          <w:szCs w:val="24"/>
          <w:lang w:eastAsia="lv-LV"/>
        </w:rPr>
        <w:t>.</w:t>
      </w:r>
    </w:p>
    <w:p w14:paraId="4B35C9FC" w14:textId="5C3C288A" w:rsidR="00DB4412" w:rsidRPr="00E93259" w:rsidRDefault="00DB4412" w:rsidP="00E93259">
      <w:pPr>
        <w:spacing w:after="0" w:line="240" w:lineRule="auto"/>
        <w:ind w:firstLine="709"/>
        <w:jc w:val="both"/>
        <w:rPr>
          <w:rFonts w:ascii="Times New Roman" w:hAnsi="Times New Roman" w:cs="Times New Roman"/>
          <w:b/>
          <w:bCs/>
          <w:sz w:val="24"/>
          <w:szCs w:val="24"/>
        </w:rPr>
      </w:pPr>
      <w:r>
        <w:rPr>
          <w:rFonts w:ascii="Times New Roman" w:eastAsia="Times New Roman" w:hAnsi="Times New Roman" w:cs="Times New Roman"/>
          <w:sz w:val="24"/>
          <w:szCs w:val="24"/>
        </w:rPr>
        <w:t>Indikatīvi nepieciešamais finansējums 2020.gadam</w:t>
      </w:r>
      <w:r w:rsidRPr="002A6ADA">
        <w:rPr>
          <w:rFonts w:ascii="Times New Roman" w:eastAsia="Times New Roman" w:hAnsi="Times New Roman" w:cs="Times New Roman"/>
          <w:b/>
          <w:bCs/>
          <w:sz w:val="24"/>
          <w:szCs w:val="24"/>
        </w:rPr>
        <w:t xml:space="preserve"> </w:t>
      </w:r>
      <w:r w:rsidRPr="00E93259">
        <w:rPr>
          <w:rFonts w:ascii="Times New Roman" w:hAnsi="Times New Roman" w:cs="Times New Roman"/>
          <w:bCs/>
          <w:sz w:val="24"/>
          <w:szCs w:val="24"/>
        </w:rPr>
        <w:t xml:space="preserve">Zāļu kompensācija pacientiem diagnožu grupā “Psihiski un uzvedības traucējumi” </w:t>
      </w:r>
      <w:r w:rsidRPr="00FA733E">
        <w:rPr>
          <w:rFonts w:ascii="Times New Roman" w:eastAsia="Times New Roman" w:hAnsi="Times New Roman" w:cs="Times New Roman"/>
          <w:iCs/>
          <w:sz w:val="24"/>
          <w:szCs w:val="24"/>
        </w:rPr>
        <w:t xml:space="preserve">ir </w:t>
      </w:r>
      <w:r>
        <w:rPr>
          <w:rFonts w:ascii="Times New Roman" w:eastAsia="Times New Roman" w:hAnsi="Times New Roman" w:cs="Times New Roman"/>
          <w:iCs/>
          <w:sz w:val="24"/>
          <w:szCs w:val="24"/>
        </w:rPr>
        <w:t>1 </w:t>
      </w:r>
      <w:r w:rsidR="003447EC">
        <w:rPr>
          <w:rFonts w:ascii="Times New Roman" w:eastAsia="Times New Roman" w:hAnsi="Times New Roman" w:cs="Times New Roman"/>
          <w:iCs/>
          <w:sz w:val="24"/>
          <w:szCs w:val="24"/>
        </w:rPr>
        <w:t>656 7</w:t>
      </w:r>
      <w:r w:rsidR="00F0234E">
        <w:rPr>
          <w:rFonts w:ascii="Times New Roman" w:eastAsia="Times New Roman" w:hAnsi="Times New Roman" w:cs="Times New Roman"/>
          <w:iCs/>
          <w:sz w:val="24"/>
          <w:szCs w:val="24"/>
        </w:rPr>
        <w:t>56</w:t>
      </w:r>
      <w:r>
        <w:rPr>
          <w:rFonts w:ascii="Times New Roman" w:eastAsia="Times New Roman" w:hAnsi="Times New Roman" w:cs="Times New Roman"/>
          <w:iCs/>
          <w:sz w:val="24"/>
          <w:szCs w:val="24"/>
        </w:rPr>
        <w:t xml:space="preserve"> </w:t>
      </w:r>
      <w:r w:rsidRPr="00E93259">
        <w:rPr>
          <w:rFonts w:ascii="Times New Roman" w:eastAsia="Times New Roman" w:hAnsi="Times New Roman" w:cs="Times New Roman"/>
          <w:i/>
          <w:iCs/>
          <w:sz w:val="24"/>
          <w:szCs w:val="24"/>
        </w:rPr>
        <w:t>euro</w:t>
      </w:r>
      <w:r>
        <w:rPr>
          <w:rFonts w:ascii="Times New Roman" w:eastAsia="Times New Roman" w:hAnsi="Times New Roman" w:cs="Times New Roman"/>
          <w:iCs/>
          <w:sz w:val="24"/>
          <w:szCs w:val="24"/>
        </w:rPr>
        <w:t>.</w:t>
      </w:r>
    </w:p>
    <w:p w14:paraId="597BFB7B" w14:textId="77777777" w:rsidR="00D1261D" w:rsidRDefault="00D1261D" w:rsidP="2616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cs="Times New Roman"/>
          <w:i/>
          <w:iCs/>
          <w:sz w:val="24"/>
          <w:szCs w:val="24"/>
        </w:rPr>
        <w:sectPr w:rsidR="00D1261D" w:rsidSect="00E11AFF">
          <w:pgSz w:w="15840" w:h="12240" w:orient="landscape"/>
          <w:pgMar w:top="1701" w:right="1440" w:bottom="1440" w:left="1440" w:header="709" w:footer="709" w:gutter="0"/>
          <w:cols w:space="708"/>
          <w:docGrid w:linePitch="360"/>
        </w:sectPr>
      </w:pPr>
    </w:p>
    <w:p w14:paraId="24E7F151" w14:textId="07E32A0C" w:rsidR="00972B28" w:rsidRPr="00E93259" w:rsidRDefault="00500E42" w:rsidP="2616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cs="Times New Roman"/>
          <w:i/>
          <w:iCs/>
          <w:sz w:val="24"/>
          <w:szCs w:val="24"/>
        </w:rPr>
      </w:pPr>
      <w:r>
        <w:rPr>
          <w:rFonts w:ascii="Times New Roman" w:hAnsi="Times New Roman" w:cs="Times New Roman"/>
          <w:i/>
          <w:iCs/>
          <w:sz w:val="24"/>
          <w:szCs w:val="24"/>
        </w:rPr>
        <w:lastRenderedPageBreak/>
        <w:t>105</w:t>
      </w:r>
      <w:r w:rsidR="00972B28" w:rsidRPr="26166EDA">
        <w:rPr>
          <w:rFonts w:ascii="Times New Roman" w:hAnsi="Times New Roman" w:cs="Times New Roman"/>
          <w:i/>
          <w:iCs/>
          <w:sz w:val="24"/>
          <w:szCs w:val="24"/>
        </w:rPr>
        <w:t>.tabula</w:t>
      </w:r>
    </w:p>
    <w:p w14:paraId="71216672" w14:textId="77777777" w:rsidR="00972B28" w:rsidRPr="005302E8"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cs="Times New Roman"/>
          <w:sz w:val="24"/>
          <w:szCs w:val="24"/>
        </w:rPr>
      </w:pPr>
    </w:p>
    <w:p w14:paraId="29642232" w14:textId="2DE00645" w:rsidR="00972B28" w:rsidRPr="00862ABB"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b/>
          <w:sz w:val="24"/>
          <w:szCs w:val="24"/>
        </w:rPr>
      </w:pPr>
      <w:r w:rsidRPr="00862ABB">
        <w:rPr>
          <w:rFonts w:ascii="Times" w:hAnsi="Times"/>
          <w:b/>
          <w:sz w:val="24"/>
          <w:szCs w:val="24"/>
        </w:rPr>
        <w:t xml:space="preserve">2019.gadā papildus nepieciešamais finansējums psihiskās veselības </w:t>
      </w:r>
      <w:r w:rsidR="00F0694D" w:rsidRPr="00862ABB">
        <w:rPr>
          <w:rFonts w:ascii="Times" w:hAnsi="Times"/>
          <w:b/>
          <w:sz w:val="24"/>
          <w:szCs w:val="24"/>
        </w:rPr>
        <w:t xml:space="preserve">aprūpes </w:t>
      </w:r>
      <w:r w:rsidRPr="00862ABB">
        <w:rPr>
          <w:rFonts w:ascii="Times" w:hAnsi="Times"/>
          <w:b/>
          <w:sz w:val="24"/>
          <w:szCs w:val="24"/>
        </w:rPr>
        <w:t>pieejamības uzlabošanai</w:t>
      </w:r>
    </w:p>
    <w:tbl>
      <w:tblPr>
        <w:tblStyle w:val="TableGrid"/>
        <w:tblW w:w="8359" w:type="dxa"/>
        <w:jc w:val="center"/>
        <w:tblLook w:val="04A0" w:firstRow="1" w:lastRow="0" w:firstColumn="1" w:lastColumn="0" w:noHBand="0" w:noVBand="1"/>
      </w:tblPr>
      <w:tblGrid>
        <w:gridCol w:w="6516"/>
        <w:gridCol w:w="1843"/>
      </w:tblGrid>
      <w:tr w:rsidR="00972B28" w:rsidRPr="005302E8" w14:paraId="658569D5" w14:textId="77777777" w:rsidTr="26166EDA">
        <w:trPr>
          <w:jc w:val="center"/>
        </w:trPr>
        <w:tc>
          <w:tcPr>
            <w:tcW w:w="6516" w:type="dxa"/>
            <w:shd w:val="clear" w:color="auto" w:fill="E36C0A" w:themeFill="accent6" w:themeFillShade="BF"/>
          </w:tcPr>
          <w:p w14:paraId="01809888" w14:textId="77777777" w:rsidR="00972B28" w:rsidRPr="009A7F4C" w:rsidRDefault="00972B28" w:rsidP="00972B28">
            <w:pPr>
              <w:jc w:val="center"/>
              <w:rPr>
                <w:rFonts w:ascii="Times New Roman" w:eastAsia="Times New Roman" w:hAnsi="Times New Roman"/>
                <w:sz w:val="24"/>
                <w:szCs w:val="24"/>
              </w:rPr>
            </w:pPr>
            <w:r w:rsidRPr="009A7F4C">
              <w:rPr>
                <w:rFonts w:ascii="Times New Roman" w:eastAsia="Times New Roman" w:hAnsi="Times New Roman"/>
                <w:sz w:val="24"/>
                <w:szCs w:val="24"/>
              </w:rPr>
              <w:t>Pasākums</w:t>
            </w:r>
          </w:p>
        </w:tc>
        <w:tc>
          <w:tcPr>
            <w:tcW w:w="1843" w:type="dxa"/>
            <w:shd w:val="clear" w:color="auto" w:fill="E36C0A" w:themeFill="accent6" w:themeFillShade="BF"/>
          </w:tcPr>
          <w:p w14:paraId="3D684E02" w14:textId="09EA0F2F" w:rsidR="00972B28" w:rsidRPr="005302E8" w:rsidRDefault="00972B28" w:rsidP="001A1AC0">
            <w:pPr>
              <w:jc w:val="center"/>
              <w:rPr>
                <w:rFonts w:ascii="Times New Roman" w:eastAsia="Times New Roman" w:hAnsi="Times New Roman"/>
              </w:rPr>
            </w:pPr>
            <w:r w:rsidRPr="005302E8">
              <w:rPr>
                <w:rFonts w:ascii="Times New Roman" w:hAnsi="Times New Roman"/>
              </w:rPr>
              <w:t>2019.gadā papildus nepieciešamais finansējums, euro</w:t>
            </w:r>
          </w:p>
        </w:tc>
      </w:tr>
      <w:tr w:rsidR="00272E3D" w:rsidRPr="005302E8" w14:paraId="422BE903" w14:textId="77777777" w:rsidTr="00E93259">
        <w:trPr>
          <w:jc w:val="center"/>
        </w:trPr>
        <w:tc>
          <w:tcPr>
            <w:tcW w:w="6516" w:type="dxa"/>
          </w:tcPr>
          <w:p w14:paraId="4A3A0425" w14:textId="77777777" w:rsidR="00272E3D" w:rsidRPr="005302E8" w:rsidRDefault="00272E3D" w:rsidP="00272E3D">
            <w:pPr>
              <w:tabs>
                <w:tab w:val="left" w:pos="1395"/>
              </w:tabs>
              <w:jc w:val="both"/>
              <w:rPr>
                <w:rFonts w:ascii="Times New Roman" w:eastAsia="Times New Roman" w:hAnsi="Times New Roman"/>
              </w:rPr>
            </w:pPr>
            <w:r w:rsidRPr="005302E8">
              <w:rPr>
                <w:rFonts w:ascii="Times New Roman" w:eastAsia="Times New Roman" w:hAnsi="Times New Roman"/>
              </w:rPr>
              <w:t>1.</w:t>
            </w:r>
            <w:r>
              <w:rPr>
                <w:rFonts w:ascii="Times New Roman" w:eastAsia="Times New Roman" w:hAnsi="Times New Roman"/>
              </w:rPr>
              <w:t> </w:t>
            </w:r>
            <w:r w:rsidRPr="005302E8">
              <w:rPr>
                <w:rFonts w:ascii="Times New Roman" w:eastAsia="Times New Roman" w:hAnsi="Times New Roman"/>
              </w:rPr>
              <w:t>Attīstīt psihiatra komandas ambulatoro darbu, psihiatra komandā iesaistot bērnu psihiatru, psihologu, garīgo māsu un funkcionālos speciālistu (ergoterapeits, fizioterapeits u.tml.), stiprinot esošās psihiatriskās prakses un psihiatriskās prakses centros.</w:t>
            </w:r>
          </w:p>
        </w:tc>
        <w:tc>
          <w:tcPr>
            <w:tcW w:w="1843" w:type="dxa"/>
            <w:vAlign w:val="center"/>
          </w:tcPr>
          <w:p w14:paraId="2EBDCB45" w14:textId="67904F64" w:rsidR="00272E3D" w:rsidRPr="003904C6" w:rsidRDefault="007E7445" w:rsidP="00272E3D">
            <w:pPr>
              <w:jc w:val="center"/>
              <w:rPr>
                <w:rFonts w:ascii="Times New Roman" w:eastAsia="Times New Roman" w:hAnsi="Times New Roman"/>
              </w:rPr>
            </w:pPr>
            <w:r w:rsidRPr="007E7445">
              <w:rPr>
                <w:rFonts w:ascii="Times New Roman" w:hAnsi="Times New Roman"/>
              </w:rPr>
              <w:t xml:space="preserve">759 </w:t>
            </w:r>
            <w:r w:rsidR="00366F3B">
              <w:rPr>
                <w:rFonts w:ascii="Times New Roman" w:hAnsi="Times New Roman"/>
              </w:rPr>
              <w:t>761</w:t>
            </w:r>
          </w:p>
        </w:tc>
      </w:tr>
      <w:tr w:rsidR="00272E3D" w:rsidRPr="005302E8" w14:paraId="6141587A" w14:textId="77777777" w:rsidTr="00E93259">
        <w:trPr>
          <w:jc w:val="center"/>
        </w:trPr>
        <w:tc>
          <w:tcPr>
            <w:tcW w:w="6516" w:type="dxa"/>
          </w:tcPr>
          <w:p w14:paraId="2996F4DA"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2. </w:t>
            </w:r>
            <w:r w:rsidRPr="005302E8">
              <w:rPr>
                <w:rFonts w:ascii="Times New Roman" w:eastAsia="Times New Roman" w:hAnsi="Times New Roman"/>
              </w:rPr>
              <w:t>Uzlabot pieejamību dienas stacionāra pakalpojumiem psihiskajā veselības aprūpē, tādējādi palielinot psihiskās veselības ambulatoro pakalpojumu pieejamību.</w:t>
            </w:r>
          </w:p>
        </w:tc>
        <w:tc>
          <w:tcPr>
            <w:tcW w:w="1843" w:type="dxa"/>
            <w:vAlign w:val="center"/>
          </w:tcPr>
          <w:p w14:paraId="1F3C2417" w14:textId="264290E3" w:rsidR="00272E3D" w:rsidRPr="003904C6" w:rsidRDefault="007E7445" w:rsidP="00272E3D">
            <w:pPr>
              <w:jc w:val="center"/>
              <w:rPr>
                <w:rFonts w:ascii="Times New Roman" w:eastAsia="Times New Roman" w:hAnsi="Times New Roman"/>
              </w:rPr>
            </w:pPr>
            <w:r w:rsidRPr="007E7445">
              <w:rPr>
                <w:rFonts w:ascii="Times New Roman" w:hAnsi="Times New Roman"/>
              </w:rPr>
              <w:t>445 90</w:t>
            </w:r>
            <w:r w:rsidR="00366F3B">
              <w:rPr>
                <w:rFonts w:ascii="Times New Roman" w:hAnsi="Times New Roman"/>
              </w:rPr>
              <w:t>7</w:t>
            </w:r>
          </w:p>
        </w:tc>
      </w:tr>
      <w:tr w:rsidR="00272E3D" w:rsidRPr="005302E8" w14:paraId="1D1CE7B2" w14:textId="77777777" w:rsidTr="00E93259">
        <w:trPr>
          <w:jc w:val="center"/>
        </w:trPr>
        <w:tc>
          <w:tcPr>
            <w:tcW w:w="6516" w:type="dxa"/>
          </w:tcPr>
          <w:p w14:paraId="22EC1D29"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3. </w:t>
            </w:r>
            <w:r w:rsidRPr="00253483">
              <w:rPr>
                <w:rFonts w:ascii="Times New Roman" w:eastAsia="Times New Roman" w:hAnsi="Times New Roman"/>
              </w:rPr>
              <w:t xml:space="preserve">Paplašināt nemedikamentozās ārstēšanas iespējas stacionārā, piesaistot papildus speciālistus – psihiatrus un garīgās veselības māsas, funkcionālos speciālistus, psihologus, sociālos darbiniekus un bērnu </w:t>
            </w:r>
            <w:r>
              <w:rPr>
                <w:rFonts w:ascii="Times New Roman" w:eastAsia="Times New Roman" w:hAnsi="Times New Roman"/>
              </w:rPr>
              <w:t>psihiatriskajā veselības aprūpē</w:t>
            </w:r>
            <w:r w:rsidRPr="00253483">
              <w:rPr>
                <w:rFonts w:ascii="Times New Roman" w:eastAsia="Times New Roman" w:hAnsi="Times New Roman"/>
              </w:rPr>
              <w:t xml:space="preserve"> arī sociālos pedagogus.</w:t>
            </w:r>
          </w:p>
        </w:tc>
        <w:tc>
          <w:tcPr>
            <w:tcW w:w="1843" w:type="dxa"/>
            <w:vAlign w:val="center"/>
          </w:tcPr>
          <w:p w14:paraId="57276364" w14:textId="0BC09961" w:rsidR="00272E3D" w:rsidRPr="003904C6" w:rsidRDefault="00272E3D" w:rsidP="00272E3D">
            <w:pPr>
              <w:jc w:val="center"/>
              <w:rPr>
                <w:rFonts w:ascii="Times New Roman" w:eastAsia="Times New Roman" w:hAnsi="Times New Roman"/>
              </w:rPr>
            </w:pPr>
            <w:r w:rsidRPr="00E91BDA">
              <w:rPr>
                <w:rFonts w:ascii="Times New Roman" w:hAnsi="Times New Roman"/>
              </w:rPr>
              <w:t>3</w:t>
            </w:r>
            <w:r w:rsidR="00366F3B">
              <w:rPr>
                <w:rFonts w:ascii="Times New Roman" w:hAnsi="Times New Roman"/>
              </w:rPr>
              <w:t> 668 068</w:t>
            </w:r>
          </w:p>
        </w:tc>
      </w:tr>
      <w:tr w:rsidR="00272E3D" w:rsidRPr="005302E8" w14:paraId="15FEBD4C" w14:textId="77777777" w:rsidTr="00E93259">
        <w:trPr>
          <w:jc w:val="center"/>
        </w:trPr>
        <w:tc>
          <w:tcPr>
            <w:tcW w:w="6516" w:type="dxa"/>
          </w:tcPr>
          <w:p w14:paraId="78F14E82"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4. </w:t>
            </w:r>
            <w:r w:rsidRPr="00341757">
              <w:rPr>
                <w:rFonts w:ascii="Times New Roman" w:eastAsia="Times New Roman" w:hAnsi="Times New Roman"/>
              </w:rPr>
              <w:t>Izveidot observācijas gultas pie psihoneiroloģiskām slimnīcām, tādējādi mazinot nepamatotus stacionēšanas gadījumus</w:t>
            </w:r>
            <w:r>
              <w:rPr>
                <w:rFonts w:ascii="Times New Roman" w:eastAsia="Times New Roman" w:hAnsi="Times New Roman"/>
              </w:rPr>
              <w:t>.</w:t>
            </w:r>
          </w:p>
        </w:tc>
        <w:tc>
          <w:tcPr>
            <w:tcW w:w="1843" w:type="dxa"/>
            <w:vAlign w:val="center"/>
          </w:tcPr>
          <w:p w14:paraId="5C5DCFEE" w14:textId="76C8C652" w:rsidR="00272E3D" w:rsidRPr="003904C6" w:rsidRDefault="00366F3B" w:rsidP="00272E3D">
            <w:pPr>
              <w:jc w:val="center"/>
              <w:rPr>
                <w:rFonts w:ascii="Times New Roman" w:eastAsia="Times New Roman" w:hAnsi="Times New Roman"/>
              </w:rPr>
            </w:pPr>
            <w:r>
              <w:rPr>
                <w:rFonts w:ascii="Times New Roman" w:hAnsi="Times New Roman"/>
              </w:rPr>
              <w:t xml:space="preserve">67 </w:t>
            </w:r>
            <w:r w:rsidR="00985DF5">
              <w:rPr>
                <w:rFonts w:ascii="Times New Roman" w:hAnsi="Times New Roman"/>
              </w:rPr>
              <w:t>502</w:t>
            </w:r>
          </w:p>
        </w:tc>
      </w:tr>
      <w:tr w:rsidR="00272E3D" w:rsidRPr="005302E8" w14:paraId="7BAB0852" w14:textId="77777777" w:rsidTr="00E93259">
        <w:trPr>
          <w:jc w:val="center"/>
        </w:trPr>
        <w:tc>
          <w:tcPr>
            <w:tcW w:w="6516" w:type="dxa"/>
          </w:tcPr>
          <w:p w14:paraId="68B0CC4C"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5. N</w:t>
            </w:r>
            <w:r w:rsidRPr="00341757">
              <w:rPr>
                <w:rFonts w:ascii="Times New Roman" w:eastAsia="Times New Roman" w:hAnsi="Times New Roman"/>
              </w:rPr>
              <w:t>odrošināt iespēju vecākiem uzturēties kopā ar bērniem</w:t>
            </w:r>
            <w:r>
              <w:rPr>
                <w:rFonts w:ascii="Times New Roman" w:eastAsia="Times New Roman" w:hAnsi="Times New Roman"/>
              </w:rPr>
              <w:t>.</w:t>
            </w:r>
          </w:p>
        </w:tc>
        <w:tc>
          <w:tcPr>
            <w:tcW w:w="1843" w:type="dxa"/>
            <w:vAlign w:val="center"/>
          </w:tcPr>
          <w:p w14:paraId="619A6895" w14:textId="3EB83F6F" w:rsidR="00272E3D" w:rsidRPr="003904C6" w:rsidRDefault="00272E3D" w:rsidP="00272E3D">
            <w:pPr>
              <w:jc w:val="center"/>
              <w:rPr>
                <w:rFonts w:ascii="Times New Roman" w:eastAsia="Times New Roman" w:hAnsi="Times New Roman"/>
              </w:rPr>
            </w:pPr>
            <w:r w:rsidRPr="00E91BDA">
              <w:rPr>
                <w:rFonts w:ascii="Times New Roman" w:hAnsi="Times New Roman"/>
              </w:rPr>
              <w:t>10 515</w:t>
            </w:r>
          </w:p>
        </w:tc>
      </w:tr>
      <w:tr w:rsidR="00272E3D" w:rsidRPr="005302E8" w14:paraId="54216B11" w14:textId="77777777" w:rsidTr="00E93259">
        <w:trPr>
          <w:jc w:val="center"/>
        </w:trPr>
        <w:tc>
          <w:tcPr>
            <w:tcW w:w="6516" w:type="dxa"/>
          </w:tcPr>
          <w:p w14:paraId="6B6B3D14"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6. </w:t>
            </w:r>
            <w:r w:rsidRPr="00341757">
              <w:rPr>
                <w:rFonts w:ascii="Times New Roman" w:eastAsia="Times New Roman" w:hAnsi="Times New Roman"/>
              </w:rPr>
              <w:t>Nodrošināt interešu izglītību bērniem ārstniecības un atveseļošanās procesa laikā VSIA “Bērnu klīniskā universitātes slimnīcā”, kā arī palīdzēt bērniem mazināt stresu, pārvarēt adaptācijas grūtības atšķirīgajā slimnīcas vidē un aizpildīt no medicīniskajām manipulācijām brīvo laiku.</w:t>
            </w:r>
          </w:p>
        </w:tc>
        <w:tc>
          <w:tcPr>
            <w:tcW w:w="1843" w:type="dxa"/>
            <w:vAlign w:val="center"/>
          </w:tcPr>
          <w:p w14:paraId="0C131BE2" w14:textId="6D0F7153" w:rsidR="00272E3D" w:rsidRPr="003904C6" w:rsidRDefault="00366F3B" w:rsidP="00272E3D">
            <w:pPr>
              <w:jc w:val="center"/>
              <w:rPr>
                <w:rFonts w:ascii="Times New Roman" w:eastAsia="Times New Roman" w:hAnsi="Times New Roman"/>
              </w:rPr>
            </w:pPr>
            <w:r>
              <w:rPr>
                <w:rFonts w:ascii="Times New Roman" w:hAnsi="Times New Roman"/>
              </w:rPr>
              <w:t>30 992</w:t>
            </w:r>
          </w:p>
        </w:tc>
      </w:tr>
      <w:tr w:rsidR="00972B28" w:rsidRPr="005302E8" w14:paraId="65FF9AE0" w14:textId="77777777" w:rsidTr="00E93259">
        <w:trPr>
          <w:jc w:val="center"/>
        </w:trPr>
        <w:tc>
          <w:tcPr>
            <w:tcW w:w="6516" w:type="dxa"/>
          </w:tcPr>
          <w:p w14:paraId="21154D56" w14:textId="56B7229D" w:rsidR="00972B28" w:rsidRPr="009A7F4C" w:rsidRDefault="00972B28" w:rsidP="009A7F4C">
            <w:pPr>
              <w:rPr>
                <w:rFonts w:ascii="Times New Roman" w:eastAsia="Times New Roman" w:hAnsi="Times New Roman"/>
              </w:rPr>
            </w:pPr>
            <w:r>
              <w:rPr>
                <w:rFonts w:ascii="Times New Roman" w:eastAsia="Times New Roman" w:hAnsi="Times New Roman"/>
              </w:rPr>
              <w:t>7. </w:t>
            </w:r>
            <w:r w:rsidRPr="00341757">
              <w:rPr>
                <w:rFonts w:ascii="Times New Roman" w:eastAsia="Times New Roman" w:hAnsi="Times New Roman"/>
              </w:rPr>
              <w:t>Pilotprojekts “Pierādījumos balstīta jauniešu garīgās veselības sekundārās profilakses programma garastāvokļa un uzvedības traucējumu novēršanai un s</w:t>
            </w:r>
            <w:r w:rsidR="7685B477" w:rsidRPr="00341757">
              <w:rPr>
                <w:rFonts w:ascii="Times New Roman" w:eastAsia="Times New Roman" w:hAnsi="Times New Roman"/>
              </w:rPr>
              <w:t>eku mazināšanai</w:t>
            </w:r>
          </w:p>
        </w:tc>
        <w:tc>
          <w:tcPr>
            <w:tcW w:w="1843" w:type="dxa"/>
            <w:vAlign w:val="center"/>
          </w:tcPr>
          <w:p w14:paraId="49448DC5" w14:textId="77777777" w:rsidR="00972B28" w:rsidRPr="003904C6" w:rsidRDefault="00972B28" w:rsidP="00972B28">
            <w:pPr>
              <w:jc w:val="center"/>
              <w:rPr>
                <w:rFonts w:ascii="Times New Roman" w:eastAsia="Times New Roman" w:hAnsi="Times New Roman"/>
              </w:rPr>
            </w:pPr>
            <w:r w:rsidRPr="003904C6">
              <w:rPr>
                <w:rFonts w:ascii="Times New Roman" w:eastAsia="Times New Roman" w:hAnsi="Times New Roman"/>
              </w:rPr>
              <w:t>83 594</w:t>
            </w:r>
          </w:p>
        </w:tc>
      </w:tr>
      <w:tr w:rsidR="4B157022" w14:paraId="0D48E2DA" w14:textId="77777777" w:rsidTr="00E93259">
        <w:trPr>
          <w:jc w:val="center"/>
        </w:trPr>
        <w:tc>
          <w:tcPr>
            <w:tcW w:w="6516" w:type="dxa"/>
          </w:tcPr>
          <w:p w14:paraId="7AACE572" w14:textId="30AED027" w:rsidR="4B157022" w:rsidRPr="009A7F4C" w:rsidRDefault="4B157022" w:rsidP="009A7F4C">
            <w:pPr>
              <w:jc w:val="both"/>
              <w:rPr>
                <w:rFonts w:ascii="Times New Roman" w:eastAsia="Times New Roman" w:hAnsi="Times New Roman"/>
              </w:rPr>
            </w:pPr>
            <w:r w:rsidRPr="009A7F4C">
              <w:rPr>
                <w:rFonts w:ascii="Times New Roman" w:eastAsia="Times New Roman" w:hAnsi="Times New Roman"/>
              </w:rPr>
              <w:t xml:space="preserve">8.Kompensējamo zāļu pieejamības uzlabošana psihisko </w:t>
            </w:r>
            <w:r w:rsidR="60E64A91" w:rsidRPr="009A7F4C">
              <w:rPr>
                <w:rFonts w:ascii="Times New Roman" w:eastAsia="Times New Roman" w:hAnsi="Times New Roman"/>
              </w:rPr>
              <w:t>un uzvedības traucējumu diagnožu grupā</w:t>
            </w:r>
          </w:p>
        </w:tc>
        <w:tc>
          <w:tcPr>
            <w:tcW w:w="1843" w:type="dxa"/>
            <w:vAlign w:val="center"/>
          </w:tcPr>
          <w:p w14:paraId="1646A963" w14:textId="6348F4AE" w:rsidR="4B157022" w:rsidRPr="009A7F4C" w:rsidRDefault="00366F3B" w:rsidP="009A7F4C">
            <w:pPr>
              <w:jc w:val="center"/>
              <w:rPr>
                <w:rFonts w:ascii="Times New Roman" w:eastAsia="Times New Roman" w:hAnsi="Times New Roman"/>
              </w:rPr>
            </w:pPr>
            <w:r>
              <w:rPr>
                <w:rFonts w:ascii="Times New Roman" w:eastAsia="Times New Roman" w:hAnsi="Times New Roman"/>
              </w:rPr>
              <w:t>1 242 5</w:t>
            </w:r>
            <w:r w:rsidR="00F0234E">
              <w:rPr>
                <w:rFonts w:ascii="Times New Roman" w:eastAsia="Times New Roman" w:hAnsi="Times New Roman"/>
              </w:rPr>
              <w:t>67</w:t>
            </w:r>
          </w:p>
        </w:tc>
      </w:tr>
      <w:tr w:rsidR="00972B28" w:rsidRPr="00341757" w14:paraId="6DCACC52" w14:textId="77777777" w:rsidTr="00E93259">
        <w:trPr>
          <w:jc w:val="center"/>
        </w:trPr>
        <w:tc>
          <w:tcPr>
            <w:tcW w:w="6516" w:type="dxa"/>
          </w:tcPr>
          <w:p w14:paraId="19E57B30" w14:textId="63DD4A7F" w:rsidR="00972B28" w:rsidRPr="009A7F4C" w:rsidRDefault="00972B28">
            <w:pPr>
              <w:jc w:val="right"/>
              <w:rPr>
                <w:rFonts w:ascii="Times New Roman" w:eastAsia="Times New Roman" w:hAnsi="Times New Roman"/>
                <w:b/>
                <w:bCs/>
              </w:rPr>
            </w:pPr>
            <w:r w:rsidRPr="00E12849">
              <w:rPr>
                <w:rFonts w:ascii="Times New Roman" w:eastAsia="Times New Roman" w:hAnsi="Times New Roman"/>
                <w:b/>
                <w:bCs/>
              </w:rPr>
              <w:t xml:space="preserve">2019.gadā papildus nepieciešamais finansējums psihiskās veselības </w:t>
            </w:r>
            <w:r w:rsidR="00F0694D" w:rsidRPr="00E12849">
              <w:rPr>
                <w:rFonts w:ascii="Times New Roman" w:eastAsia="Times New Roman" w:hAnsi="Times New Roman"/>
                <w:b/>
                <w:bCs/>
              </w:rPr>
              <w:t xml:space="preserve">aprūpes </w:t>
            </w:r>
            <w:r w:rsidRPr="00E12849">
              <w:rPr>
                <w:rFonts w:ascii="Times New Roman" w:eastAsia="Times New Roman" w:hAnsi="Times New Roman"/>
                <w:b/>
                <w:bCs/>
              </w:rPr>
              <w:t>pieejamības uzlabošanai kopā:</w:t>
            </w:r>
          </w:p>
        </w:tc>
        <w:tc>
          <w:tcPr>
            <w:tcW w:w="1843" w:type="dxa"/>
            <w:vAlign w:val="center"/>
          </w:tcPr>
          <w:p w14:paraId="13B3A4ED" w14:textId="0AEED011" w:rsidR="00972B28" w:rsidRPr="009A7F4C" w:rsidRDefault="00F0234E">
            <w:pPr>
              <w:jc w:val="center"/>
              <w:rPr>
                <w:rFonts w:ascii="Times New Roman" w:eastAsia="Times New Roman" w:hAnsi="Times New Roman"/>
                <w:b/>
                <w:bCs/>
              </w:rPr>
            </w:pPr>
            <w:r>
              <w:rPr>
                <w:rFonts w:ascii="Times New Roman" w:eastAsia="Times New Roman" w:hAnsi="Times New Roman"/>
                <w:b/>
                <w:bCs/>
              </w:rPr>
              <w:t>6 308 906</w:t>
            </w:r>
          </w:p>
        </w:tc>
      </w:tr>
    </w:tbl>
    <w:p w14:paraId="180D56C9" w14:textId="77777777" w:rsidR="00972B28" w:rsidRPr="001D6901" w:rsidRDefault="00972B28" w:rsidP="00972B28">
      <w:pPr>
        <w:spacing w:after="0"/>
        <w:ind w:firstLine="720"/>
        <w:jc w:val="both"/>
        <w:rPr>
          <w:rFonts w:ascii="Times New Roman" w:eastAsia="Times New Roman" w:hAnsi="Times New Roman" w:cs="Times New Roman"/>
          <w:sz w:val="24"/>
          <w:szCs w:val="24"/>
        </w:rPr>
      </w:pPr>
    </w:p>
    <w:p w14:paraId="2178A1A8" w14:textId="02D2963E" w:rsidR="006027D0" w:rsidRDefault="00972B28" w:rsidP="009A7F4C">
      <w:pPr>
        <w:spacing w:after="120"/>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Lai nodrošinātu </w:t>
      </w:r>
      <w:r w:rsidRPr="00CD647A">
        <w:rPr>
          <w:rFonts w:ascii="Times New Roman" w:eastAsia="Times New Roman" w:hAnsi="Times New Roman" w:cs="Times New Roman"/>
          <w:sz w:val="24"/>
          <w:szCs w:val="24"/>
        </w:rPr>
        <w:t xml:space="preserve">Ziņojumā </w:t>
      </w:r>
      <w:r>
        <w:rPr>
          <w:rFonts w:ascii="Times New Roman" w:eastAsia="Times New Roman" w:hAnsi="Times New Roman" w:cs="Times New Roman"/>
          <w:sz w:val="24"/>
          <w:szCs w:val="24"/>
        </w:rPr>
        <w:t xml:space="preserve">šajā sadaļā </w:t>
      </w:r>
      <w:r w:rsidRPr="00CD647A">
        <w:rPr>
          <w:rFonts w:ascii="Times New Roman" w:eastAsia="Times New Roman" w:hAnsi="Times New Roman" w:cs="Times New Roman"/>
          <w:sz w:val="24"/>
          <w:szCs w:val="24"/>
        </w:rPr>
        <w:t xml:space="preserve">aprakstītos pasākumus, </w:t>
      </w:r>
      <w:r>
        <w:rPr>
          <w:rFonts w:ascii="Times New Roman" w:eastAsia="Times New Roman" w:hAnsi="Times New Roman" w:cs="Times New Roman"/>
          <w:sz w:val="24"/>
          <w:szCs w:val="24"/>
        </w:rPr>
        <w:t>veicinot l</w:t>
      </w:r>
      <w:r w:rsidRPr="00CD647A">
        <w:rPr>
          <w:rFonts w:ascii="Times New Roman" w:eastAsia="Times New Roman" w:hAnsi="Times New Roman" w:cs="Times New Roman"/>
          <w:sz w:val="24"/>
          <w:szCs w:val="24"/>
        </w:rPr>
        <w:t>ab</w:t>
      </w:r>
      <w:r>
        <w:rPr>
          <w:rFonts w:ascii="Times New Roman" w:eastAsia="Times New Roman" w:hAnsi="Times New Roman" w:cs="Times New Roman"/>
          <w:sz w:val="24"/>
          <w:szCs w:val="24"/>
        </w:rPr>
        <w:t>u</w:t>
      </w:r>
      <w:r w:rsidRPr="00CD647A">
        <w:rPr>
          <w:rFonts w:ascii="Times New Roman" w:eastAsia="Times New Roman" w:hAnsi="Times New Roman" w:cs="Times New Roman"/>
          <w:sz w:val="24"/>
          <w:szCs w:val="24"/>
        </w:rPr>
        <w:t xml:space="preserve"> personisk</w:t>
      </w:r>
      <w:r>
        <w:rPr>
          <w:rFonts w:ascii="Times New Roman" w:eastAsia="Times New Roman" w:hAnsi="Times New Roman" w:cs="Times New Roman"/>
          <w:sz w:val="24"/>
          <w:szCs w:val="24"/>
        </w:rPr>
        <w:t>o un vispārējo</w:t>
      </w:r>
      <w:r w:rsidRPr="00CD647A">
        <w:rPr>
          <w:rFonts w:ascii="Times New Roman" w:eastAsia="Times New Roman" w:hAnsi="Times New Roman" w:cs="Times New Roman"/>
          <w:sz w:val="24"/>
          <w:szCs w:val="24"/>
        </w:rPr>
        <w:t xml:space="preserve"> sabiedrības psi</w:t>
      </w:r>
      <w:r>
        <w:rPr>
          <w:rFonts w:ascii="Times New Roman" w:eastAsia="Times New Roman" w:hAnsi="Times New Roman" w:cs="Times New Roman"/>
          <w:sz w:val="24"/>
          <w:szCs w:val="24"/>
        </w:rPr>
        <w:t>hisko</w:t>
      </w:r>
      <w:r w:rsidRPr="00CD647A">
        <w:rPr>
          <w:rFonts w:ascii="Times New Roman" w:eastAsia="Times New Roman" w:hAnsi="Times New Roman" w:cs="Times New Roman"/>
          <w:sz w:val="24"/>
          <w:szCs w:val="24"/>
        </w:rPr>
        <w:t xml:space="preserve"> veselīb</w:t>
      </w:r>
      <w:r>
        <w:rPr>
          <w:rFonts w:ascii="Times New Roman" w:eastAsia="Times New Roman" w:hAnsi="Times New Roman" w:cs="Times New Roman"/>
          <w:sz w:val="24"/>
          <w:szCs w:val="24"/>
        </w:rPr>
        <w:t>u</w:t>
      </w:r>
      <w:r w:rsidRPr="00CD64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kas ir nosacījums </w:t>
      </w:r>
      <w:r w:rsidRPr="00CD647A">
        <w:rPr>
          <w:rFonts w:ascii="Times New Roman" w:eastAsia="Times New Roman" w:hAnsi="Times New Roman" w:cs="Times New Roman"/>
          <w:sz w:val="24"/>
          <w:szCs w:val="24"/>
        </w:rPr>
        <w:t>droša</w:t>
      </w:r>
      <w:r>
        <w:rPr>
          <w:rFonts w:ascii="Times New Roman" w:eastAsia="Times New Roman" w:hAnsi="Times New Roman" w:cs="Times New Roman"/>
          <w:sz w:val="24"/>
          <w:szCs w:val="24"/>
        </w:rPr>
        <w:t xml:space="preserve">i un labklājības sabiedrībai, </w:t>
      </w:r>
      <w:r w:rsidRPr="00E12849">
        <w:rPr>
          <w:rFonts w:ascii="Times New Roman" w:eastAsia="Times New Roman" w:hAnsi="Times New Roman" w:cs="Times New Roman"/>
          <w:b/>
          <w:bCs/>
          <w:sz w:val="24"/>
          <w:szCs w:val="24"/>
        </w:rPr>
        <w:t xml:space="preserve">2019.gadā ir nepieciešams Latvijas iedzīvotāju psihiskajā veselībā ieguldīt līdzekļus no Eiropas Komisijas pieļautās budžeta deficīta atkāpes finansējuma </w:t>
      </w:r>
      <w:r w:rsidR="00530E34">
        <w:rPr>
          <w:rFonts w:ascii="Times New Roman" w:eastAsia="Times New Roman" w:hAnsi="Times New Roman" w:cs="Times New Roman"/>
          <w:b/>
          <w:bCs/>
          <w:sz w:val="24"/>
          <w:szCs w:val="24"/>
        </w:rPr>
        <w:t>6 </w:t>
      </w:r>
      <w:r w:rsidR="00366F3B">
        <w:rPr>
          <w:rFonts w:ascii="Times New Roman" w:eastAsia="Times New Roman" w:hAnsi="Times New Roman" w:cs="Times New Roman"/>
          <w:b/>
          <w:bCs/>
          <w:sz w:val="24"/>
          <w:szCs w:val="24"/>
        </w:rPr>
        <w:t xml:space="preserve">308 </w:t>
      </w:r>
      <w:r w:rsidR="00AE040C">
        <w:rPr>
          <w:rFonts w:ascii="Times New Roman" w:eastAsia="Times New Roman" w:hAnsi="Times New Roman" w:cs="Times New Roman"/>
          <w:b/>
          <w:bCs/>
          <w:sz w:val="24"/>
          <w:szCs w:val="24"/>
        </w:rPr>
        <w:t>906</w:t>
      </w:r>
      <w:r w:rsidRPr="00E12849">
        <w:rPr>
          <w:rFonts w:ascii="Times New Roman" w:eastAsia="Times New Roman" w:hAnsi="Times New Roman" w:cs="Times New Roman"/>
          <w:b/>
          <w:bCs/>
          <w:sz w:val="24"/>
          <w:szCs w:val="24"/>
        </w:rPr>
        <w:t xml:space="preserve"> </w:t>
      </w:r>
      <w:r w:rsidRPr="00E12849">
        <w:rPr>
          <w:rFonts w:ascii="Times New Roman" w:eastAsia="Times New Roman" w:hAnsi="Times New Roman" w:cs="Times New Roman"/>
          <w:b/>
          <w:bCs/>
          <w:i/>
          <w:iCs/>
          <w:sz w:val="24"/>
          <w:szCs w:val="24"/>
        </w:rPr>
        <w:t xml:space="preserve">euro </w:t>
      </w:r>
      <w:r w:rsidRPr="00E12849">
        <w:rPr>
          <w:rFonts w:ascii="Times New Roman" w:eastAsia="Times New Roman" w:hAnsi="Times New Roman" w:cs="Times New Roman"/>
          <w:b/>
          <w:bCs/>
          <w:sz w:val="24"/>
          <w:szCs w:val="24"/>
        </w:rPr>
        <w:t>apmērā</w:t>
      </w:r>
      <w:r w:rsidR="008A4F74" w:rsidRPr="00E12849">
        <w:rPr>
          <w:rFonts w:ascii="Times New Roman" w:eastAsia="Times New Roman" w:hAnsi="Times New Roman" w:cs="Times New Roman"/>
          <w:b/>
          <w:bCs/>
          <w:sz w:val="24"/>
          <w:szCs w:val="24"/>
        </w:rPr>
        <w:t>.</w:t>
      </w:r>
    </w:p>
    <w:p w14:paraId="1616149E" w14:textId="1785F77A" w:rsidR="006948F4" w:rsidRPr="007C6626" w:rsidRDefault="00E27350" w:rsidP="009A7F4C">
      <w:pPr>
        <w:spacing w:after="120"/>
        <w:ind w:firstLine="720"/>
        <w:jc w:val="both"/>
        <w:rPr>
          <w:rFonts w:ascii="Times New Roman" w:eastAsia="Times New Roman" w:hAnsi="Times New Roman" w:cs="Times New Roman"/>
          <w:bCs/>
          <w:i/>
          <w:sz w:val="24"/>
          <w:szCs w:val="24"/>
        </w:rPr>
      </w:pPr>
      <w:r>
        <w:rPr>
          <w:rFonts w:ascii="Times New Roman" w:hAnsi="Times New Roman" w:cs="Times New Roman"/>
          <w:color w:val="000000"/>
          <w:sz w:val="24"/>
          <w:szCs w:val="24"/>
          <w:shd w:val="clear" w:color="auto" w:fill="FFFFFF"/>
        </w:rPr>
        <w:t>Turpinot psihiatriskās veselības uzlabošanu arī 2020.gadam</w:t>
      </w:r>
      <w:r w:rsidR="00800C62">
        <w:rPr>
          <w:rFonts w:ascii="Times New Roman" w:hAnsi="Times New Roman" w:cs="Times New Roman"/>
          <w:color w:val="000000"/>
          <w:sz w:val="24"/>
          <w:szCs w:val="24"/>
          <w:shd w:val="clear" w:color="auto" w:fill="FFFFFF"/>
        </w:rPr>
        <w:t xml:space="preserve"> b</w:t>
      </w:r>
      <w:r w:rsidR="00293E2F" w:rsidRPr="009A7F4C">
        <w:rPr>
          <w:rFonts w:ascii="Times New Roman" w:hAnsi="Times New Roman" w:cs="Times New Roman"/>
          <w:color w:val="000000"/>
          <w:sz w:val="24"/>
          <w:szCs w:val="24"/>
          <w:shd w:val="clear" w:color="auto" w:fill="FFFFFF"/>
        </w:rPr>
        <w:t xml:space="preserve">ērnam attīstoties, svarīgi ir savlaicīgi veikt diagnostiku un identificēt riskus psihisko traucējumu izveidei, kuru pamatā ir sociālās vides faktori vai funkcionālie traucējumi. Šobrīd visai nesistemātiski ģimenes ārstu praksēs tiek atpazīti psihisko traucējumu rašanās riski, kā arī netiek nodrošināts tālāks preventīvs darbs ar bērniem agrīnā vecumā, kaut arī tas ir iespējams, piemēram, uzlabojot vecāku bērna savstarpējo mijiedarbību. Līdz ar to ģimenes ārsta iesaistei ir būtiska loma bērna veselības korekcijai jau agrīnā vecumā. Izpaliekot agrīnai psihiskās attīstības novērtēšanai, valstī pietiekami plaši un par pieejamu cenu netiek nodrošinātas arī intervences pirmsskolas vecuma bērniem ar PAUA (bērniem ar psihiskiem, attīstības un uzvedības traucējumiem, </w:t>
      </w:r>
      <w:r w:rsidR="00293E2F" w:rsidRPr="00293E2F">
        <w:rPr>
          <w:rFonts w:ascii="Times New Roman" w:hAnsi="Times New Roman" w:cs="Times New Roman"/>
          <w:color w:val="000000"/>
          <w:sz w:val="24"/>
          <w:szCs w:val="24"/>
          <w:shd w:val="clear" w:color="auto" w:fill="FFFFFF"/>
        </w:rPr>
        <w:t>kā arī antisociālu uzvedību</w:t>
      </w:r>
      <w:r w:rsidR="00293E2F" w:rsidRPr="007C6626">
        <w:rPr>
          <w:rFonts w:ascii="Times New Roman" w:hAnsi="Times New Roman" w:cs="Times New Roman"/>
          <w:color w:val="000000"/>
          <w:sz w:val="24"/>
          <w:szCs w:val="24"/>
          <w:shd w:val="clear" w:color="auto" w:fill="FFFFFF"/>
        </w:rPr>
        <w:t xml:space="preserve">). </w:t>
      </w:r>
      <w:r w:rsidR="00293E2F">
        <w:rPr>
          <w:rFonts w:ascii="Times New Roman" w:hAnsi="Times New Roman" w:cs="Times New Roman"/>
          <w:color w:val="000000"/>
          <w:sz w:val="24"/>
          <w:szCs w:val="24"/>
          <w:shd w:val="clear" w:color="auto" w:fill="FFFFFF"/>
        </w:rPr>
        <w:t>Sākot ar 2020.gadu plānots ieviest</w:t>
      </w:r>
      <w:r w:rsidR="00293E2F" w:rsidRPr="007C6626">
        <w:rPr>
          <w:rFonts w:ascii="Times New Roman" w:hAnsi="Times New Roman" w:cs="Times New Roman"/>
          <w:color w:val="000000"/>
          <w:sz w:val="24"/>
          <w:szCs w:val="24"/>
          <w:shd w:val="clear" w:color="auto" w:fill="FFFFFF"/>
        </w:rPr>
        <w:t xml:space="preserve"> attīstības </w:t>
      </w:r>
      <w:r w:rsidR="00293E2F">
        <w:rPr>
          <w:rFonts w:ascii="Times New Roman" w:hAnsi="Times New Roman" w:cs="Times New Roman"/>
          <w:color w:val="000000"/>
          <w:sz w:val="24"/>
          <w:szCs w:val="24"/>
          <w:shd w:val="clear" w:color="auto" w:fill="FFFFFF"/>
        </w:rPr>
        <w:t>skrīningu</w:t>
      </w:r>
      <w:r w:rsidR="00293E2F" w:rsidRPr="007C6626">
        <w:rPr>
          <w:rFonts w:ascii="Times New Roman" w:hAnsi="Times New Roman" w:cs="Times New Roman"/>
          <w:color w:val="000000"/>
          <w:sz w:val="24"/>
          <w:szCs w:val="24"/>
          <w:shd w:val="clear" w:color="auto" w:fill="FFFFFF"/>
        </w:rPr>
        <w:t xml:space="preserve">, </w:t>
      </w:r>
      <w:r w:rsidR="00293E2F">
        <w:rPr>
          <w:rFonts w:ascii="Times New Roman" w:hAnsi="Times New Roman" w:cs="Times New Roman"/>
          <w:color w:val="000000"/>
          <w:sz w:val="24"/>
          <w:szCs w:val="24"/>
          <w:shd w:val="clear" w:color="auto" w:fill="FFFFFF"/>
        </w:rPr>
        <w:t xml:space="preserve">lai </w:t>
      </w:r>
      <w:r w:rsidR="00293E2F" w:rsidRPr="007C6626">
        <w:rPr>
          <w:rFonts w:ascii="Times New Roman" w:hAnsi="Times New Roman" w:cs="Times New Roman"/>
          <w:color w:val="000000"/>
          <w:sz w:val="24"/>
          <w:szCs w:val="24"/>
          <w:shd w:val="clear" w:color="auto" w:fill="FFFFFF"/>
        </w:rPr>
        <w:t>tik</w:t>
      </w:r>
      <w:r w:rsidR="00293E2F" w:rsidRPr="00293E2F">
        <w:rPr>
          <w:rFonts w:ascii="Times New Roman" w:hAnsi="Times New Roman" w:cs="Times New Roman"/>
          <w:color w:val="000000"/>
          <w:sz w:val="24"/>
          <w:szCs w:val="24"/>
          <w:shd w:val="clear" w:color="auto" w:fill="FFFFFF"/>
        </w:rPr>
        <w:t>tu</w:t>
      </w:r>
      <w:r w:rsidR="00293E2F" w:rsidRPr="007C6626">
        <w:rPr>
          <w:rFonts w:ascii="Times New Roman" w:hAnsi="Times New Roman" w:cs="Times New Roman"/>
          <w:color w:val="000000"/>
          <w:sz w:val="24"/>
          <w:szCs w:val="24"/>
          <w:shd w:val="clear" w:color="auto" w:fill="FFFFFF"/>
        </w:rPr>
        <w:t xml:space="preserve"> </w:t>
      </w:r>
      <w:r w:rsidR="00293E2F" w:rsidRPr="007C6626">
        <w:rPr>
          <w:rFonts w:ascii="Times New Roman" w:hAnsi="Times New Roman" w:cs="Times New Roman"/>
          <w:color w:val="000000"/>
          <w:sz w:val="24"/>
          <w:szCs w:val="24"/>
          <w:shd w:val="clear" w:color="auto" w:fill="FFFFFF"/>
        </w:rPr>
        <w:lastRenderedPageBreak/>
        <w:t>nodrošināta profilaktiskā pārbaude bērniem no 1,5 - 5 gadu vec</w:t>
      </w:r>
      <w:r w:rsidR="00293E2F">
        <w:rPr>
          <w:rFonts w:ascii="Times New Roman" w:hAnsi="Times New Roman" w:cs="Times New Roman"/>
          <w:color w:val="000000"/>
          <w:sz w:val="24"/>
          <w:szCs w:val="24"/>
          <w:shd w:val="clear" w:color="auto" w:fill="FFFFFF"/>
        </w:rPr>
        <w:t>uma bērnu garīgās attīstības novērtēšanai</w:t>
      </w:r>
      <w:r w:rsidR="0077449C">
        <w:rPr>
          <w:rFonts w:ascii="Times New Roman" w:hAnsi="Times New Roman" w:cs="Times New Roman"/>
          <w:color w:val="000000"/>
          <w:sz w:val="24"/>
          <w:szCs w:val="24"/>
          <w:shd w:val="clear" w:color="auto" w:fill="FFFFFF"/>
        </w:rPr>
        <w:t xml:space="preserve">. Lai šo pasākumu īstenotu </w:t>
      </w:r>
      <w:r w:rsidR="0077449C" w:rsidRPr="00E93259">
        <w:rPr>
          <w:rFonts w:ascii="Times New Roman" w:hAnsi="Times New Roman" w:cs="Times New Roman"/>
          <w:color w:val="000000"/>
          <w:sz w:val="24"/>
          <w:szCs w:val="24"/>
          <w:shd w:val="clear" w:color="auto" w:fill="FFFFFF"/>
        </w:rPr>
        <w:t xml:space="preserve">2020.gadā nepieciešami </w:t>
      </w:r>
      <w:r w:rsidR="0077449C">
        <w:rPr>
          <w:rFonts w:ascii="Times New Roman" w:hAnsi="Times New Roman" w:cs="Times New Roman"/>
          <w:color w:val="000000"/>
          <w:sz w:val="24"/>
          <w:szCs w:val="24"/>
          <w:shd w:val="clear" w:color="auto" w:fill="FFFFFF"/>
        </w:rPr>
        <w:t xml:space="preserve">330 080 </w:t>
      </w:r>
      <w:r w:rsidR="52B20BA9" w:rsidRPr="00E93259">
        <w:rPr>
          <w:rFonts w:ascii="Times New Roman" w:hAnsi="Times New Roman" w:cs="Times New Roman"/>
          <w:i/>
          <w:iCs/>
          <w:color w:val="000000" w:themeColor="text1"/>
          <w:sz w:val="24"/>
          <w:szCs w:val="24"/>
        </w:rPr>
        <w:t>euro</w:t>
      </w:r>
      <w:r w:rsidR="52B20BA9" w:rsidRPr="00E93259">
        <w:rPr>
          <w:rFonts w:ascii="Times New Roman" w:hAnsi="Times New Roman" w:cs="Times New Roman"/>
          <w:color w:val="000000" w:themeColor="text1"/>
          <w:sz w:val="24"/>
          <w:szCs w:val="24"/>
        </w:rPr>
        <w:t>.</w:t>
      </w:r>
    </w:p>
    <w:p w14:paraId="0EE8978E" w14:textId="1A969510" w:rsidR="00725E0C" w:rsidRDefault="00725E0C" w:rsidP="000F7607">
      <w:pPr>
        <w:tabs>
          <w:tab w:val="left" w:pos="3975"/>
        </w:tabs>
        <w:spacing w:after="120"/>
        <w:jc w:val="both"/>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89"/>
      </w:tblGrid>
      <w:tr w:rsidR="00725E0C" w14:paraId="0B50FB11" w14:textId="77777777" w:rsidTr="00725E0C">
        <w:tc>
          <w:tcPr>
            <w:tcW w:w="9089" w:type="dxa"/>
          </w:tcPr>
          <w:p w14:paraId="1735F050" w14:textId="20D62D2D" w:rsidR="00725E0C" w:rsidRPr="00725E0C" w:rsidRDefault="00725E0C" w:rsidP="00725E0C">
            <w:pPr>
              <w:spacing w:after="120" w:line="276" w:lineRule="auto"/>
              <w:jc w:val="both"/>
              <w:rPr>
                <w:rFonts w:ascii="Times New Roman" w:eastAsiaTheme="minorHAnsi" w:hAnsi="Times New Roman" w:cstheme="minorBidi"/>
                <w:b/>
                <w:bCs/>
                <w:sz w:val="24"/>
                <w:szCs w:val="24"/>
              </w:rPr>
            </w:pPr>
            <w:r w:rsidRPr="0012317D">
              <w:rPr>
                <w:rFonts w:ascii="Times New Roman" w:hAnsi="Times New Roman"/>
                <w:b/>
                <w:bCs/>
                <w:sz w:val="24"/>
                <w:szCs w:val="24"/>
              </w:rPr>
              <w:t xml:space="preserve">Reformas rezultāts: </w:t>
            </w:r>
            <w:r w:rsidR="00FB5265">
              <w:rPr>
                <w:rFonts w:ascii="Times New Roman" w:hAnsi="Times New Roman"/>
                <w:b/>
                <w:bCs/>
                <w:sz w:val="24"/>
                <w:szCs w:val="24"/>
              </w:rPr>
              <w:t>T</w:t>
            </w:r>
            <w:r w:rsidR="006F7F8D">
              <w:rPr>
                <w:rFonts w:ascii="Times New Roman" w:hAnsi="Times New Roman"/>
                <w:b/>
                <w:bCs/>
                <w:sz w:val="24"/>
                <w:szCs w:val="24"/>
              </w:rPr>
              <w:t xml:space="preserve">iks nodrošināta medikamentozā ārstēšana </w:t>
            </w:r>
            <w:r w:rsidR="003D5FDC">
              <w:rPr>
                <w:rFonts w:ascii="Times New Roman" w:hAnsi="Times New Roman"/>
                <w:b/>
                <w:bCs/>
                <w:sz w:val="24"/>
                <w:szCs w:val="24"/>
              </w:rPr>
              <w:t>3 3</w:t>
            </w:r>
            <w:r w:rsidR="00F0234E">
              <w:rPr>
                <w:rFonts w:ascii="Times New Roman" w:hAnsi="Times New Roman"/>
                <w:b/>
                <w:bCs/>
                <w:sz w:val="24"/>
                <w:szCs w:val="24"/>
              </w:rPr>
              <w:t>69</w:t>
            </w:r>
            <w:r w:rsidR="006F7F8D">
              <w:rPr>
                <w:rFonts w:ascii="Times New Roman" w:hAnsi="Times New Roman"/>
                <w:b/>
                <w:bCs/>
                <w:sz w:val="24"/>
                <w:szCs w:val="24"/>
              </w:rPr>
              <w:t xml:space="preserve"> pacientiem, kā </w:t>
            </w:r>
            <w:r w:rsidR="006F7F8D" w:rsidRPr="001E4659">
              <w:rPr>
                <w:rFonts w:ascii="Times New Roman" w:hAnsi="Times New Roman"/>
                <w:b/>
                <w:bCs/>
                <w:sz w:val="24"/>
                <w:szCs w:val="24"/>
              </w:rPr>
              <w:t xml:space="preserve">arī </w:t>
            </w:r>
            <w:r w:rsidR="006F7F8D" w:rsidRPr="00E93259">
              <w:rPr>
                <w:rFonts w:ascii="Times New Roman" w:hAnsi="Times New Roman"/>
                <w:b/>
                <w:sz w:val="24"/>
                <w:szCs w:val="24"/>
                <w:lang w:eastAsia="lv-LV"/>
              </w:rPr>
              <w:t xml:space="preserve">uzlabots stāvoklis </w:t>
            </w:r>
            <w:r w:rsidR="00AE040C">
              <w:rPr>
                <w:rFonts w:ascii="Times New Roman" w:hAnsi="Times New Roman"/>
                <w:b/>
                <w:sz w:val="24"/>
                <w:szCs w:val="24"/>
                <w:lang w:eastAsia="lv-LV"/>
              </w:rPr>
              <w:t>13 756</w:t>
            </w:r>
            <w:r w:rsidR="006F7F8D" w:rsidRPr="00E93259">
              <w:rPr>
                <w:rFonts w:ascii="Times New Roman" w:hAnsi="Times New Roman"/>
                <w:b/>
                <w:sz w:val="24"/>
                <w:szCs w:val="24"/>
                <w:lang w:eastAsia="lv-LV"/>
              </w:rPr>
              <w:t xml:space="preserve"> pacientiem</w:t>
            </w:r>
            <w:r w:rsidR="006F7F8D">
              <w:rPr>
                <w:rFonts w:ascii="Times New Roman" w:hAnsi="Times New Roman"/>
                <w:b/>
                <w:sz w:val="24"/>
                <w:szCs w:val="24"/>
                <w:lang w:eastAsia="lv-LV"/>
              </w:rPr>
              <w:t>.</w:t>
            </w:r>
            <w:r w:rsidR="003B460F">
              <w:rPr>
                <w:rFonts w:ascii="Times New Roman" w:hAnsi="Times New Roman"/>
                <w:b/>
                <w:sz w:val="24"/>
                <w:szCs w:val="24"/>
                <w:lang w:eastAsia="lv-LV"/>
              </w:rPr>
              <w:t xml:space="preserve"> Papildus tiks stiprinātas </w:t>
            </w:r>
            <w:r w:rsidR="00FB5265">
              <w:rPr>
                <w:rFonts w:ascii="Times New Roman" w:hAnsi="Times New Roman"/>
                <w:b/>
                <w:sz w:val="24"/>
                <w:szCs w:val="24"/>
                <w:lang w:eastAsia="lv-LV"/>
              </w:rPr>
              <w:t xml:space="preserve">80 </w:t>
            </w:r>
            <w:r w:rsidR="003B460F">
              <w:rPr>
                <w:rFonts w:ascii="Times New Roman" w:hAnsi="Times New Roman"/>
                <w:b/>
                <w:sz w:val="24"/>
                <w:szCs w:val="24"/>
                <w:lang w:eastAsia="lv-LV"/>
              </w:rPr>
              <w:t>psihiatriskās prakses, kas uzlabos pakalpojumu pieejamību</w:t>
            </w:r>
            <w:r w:rsidR="00FB5265">
              <w:rPr>
                <w:rFonts w:ascii="Times New Roman" w:hAnsi="Times New Roman"/>
                <w:b/>
                <w:sz w:val="24"/>
                <w:szCs w:val="24"/>
                <w:lang w:eastAsia="lv-LV"/>
              </w:rPr>
              <w:t xml:space="preserve">, psihiatrisko slimnieku ārstēšanā dienas stacionārā tiks nodrošinātas 82 403 dienas stacionāra pakalpojumi, 1 640 pakalpojumi tiks nodrošināti izveidojot pacientu observācija līdz 24 stundām gultas izveidošanu, kā arī multiprofesionāla komanda stacionārā sniegs  23 976 manipulācijas, papildus 1 297 vecākiem būs iespēja uzturēties stacionārā kopā ar savu bērnu, kas kopumā mazina </w:t>
            </w:r>
            <w:r w:rsidR="00FB5265" w:rsidRPr="0012317D">
              <w:rPr>
                <w:rFonts w:ascii="Times New Roman" w:hAnsi="Times New Roman"/>
                <w:b/>
                <w:bCs/>
                <w:sz w:val="24"/>
                <w:szCs w:val="24"/>
              </w:rPr>
              <w:t>nevienlīdzīb</w:t>
            </w:r>
            <w:r w:rsidR="00FB5265">
              <w:rPr>
                <w:rFonts w:ascii="Times New Roman" w:hAnsi="Times New Roman"/>
                <w:b/>
                <w:bCs/>
                <w:sz w:val="24"/>
                <w:szCs w:val="24"/>
              </w:rPr>
              <w:t>u</w:t>
            </w:r>
            <w:r w:rsidR="00FB5265" w:rsidRPr="0012317D">
              <w:rPr>
                <w:rFonts w:ascii="Times New Roman" w:hAnsi="Times New Roman"/>
                <w:b/>
                <w:bCs/>
                <w:sz w:val="24"/>
                <w:szCs w:val="24"/>
              </w:rPr>
              <w:t xml:space="preserve"> zāļu pieejamībā, līdz ar to mazinot</w:t>
            </w:r>
            <w:r w:rsidR="00FB5265">
              <w:rPr>
                <w:rFonts w:ascii="Times New Roman" w:hAnsi="Times New Roman"/>
                <w:b/>
                <w:bCs/>
                <w:sz w:val="24"/>
                <w:szCs w:val="24"/>
              </w:rPr>
              <w:t xml:space="preserve"> darbnespēju, deģeneratīvu pārmaiņu iestāšanos, draudus sabiedrībai, uzlabojot spējas mācīties un iekļauties sabiedrībā un palielina pakalpojumu pieejamību.</w:t>
            </w:r>
            <w:r w:rsidR="00FB5265">
              <w:rPr>
                <w:rFonts w:ascii="Times New Roman" w:hAnsi="Times New Roman"/>
                <w:b/>
                <w:sz w:val="24"/>
                <w:szCs w:val="24"/>
                <w:lang w:eastAsia="lv-LV"/>
              </w:rPr>
              <w:t xml:space="preserve"> </w:t>
            </w:r>
          </w:p>
        </w:tc>
      </w:tr>
    </w:tbl>
    <w:p w14:paraId="17B75E73" w14:textId="13BFC6A3" w:rsidR="00725E0C" w:rsidRPr="00F36A9C" w:rsidRDefault="00725E0C" w:rsidP="00725E0C">
      <w:pPr>
        <w:tabs>
          <w:tab w:val="left" w:pos="3975"/>
        </w:tabs>
        <w:spacing w:after="0" w:line="240" w:lineRule="auto"/>
        <w:jc w:val="both"/>
        <w:rPr>
          <w:rFonts w:ascii="Times New Roman" w:hAnsi="Times New Roman" w:cs="Times New Roman"/>
          <w:sz w:val="24"/>
          <w:szCs w:val="24"/>
        </w:rPr>
      </w:pPr>
    </w:p>
    <w:p w14:paraId="687CF4F8" w14:textId="33BAAF6B" w:rsidR="004818D5" w:rsidRDefault="00A83A3F" w:rsidP="00E93259">
      <w:pPr>
        <w:pStyle w:val="Heading1"/>
        <w:numPr>
          <w:ilvl w:val="0"/>
          <w:numId w:val="43"/>
        </w:numPr>
        <w:spacing w:after="20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Vides uzlabošana un i</w:t>
      </w:r>
      <w:r w:rsidR="004818D5">
        <w:rPr>
          <w:rFonts w:ascii="Times New Roman" w:hAnsi="Times New Roman" w:cs="Times New Roman"/>
          <w:b/>
          <w:bCs/>
          <w:color w:val="auto"/>
          <w:sz w:val="28"/>
          <w:szCs w:val="28"/>
        </w:rPr>
        <w:t xml:space="preserve">nfrastruktūras </w:t>
      </w:r>
      <w:r>
        <w:rPr>
          <w:rFonts w:ascii="Times New Roman" w:hAnsi="Times New Roman" w:cs="Times New Roman"/>
          <w:b/>
          <w:bCs/>
          <w:color w:val="auto"/>
          <w:sz w:val="28"/>
          <w:szCs w:val="28"/>
        </w:rPr>
        <w:t>efektivizēšana</w:t>
      </w:r>
    </w:p>
    <w:p w14:paraId="43F04681" w14:textId="672285FB" w:rsidR="00530E34" w:rsidRDefault="00354888" w:rsidP="009B304C">
      <w:pPr>
        <w:spacing w:after="120"/>
        <w:ind w:firstLine="72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Turpinot iesāktos darbus reformas ietvaros ir nepieciešams papildus veikt vides uzlabošanas un infrastruktūras efektivizēšanas pasākumus, kuru kopīgu izpildes rezultātā uzlabosies pakalpojumu kvalitāte, pacientu un ārstniecības personāla drošība, kā arī palielināsies </w:t>
      </w:r>
      <w:r w:rsidR="007E6C32">
        <w:rPr>
          <w:rFonts w:ascii="Times New Roman" w:eastAsia="Times New Roman" w:hAnsi="Times New Roman"/>
          <w:sz w:val="24"/>
          <w:szCs w:val="24"/>
          <w:lang w:eastAsia="lv-LV" w:bidi="lo-LA"/>
        </w:rPr>
        <w:t>pakalpojumu pieejamība un diagnostikas iespējas.</w:t>
      </w:r>
    </w:p>
    <w:p w14:paraId="327AD19D" w14:textId="77777777" w:rsidR="00530E34" w:rsidRDefault="00530E34" w:rsidP="009B304C">
      <w:pPr>
        <w:spacing w:after="120"/>
        <w:ind w:firstLine="720"/>
        <w:jc w:val="both"/>
        <w:rPr>
          <w:rFonts w:ascii="Times New Roman" w:eastAsia="Times New Roman" w:hAnsi="Times New Roman"/>
          <w:sz w:val="24"/>
          <w:szCs w:val="24"/>
          <w:lang w:eastAsia="lv-LV" w:bidi="lo-LA"/>
        </w:rPr>
      </w:pPr>
    </w:p>
    <w:p w14:paraId="10C29508" w14:textId="49C2DB41" w:rsidR="0042613F" w:rsidRPr="0042613F" w:rsidRDefault="003D05E5" w:rsidP="0042613F">
      <w:pPr>
        <w:pStyle w:val="ListParagraph"/>
        <w:numPr>
          <w:ilvl w:val="1"/>
          <w:numId w:val="43"/>
        </w:numPr>
        <w:shd w:val="clear" w:color="auto" w:fill="FFFFFF" w:themeFill="background1"/>
        <w:jc w:val="center"/>
        <w:rPr>
          <w:rFonts w:ascii="Times New Roman" w:hAnsi="Times New Roman"/>
          <w:b/>
          <w:bCs/>
          <w:sz w:val="24"/>
          <w:szCs w:val="24"/>
        </w:rPr>
      </w:pPr>
      <w:r>
        <w:rPr>
          <w:rFonts w:ascii="Times New Roman" w:hAnsi="Times New Roman"/>
          <w:b/>
          <w:bCs/>
          <w:color w:val="000000" w:themeColor="text1"/>
          <w:sz w:val="24"/>
          <w:szCs w:val="24"/>
        </w:rPr>
        <w:t xml:space="preserve"> </w:t>
      </w:r>
      <w:r w:rsidR="0042613F" w:rsidRPr="0042613F">
        <w:rPr>
          <w:rFonts w:ascii="Times New Roman" w:hAnsi="Times New Roman"/>
          <w:b/>
          <w:bCs/>
          <w:color w:val="000000" w:themeColor="text1"/>
          <w:sz w:val="24"/>
          <w:szCs w:val="24"/>
        </w:rPr>
        <w:t xml:space="preserve">Jaunais reformas pasākums 2019.gadam - </w:t>
      </w:r>
      <w:r w:rsidR="0042613F" w:rsidRPr="0042613F">
        <w:rPr>
          <w:rFonts w:ascii="Times New Roman" w:hAnsi="Times New Roman"/>
          <w:b/>
          <w:bCs/>
          <w:sz w:val="24"/>
          <w:szCs w:val="24"/>
        </w:rPr>
        <w:t>Valsts asinsdonoru centra  struktūras un procesu darbības efektivitātes uzlabošana paaugstinot sagatavoto komponentu drošību</w:t>
      </w:r>
    </w:p>
    <w:p w14:paraId="13DC18FE" w14:textId="77777777" w:rsidR="0042613F" w:rsidRDefault="0042613F" w:rsidP="0042613F">
      <w:pPr>
        <w:pStyle w:val="Default"/>
        <w:spacing w:after="120" w:line="276" w:lineRule="auto"/>
        <w:ind w:firstLine="720"/>
        <w:jc w:val="both"/>
      </w:pPr>
      <w:r w:rsidRPr="001F2103">
        <w:t>Ministru kabineta pieņem</w:t>
      </w:r>
      <w:r>
        <w:t>t</w:t>
      </w:r>
      <w:r w:rsidRPr="001F2103">
        <w:t xml:space="preserve">ais </w:t>
      </w:r>
      <w:r w:rsidRPr="64AB90BD">
        <w:t xml:space="preserve">Informatīvais ziņojums “Par veselības reformas pasākumu īstenošanu 2018.gadā”, uzsāka jaunu reformas iniciatīvu infekciju slimību izplatības mazināšanā, kas paredzēja jaunas </w:t>
      </w:r>
      <w:r w:rsidRPr="00847710">
        <w:rPr>
          <w:rFonts w:eastAsia="Times New Roman"/>
        </w:rPr>
        <w:t xml:space="preserve">tehnoloģijas </w:t>
      </w:r>
      <w:r>
        <w:rPr>
          <w:rFonts w:eastAsia="Times New Roman"/>
        </w:rPr>
        <w:t>ieviešanu Valsts asinsdonoru centra (turpmāk- VADC) donoru asins paraugu izmeklēšanā, tādejādi</w:t>
      </w:r>
      <w:r w:rsidRPr="00847710">
        <w:rPr>
          <w:rFonts w:eastAsia="Times New Roman"/>
        </w:rPr>
        <w:t xml:space="preserve"> samazinot infekciju (HIV, HBV vai HCV) pārnešanas risku asins komponentu recipientiem.</w:t>
      </w:r>
      <w:r>
        <w:rPr>
          <w:rFonts w:eastAsia="Times New Roman"/>
        </w:rPr>
        <w:t xml:space="preserve"> Turpinot šo iniciatīvu, nākamais posms kvalitatīvu donoru asins komponentu nodrošināšanā pacientiem ir </w:t>
      </w:r>
      <w:r w:rsidRPr="00A50719">
        <w:t>asins komponentu sagatavošanas, uzglabāšanas un izplatīšanas procesa nepārtrauktība</w:t>
      </w:r>
      <w:r>
        <w:t xml:space="preserve">, ko nodrošina </w:t>
      </w:r>
      <w:r w:rsidRPr="3AC8A380">
        <w:rPr>
          <w:i/>
          <w:iCs/>
        </w:rPr>
        <w:t xml:space="preserve"> </w:t>
      </w:r>
      <w:r w:rsidRPr="00E2748C">
        <w:t xml:space="preserve">VADC Rīgā ar filiāli Rēzeknē un septiņas reģionālās Asins sagatavošanas nodaļas </w:t>
      </w:r>
      <w:r>
        <w:t xml:space="preserve">(turpmāk – ASN) </w:t>
      </w:r>
      <w:r w:rsidRPr="00E2748C">
        <w:t xml:space="preserve">reģionālajās slimnīcās Daugavpilī, Liepājā, Valmierā, Jelgavā, Jēkabpilī Ventspilī un Rīgas Austrumu klīniskajā universitātes slimnīcā. </w:t>
      </w:r>
      <w:r>
        <w:t>Šīs iestādes, kuras ietilpst valsts asins krājumu sagatavošanā un nodrošināšanā pacientiem, reformas ietvaros plānots saistīt vienotā asins dienestā, kas tiks nodefinēts veicot grozījumus normatīvajos aktos.</w:t>
      </w:r>
    </w:p>
    <w:p w14:paraId="7DB78DE1" w14:textId="77777777" w:rsidR="0042613F" w:rsidRPr="00E93259" w:rsidRDefault="0042613F" w:rsidP="0042613F">
      <w:pPr>
        <w:pStyle w:val="Default"/>
        <w:spacing w:after="120" w:line="276" w:lineRule="auto"/>
        <w:ind w:firstLine="720"/>
        <w:jc w:val="both"/>
        <w:rPr>
          <w:b/>
          <w:bCs/>
        </w:rPr>
      </w:pPr>
      <w:r w:rsidRPr="009A6CD2">
        <w:rPr>
          <w:b/>
          <w:bCs/>
          <w:color w:val="auto"/>
        </w:rPr>
        <w:lastRenderedPageBreak/>
        <w:t>Prioritārā pasākuma mērķis:</w:t>
      </w:r>
      <w:r w:rsidRPr="001E4659">
        <w:rPr>
          <w:b/>
          <w:bCs/>
          <w:color w:val="auto"/>
        </w:rPr>
        <w:t xml:space="preserve"> </w:t>
      </w:r>
      <w:r w:rsidRPr="001A0684">
        <w:rPr>
          <w:b/>
          <w:bCs/>
        </w:rPr>
        <w:t>Vienota asins dienesta attīstības ietvaros, veikt medicīnisko iekārtu, kurām ir beidzies ražotāja paredzētais resursu lietošanas periods, nomaiņu un jaunu tehnoloģiju ieviešanu visā valstī, tādejādi nodrošinot kvalitatīvu asins un asins ko</w:t>
      </w:r>
      <w:r w:rsidRPr="00DA1AFB">
        <w:rPr>
          <w:b/>
          <w:bCs/>
        </w:rPr>
        <w:t>mponentu sagatavošanas nepārtrauktību un novērstu potenciālo asins komponentu trūkuma risku pacientiem, tādejādi paaugstinot atveseļošanās intensitāti un kvalitāti, kas saistīts ar pacientu sekmīgu atgriešanos ikdienā.</w:t>
      </w:r>
    </w:p>
    <w:p w14:paraId="05CAE721" w14:textId="77777777" w:rsidR="0042613F" w:rsidRDefault="0042613F" w:rsidP="0042613F">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Reģionālo slimnīcu ASN esošās iekārtas, kuras plānots nomainīt  ir VADC tātad valsts  īpašumā, bet nodotas slimnīcām uz patapinājuma līguma pamata 2005.-2006. gadā. Attiecīgi šābrīža iekārtu nolietojums un atlikusī vērtība ir 0. Tākā VADC ir valsts budžeta iestāde, tad līdzšinējā periodā iestādei iekārtu nomaiņa nav bijusi pieejama arī no Eiropas struktūrfondu un investīciju līdzekļiem</w:t>
      </w:r>
    </w:p>
    <w:p w14:paraId="5411902A" w14:textId="4CB437E6" w:rsidR="0042613F" w:rsidRPr="004D2D57" w:rsidRDefault="0042613F" w:rsidP="0042613F">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L</w:t>
      </w:r>
      <w:r w:rsidRPr="00A50719">
        <w:rPr>
          <w:rFonts w:ascii="Times New Roman" w:hAnsi="Times New Roman" w:cs="Times New Roman"/>
          <w:sz w:val="24"/>
          <w:szCs w:val="24"/>
        </w:rPr>
        <w:t>ai veiktu medicīnisko iekārtu, kurām ir beidzies ražotāja paredzētais resursu lietošanas periods, nomaiņu</w:t>
      </w:r>
      <w:r>
        <w:rPr>
          <w:rFonts w:ascii="Times New Roman" w:hAnsi="Times New Roman" w:cs="Times New Roman"/>
          <w:sz w:val="24"/>
          <w:szCs w:val="24"/>
        </w:rPr>
        <w:t xml:space="preserve"> visā valstī un jaunu tehnoloģiju ieviešanu</w:t>
      </w:r>
      <w:r w:rsidRPr="00A50719">
        <w:rPr>
          <w:rFonts w:ascii="Times New Roman" w:hAnsi="Times New Roman" w:cs="Times New Roman"/>
          <w:sz w:val="24"/>
          <w:szCs w:val="24"/>
        </w:rPr>
        <w:t>, 2019.gadā</w:t>
      </w:r>
      <w:r>
        <w:rPr>
          <w:rFonts w:ascii="Times New Roman" w:hAnsi="Times New Roman" w:cs="Times New Roman"/>
          <w:sz w:val="24"/>
          <w:szCs w:val="24"/>
        </w:rPr>
        <w:t xml:space="preserve"> nepieciešams</w:t>
      </w:r>
      <w:r w:rsidRPr="00A50719">
        <w:rPr>
          <w:rFonts w:ascii="Times New Roman" w:hAnsi="Times New Roman" w:cs="Times New Roman"/>
          <w:sz w:val="24"/>
          <w:szCs w:val="24"/>
        </w:rPr>
        <w:t xml:space="preserve"> finansējums </w:t>
      </w:r>
      <w:r w:rsidRPr="00A50719">
        <w:rPr>
          <w:rFonts w:ascii="Times New Roman" w:hAnsi="Times New Roman" w:cs="Times New Roman"/>
          <w:b/>
          <w:sz w:val="24"/>
          <w:szCs w:val="24"/>
        </w:rPr>
        <w:t>994 500</w:t>
      </w:r>
      <w:r w:rsidRPr="00A50719">
        <w:rPr>
          <w:rFonts w:ascii="Times New Roman" w:hAnsi="Times New Roman" w:cs="Times New Roman"/>
          <w:sz w:val="24"/>
          <w:szCs w:val="24"/>
        </w:rPr>
        <w:t xml:space="preserve"> </w:t>
      </w:r>
      <w:r w:rsidRPr="00CD7DB3">
        <w:rPr>
          <w:rFonts w:ascii="Times New Roman" w:hAnsi="Times New Roman" w:cs="Times New Roman"/>
          <w:i/>
          <w:sz w:val="24"/>
          <w:szCs w:val="24"/>
        </w:rPr>
        <w:t>euro</w:t>
      </w:r>
      <w:r w:rsidRPr="00A50719">
        <w:rPr>
          <w:rFonts w:ascii="Times New Roman" w:hAnsi="Times New Roman" w:cs="Times New Roman"/>
          <w:sz w:val="24"/>
          <w:szCs w:val="24"/>
        </w:rPr>
        <w:t xml:space="preserve"> apmērā </w:t>
      </w:r>
      <w:r w:rsidRPr="00963E53">
        <w:rPr>
          <w:rFonts w:ascii="Times New Roman" w:hAnsi="Times New Roman" w:cs="Times New Roman"/>
          <w:sz w:val="24"/>
          <w:szCs w:val="24"/>
        </w:rPr>
        <w:t>(</w:t>
      </w:r>
      <w:r w:rsidR="00F56DA4">
        <w:rPr>
          <w:rFonts w:ascii="Times New Roman" w:hAnsi="Times New Roman" w:cs="Times New Roman"/>
          <w:sz w:val="24"/>
          <w:szCs w:val="24"/>
        </w:rPr>
        <w:t>101</w:t>
      </w:r>
      <w:r w:rsidRPr="00963E53">
        <w:rPr>
          <w:rFonts w:ascii="Times New Roman" w:hAnsi="Times New Roman" w:cs="Times New Roman"/>
          <w:sz w:val="24"/>
          <w:szCs w:val="24"/>
        </w:rPr>
        <w:t>. tabula).</w:t>
      </w:r>
      <w:r>
        <w:rPr>
          <w:rFonts w:ascii="Times New Roman" w:hAnsi="Times New Roman" w:cs="Times New Roman"/>
          <w:i/>
          <w:sz w:val="24"/>
          <w:szCs w:val="24"/>
        </w:rPr>
        <w:t xml:space="preserve"> </w:t>
      </w:r>
      <w:r w:rsidRPr="004D2D57">
        <w:rPr>
          <w:rFonts w:ascii="Times New Roman" w:hAnsi="Times New Roman" w:cs="Times New Roman"/>
          <w:sz w:val="24"/>
          <w:szCs w:val="24"/>
        </w:rPr>
        <w:t xml:space="preserve">Vienlaikus reformas ietvaros tiks realizēta vienotu kvalitātes sistēmas prasību ieviešana ko nosaka </w:t>
      </w:r>
      <w:r>
        <w:rPr>
          <w:rFonts w:ascii="Times New Roman" w:hAnsi="Times New Roman" w:cs="Times New Roman"/>
          <w:sz w:val="24"/>
          <w:szCs w:val="24"/>
        </w:rPr>
        <w:t>“Labas prakses pamatnostādnes asins sagatavotājiestādēm, kurām jāievēro Direktīvas 2005/62/EK prasības”(ES 2016/1214).</w:t>
      </w:r>
    </w:p>
    <w:p w14:paraId="40D4776B" w14:textId="51D1959F" w:rsidR="0042613F" w:rsidRPr="00E93259" w:rsidRDefault="00F56DA4" w:rsidP="0042613F">
      <w:pPr>
        <w:spacing w:after="100" w:afterAutospacing="1"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10</w:t>
      </w:r>
      <w:r w:rsidR="00500E42">
        <w:rPr>
          <w:rFonts w:ascii="Times New Roman" w:hAnsi="Times New Roman" w:cs="Times New Roman"/>
          <w:i/>
          <w:iCs/>
          <w:sz w:val="24"/>
          <w:szCs w:val="24"/>
        </w:rPr>
        <w:t>6</w:t>
      </w:r>
      <w:r w:rsidR="0042613F" w:rsidRPr="3AC8A380">
        <w:rPr>
          <w:rFonts w:ascii="Times New Roman" w:hAnsi="Times New Roman" w:cs="Times New Roman"/>
          <w:i/>
          <w:iCs/>
          <w:sz w:val="24"/>
          <w:szCs w:val="24"/>
        </w:rPr>
        <w:t>.tabula</w:t>
      </w:r>
    </w:p>
    <w:p w14:paraId="31F62DBF" w14:textId="77777777" w:rsidR="0042613F" w:rsidRPr="00C86312" w:rsidRDefault="0042613F" w:rsidP="00862ABB">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Valsts asinsdonoru centram nepieciešamais finansējums medicīnas ierīču nomaiņai 2019.gadā</w:t>
      </w:r>
    </w:p>
    <w:tbl>
      <w:tblPr>
        <w:tblW w:w="8779" w:type="dxa"/>
        <w:jc w:val="center"/>
        <w:tblLook w:val="04A0" w:firstRow="1" w:lastRow="0" w:firstColumn="1" w:lastColumn="0" w:noHBand="0" w:noVBand="1"/>
      </w:tblPr>
      <w:tblGrid>
        <w:gridCol w:w="3178"/>
        <w:gridCol w:w="1341"/>
        <w:gridCol w:w="1370"/>
        <w:gridCol w:w="1472"/>
        <w:gridCol w:w="1418"/>
      </w:tblGrid>
      <w:tr w:rsidR="0042613F" w14:paraId="266654E2" w14:textId="77777777" w:rsidTr="00BC7CE7">
        <w:trPr>
          <w:trHeight w:val="310"/>
          <w:jc w:val="center"/>
        </w:trPr>
        <w:tc>
          <w:tcPr>
            <w:tcW w:w="3178"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4C45C51D" w14:textId="77777777" w:rsidR="0042613F" w:rsidRPr="00CD7DB3" w:rsidRDefault="0042613F" w:rsidP="00A842CF">
            <w:pPr>
              <w:spacing w:after="0" w:line="240" w:lineRule="auto"/>
              <w:jc w:val="center"/>
              <w:rPr>
                <w:rFonts w:ascii="Times New Roman" w:eastAsia="Times New Roman" w:hAnsi="Times New Roman" w:cs="Times New Roman"/>
                <w:b/>
                <w:bCs/>
                <w:color w:val="000000" w:themeColor="text1"/>
                <w:sz w:val="20"/>
                <w:szCs w:val="20"/>
                <w:lang w:eastAsia="lv-LV"/>
              </w:rPr>
            </w:pPr>
            <w:r w:rsidRPr="00CD7DB3">
              <w:rPr>
                <w:rFonts w:ascii="Times New Roman" w:eastAsia="Times New Roman" w:hAnsi="Times New Roman" w:cs="Times New Roman"/>
                <w:b/>
                <w:bCs/>
                <w:color w:val="000000"/>
                <w:sz w:val="20"/>
                <w:szCs w:val="20"/>
                <w:lang w:eastAsia="lv-LV"/>
              </w:rPr>
              <w:t>Ierīču pozīcija</w:t>
            </w:r>
          </w:p>
        </w:tc>
        <w:tc>
          <w:tcPr>
            <w:tcW w:w="1341"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2BA7C360" w14:textId="77777777" w:rsidR="0042613F" w:rsidRPr="00CD7DB3" w:rsidRDefault="0042613F" w:rsidP="00A842CF">
            <w:pPr>
              <w:spacing w:after="0" w:line="240" w:lineRule="auto"/>
              <w:jc w:val="center"/>
              <w:rPr>
                <w:rFonts w:ascii="Times New Roman" w:eastAsia="Times New Roman" w:hAnsi="Times New Roman" w:cs="Times New Roman"/>
                <w:b/>
                <w:bCs/>
                <w:color w:val="000000"/>
                <w:sz w:val="20"/>
                <w:szCs w:val="20"/>
                <w:lang w:eastAsia="lv-LV"/>
              </w:rPr>
            </w:pPr>
            <w:r w:rsidRPr="00CD7DB3">
              <w:rPr>
                <w:rFonts w:ascii="Times New Roman" w:eastAsia="Times New Roman" w:hAnsi="Times New Roman" w:cs="Times New Roman"/>
                <w:b/>
                <w:bCs/>
                <w:color w:val="000000"/>
                <w:sz w:val="20"/>
                <w:szCs w:val="20"/>
                <w:lang w:eastAsia="lv-LV"/>
              </w:rPr>
              <w:t xml:space="preserve">Cena bez PVN, </w:t>
            </w:r>
            <w:r w:rsidRPr="00CD7DB3">
              <w:rPr>
                <w:rFonts w:ascii="Times New Roman" w:eastAsia="Times New Roman" w:hAnsi="Times New Roman" w:cs="Times New Roman"/>
                <w:b/>
                <w:bCs/>
                <w:i/>
                <w:color w:val="000000"/>
                <w:sz w:val="20"/>
                <w:szCs w:val="20"/>
                <w:lang w:eastAsia="lv-LV"/>
              </w:rPr>
              <w:t>euro</w:t>
            </w:r>
          </w:p>
        </w:tc>
        <w:tc>
          <w:tcPr>
            <w:tcW w:w="1370"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5DFF0B8C" w14:textId="77777777" w:rsidR="0042613F" w:rsidRPr="00CD7DB3" w:rsidRDefault="0042613F" w:rsidP="00A842CF">
            <w:pPr>
              <w:spacing w:after="0" w:line="240" w:lineRule="auto"/>
              <w:jc w:val="center"/>
              <w:rPr>
                <w:rFonts w:ascii="Times New Roman" w:eastAsia="Times New Roman" w:hAnsi="Times New Roman" w:cs="Times New Roman"/>
                <w:b/>
                <w:bCs/>
                <w:color w:val="000000" w:themeColor="text1"/>
                <w:sz w:val="20"/>
                <w:szCs w:val="20"/>
                <w:lang w:eastAsia="lv-LV"/>
              </w:rPr>
            </w:pPr>
            <w:r w:rsidRPr="00CD7DB3">
              <w:rPr>
                <w:rFonts w:ascii="Times New Roman" w:eastAsia="Times New Roman" w:hAnsi="Times New Roman" w:cs="Times New Roman"/>
                <w:b/>
                <w:bCs/>
                <w:color w:val="000000"/>
                <w:sz w:val="20"/>
                <w:szCs w:val="20"/>
                <w:lang w:eastAsia="lv-LV"/>
              </w:rPr>
              <w:t>Daudzums, gab.</w:t>
            </w:r>
          </w:p>
        </w:tc>
        <w:tc>
          <w:tcPr>
            <w:tcW w:w="1472" w:type="dxa"/>
            <w:tcBorders>
              <w:top w:val="single" w:sz="8" w:space="0" w:color="auto"/>
              <w:left w:val="nil"/>
              <w:bottom w:val="single" w:sz="8" w:space="0" w:color="auto"/>
              <w:right w:val="single" w:sz="4" w:space="0" w:color="auto"/>
            </w:tcBorders>
            <w:shd w:val="clear" w:color="auto" w:fill="E36C0A" w:themeFill="accent6" w:themeFillShade="BF"/>
            <w:vAlign w:val="center"/>
          </w:tcPr>
          <w:p w14:paraId="1C6AD340" w14:textId="77777777" w:rsidR="0042613F" w:rsidRPr="00CD7DB3" w:rsidRDefault="0042613F" w:rsidP="00A842CF">
            <w:pPr>
              <w:spacing w:after="0" w:line="240" w:lineRule="auto"/>
              <w:jc w:val="center"/>
              <w:rPr>
                <w:rFonts w:ascii="Times New Roman" w:eastAsia="Times New Roman" w:hAnsi="Times New Roman" w:cs="Times New Roman"/>
                <w:b/>
                <w:bCs/>
                <w:color w:val="000000"/>
                <w:sz w:val="20"/>
                <w:szCs w:val="20"/>
                <w:lang w:eastAsia="lv-LV"/>
              </w:rPr>
            </w:pPr>
          </w:p>
          <w:p w14:paraId="49370C7A" w14:textId="77777777" w:rsidR="0042613F" w:rsidRPr="00CD7DB3" w:rsidRDefault="0042613F" w:rsidP="00A842CF">
            <w:pPr>
              <w:spacing w:after="0" w:line="240" w:lineRule="auto"/>
              <w:jc w:val="center"/>
              <w:rPr>
                <w:rFonts w:ascii="Times New Roman" w:eastAsia="Times New Roman" w:hAnsi="Times New Roman" w:cs="Times New Roman"/>
                <w:b/>
                <w:bCs/>
                <w:color w:val="000000"/>
                <w:sz w:val="20"/>
                <w:szCs w:val="20"/>
                <w:lang w:eastAsia="lv-LV"/>
              </w:rPr>
            </w:pPr>
            <w:r w:rsidRPr="00CD7DB3">
              <w:rPr>
                <w:rFonts w:ascii="Times New Roman" w:eastAsia="Times New Roman" w:hAnsi="Times New Roman" w:cs="Times New Roman"/>
                <w:b/>
                <w:bCs/>
                <w:color w:val="000000"/>
                <w:sz w:val="20"/>
                <w:szCs w:val="20"/>
                <w:lang w:eastAsia="lv-LV"/>
              </w:rPr>
              <w:t xml:space="preserve">Summa bez PVN, </w:t>
            </w:r>
            <w:r w:rsidRPr="00CD7DB3">
              <w:rPr>
                <w:rFonts w:ascii="Times New Roman" w:eastAsia="Times New Roman" w:hAnsi="Times New Roman" w:cs="Times New Roman"/>
                <w:b/>
                <w:bCs/>
                <w:i/>
                <w:color w:val="000000"/>
                <w:sz w:val="20"/>
                <w:szCs w:val="20"/>
                <w:lang w:eastAsia="lv-LV"/>
              </w:rPr>
              <w:t>euro</w:t>
            </w:r>
          </w:p>
        </w:tc>
        <w:tc>
          <w:tcPr>
            <w:tcW w:w="1418" w:type="dxa"/>
            <w:tcBorders>
              <w:top w:val="single" w:sz="8" w:space="0" w:color="auto"/>
              <w:left w:val="single" w:sz="4" w:space="0" w:color="auto"/>
              <w:bottom w:val="single" w:sz="8" w:space="0" w:color="auto"/>
              <w:right w:val="single" w:sz="8" w:space="0" w:color="auto"/>
            </w:tcBorders>
            <w:shd w:val="clear" w:color="auto" w:fill="E36C0A" w:themeFill="accent6" w:themeFillShade="BF"/>
            <w:noWrap/>
            <w:vAlign w:val="center"/>
            <w:hideMark/>
          </w:tcPr>
          <w:p w14:paraId="5FE67012" w14:textId="77777777" w:rsidR="0042613F" w:rsidRPr="00CD7DB3" w:rsidRDefault="0042613F" w:rsidP="00A842CF">
            <w:pPr>
              <w:spacing w:after="0" w:line="240" w:lineRule="auto"/>
              <w:jc w:val="center"/>
              <w:rPr>
                <w:rFonts w:ascii="Times New Roman" w:eastAsia="Times New Roman" w:hAnsi="Times New Roman" w:cs="Times New Roman"/>
                <w:b/>
                <w:bCs/>
                <w:color w:val="000000"/>
                <w:sz w:val="20"/>
                <w:szCs w:val="20"/>
                <w:lang w:eastAsia="lv-LV"/>
              </w:rPr>
            </w:pPr>
            <w:r w:rsidRPr="00CD7DB3">
              <w:rPr>
                <w:rFonts w:ascii="Times New Roman" w:eastAsia="Times New Roman" w:hAnsi="Times New Roman" w:cs="Times New Roman"/>
                <w:b/>
                <w:bCs/>
                <w:color w:val="000000"/>
                <w:sz w:val="20"/>
                <w:szCs w:val="20"/>
                <w:lang w:eastAsia="lv-LV"/>
              </w:rPr>
              <w:t xml:space="preserve">Summa ar 21% PVN, </w:t>
            </w:r>
            <w:r w:rsidRPr="00CD7DB3">
              <w:rPr>
                <w:rFonts w:ascii="Times New Roman" w:eastAsia="Times New Roman" w:hAnsi="Times New Roman" w:cs="Times New Roman"/>
                <w:b/>
                <w:bCs/>
                <w:i/>
                <w:color w:val="000000"/>
                <w:sz w:val="20"/>
                <w:szCs w:val="20"/>
                <w:lang w:eastAsia="lv-LV"/>
              </w:rPr>
              <w:t>euro</w:t>
            </w:r>
          </w:p>
        </w:tc>
      </w:tr>
      <w:tr w:rsidR="0042613F" w14:paraId="5EC9EFF7" w14:textId="77777777" w:rsidTr="00A842CF">
        <w:trPr>
          <w:trHeight w:val="320"/>
          <w:jc w:val="center"/>
        </w:trPr>
        <w:tc>
          <w:tcPr>
            <w:tcW w:w="3178"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3ED31C9F" w14:textId="77777777" w:rsidR="0042613F" w:rsidRPr="00CD7DB3" w:rsidRDefault="0042613F" w:rsidP="00A842CF">
            <w:pPr>
              <w:spacing w:after="0" w:line="240" w:lineRule="auto"/>
              <w:jc w:val="both"/>
              <w:rPr>
                <w:rFonts w:ascii="Times New Roman" w:eastAsia="Times New Roman" w:hAnsi="Times New Roman" w:cs="Times New Roman"/>
                <w:b/>
                <w:bCs/>
                <w:color w:val="000000" w:themeColor="text1"/>
                <w:sz w:val="20"/>
                <w:szCs w:val="20"/>
                <w:lang w:eastAsia="lv-LV"/>
              </w:rPr>
            </w:pPr>
            <w:r w:rsidRPr="00CD7DB3">
              <w:rPr>
                <w:rFonts w:ascii="Times New Roman" w:hAnsi="Times New Roman" w:cs="Times New Roman"/>
                <w:b/>
                <w:bCs/>
                <w:sz w:val="20"/>
                <w:szCs w:val="20"/>
              </w:rPr>
              <w:t>Asins komponentu uzglabāšanas</w:t>
            </w:r>
            <w:r w:rsidRPr="00CD7DB3">
              <w:rPr>
                <w:sz w:val="20"/>
                <w:szCs w:val="20"/>
              </w:rPr>
              <w:t xml:space="preserve"> </w:t>
            </w:r>
            <w:r w:rsidRPr="00CD7DB3">
              <w:rPr>
                <w:rFonts w:ascii="Times New Roman" w:eastAsia="Times New Roman" w:hAnsi="Times New Roman" w:cs="Times New Roman"/>
                <w:b/>
                <w:bCs/>
                <w:color w:val="000000"/>
                <w:sz w:val="20"/>
                <w:szCs w:val="20"/>
                <w:lang w:eastAsia="lv-LV"/>
              </w:rPr>
              <w:t>iekārtu iegāde, t.sk.</w:t>
            </w:r>
          </w:p>
        </w:tc>
        <w:tc>
          <w:tcPr>
            <w:tcW w:w="1341" w:type="dxa"/>
            <w:tcBorders>
              <w:top w:val="nil"/>
              <w:left w:val="nil"/>
              <w:bottom w:val="single" w:sz="8" w:space="0" w:color="auto"/>
              <w:right w:val="single" w:sz="8" w:space="0" w:color="auto"/>
            </w:tcBorders>
            <w:shd w:val="clear" w:color="auto" w:fill="FDE9D9" w:themeFill="accent6" w:themeFillTint="33"/>
            <w:noWrap/>
            <w:vAlign w:val="center"/>
            <w:hideMark/>
          </w:tcPr>
          <w:p w14:paraId="43FDD448" w14:textId="77777777" w:rsidR="0042613F" w:rsidRPr="00CD7DB3" w:rsidRDefault="0042613F" w:rsidP="00A842CF">
            <w:pPr>
              <w:spacing w:after="0" w:line="240" w:lineRule="auto"/>
              <w:jc w:val="center"/>
              <w:rPr>
                <w:rFonts w:ascii="Times New Roman" w:eastAsia="Times New Roman" w:hAnsi="Times New Roman" w:cs="Times New Roman"/>
                <w:b/>
                <w:bCs/>
                <w:color w:val="000000" w:themeColor="text1"/>
                <w:sz w:val="20"/>
                <w:szCs w:val="20"/>
                <w:lang w:eastAsia="lv-LV"/>
              </w:rPr>
            </w:pPr>
          </w:p>
        </w:tc>
        <w:tc>
          <w:tcPr>
            <w:tcW w:w="1370" w:type="dxa"/>
            <w:tcBorders>
              <w:top w:val="nil"/>
              <w:left w:val="nil"/>
              <w:bottom w:val="single" w:sz="8" w:space="0" w:color="auto"/>
              <w:right w:val="single" w:sz="8" w:space="0" w:color="auto"/>
            </w:tcBorders>
            <w:shd w:val="clear" w:color="auto" w:fill="FDE9D9" w:themeFill="accent6" w:themeFillTint="33"/>
            <w:noWrap/>
            <w:vAlign w:val="center"/>
            <w:hideMark/>
          </w:tcPr>
          <w:p w14:paraId="7BC5A3CC" w14:textId="77777777" w:rsidR="0042613F" w:rsidRPr="00CD7DB3" w:rsidRDefault="0042613F" w:rsidP="00A842CF">
            <w:pPr>
              <w:spacing w:after="0" w:line="240" w:lineRule="auto"/>
              <w:jc w:val="center"/>
              <w:rPr>
                <w:rFonts w:ascii="Times New Roman" w:eastAsia="Times New Roman" w:hAnsi="Times New Roman" w:cs="Times New Roman"/>
                <w:b/>
                <w:bCs/>
                <w:color w:val="000000" w:themeColor="text1"/>
                <w:sz w:val="20"/>
                <w:szCs w:val="20"/>
                <w:lang w:eastAsia="lv-LV"/>
              </w:rPr>
            </w:pPr>
          </w:p>
        </w:tc>
        <w:tc>
          <w:tcPr>
            <w:tcW w:w="1472" w:type="dxa"/>
            <w:tcBorders>
              <w:top w:val="nil"/>
              <w:left w:val="nil"/>
              <w:bottom w:val="single" w:sz="8" w:space="0" w:color="auto"/>
              <w:right w:val="single" w:sz="4" w:space="0" w:color="auto"/>
            </w:tcBorders>
            <w:shd w:val="clear" w:color="auto" w:fill="FDE9D9" w:themeFill="accent6" w:themeFillTint="33"/>
            <w:vAlign w:val="center"/>
          </w:tcPr>
          <w:p w14:paraId="6829BA8C" w14:textId="77777777" w:rsidR="0042613F" w:rsidRPr="00CD7DB3" w:rsidRDefault="0042613F" w:rsidP="00A842CF">
            <w:pPr>
              <w:spacing w:after="0" w:line="240" w:lineRule="auto"/>
              <w:jc w:val="center"/>
              <w:rPr>
                <w:rFonts w:ascii="Times New Roman" w:eastAsia="Times New Roman" w:hAnsi="Times New Roman" w:cs="Times New Roman"/>
                <w:b/>
                <w:bCs/>
                <w:color w:val="000000"/>
                <w:sz w:val="20"/>
                <w:szCs w:val="20"/>
                <w:lang w:eastAsia="lv-LV"/>
              </w:rPr>
            </w:pPr>
          </w:p>
        </w:tc>
        <w:tc>
          <w:tcPr>
            <w:tcW w:w="1418"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23E68D5D" w14:textId="77777777" w:rsidR="0042613F" w:rsidRPr="00CD7DB3" w:rsidRDefault="0042613F" w:rsidP="00A842CF">
            <w:pPr>
              <w:spacing w:after="0" w:line="240" w:lineRule="auto"/>
              <w:jc w:val="center"/>
              <w:rPr>
                <w:rFonts w:ascii="Times New Roman" w:eastAsia="Times New Roman" w:hAnsi="Times New Roman" w:cs="Times New Roman"/>
                <w:b/>
                <w:bCs/>
                <w:color w:val="000000" w:themeColor="text1"/>
                <w:sz w:val="20"/>
                <w:szCs w:val="20"/>
                <w:lang w:eastAsia="lv-LV"/>
              </w:rPr>
            </w:pPr>
            <w:r w:rsidRPr="00CD7DB3">
              <w:rPr>
                <w:rFonts w:ascii="Times New Roman" w:eastAsia="Times New Roman" w:hAnsi="Times New Roman" w:cs="Times New Roman"/>
                <w:b/>
                <w:bCs/>
                <w:color w:val="000000" w:themeColor="text1"/>
                <w:sz w:val="20"/>
                <w:szCs w:val="20"/>
                <w:lang w:eastAsia="lv-LV"/>
              </w:rPr>
              <w:t>240 500</w:t>
            </w:r>
          </w:p>
        </w:tc>
      </w:tr>
      <w:tr w:rsidR="0042613F" w14:paraId="35A6233A" w14:textId="77777777" w:rsidTr="00A842CF">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407C601" w14:textId="77777777" w:rsidR="0042613F" w:rsidRPr="00CD7DB3" w:rsidRDefault="0042613F" w:rsidP="00A842CF">
            <w:pPr>
              <w:spacing w:after="0" w:line="240" w:lineRule="auto"/>
              <w:jc w:val="right"/>
              <w:rPr>
                <w:rFonts w:ascii="Times New Roman" w:eastAsia="Times New Roman" w:hAnsi="Times New Roman" w:cs="Times New Roman"/>
                <w:color w:val="000000" w:themeColor="text1"/>
                <w:sz w:val="20"/>
                <w:szCs w:val="20"/>
                <w:lang w:eastAsia="lv-LV"/>
              </w:rPr>
            </w:pPr>
            <w:r w:rsidRPr="00CD7DB3">
              <w:rPr>
                <w:rFonts w:ascii="Times New Roman" w:eastAsia="Times New Roman" w:hAnsi="Times New Roman" w:cs="Times New Roman"/>
                <w:color w:val="000000"/>
                <w:sz w:val="20"/>
                <w:szCs w:val="20"/>
                <w:lang w:eastAsia="lv-LV"/>
              </w:rPr>
              <w:t>Aukstuma kamera</w:t>
            </w:r>
          </w:p>
        </w:tc>
        <w:tc>
          <w:tcPr>
            <w:tcW w:w="1341" w:type="dxa"/>
            <w:tcBorders>
              <w:top w:val="nil"/>
              <w:left w:val="nil"/>
              <w:bottom w:val="single" w:sz="8" w:space="0" w:color="auto"/>
              <w:right w:val="single" w:sz="8" w:space="0" w:color="auto"/>
            </w:tcBorders>
            <w:shd w:val="clear" w:color="auto" w:fill="FFFFFF" w:themeFill="background1"/>
            <w:noWrap/>
            <w:vAlign w:val="center"/>
            <w:hideMark/>
          </w:tcPr>
          <w:p w14:paraId="3943BDB9"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41 322.31</w:t>
            </w:r>
          </w:p>
        </w:tc>
        <w:tc>
          <w:tcPr>
            <w:tcW w:w="1370" w:type="dxa"/>
            <w:tcBorders>
              <w:top w:val="nil"/>
              <w:left w:val="nil"/>
              <w:bottom w:val="single" w:sz="8" w:space="0" w:color="auto"/>
              <w:right w:val="single" w:sz="8" w:space="0" w:color="auto"/>
            </w:tcBorders>
            <w:shd w:val="clear" w:color="auto" w:fill="FFFFFF" w:themeFill="background1"/>
            <w:noWrap/>
            <w:vAlign w:val="center"/>
            <w:hideMark/>
          </w:tcPr>
          <w:p w14:paraId="76D2463C"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1</w:t>
            </w:r>
          </w:p>
        </w:tc>
        <w:tc>
          <w:tcPr>
            <w:tcW w:w="1472" w:type="dxa"/>
            <w:tcBorders>
              <w:top w:val="nil"/>
              <w:left w:val="nil"/>
              <w:bottom w:val="single" w:sz="8" w:space="0" w:color="auto"/>
              <w:right w:val="single" w:sz="4" w:space="0" w:color="auto"/>
            </w:tcBorders>
            <w:shd w:val="clear" w:color="auto" w:fill="FFFFFF" w:themeFill="background1"/>
            <w:vAlign w:val="center"/>
          </w:tcPr>
          <w:p w14:paraId="7BDD5871"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41 322.31</w:t>
            </w:r>
          </w:p>
        </w:tc>
        <w:tc>
          <w:tcPr>
            <w:tcW w:w="1418"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7596CF93"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50 000</w:t>
            </w:r>
          </w:p>
        </w:tc>
      </w:tr>
      <w:tr w:rsidR="0042613F" w14:paraId="364FC419" w14:textId="77777777" w:rsidTr="00A842CF">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1A24668" w14:textId="77777777" w:rsidR="0042613F" w:rsidRPr="00CD7DB3" w:rsidRDefault="0042613F" w:rsidP="00A842CF">
            <w:pPr>
              <w:spacing w:after="0" w:line="240" w:lineRule="auto"/>
              <w:jc w:val="right"/>
              <w:rPr>
                <w:rFonts w:ascii="Times New Roman" w:eastAsia="Times New Roman" w:hAnsi="Times New Roman" w:cs="Times New Roman"/>
                <w:color w:val="000000" w:themeColor="text1"/>
                <w:sz w:val="20"/>
                <w:szCs w:val="20"/>
                <w:lang w:eastAsia="lv-LV"/>
              </w:rPr>
            </w:pPr>
            <w:r w:rsidRPr="00CD7DB3">
              <w:rPr>
                <w:rFonts w:ascii="Times New Roman" w:eastAsia="Times New Roman" w:hAnsi="Times New Roman" w:cs="Times New Roman"/>
                <w:color w:val="000000"/>
                <w:sz w:val="20"/>
                <w:szCs w:val="20"/>
                <w:lang w:eastAsia="lv-LV"/>
              </w:rPr>
              <w:t>Ledusskapji</w:t>
            </w:r>
          </w:p>
        </w:tc>
        <w:tc>
          <w:tcPr>
            <w:tcW w:w="1341" w:type="dxa"/>
            <w:tcBorders>
              <w:top w:val="nil"/>
              <w:left w:val="nil"/>
              <w:bottom w:val="single" w:sz="8" w:space="0" w:color="auto"/>
              <w:right w:val="single" w:sz="8" w:space="0" w:color="auto"/>
            </w:tcBorders>
            <w:shd w:val="clear" w:color="auto" w:fill="FFFFFF" w:themeFill="background1"/>
            <w:noWrap/>
            <w:vAlign w:val="center"/>
            <w:hideMark/>
          </w:tcPr>
          <w:p w14:paraId="0973D18F"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20 66.12</w:t>
            </w:r>
          </w:p>
        </w:tc>
        <w:tc>
          <w:tcPr>
            <w:tcW w:w="1370" w:type="dxa"/>
            <w:tcBorders>
              <w:top w:val="nil"/>
              <w:left w:val="nil"/>
              <w:bottom w:val="single" w:sz="8" w:space="0" w:color="auto"/>
              <w:right w:val="single" w:sz="8" w:space="0" w:color="auto"/>
            </w:tcBorders>
            <w:shd w:val="clear" w:color="auto" w:fill="FFFFFF" w:themeFill="background1"/>
            <w:noWrap/>
            <w:vAlign w:val="center"/>
            <w:hideMark/>
          </w:tcPr>
          <w:p w14:paraId="3B3B2341"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10</w:t>
            </w:r>
          </w:p>
        </w:tc>
        <w:tc>
          <w:tcPr>
            <w:tcW w:w="1472" w:type="dxa"/>
            <w:tcBorders>
              <w:top w:val="nil"/>
              <w:left w:val="nil"/>
              <w:bottom w:val="single" w:sz="8" w:space="0" w:color="auto"/>
              <w:right w:val="single" w:sz="4" w:space="0" w:color="auto"/>
            </w:tcBorders>
            <w:shd w:val="clear" w:color="auto" w:fill="FFFFFF" w:themeFill="background1"/>
            <w:vAlign w:val="center"/>
          </w:tcPr>
          <w:p w14:paraId="66C45951"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20 661.20</w:t>
            </w:r>
          </w:p>
        </w:tc>
        <w:tc>
          <w:tcPr>
            <w:tcW w:w="1418"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15A35710"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25 000</w:t>
            </w:r>
          </w:p>
        </w:tc>
      </w:tr>
      <w:tr w:rsidR="0042613F" w14:paraId="50A9E3CE" w14:textId="77777777" w:rsidTr="00A842CF">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D22D145" w14:textId="77777777" w:rsidR="0042613F" w:rsidRPr="00CD7DB3" w:rsidRDefault="0042613F" w:rsidP="00A842CF">
            <w:pPr>
              <w:spacing w:after="0" w:line="240" w:lineRule="auto"/>
              <w:jc w:val="right"/>
              <w:rPr>
                <w:rFonts w:ascii="Times New Roman" w:eastAsia="Times New Roman" w:hAnsi="Times New Roman" w:cs="Times New Roman"/>
                <w:color w:val="000000" w:themeColor="text1"/>
                <w:sz w:val="20"/>
                <w:szCs w:val="20"/>
                <w:lang w:eastAsia="lv-LV"/>
              </w:rPr>
            </w:pPr>
            <w:r w:rsidRPr="00CD7DB3">
              <w:rPr>
                <w:rFonts w:ascii="Times New Roman" w:eastAsia="Times New Roman" w:hAnsi="Times New Roman" w:cs="Times New Roman"/>
                <w:color w:val="000000"/>
                <w:sz w:val="20"/>
                <w:szCs w:val="20"/>
                <w:lang w:eastAsia="lv-LV"/>
              </w:rPr>
              <w:t>Saldētavas</w:t>
            </w:r>
          </w:p>
        </w:tc>
        <w:tc>
          <w:tcPr>
            <w:tcW w:w="1341" w:type="dxa"/>
            <w:tcBorders>
              <w:top w:val="nil"/>
              <w:left w:val="nil"/>
              <w:bottom w:val="single" w:sz="8" w:space="0" w:color="auto"/>
              <w:right w:val="single" w:sz="8" w:space="0" w:color="auto"/>
            </w:tcBorders>
            <w:shd w:val="clear" w:color="auto" w:fill="FFFFFF" w:themeFill="background1"/>
            <w:noWrap/>
            <w:vAlign w:val="center"/>
            <w:hideMark/>
          </w:tcPr>
          <w:p w14:paraId="2BC303E8"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4 545.45</w:t>
            </w:r>
          </w:p>
        </w:tc>
        <w:tc>
          <w:tcPr>
            <w:tcW w:w="1370" w:type="dxa"/>
            <w:tcBorders>
              <w:top w:val="nil"/>
              <w:left w:val="nil"/>
              <w:bottom w:val="single" w:sz="8" w:space="0" w:color="auto"/>
              <w:right w:val="single" w:sz="8" w:space="0" w:color="auto"/>
            </w:tcBorders>
            <w:shd w:val="clear" w:color="auto" w:fill="FFFFFF" w:themeFill="background1"/>
            <w:noWrap/>
            <w:vAlign w:val="center"/>
            <w:hideMark/>
          </w:tcPr>
          <w:p w14:paraId="7379ABD4"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21</w:t>
            </w:r>
          </w:p>
        </w:tc>
        <w:tc>
          <w:tcPr>
            <w:tcW w:w="1472" w:type="dxa"/>
            <w:tcBorders>
              <w:top w:val="nil"/>
              <w:left w:val="nil"/>
              <w:bottom w:val="single" w:sz="8" w:space="0" w:color="auto"/>
              <w:right w:val="single" w:sz="4" w:space="0" w:color="auto"/>
            </w:tcBorders>
            <w:shd w:val="clear" w:color="auto" w:fill="FFFFFF" w:themeFill="background1"/>
            <w:vAlign w:val="center"/>
          </w:tcPr>
          <w:p w14:paraId="1DC1C7F9"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95 454.45</w:t>
            </w:r>
          </w:p>
        </w:tc>
        <w:tc>
          <w:tcPr>
            <w:tcW w:w="1418"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2E215AEC"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115 500</w:t>
            </w:r>
          </w:p>
        </w:tc>
      </w:tr>
      <w:tr w:rsidR="0042613F" w14:paraId="34E0DBA8" w14:textId="77777777" w:rsidTr="00A842CF">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noWrap/>
            <w:vAlign w:val="center"/>
          </w:tcPr>
          <w:p w14:paraId="20952809" w14:textId="77777777" w:rsidR="0042613F" w:rsidRPr="00CD7DB3" w:rsidRDefault="0042613F" w:rsidP="00A842CF">
            <w:pPr>
              <w:spacing w:after="0" w:line="240" w:lineRule="auto"/>
              <w:jc w:val="right"/>
              <w:rPr>
                <w:rFonts w:ascii="Times New Roman" w:eastAsia="Times New Roman" w:hAnsi="Times New Roman" w:cs="Times New Roman"/>
                <w:color w:val="000000" w:themeColor="text1"/>
                <w:sz w:val="20"/>
                <w:szCs w:val="20"/>
                <w:lang w:eastAsia="lv-LV"/>
              </w:rPr>
            </w:pPr>
            <w:r w:rsidRPr="00CD7DB3">
              <w:rPr>
                <w:rFonts w:ascii="Times New Roman" w:eastAsia="Times New Roman" w:hAnsi="Times New Roman" w:cs="Times New Roman"/>
                <w:color w:val="000000"/>
                <w:sz w:val="20"/>
                <w:szCs w:val="20"/>
                <w:lang w:eastAsia="lv-LV"/>
              </w:rPr>
              <w:t>Temperatūras monitoringa sistēmas (TMS)</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152D9EB7"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p w14:paraId="122E83DD"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41 323.00</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1D855D4D"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p w14:paraId="2059064D"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1</w:t>
            </w:r>
          </w:p>
        </w:tc>
        <w:tc>
          <w:tcPr>
            <w:tcW w:w="1472" w:type="dxa"/>
            <w:tcBorders>
              <w:top w:val="nil"/>
              <w:left w:val="nil"/>
              <w:bottom w:val="single" w:sz="8" w:space="0" w:color="auto"/>
              <w:right w:val="single" w:sz="4" w:space="0" w:color="auto"/>
            </w:tcBorders>
            <w:shd w:val="clear" w:color="auto" w:fill="FFFFFF" w:themeFill="background1"/>
            <w:vAlign w:val="center"/>
          </w:tcPr>
          <w:p w14:paraId="12537BB6"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p w14:paraId="27BDB063" w14:textId="77777777" w:rsidR="0042613F" w:rsidRPr="00CD7DB3" w:rsidRDefault="0042613F" w:rsidP="00A842CF">
            <w:pPr>
              <w:spacing w:after="0" w:line="240" w:lineRule="auto"/>
              <w:jc w:val="center"/>
              <w:rPr>
                <w:rFonts w:ascii="Times New Roman" w:hAnsi="Times New Roman" w:cs="Times New Roman"/>
                <w:color w:val="000000"/>
                <w:sz w:val="20"/>
                <w:szCs w:val="20"/>
              </w:rPr>
            </w:pPr>
            <w:r w:rsidRPr="00CD7DB3">
              <w:rPr>
                <w:rFonts w:ascii="Times New Roman" w:eastAsia="Times New Roman" w:hAnsi="Times New Roman" w:cs="Times New Roman"/>
                <w:color w:val="000000"/>
                <w:sz w:val="20"/>
                <w:szCs w:val="20"/>
                <w:lang w:eastAsia="lv-LV"/>
              </w:rPr>
              <w:t>41 323.00</w:t>
            </w:r>
          </w:p>
        </w:tc>
        <w:tc>
          <w:tcPr>
            <w:tcW w:w="1418"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3249371"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p w14:paraId="1D3928D9"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50 000</w:t>
            </w:r>
          </w:p>
        </w:tc>
      </w:tr>
      <w:tr w:rsidR="0042613F" w14:paraId="4BA6F856" w14:textId="77777777" w:rsidTr="00A842CF">
        <w:trPr>
          <w:trHeight w:val="320"/>
          <w:jc w:val="center"/>
        </w:trPr>
        <w:tc>
          <w:tcPr>
            <w:tcW w:w="3178"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3157992B" w14:textId="77777777" w:rsidR="0042613F" w:rsidRPr="00CD7DB3" w:rsidRDefault="0042613F" w:rsidP="00A842CF">
            <w:pPr>
              <w:spacing w:after="0" w:line="240" w:lineRule="auto"/>
              <w:jc w:val="both"/>
              <w:rPr>
                <w:rFonts w:ascii="Times New Roman" w:eastAsia="Times New Roman" w:hAnsi="Times New Roman" w:cs="Times New Roman"/>
                <w:b/>
                <w:bCs/>
                <w:color w:val="000000" w:themeColor="text1"/>
                <w:sz w:val="20"/>
                <w:szCs w:val="20"/>
                <w:lang w:eastAsia="lv-LV"/>
              </w:rPr>
            </w:pPr>
            <w:r w:rsidRPr="00CD7DB3">
              <w:rPr>
                <w:rFonts w:ascii="Times New Roman" w:hAnsi="Times New Roman" w:cs="Times New Roman"/>
                <w:b/>
                <w:bCs/>
                <w:sz w:val="20"/>
                <w:szCs w:val="20"/>
              </w:rPr>
              <w:t>Asins komponentu sagatavošanas</w:t>
            </w:r>
            <w:r w:rsidRPr="00CD7DB3">
              <w:rPr>
                <w:sz w:val="20"/>
                <w:szCs w:val="20"/>
              </w:rPr>
              <w:t xml:space="preserve"> </w:t>
            </w:r>
            <w:r w:rsidRPr="00CD7DB3">
              <w:rPr>
                <w:rFonts w:ascii="Times New Roman" w:eastAsia="Times New Roman" w:hAnsi="Times New Roman" w:cs="Times New Roman"/>
                <w:b/>
                <w:bCs/>
                <w:color w:val="000000"/>
                <w:sz w:val="20"/>
                <w:szCs w:val="20"/>
                <w:lang w:eastAsia="lv-LV"/>
              </w:rPr>
              <w:t>iekārtu iegāde, t.sk.</w:t>
            </w:r>
          </w:p>
        </w:tc>
        <w:tc>
          <w:tcPr>
            <w:tcW w:w="1341" w:type="dxa"/>
            <w:tcBorders>
              <w:top w:val="nil"/>
              <w:left w:val="nil"/>
              <w:bottom w:val="single" w:sz="8" w:space="0" w:color="auto"/>
              <w:right w:val="single" w:sz="8" w:space="0" w:color="auto"/>
            </w:tcBorders>
            <w:shd w:val="clear" w:color="auto" w:fill="FDE9D9" w:themeFill="accent6" w:themeFillTint="33"/>
            <w:noWrap/>
            <w:vAlign w:val="center"/>
            <w:hideMark/>
          </w:tcPr>
          <w:p w14:paraId="089BD7FF" w14:textId="77777777" w:rsidR="0042613F" w:rsidRPr="00CD7DB3" w:rsidRDefault="0042613F" w:rsidP="00A842CF">
            <w:pPr>
              <w:spacing w:after="0" w:line="240" w:lineRule="auto"/>
              <w:jc w:val="center"/>
              <w:rPr>
                <w:rFonts w:ascii="Times New Roman" w:eastAsia="Times New Roman" w:hAnsi="Times New Roman" w:cs="Times New Roman"/>
                <w:b/>
                <w:bCs/>
                <w:color w:val="000000" w:themeColor="text1"/>
                <w:sz w:val="20"/>
                <w:szCs w:val="20"/>
                <w:lang w:eastAsia="lv-LV"/>
              </w:rPr>
            </w:pPr>
          </w:p>
        </w:tc>
        <w:tc>
          <w:tcPr>
            <w:tcW w:w="1370" w:type="dxa"/>
            <w:tcBorders>
              <w:top w:val="nil"/>
              <w:left w:val="nil"/>
              <w:bottom w:val="single" w:sz="8" w:space="0" w:color="auto"/>
              <w:right w:val="single" w:sz="8" w:space="0" w:color="auto"/>
            </w:tcBorders>
            <w:shd w:val="clear" w:color="auto" w:fill="FDE9D9" w:themeFill="accent6" w:themeFillTint="33"/>
            <w:noWrap/>
            <w:vAlign w:val="center"/>
            <w:hideMark/>
          </w:tcPr>
          <w:p w14:paraId="5DBA0F27" w14:textId="77777777" w:rsidR="0042613F" w:rsidRPr="00CD7DB3" w:rsidRDefault="0042613F" w:rsidP="00A842CF">
            <w:pPr>
              <w:spacing w:after="0" w:line="240" w:lineRule="auto"/>
              <w:jc w:val="center"/>
              <w:rPr>
                <w:rFonts w:ascii="Times New Roman" w:eastAsia="Times New Roman" w:hAnsi="Times New Roman" w:cs="Times New Roman"/>
                <w:b/>
                <w:bCs/>
                <w:color w:val="000000" w:themeColor="text1"/>
                <w:sz w:val="20"/>
                <w:szCs w:val="20"/>
                <w:lang w:eastAsia="lv-LV"/>
              </w:rPr>
            </w:pPr>
          </w:p>
        </w:tc>
        <w:tc>
          <w:tcPr>
            <w:tcW w:w="1472" w:type="dxa"/>
            <w:tcBorders>
              <w:top w:val="nil"/>
              <w:left w:val="nil"/>
              <w:bottom w:val="single" w:sz="8" w:space="0" w:color="auto"/>
              <w:right w:val="single" w:sz="4" w:space="0" w:color="auto"/>
            </w:tcBorders>
            <w:shd w:val="clear" w:color="auto" w:fill="FDE9D9" w:themeFill="accent6" w:themeFillTint="33"/>
            <w:vAlign w:val="center"/>
          </w:tcPr>
          <w:p w14:paraId="45E429E1" w14:textId="77777777" w:rsidR="0042613F" w:rsidRPr="00CD7DB3" w:rsidRDefault="0042613F" w:rsidP="00A842CF">
            <w:pPr>
              <w:spacing w:after="0" w:line="240" w:lineRule="auto"/>
              <w:jc w:val="center"/>
              <w:rPr>
                <w:rFonts w:ascii="Times New Roman" w:eastAsia="Times New Roman" w:hAnsi="Times New Roman" w:cs="Times New Roman"/>
                <w:b/>
                <w:bCs/>
                <w:color w:val="000000"/>
                <w:sz w:val="20"/>
                <w:szCs w:val="20"/>
                <w:lang w:eastAsia="lv-LV"/>
              </w:rPr>
            </w:pPr>
          </w:p>
        </w:tc>
        <w:tc>
          <w:tcPr>
            <w:tcW w:w="1418"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5D2766FE" w14:textId="77777777" w:rsidR="0042613F" w:rsidRPr="00CD7DB3" w:rsidRDefault="0042613F" w:rsidP="00A842CF">
            <w:pPr>
              <w:spacing w:after="0" w:line="240" w:lineRule="auto"/>
              <w:jc w:val="center"/>
              <w:rPr>
                <w:rFonts w:ascii="Times New Roman" w:eastAsia="Times New Roman" w:hAnsi="Times New Roman" w:cs="Times New Roman"/>
                <w:b/>
                <w:bCs/>
                <w:color w:val="000000" w:themeColor="text1"/>
                <w:sz w:val="20"/>
                <w:szCs w:val="20"/>
                <w:lang w:eastAsia="lv-LV"/>
              </w:rPr>
            </w:pPr>
            <w:r w:rsidRPr="00CD7DB3">
              <w:rPr>
                <w:rFonts w:ascii="Times New Roman" w:eastAsia="Times New Roman" w:hAnsi="Times New Roman" w:cs="Times New Roman"/>
                <w:b/>
                <w:bCs/>
                <w:color w:val="000000" w:themeColor="text1"/>
                <w:sz w:val="20"/>
                <w:szCs w:val="20"/>
                <w:lang w:eastAsia="lv-LV"/>
              </w:rPr>
              <w:t>754 000</w:t>
            </w:r>
          </w:p>
        </w:tc>
      </w:tr>
      <w:tr w:rsidR="0042613F" w14:paraId="2D349180" w14:textId="77777777" w:rsidTr="00A842CF">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F91E1D1" w14:textId="77777777" w:rsidR="0042613F" w:rsidRPr="00CD7DB3" w:rsidRDefault="0042613F" w:rsidP="00A842CF">
            <w:pPr>
              <w:spacing w:after="0" w:line="240" w:lineRule="auto"/>
              <w:jc w:val="right"/>
              <w:rPr>
                <w:rFonts w:ascii="Times New Roman" w:eastAsia="Times New Roman" w:hAnsi="Times New Roman" w:cs="Times New Roman"/>
                <w:color w:val="000000" w:themeColor="text1"/>
                <w:sz w:val="20"/>
                <w:szCs w:val="20"/>
                <w:lang w:eastAsia="lv-LV"/>
              </w:rPr>
            </w:pPr>
            <w:r w:rsidRPr="00CD7DB3">
              <w:rPr>
                <w:rFonts w:ascii="Times New Roman" w:eastAsia="Times New Roman" w:hAnsi="Times New Roman" w:cs="Times New Roman"/>
                <w:color w:val="000000"/>
                <w:sz w:val="20"/>
                <w:szCs w:val="20"/>
                <w:lang w:eastAsia="lv-LV"/>
              </w:rPr>
              <w:t>Ātrās sasaldēšanas iekārta</w:t>
            </w:r>
          </w:p>
          <w:p w14:paraId="7A910250" w14:textId="77777777" w:rsidR="0042613F" w:rsidRPr="00E93259" w:rsidRDefault="0042613F" w:rsidP="00A842CF">
            <w:pPr>
              <w:spacing w:after="0" w:line="240" w:lineRule="auto"/>
              <w:jc w:val="right"/>
              <w:rPr>
                <w:rFonts w:ascii="Times New Roman" w:eastAsia="Times New Roman" w:hAnsi="Times New Roman" w:cs="Times New Roman"/>
                <w:i/>
                <w:iCs/>
                <w:color w:val="000000" w:themeColor="text1"/>
                <w:sz w:val="20"/>
                <w:szCs w:val="20"/>
                <w:lang w:eastAsia="lv-LV"/>
              </w:rPr>
            </w:pPr>
            <w:r w:rsidRPr="3AC8A380">
              <w:rPr>
                <w:rFonts w:ascii="Times New Roman" w:eastAsia="Times New Roman" w:hAnsi="Times New Roman" w:cs="Times New Roman"/>
                <w:i/>
                <w:iCs/>
                <w:color w:val="000000"/>
                <w:sz w:val="20"/>
                <w:szCs w:val="20"/>
                <w:lang w:eastAsia="lv-LV"/>
              </w:rPr>
              <w:t>(VADC un 5 reģionālajām ASN)</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2812ACC7"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24 793.39</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6F7B0F8E"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6</w:t>
            </w:r>
          </w:p>
        </w:tc>
        <w:tc>
          <w:tcPr>
            <w:tcW w:w="1472" w:type="dxa"/>
            <w:tcBorders>
              <w:top w:val="nil"/>
              <w:left w:val="nil"/>
              <w:bottom w:val="single" w:sz="8" w:space="0" w:color="auto"/>
              <w:right w:val="single" w:sz="4" w:space="0" w:color="auto"/>
            </w:tcBorders>
            <w:shd w:val="clear" w:color="auto" w:fill="FFFFFF" w:themeFill="background1"/>
            <w:vAlign w:val="center"/>
          </w:tcPr>
          <w:p w14:paraId="5F109C71" w14:textId="77777777" w:rsidR="0042613F" w:rsidRPr="00CD7DB3" w:rsidRDefault="0042613F" w:rsidP="00A842CF">
            <w:pPr>
              <w:spacing w:after="0" w:line="240" w:lineRule="auto"/>
              <w:jc w:val="center"/>
              <w:rPr>
                <w:rFonts w:ascii="Times New Roman" w:hAnsi="Times New Roman" w:cs="Times New Roman"/>
                <w:color w:val="000000"/>
                <w:sz w:val="20"/>
                <w:szCs w:val="20"/>
              </w:rPr>
            </w:pPr>
            <w:r w:rsidRPr="00CD7DB3">
              <w:rPr>
                <w:rFonts w:ascii="Times New Roman" w:hAnsi="Times New Roman" w:cs="Times New Roman"/>
                <w:color w:val="000000"/>
                <w:sz w:val="20"/>
                <w:szCs w:val="20"/>
              </w:rPr>
              <w:t>148 760.34</w:t>
            </w:r>
          </w:p>
        </w:tc>
        <w:tc>
          <w:tcPr>
            <w:tcW w:w="1418"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B4E7D96"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180 000</w:t>
            </w:r>
          </w:p>
        </w:tc>
      </w:tr>
      <w:tr w:rsidR="0042613F" w14:paraId="69449D57" w14:textId="77777777" w:rsidTr="00A842CF">
        <w:trPr>
          <w:trHeight w:val="392"/>
          <w:jc w:val="center"/>
        </w:trPr>
        <w:tc>
          <w:tcPr>
            <w:tcW w:w="31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4BEA335" w14:textId="77777777" w:rsidR="0042613F" w:rsidRPr="00CD7DB3" w:rsidRDefault="0042613F" w:rsidP="00A842CF">
            <w:pPr>
              <w:spacing w:after="0" w:line="240" w:lineRule="auto"/>
              <w:jc w:val="right"/>
              <w:rPr>
                <w:rFonts w:ascii="Times New Roman" w:eastAsia="Times New Roman" w:hAnsi="Times New Roman" w:cs="Times New Roman"/>
                <w:color w:val="000000" w:themeColor="text1"/>
                <w:sz w:val="20"/>
                <w:szCs w:val="20"/>
                <w:lang w:eastAsia="lv-LV"/>
              </w:rPr>
            </w:pPr>
            <w:r w:rsidRPr="00CD7DB3">
              <w:rPr>
                <w:rFonts w:ascii="Times New Roman" w:eastAsia="Times New Roman" w:hAnsi="Times New Roman" w:cs="Times New Roman"/>
                <w:color w:val="000000"/>
                <w:sz w:val="20"/>
                <w:szCs w:val="20"/>
                <w:lang w:eastAsia="lv-LV"/>
              </w:rPr>
              <w:t>Separators</w:t>
            </w:r>
          </w:p>
          <w:p w14:paraId="3087FB93" w14:textId="77777777" w:rsidR="0042613F" w:rsidRPr="00E93259" w:rsidRDefault="0042613F" w:rsidP="00A842CF">
            <w:pPr>
              <w:spacing w:after="0" w:line="240" w:lineRule="auto"/>
              <w:jc w:val="right"/>
              <w:rPr>
                <w:rFonts w:ascii="Times New Roman" w:eastAsia="Times New Roman" w:hAnsi="Times New Roman" w:cs="Times New Roman"/>
                <w:i/>
                <w:iCs/>
                <w:color w:val="000000" w:themeColor="text1"/>
                <w:sz w:val="20"/>
                <w:szCs w:val="20"/>
                <w:lang w:eastAsia="lv-LV"/>
              </w:rPr>
            </w:pPr>
            <w:r w:rsidRPr="3AC8A380">
              <w:rPr>
                <w:rFonts w:ascii="Times New Roman" w:eastAsia="Times New Roman" w:hAnsi="Times New Roman" w:cs="Times New Roman"/>
                <w:i/>
                <w:iCs/>
                <w:color w:val="000000"/>
                <w:sz w:val="20"/>
                <w:szCs w:val="20"/>
                <w:lang w:eastAsia="lv-LV"/>
              </w:rPr>
              <w:t>(VADC, 2 Latgales filiālei, 7 reģionālajām ASN)</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6BCB0FA4"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p w14:paraId="6823ED3A"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18 512.40</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4550C494"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p w14:paraId="46923AEE"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10</w:t>
            </w:r>
          </w:p>
        </w:tc>
        <w:tc>
          <w:tcPr>
            <w:tcW w:w="1472" w:type="dxa"/>
            <w:tcBorders>
              <w:top w:val="nil"/>
              <w:left w:val="nil"/>
              <w:bottom w:val="single" w:sz="8" w:space="0" w:color="auto"/>
              <w:right w:val="single" w:sz="4" w:space="0" w:color="auto"/>
            </w:tcBorders>
            <w:shd w:val="clear" w:color="auto" w:fill="FFFFFF" w:themeFill="background1"/>
            <w:vAlign w:val="center"/>
          </w:tcPr>
          <w:p w14:paraId="72EB9C24" w14:textId="77777777" w:rsidR="0042613F" w:rsidRPr="00CD7DB3" w:rsidRDefault="0042613F" w:rsidP="00A842CF">
            <w:pPr>
              <w:spacing w:after="0" w:line="240" w:lineRule="auto"/>
              <w:jc w:val="center"/>
              <w:rPr>
                <w:rFonts w:ascii="Times New Roman" w:hAnsi="Times New Roman" w:cs="Times New Roman"/>
                <w:color w:val="000000"/>
                <w:sz w:val="20"/>
                <w:szCs w:val="20"/>
              </w:rPr>
            </w:pPr>
          </w:p>
          <w:p w14:paraId="53D20F8E" w14:textId="77777777" w:rsidR="0042613F" w:rsidRPr="00CD7DB3" w:rsidRDefault="0042613F" w:rsidP="00A842CF">
            <w:pPr>
              <w:spacing w:after="0" w:line="240" w:lineRule="auto"/>
              <w:jc w:val="center"/>
              <w:rPr>
                <w:rFonts w:ascii="Times New Roman" w:hAnsi="Times New Roman" w:cs="Times New Roman"/>
                <w:color w:val="000000"/>
                <w:sz w:val="20"/>
                <w:szCs w:val="20"/>
              </w:rPr>
            </w:pPr>
            <w:r w:rsidRPr="00CD7DB3">
              <w:rPr>
                <w:rFonts w:ascii="Times New Roman" w:eastAsia="Times New Roman" w:hAnsi="Times New Roman" w:cs="Times New Roman"/>
                <w:color w:val="000000"/>
                <w:sz w:val="20"/>
                <w:szCs w:val="20"/>
                <w:lang w:eastAsia="lv-LV"/>
              </w:rPr>
              <w:t>185 124.00</w:t>
            </w:r>
          </w:p>
        </w:tc>
        <w:tc>
          <w:tcPr>
            <w:tcW w:w="1418"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CABABCE"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p w14:paraId="20EAC2EC"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224 000</w:t>
            </w:r>
          </w:p>
        </w:tc>
      </w:tr>
      <w:tr w:rsidR="0042613F" w14:paraId="5956BA4D" w14:textId="77777777" w:rsidTr="00A842CF">
        <w:trPr>
          <w:trHeight w:val="294"/>
          <w:jc w:val="center"/>
        </w:trPr>
        <w:tc>
          <w:tcPr>
            <w:tcW w:w="3178" w:type="dxa"/>
            <w:tcBorders>
              <w:top w:val="nil"/>
              <w:left w:val="single" w:sz="8" w:space="0" w:color="auto"/>
              <w:bottom w:val="single" w:sz="8" w:space="0" w:color="auto"/>
              <w:right w:val="single" w:sz="8" w:space="0" w:color="auto"/>
            </w:tcBorders>
            <w:shd w:val="clear" w:color="auto" w:fill="FFFFFF" w:themeFill="background1"/>
            <w:hideMark/>
          </w:tcPr>
          <w:p w14:paraId="085508FF" w14:textId="77777777" w:rsidR="0042613F" w:rsidRPr="00CD7DB3" w:rsidRDefault="0042613F" w:rsidP="00A842CF">
            <w:pPr>
              <w:spacing w:after="0" w:line="240" w:lineRule="auto"/>
              <w:jc w:val="right"/>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Svari šeikeri</w:t>
            </w:r>
          </w:p>
          <w:p w14:paraId="4146D1D0" w14:textId="77777777" w:rsidR="0042613F" w:rsidRPr="00E93259" w:rsidRDefault="0042613F" w:rsidP="00A842CF">
            <w:pPr>
              <w:spacing w:after="0" w:line="240" w:lineRule="auto"/>
              <w:jc w:val="right"/>
              <w:rPr>
                <w:i/>
                <w:iCs/>
                <w:sz w:val="20"/>
                <w:szCs w:val="20"/>
              </w:rPr>
            </w:pPr>
            <w:r w:rsidRPr="3AC8A380">
              <w:rPr>
                <w:rFonts w:ascii="Times New Roman" w:eastAsia="Times New Roman" w:hAnsi="Times New Roman" w:cs="Times New Roman"/>
                <w:i/>
                <w:iCs/>
                <w:color w:val="000000"/>
                <w:sz w:val="20"/>
                <w:szCs w:val="20"/>
                <w:lang w:eastAsia="lv-LV"/>
              </w:rPr>
              <w:t>(23 VADC, 7 reģionālajām ASN)</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54EBF4B9"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2 479.34</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7B184714"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30</w:t>
            </w:r>
          </w:p>
        </w:tc>
        <w:tc>
          <w:tcPr>
            <w:tcW w:w="1472" w:type="dxa"/>
            <w:tcBorders>
              <w:top w:val="nil"/>
              <w:left w:val="nil"/>
              <w:bottom w:val="single" w:sz="8" w:space="0" w:color="auto"/>
              <w:right w:val="single" w:sz="4" w:space="0" w:color="auto"/>
            </w:tcBorders>
            <w:shd w:val="clear" w:color="auto" w:fill="FFFFFF" w:themeFill="background1"/>
            <w:vAlign w:val="center"/>
          </w:tcPr>
          <w:p w14:paraId="6D6BBD5A"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74 380.20</w:t>
            </w:r>
          </w:p>
        </w:tc>
        <w:tc>
          <w:tcPr>
            <w:tcW w:w="1418"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94C25E5"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90 000</w:t>
            </w:r>
          </w:p>
        </w:tc>
      </w:tr>
      <w:tr w:rsidR="0042613F" w14:paraId="2F8F2E84" w14:textId="77777777" w:rsidTr="00A842CF">
        <w:trPr>
          <w:trHeight w:val="372"/>
          <w:jc w:val="center"/>
        </w:trPr>
        <w:tc>
          <w:tcPr>
            <w:tcW w:w="31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6F35FC54" w14:textId="77777777" w:rsidR="0042613F" w:rsidRPr="00CD7DB3" w:rsidRDefault="0042613F" w:rsidP="00A842CF">
            <w:pPr>
              <w:spacing w:after="0" w:line="240" w:lineRule="auto"/>
              <w:jc w:val="right"/>
              <w:rPr>
                <w:rFonts w:ascii="Times New Roman" w:eastAsia="Times New Roman" w:hAnsi="Times New Roman" w:cs="Times New Roman"/>
                <w:color w:val="000000" w:themeColor="text1"/>
                <w:sz w:val="20"/>
                <w:szCs w:val="20"/>
                <w:lang w:eastAsia="lv-LV"/>
              </w:rPr>
            </w:pPr>
            <w:r w:rsidRPr="00CD7DB3">
              <w:rPr>
                <w:rFonts w:ascii="Times New Roman" w:eastAsia="Times New Roman" w:hAnsi="Times New Roman" w:cs="Times New Roman"/>
                <w:color w:val="000000"/>
                <w:sz w:val="20"/>
                <w:szCs w:val="20"/>
                <w:lang w:eastAsia="lv-LV"/>
              </w:rPr>
              <w:t>Centrifūgas lielās, sadalīšanai</w:t>
            </w:r>
          </w:p>
          <w:p w14:paraId="051E12FD" w14:textId="77777777" w:rsidR="0042613F" w:rsidRPr="00CD7DB3" w:rsidRDefault="0042613F" w:rsidP="00A842CF">
            <w:pPr>
              <w:spacing w:after="0" w:line="240" w:lineRule="auto"/>
              <w:jc w:val="right"/>
              <w:rPr>
                <w:rFonts w:ascii="Times New Roman" w:eastAsia="Times New Roman" w:hAnsi="Times New Roman" w:cs="Times New Roman"/>
                <w:color w:val="000000" w:themeColor="text1"/>
                <w:sz w:val="20"/>
                <w:szCs w:val="20"/>
                <w:lang w:eastAsia="lv-LV"/>
              </w:rPr>
            </w:pPr>
            <w:r w:rsidRPr="3AC8A380">
              <w:rPr>
                <w:rFonts w:ascii="Times New Roman" w:eastAsia="Times New Roman" w:hAnsi="Times New Roman" w:cs="Times New Roman"/>
                <w:i/>
                <w:iCs/>
                <w:color w:val="000000"/>
                <w:sz w:val="20"/>
                <w:szCs w:val="20"/>
                <w:lang w:eastAsia="lv-LV"/>
              </w:rPr>
              <w:t>(6 VADC, 4 reģionālajām ASN)</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6DCB19BF"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21 487.60</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23A7AA2D"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10</w:t>
            </w:r>
          </w:p>
        </w:tc>
        <w:tc>
          <w:tcPr>
            <w:tcW w:w="1472" w:type="dxa"/>
            <w:tcBorders>
              <w:top w:val="nil"/>
              <w:left w:val="nil"/>
              <w:bottom w:val="single" w:sz="8" w:space="0" w:color="auto"/>
              <w:right w:val="single" w:sz="4" w:space="0" w:color="auto"/>
            </w:tcBorders>
            <w:shd w:val="clear" w:color="auto" w:fill="FFFFFF" w:themeFill="background1"/>
            <w:vAlign w:val="center"/>
          </w:tcPr>
          <w:p w14:paraId="72384880" w14:textId="77777777" w:rsidR="0042613F" w:rsidRPr="00CD7DB3" w:rsidRDefault="0042613F" w:rsidP="00A842CF">
            <w:pPr>
              <w:spacing w:after="0" w:line="240" w:lineRule="auto"/>
              <w:jc w:val="center"/>
              <w:rPr>
                <w:rFonts w:ascii="Times New Roman" w:hAnsi="Times New Roman" w:cs="Times New Roman"/>
                <w:color w:val="000000"/>
                <w:sz w:val="20"/>
                <w:szCs w:val="20"/>
              </w:rPr>
            </w:pPr>
            <w:r w:rsidRPr="00CD7DB3">
              <w:rPr>
                <w:rFonts w:ascii="Times New Roman" w:hAnsi="Times New Roman" w:cs="Times New Roman"/>
                <w:color w:val="000000"/>
                <w:sz w:val="20"/>
                <w:szCs w:val="20"/>
              </w:rPr>
              <w:t>21 8 76.00</w:t>
            </w:r>
          </w:p>
        </w:tc>
        <w:tc>
          <w:tcPr>
            <w:tcW w:w="1418"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44253A1"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r w:rsidRPr="00CD7DB3">
              <w:rPr>
                <w:rFonts w:ascii="Times New Roman" w:eastAsia="Times New Roman" w:hAnsi="Times New Roman" w:cs="Times New Roman"/>
                <w:color w:val="000000"/>
                <w:sz w:val="20"/>
                <w:szCs w:val="20"/>
                <w:lang w:eastAsia="lv-LV"/>
              </w:rPr>
              <w:t>260 000</w:t>
            </w:r>
          </w:p>
        </w:tc>
      </w:tr>
      <w:tr w:rsidR="0042613F" w14:paraId="432FE78A" w14:textId="77777777" w:rsidTr="00A842CF">
        <w:trPr>
          <w:trHeight w:val="320"/>
          <w:jc w:val="center"/>
        </w:trPr>
        <w:tc>
          <w:tcPr>
            <w:tcW w:w="3178" w:type="dxa"/>
            <w:tcBorders>
              <w:top w:val="nil"/>
              <w:left w:val="single" w:sz="8" w:space="0" w:color="auto"/>
              <w:bottom w:val="single" w:sz="8" w:space="0" w:color="auto"/>
              <w:right w:val="single" w:sz="8" w:space="0" w:color="auto"/>
            </w:tcBorders>
            <w:shd w:val="clear" w:color="auto" w:fill="FABF8F" w:themeFill="accent6" w:themeFillTint="99"/>
            <w:vAlign w:val="center"/>
            <w:hideMark/>
          </w:tcPr>
          <w:p w14:paraId="22F84E81" w14:textId="77777777" w:rsidR="0042613F" w:rsidRPr="00CD7DB3" w:rsidRDefault="0042613F" w:rsidP="00A842CF">
            <w:pPr>
              <w:spacing w:after="0" w:line="240" w:lineRule="auto"/>
              <w:ind w:firstLine="709"/>
              <w:jc w:val="center"/>
              <w:rPr>
                <w:rFonts w:ascii="Times New Roman" w:eastAsia="Times New Roman" w:hAnsi="Times New Roman" w:cs="Times New Roman"/>
                <w:color w:val="000000" w:themeColor="text1"/>
                <w:sz w:val="20"/>
                <w:szCs w:val="20"/>
                <w:lang w:eastAsia="lv-LV"/>
              </w:rPr>
            </w:pPr>
            <w:r w:rsidRPr="00CD7DB3">
              <w:rPr>
                <w:rFonts w:ascii="Times New Roman" w:eastAsia="Times New Roman" w:hAnsi="Times New Roman" w:cs="Times New Roman"/>
                <w:b/>
                <w:bCs/>
                <w:color w:val="000000"/>
                <w:sz w:val="20"/>
                <w:szCs w:val="20"/>
                <w:lang w:eastAsia="lv-LV"/>
              </w:rPr>
              <w:t>Kopā</w:t>
            </w:r>
            <w:r w:rsidRPr="00CD7DB3">
              <w:rPr>
                <w:rFonts w:ascii="Times New Roman" w:hAnsi="Times New Roman" w:cs="Times New Roman"/>
                <w:b/>
                <w:bCs/>
                <w:color w:val="000000" w:themeColor="text1"/>
                <w:sz w:val="20"/>
                <w:szCs w:val="20"/>
              </w:rPr>
              <w:t xml:space="preserve"> </w:t>
            </w:r>
          </w:p>
        </w:tc>
        <w:tc>
          <w:tcPr>
            <w:tcW w:w="1341" w:type="dxa"/>
            <w:tcBorders>
              <w:top w:val="nil"/>
              <w:left w:val="nil"/>
              <w:bottom w:val="single" w:sz="8" w:space="0" w:color="auto"/>
              <w:right w:val="single" w:sz="8" w:space="0" w:color="auto"/>
            </w:tcBorders>
            <w:shd w:val="clear" w:color="auto" w:fill="FABF8F" w:themeFill="accent6" w:themeFillTint="99"/>
            <w:noWrap/>
            <w:vAlign w:val="center"/>
          </w:tcPr>
          <w:p w14:paraId="2AE86875"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tc>
        <w:tc>
          <w:tcPr>
            <w:tcW w:w="1370" w:type="dxa"/>
            <w:tcBorders>
              <w:top w:val="nil"/>
              <w:left w:val="nil"/>
              <w:bottom w:val="single" w:sz="8" w:space="0" w:color="auto"/>
              <w:right w:val="single" w:sz="8" w:space="0" w:color="auto"/>
            </w:tcBorders>
            <w:shd w:val="clear" w:color="auto" w:fill="FABF8F" w:themeFill="accent6" w:themeFillTint="99"/>
            <w:noWrap/>
            <w:vAlign w:val="center"/>
          </w:tcPr>
          <w:p w14:paraId="30FC0FD2" w14:textId="77777777" w:rsidR="0042613F" w:rsidRPr="00CD7DB3" w:rsidRDefault="0042613F" w:rsidP="00A842CF">
            <w:pPr>
              <w:spacing w:after="0" w:line="240" w:lineRule="auto"/>
              <w:jc w:val="center"/>
              <w:rPr>
                <w:rFonts w:ascii="Times New Roman" w:eastAsia="Times New Roman" w:hAnsi="Times New Roman" w:cs="Times New Roman"/>
                <w:color w:val="000000"/>
                <w:sz w:val="20"/>
                <w:szCs w:val="20"/>
                <w:lang w:eastAsia="lv-LV"/>
              </w:rPr>
            </w:pPr>
          </w:p>
        </w:tc>
        <w:tc>
          <w:tcPr>
            <w:tcW w:w="1472" w:type="dxa"/>
            <w:tcBorders>
              <w:top w:val="nil"/>
              <w:left w:val="nil"/>
              <w:bottom w:val="single" w:sz="8" w:space="0" w:color="auto"/>
              <w:right w:val="single" w:sz="4" w:space="0" w:color="auto"/>
            </w:tcBorders>
            <w:shd w:val="clear" w:color="auto" w:fill="FABF8F" w:themeFill="accent6" w:themeFillTint="99"/>
            <w:vAlign w:val="center"/>
          </w:tcPr>
          <w:p w14:paraId="50F7B16C" w14:textId="77777777" w:rsidR="0042613F" w:rsidRPr="00CD7DB3" w:rsidRDefault="0042613F" w:rsidP="00A842CF">
            <w:pPr>
              <w:spacing w:after="0" w:line="240" w:lineRule="auto"/>
              <w:jc w:val="center"/>
              <w:rPr>
                <w:rFonts w:ascii="Times New Roman" w:hAnsi="Times New Roman" w:cs="Times New Roman"/>
                <w:color w:val="000000"/>
                <w:sz w:val="20"/>
                <w:szCs w:val="20"/>
              </w:rPr>
            </w:pPr>
          </w:p>
        </w:tc>
        <w:tc>
          <w:tcPr>
            <w:tcW w:w="1418" w:type="dxa"/>
            <w:tcBorders>
              <w:top w:val="single" w:sz="8" w:space="0" w:color="auto"/>
              <w:left w:val="single" w:sz="4" w:space="0" w:color="auto"/>
              <w:bottom w:val="single" w:sz="8" w:space="0" w:color="auto"/>
              <w:right w:val="single" w:sz="8" w:space="0" w:color="auto"/>
            </w:tcBorders>
            <w:shd w:val="clear" w:color="auto" w:fill="FABF8F" w:themeFill="accent6" w:themeFillTint="99"/>
            <w:noWrap/>
            <w:vAlign w:val="center"/>
            <w:hideMark/>
          </w:tcPr>
          <w:p w14:paraId="495E56AC" w14:textId="77777777" w:rsidR="0042613F" w:rsidRPr="00CD7DB3" w:rsidRDefault="0042613F" w:rsidP="00A842CF">
            <w:pPr>
              <w:spacing w:after="0" w:line="240" w:lineRule="auto"/>
              <w:jc w:val="center"/>
              <w:rPr>
                <w:rFonts w:ascii="Times New Roman" w:eastAsia="Times New Roman" w:hAnsi="Times New Roman" w:cs="Times New Roman"/>
                <w:b/>
                <w:color w:val="000000"/>
                <w:sz w:val="20"/>
                <w:szCs w:val="20"/>
                <w:lang w:eastAsia="lv-LV"/>
              </w:rPr>
            </w:pPr>
            <w:r w:rsidRPr="00CD7DB3">
              <w:rPr>
                <w:rFonts w:ascii="Times New Roman" w:eastAsia="Times New Roman" w:hAnsi="Times New Roman" w:cs="Times New Roman"/>
                <w:b/>
                <w:color w:val="000000"/>
                <w:sz w:val="20"/>
                <w:szCs w:val="20"/>
                <w:lang w:eastAsia="lv-LV"/>
              </w:rPr>
              <w:t>994 500</w:t>
            </w:r>
          </w:p>
        </w:tc>
      </w:tr>
    </w:tbl>
    <w:p w14:paraId="1FD277EB" w14:textId="77777777" w:rsidR="0042613F" w:rsidRDefault="0042613F" w:rsidP="0042613F">
      <w:pPr>
        <w:autoSpaceDE w:val="0"/>
        <w:autoSpaceDN w:val="0"/>
        <w:adjustRightInd w:val="0"/>
        <w:spacing w:after="100" w:afterAutospacing="1" w:line="240" w:lineRule="auto"/>
        <w:jc w:val="both"/>
        <w:rPr>
          <w:rFonts w:ascii="Times New Roman" w:hAnsi="Times New Roman" w:cs="Times New Roman"/>
          <w:sz w:val="24"/>
          <w:szCs w:val="24"/>
        </w:rPr>
      </w:pPr>
    </w:p>
    <w:p w14:paraId="684F4397" w14:textId="77777777" w:rsidR="0042613F" w:rsidRPr="00A77022" w:rsidRDefault="0042613F" w:rsidP="0042613F">
      <w:pPr>
        <w:autoSpaceDE w:val="0"/>
        <w:autoSpaceDN w:val="0"/>
        <w:adjustRightInd w:val="0"/>
        <w:spacing w:after="100" w:afterAutospacing="1" w:line="240" w:lineRule="auto"/>
        <w:jc w:val="both"/>
        <w:rPr>
          <w:rFonts w:ascii="Times New Roman" w:hAnsi="Times New Roman" w:cs="Times New Roman"/>
          <w:b/>
          <w:bCs/>
          <w:sz w:val="24"/>
          <w:szCs w:val="24"/>
        </w:rPr>
      </w:pPr>
      <w:r w:rsidRPr="64AB90BD">
        <w:rPr>
          <w:rFonts w:ascii="Times New Roman" w:hAnsi="Times New Roman" w:cs="Times New Roman"/>
          <w:b/>
          <w:bCs/>
          <w:sz w:val="24"/>
          <w:szCs w:val="24"/>
        </w:rPr>
        <w:lastRenderedPageBreak/>
        <w:t>Pamatojums iekārtu iegādes efektivitātei</w:t>
      </w:r>
    </w:p>
    <w:p w14:paraId="43E0F429" w14:textId="77777777" w:rsidR="0042613F" w:rsidRDefault="0042613F" w:rsidP="0042613F">
      <w:pPr>
        <w:pStyle w:val="ListParagraph"/>
        <w:numPr>
          <w:ilvl w:val="0"/>
          <w:numId w:val="36"/>
        </w:numPr>
        <w:autoSpaceDE w:val="0"/>
        <w:autoSpaceDN w:val="0"/>
        <w:adjustRightInd w:val="0"/>
        <w:spacing w:after="100" w:afterAutospacing="1" w:line="240" w:lineRule="auto"/>
        <w:jc w:val="both"/>
        <w:rPr>
          <w:rFonts w:ascii="Times New Roman" w:hAnsi="Times New Roman"/>
          <w:sz w:val="24"/>
          <w:szCs w:val="24"/>
        </w:rPr>
      </w:pPr>
      <w:r>
        <w:rPr>
          <w:rFonts w:ascii="Times New Roman" w:hAnsi="Times New Roman"/>
          <w:sz w:val="24"/>
          <w:szCs w:val="24"/>
        </w:rPr>
        <w:t xml:space="preserve">Aukstuma kameras, ledusskapji un saldētavas: </w:t>
      </w:r>
    </w:p>
    <w:p w14:paraId="2803AFD9" w14:textId="77777777" w:rsidR="0042613F" w:rsidRDefault="0042613F" w:rsidP="0042613F">
      <w:pPr>
        <w:autoSpaceDE w:val="0"/>
        <w:autoSpaceDN w:val="0"/>
        <w:adjustRightInd w:val="0"/>
        <w:spacing w:after="120"/>
        <w:ind w:firstLine="720"/>
        <w:jc w:val="both"/>
        <w:rPr>
          <w:rFonts w:ascii="Times New Roman" w:hAnsi="Times New Roman" w:cs="Times New Roman"/>
          <w:sz w:val="24"/>
          <w:szCs w:val="24"/>
        </w:rPr>
      </w:pPr>
      <w:r w:rsidRPr="00A77022">
        <w:rPr>
          <w:rFonts w:ascii="Times New Roman" w:hAnsi="Times New Roman" w:cs="Times New Roman"/>
          <w:sz w:val="24"/>
          <w:szCs w:val="24"/>
        </w:rPr>
        <w:t xml:space="preserve">Ņemot vērā, ka VADC jānodrošina Latvijas ārstniecības iestādes ar asins preparātiem (albumīns, imūnoglobulīns), VADC sagatavo un nodod  ražošanai (frakcionēšanai) plazmu apmēram 8000 litri gadā, kuru līdz nodošanai pārstrādei jāglabā vismaz gadu. </w:t>
      </w:r>
      <w:r w:rsidRPr="001F2103">
        <w:rPr>
          <w:rFonts w:ascii="Times New Roman" w:hAnsi="Times New Roman" w:cs="Times New Roman"/>
          <w:sz w:val="24"/>
          <w:szCs w:val="24"/>
        </w:rPr>
        <w:t>Esošās au</w:t>
      </w:r>
      <w:r>
        <w:rPr>
          <w:rFonts w:ascii="Times New Roman" w:hAnsi="Times New Roman" w:cs="Times New Roman"/>
          <w:sz w:val="24"/>
          <w:szCs w:val="24"/>
        </w:rPr>
        <w:t>k</w:t>
      </w:r>
      <w:r w:rsidRPr="001F2103">
        <w:rPr>
          <w:rFonts w:ascii="Times New Roman" w:hAnsi="Times New Roman" w:cs="Times New Roman"/>
          <w:sz w:val="24"/>
          <w:szCs w:val="24"/>
        </w:rPr>
        <w:t>stuma kameras tilpums ir 4000 litri, temperatūras režīms - 30</w:t>
      </w:r>
      <m:oMath>
        <m:r>
          <w:rPr>
            <w:rFonts w:ascii="Cambria Math" w:hAnsi="Cambria Math" w:cs="Times New Roman"/>
            <w:sz w:val="24"/>
            <w:szCs w:val="24"/>
          </w:rPr>
          <m:t>°</m:t>
        </m:r>
        <m:r>
          <m:rPr>
            <m:sty m:val="p"/>
          </m:rPr>
          <w:rPr>
            <w:rFonts w:ascii="Cambria Math" w:hAnsi="Cambria Math" w:cs="Times New Roman"/>
            <w:sz w:val="24"/>
            <w:szCs w:val="24"/>
          </w:rPr>
          <m:t>C</m:t>
        </m:r>
      </m:oMath>
      <w:r w:rsidRPr="001F2103">
        <w:rPr>
          <w:rFonts w:ascii="Times New Roman" w:hAnsi="Times New Roman" w:cs="Times New Roman"/>
          <w:sz w:val="24"/>
          <w:szCs w:val="24"/>
        </w:rPr>
        <w:t>. Lai nodrošinātu plazmas krājumu 8000 litrus gadā, nepieciešama vēl viena kamera. Aukstuma kameras īres maksa ir ne mazāk kā 1</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500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mēnesī, vai 18</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000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gadā</w:t>
      </w:r>
      <w:r>
        <w:rPr>
          <w:rFonts w:ascii="Times New Roman" w:hAnsi="Times New Roman" w:cs="Times New Roman"/>
          <w:sz w:val="24"/>
          <w:szCs w:val="24"/>
        </w:rPr>
        <w:t>, attiecīgi</w:t>
      </w:r>
      <w:r w:rsidRPr="001F2103">
        <w:rPr>
          <w:rFonts w:ascii="Times New Roman" w:hAnsi="Times New Roman" w:cs="Times New Roman"/>
          <w:sz w:val="24"/>
          <w:szCs w:val="24"/>
        </w:rPr>
        <w:t xml:space="preserve"> </w:t>
      </w:r>
      <w:r>
        <w:rPr>
          <w:rFonts w:ascii="Times New Roman" w:hAnsi="Times New Roman" w:cs="Times New Roman"/>
          <w:sz w:val="24"/>
          <w:szCs w:val="24"/>
        </w:rPr>
        <w:t>VADC</w:t>
      </w:r>
      <w:r w:rsidRPr="001F2103">
        <w:rPr>
          <w:rFonts w:ascii="Times New Roman" w:hAnsi="Times New Roman" w:cs="Times New Roman"/>
          <w:sz w:val="24"/>
          <w:szCs w:val="24"/>
        </w:rPr>
        <w:t xml:space="preserve"> 3 gadu laikā par aukstuma kameras īri samaksās 540</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000 </w:t>
      </w:r>
      <w:r w:rsidRPr="00D63888">
        <w:rPr>
          <w:rFonts w:ascii="Times New Roman" w:hAnsi="Times New Roman" w:cs="Times New Roman"/>
          <w:i/>
          <w:sz w:val="24"/>
          <w:szCs w:val="24"/>
        </w:rPr>
        <w:t>euro</w:t>
      </w:r>
      <w:r w:rsidRPr="001F2103">
        <w:rPr>
          <w:rFonts w:ascii="Times New Roman" w:hAnsi="Times New Roman" w:cs="Times New Roman"/>
          <w:sz w:val="24"/>
          <w:szCs w:val="24"/>
        </w:rPr>
        <w:t>.</w:t>
      </w:r>
    </w:p>
    <w:p w14:paraId="307DE157" w14:textId="77777777" w:rsidR="0042613F" w:rsidRPr="001F2103" w:rsidRDefault="0042613F" w:rsidP="0042613F">
      <w:pPr>
        <w:autoSpaceDE w:val="0"/>
        <w:autoSpaceDN w:val="0"/>
        <w:adjustRightInd w:val="0"/>
        <w:spacing w:after="120"/>
        <w:ind w:firstLine="720"/>
        <w:jc w:val="both"/>
        <w:rPr>
          <w:rFonts w:ascii="Times New Roman" w:hAnsi="Times New Roman" w:cs="Times New Roman"/>
          <w:sz w:val="24"/>
          <w:szCs w:val="24"/>
        </w:rPr>
      </w:pPr>
      <w:r w:rsidRPr="001F2103">
        <w:rPr>
          <w:rFonts w:ascii="Times New Roman" w:hAnsi="Times New Roman" w:cs="Times New Roman"/>
          <w:sz w:val="24"/>
          <w:szCs w:val="24"/>
        </w:rPr>
        <w:t>Ledusskapju un saldētav</w:t>
      </w:r>
      <w:r>
        <w:rPr>
          <w:rFonts w:ascii="Times New Roman" w:hAnsi="Times New Roman" w:cs="Times New Roman"/>
          <w:sz w:val="24"/>
          <w:szCs w:val="24"/>
        </w:rPr>
        <w:t>u</w:t>
      </w:r>
      <w:r w:rsidRPr="001F2103">
        <w:rPr>
          <w:rFonts w:ascii="Times New Roman" w:hAnsi="Times New Roman" w:cs="Times New Roman"/>
          <w:sz w:val="24"/>
          <w:szCs w:val="24"/>
        </w:rPr>
        <w:t xml:space="preserve"> īre</w:t>
      </w:r>
      <w:r>
        <w:rPr>
          <w:rFonts w:ascii="Times New Roman" w:hAnsi="Times New Roman" w:cs="Times New Roman"/>
          <w:sz w:val="24"/>
          <w:szCs w:val="24"/>
        </w:rPr>
        <w:t xml:space="preserve"> sastāda:</w:t>
      </w:r>
      <w:r w:rsidRPr="001F2103">
        <w:rPr>
          <w:rFonts w:ascii="Times New Roman" w:hAnsi="Times New Roman" w:cs="Times New Roman"/>
          <w:sz w:val="24"/>
          <w:szCs w:val="24"/>
        </w:rPr>
        <w:t xml:space="preserve">, </w:t>
      </w:r>
    </w:p>
    <w:p w14:paraId="683A8159" w14:textId="77777777" w:rsidR="0042613F" w:rsidRPr="00D63888" w:rsidRDefault="0042613F" w:rsidP="0042613F">
      <w:pPr>
        <w:pStyle w:val="ListParagraph"/>
        <w:numPr>
          <w:ilvl w:val="0"/>
          <w:numId w:val="35"/>
        </w:numPr>
        <w:autoSpaceDE w:val="0"/>
        <w:autoSpaceDN w:val="0"/>
        <w:adjustRightInd w:val="0"/>
        <w:spacing w:after="0" w:line="240" w:lineRule="auto"/>
        <w:jc w:val="both"/>
        <w:rPr>
          <w:rFonts w:ascii="Times New Roman" w:hAnsi="Times New Roman"/>
          <w:sz w:val="24"/>
          <w:szCs w:val="24"/>
          <w:lang w:val="lv-LV"/>
        </w:rPr>
      </w:pPr>
      <w:r w:rsidRPr="00D63888">
        <w:rPr>
          <w:rFonts w:ascii="Times New Roman" w:hAnsi="Times New Roman"/>
          <w:sz w:val="24"/>
          <w:szCs w:val="24"/>
          <w:lang w:val="lv-LV"/>
        </w:rPr>
        <w:t xml:space="preserve">ledusskapjiem  līdz 100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mēnesī, 1</w:t>
      </w:r>
      <w:r>
        <w:rPr>
          <w:rFonts w:ascii="Times New Roman" w:hAnsi="Times New Roman"/>
          <w:sz w:val="24"/>
          <w:szCs w:val="24"/>
          <w:lang w:val="lv-LV"/>
        </w:rPr>
        <w:t xml:space="preserve"> </w:t>
      </w:r>
      <w:r w:rsidRPr="00D63888">
        <w:rPr>
          <w:rFonts w:ascii="Times New Roman" w:hAnsi="Times New Roman"/>
          <w:sz w:val="24"/>
          <w:szCs w:val="24"/>
          <w:lang w:val="lv-LV"/>
        </w:rPr>
        <w:t xml:space="preserve">200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gadā vai 3</w:t>
      </w:r>
      <w:r>
        <w:rPr>
          <w:rFonts w:ascii="Times New Roman" w:hAnsi="Times New Roman"/>
          <w:sz w:val="24"/>
          <w:szCs w:val="24"/>
          <w:lang w:val="lv-LV"/>
        </w:rPr>
        <w:t xml:space="preserve"> </w:t>
      </w:r>
      <w:r w:rsidRPr="00D63888">
        <w:rPr>
          <w:rFonts w:ascii="Times New Roman" w:hAnsi="Times New Roman"/>
          <w:sz w:val="24"/>
          <w:szCs w:val="24"/>
          <w:lang w:val="lv-LV"/>
        </w:rPr>
        <w:t xml:space="preserve">600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w:t>
      </w:r>
      <w:r w:rsidRPr="00D63888">
        <w:rPr>
          <w:rFonts w:ascii="Times New Roman" w:hAnsi="Times New Roman"/>
          <w:sz w:val="24"/>
          <w:szCs w:val="24"/>
          <w:lang w:val="lv-LV" w:eastAsia="lv-LV"/>
        </w:rPr>
        <w:t>3 gadu laikā</w:t>
      </w:r>
      <w:r>
        <w:rPr>
          <w:rFonts w:ascii="Times New Roman" w:hAnsi="Times New Roman"/>
          <w:sz w:val="24"/>
          <w:szCs w:val="24"/>
          <w:lang w:val="lv-LV" w:eastAsia="lv-LV"/>
        </w:rPr>
        <w:t>;</w:t>
      </w:r>
    </w:p>
    <w:p w14:paraId="27811CC2" w14:textId="77777777" w:rsidR="0042613F" w:rsidRPr="00D63888" w:rsidRDefault="0042613F" w:rsidP="0042613F">
      <w:pPr>
        <w:pStyle w:val="ListParagraph"/>
        <w:numPr>
          <w:ilvl w:val="0"/>
          <w:numId w:val="35"/>
        </w:numPr>
        <w:autoSpaceDE w:val="0"/>
        <w:autoSpaceDN w:val="0"/>
        <w:adjustRightInd w:val="0"/>
        <w:spacing w:after="0" w:line="240" w:lineRule="auto"/>
        <w:jc w:val="both"/>
        <w:rPr>
          <w:rFonts w:ascii="Times New Roman" w:hAnsi="Times New Roman"/>
          <w:sz w:val="24"/>
          <w:szCs w:val="24"/>
          <w:lang w:val="lv-LV"/>
        </w:rPr>
      </w:pPr>
      <w:r w:rsidRPr="00D63888">
        <w:rPr>
          <w:rFonts w:ascii="Times New Roman" w:hAnsi="Times New Roman"/>
          <w:sz w:val="24"/>
          <w:szCs w:val="24"/>
          <w:lang w:val="lv-LV"/>
        </w:rPr>
        <w:t xml:space="preserve">saldētavām līdz 300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mēnesī vai 3</w:t>
      </w:r>
      <w:r>
        <w:rPr>
          <w:rFonts w:ascii="Times New Roman" w:hAnsi="Times New Roman"/>
          <w:sz w:val="24"/>
          <w:szCs w:val="24"/>
          <w:lang w:val="lv-LV"/>
        </w:rPr>
        <w:t xml:space="preserve"> </w:t>
      </w:r>
      <w:r w:rsidRPr="00D63888">
        <w:rPr>
          <w:rFonts w:ascii="Times New Roman" w:hAnsi="Times New Roman"/>
          <w:sz w:val="24"/>
          <w:szCs w:val="24"/>
          <w:lang w:val="lv-LV"/>
        </w:rPr>
        <w:t xml:space="preserve">600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gadā vai 10</w:t>
      </w:r>
      <w:r>
        <w:rPr>
          <w:rFonts w:ascii="Times New Roman" w:hAnsi="Times New Roman"/>
          <w:sz w:val="24"/>
          <w:szCs w:val="24"/>
          <w:lang w:val="lv-LV"/>
        </w:rPr>
        <w:t xml:space="preserve"> </w:t>
      </w:r>
      <w:r w:rsidRPr="00D63888">
        <w:rPr>
          <w:rFonts w:ascii="Times New Roman" w:hAnsi="Times New Roman"/>
          <w:sz w:val="24"/>
          <w:szCs w:val="24"/>
          <w:lang w:val="lv-LV"/>
        </w:rPr>
        <w:t xml:space="preserve">800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w:t>
      </w:r>
      <w:r w:rsidRPr="00D63888">
        <w:rPr>
          <w:rFonts w:ascii="Times New Roman" w:hAnsi="Times New Roman"/>
          <w:sz w:val="24"/>
          <w:szCs w:val="24"/>
          <w:lang w:val="lv-LV" w:eastAsia="lv-LV"/>
        </w:rPr>
        <w:t>3 gadu laikā.</w:t>
      </w:r>
    </w:p>
    <w:p w14:paraId="1F3907C2" w14:textId="77777777" w:rsidR="0042613F" w:rsidRPr="001F2103" w:rsidRDefault="0042613F" w:rsidP="0042613F">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Pr="001F2103">
        <w:rPr>
          <w:rFonts w:ascii="Times New Roman" w:hAnsi="Times New Roman" w:cs="Times New Roman"/>
          <w:sz w:val="24"/>
          <w:szCs w:val="24"/>
        </w:rPr>
        <w:t>īrētas uzglabāšanas iekārtas ne vienmēr ir jaunas, t</w:t>
      </w:r>
      <w:r>
        <w:rPr>
          <w:rFonts w:ascii="Times New Roman" w:hAnsi="Times New Roman" w:cs="Times New Roman"/>
          <w:sz w:val="24"/>
          <w:szCs w:val="24"/>
        </w:rPr>
        <w:t>ad VADC  izdevumi par šo</w:t>
      </w:r>
      <w:r w:rsidRPr="001F2103">
        <w:rPr>
          <w:rFonts w:ascii="Times New Roman" w:hAnsi="Times New Roman" w:cs="Times New Roman"/>
          <w:sz w:val="24"/>
          <w:szCs w:val="24"/>
        </w:rPr>
        <w:t xml:space="preserve"> iekārtu remontu un apkopi var sasniegt </w:t>
      </w:r>
      <w:r>
        <w:rPr>
          <w:rFonts w:ascii="Times New Roman" w:hAnsi="Times New Roman" w:cs="Times New Roman"/>
          <w:sz w:val="24"/>
          <w:szCs w:val="24"/>
        </w:rPr>
        <w:t>–</w:t>
      </w:r>
      <w:r w:rsidRPr="001F2103">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810 </w:t>
      </w:r>
      <w:r w:rsidRPr="00D63888">
        <w:rPr>
          <w:rFonts w:ascii="Times New Roman" w:hAnsi="Times New Roman" w:cs="Times New Roman"/>
          <w:i/>
          <w:sz w:val="24"/>
          <w:szCs w:val="24"/>
        </w:rPr>
        <w:t xml:space="preserve">euro </w:t>
      </w:r>
      <w:r w:rsidRPr="001F2103">
        <w:rPr>
          <w:rFonts w:ascii="Times New Roman" w:hAnsi="Times New Roman" w:cs="Times New Roman"/>
          <w:sz w:val="24"/>
          <w:szCs w:val="24"/>
        </w:rPr>
        <w:t>gadā (2% no iekārtas cenas) vai 11</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430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w:t>
      </w:r>
      <w:r w:rsidRPr="001F2103">
        <w:rPr>
          <w:rFonts w:ascii="Times New Roman" w:hAnsi="Times New Roman" w:cs="Times New Roman"/>
          <w:sz w:val="24"/>
          <w:szCs w:val="24"/>
          <w:lang w:eastAsia="lv-LV"/>
        </w:rPr>
        <w:t>3 gadu laikā.</w:t>
      </w:r>
    </w:p>
    <w:p w14:paraId="69EB69AD" w14:textId="77777777" w:rsidR="0042613F" w:rsidRPr="001F2103" w:rsidRDefault="0042613F" w:rsidP="0042613F">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Bez rezerves </w:t>
      </w:r>
      <w:r w:rsidRPr="001F2103">
        <w:rPr>
          <w:rFonts w:ascii="Times New Roman" w:hAnsi="Times New Roman" w:cs="Times New Roman"/>
          <w:sz w:val="24"/>
          <w:szCs w:val="24"/>
        </w:rPr>
        <w:t xml:space="preserve"> uzglabāšanas vietas, </w:t>
      </w:r>
      <w:r>
        <w:rPr>
          <w:rFonts w:ascii="Times New Roman" w:hAnsi="Times New Roman" w:cs="Times New Roman"/>
          <w:sz w:val="24"/>
          <w:szCs w:val="24"/>
        </w:rPr>
        <w:t>esošās kameras bojājuma rezultātā</w:t>
      </w:r>
      <w:r w:rsidRPr="001F2103">
        <w:rPr>
          <w:rFonts w:ascii="Times New Roman" w:hAnsi="Times New Roman" w:cs="Times New Roman"/>
          <w:sz w:val="24"/>
          <w:szCs w:val="24"/>
        </w:rPr>
        <w:t xml:space="preserve">, </w:t>
      </w:r>
      <w:r>
        <w:rPr>
          <w:rFonts w:ascii="Times New Roman" w:hAnsi="Times New Roman" w:cs="Times New Roman"/>
          <w:sz w:val="24"/>
          <w:szCs w:val="24"/>
        </w:rPr>
        <w:t>var nākties zaudēt sagatavotos asins komponentus.</w:t>
      </w:r>
      <w:r w:rsidRPr="001F2103">
        <w:rPr>
          <w:rFonts w:ascii="Times New Roman" w:hAnsi="Times New Roman" w:cs="Times New Roman"/>
          <w:sz w:val="24"/>
          <w:szCs w:val="24"/>
        </w:rPr>
        <w:t xml:space="preserve">. Piemēram, ja </w:t>
      </w:r>
      <w:r>
        <w:rPr>
          <w:rFonts w:ascii="Times New Roman" w:hAnsi="Times New Roman" w:cs="Times New Roman"/>
          <w:sz w:val="24"/>
          <w:szCs w:val="24"/>
        </w:rPr>
        <w:t>nestrādā</w:t>
      </w:r>
      <w:r w:rsidRPr="001F2103">
        <w:rPr>
          <w:rFonts w:ascii="Times New Roman" w:hAnsi="Times New Roman" w:cs="Times New Roman"/>
          <w:sz w:val="24"/>
          <w:szCs w:val="24"/>
        </w:rPr>
        <w:t xml:space="preserve"> ledusskapis </w:t>
      </w:r>
      <w:r>
        <w:rPr>
          <w:rFonts w:ascii="Times New Roman" w:hAnsi="Times New Roman" w:cs="Times New Roman"/>
          <w:sz w:val="24"/>
          <w:szCs w:val="24"/>
        </w:rPr>
        <w:t>–</w:t>
      </w:r>
      <w:r w:rsidRPr="001F2103">
        <w:rPr>
          <w:rFonts w:ascii="Times New Roman" w:hAnsi="Times New Roman" w:cs="Times New Roman"/>
          <w:sz w:val="24"/>
          <w:szCs w:val="24"/>
        </w:rPr>
        <w:t xml:space="preserve"> </w:t>
      </w:r>
      <w:r>
        <w:rPr>
          <w:rFonts w:ascii="Times New Roman" w:hAnsi="Times New Roman" w:cs="Times New Roman"/>
          <w:sz w:val="24"/>
          <w:szCs w:val="24"/>
        </w:rPr>
        <w:t xml:space="preserve">kuras </w:t>
      </w:r>
      <w:r w:rsidRPr="001F2103">
        <w:rPr>
          <w:rFonts w:ascii="Times New Roman" w:hAnsi="Times New Roman" w:cs="Times New Roman"/>
          <w:sz w:val="24"/>
          <w:szCs w:val="24"/>
        </w:rPr>
        <w:t>tilpum</w:t>
      </w:r>
      <w:r>
        <w:rPr>
          <w:rFonts w:ascii="Times New Roman" w:hAnsi="Times New Roman" w:cs="Times New Roman"/>
          <w:sz w:val="24"/>
          <w:szCs w:val="24"/>
        </w:rPr>
        <w:t>s ir</w:t>
      </w:r>
      <w:r w:rsidRPr="001F2103">
        <w:rPr>
          <w:rFonts w:ascii="Times New Roman" w:hAnsi="Times New Roman" w:cs="Times New Roman"/>
          <w:sz w:val="24"/>
          <w:szCs w:val="24"/>
        </w:rPr>
        <w:t xml:space="preserve"> 300</w:t>
      </w:r>
      <w:r>
        <w:rPr>
          <w:rFonts w:ascii="Times New Roman" w:hAnsi="Times New Roman" w:cs="Times New Roman"/>
          <w:sz w:val="24"/>
          <w:szCs w:val="24"/>
        </w:rPr>
        <w:t xml:space="preserve"> eritrocītu masas  </w:t>
      </w:r>
      <w:r w:rsidRPr="001F2103">
        <w:rPr>
          <w:rFonts w:ascii="Times New Roman" w:hAnsi="Times New Roman" w:cs="Times New Roman"/>
          <w:sz w:val="24"/>
          <w:szCs w:val="24"/>
        </w:rPr>
        <w:t>devas, zaudējumi varētu būt 15</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810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(300</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devas*52.7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w:t>
      </w:r>
      <w:r>
        <w:rPr>
          <w:rFonts w:ascii="Times New Roman" w:hAnsi="Times New Roman" w:cs="Times New Roman"/>
          <w:sz w:val="24"/>
          <w:szCs w:val="24"/>
        </w:rPr>
        <w:t>eritrocītu masas</w:t>
      </w:r>
      <w:r w:rsidRPr="001F2103">
        <w:rPr>
          <w:rFonts w:ascii="Times New Roman" w:hAnsi="Times New Roman" w:cs="Times New Roman"/>
          <w:sz w:val="24"/>
          <w:szCs w:val="24"/>
        </w:rPr>
        <w:t xml:space="preserve"> uzskaites cena) vai 47</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430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w:t>
      </w:r>
      <w:r w:rsidRPr="001F2103">
        <w:rPr>
          <w:rFonts w:ascii="Times New Roman" w:hAnsi="Times New Roman" w:cs="Times New Roman"/>
          <w:sz w:val="24"/>
          <w:szCs w:val="24"/>
          <w:lang w:eastAsia="lv-LV"/>
        </w:rPr>
        <w:t>3 gadu laikā.</w:t>
      </w:r>
    </w:p>
    <w:p w14:paraId="074207A4" w14:textId="77777777" w:rsidR="0042613F" w:rsidRDefault="0042613F" w:rsidP="0042613F">
      <w:pPr>
        <w:pStyle w:val="ListParagraph"/>
        <w:numPr>
          <w:ilvl w:val="0"/>
          <w:numId w:val="36"/>
        </w:numPr>
        <w:autoSpaceDE w:val="0"/>
        <w:autoSpaceDN w:val="0"/>
        <w:adjustRightInd w:val="0"/>
        <w:spacing w:after="100" w:afterAutospacing="1" w:line="240" w:lineRule="auto"/>
        <w:jc w:val="both"/>
        <w:rPr>
          <w:rFonts w:ascii="Times New Roman" w:hAnsi="Times New Roman"/>
          <w:sz w:val="24"/>
          <w:szCs w:val="24"/>
        </w:rPr>
      </w:pPr>
      <w:r>
        <w:rPr>
          <w:rFonts w:ascii="Times New Roman" w:hAnsi="Times New Roman"/>
          <w:sz w:val="24"/>
          <w:szCs w:val="24"/>
        </w:rPr>
        <w:t>Temperatūras monitoringa sistēma</w:t>
      </w:r>
    </w:p>
    <w:p w14:paraId="0B2BC060" w14:textId="77777777" w:rsidR="0042613F" w:rsidRPr="00A77022" w:rsidRDefault="0042613F" w:rsidP="0042613F">
      <w:pPr>
        <w:autoSpaceDE w:val="0"/>
        <w:autoSpaceDN w:val="0"/>
        <w:adjustRightInd w:val="0"/>
        <w:spacing w:after="120"/>
        <w:ind w:firstLine="720"/>
        <w:jc w:val="both"/>
        <w:rPr>
          <w:rFonts w:ascii="Times New Roman" w:hAnsi="Times New Roman" w:cs="Times New Roman"/>
          <w:sz w:val="24"/>
          <w:szCs w:val="24"/>
        </w:rPr>
      </w:pPr>
      <w:r w:rsidRPr="00A77022">
        <w:rPr>
          <w:rFonts w:ascii="Times New Roman" w:hAnsi="Times New Roman" w:cs="Times New Roman"/>
          <w:sz w:val="24"/>
          <w:szCs w:val="24"/>
        </w:rPr>
        <w:t>Temperatūr</w:t>
      </w:r>
      <w:r>
        <w:rPr>
          <w:rFonts w:ascii="Times New Roman" w:hAnsi="Times New Roman" w:cs="Times New Roman"/>
          <w:sz w:val="24"/>
          <w:szCs w:val="24"/>
        </w:rPr>
        <w:t>as monitoringa</w:t>
      </w:r>
      <w:r w:rsidRPr="00A77022">
        <w:rPr>
          <w:rFonts w:ascii="Times New Roman" w:hAnsi="Times New Roman" w:cs="Times New Roman"/>
          <w:sz w:val="24"/>
          <w:szCs w:val="24"/>
        </w:rPr>
        <w:t xml:space="preserve"> sistēma (turpmāk - TMS) ļauj padziļināti izvērtēt termokontroli un termoregulēšanu sildīšanas un saldēšanas iekārtās, kā arī citās iekārtās, kur nepieciešama precīza iestatīto temperatūru uzturēšana. TMS ļauj operatīvāk un precīzāk sniegt informāciju par potenciāli kritiskajiem punktiem un ļauj operatīvi veikt aprēķinus jeb modelēšanu par iespējamiem draudiem, kā arī dod iespēju kontrolēt un uzraudzīt temperatūras režīmu kamerās, ledusskapjos un saldētavās.</w:t>
      </w:r>
    </w:p>
    <w:p w14:paraId="287FD348" w14:textId="77777777" w:rsidR="0042613F" w:rsidRPr="001F2103" w:rsidRDefault="0042613F" w:rsidP="0042613F">
      <w:pPr>
        <w:autoSpaceDE w:val="0"/>
        <w:autoSpaceDN w:val="0"/>
        <w:adjustRightInd w:val="0"/>
        <w:spacing w:after="100" w:afterAutospacing="1" w:line="240" w:lineRule="auto"/>
        <w:ind w:firstLine="851"/>
        <w:jc w:val="both"/>
        <w:rPr>
          <w:rFonts w:ascii="Times New Roman" w:eastAsia="Times New Roman" w:hAnsi="Times New Roman" w:cs="Times New Roman"/>
          <w:color w:val="2E2D32"/>
          <w:sz w:val="24"/>
          <w:szCs w:val="24"/>
          <w:lang w:eastAsia="lv-LV"/>
        </w:rPr>
      </w:pPr>
      <w:r w:rsidRPr="001F2103">
        <w:rPr>
          <w:rFonts w:ascii="Times New Roman" w:hAnsi="Times New Roman" w:cs="Times New Roman"/>
          <w:sz w:val="24"/>
          <w:szCs w:val="24"/>
        </w:rPr>
        <w:t xml:space="preserve"> Modernizētas TMS stacijas </w:t>
      </w:r>
      <w:r w:rsidRPr="64AB90BD">
        <w:rPr>
          <w:rFonts w:ascii="Times New Roman" w:eastAsia="Times New Roman" w:hAnsi="Times New Roman" w:cs="Times New Roman"/>
          <w:color w:val="2E2D32"/>
          <w:sz w:val="24"/>
          <w:szCs w:val="24"/>
          <w:lang w:eastAsia="lv-LV"/>
        </w:rPr>
        <w:t>ieguvumi:</w:t>
      </w:r>
    </w:p>
    <w:p w14:paraId="4AD931AB" w14:textId="77777777" w:rsidR="0042613F" w:rsidRPr="002B0B29" w:rsidRDefault="0042613F" w:rsidP="0042613F">
      <w:pPr>
        <w:pStyle w:val="ListParagraph"/>
        <w:numPr>
          <w:ilvl w:val="0"/>
          <w:numId w:val="34"/>
        </w:numPr>
        <w:spacing w:after="0" w:line="240" w:lineRule="auto"/>
        <w:ind w:left="714" w:hanging="357"/>
        <w:jc w:val="both"/>
        <w:rPr>
          <w:rFonts w:ascii="Times New Roman" w:eastAsia="Times New Roman" w:hAnsi="Times New Roman"/>
          <w:color w:val="2E2D32"/>
          <w:sz w:val="24"/>
          <w:szCs w:val="24"/>
          <w:lang w:val="lv-LV" w:eastAsia="lv-LV"/>
        </w:rPr>
      </w:pPr>
      <w:r w:rsidRPr="00D63888">
        <w:rPr>
          <w:rFonts w:ascii="Times New Roman" w:hAnsi="Times New Roman"/>
          <w:sz w:val="24"/>
          <w:szCs w:val="24"/>
          <w:lang w:val="lv-LV"/>
        </w:rPr>
        <w:t xml:space="preserve">Tiks novērsts potenciālo asins preparātu un asins komponentu zudumu risks, jo TMS </w:t>
      </w:r>
      <w:r w:rsidRPr="00D63888">
        <w:rPr>
          <w:rFonts w:ascii="Times New Roman" w:eastAsia="Times New Roman" w:hAnsi="Times New Roman"/>
          <w:b/>
          <w:bCs/>
          <w:color w:val="800000"/>
          <w:sz w:val="24"/>
          <w:szCs w:val="24"/>
          <w:lang w:val="lv-LV" w:eastAsia="lv-LV"/>
        </w:rPr>
        <w:t xml:space="preserve"> </w:t>
      </w:r>
      <w:r w:rsidRPr="00D63888">
        <w:rPr>
          <w:rFonts w:ascii="Times New Roman" w:hAnsi="Times New Roman"/>
          <w:sz w:val="24"/>
          <w:szCs w:val="24"/>
          <w:lang w:val="lv-LV"/>
        </w:rPr>
        <w:t>savlaicīgi dod</w:t>
      </w:r>
      <w:r w:rsidRPr="00D63888">
        <w:rPr>
          <w:rFonts w:ascii="Times New Roman" w:eastAsia="Times New Roman" w:hAnsi="Times New Roman"/>
          <w:color w:val="2E2D32"/>
          <w:sz w:val="24"/>
          <w:szCs w:val="24"/>
          <w:lang w:val="lv-LV" w:eastAsia="lv-LV"/>
        </w:rPr>
        <w:t xml:space="preserve"> paziņojumu, ja temperatūra pārkāpusi noteiktās normas.</w:t>
      </w:r>
    </w:p>
    <w:p w14:paraId="09535606" w14:textId="77777777" w:rsidR="0042613F" w:rsidRPr="002B0B29" w:rsidRDefault="0042613F" w:rsidP="0042613F">
      <w:pPr>
        <w:pStyle w:val="ListParagraph"/>
        <w:numPr>
          <w:ilvl w:val="0"/>
          <w:numId w:val="34"/>
        </w:numPr>
        <w:spacing w:after="0" w:line="240" w:lineRule="auto"/>
        <w:ind w:left="714" w:hanging="357"/>
        <w:jc w:val="both"/>
        <w:rPr>
          <w:rFonts w:ascii="Times New Roman" w:hAnsi="Times New Roman"/>
          <w:sz w:val="24"/>
          <w:szCs w:val="24"/>
          <w:lang w:val="lv-LV"/>
        </w:rPr>
      </w:pPr>
      <w:r w:rsidRPr="00D63888">
        <w:rPr>
          <w:rFonts w:ascii="Times New Roman" w:hAnsi="Times New Roman"/>
          <w:sz w:val="24"/>
          <w:szCs w:val="24"/>
          <w:lang w:val="lv-LV"/>
        </w:rPr>
        <w:t>Savlaicīgi veikt iekārtu profilaktisko remontu, jo, sekojot līdzi siltuma un aukstuma iekārtu darbībai, var noteikt problēmu laicīgi, negaidot iekārtas pilnīgu apstāšanos.</w:t>
      </w:r>
    </w:p>
    <w:p w14:paraId="5D17E30B" w14:textId="77777777" w:rsidR="0042613F" w:rsidRPr="00D63888" w:rsidRDefault="0042613F" w:rsidP="0042613F">
      <w:pPr>
        <w:pStyle w:val="ListParagraph"/>
        <w:numPr>
          <w:ilvl w:val="0"/>
          <w:numId w:val="34"/>
        </w:numPr>
        <w:spacing w:after="0" w:line="240" w:lineRule="auto"/>
        <w:ind w:left="714" w:hanging="357"/>
        <w:jc w:val="both"/>
        <w:rPr>
          <w:rFonts w:ascii="Times New Roman" w:hAnsi="Times New Roman"/>
          <w:sz w:val="24"/>
          <w:szCs w:val="24"/>
          <w:lang w:val="lv-LV"/>
        </w:rPr>
      </w:pPr>
      <w:r w:rsidRPr="00D63888">
        <w:rPr>
          <w:rFonts w:ascii="Times New Roman" w:hAnsi="Times New Roman"/>
          <w:sz w:val="24"/>
          <w:szCs w:val="24"/>
          <w:lang w:val="lv-LV"/>
        </w:rPr>
        <w:t xml:space="preserve">Resursu ietaupījums. Temperatūru kontroli veic automatizēta sistēma  un vairs nav nepieciešamības veikt manuālas pārbaudes. Manuālas pārbaudes veic  elektronikas inženieris, kura alga ir 1071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mēnesī, patērētais laiks apmērām 1 stunda dienā vai 0,12 slodzes. Aprēķinātais ietaupījums mēnesī - 166.13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(0.125*1071*124.09%) vai gadā – 1993.56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(166.13*12).</w:t>
      </w:r>
    </w:p>
    <w:p w14:paraId="786E060B" w14:textId="77777777" w:rsidR="0042613F" w:rsidRPr="002B0B29" w:rsidRDefault="0042613F" w:rsidP="0042613F">
      <w:pPr>
        <w:pStyle w:val="ListParagraph"/>
        <w:numPr>
          <w:ilvl w:val="0"/>
          <w:numId w:val="34"/>
        </w:numPr>
        <w:spacing w:after="0" w:line="240" w:lineRule="auto"/>
        <w:ind w:left="714" w:hanging="357"/>
        <w:jc w:val="both"/>
        <w:rPr>
          <w:rFonts w:ascii="Times New Roman" w:hAnsi="Times New Roman"/>
          <w:sz w:val="24"/>
          <w:szCs w:val="24"/>
          <w:lang w:val="lv-LV"/>
        </w:rPr>
      </w:pPr>
      <w:r w:rsidRPr="00D63888">
        <w:rPr>
          <w:rFonts w:ascii="Times New Roman" w:hAnsi="Times New Roman"/>
          <w:sz w:val="24"/>
          <w:szCs w:val="24"/>
          <w:lang w:val="lv-LV"/>
        </w:rPr>
        <w:lastRenderedPageBreak/>
        <w:t>Atbilstība normatīviem aktiem. Temperatūru kontrole automātiskā režīmā ļauj pastāvīgi uzturēt atbilstību normatīviem noteikumiem.</w:t>
      </w:r>
    </w:p>
    <w:p w14:paraId="2FEAC72A" w14:textId="77777777" w:rsidR="0042613F" w:rsidRDefault="0042613F" w:rsidP="0042613F">
      <w:pPr>
        <w:spacing w:after="0" w:line="240" w:lineRule="auto"/>
        <w:jc w:val="both"/>
        <w:rPr>
          <w:rFonts w:ascii="Times New Roman" w:hAnsi="Times New Roman" w:cs="Times New Roman"/>
          <w:sz w:val="24"/>
          <w:szCs w:val="24"/>
          <w:lang w:eastAsia="lv-LV"/>
        </w:rPr>
      </w:pPr>
    </w:p>
    <w:p w14:paraId="5CE750C6" w14:textId="77777777" w:rsidR="0042613F" w:rsidRDefault="0042613F" w:rsidP="0042613F">
      <w:pPr>
        <w:spacing w:after="0" w:line="240" w:lineRule="auto"/>
        <w:jc w:val="both"/>
        <w:rPr>
          <w:rFonts w:ascii="Times New Roman" w:hAnsi="Times New Roman" w:cs="Times New Roman"/>
          <w:i/>
          <w:sz w:val="24"/>
          <w:szCs w:val="24"/>
          <w:lang w:eastAsia="lv-LV"/>
        </w:rPr>
      </w:pPr>
      <w:r w:rsidRPr="001F2103">
        <w:rPr>
          <w:rFonts w:ascii="Times New Roman" w:hAnsi="Times New Roman" w:cs="Times New Roman"/>
          <w:sz w:val="24"/>
          <w:szCs w:val="24"/>
          <w:lang w:eastAsia="lv-LV"/>
        </w:rPr>
        <w:t>Kopējais ieguvums no a</w:t>
      </w:r>
      <w:r w:rsidRPr="001F2103">
        <w:rPr>
          <w:rFonts w:ascii="Times New Roman" w:hAnsi="Times New Roman" w:cs="Times New Roman"/>
          <w:sz w:val="24"/>
          <w:szCs w:val="24"/>
        </w:rPr>
        <w:t xml:space="preserve">sins komponentu uzglabāšanas </w:t>
      </w:r>
      <w:r w:rsidRPr="001F2103">
        <w:rPr>
          <w:rFonts w:ascii="Times New Roman" w:eastAsia="Times New Roman" w:hAnsi="Times New Roman" w:cs="Times New Roman"/>
          <w:bCs/>
          <w:color w:val="000000"/>
          <w:sz w:val="24"/>
          <w:szCs w:val="24"/>
          <w:lang w:eastAsia="lv-LV"/>
        </w:rPr>
        <w:t>iekārtu iegādes</w:t>
      </w:r>
      <w:r w:rsidRPr="001F2103">
        <w:rPr>
          <w:rFonts w:ascii="Times New Roman" w:hAnsi="Times New Roman" w:cs="Times New Roman"/>
          <w:sz w:val="24"/>
          <w:szCs w:val="24"/>
          <w:lang w:eastAsia="lv-LV"/>
        </w:rPr>
        <w:t xml:space="preserve"> 3 gadu laikā sastāda </w:t>
      </w:r>
      <w:r w:rsidRPr="001F2103">
        <w:rPr>
          <w:rFonts w:ascii="Times New Roman" w:hAnsi="Times New Roman" w:cs="Times New Roman"/>
          <w:b/>
          <w:sz w:val="24"/>
          <w:szCs w:val="24"/>
          <w:lang w:eastAsia="lv-LV"/>
        </w:rPr>
        <w:t>133</w:t>
      </w:r>
      <w:r>
        <w:rPr>
          <w:rFonts w:ascii="Times New Roman" w:hAnsi="Times New Roman" w:cs="Times New Roman"/>
          <w:b/>
          <w:sz w:val="24"/>
          <w:szCs w:val="24"/>
          <w:lang w:eastAsia="lv-LV"/>
        </w:rPr>
        <w:t> </w:t>
      </w:r>
      <w:r w:rsidRPr="001F2103">
        <w:rPr>
          <w:rFonts w:ascii="Times New Roman" w:hAnsi="Times New Roman" w:cs="Times New Roman"/>
          <w:b/>
          <w:sz w:val="24"/>
          <w:szCs w:val="24"/>
          <w:lang w:eastAsia="lv-LV"/>
        </w:rPr>
        <w:t xml:space="preserve">240.68 </w:t>
      </w:r>
      <w:r w:rsidRPr="00D63888">
        <w:rPr>
          <w:rFonts w:ascii="Times New Roman" w:hAnsi="Times New Roman" w:cs="Times New Roman"/>
          <w:b/>
          <w:i/>
          <w:sz w:val="24"/>
          <w:szCs w:val="24"/>
          <w:lang w:eastAsia="lv-LV"/>
        </w:rPr>
        <w:t>euro</w:t>
      </w:r>
      <w:r w:rsidRPr="00CD7DB3">
        <w:rPr>
          <w:rFonts w:ascii="Times New Roman" w:hAnsi="Times New Roman" w:cs="Times New Roman"/>
          <w:sz w:val="24"/>
          <w:szCs w:val="24"/>
          <w:lang w:eastAsia="lv-LV"/>
        </w:rPr>
        <w:t>)</w:t>
      </w:r>
    </w:p>
    <w:p w14:paraId="3112B6D0" w14:textId="77777777" w:rsidR="0042613F" w:rsidRPr="001F2103" w:rsidRDefault="0042613F" w:rsidP="0042613F">
      <w:pPr>
        <w:spacing w:after="0" w:line="240" w:lineRule="auto"/>
        <w:ind w:left="510"/>
        <w:jc w:val="both"/>
        <w:rPr>
          <w:rFonts w:ascii="Times New Roman" w:hAnsi="Times New Roman" w:cs="Times New Roman"/>
          <w:sz w:val="24"/>
          <w:szCs w:val="24"/>
        </w:rPr>
      </w:pPr>
    </w:p>
    <w:p w14:paraId="35FC1F35" w14:textId="77777777" w:rsidR="0042613F" w:rsidRPr="00CD7DB3" w:rsidRDefault="0042613F" w:rsidP="0042613F">
      <w:pPr>
        <w:pStyle w:val="ListParagraph"/>
        <w:numPr>
          <w:ilvl w:val="0"/>
          <w:numId w:val="36"/>
        </w:numPr>
        <w:autoSpaceDE w:val="0"/>
        <w:autoSpaceDN w:val="0"/>
        <w:adjustRightInd w:val="0"/>
        <w:spacing w:after="100" w:afterAutospacing="1" w:line="240" w:lineRule="auto"/>
        <w:jc w:val="both"/>
        <w:rPr>
          <w:rFonts w:ascii="Times New Roman" w:hAnsi="Times New Roman"/>
          <w:sz w:val="24"/>
          <w:szCs w:val="24"/>
          <w:lang w:val="lv-LV"/>
        </w:rPr>
      </w:pPr>
      <w:r w:rsidRPr="00CD7DB3">
        <w:rPr>
          <w:rFonts w:ascii="Times New Roman" w:hAnsi="Times New Roman"/>
          <w:sz w:val="24"/>
          <w:szCs w:val="24"/>
          <w:lang w:val="lv-LV"/>
        </w:rPr>
        <w:t>Asins komponentu sagatavošanas iekārtas</w:t>
      </w:r>
    </w:p>
    <w:p w14:paraId="2445FF56" w14:textId="77777777" w:rsidR="0042613F" w:rsidRPr="00F9576A" w:rsidRDefault="0042613F" w:rsidP="0042613F">
      <w:pPr>
        <w:autoSpaceDE w:val="0"/>
        <w:autoSpaceDN w:val="0"/>
        <w:adjustRightInd w:val="0"/>
        <w:spacing w:after="120"/>
        <w:ind w:firstLine="720"/>
        <w:jc w:val="both"/>
        <w:rPr>
          <w:rFonts w:ascii="Times New Roman" w:hAnsi="Times New Roman" w:cs="Times New Roman"/>
          <w:sz w:val="24"/>
          <w:szCs w:val="24"/>
        </w:rPr>
      </w:pPr>
      <w:r w:rsidRPr="00F9576A">
        <w:rPr>
          <w:rFonts w:ascii="Times New Roman" w:hAnsi="Times New Roman" w:cs="Times New Roman"/>
          <w:sz w:val="24"/>
          <w:szCs w:val="24"/>
        </w:rPr>
        <w:t xml:space="preserve"> </w:t>
      </w:r>
      <w:r>
        <w:rPr>
          <w:rFonts w:ascii="Times New Roman" w:hAnsi="Times New Roman" w:cs="Times New Roman"/>
          <w:sz w:val="24"/>
          <w:szCs w:val="24"/>
        </w:rPr>
        <w:t xml:space="preserve">Asins komponentu sagatavošanas iekārtu (svari šeikeri, centrifūgas, separatori, ātrsaldētāji, sadalītāji), </w:t>
      </w:r>
      <w:r w:rsidRPr="00F9576A">
        <w:rPr>
          <w:rFonts w:ascii="Times New Roman" w:hAnsi="Times New Roman" w:cs="Times New Roman"/>
          <w:sz w:val="24"/>
          <w:szCs w:val="24"/>
        </w:rPr>
        <w:t>iegāde ir nepieciešama, lai nodrošinātu nepārtrauktu asins un asins komponentu sagatavošanu</w:t>
      </w:r>
      <w:r>
        <w:rPr>
          <w:rFonts w:ascii="Times New Roman" w:hAnsi="Times New Roman" w:cs="Times New Roman"/>
          <w:sz w:val="24"/>
          <w:szCs w:val="24"/>
        </w:rPr>
        <w:t xml:space="preserve"> un apstrādes tehnoloģiju uzlabošanu</w:t>
      </w:r>
      <w:r w:rsidRPr="00F9576A">
        <w:rPr>
          <w:rFonts w:ascii="Times New Roman" w:hAnsi="Times New Roman" w:cs="Times New Roman"/>
          <w:sz w:val="24"/>
          <w:szCs w:val="24"/>
        </w:rPr>
        <w:t>.</w:t>
      </w:r>
    </w:p>
    <w:p w14:paraId="2C6139DF" w14:textId="77777777" w:rsidR="0042613F" w:rsidRPr="001F2103" w:rsidRDefault="0042613F" w:rsidP="0042613F">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VADC un reģionālo slimnīcu ASN</w:t>
      </w:r>
      <w:r w:rsidRPr="001F2103">
        <w:rPr>
          <w:rFonts w:ascii="Times New Roman" w:hAnsi="Times New Roman" w:cs="Times New Roman"/>
          <w:sz w:val="24"/>
          <w:szCs w:val="24"/>
        </w:rPr>
        <w:t xml:space="preserve"> strādā ar asins komponentu sagatavošanas iekārtām, kurām nolietojums ir 90.8%</w:t>
      </w:r>
      <w:r w:rsidRPr="005A0C88">
        <w:rPr>
          <w:rFonts w:ascii="Times New Roman" w:hAnsi="Times New Roman" w:cs="Times New Roman"/>
          <w:sz w:val="24"/>
          <w:szCs w:val="24"/>
        </w:rPr>
        <w:t>,</w:t>
      </w:r>
      <w:r w:rsidRPr="001F2103">
        <w:rPr>
          <w:rFonts w:ascii="Times New Roman" w:hAnsi="Times New Roman" w:cs="Times New Roman"/>
          <w:sz w:val="24"/>
          <w:szCs w:val="24"/>
        </w:rPr>
        <w:t xml:space="preserve"> bet </w:t>
      </w:r>
      <w:r>
        <w:rPr>
          <w:rFonts w:ascii="Times New Roman" w:hAnsi="Times New Roman" w:cs="Times New Roman"/>
          <w:sz w:val="24"/>
          <w:szCs w:val="24"/>
        </w:rPr>
        <w:t>lielākajai daļai  atlikusī vērtība jau ir 0</w:t>
      </w:r>
      <w:r w:rsidRPr="001F2103">
        <w:rPr>
          <w:rFonts w:ascii="Times New Roman" w:hAnsi="Times New Roman" w:cs="Times New Roman"/>
          <w:sz w:val="24"/>
          <w:szCs w:val="24"/>
        </w:rPr>
        <w:t xml:space="preserve">. Katru gadu </w:t>
      </w:r>
      <w:r>
        <w:rPr>
          <w:rFonts w:ascii="Times New Roman" w:hAnsi="Times New Roman" w:cs="Times New Roman"/>
          <w:sz w:val="24"/>
          <w:szCs w:val="24"/>
        </w:rPr>
        <w:t xml:space="preserve">attiecīgi </w:t>
      </w:r>
      <w:r w:rsidRPr="001F2103">
        <w:rPr>
          <w:rFonts w:ascii="Times New Roman" w:hAnsi="Times New Roman" w:cs="Times New Roman"/>
          <w:sz w:val="24"/>
          <w:szCs w:val="24"/>
        </w:rPr>
        <w:t>pieaug izdevumi iekārt</w:t>
      </w:r>
      <w:r>
        <w:rPr>
          <w:rFonts w:ascii="Times New Roman" w:hAnsi="Times New Roman" w:cs="Times New Roman"/>
          <w:sz w:val="24"/>
          <w:szCs w:val="24"/>
        </w:rPr>
        <w:t>u</w:t>
      </w:r>
      <w:r w:rsidRPr="001F2103">
        <w:rPr>
          <w:rFonts w:ascii="Times New Roman" w:hAnsi="Times New Roman" w:cs="Times New Roman"/>
          <w:sz w:val="24"/>
          <w:szCs w:val="24"/>
        </w:rPr>
        <w:t xml:space="preserve"> remontiem. Ja 2017.gadā izdevumi iekārtu remontiem sasniedza 33</w:t>
      </w:r>
      <w:r>
        <w:rPr>
          <w:rFonts w:ascii="Times New Roman" w:hAnsi="Times New Roman" w:cs="Times New Roman"/>
          <w:sz w:val="24"/>
          <w:szCs w:val="24"/>
        </w:rPr>
        <w:t> </w:t>
      </w:r>
      <w:r w:rsidRPr="001F2103">
        <w:rPr>
          <w:rFonts w:ascii="Times New Roman" w:hAnsi="Times New Roman" w:cs="Times New Roman"/>
          <w:sz w:val="24"/>
          <w:szCs w:val="24"/>
        </w:rPr>
        <w:t xml:space="preserve">807 </w:t>
      </w:r>
      <w:r w:rsidRPr="00D63888">
        <w:rPr>
          <w:rFonts w:ascii="Times New Roman" w:hAnsi="Times New Roman" w:cs="Times New Roman"/>
          <w:i/>
          <w:sz w:val="24"/>
          <w:szCs w:val="24"/>
        </w:rPr>
        <w:t>euro</w:t>
      </w:r>
      <w:r w:rsidRPr="001F2103">
        <w:rPr>
          <w:rFonts w:ascii="Times New Roman" w:hAnsi="Times New Roman" w:cs="Times New Roman"/>
          <w:sz w:val="24"/>
          <w:szCs w:val="24"/>
        </w:rPr>
        <w:t>, tad 2018.gadā prognozējamie izdevumi iekārtu remontiem var sasniegt 38</w:t>
      </w:r>
      <w:r>
        <w:rPr>
          <w:rFonts w:ascii="Times New Roman" w:hAnsi="Times New Roman" w:cs="Times New Roman"/>
          <w:sz w:val="24"/>
          <w:szCs w:val="24"/>
        </w:rPr>
        <w:t xml:space="preserve"> </w:t>
      </w:r>
      <w:r w:rsidRPr="001F2103">
        <w:rPr>
          <w:rFonts w:ascii="Times New Roman" w:hAnsi="Times New Roman" w:cs="Times New Roman"/>
          <w:sz w:val="24"/>
          <w:szCs w:val="24"/>
        </w:rPr>
        <w:t xml:space="preserve">480 </w:t>
      </w:r>
      <w:r w:rsidRPr="00D63888">
        <w:rPr>
          <w:rFonts w:ascii="Times New Roman" w:hAnsi="Times New Roman" w:cs="Times New Roman"/>
          <w:i/>
          <w:sz w:val="24"/>
          <w:szCs w:val="24"/>
        </w:rPr>
        <w:t>euro</w:t>
      </w:r>
      <w:r>
        <w:rPr>
          <w:rFonts w:ascii="Times New Roman" w:hAnsi="Times New Roman" w:cs="Times New Roman"/>
          <w:i/>
          <w:sz w:val="24"/>
          <w:szCs w:val="24"/>
        </w:rPr>
        <w:t>.</w:t>
      </w:r>
      <w:r w:rsidRPr="001F2103">
        <w:rPr>
          <w:rFonts w:ascii="Times New Roman" w:hAnsi="Times New Roman" w:cs="Times New Roman"/>
          <w:sz w:val="24"/>
          <w:szCs w:val="24"/>
        </w:rPr>
        <w:t xml:space="preserve"> Izmantojot morāli un fiziski novecojušas tehnoloģiskās iekārtas, </w:t>
      </w:r>
      <w:r>
        <w:rPr>
          <w:rFonts w:ascii="Times New Roman" w:hAnsi="Times New Roman" w:cs="Times New Roman"/>
          <w:sz w:val="24"/>
          <w:szCs w:val="24"/>
        </w:rPr>
        <w:t>VADC</w:t>
      </w:r>
      <w:r w:rsidRPr="001F2103">
        <w:rPr>
          <w:rFonts w:ascii="Times New Roman" w:hAnsi="Times New Roman" w:cs="Times New Roman"/>
          <w:sz w:val="24"/>
          <w:szCs w:val="24"/>
        </w:rPr>
        <w:t xml:space="preserve"> nevar</w:t>
      </w:r>
      <w:r>
        <w:rPr>
          <w:rFonts w:ascii="Times New Roman" w:hAnsi="Times New Roman" w:cs="Times New Roman"/>
          <w:sz w:val="24"/>
          <w:szCs w:val="24"/>
        </w:rPr>
        <w:t xml:space="preserve"> turpmākā periodā garantēt atbilstošu</w:t>
      </w:r>
      <w:r w:rsidRPr="001F2103">
        <w:rPr>
          <w:rFonts w:ascii="Times New Roman" w:hAnsi="Times New Roman" w:cs="Times New Roman"/>
          <w:sz w:val="24"/>
          <w:szCs w:val="24"/>
        </w:rPr>
        <w:t xml:space="preserve"> </w:t>
      </w:r>
      <w:r>
        <w:rPr>
          <w:rFonts w:ascii="Times New Roman" w:hAnsi="Times New Roman" w:cs="Times New Roman"/>
          <w:sz w:val="24"/>
          <w:szCs w:val="24"/>
        </w:rPr>
        <w:t>asins komponentu</w:t>
      </w:r>
      <w:r w:rsidRPr="001F2103">
        <w:rPr>
          <w:rFonts w:ascii="Times New Roman" w:hAnsi="Times New Roman" w:cs="Times New Roman"/>
          <w:sz w:val="24"/>
          <w:szCs w:val="24"/>
        </w:rPr>
        <w:t xml:space="preserve"> kvalitāti.</w:t>
      </w:r>
    </w:p>
    <w:p w14:paraId="28F5D942" w14:textId="7096BCF6" w:rsidR="0042613F" w:rsidRPr="00CD7DB3" w:rsidRDefault="0042613F" w:rsidP="0042613F">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Jaunu i</w:t>
      </w:r>
      <w:r w:rsidRPr="00CD7DB3">
        <w:rPr>
          <w:rFonts w:ascii="Times New Roman" w:hAnsi="Times New Roman" w:cs="Times New Roman"/>
          <w:sz w:val="24"/>
          <w:szCs w:val="24"/>
        </w:rPr>
        <w:t>ekārt</w:t>
      </w:r>
      <w:r>
        <w:rPr>
          <w:rFonts w:ascii="Times New Roman" w:hAnsi="Times New Roman" w:cs="Times New Roman"/>
          <w:sz w:val="24"/>
          <w:szCs w:val="24"/>
        </w:rPr>
        <w:t>u iegādes rezultātā ražotājs</w:t>
      </w:r>
      <w:r w:rsidRPr="00CD7DB3">
        <w:rPr>
          <w:rFonts w:ascii="Times New Roman" w:hAnsi="Times New Roman" w:cs="Times New Roman"/>
          <w:sz w:val="24"/>
          <w:szCs w:val="24"/>
        </w:rPr>
        <w:t xml:space="preserve"> nodrošinās</w:t>
      </w:r>
      <w:r>
        <w:rPr>
          <w:rFonts w:ascii="Times New Roman" w:hAnsi="Times New Roman" w:cs="Times New Roman"/>
          <w:sz w:val="24"/>
          <w:szCs w:val="24"/>
        </w:rPr>
        <w:t xml:space="preserve"> iekārtu</w:t>
      </w:r>
      <w:r w:rsidRPr="00CD7DB3">
        <w:rPr>
          <w:rFonts w:ascii="Times New Roman" w:hAnsi="Times New Roman" w:cs="Times New Roman"/>
          <w:sz w:val="24"/>
          <w:szCs w:val="24"/>
        </w:rPr>
        <w:t xml:space="preserve"> remont</w:t>
      </w:r>
      <w:r>
        <w:rPr>
          <w:rFonts w:ascii="Times New Roman" w:hAnsi="Times New Roman" w:cs="Times New Roman"/>
          <w:sz w:val="24"/>
          <w:szCs w:val="24"/>
        </w:rPr>
        <w:t>u</w:t>
      </w:r>
      <w:r w:rsidRPr="00CD7DB3">
        <w:rPr>
          <w:rFonts w:ascii="Times New Roman" w:hAnsi="Times New Roman" w:cs="Times New Roman"/>
          <w:sz w:val="24"/>
          <w:szCs w:val="24"/>
        </w:rPr>
        <w:t>, apkop</w:t>
      </w:r>
      <w:r>
        <w:rPr>
          <w:rFonts w:ascii="Times New Roman" w:hAnsi="Times New Roman" w:cs="Times New Roman"/>
          <w:sz w:val="24"/>
          <w:szCs w:val="24"/>
        </w:rPr>
        <w:t>i</w:t>
      </w:r>
      <w:r w:rsidRPr="00CD7DB3">
        <w:rPr>
          <w:rFonts w:ascii="Times New Roman" w:hAnsi="Times New Roman" w:cs="Times New Roman"/>
          <w:sz w:val="24"/>
          <w:szCs w:val="24"/>
        </w:rPr>
        <w:t>, funkcionālās pārbaudes, tehnisk</w:t>
      </w:r>
      <w:r>
        <w:rPr>
          <w:rFonts w:ascii="Times New Roman" w:hAnsi="Times New Roman" w:cs="Times New Roman"/>
          <w:sz w:val="24"/>
          <w:szCs w:val="24"/>
        </w:rPr>
        <w:t>o</w:t>
      </w:r>
      <w:r w:rsidRPr="00CD7DB3">
        <w:rPr>
          <w:rFonts w:ascii="Times New Roman" w:hAnsi="Times New Roman" w:cs="Times New Roman"/>
          <w:sz w:val="24"/>
          <w:szCs w:val="24"/>
        </w:rPr>
        <w:t xml:space="preserve"> uzraudzīb</w:t>
      </w:r>
      <w:r>
        <w:rPr>
          <w:rFonts w:ascii="Times New Roman" w:hAnsi="Times New Roman" w:cs="Times New Roman"/>
          <w:sz w:val="24"/>
          <w:szCs w:val="24"/>
        </w:rPr>
        <w:t>u,</w:t>
      </w:r>
      <w:r w:rsidRPr="00CD7DB3">
        <w:rPr>
          <w:rFonts w:ascii="Times New Roman" w:hAnsi="Times New Roman" w:cs="Times New Roman"/>
          <w:sz w:val="24"/>
          <w:szCs w:val="24"/>
        </w:rPr>
        <w:t xml:space="preserve"> tādējādi VADC n</w:t>
      </w:r>
      <w:r>
        <w:rPr>
          <w:rFonts w:ascii="Times New Roman" w:hAnsi="Times New Roman" w:cs="Times New Roman"/>
          <w:sz w:val="24"/>
          <w:szCs w:val="24"/>
        </w:rPr>
        <w:t xml:space="preserve">ebūs </w:t>
      </w:r>
      <w:r w:rsidRPr="00CD7DB3">
        <w:rPr>
          <w:rFonts w:ascii="Times New Roman" w:hAnsi="Times New Roman" w:cs="Times New Roman"/>
          <w:sz w:val="24"/>
          <w:szCs w:val="24"/>
        </w:rPr>
        <w:t>jātērē  savi finanšu līdzekļi, bez tam ilgtermiņa noma (10 g</w:t>
      </w:r>
      <w:r>
        <w:rPr>
          <w:rFonts w:ascii="Times New Roman" w:hAnsi="Times New Roman" w:cs="Times New Roman"/>
          <w:sz w:val="24"/>
          <w:szCs w:val="24"/>
        </w:rPr>
        <w:t>adi</w:t>
      </w:r>
      <w:r w:rsidRPr="00CD7DB3">
        <w:rPr>
          <w:rFonts w:ascii="Times New Roman" w:hAnsi="Times New Roman" w:cs="Times New Roman"/>
          <w:sz w:val="24"/>
          <w:szCs w:val="24"/>
        </w:rPr>
        <w:t xml:space="preserve"> un ilgāk) nav izdevīga, jo iekārtas izmaksas būs 3-4 reizes lielākas nekā, ja iekārta būs VADC īpašumā</w:t>
      </w:r>
      <w:r>
        <w:rPr>
          <w:rFonts w:ascii="Times New Roman" w:hAnsi="Times New Roman" w:cs="Times New Roman"/>
          <w:sz w:val="24"/>
          <w:szCs w:val="24"/>
        </w:rPr>
        <w:t xml:space="preserve">. </w:t>
      </w:r>
      <w:r>
        <w:rPr>
          <w:rFonts w:ascii="Times New Roman" w:hAnsi="Times New Roman"/>
          <w:sz w:val="24"/>
          <w:szCs w:val="24"/>
          <w:lang w:eastAsia="lv-LV"/>
        </w:rPr>
        <w:t>Attiecīgi k</w:t>
      </w:r>
      <w:r w:rsidRPr="00022DE7">
        <w:rPr>
          <w:rFonts w:ascii="Times New Roman" w:hAnsi="Times New Roman"/>
          <w:sz w:val="24"/>
          <w:szCs w:val="24"/>
          <w:lang w:eastAsia="lv-LV"/>
        </w:rPr>
        <w:t xml:space="preserve">opējais ieguvums </w:t>
      </w:r>
      <w:r>
        <w:rPr>
          <w:rFonts w:ascii="Times New Roman" w:hAnsi="Times New Roman"/>
          <w:sz w:val="24"/>
          <w:szCs w:val="24"/>
          <w:lang w:eastAsia="lv-LV"/>
        </w:rPr>
        <w:t xml:space="preserve"> tikai reķinot uz novecojušu iekārtu remonta izmaksām </w:t>
      </w:r>
      <w:r w:rsidRPr="00022DE7">
        <w:rPr>
          <w:rFonts w:ascii="Times New Roman" w:hAnsi="Times New Roman"/>
          <w:sz w:val="24"/>
          <w:szCs w:val="24"/>
          <w:lang w:eastAsia="lv-LV"/>
        </w:rPr>
        <w:t xml:space="preserve">3 gadu laikā sastāda </w:t>
      </w:r>
      <w:r w:rsidRPr="00022DE7">
        <w:rPr>
          <w:rFonts w:ascii="Times New Roman" w:hAnsi="Times New Roman"/>
          <w:b/>
          <w:sz w:val="24"/>
          <w:szCs w:val="24"/>
          <w:lang w:eastAsia="lv-LV"/>
        </w:rPr>
        <w:t>248 68</w:t>
      </w:r>
      <w:r>
        <w:rPr>
          <w:rFonts w:ascii="Times New Roman" w:hAnsi="Times New Roman"/>
          <w:b/>
          <w:sz w:val="24"/>
          <w:szCs w:val="24"/>
          <w:lang w:eastAsia="lv-LV"/>
        </w:rPr>
        <w:t>2</w:t>
      </w:r>
      <w:r w:rsidRPr="00022DE7">
        <w:rPr>
          <w:rFonts w:ascii="Times New Roman" w:hAnsi="Times New Roman"/>
          <w:b/>
          <w:sz w:val="24"/>
          <w:szCs w:val="24"/>
          <w:lang w:eastAsia="lv-LV"/>
        </w:rPr>
        <w:t xml:space="preserve"> </w:t>
      </w:r>
      <w:r w:rsidRPr="00022DE7">
        <w:rPr>
          <w:rFonts w:ascii="Times New Roman" w:hAnsi="Times New Roman"/>
          <w:b/>
          <w:i/>
          <w:sz w:val="24"/>
          <w:szCs w:val="24"/>
          <w:lang w:eastAsia="lv-LV"/>
        </w:rPr>
        <w:t>euro</w:t>
      </w:r>
      <w:r>
        <w:rPr>
          <w:rFonts w:ascii="Times New Roman" w:hAnsi="Times New Roman"/>
          <w:b/>
          <w:i/>
          <w:sz w:val="24"/>
          <w:szCs w:val="24"/>
          <w:lang w:eastAsia="lv-LV"/>
        </w:rPr>
        <w:t xml:space="preserve"> </w:t>
      </w:r>
      <w:r w:rsidRPr="00CD7DB3">
        <w:rPr>
          <w:rFonts w:ascii="Times New Roman" w:hAnsi="Times New Roman"/>
          <w:i/>
          <w:sz w:val="24"/>
          <w:szCs w:val="24"/>
          <w:lang w:eastAsia="lv-LV"/>
        </w:rPr>
        <w:t>(</w:t>
      </w:r>
      <w:r w:rsidR="00500E42">
        <w:rPr>
          <w:rFonts w:ascii="Times New Roman" w:hAnsi="Times New Roman"/>
          <w:i/>
          <w:sz w:val="24"/>
          <w:szCs w:val="24"/>
          <w:lang w:eastAsia="lv-LV"/>
        </w:rPr>
        <w:t>107</w:t>
      </w:r>
      <w:r w:rsidRPr="00CD7DB3">
        <w:rPr>
          <w:rFonts w:ascii="Times New Roman" w:hAnsi="Times New Roman"/>
          <w:i/>
          <w:sz w:val="24"/>
          <w:szCs w:val="24"/>
          <w:lang w:eastAsia="lv-LV"/>
        </w:rPr>
        <w:t>.tabula)</w:t>
      </w:r>
      <w:r w:rsidRPr="00AC6420">
        <w:rPr>
          <w:rFonts w:ascii="Times New Roman" w:hAnsi="Times New Roman"/>
          <w:i/>
          <w:sz w:val="24"/>
          <w:szCs w:val="24"/>
          <w:lang w:eastAsia="lv-LV"/>
        </w:rPr>
        <w:t>.</w:t>
      </w:r>
    </w:p>
    <w:p w14:paraId="7A9C8A1F" w14:textId="102ED388" w:rsidR="0042613F" w:rsidRPr="00E93259" w:rsidRDefault="00F56DA4" w:rsidP="0042613F">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10</w:t>
      </w:r>
      <w:r w:rsidR="00500E42">
        <w:rPr>
          <w:rFonts w:ascii="Times New Roman" w:hAnsi="Times New Roman" w:cs="Times New Roman"/>
          <w:i/>
          <w:iCs/>
          <w:sz w:val="24"/>
          <w:szCs w:val="24"/>
        </w:rPr>
        <w:t>7</w:t>
      </w:r>
      <w:r w:rsidR="0042613F" w:rsidRPr="3AC8A380">
        <w:rPr>
          <w:rFonts w:ascii="Times New Roman" w:hAnsi="Times New Roman" w:cs="Times New Roman"/>
          <w:i/>
          <w:iCs/>
          <w:sz w:val="24"/>
          <w:szCs w:val="24"/>
        </w:rPr>
        <w:t>.tabula</w:t>
      </w:r>
    </w:p>
    <w:p w14:paraId="626BBC99" w14:textId="77777777" w:rsidR="0042613F" w:rsidRPr="001F2103" w:rsidRDefault="0042613F" w:rsidP="0042613F">
      <w:pPr>
        <w:spacing w:after="0" w:line="240" w:lineRule="auto"/>
        <w:ind w:firstLine="709"/>
        <w:jc w:val="center"/>
        <w:rPr>
          <w:rFonts w:ascii="Times New Roman" w:hAnsi="Times New Roman" w:cs="Times New Roman"/>
          <w:b/>
          <w:bCs/>
          <w:color w:val="000000" w:themeColor="text1"/>
          <w:sz w:val="24"/>
          <w:szCs w:val="24"/>
        </w:rPr>
      </w:pPr>
      <w:r w:rsidRPr="001F2103">
        <w:rPr>
          <w:rFonts w:ascii="Times New Roman" w:hAnsi="Times New Roman" w:cs="Times New Roman"/>
          <w:b/>
          <w:bCs/>
          <w:color w:val="000000" w:themeColor="text1"/>
          <w:sz w:val="24"/>
          <w:szCs w:val="24"/>
        </w:rPr>
        <w:t>Valsts asinsdonoru centra kopējais ieguvums 3 gadu laikā</w:t>
      </w:r>
    </w:p>
    <w:p w14:paraId="5A2F24CE" w14:textId="77777777" w:rsidR="0042613F" w:rsidRPr="00D63888" w:rsidRDefault="0042613F" w:rsidP="0042613F">
      <w:pPr>
        <w:spacing w:after="100" w:afterAutospacing="1" w:line="240" w:lineRule="auto"/>
        <w:ind w:firstLine="709"/>
        <w:jc w:val="right"/>
        <w:rPr>
          <w:rFonts w:ascii="Times New Roman" w:hAnsi="Times New Roman" w:cs="Times New Roman"/>
          <w:bCs/>
          <w:i/>
          <w:color w:val="000000" w:themeColor="text1"/>
          <w:sz w:val="24"/>
          <w:szCs w:val="24"/>
        </w:rPr>
      </w:pPr>
      <w:r w:rsidRPr="00D63888">
        <w:rPr>
          <w:rFonts w:ascii="Times New Roman" w:hAnsi="Times New Roman" w:cs="Times New Roman"/>
          <w:bCs/>
          <w:i/>
          <w:color w:val="000000" w:themeColor="text1"/>
          <w:sz w:val="24"/>
          <w:szCs w:val="24"/>
        </w:rPr>
        <w:t>(euro)</w:t>
      </w:r>
    </w:p>
    <w:tbl>
      <w:tblPr>
        <w:tblW w:w="8779" w:type="dxa"/>
        <w:jc w:val="center"/>
        <w:tblLook w:val="04A0" w:firstRow="1" w:lastRow="0" w:firstColumn="1" w:lastColumn="0" w:noHBand="0" w:noVBand="1"/>
      </w:tblPr>
      <w:tblGrid>
        <w:gridCol w:w="3253"/>
        <w:gridCol w:w="1368"/>
        <w:gridCol w:w="1310"/>
        <w:gridCol w:w="1061"/>
        <w:gridCol w:w="1787"/>
      </w:tblGrid>
      <w:tr w:rsidR="0042613F" w:rsidRPr="001F2103" w14:paraId="6C20B192" w14:textId="77777777" w:rsidTr="00BC7CE7">
        <w:trPr>
          <w:trHeight w:val="762"/>
          <w:jc w:val="center"/>
        </w:trPr>
        <w:tc>
          <w:tcPr>
            <w:tcW w:w="3253"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5DA3C9E7"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r w:rsidRPr="00E93259">
              <w:rPr>
                <w:rFonts w:ascii="Times New Roman" w:eastAsia="Times New Roman" w:hAnsi="Times New Roman" w:cs="Times New Roman"/>
                <w:b/>
                <w:bCs/>
                <w:color w:val="000000"/>
                <w:sz w:val="20"/>
                <w:szCs w:val="20"/>
                <w:lang w:eastAsia="lv-LV"/>
              </w:rPr>
              <w:t>Ierīču pozīcija</w:t>
            </w:r>
          </w:p>
        </w:tc>
        <w:tc>
          <w:tcPr>
            <w:tcW w:w="1368"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6F857F4D"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r w:rsidRPr="00E93259">
              <w:rPr>
                <w:rFonts w:ascii="Times New Roman" w:eastAsia="Times New Roman" w:hAnsi="Times New Roman" w:cs="Times New Roman"/>
                <w:b/>
                <w:bCs/>
                <w:color w:val="000000"/>
                <w:sz w:val="20"/>
                <w:szCs w:val="20"/>
                <w:lang w:eastAsia="lv-LV"/>
              </w:rPr>
              <w:t>2019.g.</w:t>
            </w:r>
          </w:p>
        </w:tc>
        <w:tc>
          <w:tcPr>
            <w:tcW w:w="1310"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6F71ABC0"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r w:rsidRPr="00E93259">
              <w:rPr>
                <w:rFonts w:ascii="Times New Roman" w:eastAsia="Times New Roman" w:hAnsi="Times New Roman" w:cs="Times New Roman"/>
                <w:b/>
                <w:bCs/>
                <w:color w:val="000000"/>
                <w:sz w:val="20"/>
                <w:szCs w:val="20"/>
                <w:lang w:eastAsia="lv-LV"/>
              </w:rPr>
              <w:t>2020.g.</w:t>
            </w:r>
          </w:p>
        </w:tc>
        <w:tc>
          <w:tcPr>
            <w:tcW w:w="1061" w:type="dxa"/>
            <w:tcBorders>
              <w:top w:val="single" w:sz="8" w:space="0" w:color="auto"/>
              <w:left w:val="nil"/>
              <w:bottom w:val="single" w:sz="8" w:space="0" w:color="auto"/>
              <w:right w:val="single" w:sz="4" w:space="0" w:color="auto"/>
            </w:tcBorders>
            <w:shd w:val="clear" w:color="auto" w:fill="E36C0A" w:themeFill="accent6" w:themeFillShade="BF"/>
            <w:vAlign w:val="center"/>
          </w:tcPr>
          <w:p w14:paraId="76D6CB79" w14:textId="77777777" w:rsidR="0042613F" w:rsidRPr="00E93259" w:rsidRDefault="0042613F" w:rsidP="00A842CF">
            <w:pPr>
              <w:spacing w:after="100" w:afterAutospacing="1" w:line="240" w:lineRule="auto"/>
              <w:rPr>
                <w:rFonts w:ascii="Times New Roman" w:eastAsia="Times New Roman" w:hAnsi="Times New Roman" w:cs="Times New Roman"/>
                <w:b/>
                <w:bCs/>
                <w:color w:val="000000" w:themeColor="text1"/>
                <w:sz w:val="20"/>
                <w:szCs w:val="20"/>
                <w:lang w:eastAsia="lv-LV"/>
              </w:rPr>
            </w:pPr>
            <w:r w:rsidRPr="00E93259">
              <w:rPr>
                <w:rFonts w:ascii="Times New Roman" w:eastAsia="Times New Roman" w:hAnsi="Times New Roman" w:cs="Times New Roman"/>
                <w:b/>
                <w:bCs/>
                <w:color w:val="000000"/>
                <w:sz w:val="20"/>
                <w:szCs w:val="20"/>
                <w:lang w:eastAsia="lv-LV"/>
              </w:rPr>
              <w:t>2021.g.</w:t>
            </w:r>
          </w:p>
        </w:tc>
        <w:tc>
          <w:tcPr>
            <w:tcW w:w="1787" w:type="dxa"/>
            <w:tcBorders>
              <w:top w:val="single" w:sz="8" w:space="0" w:color="auto"/>
              <w:left w:val="single" w:sz="4" w:space="0" w:color="auto"/>
              <w:bottom w:val="single" w:sz="8" w:space="0" w:color="auto"/>
              <w:right w:val="single" w:sz="8" w:space="0" w:color="auto"/>
            </w:tcBorders>
            <w:shd w:val="clear" w:color="auto" w:fill="E36C0A" w:themeFill="accent6" w:themeFillShade="BF"/>
            <w:noWrap/>
            <w:vAlign w:val="center"/>
            <w:hideMark/>
          </w:tcPr>
          <w:p w14:paraId="2948E25C" w14:textId="77777777" w:rsidR="0042613F" w:rsidRPr="00E93259" w:rsidRDefault="0042613F" w:rsidP="00A842CF">
            <w:pPr>
              <w:spacing w:after="100" w:afterAutospacing="1" w:line="240" w:lineRule="auto"/>
              <w:ind w:firstLine="6"/>
              <w:rPr>
                <w:rFonts w:ascii="Times New Roman" w:eastAsia="Times New Roman" w:hAnsi="Times New Roman" w:cs="Times New Roman"/>
                <w:b/>
                <w:bCs/>
                <w:color w:val="000000" w:themeColor="text1"/>
                <w:sz w:val="20"/>
                <w:szCs w:val="20"/>
                <w:lang w:eastAsia="lv-LV"/>
              </w:rPr>
            </w:pPr>
            <w:r w:rsidRPr="00E93259">
              <w:rPr>
                <w:rFonts w:ascii="Times New Roman" w:hAnsi="Times New Roman" w:cs="Times New Roman"/>
                <w:b/>
                <w:bCs/>
                <w:color w:val="000000" w:themeColor="text1"/>
                <w:sz w:val="20"/>
                <w:szCs w:val="20"/>
              </w:rPr>
              <w:t>Kopējais ieguvums 3 gadu laikā</w:t>
            </w:r>
          </w:p>
        </w:tc>
      </w:tr>
      <w:tr w:rsidR="0042613F" w:rsidRPr="001F2103" w14:paraId="19378A6F" w14:textId="77777777" w:rsidTr="00BC7CE7">
        <w:trPr>
          <w:trHeight w:val="320"/>
          <w:jc w:val="center"/>
        </w:trPr>
        <w:tc>
          <w:tcPr>
            <w:tcW w:w="3253"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3D491930" w14:textId="77777777" w:rsidR="0042613F" w:rsidRPr="00E93259" w:rsidRDefault="0042613F" w:rsidP="00A842CF">
            <w:pPr>
              <w:spacing w:after="100" w:afterAutospacing="1" w:line="240" w:lineRule="auto"/>
              <w:jc w:val="both"/>
              <w:rPr>
                <w:rFonts w:ascii="Times New Roman" w:eastAsia="Times New Roman" w:hAnsi="Times New Roman" w:cs="Times New Roman"/>
                <w:b/>
                <w:bCs/>
                <w:color w:val="000000" w:themeColor="text1"/>
                <w:sz w:val="20"/>
                <w:szCs w:val="20"/>
                <w:lang w:eastAsia="lv-LV"/>
              </w:rPr>
            </w:pPr>
            <w:r w:rsidRPr="00E93259">
              <w:rPr>
                <w:rFonts w:ascii="Times New Roman" w:hAnsi="Times New Roman" w:cs="Times New Roman"/>
                <w:b/>
                <w:bCs/>
                <w:sz w:val="20"/>
                <w:szCs w:val="20"/>
              </w:rPr>
              <w:t>Asins komponentu uzglabāšanas</w:t>
            </w:r>
            <w:r w:rsidRPr="00E93259">
              <w:rPr>
                <w:rFonts w:ascii="Times New Roman" w:hAnsi="Times New Roman" w:cs="Times New Roman"/>
                <w:sz w:val="20"/>
                <w:szCs w:val="20"/>
              </w:rPr>
              <w:t xml:space="preserve"> </w:t>
            </w:r>
            <w:r w:rsidRPr="00E93259">
              <w:rPr>
                <w:rFonts w:ascii="Times New Roman" w:eastAsia="Times New Roman" w:hAnsi="Times New Roman" w:cs="Times New Roman"/>
                <w:b/>
                <w:bCs/>
                <w:color w:val="000000"/>
                <w:sz w:val="20"/>
                <w:szCs w:val="20"/>
                <w:lang w:eastAsia="lv-LV"/>
              </w:rPr>
              <w:t>iekārtu iegāde, t.sk.</w:t>
            </w:r>
          </w:p>
        </w:tc>
        <w:tc>
          <w:tcPr>
            <w:tcW w:w="1368" w:type="dxa"/>
            <w:tcBorders>
              <w:top w:val="nil"/>
              <w:left w:val="nil"/>
              <w:bottom w:val="single" w:sz="8" w:space="0" w:color="auto"/>
              <w:right w:val="single" w:sz="8" w:space="0" w:color="auto"/>
            </w:tcBorders>
            <w:shd w:val="clear" w:color="auto" w:fill="FDE9D9" w:themeFill="accent6" w:themeFillTint="33"/>
            <w:noWrap/>
            <w:vAlign w:val="center"/>
            <w:hideMark/>
          </w:tcPr>
          <w:p w14:paraId="385816B0"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r w:rsidRPr="00E93259">
              <w:rPr>
                <w:rFonts w:ascii="Times New Roman" w:eastAsia="Times New Roman" w:hAnsi="Times New Roman" w:cs="Times New Roman"/>
                <w:b/>
                <w:bCs/>
                <w:color w:val="000000"/>
                <w:sz w:val="20"/>
                <w:szCs w:val="20"/>
                <w:lang w:eastAsia="lv-LV"/>
              </w:rPr>
              <w:t>44 414</w:t>
            </w:r>
          </w:p>
        </w:tc>
        <w:tc>
          <w:tcPr>
            <w:tcW w:w="1310" w:type="dxa"/>
            <w:tcBorders>
              <w:top w:val="nil"/>
              <w:left w:val="nil"/>
              <w:bottom w:val="single" w:sz="8" w:space="0" w:color="auto"/>
              <w:right w:val="single" w:sz="8" w:space="0" w:color="auto"/>
            </w:tcBorders>
            <w:shd w:val="clear" w:color="auto" w:fill="FDE9D9" w:themeFill="accent6" w:themeFillTint="33"/>
            <w:noWrap/>
            <w:vAlign w:val="center"/>
            <w:hideMark/>
          </w:tcPr>
          <w:p w14:paraId="266B2605"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r w:rsidRPr="00E93259">
              <w:rPr>
                <w:rFonts w:ascii="Times New Roman" w:eastAsia="Times New Roman" w:hAnsi="Times New Roman" w:cs="Times New Roman"/>
                <w:b/>
                <w:bCs/>
                <w:color w:val="000000"/>
                <w:sz w:val="20"/>
                <w:szCs w:val="20"/>
                <w:lang w:eastAsia="lv-LV"/>
              </w:rPr>
              <w:t>44 414</w:t>
            </w:r>
          </w:p>
        </w:tc>
        <w:tc>
          <w:tcPr>
            <w:tcW w:w="1061" w:type="dxa"/>
            <w:tcBorders>
              <w:top w:val="nil"/>
              <w:left w:val="nil"/>
              <w:bottom w:val="single" w:sz="8" w:space="0" w:color="auto"/>
              <w:right w:val="single" w:sz="4" w:space="0" w:color="auto"/>
            </w:tcBorders>
            <w:shd w:val="clear" w:color="auto" w:fill="FDE9D9" w:themeFill="accent6" w:themeFillTint="33"/>
            <w:vAlign w:val="center"/>
          </w:tcPr>
          <w:p w14:paraId="779E5D9D"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sz w:val="20"/>
                <w:szCs w:val="20"/>
                <w:lang w:eastAsia="lv-LV"/>
              </w:rPr>
            </w:pPr>
            <w:r w:rsidRPr="00E93259">
              <w:rPr>
                <w:rFonts w:ascii="Times New Roman" w:eastAsia="Times New Roman" w:hAnsi="Times New Roman" w:cs="Times New Roman"/>
                <w:b/>
                <w:bCs/>
                <w:color w:val="000000"/>
                <w:sz w:val="20"/>
                <w:szCs w:val="20"/>
                <w:lang w:eastAsia="lv-LV"/>
              </w:rPr>
              <w:t>44 414</w:t>
            </w:r>
          </w:p>
        </w:tc>
        <w:tc>
          <w:tcPr>
            <w:tcW w:w="1787"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117A3B09"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r w:rsidRPr="00E93259">
              <w:rPr>
                <w:rFonts w:ascii="Times New Roman" w:eastAsia="Times New Roman" w:hAnsi="Times New Roman" w:cs="Times New Roman"/>
                <w:b/>
                <w:bCs/>
                <w:color w:val="000000" w:themeColor="text1"/>
                <w:sz w:val="20"/>
                <w:szCs w:val="20"/>
                <w:lang w:eastAsia="lv-LV"/>
              </w:rPr>
              <w:t>133 242</w:t>
            </w:r>
          </w:p>
        </w:tc>
      </w:tr>
      <w:tr w:rsidR="0042613F" w:rsidRPr="001F2103" w14:paraId="2F58689B" w14:textId="77777777" w:rsidTr="00BC7CE7">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2C686B7" w14:textId="77777777" w:rsidR="0042613F" w:rsidRPr="00E93259" w:rsidRDefault="0042613F" w:rsidP="00A842CF">
            <w:pPr>
              <w:spacing w:after="100" w:afterAutospacing="1" w:line="240" w:lineRule="auto"/>
              <w:jc w:val="right"/>
              <w:rPr>
                <w:rFonts w:ascii="Times New Roman" w:eastAsia="Times New Roman" w:hAnsi="Times New Roman" w:cs="Times New Roman"/>
                <w:color w:val="000000" w:themeColor="text1"/>
                <w:sz w:val="20"/>
                <w:szCs w:val="20"/>
                <w:lang w:eastAsia="lv-LV"/>
              </w:rPr>
            </w:pPr>
            <w:r w:rsidRPr="00E93259">
              <w:rPr>
                <w:rFonts w:ascii="Times New Roman" w:eastAsia="Times New Roman" w:hAnsi="Times New Roman" w:cs="Times New Roman"/>
                <w:color w:val="000000"/>
                <w:sz w:val="20"/>
                <w:szCs w:val="20"/>
                <w:lang w:eastAsia="lv-LV"/>
              </w:rPr>
              <w:t>Aukstuma kameras  īre</w:t>
            </w:r>
          </w:p>
        </w:tc>
        <w:tc>
          <w:tcPr>
            <w:tcW w:w="1368" w:type="dxa"/>
            <w:tcBorders>
              <w:top w:val="nil"/>
              <w:left w:val="nil"/>
              <w:bottom w:val="single" w:sz="8" w:space="0" w:color="auto"/>
              <w:right w:val="single" w:sz="8" w:space="0" w:color="auto"/>
            </w:tcBorders>
            <w:shd w:val="clear" w:color="auto" w:fill="FFFFFF" w:themeFill="background1"/>
            <w:noWrap/>
            <w:vAlign w:val="center"/>
            <w:hideMark/>
          </w:tcPr>
          <w:p w14:paraId="152ACB69"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18 000</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25CA4614"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18 000</w:t>
            </w:r>
          </w:p>
        </w:tc>
        <w:tc>
          <w:tcPr>
            <w:tcW w:w="1061" w:type="dxa"/>
            <w:tcBorders>
              <w:top w:val="nil"/>
              <w:left w:val="nil"/>
              <w:bottom w:val="single" w:sz="8" w:space="0" w:color="auto"/>
              <w:right w:val="single" w:sz="4" w:space="0" w:color="auto"/>
            </w:tcBorders>
            <w:shd w:val="clear" w:color="auto" w:fill="FFFFFF" w:themeFill="background1"/>
            <w:vAlign w:val="center"/>
          </w:tcPr>
          <w:p w14:paraId="5BEF29F5"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18 000</w:t>
            </w:r>
          </w:p>
        </w:tc>
        <w:tc>
          <w:tcPr>
            <w:tcW w:w="1787"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01297ACB"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54 000</w:t>
            </w:r>
          </w:p>
        </w:tc>
      </w:tr>
      <w:tr w:rsidR="0042613F" w:rsidRPr="001F2103" w14:paraId="56D6604A" w14:textId="77777777" w:rsidTr="00BC7CE7">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DB1D840" w14:textId="77777777" w:rsidR="0042613F" w:rsidRPr="00E93259" w:rsidRDefault="0042613F" w:rsidP="00A842CF">
            <w:pPr>
              <w:spacing w:after="100" w:afterAutospacing="1" w:line="240" w:lineRule="auto"/>
              <w:jc w:val="right"/>
              <w:rPr>
                <w:rFonts w:ascii="Times New Roman" w:eastAsia="Times New Roman" w:hAnsi="Times New Roman" w:cs="Times New Roman"/>
                <w:color w:val="000000" w:themeColor="text1"/>
                <w:sz w:val="20"/>
                <w:szCs w:val="20"/>
                <w:lang w:eastAsia="lv-LV"/>
              </w:rPr>
            </w:pPr>
            <w:r w:rsidRPr="00E93259">
              <w:rPr>
                <w:rFonts w:ascii="Times New Roman" w:eastAsia="Times New Roman" w:hAnsi="Times New Roman" w:cs="Times New Roman"/>
                <w:color w:val="000000"/>
                <w:sz w:val="20"/>
                <w:szCs w:val="20"/>
                <w:lang w:eastAsia="lv-LV"/>
              </w:rPr>
              <w:t>Ledusskapju īre</w:t>
            </w:r>
          </w:p>
        </w:tc>
        <w:tc>
          <w:tcPr>
            <w:tcW w:w="1368" w:type="dxa"/>
            <w:tcBorders>
              <w:top w:val="nil"/>
              <w:left w:val="nil"/>
              <w:bottom w:val="single" w:sz="8" w:space="0" w:color="auto"/>
              <w:right w:val="single" w:sz="8" w:space="0" w:color="auto"/>
            </w:tcBorders>
            <w:shd w:val="clear" w:color="auto" w:fill="FFFFFF" w:themeFill="background1"/>
            <w:noWrap/>
            <w:vAlign w:val="center"/>
            <w:hideMark/>
          </w:tcPr>
          <w:p w14:paraId="5AC201B4"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1 200</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5FC82E94"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1 200</w:t>
            </w:r>
          </w:p>
        </w:tc>
        <w:tc>
          <w:tcPr>
            <w:tcW w:w="1061" w:type="dxa"/>
            <w:tcBorders>
              <w:top w:val="nil"/>
              <w:left w:val="nil"/>
              <w:bottom w:val="single" w:sz="8" w:space="0" w:color="auto"/>
              <w:right w:val="single" w:sz="4" w:space="0" w:color="auto"/>
            </w:tcBorders>
            <w:shd w:val="clear" w:color="auto" w:fill="FFFFFF" w:themeFill="background1"/>
            <w:vAlign w:val="center"/>
          </w:tcPr>
          <w:p w14:paraId="1DAFDBF4"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1 200</w:t>
            </w:r>
          </w:p>
        </w:tc>
        <w:tc>
          <w:tcPr>
            <w:tcW w:w="1787"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7E95E09A"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3 600</w:t>
            </w:r>
          </w:p>
        </w:tc>
      </w:tr>
      <w:tr w:rsidR="0042613F" w:rsidRPr="001F2103" w14:paraId="33CB7D3F" w14:textId="77777777" w:rsidTr="00BC7CE7">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938E9E5" w14:textId="77777777" w:rsidR="0042613F" w:rsidRPr="00E93259" w:rsidRDefault="0042613F" w:rsidP="00A842CF">
            <w:pPr>
              <w:spacing w:after="100" w:afterAutospacing="1" w:line="240" w:lineRule="auto"/>
              <w:jc w:val="right"/>
              <w:rPr>
                <w:rFonts w:ascii="Times New Roman" w:eastAsia="Times New Roman" w:hAnsi="Times New Roman" w:cs="Times New Roman"/>
                <w:color w:val="000000" w:themeColor="text1"/>
                <w:sz w:val="20"/>
                <w:szCs w:val="20"/>
                <w:lang w:eastAsia="lv-LV"/>
              </w:rPr>
            </w:pPr>
            <w:r w:rsidRPr="00E93259">
              <w:rPr>
                <w:rFonts w:ascii="Times New Roman" w:eastAsia="Times New Roman" w:hAnsi="Times New Roman" w:cs="Times New Roman"/>
                <w:color w:val="000000"/>
                <w:sz w:val="20"/>
                <w:szCs w:val="20"/>
                <w:lang w:eastAsia="lv-LV"/>
              </w:rPr>
              <w:t>Saldētavas īre</w:t>
            </w:r>
          </w:p>
        </w:tc>
        <w:tc>
          <w:tcPr>
            <w:tcW w:w="1368" w:type="dxa"/>
            <w:tcBorders>
              <w:top w:val="nil"/>
              <w:left w:val="nil"/>
              <w:bottom w:val="single" w:sz="8" w:space="0" w:color="auto"/>
              <w:right w:val="single" w:sz="8" w:space="0" w:color="auto"/>
            </w:tcBorders>
            <w:shd w:val="clear" w:color="auto" w:fill="FFFFFF" w:themeFill="background1"/>
            <w:noWrap/>
            <w:vAlign w:val="center"/>
            <w:hideMark/>
          </w:tcPr>
          <w:p w14:paraId="1771EF6E"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3 600</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08FAFE8B"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3 600</w:t>
            </w:r>
          </w:p>
        </w:tc>
        <w:tc>
          <w:tcPr>
            <w:tcW w:w="1061" w:type="dxa"/>
            <w:tcBorders>
              <w:top w:val="nil"/>
              <w:left w:val="nil"/>
              <w:bottom w:val="single" w:sz="8" w:space="0" w:color="auto"/>
              <w:right w:val="single" w:sz="4" w:space="0" w:color="auto"/>
            </w:tcBorders>
            <w:shd w:val="clear" w:color="auto" w:fill="FFFFFF" w:themeFill="background1"/>
            <w:vAlign w:val="center"/>
          </w:tcPr>
          <w:p w14:paraId="2003DB16"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3 600</w:t>
            </w:r>
          </w:p>
        </w:tc>
        <w:tc>
          <w:tcPr>
            <w:tcW w:w="1787"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4EF8A47F"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10 800</w:t>
            </w:r>
          </w:p>
        </w:tc>
      </w:tr>
      <w:tr w:rsidR="0042613F" w:rsidRPr="001F2103" w14:paraId="304B93A5" w14:textId="77777777" w:rsidTr="00BC7CE7">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tcPr>
          <w:p w14:paraId="20909CF3" w14:textId="77777777" w:rsidR="0042613F" w:rsidRPr="00E93259" w:rsidRDefault="0042613F" w:rsidP="00A842CF">
            <w:pPr>
              <w:spacing w:after="100" w:afterAutospacing="1" w:line="240" w:lineRule="auto"/>
              <w:jc w:val="right"/>
              <w:rPr>
                <w:rFonts w:ascii="Times New Roman" w:eastAsia="Times New Roman" w:hAnsi="Times New Roman" w:cs="Times New Roman"/>
                <w:color w:val="000000" w:themeColor="text1"/>
                <w:sz w:val="20"/>
                <w:szCs w:val="20"/>
                <w:lang w:eastAsia="lv-LV"/>
              </w:rPr>
            </w:pPr>
            <w:r w:rsidRPr="00E93259">
              <w:rPr>
                <w:rFonts w:ascii="Times New Roman" w:eastAsia="Times New Roman" w:hAnsi="Times New Roman" w:cs="Times New Roman"/>
                <w:color w:val="000000"/>
                <w:sz w:val="20"/>
                <w:szCs w:val="20"/>
                <w:lang w:eastAsia="lv-LV"/>
              </w:rPr>
              <w:t>Zudumi</w:t>
            </w:r>
          </w:p>
        </w:tc>
        <w:tc>
          <w:tcPr>
            <w:tcW w:w="1368" w:type="dxa"/>
            <w:tcBorders>
              <w:top w:val="nil"/>
              <w:left w:val="nil"/>
              <w:bottom w:val="single" w:sz="8" w:space="0" w:color="auto"/>
              <w:right w:val="single" w:sz="8" w:space="0" w:color="auto"/>
            </w:tcBorders>
            <w:shd w:val="clear" w:color="auto" w:fill="FFFFFF" w:themeFill="background1"/>
            <w:noWrap/>
            <w:vAlign w:val="center"/>
          </w:tcPr>
          <w:p w14:paraId="66E1DF8E"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15 810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24A3D28"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15 810</w:t>
            </w:r>
          </w:p>
        </w:tc>
        <w:tc>
          <w:tcPr>
            <w:tcW w:w="1061" w:type="dxa"/>
            <w:tcBorders>
              <w:top w:val="nil"/>
              <w:left w:val="nil"/>
              <w:bottom w:val="single" w:sz="8" w:space="0" w:color="auto"/>
              <w:right w:val="single" w:sz="4" w:space="0" w:color="auto"/>
            </w:tcBorders>
            <w:shd w:val="clear" w:color="auto" w:fill="FFFFFF" w:themeFill="background1"/>
            <w:vAlign w:val="center"/>
          </w:tcPr>
          <w:p w14:paraId="7518D097"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15 810</w:t>
            </w:r>
          </w:p>
        </w:tc>
        <w:tc>
          <w:tcPr>
            <w:tcW w:w="1787"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4071F60"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47 430</w:t>
            </w:r>
          </w:p>
        </w:tc>
      </w:tr>
      <w:tr w:rsidR="0042613F" w:rsidRPr="001F2103" w14:paraId="2926ADFC" w14:textId="77777777" w:rsidTr="00BC7CE7">
        <w:trPr>
          <w:trHeight w:val="273"/>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tcPr>
          <w:p w14:paraId="5E6BFEC0" w14:textId="77777777" w:rsidR="0042613F" w:rsidRPr="00E93259" w:rsidRDefault="0042613F" w:rsidP="00A842CF">
            <w:pPr>
              <w:spacing w:after="100" w:afterAutospacing="1" w:line="240" w:lineRule="auto"/>
              <w:jc w:val="right"/>
              <w:rPr>
                <w:rFonts w:ascii="Times New Roman" w:eastAsia="Times New Roman" w:hAnsi="Times New Roman" w:cs="Times New Roman"/>
                <w:color w:val="000000" w:themeColor="text1"/>
                <w:sz w:val="20"/>
                <w:szCs w:val="20"/>
                <w:lang w:eastAsia="lv-LV"/>
              </w:rPr>
            </w:pPr>
            <w:r w:rsidRPr="00E93259">
              <w:rPr>
                <w:rFonts w:ascii="Times New Roman" w:eastAsia="Times New Roman" w:hAnsi="Times New Roman" w:cs="Times New Roman"/>
                <w:color w:val="000000"/>
                <w:sz w:val="20"/>
                <w:szCs w:val="20"/>
                <w:lang w:eastAsia="lv-LV"/>
              </w:rPr>
              <w:t>Remonts un apkope</w:t>
            </w:r>
          </w:p>
        </w:tc>
        <w:tc>
          <w:tcPr>
            <w:tcW w:w="1368" w:type="dxa"/>
            <w:tcBorders>
              <w:top w:val="nil"/>
              <w:left w:val="nil"/>
              <w:bottom w:val="single" w:sz="8" w:space="0" w:color="auto"/>
              <w:right w:val="single" w:sz="8" w:space="0" w:color="auto"/>
            </w:tcBorders>
            <w:shd w:val="clear" w:color="auto" w:fill="FFFFFF" w:themeFill="background1"/>
            <w:noWrap/>
            <w:vAlign w:val="center"/>
          </w:tcPr>
          <w:p w14:paraId="7018F579"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3 810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88E081D"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3 810</w:t>
            </w:r>
          </w:p>
        </w:tc>
        <w:tc>
          <w:tcPr>
            <w:tcW w:w="1061" w:type="dxa"/>
            <w:tcBorders>
              <w:top w:val="nil"/>
              <w:left w:val="nil"/>
              <w:bottom w:val="single" w:sz="8" w:space="0" w:color="auto"/>
              <w:right w:val="single" w:sz="4" w:space="0" w:color="auto"/>
            </w:tcBorders>
            <w:shd w:val="clear" w:color="auto" w:fill="FFFFFF" w:themeFill="background1"/>
            <w:vAlign w:val="center"/>
          </w:tcPr>
          <w:p w14:paraId="4BD9FC67"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3 810</w:t>
            </w:r>
          </w:p>
        </w:tc>
        <w:tc>
          <w:tcPr>
            <w:tcW w:w="1787"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4B4DA48"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11 430</w:t>
            </w:r>
          </w:p>
        </w:tc>
      </w:tr>
      <w:tr w:rsidR="0042613F" w:rsidRPr="001F2103" w14:paraId="3F3EFF52" w14:textId="77777777" w:rsidTr="00BC7CE7">
        <w:trPr>
          <w:trHeight w:val="273"/>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tcPr>
          <w:p w14:paraId="4BED6E5E" w14:textId="77777777" w:rsidR="0042613F" w:rsidRPr="00E93259" w:rsidRDefault="0042613F" w:rsidP="00A842CF">
            <w:pPr>
              <w:spacing w:after="100" w:afterAutospacing="1" w:line="240" w:lineRule="auto"/>
              <w:jc w:val="right"/>
              <w:rPr>
                <w:rFonts w:ascii="Times New Roman" w:eastAsia="Times New Roman" w:hAnsi="Times New Roman" w:cs="Times New Roman"/>
                <w:color w:val="000000" w:themeColor="text1"/>
                <w:sz w:val="20"/>
                <w:szCs w:val="20"/>
                <w:lang w:eastAsia="lv-LV"/>
              </w:rPr>
            </w:pPr>
            <w:r w:rsidRPr="00E93259">
              <w:rPr>
                <w:rFonts w:ascii="Times New Roman" w:eastAsia="Times New Roman" w:hAnsi="Times New Roman" w:cs="Times New Roman"/>
                <w:color w:val="000000"/>
                <w:sz w:val="20"/>
                <w:szCs w:val="20"/>
                <w:lang w:eastAsia="lv-LV"/>
              </w:rPr>
              <w:t>TMS ietaupījums no atbrīvošanas veikt manuālas pārbaudes</w:t>
            </w:r>
          </w:p>
        </w:tc>
        <w:tc>
          <w:tcPr>
            <w:tcW w:w="1368" w:type="dxa"/>
            <w:tcBorders>
              <w:top w:val="nil"/>
              <w:left w:val="nil"/>
              <w:bottom w:val="single" w:sz="8" w:space="0" w:color="auto"/>
              <w:right w:val="single" w:sz="8" w:space="0" w:color="auto"/>
            </w:tcBorders>
            <w:shd w:val="clear" w:color="auto" w:fill="FFFFFF" w:themeFill="background1"/>
            <w:noWrap/>
            <w:vAlign w:val="center"/>
          </w:tcPr>
          <w:p w14:paraId="6EAFF379"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1 994</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F1C554D"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1 994</w:t>
            </w:r>
          </w:p>
        </w:tc>
        <w:tc>
          <w:tcPr>
            <w:tcW w:w="1061" w:type="dxa"/>
            <w:tcBorders>
              <w:top w:val="nil"/>
              <w:left w:val="nil"/>
              <w:bottom w:val="single" w:sz="8" w:space="0" w:color="auto"/>
              <w:right w:val="single" w:sz="4" w:space="0" w:color="auto"/>
            </w:tcBorders>
            <w:shd w:val="clear" w:color="auto" w:fill="FFFFFF" w:themeFill="background1"/>
            <w:vAlign w:val="center"/>
          </w:tcPr>
          <w:p w14:paraId="2D015DFD"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1 994</w:t>
            </w:r>
          </w:p>
        </w:tc>
        <w:tc>
          <w:tcPr>
            <w:tcW w:w="1787"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87F85DC"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5 982</w:t>
            </w:r>
          </w:p>
        </w:tc>
      </w:tr>
      <w:tr w:rsidR="0042613F" w:rsidRPr="001F2103" w14:paraId="2F33D44E" w14:textId="77777777" w:rsidTr="00BC7CE7">
        <w:trPr>
          <w:trHeight w:val="320"/>
          <w:jc w:val="center"/>
        </w:trPr>
        <w:tc>
          <w:tcPr>
            <w:tcW w:w="3253"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6ED5C1AE" w14:textId="77777777" w:rsidR="0042613F" w:rsidRPr="00E93259" w:rsidRDefault="0042613F" w:rsidP="00A842CF">
            <w:pPr>
              <w:spacing w:after="100" w:afterAutospacing="1" w:line="240" w:lineRule="auto"/>
              <w:jc w:val="both"/>
              <w:rPr>
                <w:rFonts w:ascii="Times New Roman" w:eastAsia="Times New Roman" w:hAnsi="Times New Roman" w:cs="Times New Roman"/>
                <w:b/>
                <w:bCs/>
                <w:color w:val="000000" w:themeColor="text1"/>
                <w:sz w:val="20"/>
                <w:szCs w:val="20"/>
                <w:lang w:eastAsia="lv-LV"/>
              </w:rPr>
            </w:pPr>
            <w:r w:rsidRPr="00E93259">
              <w:rPr>
                <w:rFonts w:ascii="Times New Roman" w:hAnsi="Times New Roman" w:cs="Times New Roman"/>
                <w:b/>
                <w:bCs/>
                <w:sz w:val="20"/>
                <w:szCs w:val="20"/>
              </w:rPr>
              <w:t>Asins komponentu sagatavošanas</w:t>
            </w:r>
            <w:r w:rsidRPr="00E93259">
              <w:rPr>
                <w:rFonts w:ascii="Times New Roman" w:hAnsi="Times New Roman" w:cs="Times New Roman"/>
                <w:sz w:val="20"/>
                <w:szCs w:val="20"/>
              </w:rPr>
              <w:t xml:space="preserve"> </w:t>
            </w:r>
            <w:r w:rsidRPr="00E93259">
              <w:rPr>
                <w:rFonts w:ascii="Times New Roman" w:eastAsia="Times New Roman" w:hAnsi="Times New Roman" w:cs="Times New Roman"/>
                <w:b/>
                <w:bCs/>
                <w:color w:val="000000"/>
                <w:sz w:val="20"/>
                <w:szCs w:val="20"/>
                <w:lang w:eastAsia="lv-LV"/>
              </w:rPr>
              <w:t>iekārtu iegāde, t.sk.</w:t>
            </w:r>
          </w:p>
        </w:tc>
        <w:tc>
          <w:tcPr>
            <w:tcW w:w="1368" w:type="dxa"/>
            <w:tcBorders>
              <w:top w:val="nil"/>
              <w:left w:val="nil"/>
              <w:bottom w:val="single" w:sz="8" w:space="0" w:color="auto"/>
              <w:right w:val="single" w:sz="8" w:space="0" w:color="auto"/>
            </w:tcBorders>
            <w:shd w:val="clear" w:color="auto" w:fill="FDE9D9" w:themeFill="accent6" w:themeFillTint="33"/>
            <w:noWrap/>
            <w:vAlign w:val="center"/>
            <w:hideMark/>
          </w:tcPr>
          <w:p w14:paraId="197428B3"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p>
        </w:tc>
        <w:tc>
          <w:tcPr>
            <w:tcW w:w="1310" w:type="dxa"/>
            <w:tcBorders>
              <w:top w:val="nil"/>
              <w:left w:val="nil"/>
              <w:bottom w:val="single" w:sz="8" w:space="0" w:color="auto"/>
              <w:right w:val="single" w:sz="8" w:space="0" w:color="auto"/>
            </w:tcBorders>
            <w:shd w:val="clear" w:color="auto" w:fill="FDE9D9" w:themeFill="accent6" w:themeFillTint="33"/>
            <w:noWrap/>
            <w:vAlign w:val="center"/>
            <w:hideMark/>
          </w:tcPr>
          <w:p w14:paraId="184A1181"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p>
        </w:tc>
        <w:tc>
          <w:tcPr>
            <w:tcW w:w="1061" w:type="dxa"/>
            <w:tcBorders>
              <w:top w:val="nil"/>
              <w:left w:val="nil"/>
              <w:bottom w:val="single" w:sz="8" w:space="0" w:color="auto"/>
              <w:right w:val="single" w:sz="4" w:space="0" w:color="auto"/>
            </w:tcBorders>
            <w:shd w:val="clear" w:color="auto" w:fill="FDE9D9" w:themeFill="accent6" w:themeFillTint="33"/>
            <w:vAlign w:val="center"/>
          </w:tcPr>
          <w:p w14:paraId="6C8E375C"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sz w:val="20"/>
                <w:szCs w:val="20"/>
                <w:lang w:eastAsia="lv-LV"/>
              </w:rPr>
            </w:pPr>
          </w:p>
        </w:tc>
        <w:tc>
          <w:tcPr>
            <w:tcW w:w="1787"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26EEB8CA" w14:textId="77777777" w:rsidR="0042613F" w:rsidRPr="00E93259" w:rsidRDefault="0042613F" w:rsidP="00A842CF">
            <w:pPr>
              <w:spacing w:after="100" w:afterAutospacing="1" w:line="240" w:lineRule="auto"/>
              <w:jc w:val="center"/>
              <w:rPr>
                <w:rFonts w:ascii="Times New Roman" w:eastAsia="Times New Roman" w:hAnsi="Times New Roman" w:cs="Times New Roman"/>
                <w:b/>
                <w:bCs/>
                <w:color w:val="000000" w:themeColor="text1"/>
                <w:sz w:val="20"/>
                <w:szCs w:val="20"/>
                <w:lang w:eastAsia="lv-LV"/>
              </w:rPr>
            </w:pPr>
            <w:r w:rsidRPr="00E93259">
              <w:rPr>
                <w:rFonts w:ascii="Times New Roman" w:eastAsia="Times New Roman" w:hAnsi="Times New Roman" w:cs="Times New Roman"/>
                <w:b/>
                <w:bCs/>
                <w:color w:val="000000" w:themeColor="text1"/>
                <w:sz w:val="20"/>
                <w:szCs w:val="20"/>
                <w:lang w:eastAsia="lv-LV"/>
              </w:rPr>
              <w:t>115 440</w:t>
            </w:r>
          </w:p>
        </w:tc>
      </w:tr>
      <w:tr w:rsidR="0042613F" w:rsidRPr="001F2103" w14:paraId="54E80509" w14:textId="77777777" w:rsidTr="00BC7CE7">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vAlign w:val="center"/>
            <w:hideMark/>
          </w:tcPr>
          <w:p w14:paraId="726493A4" w14:textId="77777777" w:rsidR="0042613F" w:rsidRPr="00E93259" w:rsidRDefault="0042613F" w:rsidP="00A842CF">
            <w:pPr>
              <w:spacing w:after="100" w:afterAutospacing="1" w:line="240" w:lineRule="auto"/>
              <w:jc w:val="right"/>
              <w:rPr>
                <w:rFonts w:ascii="Times New Roman" w:eastAsia="Times New Roman" w:hAnsi="Times New Roman" w:cs="Times New Roman"/>
                <w:color w:val="000000" w:themeColor="text1"/>
                <w:sz w:val="20"/>
                <w:szCs w:val="20"/>
                <w:lang w:eastAsia="lv-LV"/>
              </w:rPr>
            </w:pPr>
            <w:r w:rsidRPr="00E93259">
              <w:rPr>
                <w:rFonts w:ascii="Times New Roman" w:eastAsia="Times New Roman" w:hAnsi="Times New Roman" w:cs="Times New Roman"/>
                <w:color w:val="000000"/>
                <w:sz w:val="20"/>
                <w:szCs w:val="20"/>
                <w:lang w:eastAsia="lv-LV"/>
              </w:rPr>
              <w:t>Remonts un apkope</w:t>
            </w:r>
          </w:p>
        </w:tc>
        <w:tc>
          <w:tcPr>
            <w:tcW w:w="1368" w:type="dxa"/>
            <w:tcBorders>
              <w:top w:val="nil"/>
              <w:left w:val="nil"/>
              <w:bottom w:val="single" w:sz="8" w:space="0" w:color="auto"/>
              <w:right w:val="single" w:sz="8" w:space="0" w:color="auto"/>
            </w:tcBorders>
            <w:shd w:val="clear" w:color="auto" w:fill="FFFFFF" w:themeFill="background1"/>
            <w:noWrap/>
            <w:vAlign w:val="center"/>
          </w:tcPr>
          <w:p w14:paraId="1780FC95"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38 480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A66994D"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38 480</w:t>
            </w:r>
          </w:p>
        </w:tc>
        <w:tc>
          <w:tcPr>
            <w:tcW w:w="1061" w:type="dxa"/>
            <w:tcBorders>
              <w:top w:val="nil"/>
              <w:left w:val="nil"/>
              <w:bottom w:val="single" w:sz="8" w:space="0" w:color="auto"/>
              <w:right w:val="single" w:sz="4" w:space="0" w:color="auto"/>
            </w:tcBorders>
            <w:shd w:val="clear" w:color="auto" w:fill="FFFFFF" w:themeFill="background1"/>
            <w:vAlign w:val="center"/>
          </w:tcPr>
          <w:p w14:paraId="5D13E926" w14:textId="77777777" w:rsidR="0042613F" w:rsidRPr="00E93259" w:rsidRDefault="0042613F" w:rsidP="00A842CF">
            <w:pPr>
              <w:spacing w:after="100" w:afterAutospacing="1" w:line="240" w:lineRule="auto"/>
              <w:jc w:val="center"/>
              <w:rPr>
                <w:rFonts w:ascii="Times New Roman" w:hAnsi="Times New Roman" w:cs="Times New Roman"/>
                <w:color w:val="000000"/>
                <w:sz w:val="20"/>
                <w:szCs w:val="20"/>
              </w:rPr>
            </w:pPr>
            <w:r w:rsidRPr="00E93259">
              <w:rPr>
                <w:rFonts w:ascii="Times New Roman" w:hAnsi="Times New Roman" w:cs="Times New Roman"/>
                <w:color w:val="000000"/>
                <w:sz w:val="20"/>
                <w:szCs w:val="20"/>
              </w:rPr>
              <w:t>38 480</w:t>
            </w:r>
          </w:p>
        </w:tc>
        <w:tc>
          <w:tcPr>
            <w:tcW w:w="1787"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FE45043"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r w:rsidRPr="00E93259">
              <w:rPr>
                <w:rFonts w:ascii="Times New Roman" w:eastAsia="Times New Roman" w:hAnsi="Times New Roman" w:cs="Times New Roman"/>
                <w:color w:val="000000"/>
                <w:sz w:val="20"/>
                <w:szCs w:val="20"/>
                <w:lang w:eastAsia="lv-LV"/>
              </w:rPr>
              <w:t>115 440</w:t>
            </w:r>
          </w:p>
        </w:tc>
      </w:tr>
      <w:tr w:rsidR="0042613F" w:rsidRPr="001F2103" w14:paraId="1E02237E" w14:textId="77777777" w:rsidTr="00BC7CE7">
        <w:trPr>
          <w:trHeight w:val="320"/>
          <w:jc w:val="center"/>
        </w:trPr>
        <w:tc>
          <w:tcPr>
            <w:tcW w:w="3253" w:type="dxa"/>
            <w:tcBorders>
              <w:top w:val="nil"/>
              <w:left w:val="single" w:sz="8" w:space="0" w:color="auto"/>
              <w:bottom w:val="single" w:sz="8" w:space="0" w:color="auto"/>
              <w:right w:val="single" w:sz="8" w:space="0" w:color="auto"/>
            </w:tcBorders>
            <w:shd w:val="clear" w:color="auto" w:fill="FABF8F" w:themeFill="accent6" w:themeFillTint="99"/>
            <w:vAlign w:val="center"/>
            <w:hideMark/>
          </w:tcPr>
          <w:p w14:paraId="64161D48" w14:textId="77777777" w:rsidR="0042613F" w:rsidRPr="00E93259" w:rsidRDefault="0042613F" w:rsidP="00A842CF">
            <w:pPr>
              <w:spacing w:after="100" w:afterAutospacing="1" w:line="240" w:lineRule="auto"/>
              <w:ind w:firstLine="709"/>
              <w:jc w:val="center"/>
              <w:rPr>
                <w:rFonts w:ascii="Times New Roman" w:eastAsia="Times New Roman" w:hAnsi="Times New Roman" w:cs="Times New Roman"/>
                <w:color w:val="000000" w:themeColor="text1"/>
                <w:sz w:val="20"/>
                <w:szCs w:val="20"/>
                <w:lang w:eastAsia="lv-LV"/>
              </w:rPr>
            </w:pPr>
            <w:r w:rsidRPr="00E93259">
              <w:rPr>
                <w:rFonts w:ascii="Times New Roman" w:eastAsia="Times New Roman" w:hAnsi="Times New Roman" w:cs="Times New Roman"/>
                <w:b/>
                <w:bCs/>
                <w:color w:val="000000"/>
                <w:sz w:val="20"/>
                <w:szCs w:val="20"/>
                <w:lang w:eastAsia="lv-LV"/>
              </w:rPr>
              <w:t>Kopā</w:t>
            </w:r>
            <w:r w:rsidRPr="00E93259">
              <w:rPr>
                <w:rFonts w:ascii="Times New Roman" w:hAnsi="Times New Roman" w:cs="Times New Roman"/>
                <w:b/>
                <w:bCs/>
                <w:color w:val="000000" w:themeColor="text1"/>
                <w:sz w:val="20"/>
                <w:szCs w:val="20"/>
              </w:rPr>
              <w:t xml:space="preserve"> </w:t>
            </w:r>
          </w:p>
        </w:tc>
        <w:tc>
          <w:tcPr>
            <w:tcW w:w="1368" w:type="dxa"/>
            <w:tcBorders>
              <w:top w:val="nil"/>
              <w:left w:val="nil"/>
              <w:bottom w:val="single" w:sz="8" w:space="0" w:color="auto"/>
              <w:right w:val="single" w:sz="8" w:space="0" w:color="auto"/>
            </w:tcBorders>
            <w:shd w:val="clear" w:color="auto" w:fill="FABF8F" w:themeFill="accent6" w:themeFillTint="99"/>
            <w:noWrap/>
            <w:vAlign w:val="center"/>
          </w:tcPr>
          <w:p w14:paraId="3F6E4C64"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p>
        </w:tc>
        <w:tc>
          <w:tcPr>
            <w:tcW w:w="1310" w:type="dxa"/>
            <w:tcBorders>
              <w:top w:val="nil"/>
              <w:left w:val="nil"/>
              <w:bottom w:val="single" w:sz="8" w:space="0" w:color="auto"/>
              <w:right w:val="single" w:sz="8" w:space="0" w:color="auto"/>
            </w:tcBorders>
            <w:shd w:val="clear" w:color="auto" w:fill="FABF8F" w:themeFill="accent6" w:themeFillTint="99"/>
            <w:noWrap/>
            <w:vAlign w:val="center"/>
          </w:tcPr>
          <w:p w14:paraId="05756E20" w14:textId="77777777" w:rsidR="0042613F" w:rsidRPr="00E93259" w:rsidRDefault="0042613F" w:rsidP="00A842CF">
            <w:pPr>
              <w:spacing w:after="100" w:afterAutospacing="1" w:line="240" w:lineRule="auto"/>
              <w:jc w:val="center"/>
              <w:rPr>
                <w:rFonts w:ascii="Times New Roman" w:eastAsia="Times New Roman" w:hAnsi="Times New Roman" w:cs="Times New Roman"/>
                <w:color w:val="000000"/>
                <w:sz w:val="20"/>
                <w:szCs w:val="20"/>
                <w:lang w:eastAsia="lv-LV"/>
              </w:rPr>
            </w:pPr>
          </w:p>
        </w:tc>
        <w:tc>
          <w:tcPr>
            <w:tcW w:w="1061" w:type="dxa"/>
            <w:tcBorders>
              <w:top w:val="nil"/>
              <w:left w:val="nil"/>
              <w:bottom w:val="single" w:sz="8" w:space="0" w:color="auto"/>
              <w:right w:val="single" w:sz="4" w:space="0" w:color="auto"/>
            </w:tcBorders>
            <w:shd w:val="clear" w:color="auto" w:fill="FABF8F" w:themeFill="accent6" w:themeFillTint="99"/>
            <w:vAlign w:val="center"/>
          </w:tcPr>
          <w:p w14:paraId="050E7448" w14:textId="77777777" w:rsidR="0042613F" w:rsidRPr="00E93259" w:rsidRDefault="0042613F" w:rsidP="00A842CF">
            <w:pPr>
              <w:spacing w:after="100" w:afterAutospacing="1" w:line="240" w:lineRule="auto"/>
              <w:jc w:val="center"/>
              <w:rPr>
                <w:rFonts w:ascii="Times New Roman" w:hAnsi="Times New Roman" w:cs="Times New Roman"/>
                <w:color w:val="000000"/>
                <w:sz w:val="20"/>
                <w:szCs w:val="20"/>
              </w:rPr>
            </w:pPr>
          </w:p>
        </w:tc>
        <w:tc>
          <w:tcPr>
            <w:tcW w:w="1787" w:type="dxa"/>
            <w:tcBorders>
              <w:top w:val="single" w:sz="8" w:space="0" w:color="auto"/>
              <w:left w:val="single" w:sz="4" w:space="0" w:color="auto"/>
              <w:bottom w:val="single" w:sz="8" w:space="0" w:color="auto"/>
              <w:right w:val="single" w:sz="8" w:space="0" w:color="auto"/>
            </w:tcBorders>
            <w:shd w:val="clear" w:color="auto" w:fill="FABF8F" w:themeFill="accent6" w:themeFillTint="99"/>
            <w:noWrap/>
            <w:vAlign w:val="center"/>
            <w:hideMark/>
          </w:tcPr>
          <w:p w14:paraId="168F998B" w14:textId="77777777" w:rsidR="0042613F" w:rsidRPr="00E93259" w:rsidRDefault="0042613F" w:rsidP="00A842CF">
            <w:pPr>
              <w:spacing w:after="100" w:afterAutospacing="1" w:line="240" w:lineRule="auto"/>
              <w:jc w:val="center"/>
              <w:rPr>
                <w:rFonts w:ascii="Times New Roman" w:eastAsia="Times New Roman" w:hAnsi="Times New Roman" w:cs="Times New Roman"/>
                <w:b/>
                <w:color w:val="000000"/>
                <w:sz w:val="20"/>
                <w:szCs w:val="20"/>
                <w:lang w:eastAsia="lv-LV"/>
              </w:rPr>
            </w:pPr>
            <w:r w:rsidRPr="00E93259">
              <w:rPr>
                <w:rFonts w:ascii="Times New Roman" w:eastAsia="Times New Roman" w:hAnsi="Times New Roman" w:cs="Times New Roman"/>
                <w:b/>
                <w:color w:val="000000"/>
                <w:sz w:val="20"/>
                <w:szCs w:val="20"/>
                <w:lang w:eastAsia="lv-LV"/>
              </w:rPr>
              <w:t>248 682</w:t>
            </w:r>
          </w:p>
        </w:tc>
      </w:tr>
    </w:tbl>
    <w:p w14:paraId="531862E0" w14:textId="77777777" w:rsidR="0042613F" w:rsidRDefault="0042613F" w:rsidP="0042613F">
      <w:pPr>
        <w:spacing w:after="0" w:line="240" w:lineRule="auto"/>
        <w:ind w:firstLine="709"/>
        <w:jc w:val="both"/>
        <w:rPr>
          <w:rFonts w:ascii="Times New Roman" w:hAnsi="Times New Roman" w:cs="Times New Roman"/>
          <w:sz w:val="24"/>
          <w:szCs w:val="24"/>
        </w:rPr>
      </w:pPr>
    </w:p>
    <w:p w14:paraId="69961DDD" w14:textId="77777777" w:rsidR="0042613F" w:rsidRPr="00022DE7" w:rsidRDefault="0042613F" w:rsidP="0042613F">
      <w:pPr>
        <w:spacing w:after="0" w:line="240" w:lineRule="auto"/>
        <w:ind w:firstLine="709"/>
        <w:jc w:val="both"/>
        <w:rPr>
          <w:rFonts w:ascii="Times New Roman" w:hAnsi="Times New Roman" w:cs="Times New Roman"/>
          <w:sz w:val="24"/>
          <w:szCs w:val="24"/>
        </w:rPr>
      </w:pPr>
      <w:r w:rsidRPr="00022DE7">
        <w:rPr>
          <w:rFonts w:ascii="Times New Roman" w:hAnsi="Times New Roman" w:cs="Times New Roman"/>
          <w:sz w:val="24"/>
          <w:szCs w:val="24"/>
        </w:rPr>
        <w:t>Jaun</w:t>
      </w:r>
      <w:r>
        <w:rPr>
          <w:rFonts w:ascii="Times New Roman" w:hAnsi="Times New Roman" w:cs="Times New Roman"/>
          <w:sz w:val="24"/>
          <w:szCs w:val="24"/>
        </w:rPr>
        <w:t>u</w:t>
      </w:r>
      <w:r w:rsidRPr="00022DE7">
        <w:rPr>
          <w:rFonts w:ascii="Times New Roman" w:hAnsi="Times New Roman" w:cs="Times New Roman"/>
          <w:sz w:val="24"/>
          <w:szCs w:val="24"/>
        </w:rPr>
        <w:t xml:space="preserve"> tehnoloģij</w:t>
      </w:r>
      <w:r>
        <w:rPr>
          <w:rFonts w:ascii="Times New Roman" w:hAnsi="Times New Roman" w:cs="Times New Roman"/>
          <w:sz w:val="24"/>
          <w:szCs w:val="24"/>
        </w:rPr>
        <w:t>u</w:t>
      </w:r>
      <w:r w:rsidRPr="00022DE7">
        <w:rPr>
          <w:rFonts w:ascii="Times New Roman" w:hAnsi="Times New Roman" w:cs="Times New Roman"/>
          <w:sz w:val="24"/>
          <w:szCs w:val="24"/>
        </w:rPr>
        <w:t xml:space="preserve"> ieviešana</w:t>
      </w:r>
      <w:r>
        <w:rPr>
          <w:rFonts w:ascii="Times New Roman" w:hAnsi="Times New Roman" w:cs="Times New Roman"/>
          <w:sz w:val="24"/>
          <w:szCs w:val="24"/>
        </w:rPr>
        <w:t>s rezultātā,</w:t>
      </w:r>
      <w:r w:rsidRPr="00022DE7">
        <w:rPr>
          <w:rFonts w:ascii="Times New Roman" w:hAnsi="Times New Roman" w:cs="Times New Roman"/>
          <w:sz w:val="24"/>
          <w:szCs w:val="24"/>
        </w:rPr>
        <w:t xml:space="preserve"> novēršot potenciālo asins un asins komponentu zudumu risku un nodrošin</w:t>
      </w:r>
      <w:r>
        <w:rPr>
          <w:rFonts w:ascii="Times New Roman" w:hAnsi="Times New Roman" w:cs="Times New Roman"/>
          <w:sz w:val="24"/>
          <w:szCs w:val="24"/>
        </w:rPr>
        <w:t>ot</w:t>
      </w:r>
      <w:r w:rsidRPr="00022DE7">
        <w:rPr>
          <w:rFonts w:ascii="Times New Roman" w:hAnsi="Times New Roman" w:cs="Times New Roman"/>
          <w:sz w:val="24"/>
          <w:szCs w:val="24"/>
        </w:rPr>
        <w:t xml:space="preserve"> asins komponentu un asins preparātu rezervju krājumu pietiekamību valstī</w:t>
      </w:r>
      <w:r>
        <w:rPr>
          <w:rFonts w:ascii="Times New Roman" w:hAnsi="Times New Roman" w:cs="Times New Roman"/>
          <w:sz w:val="24"/>
          <w:szCs w:val="24"/>
        </w:rPr>
        <w:t xml:space="preserve">, </w:t>
      </w:r>
      <w:r w:rsidRPr="00022DE7">
        <w:rPr>
          <w:rFonts w:ascii="Times New Roman" w:hAnsi="Times New Roman" w:cs="Times New Roman"/>
          <w:sz w:val="24"/>
          <w:szCs w:val="24"/>
        </w:rPr>
        <w:t>vismaz  par 20%</w:t>
      </w:r>
      <w:r>
        <w:rPr>
          <w:rFonts w:ascii="Times New Roman" w:hAnsi="Times New Roman" w:cs="Times New Roman"/>
          <w:sz w:val="24"/>
          <w:szCs w:val="24"/>
        </w:rPr>
        <w:t xml:space="preserve"> s</w:t>
      </w:r>
      <w:r w:rsidRPr="00022DE7">
        <w:rPr>
          <w:rFonts w:ascii="Times New Roman" w:hAnsi="Times New Roman" w:cs="Times New Roman"/>
          <w:sz w:val="24"/>
          <w:szCs w:val="24"/>
        </w:rPr>
        <w:t xml:space="preserve">amazināsies asins komponentu uzglabāšanas procesa zudumi, kas paaugstinās līdzekļu </w:t>
      </w:r>
      <w:r>
        <w:rPr>
          <w:rFonts w:ascii="Times New Roman" w:hAnsi="Times New Roman" w:cs="Times New Roman"/>
          <w:sz w:val="24"/>
          <w:szCs w:val="24"/>
        </w:rPr>
        <w:t xml:space="preserve">izmantošanas </w:t>
      </w:r>
      <w:r w:rsidRPr="00022DE7">
        <w:rPr>
          <w:rFonts w:ascii="Times New Roman" w:hAnsi="Times New Roman" w:cs="Times New Roman"/>
          <w:sz w:val="24"/>
          <w:szCs w:val="24"/>
        </w:rPr>
        <w:t xml:space="preserve">efektivitāti un </w:t>
      </w:r>
      <w:r>
        <w:rPr>
          <w:rFonts w:ascii="Times New Roman" w:hAnsi="Times New Roman" w:cs="Times New Roman"/>
          <w:sz w:val="24"/>
          <w:szCs w:val="24"/>
        </w:rPr>
        <w:t>sastādīs</w:t>
      </w:r>
      <w:r w:rsidRPr="00022DE7">
        <w:rPr>
          <w:rFonts w:ascii="Times New Roman" w:hAnsi="Times New Roman" w:cs="Times New Roman"/>
          <w:sz w:val="24"/>
          <w:szCs w:val="24"/>
        </w:rPr>
        <w:t xml:space="preserve"> ekonomiju 48</w:t>
      </w:r>
      <w:r>
        <w:rPr>
          <w:rFonts w:ascii="Times New Roman" w:hAnsi="Times New Roman" w:cs="Times New Roman"/>
          <w:sz w:val="24"/>
          <w:szCs w:val="24"/>
        </w:rPr>
        <w:t xml:space="preserve"> </w:t>
      </w:r>
      <w:r w:rsidRPr="00022DE7">
        <w:rPr>
          <w:rFonts w:ascii="Times New Roman" w:hAnsi="Times New Roman" w:cs="Times New Roman"/>
          <w:sz w:val="24"/>
          <w:szCs w:val="24"/>
        </w:rPr>
        <w:t xml:space="preserve">931 </w:t>
      </w:r>
      <w:r w:rsidRPr="00CD7DB3">
        <w:rPr>
          <w:rFonts w:ascii="Times New Roman" w:hAnsi="Times New Roman" w:cs="Times New Roman"/>
          <w:i/>
          <w:sz w:val="24"/>
          <w:szCs w:val="24"/>
        </w:rPr>
        <w:t>euro</w:t>
      </w:r>
      <w:r w:rsidRPr="00022DE7">
        <w:rPr>
          <w:rFonts w:ascii="Times New Roman" w:hAnsi="Times New Roman" w:cs="Times New Roman"/>
          <w:sz w:val="24"/>
          <w:szCs w:val="24"/>
        </w:rPr>
        <w:t xml:space="preserve"> gadā, t.sk.:</w:t>
      </w:r>
    </w:p>
    <w:p w14:paraId="3F04961B" w14:textId="77777777" w:rsidR="0042613F" w:rsidRPr="00022DE7" w:rsidRDefault="0042613F" w:rsidP="0042613F">
      <w:pPr>
        <w:pStyle w:val="ListParagraph"/>
        <w:numPr>
          <w:ilvl w:val="0"/>
          <w:numId w:val="41"/>
        </w:numPr>
        <w:spacing w:after="0" w:line="240" w:lineRule="auto"/>
        <w:jc w:val="both"/>
        <w:rPr>
          <w:rFonts w:ascii="Times New Roman" w:hAnsi="Times New Roman"/>
          <w:sz w:val="24"/>
          <w:szCs w:val="24"/>
          <w:lang w:val="lv-LV"/>
        </w:rPr>
      </w:pPr>
      <w:r>
        <w:rPr>
          <w:rFonts w:ascii="Times New Roman" w:hAnsi="Times New Roman"/>
          <w:sz w:val="24"/>
          <w:szCs w:val="24"/>
          <w:lang w:val="lv-LV"/>
        </w:rPr>
        <w:t>s</w:t>
      </w:r>
      <w:r w:rsidRPr="00022DE7">
        <w:rPr>
          <w:rFonts w:ascii="Times New Roman" w:hAnsi="Times New Roman"/>
          <w:sz w:val="24"/>
          <w:szCs w:val="24"/>
          <w:lang w:val="lv-LV"/>
        </w:rPr>
        <w:t>vaigi saldēta plazma sagatavota  no pilnasinīm</w:t>
      </w:r>
      <w:r>
        <w:rPr>
          <w:rFonts w:ascii="Times New Roman" w:hAnsi="Times New Roman"/>
          <w:sz w:val="24"/>
          <w:szCs w:val="24"/>
          <w:lang w:val="lv-LV"/>
        </w:rPr>
        <w:t xml:space="preserve"> </w:t>
      </w:r>
      <w:r w:rsidRPr="00022DE7">
        <w:rPr>
          <w:rFonts w:ascii="Times New Roman" w:hAnsi="Times New Roman"/>
          <w:sz w:val="24"/>
          <w:szCs w:val="24"/>
          <w:lang w:val="lv-LV"/>
        </w:rPr>
        <w:t xml:space="preserve">- zudumu samazinājums par 20%  </w:t>
      </w:r>
      <w:r>
        <w:rPr>
          <w:rFonts w:ascii="Times New Roman" w:hAnsi="Times New Roman"/>
          <w:sz w:val="24"/>
          <w:szCs w:val="24"/>
          <w:lang w:val="lv-LV"/>
        </w:rPr>
        <w:t xml:space="preserve">sastādīs </w:t>
      </w:r>
      <w:r w:rsidRPr="00022DE7">
        <w:rPr>
          <w:rFonts w:ascii="Times New Roman" w:hAnsi="Times New Roman"/>
          <w:sz w:val="24"/>
          <w:szCs w:val="24"/>
          <w:lang w:val="lv-LV"/>
        </w:rPr>
        <w:t>līdzekļu ikgadēju ekonomiju -</w:t>
      </w:r>
      <w:r>
        <w:rPr>
          <w:rFonts w:ascii="Times New Roman" w:hAnsi="Times New Roman"/>
          <w:sz w:val="24"/>
          <w:szCs w:val="24"/>
          <w:lang w:val="lv-LV"/>
        </w:rPr>
        <w:t xml:space="preserve"> </w:t>
      </w:r>
      <w:r w:rsidRPr="00022DE7">
        <w:rPr>
          <w:rFonts w:ascii="Times New Roman" w:hAnsi="Times New Roman"/>
          <w:sz w:val="24"/>
          <w:szCs w:val="24"/>
          <w:lang w:val="lv-LV"/>
        </w:rPr>
        <w:t xml:space="preserve">3981 </w:t>
      </w:r>
      <w:r w:rsidRPr="00CD7DB3">
        <w:rPr>
          <w:rFonts w:ascii="Times New Roman" w:hAnsi="Times New Roman"/>
          <w:i/>
          <w:sz w:val="24"/>
          <w:szCs w:val="24"/>
          <w:lang w:val="lv-LV"/>
        </w:rPr>
        <w:t>euro</w:t>
      </w:r>
      <w:r w:rsidRPr="00022DE7">
        <w:rPr>
          <w:rFonts w:ascii="Times New Roman" w:hAnsi="Times New Roman"/>
          <w:sz w:val="24"/>
          <w:szCs w:val="24"/>
          <w:lang w:val="lv-LV"/>
        </w:rPr>
        <w:t xml:space="preserve"> (zudumi 313 devas gadā*cena 12.72 </w:t>
      </w:r>
      <w:r w:rsidRPr="00CD7DB3">
        <w:rPr>
          <w:rFonts w:ascii="Times New Roman" w:hAnsi="Times New Roman"/>
          <w:i/>
          <w:sz w:val="24"/>
          <w:szCs w:val="24"/>
          <w:lang w:val="lv-LV"/>
        </w:rPr>
        <w:t>euro</w:t>
      </w:r>
      <w:r w:rsidRPr="00022DE7">
        <w:rPr>
          <w:rFonts w:ascii="Times New Roman" w:hAnsi="Times New Roman"/>
          <w:sz w:val="24"/>
          <w:szCs w:val="24"/>
          <w:lang w:val="lv-LV"/>
        </w:rPr>
        <w:t>);</w:t>
      </w:r>
    </w:p>
    <w:p w14:paraId="2DFF5616" w14:textId="77777777" w:rsidR="0042613F" w:rsidRPr="00022DE7" w:rsidRDefault="0042613F" w:rsidP="0042613F">
      <w:pPr>
        <w:pStyle w:val="ListParagraph"/>
        <w:numPr>
          <w:ilvl w:val="0"/>
          <w:numId w:val="41"/>
        </w:numPr>
        <w:spacing w:after="0" w:line="240" w:lineRule="auto"/>
        <w:jc w:val="both"/>
        <w:rPr>
          <w:rFonts w:ascii="Times New Roman" w:hAnsi="Times New Roman"/>
          <w:sz w:val="24"/>
          <w:szCs w:val="24"/>
          <w:lang w:val="lv-LV"/>
        </w:rPr>
      </w:pPr>
      <w:r>
        <w:rPr>
          <w:rFonts w:ascii="Times New Roman" w:hAnsi="Times New Roman"/>
          <w:sz w:val="24"/>
          <w:szCs w:val="24"/>
          <w:lang w:val="lv-LV"/>
        </w:rPr>
        <w:t>e</w:t>
      </w:r>
      <w:r w:rsidRPr="00022DE7">
        <w:rPr>
          <w:rFonts w:ascii="Times New Roman" w:hAnsi="Times New Roman"/>
          <w:sz w:val="24"/>
          <w:szCs w:val="24"/>
          <w:lang w:val="lv-LV"/>
        </w:rPr>
        <w:t>ritrocītu masa no pilnasinīm</w:t>
      </w:r>
      <w:r>
        <w:rPr>
          <w:rFonts w:ascii="Times New Roman" w:hAnsi="Times New Roman"/>
          <w:sz w:val="24"/>
          <w:szCs w:val="24"/>
          <w:lang w:val="lv-LV"/>
        </w:rPr>
        <w:t xml:space="preserve"> </w:t>
      </w:r>
      <w:r w:rsidRPr="00022DE7">
        <w:rPr>
          <w:rFonts w:ascii="Times New Roman" w:hAnsi="Times New Roman"/>
          <w:sz w:val="24"/>
          <w:szCs w:val="24"/>
          <w:lang w:val="lv-LV"/>
        </w:rPr>
        <w:t xml:space="preserve">- zudumu samazinājums par 20%  </w:t>
      </w:r>
      <w:r>
        <w:rPr>
          <w:rFonts w:ascii="Times New Roman" w:hAnsi="Times New Roman"/>
          <w:sz w:val="24"/>
          <w:szCs w:val="24"/>
          <w:lang w:val="lv-LV"/>
        </w:rPr>
        <w:t>sastādīs</w:t>
      </w:r>
      <w:r w:rsidRPr="00022DE7">
        <w:rPr>
          <w:rFonts w:ascii="Times New Roman" w:hAnsi="Times New Roman"/>
          <w:sz w:val="24"/>
          <w:szCs w:val="24"/>
          <w:lang w:val="lv-LV"/>
        </w:rPr>
        <w:t xml:space="preserve"> līdzekļu ikgadēju ekonomiju -5458 </w:t>
      </w:r>
      <w:r w:rsidRPr="00CD7DB3">
        <w:rPr>
          <w:rFonts w:ascii="Times New Roman" w:hAnsi="Times New Roman"/>
          <w:i/>
          <w:sz w:val="24"/>
          <w:szCs w:val="24"/>
          <w:lang w:val="lv-LV"/>
        </w:rPr>
        <w:t>euro</w:t>
      </w:r>
      <w:r w:rsidRPr="00022DE7">
        <w:rPr>
          <w:rFonts w:ascii="Times New Roman" w:hAnsi="Times New Roman"/>
          <w:sz w:val="24"/>
          <w:szCs w:val="24"/>
          <w:lang w:val="lv-LV"/>
        </w:rPr>
        <w:t xml:space="preserve"> (zudumi 105 devas gadā*cena 51.98 </w:t>
      </w:r>
      <w:r w:rsidRPr="00CD7DB3">
        <w:rPr>
          <w:rFonts w:ascii="Times New Roman" w:hAnsi="Times New Roman"/>
          <w:i/>
          <w:sz w:val="24"/>
          <w:szCs w:val="24"/>
          <w:lang w:val="lv-LV"/>
        </w:rPr>
        <w:t>euro</w:t>
      </w:r>
      <w:r w:rsidRPr="00022DE7">
        <w:rPr>
          <w:rFonts w:ascii="Times New Roman" w:hAnsi="Times New Roman"/>
          <w:sz w:val="24"/>
          <w:szCs w:val="24"/>
          <w:lang w:val="lv-LV"/>
        </w:rPr>
        <w:t>);</w:t>
      </w:r>
    </w:p>
    <w:p w14:paraId="37966063" w14:textId="77777777" w:rsidR="0042613F" w:rsidRPr="00CD7DB3" w:rsidRDefault="0042613F" w:rsidP="0042613F">
      <w:pPr>
        <w:pStyle w:val="ListParagraph"/>
        <w:numPr>
          <w:ilvl w:val="0"/>
          <w:numId w:val="41"/>
        </w:numPr>
        <w:spacing w:after="0" w:line="240" w:lineRule="auto"/>
        <w:jc w:val="both"/>
        <w:rPr>
          <w:rFonts w:ascii="Times New Roman" w:hAnsi="Times New Roman"/>
          <w:sz w:val="24"/>
          <w:szCs w:val="24"/>
          <w:lang w:val="lv-LV"/>
        </w:rPr>
      </w:pPr>
      <w:r w:rsidRPr="00CD7DB3">
        <w:rPr>
          <w:rFonts w:ascii="Times New Roman" w:hAnsi="Times New Roman"/>
          <w:sz w:val="24"/>
          <w:szCs w:val="24"/>
          <w:lang w:val="lv-LV"/>
        </w:rPr>
        <w:t xml:space="preserve">citi asins komponenti - zudumu samazinājums par 20%  sastādīs līdzekļu ikgadēju ekonomiju – 39 492 </w:t>
      </w:r>
      <w:r w:rsidRPr="00CD7DB3">
        <w:rPr>
          <w:rFonts w:ascii="Times New Roman" w:hAnsi="Times New Roman"/>
          <w:i/>
          <w:sz w:val="24"/>
          <w:szCs w:val="24"/>
          <w:lang w:val="lv-LV"/>
        </w:rPr>
        <w:t>euro</w:t>
      </w:r>
      <w:r w:rsidRPr="00CD7DB3">
        <w:rPr>
          <w:rFonts w:ascii="Times New Roman" w:hAnsi="Times New Roman"/>
          <w:sz w:val="24"/>
          <w:szCs w:val="24"/>
          <w:lang w:val="lv-LV"/>
        </w:rPr>
        <w:t xml:space="preserve"> .</w:t>
      </w:r>
    </w:p>
    <w:p w14:paraId="1EFC7A01" w14:textId="77777777" w:rsidR="0042613F" w:rsidRPr="00CD7DB3" w:rsidRDefault="0042613F" w:rsidP="0042613F">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784"/>
      </w:tblGrid>
      <w:tr w:rsidR="0042613F" w:rsidRPr="001F2103" w14:paraId="16F42D70" w14:textId="77777777" w:rsidTr="00A842CF">
        <w:tc>
          <w:tcPr>
            <w:tcW w:w="8784" w:type="dxa"/>
          </w:tcPr>
          <w:p w14:paraId="56E12924" w14:textId="77777777" w:rsidR="0042613F" w:rsidRPr="001F2103" w:rsidRDefault="0042613F" w:rsidP="00A842CF">
            <w:pPr>
              <w:spacing w:after="100" w:afterAutospacing="1"/>
              <w:ind w:firstLine="709"/>
              <w:jc w:val="both"/>
              <w:rPr>
                <w:rFonts w:ascii="Times New Roman" w:hAnsi="Times New Roman"/>
                <w:b/>
                <w:bCs/>
                <w:sz w:val="24"/>
                <w:szCs w:val="24"/>
              </w:rPr>
            </w:pPr>
            <w:r w:rsidRPr="001F2103">
              <w:rPr>
                <w:rFonts w:ascii="Times New Roman" w:hAnsi="Times New Roman"/>
                <w:b/>
                <w:bCs/>
                <w:sz w:val="24"/>
                <w:szCs w:val="24"/>
              </w:rPr>
              <w:t>Reformas rezultāts: Realizējot VADC jaunu reformas iniciatīvu “Valsts asinsdonoru centra struktūras un procesu darbības efektivitātes uzlabošana”,  un atjaunojot tehnoloģiskās iekārtas, tiks</w:t>
            </w:r>
            <w:r w:rsidRPr="001F2103">
              <w:rPr>
                <w:rFonts w:ascii="Times New Roman" w:hAnsi="Times New Roman"/>
                <w:sz w:val="24"/>
                <w:szCs w:val="24"/>
              </w:rPr>
              <w:t xml:space="preserve"> </w:t>
            </w:r>
            <w:r w:rsidRPr="001F2103">
              <w:rPr>
                <w:rFonts w:ascii="Times New Roman" w:hAnsi="Times New Roman"/>
                <w:b/>
                <w:bCs/>
                <w:sz w:val="24"/>
                <w:szCs w:val="24"/>
              </w:rPr>
              <w:t>novērsts potenciālo asins un asins komponentu zudumu risks</w:t>
            </w:r>
            <w:r w:rsidRPr="001F2103">
              <w:rPr>
                <w:rFonts w:ascii="Times New Roman" w:hAnsi="Times New Roman"/>
                <w:sz w:val="24"/>
                <w:szCs w:val="24"/>
              </w:rPr>
              <w:t>,</w:t>
            </w:r>
            <w:r w:rsidRPr="001F2103">
              <w:rPr>
                <w:rFonts w:ascii="Times New Roman" w:hAnsi="Times New Roman"/>
                <w:b/>
                <w:bCs/>
                <w:sz w:val="24"/>
                <w:szCs w:val="24"/>
              </w:rPr>
              <w:t xml:space="preserve"> kā rezultātā būs iespējams uzlabot procesu darbības efektivitāti un produktu kvalitāti, kas do</w:t>
            </w:r>
            <w:r>
              <w:rPr>
                <w:rFonts w:ascii="Times New Roman" w:hAnsi="Times New Roman"/>
                <w:b/>
                <w:bCs/>
                <w:sz w:val="24"/>
                <w:szCs w:val="24"/>
              </w:rPr>
              <w:t>s</w:t>
            </w:r>
            <w:r w:rsidRPr="001F2103">
              <w:rPr>
                <w:rFonts w:ascii="Times New Roman" w:hAnsi="Times New Roman"/>
                <w:b/>
                <w:bCs/>
                <w:sz w:val="24"/>
                <w:szCs w:val="24"/>
              </w:rPr>
              <w:t xml:space="preserve"> būtisku ieguvumu ne tikai produktu kvalitātes uzlabošanā, bet arī līdzekļu efektīvā izlietošanā. </w:t>
            </w:r>
          </w:p>
        </w:tc>
      </w:tr>
    </w:tbl>
    <w:p w14:paraId="5F105610" w14:textId="6DEF3FB8" w:rsidR="0042613F" w:rsidRPr="0042613F" w:rsidRDefault="0042613F" w:rsidP="00C64BE8">
      <w:pPr>
        <w:pStyle w:val="ListParagraph"/>
        <w:spacing w:after="120"/>
        <w:ind w:left="1189"/>
        <w:jc w:val="both"/>
        <w:rPr>
          <w:rFonts w:ascii="Times New Roman" w:eastAsia="Times New Roman" w:hAnsi="Times New Roman"/>
          <w:b/>
          <w:sz w:val="24"/>
          <w:szCs w:val="24"/>
          <w:lang w:eastAsia="lv-LV" w:bidi="lo-LA"/>
        </w:rPr>
      </w:pPr>
    </w:p>
    <w:p w14:paraId="7F9898D8" w14:textId="22DE7509" w:rsidR="005A043E" w:rsidRPr="00C64BE8" w:rsidRDefault="005A043E" w:rsidP="00C64BE8">
      <w:pPr>
        <w:pStyle w:val="ListParagraph"/>
        <w:numPr>
          <w:ilvl w:val="1"/>
          <w:numId w:val="43"/>
        </w:numPr>
        <w:spacing w:after="120"/>
        <w:jc w:val="both"/>
        <w:rPr>
          <w:rFonts w:ascii="Times New Roman" w:eastAsia="Times New Roman" w:hAnsi="Times New Roman"/>
          <w:b/>
          <w:sz w:val="24"/>
          <w:szCs w:val="24"/>
          <w:lang w:eastAsia="lv-LV" w:bidi="lo-LA"/>
        </w:rPr>
      </w:pPr>
      <w:r w:rsidRPr="00C64BE8">
        <w:rPr>
          <w:rFonts w:ascii="Times New Roman" w:hAnsi="Times New Roman"/>
          <w:b/>
          <w:bCs/>
          <w:color w:val="000000"/>
          <w:sz w:val="24"/>
          <w:szCs w:val="24"/>
          <w:lang w:eastAsia="lv-LV"/>
        </w:rPr>
        <w:t xml:space="preserve">Jaunais reformas pasākums 2019.gadam - </w:t>
      </w:r>
      <w:r w:rsidRPr="00C64BE8">
        <w:rPr>
          <w:rFonts w:ascii="Times New Roman" w:eastAsia="Times New Roman" w:hAnsi="Times New Roman"/>
          <w:b/>
          <w:bCs/>
          <w:sz w:val="24"/>
          <w:szCs w:val="24"/>
          <w:lang w:eastAsia="lv-LV" w:bidi="lo-LA"/>
        </w:rPr>
        <w:t>Pirmreizējo un sekundāro diagnostikas izmeklējumiem nepieciešamās iekārtas</w:t>
      </w:r>
    </w:p>
    <w:p w14:paraId="1CC462F9" w14:textId="77777777" w:rsidR="00220DD2" w:rsidRDefault="00220DD2" w:rsidP="00220DD2">
      <w:pPr>
        <w:pStyle w:val="ListParagraph"/>
        <w:ind w:left="0" w:firstLine="709"/>
        <w:jc w:val="both"/>
        <w:rPr>
          <w:rFonts w:ascii="Times New Roman" w:eastAsia="Times New Roman" w:hAnsi="Times New Roman"/>
          <w:sz w:val="24"/>
          <w:szCs w:val="24"/>
          <w:lang w:val="lv-LV" w:eastAsia="lv-LV" w:bidi="lo-LA"/>
        </w:rPr>
      </w:pPr>
    </w:p>
    <w:p w14:paraId="63F0E76D" w14:textId="6A2076DD" w:rsidR="0036112B" w:rsidRDefault="00220DD2" w:rsidP="00220DD2">
      <w:pPr>
        <w:pStyle w:val="ListParagraph"/>
        <w:ind w:left="0" w:firstLine="709"/>
        <w:jc w:val="both"/>
        <w:rPr>
          <w:rFonts w:ascii="Times New Roman" w:eastAsia="Times New Roman" w:hAnsi="Times New Roman"/>
          <w:sz w:val="24"/>
          <w:szCs w:val="24"/>
          <w:lang w:val="lv-LV" w:eastAsia="lv-LV" w:bidi="lo-LA"/>
        </w:rPr>
      </w:pPr>
      <w:r>
        <w:rPr>
          <w:rFonts w:ascii="Times New Roman" w:eastAsia="Times New Roman" w:hAnsi="Times New Roman"/>
          <w:sz w:val="24"/>
          <w:szCs w:val="24"/>
          <w:lang w:val="lv-LV" w:eastAsia="lv-LV" w:bidi="lo-LA"/>
        </w:rPr>
        <w:t xml:space="preserve">Turpinot palielināt </w:t>
      </w:r>
      <w:r w:rsidR="008702D0">
        <w:rPr>
          <w:rFonts w:ascii="Times New Roman" w:eastAsia="Times New Roman" w:hAnsi="Times New Roman"/>
          <w:sz w:val="24"/>
          <w:szCs w:val="24"/>
          <w:lang w:val="lv-LV" w:eastAsia="lv-LV" w:bidi="lo-LA"/>
        </w:rPr>
        <w:t>valsts ap</w:t>
      </w:r>
      <w:r w:rsidR="00886B81">
        <w:rPr>
          <w:rFonts w:ascii="Times New Roman" w:eastAsia="Times New Roman" w:hAnsi="Times New Roman"/>
          <w:sz w:val="24"/>
          <w:szCs w:val="24"/>
          <w:lang w:val="lv-LV" w:eastAsia="lv-LV" w:bidi="lo-LA"/>
        </w:rPr>
        <w:t xml:space="preserve">maksājamo veselības aprūpes </w:t>
      </w:r>
      <w:r>
        <w:rPr>
          <w:rFonts w:ascii="Times New Roman" w:eastAsia="Times New Roman" w:hAnsi="Times New Roman"/>
          <w:sz w:val="24"/>
          <w:szCs w:val="24"/>
          <w:lang w:val="lv-LV" w:eastAsia="lv-LV" w:bidi="lo-LA"/>
        </w:rPr>
        <w:t>pakalpojumu pieejamību</w:t>
      </w:r>
      <w:r w:rsidR="00886B81">
        <w:rPr>
          <w:rFonts w:ascii="Times New Roman" w:eastAsia="Times New Roman" w:hAnsi="Times New Roman"/>
          <w:sz w:val="24"/>
          <w:szCs w:val="24"/>
          <w:lang w:val="lv-LV" w:eastAsia="lv-LV" w:bidi="lo-LA"/>
        </w:rPr>
        <w:t>, tādējādi samazinot gaidīšanas rindas</w:t>
      </w:r>
      <w:r w:rsidR="00F87393">
        <w:rPr>
          <w:rFonts w:ascii="Times New Roman" w:eastAsia="Times New Roman" w:hAnsi="Times New Roman"/>
          <w:sz w:val="24"/>
          <w:szCs w:val="24"/>
          <w:lang w:val="lv-LV" w:eastAsia="lv-LV" w:bidi="lo-LA"/>
        </w:rPr>
        <w:t>, nepieciešams</w:t>
      </w:r>
      <w:r w:rsidR="00F83D9D">
        <w:rPr>
          <w:rFonts w:ascii="Times New Roman" w:eastAsia="Times New Roman" w:hAnsi="Times New Roman"/>
          <w:sz w:val="24"/>
          <w:szCs w:val="24"/>
          <w:lang w:val="lv-LV" w:eastAsia="lv-LV" w:bidi="lo-LA"/>
        </w:rPr>
        <w:t xml:space="preserve"> </w:t>
      </w:r>
      <w:r>
        <w:rPr>
          <w:rFonts w:ascii="Times New Roman" w:eastAsia="Times New Roman" w:hAnsi="Times New Roman"/>
          <w:sz w:val="24"/>
          <w:szCs w:val="24"/>
          <w:lang w:val="lv-LV" w:eastAsia="lv-LV" w:bidi="lo-LA"/>
        </w:rPr>
        <w:t>uzlabot diagnostik</w:t>
      </w:r>
      <w:r w:rsidR="00B33790">
        <w:rPr>
          <w:rFonts w:ascii="Times New Roman" w:eastAsia="Times New Roman" w:hAnsi="Times New Roman"/>
          <w:sz w:val="24"/>
          <w:szCs w:val="24"/>
          <w:lang w:val="lv-LV" w:eastAsia="lv-LV" w:bidi="lo-LA"/>
        </w:rPr>
        <w:t xml:space="preserve">ās izmeklēšanas </w:t>
      </w:r>
      <w:r w:rsidR="0036112B">
        <w:rPr>
          <w:rFonts w:ascii="Times New Roman" w:eastAsia="Times New Roman" w:hAnsi="Times New Roman"/>
          <w:sz w:val="24"/>
          <w:szCs w:val="24"/>
          <w:lang w:val="lv-LV" w:eastAsia="lv-LV" w:bidi="lo-LA"/>
        </w:rPr>
        <w:t xml:space="preserve">veikšanai nepieciešamās </w:t>
      </w:r>
      <w:r w:rsidR="00B33790">
        <w:rPr>
          <w:rFonts w:ascii="Times New Roman" w:eastAsia="Times New Roman" w:hAnsi="Times New Roman"/>
          <w:sz w:val="24"/>
          <w:szCs w:val="24"/>
          <w:lang w:val="lv-LV" w:eastAsia="lv-LV" w:bidi="lo-LA"/>
        </w:rPr>
        <w:t>iekārtas.</w:t>
      </w:r>
      <w:r>
        <w:rPr>
          <w:rFonts w:ascii="Times New Roman" w:eastAsia="Times New Roman" w:hAnsi="Times New Roman"/>
          <w:sz w:val="24"/>
          <w:szCs w:val="24"/>
          <w:lang w:val="lv-LV" w:eastAsia="lv-LV" w:bidi="lo-LA"/>
        </w:rPr>
        <w:t xml:space="preserve">, lai </w:t>
      </w:r>
      <w:r w:rsidRPr="00962FB1">
        <w:rPr>
          <w:rFonts w:ascii="Times New Roman" w:eastAsia="Times New Roman" w:hAnsi="Times New Roman"/>
          <w:sz w:val="24"/>
          <w:szCs w:val="24"/>
          <w:lang w:val="lv-LV" w:eastAsia="lv-LV" w:bidi="lo-LA"/>
        </w:rPr>
        <w:t xml:space="preserve">varētu veikt </w:t>
      </w:r>
      <w:r w:rsidR="00876252">
        <w:rPr>
          <w:rFonts w:ascii="Times New Roman" w:eastAsia="Times New Roman" w:hAnsi="Times New Roman"/>
          <w:sz w:val="24"/>
          <w:szCs w:val="24"/>
          <w:lang w:val="lv-LV" w:eastAsia="lv-LV" w:bidi="lo-LA"/>
        </w:rPr>
        <w:t>vairāku specialitāšu izmeklējumus efektīvāk un kv</w:t>
      </w:r>
      <w:r w:rsidR="0036112B">
        <w:rPr>
          <w:rFonts w:ascii="Times New Roman" w:eastAsia="Times New Roman" w:hAnsi="Times New Roman"/>
          <w:sz w:val="24"/>
          <w:szCs w:val="24"/>
          <w:lang w:val="lv-LV" w:eastAsia="lv-LV" w:bidi="lo-LA"/>
        </w:rPr>
        <w:t>al</w:t>
      </w:r>
      <w:r w:rsidR="00876252">
        <w:rPr>
          <w:rFonts w:ascii="Times New Roman" w:eastAsia="Times New Roman" w:hAnsi="Times New Roman"/>
          <w:sz w:val="24"/>
          <w:szCs w:val="24"/>
          <w:lang w:val="lv-LV" w:eastAsia="lv-LV" w:bidi="lo-LA"/>
        </w:rPr>
        <w:t>itatīvāk.</w:t>
      </w:r>
      <w:r w:rsidRPr="00962FB1">
        <w:rPr>
          <w:rFonts w:ascii="Times New Roman" w:eastAsia="Times New Roman" w:hAnsi="Times New Roman"/>
          <w:sz w:val="24"/>
          <w:szCs w:val="24"/>
          <w:lang w:val="lv-LV" w:eastAsia="lv-LV" w:bidi="lo-LA"/>
        </w:rPr>
        <w:t xml:space="preserve"> </w:t>
      </w:r>
      <w:r w:rsidR="00D0496D">
        <w:rPr>
          <w:rFonts w:ascii="Times New Roman" w:eastAsia="Times New Roman" w:hAnsi="Times New Roman"/>
          <w:sz w:val="24"/>
          <w:szCs w:val="24"/>
          <w:lang w:val="lv-LV" w:eastAsia="lv-LV" w:bidi="lo-LA"/>
        </w:rPr>
        <w:t>Onkoloģijas</w:t>
      </w:r>
      <w:r>
        <w:rPr>
          <w:rFonts w:ascii="Times New Roman" w:eastAsia="Times New Roman" w:hAnsi="Times New Roman"/>
          <w:sz w:val="24"/>
          <w:szCs w:val="24"/>
          <w:lang w:val="lv-LV" w:eastAsia="lv-LV" w:bidi="lo-LA"/>
        </w:rPr>
        <w:t xml:space="preserve"> jomas pamatizmeklējumus un </w:t>
      </w:r>
      <w:r w:rsidRPr="00962FB1">
        <w:rPr>
          <w:rFonts w:ascii="Times New Roman" w:eastAsia="Times New Roman" w:hAnsi="Times New Roman"/>
          <w:sz w:val="24"/>
          <w:szCs w:val="24"/>
          <w:lang w:val="lv-LV" w:eastAsia="lv-LV" w:bidi="lo-LA"/>
        </w:rPr>
        <w:t xml:space="preserve">augsti kvalificētu un precīzu vēža diagnostiku un monitorēšanu ir nepieciešamas mūsdienīgu tehnoloģiju </w:t>
      </w:r>
      <w:r>
        <w:rPr>
          <w:rFonts w:ascii="Times New Roman" w:eastAsia="Times New Roman" w:hAnsi="Times New Roman"/>
          <w:sz w:val="24"/>
          <w:szCs w:val="24"/>
          <w:lang w:val="lv-LV" w:eastAsia="lv-LV" w:bidi="lo-LA"/>
        </w:rPr>
        <w:t xml:space="preserve">ultrasonogrāfijas, </w:t>
      </w:r>
      <w:r w:rsidRPr="00962FB1">
        <w:rPr>
          <w:rFonts w:ascii="Times New Roman" w:eastAsia="Times New Roman" w:hAnsi="Times New Roman"/>
          <w:sz w:val="24"/>
          <w:szCs w:val="24"/>
          <w:lang w:val="lv-LV" w:eastAsia="lv-LV" w:bidi="lo-LA"/>
        </w:rPr>
        <w:t xml:space="preserve">datortomogrāfijas </w:t>
      </w:r>
      <w:r>
        <w:rPr>
          <w:rFonts w:ascii="Times New Roman" w:eastAsia="Times New Roman" w:hAnsi="Times New Roman"/>
          <w:sz w:val="24"/>
          <w:szCs w:val="24"/>
          <w:lang w:val="lv-LV" w:eastAsia="lv-LV" w:bidi="lo-LA"/>
        </w:rPr>
        <w:t>un magnētiskās rezonanses iekārtas, kā arī</w:t>
      </w:r>
      <w:r w:rsidRPr="00962FB1">
        <w:rPr>
          <w:rFonts w:ascii="Times New Roman" w:eastAsia="Times New Roman" w:hAnsi="Times New Roman"/>
          <w:sz w:val="24"/>
          <w:szCs w:val="24"/>
          <w:lang w:val="lv-LV" w:eastAsia="lv-LV" w:bidi="lo-LA"/>
        </w:rPr>
        <w:t xml:space="preserve"> augsti kvalificēts personāls. </w:t>
      </w:r>
      <w:r w:rsidR="0036112B">
        <w:rPr>
          <w:rFonts w:ascii="Times New Roman" w:eastAsia="Times New Roman" w:hAnsi="Times New Roman"/>
          <w:sz w:val="24"/>
          <w:szCs w:val="24"/>
          <w:lang w:val="lv-LV" w:eastAsia="lv-LV" w:bidi="lo-LA"/>
        </w:rPr>
        <w:t xml:space="preserve">Tāpat iekārtas nepieciešamas </w:t>
      </w:r>
      <w:r w:rsidR="009F19C9">
        <w:rPr>
          <w:rFonts w:ascii="Times New Roman" w:eastAsia="Times New Roman" w:hAnsi="Times New Roman"/>
          <w:sz w:val="24"/>
          <w:szCs w:val="24"/>
          <w:lang w:val="lv-LV" w:eastAsia="lv-LV" w:bidi="lo-LA"/>
        </w:rPr>
        <w:t>augstas kvlitātes izmeklējumu veikšanai kardioloģijā, ģinekoloģijā, uroloģijā</w:t>
      </w:r>
      <w:r w:rsidR="00DB7A65">
        <w:rPr>
          <w:rFonts w:ascii="Times New Roman" w:eastAsia="Times New Roman" w:hAnsi="Times New Roman"/>
          <w:sz w:val="24"/>
          <w:szCs w:val="24"/>
          <w:lang w:val="lv-LV" w:eastAsia="lv-LV" w:bidi="lo-LA"/>
        </w:rPr>
        <w:t xml:space="preserve"> un citās specialitātes, kā arī </w:t>
      </w:r>
      <w:r w:rsidR="009F19C9">
        <w:rPr>
          <w:rFonts w:ascii="Times New Roman" w:eastAsia="Times New Roman" w:hAnsi="Times New Roman"/>
          <w:sz w:val="24"/>
          <w:szCs w:val="24"/>
          <w:lang w:val="lv-LV" w:eastAsia="lv-LV" w:bidi="lo-LA"/>
        </w:rPr>
        <w:t>neatliekamā</w:t>
      </w:r>
      <w:r w:rsidR="00DB7A65">
        <w:rPr>
          <w:rFonts w:ascii="Times New Roman" w:eastAsia="Times New Roman" w:hAnsi="Times New Roman"/>
          <w:sz w:val="24"/>
          <w:szCs w:val="24"/>
          <w:lang w:val="lv-LV" w:eastAsia="lv-LV" w:bidi="lo-LA"/>
        </w:rPr>
        <w:t>s medicīnas gadījumā.</w:t>
      </w:r>
    </w:p>
    <w:p w14:paraId="3EA13ED8" w14:textId="5C86F29E" w:rsidR="00220DD2" w:rsidRPr="00962FB1" w:rsidRDefault="00220DD2" w:rsidP="00220DD2">
      <w:pPr>
        <w:spacing w:after="240"/>
        <w:ind w:firstLine="709"/>
        <w:contextualSpacing/>
        <w:jc w:val="both"/>
        <w:rPr>
          <w:rFonts w:ascii="Times New Roman" w:eastAsia="Times New Roman" w:hAnsi="Times New Roman"/>
          <w:sz w:val="24"/>
          <w:szCs w:val="24"/>
          <w:lang w:eastAsia="lv-LV" w:bidi="lo-LA"/>
        </w:rPr>
      </w:pPr>
      <w:r w:rsidRPr="00962FB1">
        <w:rPr>
          <w:rFonts w:ascii="Times New Roman" w:eastAsia="Times New Roman" w:hAnsi="Times New Roman"/>
          <w:sz w:val="24"/>
          <w:szCs w:val="24"/>
          <w:lang w:eastAsia="lv-LV" w:bidi="lo-LA"/>
        </w:rPr>
        <w:t xml:space="preserve">Lai uzlabotu </w:t>
      </w:r>
      <w:r w:rsidR="005B5998">
        <w:rPr>
          <w:rFonts w:ascii="Times New Roman" w:eastAsia="Times New Roman" w:hAnsi="Times New Roman"/>
          <w:sz w:val="24"/>
          <w:szCs w:val="24"/>
          <w:lang w:eastAsia="lv-LV" w:bidi="lo-LA"/>
        </w:rPr>
        <w:t>diag</w:t>
      </w:r>
      <w:r w:rsidR="00B475FA">
        <w:rPr>
          <w:rFonts w:ascii="Times New Roman" w:eastAsia="Times New Roman" w:hAnsi="Times New Roman"/>
          <w:sz w:val="24"/>
          <w:szCs w:val="24"/>
          <w:lang w:eastAsia="lv-LV" w:bidi="lo-LA"/>
        </w:rPr>
        <w:t>nostikas kv</w:t>
      </w:r>
      <w:r w:rsidR="00AB29FF">
        <w:rPr>
          <w:rFonts w:ascii="Times New Roman" w:eastAsia="Times New Roman" w:hAnsi="Times New Roman"/>
          <w:sz w:val="24"/>
          <w:szCs w:val="24"/>
          <w:lang w:eastAsia="lv-LV" w:bidi="lo-LA"/>
        </w:rPr>
        <w:t>a</w:t>
      </w:r>
      <w:r w:rsidR="00B475FA">
        <w:rPr>
          <w:rFonts w:ascii="Times New Roman" w:eastAsia="Times New Roman" w:hAnsi="Times New Roman"/>
          <w:sz w:val="24"/>
          <w:szCs w:val="24"/>
          <w:lang w:eastAsia="lv-LV" w:bidi="lo-LA"/>
        </w:rPr>
        <w:t>litāti</w:t>
      </w:r>
      <w:r w:rsidR="00AB29FF">
        <w:rPr>
          <w:rFonts w:ascii="Times New Roman" w:eastAsia="Times New Roman" w:hAnsi="Times New Roman"/>
          <w:sz w:val="24"/>
          <w:szCs w:val="24"/>
          <w:lang w:eastAsia="lv-LV" w:bidi="lo-LA"/>
        </w:rPr>
        <w:t xml:space="preserve"> un efektivitāti</w:t>
      </w:r>
      <w:r w:rsidR="00B475FA">
        <w:rPr>
          <w:rFonts w:ascii="Times New Roman" w:eastAsia="Times New Roman" w:hAnsi="Times New Roman"/>
          <w:sz w:val="24"/>
          <w:szCs w:val="24"/>
          <w:lang w:eastAsia="lv-LV" w:bidi="lo-LA"/>
        </w:rPr>
        <w:t>,</w:t>
      </w:r>
      <w:r w:rsidRPr="00962FB1">
        <w:rPr>
          <w:rFonts w:ascii="Times New Roman" w:eastAsia="Times New Roman" w:hAnsi="Times New Roman"/>
          <w:sz w:val="24"/>
          <w:szCs w:val="24"/>
          <w:lang w:eastAsia="lv-LV" w:bidi="lo-LA"/>
        </w:rPr>
        <w:t xml:space="preserve"> nepieciešams nomainīt </w:t>
      </w:r>
      <w:r w:rsidR="00B475FA">
        <w:rPr>
          <w:rFonts w:ascii="Times New Roman" w:eastAsia="Times New Roman" w:hAnsi="Times New Roman"/>
          <w:sz w:val="24"/>
          <w:szCs w:val="24"/>
          <w:lang w:eastAsia="lv-LV" w:bidi="lo-LA"/>
        </w:rPr>
        <w:t xml:space="preserve">ultrasonogrāfijas, </w:t>
      </w:r>
      <w:r w:rsidR="00B475FA" w:rsidRPr="00962FB1">
        <w:rPr>
          <w:rFonts w:ascii="Times New Roman" w:eastAsia="Times New Roman" w:hAnsi="Times New Roman"/>
          <w:sz w:val="24"/>
          <w:szCs w:val="24"/>
          <w:lang w:eastAsia="lv-LV" w:bidi="lo-LA"/>
        </w:rPr>
        <w:t xml:space="preserve">datortomogrāfijas </w:t>
      </w:r>
      <w:r w:rsidR="00B475FA">
        <w:rPr>
          <w:rFonts w:ascii="Times New Roman" w:eastAsia="Times New Roman" w:hAnsi="Times New Roman"/>
          <w:sz w:val="24"/>
          <w:szCs w:val="24"/>
          <w:lang w:eastAsia="lv-LV" w:bidi="lo-LA"/>
        </w:rPr>
        <w:t>un magnētiskās rezonanses iekārtas klīniskajās universitātes slimnīcās, kurās tiek veikti augsti kvalificēti terciārās aprūpes pakalpojumi</w:t>
      </w:r>
      <w:r w:rsidR="00AB29FF">
        <w:rPr>
          <w:rFonts w:ascii="Times New Roman" w:eastAsia="Times New Roman" w:hAnsi="Times New Roman"/>
          <w:sz w:val="24"/>
          <w:szCs w:val="24"/>
          <w:lang w:eastAsia="lv-LV" w:bidi="lo-LA"/>
        </w:rPr>
        <w:t>. Jaunu, efektīvāku iekārtu iegāde nodrošinātu:</w:t>
      </w:r>
    </w:p>
    <w:p w14:paraId="4AF4BB46" w14:textId="40167AC1" w:rsidR="00220DD2" w:rsidRPr="00962FB1" w:rsidRDefault="00220DD2" w:rsidP="00220DD2">
      <w:pPr>
        <w:pStyle w:val="ListParagraph"/>
        <w:widowControl w:val="0"/>
        <w:numPr>
          <w:ilvl w:val="0"/>
          <w:numId w:val="37"/>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precīzu, mūsdienu prasībām atbilstošu, mūsdienu klīniskajām vadlīnijām nepieciešamo diagnostiku un ārstēšanas rezultātu vai slimības gaitas izvērtēšanu, kas uzlabotu ārstēšanas procesu un tā efektivitāti;</w:t>
      </w:r>
    </w:p>
    <w:p w14:paraId="29C143A6" w14:textId="77777777" w:rsidR="00220DD2" w:rsidRPr="00962FB1" w:rsidRDefault="00220DD2" w:rsidP="00220DD2">
      <w:pPr>
        <w:pStyle w:val="ListParagraph"/>
        <w:widowControl w:val="0"/>
        <w:numPr>
          <w:ilvl w:val="0"/>
          <w:numId w:val="37"/>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 xml:space="preserve">rindu samazinājumu uz izmeklējumiem par apmēram 30%, jo jaunākās tehnoloģijas ir ātrākas; </w:t>
      </w:r>
    </w:p>
    <w:p w14:paraId="764CFB43" w14:textId="77777777" w:rsidR="00220DD2" w:rsidRPr="00962FB1" w:rsidRDefault="00220DD2" w:rsidP="00220DD2">
      <w:pPr>
        <w:pStyle w:val="ListParagraph"/>
        <w:widowControl w:val="0"/>
        <w:numPr>
          <w:ilvl w:val="0"/>
          <w:numId w:val="37"/>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lastRenderedPageBreak/>
        <w:t>uzlabotu pacientu plūsmu organizāciju un līdz ar to pacientu apmierinātību ar veselības aprūpi;</w:t>
      </w:r>
    </w:p>
    <w:p w14:paraId="02502FE1" w14:textId="77777777" w:rsidR="00220DD2" w:rsidRPr="00962FB1" w:rsidRDefault="00220DD2" w:rsidP="00220DD2">
      <w:pPr>
        <w:pStyle w:val="ListParagraph"/>
        <w:widowControl w:val="0"/>
        <w:numPr>
          <w:ilvl w:val="0"/>
          <w:numId w:val="37"/>
        </w:numPr>
        <w:ind w:left="714" w:hanging="357"/>
        <w:contextualSpacing w:val="0"/>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uzlabotu iestādes medicīnas darbinieku apmierinātību ar darbu.</w:t>
      </w:r>
    </w:p>
    <w:p w14:paraId="59498C00" w14:textId="4221245C" w:rsidR="00220DD2" w:rsidRPr="00962FB1" w:rsidRDefault="00AB29FF" w:rsidP="00220DD2">
      <w:pPr>
        <w:pStyle w:val="ListParagraph"/>
        <w:ind w:left="0" w:firstLine="709"/>
        <w:contextualSpacing w:val="0"/>
        <w:jc w:val="both"/>
        <w:rPr>
          <w:rFonts w:ascii="Times New Roman" w:hAnsi="Times New Roman"/>
          <w:sz w:val="24"/>
          <w:szCs w:val="24"/>
          <w:lang w:val="lv-LV"/>
        </w:rPr>
      </w:pPr>
      <w:r>
        <w:rPr>
          <w:rFonts w:ascii="Times New Roman" w:hAnsi="Times New Roman"/>
          <w:sz w:val="24"/>
          <w:szCs w:val="24"/>
          <w:lang w:val="lv-LV"/>
        </w:rPr>
        <w:t>Tāpat klīniskās universitātes slimnīcas</w:t>
      </w:r>
      <w:r w:rsidR="00220DD2" w:rsidRPr="00962FB1">
        <w:rPr>
          <w:rFonts w:ascii="Times New Roman" w:hAnsi="Times New Roman"/>
          <w:sz w:val="24"/>
          <w:szCs w:val="24"/>
          <w:lang w:val="lv-LV"/>
        </w:rPr>
        <w:t xml:space="preserve"> ir mācību bāze nākamajiem ārstiem un speciālistiem, medicīnas darbiniekiem, kuri pēc mācību, prakses vai rezidentūras pabeigšanas turpinās darbu visā Latvijā. Uzlabojumi sniegtu arī neatsveramu ieguldījumu radiologu un radiogrāferu kvalifikācijas celšanā un cilvēkresursu saglabāšanā.</w:t>
      </w:r>
    </w:p>
    <w:p w14:paraId="739CCAC9" w14:textId="77777777" w:rsidR="00220DD2" w:rsidRDefault="00220DD2" w:rsidP="00E93259">
      <w:pPr>
        <w:ind w:firstLine="709"/>
        <w:jc w:val="both"/>
        <w:rPr>
          <w:rFonts w:ascii="Times New Roman" w:hAnsi="Times New Roman" w:cs="Times New Roman"/>
          <w:sz w:val="24"/>
          <w:szCs w:val="24"/>
        </w:rPr>
      </w:pPr>
      <w:r w:rsidRPr="00962FB1">
        <w:rPr>
          <w:rFonts w:ascii="Times New Roman" w:eastAsia="Times New Roman" w:hAnsi="Times New Roman"/>
          <w:sz w:val="24"/>
          <w:szCs w:val="24"/>
          <w:lang w:eastAsia="lv-LV" w:bidi="lo-LA"/>
        </w:rPr>
        <w:t xml:space="preserve">Jaunu datortomogrāfijas iekārtu iegāde ļaus ievērojami uzlabot vēža pirmreizējo, sekundāro un vēža slimības attīstības un ārstēšanas izvērtēšanu, kas ir nenovērtējams ieguvums pacientiem. Jaunās paaudzes datortomogrāfijas iekārtas spēs nodrošināt ne tikai labu izmeklējumu attēla kvalitāti, bet arī saņemtā jonizējošā starojuma dozas samazināšanu, kas ir nozīmīgs faktors kā pacientiem, tā arī personālam. Jauno iekārtu iegāde ļaus samazināt dīkstāves laiku un pacientu gaidīšanas rindas uz izmeklējumiem, nodrošinot pacientiem daudz savlaicīgākus izmeklējumus, kas ir īpaši svarīgi onkoloģijas pacientiem. Tas arī ļaus uzlabot darbinieku apmierinātību ar darbu un efektīvāk organizēt darbu, kas uzlabos kopējo ārstniecisko procesu kvalitāti. Tas viss veicinās pacientu apmierinātību un uzticēšanos </w:t>
      </w:r>
      <w:r>
        <w:rPr>
          <w:rFonts w:ascii="Times New Roman" w:hAnsi="Times New Roman" w:cs="Times New Roman"/>
          <w:sz w:val="24"/>
          <w:szCs w:val="24"/>
        </w:rPr>
        <w:t>pakalpojumu sniedzējiem</w:t>
      </w:r>
      <w:r w:rsidRPr="00962FB1">
        <w:rPr>
          <w:rFonts w:ascii="Times New Roman" w:eastAsia="Times New Roman" w:hAnsi="Times New Roman"/>
          <w:sz w:val="24"/>
          <w:szCs w:val="24"/>
          <w:lang w:eastAsia="lv-LV" w:bidi="lo-LA"/>
        </w:rPr>
        <w:t>.</w:t>
      </w:r>
    </w:p>
    <w:p w14:paraId="73D2FEFF" w14:textId="058CE76E" w:rsidR="00355C52" w:rsidRPr="00355C52" w:rsidRDefault="00220DD2" w:rsidP="00355C52">
      <w:pPr>
        <w:ind w:firstLine="709"/>
        <w:jc w:val="both"/>
        <w:rPr>
          <w:rFonts w:ascii="Times New Roman" w:eastAsia="Times New Roman" w:hAnsi="Times New Roman"/>
          <w:kern w:val="1"/>
          <w:sz w:val="24"/>
          <w:szCs w:val="24"/>
          <w:lang w:eastAsia="ar-SA"/>
        </w:rPr>
      </w:pPr>
      <w:r w:rsidRPr="00E93259">
        <w:rPr>
          <w:rFonts w:ascii="Times New Roman" w:eastAsia="Times New Roman" w:hAnsi="Times New Roman"/>
          <w:kern w:val="1"/>
          <w:sz w:val="24"/>
          <w:szCs w:val="24"/>
          <w:lang w:eastAsia="ar-SA"/>
        </w:rPr>
        <w:t>Savukārt magnētiskās rezonanses diagnostikas iekārtas dod iespēju iegūt daudz augstākas izšķirtspējas vizuālo informāciju par dažādiem patoloģiskajiem procesiem dažādos orgānos un orgānu sistēmās, neizmantojot jonizējošo starojumu. Magnētiskās rezonanses iekārtu paredzēts izmantot daudzu slimību slimību diagnostikā un dinamiskā novērošanā. Īpaši svarīga ir iespēja izmantot slimību dinamiskā novērošanā, iegūstot augstas izšķirtspējas attēlus, neizmantojot jonizējošo starojumu, kas nereti ierobežo dinamiskas novērošanas iespējas.</w:t>
      </w:r>
    </w:p>
    <w:p w14:paraId="5FD6D332" w14:textId="77777777" w:rsidR="0080464B" w:rsidRPr="0080464B" w:rsidRDefault="0080464B" w:rsidP="0080464B">
      <w:pPr>
        <w:ind w:firstLine="709"/>
        <w:jc w:val="both"/>
        <w:rPr>
          <w:rFonts w:ascii="Times New Roman" w:hAnsi="Times New Roman" w:cs="Times New Roman"/>
          <w:sz w:val="24"/>
          <w:szCs w:val="24"/>
        </w:rPr>
      </w:pPr>
      <w:r w:rsidRPr="0080464B">
        <w:rPr>
          <w:rFonts w:ascii="Times New Roman" w:hAnsi="Times New Roman" w:cs="Times New Roman"/>
          <w:sz w:val="24"/>
          <w:szCs w:val="24"/>
        </w:rPr>
        <w:t>Iegādājoties augstākas klases ultrasonogrāfijas iekārtas uzlabojas izmeklējumu pieejamība diagnostiskā radioloģijā, onkoķirurģijā, ginekoloģijā, kardioloģijā un uroloģijā.</w:t>
      </w:r>
    </w:p>
    <w:p w14:paraId="4F7101B3" w14:textId="7FF06AAD" w:rsidR="0080464B" w:rsidRPr="0080464B" w:rsidRDefault="0080464B" w:rsidP="0080464B">
      <w:pPr>
        <w:ind w:firstLine="709"/>
        <w:jc w:val="both"/>
        <w:rPr>
          <w:rFonts w:ascii="Times New Roman" w:hAnsi="Times New Roman" w:cs="Times New Roman"/>
          <w:sz w:val="24"/>
          <w:szCs w:val="24"/>
        </w:rPr>
      </w:pPr>
      <w:r w:rsidRPr="0080464B">
        <w:rPr>
          <w:rFonts w:ascii="Times New Roman" w:hAnsi="Times New Roman" w:cs="Times New Roman"/>
          <w:sz w:val="24"/>
          <w:szCs w:val="24"/>
        </w:rPr>
        <w:t xml:space="preserve">Augstākās klases ultrasonogrāfijas </w:t>
      </w:r>
      <w:r>
        <w:rPr>
          <w:rFonts w:ascii="Times New Roman" w:hAnsi="Times New Roman" w:cs="Times New Roman"/>
          <w:sz w:val="24"/>
          <w:szCs w:val="24"/>
        </w:rPr>
        <w:t>iekārtu</w:t>
      </w:r>
      <w:r w:rsidRPr="0080464B">
        <w:rPr>
          <w:rFonts w:ascii="Times New Roman" w:hAnsi="Times New Roman" w:cs="Times New Roman"/>
          <w:sz w:val="24"/>
          <w:szCs w:val="24"/>
        </w:rPr>
        <w:t xml:space="preserve"> priekšrocības </w:t>
      </w:r>
      <w:r>
        <w:rPr>
          <w:rFonts w:ascii="Times New Roman" w:hAnsi="Times New Roman" w:cs="Times New Roman"/>
          <w:sz w:val="24"/>
          <w:szCs w:val="24"/>
        </w:rPr>
        <w:t>ir</w:t>
      </w:r>
      <w:r w:rsidRPr="0080464B">
        <w:rPr>
          <w:rFonts w:ascii="Times New Roman" w:hAnsi="Times New Roman" w:cs="Times New Roman"/>
          <w:sz w:val="24"/>
          <w:szCs w:val="24"/>
        </w:rPr>
        <w:t xml:space="preserve"> augstas klases attēlu izšķirtspēja, kas ļauj diagnosticēt ļoti sīkas izmaiņas struktūrās, izmeklējuma dziļums vismaz 30 cm, kas ļauj izmeklēt pacientus bez svara ierobežojuma.</w:t>
      </w:r>
    </w:p>
    <w:p w14:paraId="1213F43E" w14:textId="4538708F" w:rsidR="00F72933" w:rsidRPr="00F72933" w:rsidRDefault="0080464B" w:rsidP="00F72933">
      <w:pPr>
        <w:ind w:firstLine="709"/>
        <w:jc w:val="both"/>
        <w:rPr>
          <w:rFonts w:ascii="Times New Roman" w:hAnsi="Times New Roman" w:cs="Times New Roman"/>
          <w:sz w:val="24"/>
          <w:szCs w:val="24"/>
        </w:rPr>
      </w:pPr>
      <w:r w:rsidRPr="0080464B">
        <w:rPr>
          <w:rFonts w:ascii="Times New Roman" w:hAnsi="Times New Roman" w:cs="Times New Roman"/>
          <w:sz w:val="24"/>
          <w:szCs w:val="24"/>
        </w:rPr>
        <w:t>Jaunās ultrasonogrāfijas iekārtas tiks pielietotas lēnas plūsmas noteikšanai sīkos asinsvados, krūts dziedzeru izmeklējumos vēža diagnostikas uzlabošanai. Viena no jaunākajām augstās tehnoloģijas iesp</w:t>
      </w:r>
      <w:r>
        <w:rPr>
          <w:rFonts w:ascii="Times New Roman" w:hAnsi="Times New Roman" w:cs="Times New Roman"/>
          <w:sz w:val="24"/>
          <w:szCs w:val="24"/>
        </w:rPr>
        <w:t>ējām pasaulē ir dažādu metožu (</w:t>
      </w:r>
      <w:r w:rsidRPr="0080464B">
        <w:rPr>
          <w:rFonts w:ascii="Times New Roman" w:hAnsi="Times New Roman" w:cs="Times New Roman"/>
          <w:sz w:val="24"/>
          <w:szCs w:val="24"/>
        </w:rPr>
        <w:t>magnētiskās rezonanses, datortomogrāfijas un ultrasonogrāfijas) attēlu sapludināšana nosakot precīzāku patoloģijas lokalizāciju.</w:t>
      </w:r>
    </w:p>
    <w:p w14:paraId="1427B7F3" w14:textId="77777777" w:rsidR="001802C7" w:rsidRPr="001802C7" w:rsidRDefault="001802C7" w:rsidP="001802C7">
      <w:pPr>
        <w:ind w:firstLine="709"/>
        <w:jc w:val="both"/>
        <w:rPr>
          <w:rFonts w:ascii="Times New Roman" w:hAnsi="Times New Roman" w:cs="Times New Roman"/>
          <w:sz w:val="24"/>
          <w:szCs w:val="24"/>
        </w:rPr>
      </w:pPr>
      <w:r w:rsidRPr="001802C7">
        <w:rPr>
          <w:rFonts w:ascii="Times New Roman" w:hAnsi="Times New Roman" w:cs="Times New Roman"/>
          <w:sz w:val="24"/>
          <w:szCs w:val="24"/>
        </w:rPr>
        <w:t xml:space="preserve">Datortomogrāfija ir plaši pieejama diagnostiskās radioloģijas izmeklēšanas metode, kuru pielieto visplašāko patoloģiju diagnostikai. Metodes pamatā ir plāna slāņa rentgenostarojuma rezultātā iegūts attēls, kuru pēc tam var apstrādāt un veidot dažādas </w:t>
      </w:r>
      <w:r w:rsidRPr="001802C7">
        <w:rPr>
          <w:rFonts w:ascii="Times New Roman" w:hAnsi="Times New Roman" w:cs="Times New Roman"/>
          <w:sz w:val="24"/>
          <w:szCs w:val="24"/>
        </w:rPr>
        <w:lastRenderedPageBreak/>
        <w:t>rekonstrukcijas brīvi izvēlētās plaknēs, kā arī 3D attēlus. Jo plānāks slānis, jo attēli ir precīzāki, līdz ar to arī diagnostika.</w:t>
      </w:r>
    </w:p>
    <w:p w14:paraId="52C898D4" w14:textId="77777777" w:rsidR="001802C7" w:rsidRPr="001802C7" w:rsidRDefault="001802C7" w:rsidP="001802C7">
      <w:pPr>
        <w:ind w:firstLine="709"/>
        <w:jc w:val="both"/>
        <w:rPr>
          <w:rFonts w:ascii="Times New Roman" w:hAnsi="Times New Roman" w:cs="Times New Roman"/>
          <w:sz w:val="24"/>
          <w:szCs w:val="24"/>
        </w:rPr>
      </w:pPr>
      <w:r w:rsidRPr="001802C7">
        <w:rPr>
          <w:rFonts w:ascii="Times New Roman" w:hAnsi="Times New Roman" w:cs="Times New Roman"/>
          <w:sz w:val="24"/>
          <w:szCs w:val="24"/>
        </w:rPr>
        <w:t>Ar jaunākās paaudzes datortomogrāfijas iekārtām uzmeklējumu iespējams veikt ātrāk, samazinot saņemto starojuma devu. Būtiski ātri izmeklējumi ir politraumu gadījumos, sirds asinsvadu izmeklējumos, tai skaitā angiogrāfijas, perfūzijas izmeklējumus ar kontrastvielas ievadi apasiņošanas traucējumu  izvērtēšanai, lai varētu izvēlēties optimālu ārstēšanu pacientam. Ar jaunajām iekārtām būs iespējams veikt veidojumu punkcijas datortomogrāfijas kontrolē.</w:t>
      </w:r>
    </w:p>
    <w:p w14:paraId="15F7D14D" w14:textId="749BD5A7" w:rsidR="001802C7" w:rsidRDefault="001802C7" w:rsidP="001802C7">
      <w:pPr>
        <w:ind w:firstLine="709"/>
        <w:jc w:val="both"/>
        <w:rPr>
          <w:rFonts w:ascii="Times New Roman" w:hAnsi="Times New Roman" w:cs="Times New Roman"/>
          <w:sz w:val="24"/>
          <w:szCs w:val="24"/>
        </w:rPr>
      </w:pPr>
      <w:r w:rsidRPr="001802C7">
        <w:rPr>
          <w:rFonts w:ascii="Times New Roman" w:hAnsi="Times New Roman" w:cs="Times New Roman"/>
          <w:sz w:val="24"/>
          <w:szCs w:val="24"/>
        </w:rPr>
        <w:t>Datortomogrāfija ir pieejama pacientiem ar metāliskiem implantiem, jo tiek izmantota specializēta programma, kas novērš implanta radīto attēla kropļojumu.</w:t>
      </w:r>
    </w:p>
    <w:p w14:paraId="140E5A1A" w14:textId="77777777" w:rsidR="001802C7" w:rsidRPr="001802C7" w:rsidRDefault="001802C7" w:rsidP="001802C7">
      <w:pPr>
        <w:ind w:firstLine="709"/>
        <w:jc w:val="both"/>
        <w:rPr>
          <w:rFonts w:ascii="Times New Roman" w:hAnsi="Times New Roman" w:cs="Times New Roman"/>
          <w:sz w:val="24"/>
          <w:szCs w:val="24"/>
        </w:rPr>
      </w:pPr>
      <w:r w:rsidRPr="001802C7">
        <w:rPr>
          <w:rFonts w:ascii="Times New Roman" w:hAnsi="Times New Roman" w:cs="Times New Roman"/>
          <w:sz w:val="24"/>
          <w:szCs w:val="24"/>
        </w:rPr>
        <w:t xml:space="preserve">Magnētiskā rezonanse ir viena no precīzākajām diagnostikas  metodēm mīksto audu patoloģiju noteikšanai. Attēla iegūšanai izmanto magnētisko lauku un radiofrekvences viļņu impulsus.  Jo spēcīgāks magnētiskais lauks, jo iespējams iegūt precīzāku attēlu, kā arī saīsināt izmeklējuma laiku. Augstas izšķirtspējas attēli, kas iegūti īsā laikā ar specializētām programmatūrām sniedz iespēju veidot 3D rekonstrukcijas žults ceļu, asinsvadu, nervu un veidojumu vizualizācijai. Ar jaunajām iekārtām būs iespējama precīzāka diagnostika, t.sk. onkoloģijā, it sevišķi pacientiem ar mazu audzēju, kad vēl iespējama pilnvērtīga izveseļošanās, izmantojot jaunākās ārstniecības tehnoloģijas. </w:t>
      </w:r>
    </w:p>
    <w:p w14:paraId="21CE4FB9" w14:textId="05A359FC" w:rsidR="00CD3B8F" w:rsidRPr="00CD3B8F" w:rsidRDefault="001802C7" w:rsidP="00CD3B8F">
      <w:pPr>
        <w:ind w:firstLine="709"/>
        <w:jc w:val="both"/>
        <w:rPr>
          <w:rFonts w:ascii="Times New Roman" w:hAnsi="Times New Roman" w:cs="Times New Roman"/>
          <w:sz w:val="24"/>
          <w:szCs w:val="24"/>
        </w:rPr>
      </w:pPr>
      <w:r w:rsidRPr="001802C7">
        <w:rPr>
          <w:rFonts w:ascii="Times New Roman" w:hAnsi="Times New Roman" w:cs="Times New Roman"/>
          <w:sz w:val="24"/>
          <w:szCs w:val="24"/>
        </w:rPr>
        <w:t>Iegādājoties augstākās klases magnētiskās rezonanses iekārtu izmeklējuma laiks samazinās līdz 30%, tādējādi nodrošinot iespēju veikt papildus izmeklējumus un nodrošinot rindu mazināšanu uz radioloģiskajiem izmeklējumiem.</w:t>
      </w:r>
    </w:p>
    <w:p w14:paraId="1D35A3D6" w14:textId="4E58DC78" w:rsidR="00426B2C" w:rsidRDefault="00426B2C" w:rsidP="001802C7">
      <w:pPr>
        <w:ind w:firstLine="709"/>
        <w:jc w:val="both"/>
        <w:rPr>
          <w:rFonts w:ascii="Times New Roman" w:hAnsi="Times New Roman" w:cs="Times New Roman"/>
          <w:sz w:val="24"/>
          <w:szCs w:val="24"/>
        </w:rPr>
      </w:pPr>
      <w:r>
        <w:rPr>
          <w:rFonts w:ascii="Times New Roman" w:hAnsi="Times New Roman" w:cs="Times New Roman"/>
          <w:sz w:val="24"/>
          <w:szCs w:val="24"/>
        </w:rPr>
        <w:t xml:space="preserve">Iekārtu iegādei nepieciešamais finansējums norādīts </w:t>
      </w:r>
      <w:r w:rsidR="00500E42">
        <w:rPr>
          <w:rFonts w:ascii="Times New Roman" w:hAnsi="Times New Roman" w:cs="Times New Roman"/>
          <w:sz w:val="24"/>
          <w:szCs w:val="24"/>
        </w:rPr>
        <w:t>108</w:t>
      </w:r>
      <w:r>
        <w:rPr>
          <w:rFonts w:ascii="Times New Roman" w:hAnsi="Times New Roman" w:cs="Times New Roman"/>
          <w:sz w:val="24"/>
          <w:szCs w:val="24"/>
        </w:rPr>
        <w:t>.tabulā</w:t>
      </w:r>
    </w:p>
    <w:p w14:paraId="5679ABD5" w14:textId="77777777" w:rsidR="00126AF0" w:rsidRDefault="00126AF0" w:rsidP="00426B2C">
      <w:pPr>
        <w:ind w:firstLine="709"/>
        <w:jc w:val="right"/>
        <w:rPr>
          <w:rFonts w:ascii="Times New Roman" w:eastAsia="Times New Roman" w:hAnsi="Times New Roman" w:cs="Times New Roman"/>
          <w:i/>
          <w:iCs/>
          <w:kern w:val="1"/>
          <w:sz w:val="24"/>
          <w:szCs w:val="24"/>
          <w:lang w:eastAsia="ar-SA"/>
        </w:rPr>
        <w:sectPr w:rsidR="00126AF0" w:rsidSect="00333B64">
          <w:pgSz w:w="12240" w:h="15840"/>
          <w:pgMar w:top="1440" w:right="1440" w:bottom="1440" w:left="1701" w:header="708" w:footer="708" w:gutter="0"/>
          <w:cols w:space="708"/>
          <w:docGrid w:linePitch="360"/>
        </w:sectPr>
      </w:pPr>
    </w:p>
    <w:p w14:paraId="488DA728" w14:textId="43134CE4" w:rsidR="00426B2C" w:rsidRPr="00E93259" w:rsidRDefault="00500E42" w:rsidP="00426B2C">
      <w:pPr>
        <w:ind w:firstLine="709"/>
        <w:jc w:val="right"/>
        <w:rPr>
          <w:rFonts w:ascii="Times New Roman" w:eastAsia="Times New Roman" w:hAnsi="Times New Roman" w:cs="Times New Roman"/>
          <w:i/>
          <w:iCs/>
          <w:sz w:val="24"/>
          <w:szCs w:val="24"/>
          <w:lang w:eastAsia="ar-SA"/>
        </w:rPr>
      </w:pPr>
      <w:r>
        <w:rPr>
          <w:rFonts w:ascii="Times New Roman" w:eastAsia="Times New Roman" w:hAnsi="Times New Roman" w:cs="Times New Roman"/>
          <w:i/>
          <w:iCs/>
          <w:kern w:val="1"/>
          <w:sz w:val="24"/>
          <w:szCs w:val="24"/>
          <w:lang w:eastAsia="ar-SA"/>
        </w:rPr>
        <w:lastRenderedPageBreak/>
        <w:t>108</w:t>
      </w:r>
      <w:r w:rsidR="00426B2C" w:rsidRPr="00E93259">
        <w:rPr>
          <w:rFonts w:ascii="Times New Roman" w:eastAsia="Times New Roman" w:hAnsi="Times New Roman" w:cs="Times New Roman"/>
          <w:i/>
          <w:iCs/>
          <w:kern w:val="1"/>
          <w:sz w:val="24"/>
          <w:szCs w:val="24"/>
          <w:lang w:eastAsia="ar-SA"/>
        </w:rPr>
        <w:t>.tabula</w:t>
      </w:r>
    </w:p>
    <w:p w14:paraId="7D529187" w14:textId="11B05A6B" w:rsidR="00426B2C" w:rsidRDefault="00426B2C" w:rsidP="00426B2C">
      <w:pPr>
        <w:ind w:firstLine="709"/>
        <w:jc w:val="center"/>
        <w:rPr>
          <w:rFonts w:ascii="Times New Roman" w:eastAsia="Times New Roman" w:hAnsi="Times New Roman"/>
          <w:b/>
          <w:bCs/>
          <w:sz w:val="24"/>
          <w:szCs w:val="24"/>
          <w:lang w:eastAsia="lv-LV" w:bidi="lo-LA"/>
        </w:rPr>
      </w:pPr>
      <w:r w:rsidRPr="00D86F74">
        <w:rPr>
          <w:rFonts w:ascii="Times New Roman" w:eastAsia="Times New Roman" w:hAnsi="Times New Roman"/>
          <w:b/>
          <w:bCs/>
          <w:sz w:val="24"/>
          <w:szCs w:val="24"/>
          <w:lang w:eastAsia="lv-LV" w:bidi="lo-LA"/>
        </w:rPr>
        <w:t xml:space="preserve">Pirmreizējo un sekundāro diagnostikas izmeklējumiem nepieciešamais iekārtu finansējums </w:t>
      </w:r>
      <w:r w:rsidR="008A12D9">
        <w:rPr>
          <w:rFonts w:ascii="Times New Roman" w:eastAsia="Times New Roman" w:hAnsi="Times New Roman"/>
          <w:b/>
          <w:bCs/>
          <w:sz w:val="24"/>
          <w:szCs w:val="24"/>
          <w:lang w:eastAsia="lv-LV" w:bidi="lo-LA"/>
        </w:rPr>
        <w:t xml:space="preserve">2017., 2018. un </w:t>
      </w:r>
      <w:r w:rsidRPr="00D86F74">
        <w:rPr>
          <w:rFonts w:ascii="Times New Roman" w:eastAsia="Times New Roman" w:hAnsi="Times New Roman"/>
          <w:b/>
          <w:bCs/>
          <w:sz w:val="24"/>
          <w:szCs w:val="24"/>
          <w:lang w:eastAsia="lv-LV" w:bidi="lo-LA"/>
        </w:rPr>
        <w:t>2019.gadam</w:t>
      </w:r>
    </w:p>
    <w:tbl>
      <w:tblPr>
        <w:tblW w:w="13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1134"/>
        <w:gridCol w:w="850"/>
        <w:gridCol w:w="851"/>
        <w:gridCol w:w="850"/>
        <w:gridCol w:w="851"/>
        <w:gridCol w:w="850"/>
        <w:gridCol w:w="1134"/>
        <w:gridCol w:w="709"/>
        <w:gridCol w:w="709"/>
        <w:gridCol w:w="850"/>
        <w:gridCol w:w="709"/>
        <w:gridCol w:w="851"/>
        <w:gridCol w:w="850"/>
      </w:tblGrid>
      <w:tr w:rsidR="007167E6" w14:paraId="6B400DB5" w14:textId="77777777" w:rsidTr="00054DD8">
        <w:trPr>
          <w:cantSplit/>
          <w:trHeight w:val="1505"/>
          <w:jc w:val="center"/>
        </w:trPr>
        <w:tc>
          <w:tcPr>
            <w:tcW w:w="425" w:type="dxa"/>
            <w:shd w:val="clear" w:color="auto" w:fill="E36C0A" w:themeFill="accent6" w:themeFillShade="BF"/>
          </w:tcPr>
          <w:p w14:paraId="18623C45" w14:textId="77777777" w:rsidR="007167E6" w:rsidRPr="00847710" w:rsidRDefault="007167E6" w:rsidP="00FC7D94">
            <w:pPr>
              <w:spacing w:after="0" w:line="240" w:lineRule="auto"/>
              <w:rPr>
                <w:rFonts w:ascii="Times New Roman" w:eastAsia="Times New Roman" w:hAnsi="Times New Roman" w:cs="Times New Roman"/>
                <w:b/>
                <w:bCs/>
                <w:sz w:val="20"/>
                <w:szCs w:val="20"/>
                <w:lang w:eastAsia="lv-LV"/>
              </w:rPr>
            </w:pPr>
          </w:p>
        </w:tc>
        <w:tc>
          <w:tcPr>
            <w:tcW w:w="1701" w:type="dxa"/>
            <w:shd w:val="clear" w:color="auto" w:fill="E36C0A" w:themeFill="accent6" w:themeFillShade="BF"/>
            <w:vAlign w:val="center"/>
            <w:hideMark/>
          </w:tcPr>
          <w:p w14:paraId="0BAEE4DB" w14:textId="77777777" w:rsidR="007167E6" w:rsidRPr="00847710" w:rsidRDefault="007167E6" w:rsidP="00FC7D94">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4F8E6B77" w14:textId="51219CA2" w:rsidR="007167E6" w:rsidRPr="00847710" w:rsidRDefault="007167E6" w:rsidP="00FC7D9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iekārtas</w:t>
            </w:r>
          </w:p>
          <w:p w14:paraId="25BDA021" w14:textId="7EA49036" w:rsidR="007167E6" w:rsidRPr="00847710" w:rsidRDefault="007167E6" w:rsidP="00FC7D94">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w:t>
            </w:r>
            <w:r w:rsidRPr="00847710">
              <w:rPr>
                <w:rFonts w:ascii="Times New Roman" w:eastAsia="Times New Roman" w:hAnsi="Times New Roman" w:cs="Times New Roman"/>
                <w:b/>
                <w:bCs/>
                <w:sz w:val="20"/>
                <w:szCs w:val="20"/>
                <w:lang w:eastAsia="lv-LV"/>
              </w:rPr>
              <w:t>zmaksas</w:t>
            </w:r>
          </w:p>
          <w:p w14:paraId="76B4DB0A" w14:textId="77777777" w:rsidR="007167E6" w:rsidRPr="00847710" w:rsidRDefault="007167E6" w:rsidP="00FC7D94">
            <w:pPr>
              <w:spacing w:after="0" w:line="240" w:lineRule="auto"/>
              <w:ind w:left="113" w:right="113"/>
              <w:jc w:val="center"/>
              <w:rPr>
                <w:rFonts w:ascii="Times New Roman" w:eastAsia="Times New Roman" w:hAnsi="Times New Roman" w:cs="Times New Roman"/>
                <w:b/>
                <w:bCs/>
                <w:sz w:val="20"/>
                <w:szCs w:val="20"/>
                <w:lang w:eastAsia="lv-LV"/>
              </w:rPr>
            </w:pPr>
          </w:p>
        </w:tc>
        <w:tc>
          <w:tcPr>
            <w:tcW w:w="2551" w:type="dxa"/>
            <w:gridSpan w:val="3"/>
            <w:shd w:val="clear" w:color="auto" w:fill="E36C0A" w:themeFill="accent6" w:themeFillShade="BF"/>
            <w:textDirection w:val="btLr"/>
            <w:vAlign w:val="center"/>
          </w:tcPr>
          <w:p w14:paraId="134412A9" w14:textId="77777777" w:rsidR="007167E6" w:rsidRPr="00847710" w:rsidRDefault="007167E6" w:rsidP="00FC7D94">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5" w:type="dxa"/>
            <w:gridSpan w:val="3"/>
            <w:shd w:val="clear" w:color="auto" w:fill="E36C0A" w:themeFill="accent6" w:themeFillShade="BF"/>
            <w:textDirection w:val="btLr"/>
            <w:vAlign w:val="center"/>
          </w:tcPr>
          <w:p w14:paraId="358C92F8" w14:textId="77777777" w:rsidR="007167E6" w:rsidRPr="00847710" w:rsidRDefault="007167E6" w:rsidP="00FC7D9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268" w:type="dxa"/>
            <w:gridSpan w:val="3"/>
            <w:shd w:val="clear" w:color="auto" w:fill="E36C0A" w:themeFill="accent6" w:themeFillShade="BF"/>
            <w:textDirection w:val="btLr"/>
            <w:vAlign w:val="center"/>
          </w:tcPr>
          <w:p w14:paraId="6CEF090F" w14:textId="77777777" w:rsidR="007167E6" w:rsidRPr="00847710" w:rsidRDefault="007167E6" w:rsidP="00FC7D9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410" w:type="dxa"/>
            <w:gridSpan w:val="3"/>
            <w:shd w:val="clear" w:color="auto" w:fill="E36C0A" w:themeFill="accent6" w:themeFillShade="BF"/>
            <w:textDirection w:val="btLr"/>
            <w:vAlign w:val="center"/>
          </w:tcPr>
          <w:p w14:paraId="293B83E7" w14:textId="596F1D45" w:rsidR="007167E6" w:rsidRPr="00847710" w:rsidRDefault="007167E6" w:rsidP="00FC7D9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rsidR="00E11AFF" w14:paraId="6A5BC76C" w14:textId="77777777" w:rsidTr="00054DD8">
        <w:trPr>
          <w:trHeight w:val="640"/>
          <w:jc w:val="center"/>
        </w:trPr>
        <w:tc>
          <w:tcPr>
            <w:tcW w:w="425" w:type="dxa"/>
            <w:shd w:val="clear" w:color="auto" w:fill="FABF8F" w:themeFill="accent6" w:themeFillTint="99"/>
          </w:tcPr>
          <w:p w14:paraId="135ABBF6"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p>
        </w:tc>
        <w:tc>
          <w:tcPr>
            <w:tcW w:w="1701" w:type="dxa"/>
            <w:shd w:val="clear" w:color="auto" w:fill="FABF8F" w:themeFill="accent6" w:themeFillTint="99"/>
            <w:vAlign w:val="center"/>
          </w:tcPr>
          <w:p w14:paraId="1AE992BA"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0DAEB28E" w14:textId="77777777" w:rsidR="007167E6" w:rsidRPr="00847710" w:rsidRDefault="007167E6" w:rsidP="00FC7D94">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0204A1EB"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06C46DEB" w14:textId="77777777" w:rsidR="007167E6"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38B99708" w14:textId="77777777" w:rsidR="007167E6" w:rsidRPr="0012317D" w:rsidRDefault="007167E6"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42E3E364" w14:textId="77777777" w:rsidR="007167E6"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3B97478C" w14:textId="77777777" w:rsidR="007167E6" w:rsidRPr="0012317D" w:rsidRDefault="007167E6"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35A0A5FE" w14:textId="77777777" w:rsidR="007167E6"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6F0CDCD5" w14:textId="77777777" w:rsidR="007167E6" w:rsidRPr="0012317D" w:rsidRDefault="007167E6"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5B80D63B" w14:textId="77777777" w:rsidR="007167E6"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78A78333" w14:textId="77777777" w:rsidR="007167E6" w:rsidRPr="0012317D" w:rsidRDefault="007167E6"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4D613FB3" w14:textId="77777777" w:rsidR="007167E6"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26D59FC1" w14:textId="77777777" w:rsidR="007167E6" w:rsidRPr="0012317D" w:rsidRDefault="007167E6"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1134" w:type="dxa"/>
            <w:shd w:val="clear" w:color="auto" w:fill="FABF8F" w:themeFill="accent6" w:themeFillTint="99"/>
            <w:vAlign w:val="center"/>
          </w:tcPr>
          <w:p w14:paraId="6C5E6DE7" w14:textId="77777777" w:rsidR="007167E6" w:rsidRPr="00C86312" w:rsidRDefault="007167E6" w:rsidP="00FC7D94">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7DAB18FF" w14:textId="77777777" w:rsidR="007167E6" w:rsidRPr="00C86312" w:rsidRDefault="007167E6" w:rsidP="00FC7D94">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9" w:type="dxa"/>
            <w:shd w:val="clear" w:color="auto" w:fill="FABF8F" w:themeFill="accent6" w:themeFillTint="99"/>
            <w:vAlign w:val="center"/>
          </w:tcPr>
          <w:p w14:paraId="27EAE600"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79864F1C"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3095DF75"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9" w:type="dxa"/>
            <w:shd w:val="clear" w:color="auto" w:fill="FABF8F" w:themeFill="accent6" w:themeFillTint="99"/>
            <w:vAlign w:val="center"/>
          </w:tcPr>
          <w:p w14:paraId="00AA4FC5"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20C2D7E3"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850" w:type="dxa"/>
            <w:shd w:val="clear" w:color="auto" w:fill="FABF8F" w:themeFill="accent6" w:themeFillTint="99"/>
            <w:vAlign w:val="center"/>
          </w:tcPr>
          <w:p w14:paraId="6DE0F675" w14:textId="77777777" w:rsidR="007167E6" w:rsidRPr="00847710" w:rsidRDefault="007167E6" w:rsidP="00FC7D9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7167E6" w14:paraId="5978ACB0" w14:textId="77777777" w:rsidTr="00054DD8">
        <w:trPr>
          <w:trHeight w:val="598"/>
          <w:jc w:val="center"/>
        </w:trPr>
        <w:tc>
          <w:tcPr>
            <w:tcW w:w="425" w:type="dxa"/>
            <w:shd w:val="clear" w:color="auto" w:fill="FFFFFF" w:themeFill="background1"/>
          </w:tcPr>
          <w:p w14:paraId="5DFE6575" w14:textId="77777777" w:rsidR="007167E6" w:rsidRPr="00E1067B"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1701" w:type="dxa"/>
            <w:shd w:val="clear" w:color="auto" w:fill="FFFFFF" w:themeFill="background1"/>
            <w:vAlign w:val="bottom"/>
          </w:tcPr>
          <w:p w14:paraId="03871093" w14:textId="0DAB67ED" w:rsidR="007167E6" w:rsidRPr="00E1067B" w:rsidRDefault="007167E6" w:rsidP="007167E6">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Datortomogrāfu</w:t>
            </w:r>
            <w:r w:rsidRPr="00847710">
              <w:rPr>
                <w:rFonts w:ascii="Times New Roman" w:eastAsia="Times New Roman" w:hAnsi="Times New Roman" w:cs="Times New Roman"/>
                <w:sz w:val="20"/>
                <w:szCs w:val="20"/>
                <w:lang w:eastAsia="lv-LV"/>
              </w:rPr>
              <w:t xml:space="preserve"> iegāde</w:t>
            </w:r>
          </w:p>
        </w:tc>
        <w:tc>
          <w:tcPr>
            <w:tcW w:w="1134" w:type="dxa"/>
            <w:shd w:val="clear" w:color="auto" w:fill="FFFFFF" w:themeFill="background1"/>
            <w:vAlign w:val="center"/>
          </w:tcPr>
          <w:p w14:paraId="6F938D6C" w14:textId="581B06CF" w:rsidR="007167E6" w:rsidRPr="00E1067B" w:rsidRDefault="007167E6" w:rsidP="007167E6">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700</w:t>
            </w:r>
            <w:r w:rsidRPr="00847710">
              <w:rPr>
                <w:rFonts w:ascii="Times New Roman" w:hAnsi="Times New Roman" w:cs="Times New Roman"/>
                <w:sz w:val="20"/>
                <w:szCs w:val="20"/>
              </w:rPr>
              <w:t xml:space="preserve"> </w:t>
            </w:r>
            <w:r>
              <w:rPr>
                <w:rFonts w:ascii="Times New Roman" w:hAnsi="Times New Roman" w:cs="Times New Roman"/>
                <w:sz w:val="20"/>
                <w:szCs w:val="20"/>
              </w:rPr>
              <w:t>000</w:t>
            </w:r>
          </w:p>
        </w:tc>
        <w:tc>
          <w:tcPr>
            <w:tcW w:w="850" w:type="dxa"/>
            <w:shd w:val="clear" w:color="auto" w:fill="FFFFFF" w:themeFill="background1"/>
            <w:vAlign w:val="center"/>
          </w:tcPr>
          <w:p w14:paraId="0AA56704"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066DC4D2"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3C2460E4" w14:textId="77777777" w:rsidR="007167E6" w:rsidRPr="00E1067B"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AA5D1EF"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673A620"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1134" w:type="dxa"/>
            <w:shd w:val="clear" w:color="auto" w:fill="FFFFFF" w:themeFill="background1"/>
            <w:vAlign w:val="center"/>
          </w:tcPr>
          <w:p w14:paraId="3DB8ED78" w14:textId="6D287FD7" w:rsidR="007167E6" w:rsidRPr="00030FAC" w:rsidRDefault="007167E6" w:rsidP="007167E6">
            <w:pPr>
              <w:spacing w:after="0" w:line="240" w:lineRule="auto"/>
              <w:jc w:val="center"/>
              <w:rPr>
                <w:rFonts w:ascii="Times New Roman" w:eastAsia="Times New Roman" w:hAnsi="Times New Roman" w:cs="Times New Roman"/>
                <w:bCs/>
                <w:sz w:val="16"/>
                <w:szCs w:val="16"/>
                <w:lang w:eastAsia="lv-LV"/>
              </w:rPr>
            </w:pPr>
            <w:r>
              <w:rPr>
                <w:rFonts w:ascii="Times New Roman" w:hAnsi="Times New Roman" w:cs="Times New Roman"/>
                <w:sz w:val="20"/>
                <w:szCs w:val="20"/>
              </w:rPr>
              <w:t>2 100 000</w:t>
            </w:r>
            <w:r w:rsidRPr="00847710">
              <w:rPr>
                <w:rFonts w:ascii="Times New Roman" w:hAnsi="Times New Roman" w:cs="Times New Roman"/>
                <w:sz w:val="20"/>
                <w:szCs w:val="20"/>
              </w:rPr>
              <w:t xml:space="preserve"> </w:t>
            </w:r>
          </w:p>
        </w:tc>
        <w:tc>
          <w:tcPr>
            <w:tcW w:w="709" w:type="dxa"/>
            <w:shd w:val="clear" w:color="auto" w:fill="FFFFFF" w:themeFill="background1"/>
            <w:vAlign w:val="center"/>
          </w:tcPr>
          <w:p w14:paraId="7A7AF83F" w14:textId="77777777" w:rsidR="007167E6" w:rsidRPr="00E1067B"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5A92790E" w14:textId="77777777" w:rsidR="007167E6" w:rsidRPr="00E1067B"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03AE4C7" w14:textId="77777777" w:rsidR="007167E6" w:rsidRPr="00E1067B"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2E678634"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4943F8C"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656C2B6" w14:textId="41DCC17B" w:rsidR="007167E6" w:rsidRPr="00AB13CC" w:rsidRDefault="007167E6" w:rsidP="007167E6">
            <w:pPr>
              <w:spacing w:after="0" w:line="240" w:lineRule="auto"/>
              <w:jc w:val="center"/>
              <w:rPr>
                <w:rFonts w:ascii="Times New Roman" w:eastAsia="Times New Roman" w:hAnsi="Times New Roman" w:cs="Times New Roman"/>
                <w:bCs/>
                <w:sz w:val="20"/>
                <w:szCs w:val="20"/>
                <w:lang w:eastAsia="lv-LV"/>
              </w:rPr>
            </w:pPr>
            <w:r w:rsidRPr="00AB13CC">
              <w:rPr>
                <w:rFonts w:ascii="Times New Roman" w:hAnsi="Times New Roman" w:cs="Times New Roman"/>
                <w:bCs/>
                <w:sz w:val="20"/>
                <w:szCs w:val="20"/>
              </w:rPr>
              <w:t>3</w:t>
            </w:r>
          </w:p>
        </w:tc>
      </w:tr>
      <w:tr w:rsidR="007167E6" w14:paraId="47785602" w14:textId="77777777" w:rsidTr="00054DD8">
        <w:trPr>
          <w:trHeight w:val="598"/>
          <w:jc w:val="center"/>
        </w:trPr>
        <w:tc>
          <w:tcPr>
            <w:tcW w:w="425" w:type="dxa"/>
            <w:shd w:val="clear" w:color="auto" w:fill="FFFFFF" w:themeFill="background1"/>
          </w:tcPr>
          <w:p w14:paraId="0585BD59"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p>
        </w:tc>
        <w:tc>
          <w:tcPr>
            <w:tcW w:w="1701" w:type="dxa"/>
            <w:shd w:val="clear" w:color="auto" w:fill="FFFFFF" w:themeFill="background1"/>
            <w:vAlign w:val="bottom"/>
          </w:tcPr>
          <w:p w14:paraId="76BDB7E6" w14:textId="418FA8AC" w:rsidR="007167E6" w:rsidRPr="00847710" w:rsidRDefault="007167E6" w:rsidP="007167E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Ultrasonogrāfijas iekārtas</w:t>
            </w:r>
          </w:p>
        </w:tc>
        <w:tc>
          <w:tcPr>
            <w:tcW w:w="1134" w:type="dxa"/>
            <w:shd w:val="clear" w:color="auto" w:fill="FFFFFF" w:themeFill="background1"/>
            <w:vAlign w:val="center"/>
          </w:tcPr>
          <w:p w14:paraId="6744F813" w14:textId="174DEF5A" w:rsidR="007167E6" w:rsidRDefault="007167E6" w:rsidP="00716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93 775</w:t>
            </w:r>
          </w:p>
        </w:tc>
        <w:tc>
          <w:tcPr>
            <w:tcW w:w="850" w:type="dxa"/>
            <w:shd w:val="clear" w:color="auto" w:fill="FFFFFF" w:themeFill="background1"/>
            <w:vAlign w:val="center"/>
          </w:tcPr>
          <w:p w14:paraId="5BEDE51D" w14:textId="27C6C409"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07B7F2C" w14:textId="0F5B5966"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CCA9B92" w14:textId="3E816683"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3BEE8AF"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DF167B3" w14:textId="77777777" w:rsidR="007167E6" w:rsidRDefault="007167E6" w:rsidP="00716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themeFill="background1"/>
            <w:vAlign w:val="center"/>
          </w:tcPr>
          <w:p w14:paraId="31242E0C" w14:textId="0CCC32CB" w:rsidR="007167E6" w:rsidRDefault="007167E6" w:rsidP="00716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187 550</w:t>
            </w:r>
          </w:p>
        </w:tc>
        <w:tc>
          <w:tcPr>
            <w:tcW w:w="709" w:type="dxa"/>
            <w:shd w:val="clear" w:color="auto" w:fill="FFFFFF" w:themeFill="background1"/>
            <w:vAlign w:val="center"/>
          </w:tcPr>
          <w:p w14:paraId="54074B1D" w14:textId="330CA9C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6D97FB0" w14:textId="07D9F809"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10448D8" w14:textId="500D2259"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2C6B725E" w14:textId="7777777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310F4934" w14:textId="77777777" w:rsidR="007167E6" w:rsidRDefault="007167E6" w:rsidP="007167E6">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850" w:type="dxa"/>
            <w:shd w:val="clear" w:color="auto" w:fill="FFFFFF" w:themeFill="background1"/>
            <w:vAlign w:val="center"/>
          </w:tcPr>
          <w:p w14:paraId="32782D8D" w14:textId="4901A2BB" w:rsidR="007167E6" w:rsidRPr="00AB13CC" w:rsidRDefault="007167E6" w:rsidP="007167E6">
            <w:pPr>
              <w:spacing w:after="0" w:line="240" w:lineRule="auto"/>
              <w:jc w:val="center"/>
              <w:rPr>
                <w:rFonts w:ascii="Times New Roman" w:hAnsi="Times New Roman" w:cs="Times New Roman"/>
                <w:bCs/>
                <w:sz w:val="20"/>
                <w:szCs w:val="20"/>
              </w:rPr>
            </w:pPr>
            <w:r w:rsidRPr="00AB13CC">
              <w:rPr>
                <w:rFonts w:ascii="Times New Roman" w:hAnsi="Times New Roman" w:cs="Times New Roman"/>
                <w:bCs/>
                <w:sz w:val="20"/>
                <w:szCs w:val="20"/>
              </w:rPr>
              <w:t>2</w:t>
            </w:r>
          </w:p>
        </w:tc>
      </w:tr>
      <w:tr w:rsidR="007167E6" w14:paraId="3FE8D4D3" w14:textId="77777777" w:rsidTr="00054DD8">
        <w:trPr>
          <w:trHeight w:val="598"/>
          <w:jc w:val="center"/>
        </w:trPr>
        <w:tc>
          <w:tcPr>
            <w:tcW w:w="425" w:type="dxa"/>
            <w:shd w:val="clear" w:color="auto" w:fill="FFFFFF" w:themeFill="background1"/>
          </w:tcPr>
          <w:p w14:paraId="7D8D6889" w14:textId="7353AF16"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w:t>
            </w:r>
          </w:p>
        </w:tc>
        <w:tc>
          <w:tcPr>
            <w:tcW w:w="1701" w:type="dxa"/>
            <w:shd w:val="clear" w:color="auto" w:fill="FFFFFF" w:themeFill="background1"/>
            <w:vAlign w:val="bottom"/>
          </w:tcPr>
          <w:p w14:paraId="34F04BA1" w14:textId="3F46A58D" w:rsidR="007167E6" w:rsidRDefault="007167E6" w:rsidP="007167E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Magnētiskās rezonanses iekārtas</w:t>
            </w:r>
          </w:p>
        </w:tc>
        <w:tc>
          <w:tcPr>
            <w:tcW w:w="1134" w:type="dxa"/>
            <w:shd w:val="clear" w:color="auto" w:fill="FFFFFF" w:themeFill="background1"/>
            <w:vAlign w:val="center"/>
          </w:tcPr>
          <w:p w14:paraId="01921CB5" w14:textId="23E409FE" w:rsidR="007167E6" w:rsidRDefault="007167E6" w:rsidP="00716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1 300 000</w:t>
            </w:r>
          </w:p>
        </w:tc>
        <w:tc>
          <w:tcPr>
            <w:tcW w:w="850" w:type="dxa"/>
            <w:shd w:val="clear" w:color="auto" w:fill="FFFFFF" w:themeFill="background1"/>
            <w:vAlign w:val="center"/>
          </w:tcPr>
          <w:p w14:paraId="5D640E97" w14:textId="05467BDF"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62909198" w14:textId="7C0ACA0A"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F2E583F" w14:textId="44F5CC08"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0FFC5589" w14:textId="24A1260D"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5E6A2AC8" w14:textId="553D7DB7" w:rsidR="007167E6" w:rsidRDefault="007167E6" w:rsidP="007167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themeFill="background1"/>
            <w:vAlign w:val="center"/>
          </w:tcPr>
          <w:p w14:paraId="29F81579" w14:textId="10C554D7" w:rsidR="007167E6" w:rsidRPr="007167E6" w:rsidRDefault="007167E6" w:rsidP="007167E6">
            <w:pPr>
              <w:spacing w:after="0" w:line="240" w:lineRule="auto"/>
              <w:jc w:val="center"/>
              <w:rPr>
                <w:rFonts w:ascii="Times New Roman" w:hAnsi="Times New Roman"/>
                <w:sz w:val="20"/>
                <w:szCs w:val="20"/>
              </w:rPr>
            </w:pPr>
            <w:r>
              <w:rPr>
                <w:rFonts w:ascii="Times New Roman" w:hAnsi="Times New Roman" w:cs="Times New Roman"/>
                <w:sz w:val="20"/>
                <w:szCs w:val="20"/>
              </w:rPr>
              <w:t>3 900 000</w:t>
            </w:r>
          </w:p>
        </w:tc>
        <w:tc>
          <w:tcPr>
            <w:tcW w:w="709" w:type="dxa"/>
            <w:shd w:val="clear" w:color="auto" w:fill="FFFFFF" w:themeFill="background1"/>
            <w:vAlign w:val="center"/>
          </w:tcPr>
          <w:p w14:paraId="2D5C7C21" w14:textId="22EB8933"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5012C82B" w14:textId="40FB2D56"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7B95ECB7" w14:textId="7F0724D7"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41A7132E" w14:textId="501D3BD3" w:rsidR="007167E6" w:rsidRDefault="007167E6" w:rsidP="007167E6">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4197985D" w14:textId="0C8CE0E7" w:rsidR="007167E6" w:rsidRDefault="007167E6" w:rsidP="007167E6">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p>
        </w:tc>
        <w:tc>
          <w:tcPr>
            <w:tcW w:w="850" w:type="dxa"/>
            <w:shd w:val="clear" w:color="auto" w:fill="FFFFFF" w:themeFill="background1"/>
            <w:vAlign w:val="center"/>
          </w:tcPr>
          <w:p w14:paraId="6FBCFAA7" w14:textId="5ECCCAB4" w:rsidR="007167E6" w:rsidRPr="00AB13CC" w:rsidRDefault="007167E6" w:rsidP="007167E6">
            <w:pPr>
              <w:spacing w:after="0" w:line="240" w:lineRule="auto"/>
              <w:jc w:val="center"/>
              <w:rPr>
                <w:rFonts w:ascii="Times New Roman" w:hAnsi="Times New Roman" w:cs="Times New Roman"/>
                <w:bCs/>
                <w:sz w:val="20"/>
                <w:szCs w:val="20"/>
              </w:rPr>
            </w:pPr>
            <w:r w:rsidRPr="00AB13CC">
              <w:rPr>
                <w:rFonts w:ascii="Times New Roman" w:hAnsi="Times New Roman" w:cs="Times New Roman"/>
                <w:bCs/>
                <w:sz w:val="20"/>
                <w:szCs w:val="20"/>
              </w:rPr>
              <w:t>3</w:t>
            </w:r>
          </w:p>
        </w:tc>
      </w:tr>
      <w:tr w:rsidR="007167E6" w14:paraId="13BE4C99" w14:textId="77777777" w:rsidTr="00054DD8">
        <w:trPr>
          <w:trHeight w:val="296"/>
          <w:jc w:val="center"/>
        </w:trPr>
        <w:tc>
          <w:tcPr>
            <w:tcW w:w="425" w:type="dxa"/>
            <w:shd w:val="clear" w:color="auto" w:fill="FBD4B4" w:themeFill="accent6" w:themeFillTint="66"/>
          </w:tcPr>
          <w:p w14:paraId="6E88781F" w14:textId="77777777" w:rsidR="007167E6" w:rsidRPr="00847710" w:rsidRDefault="007167E6" w:rsidP="007167E6">
            <w:pPr>
              <w:spacing w:after="0" w:line="240" w:lineRule="auto"/>
              <w:rPr>
                <w:rFonts w:ascii="Times New Roman" w:eastAsia="Times New Roman" w:hAnsi="Times New Roman" w:cs="Times New Roman"/>
                <w:sz w:val="20"/>
                <w:szCs w:val="20"/>
                <w:lang w:eastAsia="lv-LV"/>
              </w:rPr>
            </w:pPr>
          </w:p>
        </w:tc>
        <w:tc>
          <w:tcPr>
            <w:tcW w:w="1701" w:type="dxa"/>
            <w:shd w:val="clear" w:color="auto" w:fill="FBD4B4" w:themeFill="accent6" w:themeFillTint="66"/>
            <w:vAlign w:val="bottom"/>
          </w:tcPr>
          <w:p w14:paraId="04751E99" w14:textId="77777777" w:rsidR="007167E6" w:rsidRPr="00847710" w:rsidRDefault="007167E6" w:rsidP="007167E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tcPr>
          <w:p w14:paraId="1C238543" w14:textId="77777777" w:rsidR="007167E6" w:rsidRPr="00847710" w:rsidRDefault="007167E6" w:rsidP="007167E6">
            <w:pPr>
              <w:spacing w:after="0" w:line="240" w:lineRule="auto"/>
              <w:jc w:val="center"/>
              <w:rPr>
                <w:rFonts w:ascii="Times New Roman" w:eastAsia="Times New Roman" w:hAnsi="Times New Roman" w:cs="Times New Roman"/>
                <w:sz w:val="20"/>
                <w:szCs w:val="20"/>
                <w:lang w:eastAsia="lv-LV"/>
              </w:rPr>
            </w:pPr>
          </w:p>
        </w:tc>
        <w:tc>
          <w:tcPr>
            <w:tcW w:w="850" w:type="dxa"/>
            <w:shd w:val="clear" w:color="auto" w:fill="FBD4B4" w:themeFill="accent6" w:themeFillTint="66"/>
            <w:vAlign w:val="center"/>
          </w:tcPr>
          <w:p w14:paraId="19BC1F3A" w14:textId="2A626B92" w:rsidR="007167E6" w:rsidRPr="00847710" w:rsidRDefault="007167E6" w:rsidP="007167E6">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6106BD46" w14:textId="0E13D86C" w:rsidR="007167E6" w:rsidRPr="00847710" w:rsidRDefault="007167E6" w:rsidP="007167E6">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5A981207" w14:textId="3C43BF6F" w:rsidR="007167E6" w:rsidRPr="00847710" w:rsidRDefault="007167E6" w:rsidP="007167E6">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16F86A17" w14:textId="77777777" w:rsidR="007167E6" w:rsidRPr="00847710" w:rsidRDefault="007167E6" w:rsidP="007167E6">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530ABC23" w14:textId="77777777" w:rsidR="007167E6" w:rsidRPr="00847710" w:rsidRDefault="007167E6" w:rsidP="007167E6">
            <w:pPr>
              <w:spacing w:after="0" w:line="240" w:lineRule="auto"/>
              <w:jc w:val="center"/>
              <w:rPr>
                <w:rFonts w:ascii="Times New Roman" w:hAnsi="Times New Roman" w:cs="Times New Roman"/>
                <w:sz w:val="20"/>
                <w:szCs w:val="20"/>
              </w:rPr>
            </w:pPr>
          </w:p>
        </w:tc>
        <w:tc>
          <w:tcPr>
            <w:tcW w:w="1134" w:type="dxa"/>
            <w:shd w:val="clear" w:color="auto" w:fill="FBD4B4" w:themeFill="accent6" w:themeFillTint="66"/>
            <w:noWrap/>
            <w:vAlign w:val="center"/>
          </w:tcPr>
          <w:p w14:paraId="5DE06500" w14:textId="2AF33CAF" w:rsidR="007167E6" w:rsidRPr="00AB13CC" w:rsidRDefault="007167E6" w:rsidP="007167E6">
            <w:pPr>
              <w:spacing w:after="0" w:line="240" w:lineRule="auto"/>
              <w:jc w:val="center"/>
              <w:rPr>
                <w:rFonts w:ascii="Times New Roman" w:eastAsia="Times New Roman" w:hAnsi="Times New Roman" w:cs="Times New Roman"/>
                <w:b/>
                <w:sz w:val="16"/>
                <w:szCs w:val="16"/>
                <w:lang w:eastAsia="lv-LV"/>
              </w:rPr>
            </w:pPr>
            <w:r w:rsidRPr="00AB13CC">
              <w:rPr>
                <w:rFonts w:ascii="Times New Roman" w:hAnsi="Times New Roman" w:cs="Times New Roman"/>
                <w:b/>
                <w:sz w:val="20"/>
                <w:szCs w:val="20"/>
              </w:rPr>
              <w:t>6 187 550</w:t>
            </w:r>
          </w:p>
        </w:tc>
        <w:tc>
          <w:tcPr>
            <w:tcW w:w="709" w:type="dxa"/>
            <w:shd w:val="clear" w:color="auto" w:fill="FBD4B4" w:themeFill="accent6" w:themeFillTint="66"/>
            <w:vAlign w:val="center"/>
          </w:tcPr>
          <w:p w14:paraId="048FAC7C" w14:textId="0EECA6C6" w:rsidR="007167E6" w:rsidRPr="00AB13CC" w:rsidRDefault="007167E6" w:rsidP="007167E6">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16D8D1B6" w14:textId="549C6572" w:rsidR="007167E6" w:rsidRPr="00AB13CC" w:rsidRDefault="007167E6" w:rsidP="007167E6">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vAlign w:val="center"/>
          </w:tcPr>
          <w:p w14:paraId="16F20398" w14:textId="623CE14E" w:rsidR="007167E6" w:rsidRPr="00AB13CC" w:rsidRDefault="007167E6" w:rsidP="007167E6">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5D8094D7" w14:textId="77777777" w:rsidR="007167E6" w:rsidRPr="00AB13CC" w:rsidRDefault="007167E6" w:rsidP="007167E6">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28DAE5E8" w14:textId="77777777" w:rsidR="007167E6" w:rsidRPr="00AB13CC" w:rsidRDefault="007167E6" w:rsidP="007167E6">
            <w:pPr>
              <w:spacing w:after="0" w:line="240" w:lineRule="auto"/>
              <w:jc w:val="center"/>
              <w:rPr>
                <w:rFonts w:ascii="Times New Roman" w:hAnsi="Times New Roman" w:cs="Times New Roman"/>
                <w:b/>
                <w:bCs/>
                <w:sz w:val="20"/>
                <w:szCs w:val="20"/>
              </w:rPr>
            </w:pPr>
          </w:p>
        </w:tc>
        <w:tc>
          <w:tcPr>
            <w:tcW w:w="850" w:type="dxa"/>
            <w:shd w:val="clear" w:color="auto" w:fill="FBD4B4" w:themeFill="accent6" w:themeFillTint="66"/>
            <w:noWrap/>
            <w:vAlign w:val="center"/>
          </w:tcPr>
          <w:p w14:paraId="70B2BB09" w14:textId="3C9D12A0" w:rsidR="007167E6" w:rsidRPr="00AB13CC" w:rsidRDefault="007167E6" w:rsidP="007167E6">
            <w:pPr>
              <w:spacing w:after="0" w:line="240" w:lineRule="auto"/>
              <w:jc w:val="center"/>
              <w:rPr>
                <w:rFonts w:ascii="Times New Roman" w:eastAsia="Times New Roman" w:hAnsi="Times New Roman" w:cs="Times New Roman"/>
                <w:b/>
                <w:bCs/>
                <w:sz w:val="20"/>
                <w:szCs w:val="20"/>
                <w:lang w:eastAsia="lv-LV"/>
              </w:rPr>
            </w:pPr>
            <w:r w:rsidRPr="00AB13CC">
              <w:rPr>
                <w:rFonts w:ascii="Times New Roman" w:hAnsi="Times New Roman" w:cs="Times New Roman"/>
                <w:b/>
                <w:bCs/>
                <w:sz w:val="20"/>
                <w:szCs w:val="20"/>
              </w:rPr>
              <w:t>8</w:t>
            </w:r>
          </w:p>
        </w:tc>
      </w:tr>
    </w:tbl>
    <w:p w14:paraId="4BA85F4F" w14:textId="155D4812" w:rsidR="007167E6" w:rsidRDefault="007167E6" w:rsidP="00426B2C">
      <w:pPr>
        <w:ind w:firstLine="709"/>
        <w:jc w:val="center"/>
        <w:rPr>
          <w:rFonts w:ascii="Times New Roman" w:eastAsia="Times New Roman" w:hAnsi="Times New Roman"/>
          <w:b/>
          <w:bCs/>
          <w:sz w:val="24"/>
          <w:szCs w:val="24"/>
          <w:lang w:eastAsia="lv-LV" w:bidi="lo-LA"/>
        </w:rPr>
      </w:pPr>
    </w:p>
    <w:p w14:paraId="6C8293D8" w14:textId="10BA09EE" w:rsidR="00126AF0" w:rsidRDefault="00126AF0" w:rsidP="00427EFB">
      <w:pPr>
        <w:jc w:val="both"/>
        <w:rPr>
          <w:rFonts w:ascii="Times New Roman" w:hAnsi="Times New Roman" w:cs="Times New Roman"/>
          <w:sz w:val="24"/>
          <w:szCs w:val="24"/>
        </w:rPr>
        <w:sectPr w:rsidR="00126AF0" w:rsidSect="00333B64">
          <w:pgSz w:w="15840" w:h="12240" w:orient="landscape"/>
          <w:pgMar w:top="1701" w:right="1440" w:bottom="1440" w:left="1440" w:header="709" w:footer="709" w:gutter="0"/>
          <w:cols w:space="708"/>
          <w:docGrid w:linePitch="360"/>
        </w:sectPr>
      </w:pPr>
    </w:p>
    <w:p w14:paraId="3D7C771B" w14:textId="6BD620ED" w:rsidR="00220DD2" w:rsidRPr="00427EFB" w:rsidRDefault="00220DD2" w:rsidP="00427EFB">
      <w:pPr>
        <w:spacing w:after="120"/>
        <w:jc w:val="both"/>
        <w:rPr>
          <w:rFonts w:ascii="Times New Roman" w:eastAsia="Times New Roman" w:hAnsi="Times New Roman"/>
          <w:b/>
          <w:sz w:val="24"/>
          <w:szCs w:val="24"/>
          <w:lang w:eastAsia="lv-LV" w:bidi="lo-LA"/>
        </w:rPr>
      </w:pPr>
    </w:p>
    <w:p w14:paraId="798ECF42" w14:textId="17123EF5" w:rsidR="0042613F" w:rsidRDefault="00357DEA" w:rsidP="0042613F">
      <w:pPr>
        <w:pStyle w:val="Heading2"/>
        <w:spacing w:before="0" w:line="240" w:lineRule="auto"/>
        <w:ind w:firstLine="7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9.3.</w:t>
      </w:r>
      <w:r w:rsidR="0042613F">
        <w:rPr>
          <w:rFonts w:ascii="Times New Roman" w:hAnsi="Times New Roman" w:cs="Times New Roman"/>
          <w:b/>
          <w:bCs/>
          <w:color w:val="auto"/>
          <w:sz w:val="24"/>
          <w:szCs w:val="24"/>
          <w:u w:val="single"/>
        </w:rPr>
        <w:t xml:space="preserve"> Jauns reformas pasākums 2019.gadā – kaulu allotransplantāti</w:t>
      </w:r>
    </w:p>
    <w:p w14:paraId="76B20B0A" w14:textId="77777777" w:rsidR="0042613F" w:rsidRDefault="0042613F" w:rsidP="0042613F"/>
    <w:p w14:paraId="275E6669" w14:textId="77777777" w:rsidR="0042613F" w:rsidRPr="00D63888" w:rsidRDefault="0042613F" w:rsidP="0042613F">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Kaulaudus aizvietojošie materiāli ir stratēģiski nepieciešami </w:t>
      </w:r>
      <w:r>
        <w:rPr>
          <w:rFonts w:ascii="Times New Roman" w:hAnsi="Times New Roman" w:cs="Times New Roman"/>
          <w:sz w:val="24"/>
          <w:szCs w:val="24"/>
        </w:rPr>
        <w:t>onkoloģisko, t</w:t>
      </w:r>
      <w:r w:rsidRPr="00D63888">
        <w:rPr>
          <w:rFonts w:ascii="Times New Roman" w:hAnsi="Times New Roman" w:cs="Times New Roman"/>
          <w:sz w:val="24"/>
          <w:szCs w:val="24"/>
        </w:rPr>
        <w:t>raumatoloģisko, ortopēdisko un sejas ķirurģijas pacientu ārstēšanai. Kaulu allotransplantātu trūkums rada atkarību no citās valstīs sagatavotiem  preparātiem un ierobežo attiecīgo ķirurģijas nozaru (piemēram, bērnu ortopēdija</w:t>
      </w:r>
      <w:r>
        <w:rPr>
          <w:rFonts w:ascii="Times New Roman" w:hAnsi="Times New Roman" w:cs="Times New Roman"/>
          <w:sz w:val="24"/>
          <w:szCs w:val="24"/>
        </w:rPr>
        <w:t xml:space="preserve"> un onkoloģija</w:t>
      </w:r>
      <w:r w:rsidRPr="00D63888">
        <w:rPr>
          <w:rFonts w:ascii="Times New Roman" w:hAnsi="Times New Roman" w:cs="Times New Roman"/>
          <w:sz w:val="24"/>
          <w:szCs w:val="24"/>
        </w:rPr>
        <w:t>, pieaugušo onkoloģija, endoprotezēšana, sejas ķirurģija) attīstības iespējas.</w:t>
      </w:r>
    </w:p>
    <w:p w14:paraId="6B8B93A6" w14:textId="77777777" w:rsidR="0042613F" w:rsidRPr="00D63888" w:rsidRDefault="0042613F" w:rsidP="0042613F">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Līdz šim kaulu allotransplantātu donorus izvērtēja Valsts tiesu medicīnas ekspertīzes centrs. Tas piegādāja audu sagataves Traumatoloģijas un ortopēdijas slimnīcas laboratorijai, kas sagatavoja preparātus sterilizācijai un lietošanai. Sterilizāciju ar radiāciju tika veikta L</w:t>
      </w:r>
      <w:r>
        <w:rPr>
          <w:rFonts w:ascii="Times New Roman" w:hAnsi="Times New Roman" w:cs="Times New Roman"/>
          <w:sz w:val="24"/>
          <w:szCs w:val="24"/>
        </w:rPr>
        <w:t xml:space="preserve">atvijas </w:t>
      </w:r>
      <w:r w:rsidRPr="00D63888">
        <w:rPr>
          <w:rFonts w:ascii="Times New Roman" w:hAnsi="Times New Roman" w:cs="Times New Roman"/>
          <w:sz w:val="24"/>
          <w:szCs w:val="24"/>
        </w:rPr>
        <w:t>U</w:t>
      </w:r>
      <w:r>
        <w:rPr>
          <w:rFonts w:ascii="Times New Roman" w:hAnsi="Times New Roman" w:cs="Times New Roman"/>
          <w:sz w:val="24"/>
          <w:szCs w:val="24"/>
        </w:rPr>
        <w:t>niversitātes</w:t>
      </w:r>
      <w:r w:rsidRPr="00D63888">
        <w:rPr>
          <w:rFonts w:ascii="Times New Roman" w:hAnsi="Times New Roman" w:cs="Times New Roman"/>
          <w:sz w:val="24"/>
          <w:szCs w:val="24"/>
        </w:rPr>
        <w:t xml:space="preserve"> Ķīmiskās fizikas institūtā. Procesu uzraudzīja un kontrolēja Z</w:t>
      </w:r>
      <w:r>
        <w:rPr>
          <w:rFonts w:ascii="Times New Roman" w:hAnsi="Times New Roman" w:cs="Times New Roman"/>
          <w:sz w:val="24"/>
          <w:szCs w:val="24"/>
        </w:rPr>
        <w:t>āļu valsts aģentūra</w:t>
      </w:r>
      <w:r w:rsidRPr="00D63888">
        <w:rPr>
          <w:rFonts w:ascii="Times New Roman" w:hAnsi="Times New Roman" w:cs="Times New Roman"/>
          <w:sz w:val="24"/>
          <w:szCs w:val="24"/>
        </w:rPr>
        <w:t xml:space="preserve">. </w:t>
      </w:r>
    </w:p>
    <w:p w14:paraId="64AC2869" w14:textId="77777777" w:rsidR="0042613F" w:rsidRPr="00D63888" w:rsidRDefault="0042613F" w:rsidP="0042613F">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Kaulu allotransplantāti tika lietoti </w:t>
      </w:r>
      <w:r>
        <w:rPr>
          <w:rFonts w:ascii="Times New Roman" w:hAnsi="Times New Roman" w:cs="Times New Roman"/>
          <w:sz w:val="24"/>
          <w:szCs w:val="24"/>
        </w:rPr>
        <w:t>VSIA “Traumatoloģijas un ortopēdijas slimnīca”</w:t>
      </w:r>
      <w:r w:rsidRPr="00D63888">
        <w:rPr>
          <w:rFonts w:ascii="Times New Roman" w:hAnsi="Times New Roman" w:cs="Times New Roman"/>
          <w:sz w:val="24"/>
          <w:szCs w:val="24"/>
        </w:rPr>
        <w:t xml:space="preserve">, kā arī piegādāti citām Latvijas slimnīcām atbilstoši to pieprasījumiem. </w:t>
      </w:r>
    </w:p>
    <w:p w14:paraId="3B972D92" w14:textId="77777777" w:rsidR="0042613F" w:rsidRPr="00F62D1D" w:rsidRDefault="0042613F" w:rsidP="0042613F">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2018.gadā tika konstatēts, ka L</w:t>
      </w:r>
      <w:r>
        <w:rPr>
          <w:rFonts w:ascii="Times New Roman" w:hAnsi="Times New Roman" w:cs="Times New Roman"/>
          <w:sz w:val="24"/>
          <w:szCs w:val="24"/>
        </w:rPr>
        <w:t xml:space="preserve">atvijas </w:t>
      </w:r>
      <w:r w:rsidRPr="00D63888">
        <w:rPr>
          <w:rFonts w:ascii="Times New Roman" w:hAnsi="Times New Roman" w:cs="Times New Roman"/>
          <w:sz w:val="24"/>
          <w:szCs w:val="24"/>
        </w:rPr>
        <w:t>U</w:t>
      </w:r>
      <w:r>
        <w:rPr>
          <w:rFonts w:ascii="Times New Roman" w:hAnsi="Times New Roman" w:cs="Times New Roman"/>
          <w:sz w:val="24"/>
          <w:szCs w:val="24"/>
        </w:rPr>
        <w:t>niversitātes</w:t>
      </w:r>
      <w:r w:rsidRPr="00D63888">
        <w:rPr>
          <w:rFonts w:ascii="Times New Roman" w:hAnsi="Times New Roman" w:cs="Times New Roman"/>
          <w:sz w:val="24"/>
          <w:szCs w:val="24"/>
        </w:rPr>
        <w:t xml:space="preserve"> veiktā sterilizācija ar radiāciju neatbilst normatīvo dokumentu prasībām un arī sagatavošanas procesā jāveic korektīvas darbības.</w:t>
      </w:r>
    </w:p>
    <w:p w14:paraId="31BC0352" w14:textId="77777777" w:rsidR="0042613F" w:rsidRPr="00D63888" w:rsidRDefault="0042613F" w:rsidP="0042613F">
      <w:pPr>
        <w:spacing w:after="120"/>
        <w:ind w:firstLine="720"/>
        <w:jc w:val="both"/>
        <w:rPr>
          <w:rFonts w:ascii="Times New Roman" w:hAnsi="Times New Roman" w:cs="Times New Roman"/>
          <w:sz w:val="24"/>
          <w:szCs w:val="24"/>
        </w:rPr>
      </w:pPr>
      <w:r w:rsidRPr="006A79A6">
        <w:rPr>
          <w:rFonts w:ascii="Times New Roman" w:hAnsi="Times New Roman" w:cs="Times New Roman"/>
          <w:sz w:val="24"/>
          <w:szCs w:val="24"/>
        </w:rPr>
        <w:t>Z</w:t>
      </w:r>
      <w:r>
        <w:rPr>
          <w:rFonts w:ascii="Times New Roman" w:hAnsi="Times New Roman" w:cs="Times New Roman"/>
          <w:sz w:val="24"/>
          <w:szCs w:val="24"/>
        </w:rPr>
        <w:t>āļu valsts aģentūra</w:t>
      </w:r>
      <w:r w:rsidRPr="009852F4">
        <w:rPr>
          <w:rFonts w:ascii="Times New Roman" w:hAnsi="Times New Roman" w:cs="Times New Roman"/>
          <w:sz w:val="24"/>
          <w:szCs w:val="24"/>
        </w:rPr>
        <w:t xml:space="preserve"> </w:t>
      </w:r>
      <w:r w:rsidRPr="00D63888">
        <w:rPr>
          <w:rFonts w:ascii="Times New Roman" w:hAnsi="Times New Roman" w:cs="Times New Roman"/>
          <w:sz w:val="24"/>
          <w:szCs w:val="24"/>
        </w:rPr>
        <w:t>veica auditu un apturēja allokaulu transplantātu sagatavošanas procesu, kā arī sniedza atzinumu ar konkrētām prasībām procesa uzlabošanai un modernizācijai.</w:t>
      </w:r>
    </w:p>
    <w:p w14:paraId="14D82CFE" w14:textId="77777777" w:rsidR="0042613F" w:rsidRPr="00D63888" w:rsidRDefault="0042613F" w:rsidP="0042613F">
      <w:pPr>
        <w:spacing w:after="120"/>
        <w:ind w:firstLine="720"/>
        <w:jc w:val="both"/>
        <w:rPr>
          <w:rFonts w:ascii="Times New Roman" w:hAnsi="Times New Roman" w:cs="Times New Roman"/>
          <w:b/>
          <w:sz w:val="24"/>
          <w:szCs w:val="24"/>
        </w:rPr>
      </w:pPr>
      <w:r>
        <w:rPr>
          <w:rFonts w:ascii="Times New Roman" w:hAnsi="Times New Roman" w:cs="Times New Roman"/>
          <w:b/>
          <w:sz w:val="24"/>
          <w:szCs w:val="24"/>
        </w:rPr>
        <w:t>Tā r</w:t>
      </w:r>
      <w:r w:rsidRPr="00D63888">
        <w:rPr>
          <w:rFonts w:ascii="Times New Roman" w:hAnsi="Times New Roman" w:cs="Times New Roman"/>
          <w:b/>
          <w:sz w:val="24"/>
          <w:szCs w:val="24"/>
        </w:rPr>
        <w:t>ezultātā pašreiz valstī nav pieejami Latvijā sagatavoti kaulu allotransplantāti.</w:t>
      </w:r>
    </w:p>
    <w:p w14:paraId="4442DBB3" w14:textId="77777777" w:rsidR="0042613F" w:rsidRPr="00D63888" w:rsidRDefault="0042613F" w:rsidP="0042613F">
      <w:pPr>
        <w:spacing w:after="120"/>
        <w:ind w:firstLine="720"/>
        <w:jc w:val="both"/>
        <w:rPr>
          <w:rFonts w:ascii="Times New Roman" w:hAnsi="Times New Roman" w:cs="Times New Roman"/>
          <w:sz w:val="24"/>
          <w:szCs w:val="24"/>
        </w:rPr>
      </w:pPr>
      <w:r>
        <w:rPr>
          <w:rFonts w:ascii="Times New Roman" w:hAnsi="Times New Roman" w:cs="Times New Roman"/>
          <w:sz w:val="24"/>
          <w:szCs w:val="24"/>
        </w:rPr>
        <w:t>VSIA “</w:t>
      </w:r>
      <w:r w:rsidRPr="00D63888">
        <w:rPr>
          <w:rFonts w:ascii="Times New Roman" w:hAnsi="Times New Roman" w:cs="Times New Roman"/>
          <w:sz w:val="24"/>
          <w:szCs w:val="24"/>
        </w:rPr>
        <w:t>Traumatoloģijas un ortopēdijas slimnīca</w:t>
      </w:r>
      <w:r>
        <w:rPr>
          <w:rFonts w:ascii="Times New Roman" w:hAnsi="Times New Roman" w:cs="Times New Roman"/>
          <w:sz w:val="24"/>
          <w:szCs w:val="24"/>
        </w:rPr>
        <w:t>”</w:t>
      </w:r>
      <w:r w:rsidRPr="00D63888">
        <w:rPr>
          <w:rFonts w:ascii="Times New Roman" w:hAnsi="Times New Roman" w:cs="Times New Roman"/>
          <w:sz w:val="24"/>
          <w:szCs w:val="24"/>
        </w:rPr>
        <w:t xml:space="preserve"> veica problēmas risinājumu izpēti un konstatēja, ka atjaunot iepriekšējo preparātu sagatavošanas procesu ir nelietderīgi, jo L</w:t>
      </w:r>
      <w:r>
        <w:rPr>
          <w:rFonts w:ascii="Times New Roman" w:hAnsi="Times New Roman" w:cs="Times New Roman"/>
          <w:sz w:val="24"/>
          <w:szCs w:val="24"/>
        </w:rPr>
        <w:t xml:space="preserve">atvijas </w:t>
      </w:r>
      <w:r w:rsidRPr="00D63888">
        <w:rPr>
          <w:rFonts w:ascii="Times New Roman" w:hAnsi="Times New Roman" w:cs="Times New Roman"/>
          <w:sz w:val="24"/>
          <w:szCs w:val="24"/>
        </w:rPr>
        <w:t>U</w:t>
      </w:r>
      <w:r>
        <w:rPr>
          <w:rFonts w:ascii="Times New Roman" w:hAnsi="Times New Roman" w:cs="Times New Roman"/>
          <w:sz w:val="24"/>
          <w:szCs w:val="24"/>
        </w:rPr>
        <w:t>niversitāte</w:t>
      </w:r>
      <w:r w:rsidRPr="00D63888">
        <w:rPr>
          <w:rFonts w:ascii="Times New Roman" w:hAnsi="Times New Roman" w:cs="Times New Roman"/>
          <w:sz w:val="24"/>
          <w:szCs w:val="24"/>
        </w:rPr>
        <w:t xml:space="preserve"> nespēj nodrošināt normatīvajām prasībām atbilstošu sterilizāciju ar radiāciju. Latvijā nav citu sadarbības partneru, kas to spētu veikt. Pašreizējā materiālu sagatavošanas tehnoloģija ierobežo materiālu transportēšanu un rūpniecisku sterilizāciju ar radiāciju, jo tie sasaldēti un nav atūdeņoti (liofilizēti). Pēc procesa modernizācijas preparātus būs iespējams transportēt sterilizēšanai ar radiāciju Igaunijā.</w:t>
      </w:r>
    </w:p>
    <w:p w14:paraId="32A623D8" w14:textId="0C5359F5" w:rsidR="0042613F" w:rsidRDefault="0042613F" w:rsidP="0042613F">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Lai nodrošinātu stratēģiski svarīgo kaulaudu  aizvietojošo materiālu sagatavošanu  valstī nepieciešams izpildīt </w:t>
      </w:r>
      <w:r w:rsidRPr="00A80C77">
        <w:rPr>
          <w:rFonts w:ascii="Times New Roman" w:hAnsi="Times New Roman" w:cs="Times New Roman"/>
          <w:sz w:val="24"/>
          <w:szCs w:val="24"/>
        </w:rPr>
        <w:t>Zāļu valsts aģentūra</w:t>
      </w:r>
      <w:r w:rsidRPr="00A80C77">
        <w:rPr>
          <w:rFonts w:ascii="Times New Roman" w:hAnsi="Times New Roman"/>
          <w:sz w:val="24"/>
          <w:szCs w:val="24"/>
        </w:rPr>
        <w:t>s</w:t>
      </w:r>
      <w:r w:rsidRPr="00D63888">
        <w:rPr>
          <w:rFonts w:ascii="Times New Roman" w:hAnsi="Times New Roman" w:cs="Times New Roman"/>
          <w:sz w:val="24"/>
          <w:szCs w:val="24"/>
        </w:rPr>
        <w:t xml:space="preserve"> prasības allokaulu transplantātu sagatavošanas procesam, kur kaulu mate</w:t>
      </w:r>
      <w:r>
        <w:rPr>
          <w:rFonts w:ascii="Times New Roman" w:hAnsi="Times New Roman" w:cs="Times New Roman"/>
          <w:sz w:val="24"/>
          <w:szCs w:val="24"/>
        </w:rPr>
        <w:t>riāli iegūti no miruša cilvēka.</w:t>
      </w:r>
    </w:p>
    <w:p w14:paraId="52907FCB" w14:textId="77777777" w:rsidR="00077586" w:rsidRDefault="00077586" w:rsidP="0042613F">
      <w:pPr>
        <w:spacing w:after="120"/>
        <w:ind w:firstLine="720"/>
        <w:jc w:val="right"/>
        <w:rPr>
          <w:rFonts w:ascii="Times New Roman" w:hAnsi="Times New Roman" w:cs="Times New Roman"/>
          <w:sz w:val="24"/>
          <w:szCs w:val="24"/>
        </w:rPr>
      </w:pPr>
    </w:p>
    <w:p w14:paraId="29EB21AC" w14:textId="77777777" w:rsidR="00077586" w:rsidRDefault="00077586" w:rsidP="0042613F">
      <w:pPr>
        <w:spacing w:after="120"/>
        <w:ind w:firstLine="720"/>
        <w:jc w:val="right"/>
        <w:rPr>
          <w:rFonts w:ascii="Times New Roman" w:hAnsi="Times New Roman" w:cs="Times New Roman"/>
          <w:sz w:val="24"/>
          <w:szCs w:val="24"/>
        </w:rPr>
      </w:pPr>
    </w:p>
    <w:p w14:paraId="51B64386" w14:textId="77777777" w:rsidR="00077586" w:rsidRDefault="00077586" w:rsidP="0042613F">
      <w:pPr>
        <w:spacing w:after="120"/>
        <w:ind w:firstLine="720"/>
        <w:jc w:val="right"/>
        <w:rPr>
          <w:rFonts w:ascii="Times New Roman" w:hAnsi="Times New Roman" w:cs="Times New Roman"/>
          <w:sz w:val="24"/>
          <w:szCs w:val="24"/>
        </w:rPr>
      </w:pPr>
    </w:p>
    <w:p w14:paraId="10E54F7F" w14:textId="77777777" w:rsidR="00077586" w:rsidRDefault="00077586" w:rsidP="0042613F">
      <w:pPr>
        <w:spacing w:after="120"/>
        <w:ind w:firstLine="720"/>
        <w:jc w:val="right"/>
        <w:rPr>
          <w:rFonts w:ascii="Times New Roman" w:hAnsi="Times New Roman" w:cs="Times New Roman"/>
          <w:sz w:val="24"/>
          <w:szCs w:val="24"/>
        </w:rPr>
      </w:pPr>
    </w:p>
    <w:p w14:paraId="2CBFA3B7" w14:textId="77777777" w:rsidR="00077586" w:rsidRDefault="00077586" w:rsidP="0042613F">
      <w:pPr>
        <w:spacing w:after="120"/>
        <w:ind w:firstLine="720"/>
        <w:jc w:val="right"/>
        <w:rPr>
          <w:rFonts w:ascii="Times New Roman" w:hAnsi="Times New Roman" w:cs="Times New Roman"/>
          <w:sz w:val="24"/>
          <w:szCs w:val="24"/>
        </w:rPr>
      </w:pPr>
    </w:p>
    <w:p w14:paraId="2AB9D5FC" w14:textId="482774FB" w:rsidR="0042613F" w:rsidRPr="006A79A6" w:rsidRDefault="00500E42" w:rsidP="0042613F">
      <w:pPr>
        <w:spacing w:after="120"/>
        <w:ind w:firstLine="720"/>
        <w:jc w:val="right"/>
        <w:rPr>
          <w:rFonts w:ascii="Times New Roman" w:hAnsi="Times New Roman" w:cs="Times New Roman"/>
          <w:sz w:val="24"/>
          <w:szCs w:val="24"/>
        </w:rPr>
      </w:pPr>
      <w:r>
        <w:rPr>
          <w:rFonts w:ascii="Times New Roman" w:hAnsi="Times New Roman" w:cs="Times New Roman"/>
          <w:sz w:val="24"/>
          <w:szCs w:val="24"/>
        </w:rPr>
        <w:lastRenderedPageBreak/>
        <w:t>109</w:t>
      </w:r>
      <w:r w:rsidR="0042613F">
        <w:rPr>
          <w:rFonts w:ascii="Times New Roman" w:hAnsi="Times New Roman" w:cs="Times New Roman"/>
          <w:sz w:val="24"/>
          <w:szCs w:val="24"/>
        </w:rPr>
        <w:t>.tabula</w:t>
      </w:r>
    </w:p>
    <w:p w14:paraId="3652E716" w14:textId="77777777" w:rsidR="0042613F" w:rsidRPr="00CC103A" w:rsidRDefault="0042613F" w:rsidP="0042613F">
      <w:pPr>
        <w:spacing w:after="120"/>
        <w:ind w:firstLine="720"/>
        <w:jc w:val="center"/>
        <w:rPr>
          <w:rFonts w:ascii="Times New Roman" w:hAnsi="Times New Roman" w:cs="Times New Roman"/>
          <w:b/>
          <w:sz w:val="24"/>
          <w:szCs w:val="24"/>
        </w:rPr>
      </w:pPr>
      <w:r w:rsidRPr="00CC103A">
        <w:rPr>
          <w:rFonts w:ascii="Times New Roman" w:hAnsi="Times New Roman" w:cs="Times New Roman"/>
          <w:b/>
          <w:sz w:val="24"/>
          <w:szCs w:val="24"/>
        </w:rPr>
        <w:t>Kaulu allotransplantātu medicīnisko ierīču iegādei nepieciešamais finansējums</w:t>
      </w:r>
    </w:p>
    <w:tbl>
      <w:tblPr>
        <w:tblStyle w:val="TableGrid"/>
        <w:tblW w:w="0" w:type="auto"/>
        <w:jc w:val="center"/>
        <w:tblLook w:val="04A0" w:firstRow="1" w:lastRow="0" w:firstColumn="1" w:lastColumn="0" w:noHBand="0" w:noVBand="1"/>
      </w:tblPr>
      <w:tblGrid>
        <w:gridCol w:w="4673"/>
        <w:gridCol w:w="1843"/>
        <w:gridCol w:w="2573"/>
      </w:tblGrid>
      <w:tr w:rsidR="0042613F" w14:paraId="16EA2EC4" w14:textId="77777777" w:rsidTr="00A842CF">
        <w:trPr>
          <w:jc w:val="center"/>
        </w:trPr>
        <w:tc>
          <w:tcPr>
            <w:tcW w:w="4673" w:type="dxa"/>
            <w:shd w:val="clear" w:color="auto" w:fill="E36C0A" w:themeFill="accent6" w:themeFillShade="BF"/>
            <w:vAlign w:val="center"/>
          </w:tcPr>
          <w:p w14:paraId="2577F5DC" w14:textId="77777777" w:rsidR="0042613F" w:rsidRPr="00077586" w:rsidRDefault="0042613F" w:rsidP="00A842CF">
            <w:pPr>
              <w:spacing w:after="120"/>
              <w:jc w:val="center"/>
              <w:rPr>
                <w:rFonts w:ascii="Times New Roman" w:hAnsi="Times New Roman"/>
                <w:b/>
                <w:bCs/>
              </w:rPr>
            </w:pPr>
            <w:r w:rsidRPr="00077586">
              <w:rPr>
                <w:rFonts w:ascii="Times New Roman" w:hAnsi="Times New Roman"/>
                <w:b/>
                <w:bCs/>
              </w:rPr>
              <w:t>Iekārta</w:t>
            </w:r>
          </w:p>
        </w:tc>
        <w:tc>
          <w:tcPr>
            <w:tcW w:w="1843" w:type="dxa"/>
            <w:shd w:val="clear" w:color="auto" w:fill="E36C0A" w:themeFill="accent6" w:themeFillShade="BF"/>
            <w:vAlign w:val="center"/>
          </w:tcPr>
          <w:p w14:paraId="061FBB9D" w14:textId="77777777" w:rsidR="0042613F" w:rsidRPr="00077586" w:rsidRDefault="0042613F" w:rsidP="00A842CF">
            <w:pPr>
              <w:spacing w:after="120"/>
              <w:jc w:val="center"/>
              <w:rPr>
                <w:rFonts w:ascii="Times New Roman" w:hAnsi="Times New Roman"/>
                <w:b/>
                <w:bCs/>
              </w:rPr>
            </w:pPr>
            <w:r w:rsidRPr="00077586">
              <w:rPr>
                <w:rFonts w:ascii="Times New Roman" w:hAnsi="Times New Roman"/>
                <w:b/>
                <w:bCs/>
              </w:rPr>
              <w:t>Daudzums</w:t>
            </w:r>
          </w:p>
        </w:tc>
        <w:tc>
          <w:tcPr>
            <w:tcW w:w="2573" w:type="dxa"/>
            <w:shd w:val="clear" w:color="auto" w:fill="E36C0A" w:themeFill="accent6" w:themeFillShade="BF"/>
            <w:vAlign w:val="center"/>
          </w:tcPr>
          <w:p w14:paraId="0A6D1C7A" w14:textId="77777777" w:rsidR="0042613F" w:rsidRPr="00077586" w:rsidRDefault="0042613F" w:rsidP="00A842CF">
            <w:pPr>
              <w:spacing w:after="120"/>
              <w:jc w:val="center"/>
              <w:rPr>
                <w:rFonts w:ascii="Times New Roman" w:hAnsi="Times New Roman"/>
                <w:b/>
              </w:rPr>
            </w:pPr>
            <w:r w:rsidRPr="00077586">
              <w:rPr>
                <w:rFonts w:ascii="Times New Roman" w:hAnsi="Times New Roman"/>
                <w:b/>
              </w:rPr>
              <w:t xml:space="preserve">2019.gadam nepieciešamais finansējums </w:t>
            </w:r>
            <w:r w:rsidRPr="00077586">
              <w:rPr>
                <w:rFonts w:ascii="Times New Roman" w:hAnsi="Times New Roman"/>
                <w:b/>
                <w:i/>
              </w:rPr>
              <w:t>euro</w:t>
            </w:r>
            <w:r w:rsidRPr="00077586">
              <w:rPr>
                <w:rFonts w:ascii="Times New Roman" w:hAnsi="Times New Roman"/>
                <w:b/>
              </w:rPr>
              <w:t xml:space="preserve"> (ar 21% PVN)</w:t>
            </w:r>
          </w:p>
        </w:tc>
      </w:tr>
      <w:tr w:rsidR="0042613F" w14:paraId="73701DA2" w14:textId="77777777" w:rsidTr="00A842CF">
        <w:trPr>
          <w:jc w:val="center"/>
        </w:trPr>
        <w:tc>
          <w:tcPr>
            <w:tcW w:w="4673" w:type="dxa"/>
          </w:tcPr>
          <w:p w14:paraId="3110E2C1" w14:textId="77777777" w:rsidR="0042613F" w:rsidRPr="00077586" w:rsidRDefault="0042613F" w:rsidP="00077586">
            <w:pPr>
              <w:spacing w:after="120"/>
              <w:rPr>
                <w:rFonts w:ascii="Times New Roman" w:hAnsi="Times New Roman"/>
              </w:rPr>
            </w:pPr>
            <w:r w:rsidRPr="00077586">
              <w:rPr>
                <w:rFonts w:ascii="Times New Roman" w:hAnsi="Times New Roman"/>
              </w:rPr>
              <w:t>Liofilizators ar datoru un datorprogrammu, automātiska</w:t>
            </w:r>
            <w:r w:rsidRPr="00077586">
              <w:rPr>
                <w:rFonts w:ascii="Times New Roman" w:hAnsi="Times New Roman"/>
              </w:rPr>
              <w:tab/>
              <w:t>ūdeņraža peroksīda sterilizācija</w:t>
            </w:r>
          </w:p>
        </w:tc>
        <w:tc>
          <w:tcPr>
            <w:tcW w:w="1843" w:type="dxa"/>
            <w:vAlign w:val="center"/>
          </w:tcPr>
          <w:p w14:paraId="6FD7DFE0" w14:textId="77777777" w:rsidR="0042613F" w:rsidRPr="00077586" w:rsidRDefault="0042613F" w:rsidP="00A842CF">
            <w:pPr>
              <w:spacing w:after="120"/>
              <w:jc w:val="center"/>
              <w:rPr>
                <w:rFonts w:ascii="Times New Roman" w:hAnsi="Times New Roman"/>
              </w:rPr>
            </w:pPr>
            <w:r w:rsidRPr="00077586">
              <w:rPr>
                <w:rFonts w:ascii="Times New Roman" w:hAnsi="Times New Roman"/>
              </w:rPr>
              <w:t>1</w:t>
            </w:r>
          </w:p>
        </w:tc>
        <w:tc>
          <w:tcPr>
            <w:tcW w:w="2573" w:type="dxa"/>
            <w:vAlign w:val="center"/>
          </w:tcPr>
          <w:p w14:paraId="47B48571" w14:textId="77777777" w:rsidR="0042613F" w:rsidRPr="00077586" w:rsidRDefault="0042613F" w:rsidP="00A842CF">
            <w:pPr>
              <w:spacing w:after="120"/>
              <w:jc w:val="center"/>
              <w:rPr>
                <w:rFonts w:ascii="Times New Roman" w:hAnsi="Times New Roman"/>
              </w:rPr>
            </w:pPr>
            <w:r w:rsidRPr="00077586">
              <w:rPr>
                <w:rFonts w:ascii="Times New Roman" w:hAnsi="Times New Roman"/>
              </w:rPr>
              <w:t>76 000</w:t>
            </w:r>
          </w:p>
        </w:tc>
      </w:tr>
      <w:tr w:rsidR="0042613F" w14:paraId="532E3E4A" w14:textId="77777777" w:rsidTr="00A842CF">
        <w:trPr>
          <w:jc w:val="center"/>
        </w:trPr>
        <w:tc>
          <w:tcPr>
            <w:tcW w:w="4673" w:type="dxa"/>
          </w:tcPr>
          <w:p w14:paraId="2F2DCB09" w14:textId="77777777" w:rsidR="0042613F" w:rsidRPr="00077586" w:rsidRDefault="0042613F" w:rsidP="00A842CF">
            <w:pPr>
              <w:spacing w:after="120"/>
              <w:jc w:val="both"/>
              <w:rPr>
                <w:rFonts w:ascii="Times New Roman" w:hAnsi="Times New Roman"/>
              </w:rPr>
            </w:pPr>
            <w:r w:rsidRPr="00077586">
              <w:rPr>
                <w:rFonts w:ascii="Times New Roman" w:hAnsi="Times New Roman"/>
              </w:rPr>
              <w:t>Iepakošanas sistēma allotranplantātiem ar vakuuma nodrošinājumu</w:t>
            </w:r>
          </w:p>
        </w:tc>
        <w:tc>
          <w:tcPr>
            <w:tcW w:w="1843" w:type="dxa"/>
            <w:vAlign w:val="center"/>
          </w:tcPr>
          <w:p w14:paraId="0AD2E36D" w14:textId="77777777" w:rsidR="0042613F" w:rsidRPr="00077586" w:rsidRDefault="0042613F" w:rsidP="00A842CF">
            <w:pPr>
              <w:spacing w:after="120"/>
              <w:jc w:val="center"/>
              <w:rPr>
                <w:rFonts w:ascii="Times New Roman" w:hAnsi="Times New Roman"/>
              </w:rPr>
            </w:pPr>
            <w:r w:rsidRPr="00077586">
              <w:rPr>
                <w:rFonts w:ascii="Times New Roman" w:hAnsi="Times New Roman"/>
              </w:rPr>
              <w:t>1</w:t>
            </w:r>
          </w:p>
        </w:tc>
        <w:tc>
          <w:tcPr>
            <w:tcW w:w="2573" w:type="dxa"/>
            <w:vAlign w:val="center"/>
          </w:tcPr>
          <w:p w14:paraId="576B8731" w14:textId="77777777" w:rsidR="0042613F" w:rsidRPr="00077586" w:rsidRDefault="0042613F" w:rsidP="00A842CF">
            <w:pPr>
              <w:spacing w:after="120"/>
              <w:jc w:val="center"/>
              <w:rPr>
                <w:rFonts w:ascii="Times New Roman" w:hAnsi="Times New Roman"/>
              </w:rPr>
            </w:pPr>
            <w:r w:rsidRPr="00077586">
              <w:rPr>
                <w:rFonts w:ascii="Times New Roman" w:hAnsi="Times New Roman"/>
              </w:rPr>
              <w:t>15 000</w:t>
            </w:r>
          </w:p>
        </w:tc>
      </w:tr>
      <w:tr w:rsidR="0042613F" w14:paraId="7BCC4EB4" w14:textId="77777777" w:rsidTr="00A842CF">
        <w:trPr>
          <w:jc w:val="center"/>
        </w:trPr>
        <w:tc>
          <w:tcPr>
            <w:tcW w:w="4673" w:type="dxa"/>
          </w:tcPr>
          <w:p w14:paraId="30186E68" w14:textId="77777777" w:rsidR="0042613F" w:rsidRPr="00077586" w:rsidRDefault="0042613F" w:rsidP="00A842CF">
            <w:pPr>
              <w:spacing w:after="120"/>
              <w:jc w:val="both"/>
              <w:rPr>
                <w:rFonts w:ascii="Times New Roman" w:hAnsi="Times New Roman"/>
              </w:rPr>
            </w:pPr>
            <w:r w:rsidRPr="00077586">
              <w:rPr>
                <w:rFonts w:ascii="Times New Roman" w:hAnsi="Times New Roman"/>
              </w:rPr>
              <w:t>Sonifikators mikroorganismu atdalīšanai no kauliem</w:t>
            </w:r>
          </w:p>
        </w:tc>
        <w:tc>
          <w:tcPr>
            <w:tcW w:w="1843" w:type="dxa"/>
            <w:vAlign w:val="center"/>
          </w:tcPr>
          <w:p w14:paraId="3450573C" w14:textId="77777777" w:rsidR="0042613F" w:rsidRPr="00077586" w:rsidRDefault="0042613F" w:rsidP="00A842CF">
            <w:pPr>
              <w:spacing w:after="120"/>
              <w:jc w:val="center"/>
              <w:rPr>
                <w:rFonts w:ascii="Times New Roman" w:hAnsi="Times New Roman"/>
              </w:rPr>
            </w:pPr>
            <w:r w:rsidRPr="00077586">
              <w:rPr>
                <w:rFonts w:ascii="Times New Roman" w:hAnsi="Times New Roman"/>
              </w:rPr>
              <w:t>1</w:t>
            </w:r>
          </w:p>
        </w:tc>
        <w:tc>
          <w:tcPr>
            <w:tcW w:w="2573" w:type="dxa"/>
            <w:vAlign w:val="center"/>
          </w:tcPr>
          <w:p w14:paraId="092F6F45" w14:textId="77777777" w:rsidR="0042613F" w:rsidRPr="00077586" w:rsidRDefault="0042613F" w:rsidP="00A842CF">
            <w:pPr>
              <w:spacing w:after="120"/>
              <w:jc w:val="center"/>
              <w:rPr>
                <w:rFonts w:ascii="Times New Roman" w:hAnsi="Times New Roman"/>
              </w:rPr>
            </w:pPr>
            <w:r w:rsidRPr="00077586">
              <w:rPr>
                <w:rFonts w:ascii="Times New Roman" w:hAnsi="Times New Roman"/>
              </w:rPr>
              <w:t>8 000</w:t>
            </w:r>
          </w:p>
        </w:tc>
      </w:tr>
      <w:tr w:rsidR="0042613F" w14:paraId="4A49071E" w14:textId="77777777" w:rsidTr="00A842CF">
        <w:trPr>
          <w:jc w:val="center"/>
        </w:trPr>
        <w:tc>
          <w:tcPr>
            <w:tcW w:w="4673" w:type="dxa"/>
          </w:tcPr>
          <w:p w14:paraId="67F448C6" w14:textId="77777777" w:rsidR="0042613F" w:rsidRPr="00077586" w:rsidRDefault="0042613F" w:rsidP="00A842CF">
            <w:pPr>
              <w:spacing w:after="120"/>
              <w:jc w:val="both"/>
              <w:rPr>
                <w:rFonts w:ascii="Times New Roman" w:hAnsi="Times New Roman"/>
              </w:rPr>
            </w:pPr>
            <w:r w:rsidRPr="00077586">
              <w:rPr>
                <w:rFonts w:ascii="Times New Roman" w:hAnsi="Times New Roman"/>
              </w:rPr>
              <w:t>Filtra sistēma ar  vakumsūkni mikroorganismu kvantitatīvas noteikšanas nodrošināšanai</w:t>
            </w:r>
          </w:p>
        </w:tc>
        <w:tc>
          <w:tcPr>
            <w:tcW w:w="1843" w:type="dxa"/>
            <w:vAlign w:val="center"/>
          </w:tcPr>
          <w:p w14:paraId="2198B7A9" w14:textId="77777777" w:rsidR="0042613F" w:rsidRPr="00077586" w:rsidRDefault="0042613F" w:rsidP="00A842CF">
            <w:pPr>
              <w:spacing w:after="120"/>
              <w:jc w:val="center"/>
              <w:rPr>
                <w:rFonts w:ascii="Times New Roman" w:hAnsi="Times New Roman"/>
              </w:rPr>
            </w:pPr>
            <w:r w:rsidRPr="00077586">
              <w:rPr>
                <w:rFonts w:ascii="Times New Roman" w:hAnsi="Times New Roman"/>
              </w:rPr>
              <w:t>1</w:t>
            </w:r>
          </w:p>
        </w:tc>
        <w:tc>
          <w:tcPr>
            <w:tcW w:w="2573" w:type="dxa"/>
            <w:vAlign w:val="center"/>
          </w:tcPr>
          <w:p w14:paraId="7ACA9F2A" w14:textId="77777777" w:rsidR="0042613F" w:rsidRPr="00077586" w:rsidRDefault="0042613F" w:rsidP="00A842CF">
            <w:pPr>
              <w:spacing w:after="120"/>
              <w:jc w:val="center"/>
              <w:rPr>
                <w:rFonts w:ascii="Times New Roman" w:hAnsi="Times New Roman"/>
              </w:rPr>
            </w:pPr>
            <w:r w:rsidRPr="00077586">
              <w:rPr>
                <w:rFonts w:ascii="Times New Roman" w:hAnsi="Times New Roman"/>
              </w:rPr>
              <w:t>900</w:t>
            </w:r>
          </w:p>
        </w:tc>
      </w:tr>
      <w:tr w:rsidR="0042613F" w14:paraId="7B3869EC" w14:textId="77777777" w:rsidTr="00A842CF">
        <w:trPr>
          <w:jc w:val="center"/>
        </w:trPr>
        <w:tc>
          <w:tcPr>
            <w:tcW w:w="6516" w:type="dxa"/>
            <w:gridSpan w:val="2"/>
          </w:tcPr>
          <w:p w14:paraId="6EA2E349" w14:textId="77777777" w:rsidR="0042613F" w:rsidRPr="00077586" w:rsidRDefault="0042613F" w:rsidP="00A842CF">
            <w:pPr>
              <w:spacing w:after="120"/>
              <w:jc w:val="right"/>
              <w:rPr>
                <w:rFonts w:ascii="Times New Roman" w:hAnsi="Times New Roman"/>
              </w:rPr>
            </w:pPr>
            <w:r w:rsidRPr="00077586">
              <w:rPr>
                <w:rFonts w:ascii="Times New Roman" w:hAnsi="Times New Roman"/>
              </w:rPr>
              <w:t>Kopā nepieciešamais finansējums:</w:t>
            </w:r>
          </w:p>
        </w:tc>
        <w:tc>
          <w:tcPr>
            <w:tcW w:w="2573" w:type="dxa"/>
            <w:vAlign w:val="center"/>
          </w:tcPr>
          <w:p w14:paraId="79F65C1B" w14:textId="77777777" w:rsidR="0042613F" w:rsidRPr="00077586" w:rsidRDefault="0042613F" w:rsidP="00A842CF">
            <w:pPr>
              <w:spacing w:after="120"/>
              <w:jc w:val="center"/>
              <w:rPr>
                <w:rFonts w:ascii="Times New Roman" w:hAnsi="Times New Roman"/>
                <w:b/>
              </w:rPr>
            </w:pPr>
            <w:r w:rsidRPr="00077586">
              <w:rPr>
                <w:rFonts w:ascii="Times New Roman" w:hAnsi="Times New Roman"/>
                <w:b/>
              </w:rPr>
              <w:t>99 900</w:t>
            </w:r>
          </w:p>
        </w:tc>
      </w:tr>
    </w:tbl>
    <w:p w14:paraId="3E447526" w14:textId="77777777" w:rsidR="0042613F" w:rsidRPr="006A79A6" w:rsidRDefault="0042613F" w:rsidP="0042613F">
      <w:pPr>
        <w:pStyle w:val="PlainText"/>
        <w:spacing w:after="120" w:line="276" w:lineRule="auto"/>
        <w:jc w:val="both"/>
        <w:rPr>
          <w:rFonts w:ascii="Times New Roman" w:hAnsi="Times New Roman" w:cs="Times New Roman"/>
          <w:sz w:val="24"/>
          <w:szCs w:val="24"/>
          <w:lang w:val="lv-LV"/>
        </w:rPr>
      </w:pPr>
    </w:p>
    <w:p w14:paraId="634F1ABA" w14:textId="77777777" w:rsidR="0042613F" w:rsidRPr="006A79A6" w:rsidRDefault="0042613F" w:rsidP="0042613F">
      <w:pPr>
        <w:pStyle w:val="PlainText"/>
        <w:spacing w:after="120" w:line="276"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Ja 2019.gadā  papildus tiks piešķirts finansējums, tad varēs veikt operācijas šādā apmērā:</w:t>
      </w:r>
    </w:p>
    <w:p w14:paraId="6CC14F4C" w14:textId="77777777" w:rsidR="0042613F" w:rsidRPr="006A79A6" w:rsidRDefault="0042613F" w:rsidP="0042613F">
      <w:pPr>
        <w:pStyle w:val="PlainText"/>
        <w:numPr>
          <w:ilvl w:val="0"/>
          <w:numId w:val="33"/>
        </w:numPr>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VSIA “Traumatoloģijas un ortopēdijas slimnīca”</w:t>
      </w:r>
      <w:r w:rsidRPr="006A79A6">
        <w:rPr>
          <w:rFonts w:ascii="Times New Roman" w:hAnsi="Times New Roman" w:cs="Times New Roman"/>
          <w:sz w:val="24"/>
          <w:szCs w:val="24"/>
          <w:lang w:val="lv-LV"/>
        </w:rPr>
        <w:t xml:space="preserve"> revīzijas endoprotezēšanas  un onkoloģiskās operācijas - 100 vienības.</w:t>
      </w:r>
    </w:p>
    <w:p w14:paraId="4F0C0EDE" w14:textId="77777777" w:rsidR="0042613F" w:rsidRPr="006A79A6" w:rsidRDefault="0042613F" w:rsidP="0042613F">
      <w:pPr>
        <w:pStyle w:val="PlainText"/>
        <w:numPr>
          <w:ilvl w:val="0"/>
          <w:numId w:val="33"/>
        </w:numPr>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VSIA “Traumatoloģijas un ortopēdijas slimnīca”</w:t>
      </w:r>
      <w:r w:rsidRPr="006A79A6">
        <w:rPr>
          <w:rFonts w:ascii="Times New Roman" w:hAnsi="Times New Roman" w:cs="Times New Roman"/>
          <w:sz w:val="24"/>
          <w:szCs w:val="24"/>
          <w:lang w:val="lv-LV"/>
        </w:rPr>
        <w:t xml:space="preserve"> sarežģītās mugurkaula ķirurģijas operācijas -25 vienības</w:t>
      </w:r>
      <w:r>
        <w:rPr>
          <w:rFonts w:ascii="Times New Roman" w:hAnsi="Times New Roman" w:cs="Times New Roman"/>
          <w:sz w:val="24"/>
          <w:szCs w:val="24"/>
          <w:lang w:val="lv-LV"/>
        </w:rPr>
        <w:t>.</w:t>
      </w:r>
    </w:p>
    <w:p w14:paraId="1CA34905" w14:textId="77777777" w:rsidR="0042613F" w:rsidRPr="006A79A6" w:rsidRDefault="0042613F" w:rsidP="0042613F">
      <w:pPr>
        <w:pStyle w:val="PlainText"/>
        <w:numPr>
          <w:ilvl w:val="0"/>
          <w:numId w:val="33"/>
        </w:numPr>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VSIA “Bērnu klīniskā universitātes slimnīca”</w:t>
      </w:r>
      <w:r w:rsidRPr="006A79A6">
        <w:rPr>
          <w:rFonts w:ascii="Times New Roman" w:hAnsi="Times New Roman" w:cs="Times New Roman"/>
          <w:sz w:val="24"/>
          <w:szCs w:val="24"/>
          <w:lang w:val="lv-LV"/>
        </w:rPr>
        <w:t xml:space="preserve"> bērnu ortopēdiskās operācijas – 25 vienības.</w:t>
      </w:r>
    </w:p>
    <w:p w14:paraId="3F350DA6" w14:textId="77777777" w:rsidR="0042613F" w:rsidRDefault="0042613F" w:rsidP="0042613F">
      <w:pPr>
        <w:pStyle w:val="PlainText"/>
        <w:numPr>
          <w:ilvl w:val="0"/>
          <w:numId w:val="33"/>
        </w:numPr>
        <w:ind w:left="714" w:hanging="357"/>
        <w:jc w:val="both"/>
        <w:rPr>
          <w:rFonts w:ascii="Times New Roman" w:hAnsi="Times New Roman" w:cs="Times New Roman"/>
          <w:sz w:val="24"/>
          <w:szCs w:val="24"/>
          <w:lang w:val="lv-LV"/>
        </w:rPr>
      </w:pPr>
      <w:r w:rsidRPr="006A79A6">
        <w:rPr>
          <w:rFonts w:ascii="Times New Roman" w:hAnsi="Times New Roman" w:cs="Times New Roman"/>
          <w:sz w:val="24"/>
          <w:szCs w:val="24"/>
          <w:lang w:val="lv-LV"/>
        </w:rPr>
        <w:t xml:space="preserve">Sejas ķirurģijas operācijas  </w:t>
      </w:r>
      <w:r w:rsidRPr="00EB0C91">
        <w:rPr>
          <w:rFonts w:ascii="Times New Roman" w:hAnsi="Times New Roman" w:cs="Times New Roman"/>
          <w:sz w:val="24"/>
          <w:szCs w:val="24"/>
          <w:lang w:val="lv-LV"/>
        </w:rPr>
        <w:t>~ 1000 operācijas.</w:t>
      </w:r>
    </w:p>
    <w:p w14:paraId="7159620F" w14:textId="77777777" w:rsidR="0042613F" w:rsidRPr="00CC103A" w:rsidRDefault="0042613F" w:rsidP="0042613F">
      <w:pPr>
        <w:pStyle w:val="PlainText"/>
        <w:numPr>
          <w:ilvl w:val="0"/>
          <w:numId w:val="33"/>
        </w:numPr>
        <w:ind w:left="714" w:hanging="357"/>
        <w:jc w:val="both"/>
        <w:rPr>
          <w:rFonts w:ascii="Times New Roman" w:hAnsi="Times New Roman" w:cs="Times New Roman"/>
          <w:sz w:val="24"/>
          <w:szCs w:val="24"/>
          <w:lang w:val="lv-LV"/>
        </w:rPr>
      </w:pPr>
      <w:r w:rsidRPr="00D63888">
        <w:rPr>
          <w:rFonts w:ascii="Times New Roman" w:hAnsi="Times New Roman" w:cs="Times New Roman"/>
          <w:sz w:val="24"/>
          <w:szCs w:val="24"/>
          <w:lang w:val="lv-LV"/>
        </w:rPr>
        <w:t>Citās slimnīcās kopā ~20 vienības gadā</w:t>
      </w:r>
      <w:r>
        <w:rPr>
          <w:rFonts w:ascii="Times New Roman" w:hAnsi="Times New Roman" w:cs="Times New Roman"/>
          <w:sz w:val="24"/>
          <w:szCs w:val="24"/>
          <w:lang w:val="lv-LV"/>
        </w:rPr>
        <w:t>.</w:t>
      </w:r>
    </w:p>
    <w:p w14:paraId="0D13C19A" w14:textId="77777777" w:rsidR="0042613F" w:rsidRPr="00CC103A" w:rsidRDefault="0042613F" w:rsidP="0042613F">
      <w:pPr>
        <w:pStyle w:val="PlainText"/>
        <w:jc w:val="both"/>
        <w:rPr>
          <w:rFonts w:ascii="Times New Roman" w:hAnsi="Times New Roman" w:cs="Times New Roman"/>
          <w:sz w:val="24"/>
          <w:szCs w:val="24"/>
          <w:lang w:val="lv-LV"/>
        </w:rPr>
      </w:pPr>
    </w:p>
    <w:p w14:paraId="62827E0D" w14:textId="77777777" w:rsidR="0042613F" w:rsidRDefault="0042613F" w:rsidP="0042613F">
      <w:pPr>
        <w:pStyle w:val="PlainText"/>
        <w:spacing w:line="276"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Ja valstī būs nodrošināti kaulu allotransplantāti t</w:t>
      </w:r>
      <w:r w:rsidRPr="006A79A6">
        <w:rPr>
          <w:rFonts w:ascii="Times New Roman" w:hAnsi="Times New Roman" w:cs="Times New Roman"/>
          <w:sz w:val="24"/>
          <w:szCs w:val="24"/>
          <w:lang w:val="lv-LV"/>
        </w:rPr>
        <w:t>iks atjaunots un modernizēts kaulu alloprep</w:t>
      </w:r>
      <w:r w:rsidRPr="008C1293">
        <w:rPr>
          <w:rFonts w:ascii="Times New Roman" w:hAnsi="Times New Roman" w:cs="Times New Roman"/>
          <w:sz w:val="24"/>
          <w:szCs w:val="24"/>
          <w:lang w:val="lv-LV"/>
        </w:rPr>
        <w:t xml:space="preserve">arātu sagatavošanas process, </w:t>
      </w:r>
      <w:r>
        <w:rPr>
          <w:rFonts w:ascii="Times New Roman" w:hAnsi="Times New Roman" w:cs="Times New Roman"/>
          <w:sz w:val="24"/>
          <w:szCs w:val="24"/>
          <w:lang w:val="lv-LV"/>
        </w:rPr>
        <w:t>s</w:t>
      </w:r>
      <w:r w:rsidRPr="006A79A6">
        <w:rPr>
          <w:rFonts w:ascii="Times New Roman" w:hAnsi="Times New Roman" w:cs="Times New Roman"/>
          <w:sz w:val="24"/>
          <w:szCs w:val="24"/>
          <w:lang w:val="lv-LV"/>
        </w:rPr>
        <w:t>aglabāta dokumentācija un tehnoloģijas, kas nodrošina procesu.</w:t>
      </w:r>
      <w:r>
        <w:rPr>
          <w:rFonts w:ascii="Times New Roman" w:hAnsi="Times New Roman" w:cs="Times New Roman"/>
          <w:sz w:val="24"/>
          <w:szCs w:val="24"/>
          <w:lang w:val="lv-LV"/>
        </w:rPr>
        <w:t xml:space="preserve"> </w:t>
      </w:r>
      <w:r w:rsidRPr="006A79A6">
        <w:rPr>
          <w:rFonts w:ascii="Times New Roman" w:hAnsi="Times New Roman" w:cs="Times New Roman"/>
          <w:sz w:val="24"/>
          <w:szCs w:val="24"/>
          <w:lang w:val="lv-LV"/>
        </w:rPr>
        <w:t>Tiks radīti priekšnosacījumi</w:t>
      </w:r>
      <w:r>
        <w:rPr>
          <w:rFonts w:ascii="Times New Roman" w:hAnsi="Times New Roman" w:cs="Times New Roman"/>
          <w:sz w:val="24"/>
          <w:szCs w:val="24"/>
          <w:lang w:val="lv-LV"/>
        </w:rPr>
        <w:t xml:space="preserve"> o</w:t>
      </w:r>
      <w:r w:rsidRPr="006A79A6">
        <w:rPr>
          <w:rFonts w:ascii="Times New Roman" w:hAnsi="Times New Roman" w:cs="Times New Roman"/>
          <w:sz w:val="24"/>
          <w:szCs w:val="24"/>
          <w:lang w:val="lv-LV"/>
        </w:rPr>
        <w:t>perāciju attīstībai ar kaulu</w:t>
      </w:r>
      <w:r w:rsidRPr="008C1293">
        <w:rPr>
          <w:rFonts w:ascii="Times New Roman" w:hAnsi="Times New Roman" w:cs="Times New Roman"/>
          <w:sz w:val="24"/>
          <w:szCs w:val="24"/>
          <w:lang w:val="lv-LV"/>
        </w:rPr>
        <w:t xml:space="preserve"> allotransplantātu pielietošanu</w:t>
      </w:r>
      <w:r>
        <w:rPr>
          <w:rFonts w:ascii="Times New Roman" w:hAnsi="Times New Roman" w:cs="Times New Roman"/>
          <w:sz w:val="24"/>
          <w:szCs w:val="24"/>
          <w:lang w:val="lv-LV"/>
        </w:rPr>
        <w:t xml:space="preserve"> onkoloģijas pacientiem</w:t>
      </w:r>
      <w:r w:rsidRPr="008C1293">
        <w:rPr>
          <w:rFonts w:ascii="Times New Roman" w:hAnsi="Times New Roman" w:cs="Times New Roman"/>
          <w:sz w:val="24"/>
          <w:szCs w:val="24"/>
          <w:lang w:val="lv-LV"/>
        </w:rPr>
        <w:t>, k</w:t>
      </w:r>
      <w:r>
        <w:rPr>
          <w:rFonts w:ascii="Times New Roman" w:hAnsi="Times New Roman" w:cs="Times New Roman"/>
          <w:sz w:val="24"/>
          <w:szCs w:val="24"/>
          <w:lang w:val="lv-LV"/>
        </w:rPr>
        <w:t>ā arī p</w:t>
      </w:r>
      <w:r w:rsidRPr="006A79A6">
        <w:rPr>
          <w:rFonts w:ascii="Times New Roman" w:hAnsi="Times New Roman" w:cs="Times New Roman"/>
          <w:sz w:val="24"/>
          <w:szCs w:val="24"/>
          <w:lang w:val="lv-LV"/>
        </w:rPr>
        <w:t>acienti netiks sūtīti uz citām valstīm šādu operāciju veikšanai</w:t>
      </w:r>
      <w:r>
        <w:rPr>
          <w:rFonts w:ascii="Times New Roman" w:hAnsi="Times New Roman" w:cs="Times New Roman"/>
          <w:sz w:val="24"/>
          <w:szCs w:val="24"/>
          <w:lang w:val="lv-LV"/>
        </w:rPr>
        <w:t>, kas samazina pacienta risku uz dzīvildzes pagarināšanu un kopējo ieguvumu tautsaimniecībā</w:t>
      </w:r>
      <w:r w:rsidRPr="006A79A6">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A79A6">
        <w:rPr>
          <w:rFonts w:ascii="Times New Roman" w:hAnsi="Times New Roman" w:cs="Times New Roman"/>
          <w:sz w:val="24"/>
          <w:szCs w:val="24"/>
          <w:lang w:val="lv-LV"/>
        </w:rPr>
        <w:t>Latvijas slimnīcas tiks nodrošināt</w:t>
      </w:r>
      <w:r w:rsidRPr="008C1293">
        <w:rPr>
          <w:rFonts w:ascii="Times New Roman" w:hAnsi="Times New Roman" w:cs="Times New Roman"/>
          <w:sz w:val="24"/>
          <w:szCs w:val="24"/>
          <w:lang w:val="lv-LV"/>
        </w:rPr>
        <w:t xml:space="preserve">as ar kaulu allotransplantātiem, </w:t>
      </w:r>
      <w:r>
        <w:rPr>
          <w:rFonts w:ascii="Times New Roman" w:hAnsi="Times New Roman" w:cs="Times New Roman"/>
          <w:sz w:val="24"/>
          <w:szCs w:val="24"/>
          <w:lang w:val="lv-LV"/>
        </w:rPr>
        <w:t>t</w:t>
      </w:r>
      <w:r w:rsidRPr="008C1293">
        <w:rPr>
          <w:rFonts w:ascii="Times New Roman" w:hAnsi="Times New Roman" w:cs="Times New Roman"/>
          <w:sz w:val="24"/>
          <w:szCs w:val="24"/>
          <w:lang w:val="lv-LV"/>
        </w:rPr>
        <w:t xml:space="preserve">urpināsies procesa attīstība un </w:t>
      </w:r>
      <w:r>
        <w:rPr>
          <w:rFonts w:ascii="Times New Roman" w:hAnsi="Times New Roman" w:cs="Times New Roman"/>
          <w:sz w:val="24"/>
          <w:szCs w:val="24"/>
          <w:lang w:val="lv-LV"/>
        </w:rPr>
        <w:t>t</w:t>
      </w:r>
      <w:r w:rsidRPr="006A79A6">
        <w:rPr>
          <w:rFonts w:ascii="Times New Roman" w:hAnsi="Times New Roman" w:cs="Times New Roman"/>
          <w:sz w:val="24"/>
          <w:szCs w:val="24"/>
          <w:lang w:val="lv-LV"/>
        </w:rPr>
        <w:t>iks radīta iespēja konkurēt ar citu zemju piegādātājiem sejas ķirurģijas un stomatoloģijas nozarēs</w:t>
      </w:r>
      <w:r>
        <w:rPr>
          <w:rFonts w:ascii="Times New Roman" w:hAnsi="Times New Roman" w:cs="Times New Roman"/>
          <w:sz w:val="24"/>
          <w:szCs w:val="24"/>
          <w:lang w:val="lv-LV"/>
        </w:rPr>
        <w:t>.</w:t>
      </w:r>
    </w:p>
    <w:p w14:paraId="137B3AE3" w14:textId="6EE3BE96" w:rsidR="0042613F" w:rsidRDefault="0042613F" w:rsidP="0042613F">
      <w:pPr>
        <w:pStyle w:val="PlainText"/>
        <w:spacing w:line="276" w:lineRule="auto"/>
        <w:ind w:firstLine="720"/>
        <w:jc w:val="both"/>
        <w:rPr>
          <w:rFonts w:ascii="Times New Roman" w:hAnsi="Times New Roman"/>
          <w:sz w:val="24"/>
          <w:szCs w:val="24"/>
          <w:lang w:val="lv-LV"/>
        </w:rPr>
      </w:pPr>
      <w:r w:rsidRPr="0042613F">
        <w:rPr>
          <w:rFonts w:ascii="Times New Roman" w:hAnsi="Times New Roman"/>
          <w:sz w:val="24"/>
          <w:szCs w:val="24"/>
          <w:lang w:val="lv-LV"/>
        </w:rPr>
        <w:t xml:space="preserve">No 2019.gada nepieciešami </w:t>
      </w:r>
      <w:r w:rsidRPr="0042613F">
        <w:rPr>
          <w:rFonts w:ascii="Times New Roman" w:hAnsi="Times New Roman"/>
          <w:b/>
          <w:sz w:val="24"/>
          <w:szCs w:val="24"/>
          <w:lang w:val="lv-LV"/>
        </w:rPr>
        <w:t xml:space="preserve">99 900 </w:t>
      </w:r>
      <w:r w:rsidRPr="0042613F">
        <w:rPr>
          <w:rFonts w:ascii="Times New Roman" w:hAnsi="Times New Roman"/>
          <w:b/>
          <w:i/>
          <w:sz w:val="24"/>
          <w:szCs w:val="24"/>
          <w:lang w:val="lv-LV"/>
        </w:rPr>
        <w:t>euro</w:t>
      </w:r>
      <w:r w:rsidRPr="0042613F">
        <w:rPr>
          <w:rFonts w:ascii="Times New Roman" w:hAnsi="Times New Roman"/>
          <w:sz w:val="24"/>
          <w:szCs w:val="24"/>
          <w:lang w:val="lv-LV"/>
        </w:rPr>
        <w:t>, lai nodrošinātu kaulu allotransplantātu manipulāciju veikšanu</w:t>
      </w:r>
      <w:r>
        <w:rPr>
          <w:rFonts w:ascii="Times New Roman" w:hAnsi="Times New Roman"/>
          <w:sz w:val="24"/>
          <w:szCs w:val="24"/>
          <w:lang w:val="lv-LV"/>
        </w:rPr>
        <w:t>.</w:t>
      </w:r>
    </w:p>
    <w:p w14:paraId="32137216" w14:textId="77777777" w:rsidR="0042613F" w:rsidRPr="0042613F" w:rsidRDefault="0042613F" w:rsidP="0042613F">
      <w:pPr>
        <w:pStyle w:val="PlainText"/>
        <w:spacing w:line="276" w:lineRule="auto"/>
        <w:ind w:firstLine="720"/>
        <w:jc w:val="both"/>
        <w:rPr>
          <w:rFonts w:ascii="Times New Roman" w:hAnsi="Times New Roman" w:cs="Times New Roman"/>
          <w:sz w:val="24"/>
          <w:szCs w:val="24"/>
          <w:lang w:val="lv-LV"/>
        </w:rPr>
      </w:pPr>
    </w:p>
    <w:p w14:paraId="69AEAB4A" w14:textId="226D5072" w:rsidR="00530E34" w:rsidRPr="00357DEA" w:rsidRDefault="00530E34" w:rsidP="00357DEA">
      <w:pPr>
        <w:pStyle w:val="ListParagraph"/>
        <w:numPr>
          <w:ilvl w:val="1"/>
          <w:numId w:val="48"/>
        </w:numPr>
        <w:spacing w:after="120"/>
        <w:jc w:val="both"/>
        <w:rPr>
          <w:rFonts w:ascii="Times New Roman" w:eastAsia="Times New Roman" w:hAnsi="Times New Roman"/>
          <w:b/>
          <w:sz w:val="24"/>
          <w:szCs w:val="24"/>
          <w:lang w:eastAsia="lv-LV" w:bidi="lo-LA"/>
        </w:rPr>
      </w:pPr>
      <w:r w:rsidRPr="00357DEA">
        <w:rPr>
          <w:rFonts w:ascii="Times New Roman" w:eastAsia="Times New Roman" w:hAnsi="Times New Roman"/>
          <w:b/>
          <w:sz w:val="24"/>
          <w:szCs w:val="24"/>
          <w:lang w:eastAsia="lv-LV" w:bidi="lo-LA"/>
        </w:rPr>
        <w:t>Jaunais reformas pasākums 2019.gadam – Molekulārās ģenētikas attīstība</w:t>
      </w:r>
    </w:p>
    <w:p w14:paraId="560F0DCF" w14:textId="697BDD7A" w:rsidR="004818D5" w:rsidRPr="00E93259" w:rsidRDefault="004818D5" w:rsidP="009B304C">
      <w:pPr>
        <w:spacing w:after="120"/>
        <w:ind w:firstLine="720"/>
        <w:jc w:val="both"/>
        <w:rPr>
          <w:rFonts w:ascii="Times New Roman" w:eastAsia="Times New Roman" w:hAnsi="Times New Roman"/>
          <w:sz w:val="24"/>
          <w:szCs w:val="24"/>
          <w:lang w:eastAsia="lv-LV" w:bidi="lo-LA"/>
        </w:rPr>
      </w:pPr>
      <w:r w:rsidRPr="00E93259">
        <w:rPr>
          <w:rFonts w:ascii="Times New Roman" w:eastAsia="Times New Roman" w:hAnsi="Times New Roman"/>
          <w:sz w:val="24"/>
          <w:szCs w:val="24"/>
          <w:lang w:eastAsia="lv-LV" w:bidi="lo-LA"/>
        </w:rPr>
        <w:t xml:space="preserve">Latvijā molekulārās ģenētikas attīstība ir aizkavējusies vismaz par 34 gadiem, ierobežota un nepilnīgi nokomplektēta tehnisko iekārtu parka dēļ. NGS/SNP CGH sekvenenātors ļaus pilnveidot un attīstīt VSIA “Bērnu klīniskā universitātes slimnīca” Nacionālā līmeņa akreditētu Ģenētikas laboratoriju, nodrošinot ilgtermiņā platformu </w:t>
      </w:r>
      <w:r w:rsidRPr="00E93259">
        <w:rPr>
          <w:rFonts w:ascii="Times New Roman" w:eastAsia="Times New Roman" w:hAnsi="Times New Roman"/>
          <w:sz w:val="24"/>
          <w:szCs w:val="24"/>
          <w:lang w:eastAsia="lv-LV" w:bidi="lo-LA"/>
        </w:rPr>
        <w:lastRenderedPageBreak/>
        <w:t>molekulārās ģenētikas attīstībai Latvijā. Pamatā izmeklējumi SNP (Single nucleotide polymorphism – viena nukleotīda polimorfizma), CGH (komperatīvā genoma hibridizācija) un NGS (Next Gen Seqeuncing - nākošās paaudzes sekvenēšana) ir ģenētiskās izmeklēšanas pamatmetodes, lai jebkurā slimību grupā molekulāri apstiprinātu diagnozi (</w:t>
      </w:r>
      <w:r w:rsidR="004B2A8B" w:rsidRPr="00E93259">
        <w:rPr>
          <w:rFonts w:ascii="Times New Roman" w:eastAsia="Times New Roman" w:hAnsi="Times New Roman"/>
          <w:sz w:val="24"/>
          <w:szCs w:val="24"/>
          <w:lang w:eastAsia="lv-LV" w:bidi="lo-LA"/>
        </w:rPr>
        <w:t>9</w:t>
      </w:r>
      <w:r w:rsidR="00141340">
        <w:rPr>
          <w:rFonts w:ascii="Times New Roman" w:eastAsia="Times New Roman" w:hAnsi="Times New Roman"/>
          <w:sz w:val="24"/>
          <w:szCs w:val="24"/>
          <w:lang w:eastAsia="lv-LV" w:bidi="lo-LA"/>
        </w:rPr>
        <w:t>4</w:t>
      </w:r>
      <w:r w:rsidRPr="00E93259">
        <w:rPr>
          <w:rFonts w:ascii="Times New Roman" w:eastAsia="Times New Roman" w:hAnsi="Times New Roman"/>
          <w:sz w:val="24"/>
          <w:szCs w:val="24"/>
          <w:lang w:eastAsia="lv-LV" w:bidi="lo-LA"/>
        </w:rPr>
        <w:t>.tabula). Slimību izraisošās mutācijas noteikšana ļauj precizēt slimības prognozi, izvēlēties mērķtiecīgi ārstēšanas taktiku  un novērošanu dinamikā, samazinot pacientam neinformatīvo izmeklējumu slodzi, tajā skaitā, nemērķtiecīgi veikto speciālistu konsultāciju skaitu, samazinot rindas pie speciālistiem un uzlabojot ekonomisko efektivitāti. Atsevišķu mutāciju gadījumos (dažādās slimību grupās, ieskaitot kardioloģiju, onkoloģiju, īpaši jaundzimušo aprūpē un bērniem līdz 2 gadu vecumam, jo 2/3 ģenētisko slimību manifestējas šajā periodā) ir iespējama specifiska patoģenētiska ārstēšana, kas nav efektīva citu mutāciju gadījumos. Platformas iegāde un izmantošana ļaus apstiprināt mutācijas klīniski nozīmīgos gēnos un veikt slimību agrīnu diagnostiku un profilaksi, t.sk. hematoonkoloģijā (pārmantoto vēžu sindromi), kardioloģijā, jebkurā slimību grupā - mutācijas nesēja statusa noteikšana vecākiem mērķtiecīgai ģimenes plānošanai pārmantoto slimību gadījumos.</w:t>
      </w:r>
    </w:p>
    <w:p w14:paraId="410B824D" w14:textId="77777777" w:rsidR="00B0543D" w:rsidRDefault="00B0543D" w:rsidP="3AC8A380">
      <w:pPr>
        <w:spacing w:after="120" w:line="240" w:lineRule="auto"/>
        <w:ind w:firstLine="709"/>
        <w:jc w:val="right"/>
        <w:rPr>
          <w:rFonts w:ascii="Times New Roman" w:hAnsi="Times New Roman" w:cs="Times New Roman"/>
          <w:i/>
          <w:iCs/>
          <w:sz w:val="24"/>
          <w:szCs w:val="24"/>
        </w:rPr>
        <w:sectPr w:rsidR="00B0543D" w:rsidSect="00333B64">
          <w:pgSz w:w="12240" w:h="15840"/>
          <w:pgMar w:top="1440" w:right="1440" w:bottom="1440" w:left="1701" w:header="708" w:footer="708" w:gutter="0"/>
          <w:cols w:space="708"/>
          <w:docGrid w:linePitch="360"/>
        </w:sectPr>
      </w:pPr>
    </w:p>
    <w:p w14:paraId="779ED5BF" w14:textId="794AAE3E" w:rsidR="00A83A3F" w:rsidRPr="00E93259" w:rsidRDefault="00500E42" w:rsidP="3AC8A380">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lastRenderedPageBreak/>
        <w:t>110</w:t>
      </w:r>
      <w:r w:rsidR="00A83A3F" w:rsidRPr="3AC8A380">
        <w:rPr>
          <w:rFonts w:ascii="Times New Roman" w:hAnsi="Times New Roman" w:cs="Times New Roman"/>
          <w:i/>
          <w:iCs/>
          <w:sz w:val="24"/>
          <w:szCs w:val="24"/>
        </w:rPr>
        <w:t>.tabula</w:t>
      </w:r>
    </w:p>
    <w:p w14:paraId="237AFC18" w14:textId="0715E66F" w:rsidR="00A83A3F" w:rsidRDefault="00A83A3F" w:rsidP="00A83A3F">
      <w:pPr>
        <w:spacing w:after="120" w:line="240" w:lineRule="auto"/>
        <w:ind w:firstLine="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Molekulārās ģenētikas efektivitātes uzlabošanai</w:t>
      </w:r>
      <w:r w:rsidRPr="0012317D">
        <w:rPr>
          <w:rFonts w:ascii="Times New Roman" w:hAnsi="Times New Roman" w:cs="Times New Roman"/>
          <w:b/>
          <w:bCs/>
          <w:color w:val="000000" w:themeColor="text1"/>
          <w:sz w:val="24"/>
          <w:szCs w:val="24"/>
        </w:rPr>
        <w:t xml:space="preserve"> nepieciešamo iekārtu finansējums</w:t>
      </w:r>
      <w:r w:rsidR="00B0543D">
        <w:rPr>
          <w:rFonts w:ascii="Times New Roman" w:hAnsi="Times New Roman" w:cs="Times New Roman"/>
          <w:b/>
          <w:bCs/>
          <w:color w:val="000000" w:themeColor="text1"/>
          <w:sz w:val="24"/>
          <w:szCs w:val="24"/>
        </w:rPr>
        <w:t xml:space="preserve"> 2017., 2018. un 2019.gadam</w:t>
      </w:r>
    </w:p>
    <w:tbl>
      <w:tblPr>
        <w:tblW w:w="13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992"/>
        <w:gridCol w:w="851"/>
        <w:gridCol w:w="850"/>
        <w:gridCol w:w="851"/>
        <w:gridCol w:w="850"/>
        <w:gridCol w:w="992"/>
        <w:gridCol w:w="993"/>
        <w:gridCol w:w="708"/>
        <w:gridCol w:w="851"/>
        <w:gridCol w:w="709"/>
        <w:gridCol w:w="708"/>
        <w:gridCol w:w="709"/>
        <w:gridCol w:w="709"/>
      </w:tblGrid>
      <w:tr w:rsidR="00B0543D" w14:paraId="26C49F86" w14:textId="77777777" w:rsidTr="00077586">
        <w:trPr>
          <w:cantSplit/>
          <w:trHeight w:val="1505"/>
          <w:jc w:val="center"/>
        </w:trPr>
        <w:tc>
          <w:tcPr>
            <w:tcW w:w="425" w:type="dxa"/>
            <w:shd w:val="clear" w:color="auto" w:fill="E36C0A" w:themeFill="accent6" w:themeFillShade="BF"/>
          </w:tcPr>
          <w:p w14:paraId="1CCA092C" w14:textId="77777777" w:rsidR="00B0543D" w:rsidRPr="00847710" w:rsidRDefault="00B0543D" w:rsidP="00FC7D94">
            <w:pPr>
              <w:spacing w:after="0" w:line="240" w:lineRule="auto"/>
              <w:rPr>
                <w:rFonts w:ascii="Times New Roman" w:eastAsia="Times New Roman" w:hAnsi="Times New Roman" w:cs="Times New Roman"/>
                <w:b/>
                <w:bCs/>
                <w:sz w:val="20"/>
                <w:szCs w:val="20"/>
                <w:lang w:eastAsia="lv-LV"/>
              </w:rPr>
            </w:pPr>
          </w:p>
        </w:tc>
        <w:tc>
          <w:tcPr>
            <w:tcW w:w="2268" w:type="dxa"/>
            <w:shd w:val="clear" w:color="auto" w:fill="E36C0A" w:themeFill="accent6" w:themeFillShade="BF"/>
            <w:vAlign w:val="center"/>
            <w:hideMark/>
          </w:tcPr>
          <w:p w14:paraId="0DCEAC43" w14:textId="77777777" w:rsidR="00B0543D" w:rsidRPr="00847710" w:rsidRDefault="00B0543D" w:rsidP="00FC7D94">
            <w:pPr>
              <w:spacing w:after="0" w:line="240" w:lineRule="auto"/>
              <w:rPr>
                <w:rFonts w:ascii="Times New Roman" w:eastAsia="Times New Roman" w:hAnsi="Times New Roman" w:cs="Times New Roman"/>
                <w:b/>
                <w:bCs/>
                <w:sz w:val="20"/>
                <w:szCs w:val="20"/>
                <w:lang w:eastAsia="lv-LV"/>
              </w:rPr>
            </w:pPr>
          </w:p>
        </w:tc>
        <w:tc>
          <w:tcPr>
            <w:tcW w:w="992" w:type="dxa"/>
            <w:shd w:val="clear" w:color="auto" w:fill="E36C0A" w:themeFill="accent6" w:themeFillShade="BF"/>
            <w:textDirection w:val="btLr"/>
            <w:vAlign w:val="center"/>
            <w:hideMark/>
          </w:tcPr>
          <w:p w14:paraId="4CB3408F" w14:textId="77777777" w:rsidR="00B0543D" w:rsidRPr="00847710" w:rsidRDefault="00B0543D" w:rsidP="00FC7D9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Pr>
                <w:rFonts w:ascii="Times New Roman" w:eastAsia="Times New Roman" w:hAnsi="Times New Roman" w:cs="Times New Roman"/>
                <w:b/>
                <w:bCs/>
                <w:sz w:val="20"/>
                <w:szCs w:val="20"/>
                <w:lang w:eastAsia="lv-LV"/>
              </w:rPr>
              <w:t>iekārtas</w:t>
            </w:r>
          </w:p>
          <w:p w14:paraId="13C08CF6" w14:textId="77777777" w:rsidR="00B0543D" w:rsidRPr="00847710" w:rsidRDefault="00B0543D" w:rsidP="00FC7D94">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w:t>
            </w:r>
            <w:r w:rsidRPr="00847710">
              <w:rPr>
                <w:rFonts w:ascii="Times New Roman" w:eastAsia="Times New Roman" w:hAnsi="Times New Roman" w:cs="Times New Roman"/>
                <w:b/>
                <w:bCs/>
                <w:sz w:val="20"/>
                <w:szCs w:val="20"/>
                <w:lang w:eastAsia="lv-LV"/>
              </w:rPr>
              <w:t>zmaksas</w:t>
            </w:r>
          </w:p>
          <w:p w14:paraId="5CEC7921" w14:textId="77777777" w:rsidR="00B0543D" w:rsidRPr="00847710" w:rsidRDefault="00B0543D" w:rsidP="00FC7D94">
            <w:pPr>
              <w:spacing w:after="0" w:line="240" w:lineRule="auto"/>
              <w:ind w:left="113" w:right="113"/>
              <w:jc w:val="center"/>
              <w:rPr>
                <w:rFonts w:ascii="Times New Roman" w:eastAsia="Times New Roman" w:hAnsi="Times New Roman" w:cs="Times New Roman"/>
                <w:b/>
                <w:bCs/>
                <w:sz w:val="20"/>
                <w:szCs w:val="20"/>
                <w:lang w:eastAsia="lv-LV"/>
              </w:rPr>
            </w:pPr>
          </w:p>
        </w:tc>
        <w:tc>
          <w:tcPr>
            <w:tcW w:w="2552" w:type="dxa"/>
            <w:gridSpan w:val="3"/>
            <w:shd w:val="clear" w:color="auto" w:fill="E36C0A" w:themeFill="accent6" w:themeFillShade="BF"/>
            <w:textDirection w:val="btLr"/>
            <w:vAlign w:val="center"/>
          </w:tcPr>
          <w:p w14:paraId="76EFD6EE" w14:textId="77777777" w:rsidR="00B0543D" w:rsidRPr="00847710" w:rsidRDefault="00B0543D" w:rsidP="00FC7D94">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Plānotais finansējums</w:t>
            </w:r>
          </w:p>
        </w:tc>
        <w:tc>
          <w:tcPr>
            <w:tcW w:w="2835" w:type="dxa"/>
            <w:gridSpan w:val="3"/>
            <w:shd w:val="clear" w:color="auto" w:fill="E36C0A" w:themeFill="accent6" w:themeFillShade="BF"/>
            <w:textDirection w:val="btLr"/>
            <w:vAlign w:val="center"/>
          </w:tcPr>
          <w:p w14:paraId="6A155089" w14:textId="77777777" w:rsidR="00B0543D" w:rsidRPr="00847710" w:rsidRDefault="00B0543D" w:rsidP="00FC7D9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268" w:type="dxa"/>
            <w:gridSpan w:val="3"/>
            <w:shd w:val="clear" w:color="auto" w:fill="E36C0A" w:themeFill="accent6" w:themeFillShade="BF"/>
            <w:textDirection w:val="btLr"/>
            <w:vAlign w:val="center"/>
          </w:tcPr>
          <w:p w14:paraId="4EBF7D26" w14:textId="77777777" w:rsidR="00B0543D" w:rsidRPr="00847710" w:rsidRDefault="00B0543D" w:rsidP="00FC7D9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w:t>
            </w:r>
          </w:p>
        </w:tc>
        <w:tc>
          <w:tcPr>
            <w:tcW w:w="2126" w:type="dxa"/>
            <w:gridSpan w:val="3"/>
            <w:shd w:val="clear" w:color="auto" w:fill="E36C0A" w:themeFill="accent6" w:themeFillShade="BF"/>
            <w:textDirection w:val="btLr"/>
            <w:vAlign w:val="center"/>
          </w:tcPr>
          <w:p w14:paraId="2330EB6E" w14:textId="77777777" w:rsidR="00B0543D" w:rsidRPr="00847710" w:rsidRDefault="00B0543D" w:rsidP="00FC7D9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rsidR="00E11AFF" w14:paraId="1E20F980" w14:textId="77777777" w:rsidTr="00077586">
        <w:trPr>
          <w:trHeight w:val="640"/>
          <w:jc w:val="center"/>
        </w:trPr>
        <w:tc>
          <w:tcPr>
            <w:tcW w:w="425" w:type="dxa"/>
            <w:shd w:val="clear" w:color="auto" w:fill="FABF8F" w:themeFill="accent6" w:themeFillTint="99"/>
          </w:tcPr>
          <w:p w14:paraId="602892DF"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p>
        </w:tc>
        <w:tc>
          <w:tcPr>
            <w:tcW w:w="2268" w:type="dxa"/>
            <w:shd w:val="clear" w:color="auto" w:fill="FABF8F" w:themeFill="accent6" w:themeFillTint="99"/>
            <w:vAlign w:val="center"/>
          </w:tcPr>
          <w:p w14:paraId="0F9761E3"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p>
        </w:tc>
        <w:tc>
          <w:tcPr>
            <w:tcW w:w="992" w:type="dxa"/>
            <w:shd w:val="clear" w:color="auto" w:fill="FABF8F" w:themeFill="accent6" w:themeFillTint="99"/>
            <w:vAlign w:val="center"/>
          </w:tcPr>
          <w:p w14:paraId="3D92F205" w14:textId="77777777" w:rsidR="00B0543D" w:rsidRPr="00847710" w:rsidRDefault="00B0543D" w:rsidP="00FC7D94">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2019</w:t>
            </w:r>
          </w:p>
          <w:p w14:paraId="495B7844"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851" w:type="dxa"/>
            <w:shd w:val="clear" w:color="auto" w:fill="FABF8F" w:themeFill="accent6" w:themeFillTint="99"/>
            <w:vAlign w:val="center"/>
          </w:tcPr>
          <w:p w14:paraId="5521A95C" w14:textId="77777777" w:rsidR="00B0543D"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076B1467" w14:textId="77777777" w:rsidR="00B0543D" w:rsidRPr="0012317D" w:rsidRDefault="00B0543D"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31FA6F10" w14:textId="77777777" w:rsidR="00B0543D"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6F8382C4" w14:textId="77777777" w:rsidR="00B0543D" w:rsidRPr="0012317D" w:rsidRDefault="00B0543D"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1" w:type="dxa"/>
            <w:shd w:val="clear" w:color="auto" w:fill="FABF8F" w:themeFill="accent6" w:themeFillTint="99"/>
            <w:vAlign w:val="center"/>
          </w:tcPr>
          <w:p w14:paraId="233C7DC2" w14:textId="77777777" w:rsidR="00B0543D"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2019 </w:t>
            </w:r>
          </w:p>
          <w:p w14:paraId="62B14C53" w14:textId="77777777" w:rsidR="00B0543D" w:rsidRPr="0012317D" w:rsidRDefault="00B0543D"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850" w:type="dxa"/>
            <w:shd w:val="clear" w:color="auto" w:fill="FABF8F" w:themeFill="accent6" w:themeFillTint="99"/>
            <w:vAlign w:val="center"/>
          </w:tcPr>
          <w:p w14:paraId="46C9E59E" w14:textId="77777777" w:rsidR="00B0543D"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2017 </w:t>
            </w:r>
          </w:p>
          <w:p w14:paraId="4A7AB397" w14:textId="77777777" w:rsidR="00B0543D" w:rsidRPr="0012317D" w:rsidRDefault="00B0543D"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2" w:type="dxa"/>
            <w:shd w:val="clear" w:color="auto" w:fill="FABF8F" w:themeFill="accent6" w:themeFillTint="99"/>
            <w:vAlign w:val="center"/>
          </w:tcPr>
          <w:p w14:paraId="604895D9" w14:textId="77777777" w:rsidR="00B0543D"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2018 </w:t>
            </w:r>
          </w:p>
          <w:p w14:paraId="5BA9988C" w14:textId="77777777" w:rsidR="00B0543D" w:rsidRPr="0012317D" w:rsidRDefault="00B0543D" w:rsidP="00FC7D94">
            <w:pPr>
              <w:spacing w:after="0" w:line="240" w:lineRule="auto"/>
              <w:jc w:val="center"/>
              <w:rPr>
                <w:rFonts w:ascii="Times New Roman" w:eastAsia="Times New Roman" w:hAnsi="Times New Roman" w:cs="Times New Roman"/>
                <w:b/>
                <w:bCs/>
                <w:sz w:val="20"/>
                <w:szCs w:val="20"/>
                <w:lang w:eastAsia="lv-LV"/>
              </w:rPr>
            </w:pPr>
            <w:r w:rsidRPr="00DA4169">
              <w:rPr>
                <w:rFonts w:ascii="Times New Roman" w:eastAsia="Times New Roman" w:hAnsi="Times New Roman" w:cs="Times New Roman"/>
                <w:b/>
                <w:bCs/>
                <w:i/>
                <w:sz w:val="20"/>
                <w:szCs w:val="20"/>
                <w:lang w:eastAsia="lv-LV"/>
              </w:rPr>
              <w:t>(euro)</w:t>
            </w:r>
          </w:p>
        </w:tc>
        <w:tc>
          <w:tcPr>
            <w:tcW w:w="993" w:type="dxa"/>
            <w:shd w:val="clear" w:color="auto" w:fill="FABF8F" w:themeFill="accent6" w:themeFillTint="99"/>
            <w:vAlign w:val="center"/>
          </w:tcPr>
          <w:p w14:paraId="144E1039" w14:textId="77777777" w:rsidR="00B0543D" w:rsidRPr="00C86312" w:rsidRDefault="00B0543D" w:rsidP="00FC7D94">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1D11AA0" w14:textId="77777777" w:rsidR="00B0543D" w:rsidRPr="00C86312" w:rsidRDefault="00B0543D" w:rsidP="00FC7D94">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708" w:type="dxa"/>
            <w:shd w:val="clear" w:color="auto" w:fill="FABF8F" w:themeFill="accent6" w:themeFillTint="99"/>
            <w:vAlign w:val="center"/>
          </w:tcPr>
          <w:p w14:paraId="1DF71D48"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851" w:type="dxa"/>
            <w:shd w:val="clear" w:color="auto" w:fill="FABF8F" w:themeFill="accent6" w:themeFillTint="99"/>
            <w:vAlign w:val="center"/>
          </w:tcPr>
          <w:p w14:paraId="2C2B0CA1"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0A903C2E"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c>
          <w:tcPr>
            <w:tcW w:w="708" w:type="dxa"/>
            <w:shd w:val="clear" w:color="auto" w:fill="FABF8F" w:themeFill="accent6" w:themeFillTint="99"/>
            <w:vAlign w:val="center"/>
          </w:tcPr>
          <w:p w14:paraId="5A617352"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2017</w:t>
            </w:r>
          </w:p>
        </w:tc>
        <w:tc>
          <w:tcPr>
            <w:tcW w:w="709" w:type="dxa"/>
            <w:shd w:val="clear" w:color="auto" w:fill="FABF8F" w:themeFill="accent6" w:themeFillTint="99"/>
            <w:vAlign w:val="center"/>
          </w:tcPr>
          <w:p w14:paraId="6791FCFC"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2018</w:t>
            </w:r>
          </w:p>
        </w:tc>
        <w:tc>
          <w:tcPr>
            <w:tcW w:w="709" w:type="dxa"/>
            <w:shd w:val="clear" w:color="auto" w:fill="FABF8F" w:themeFill="accent6" w:themeFillTint="99"/>
            <w:vAlign w:val="center"/>
          </w:tcPr>
          <w:p w14:paraId="66A33479" w14:textId="77777777" w:rsidR="00B0543D" w:rsidRPr="00847710" w:rsidRDefault="00B0543D" w:rsidP="00FC7D9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B0543D" w14:paraId="3F01F251" w14:textId="77777777" w:rsidTr="00077586">
        <w:trPr>
          <w:trHeight w:val="598"/>
          <w:jc w:val="center"/>
        </w:trPr>
        <w:tc>
          <w:tcPr>
            <w:tcW w:w="425" w:type="dxa"/>
            <w:shd w:val="clear" w:color="auto" w:fill="FFFFFF" w:themeFill="background1"/>
          </w:tcPr>
          <w:p w14:paraId="72105A6B" w14:textId="77777777" w:rsidR="00B0543D" w:rsidRPr="00E1067B"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w:t>
            </w:r>
          </w:p>
        </w:tc>
        <w:tc>
          <w:tcPr>
            <w:tcW w:w="2268" w:type="dxa"/>
            <w:shd w:val="clear" w:color="auto" w:fill="FFFFFF" w:themeFill="background1"/>
            <w:vAlign w:val="bottom"/>
          </w:tcPr>
          <w:p w14:paraId="7869C08A" w14:textId="6D82F04E" w:rsidR="00B0543D" w:rsidRPr="00E1067B" w:rsidRDefault="00B0543D" w:rsidP="00B0543D">
            <w:pPr>
              <w:spacing w:after="0" w:line="240" w:lineRule="auto"/>
              <w:rPr>
                <w:rFonts w:ascii="Times New Roman" w:eastAsia="Times New Roman" w:hAnsi="Times New Roman" w:cs="Times New Roman"/>
                <w:bCs/>
                <w:sz w:val="20"/>
                <w:szCs w:val="20"/>
                <w:lang w:eastAsia="lv-LV"/>
              </w:rPr>
            </w:pPr>
            <w:r w:rsidRPr="000E60FD">
              <w:rPr>
                <w:rFonts w:ascii="Times New Roman" w:eastAsia="Times New Roman" w:hAnsi="Times New Roman" w:cs="Times New Roman"/>
                <w:sz w:val="20"/>
                <w:szCs w:val="20"/>
                <w:lang w:eastAsia="lv-LV"/>
              </w:rPr>
              <w:t>Komperatīvā genoma hibridizācijas (CGH), viena nukleotīda polimorfizma (SNP) skeneris un nākamās paaudzes sekvēšana</w:t>
            </w:r>
            <w:r>
              <w:rPr>
                <w:rFonts w:ascii="Times New Roman" w:eastAsia="Times New Roman" w:hAnsi="Times New Roman" w:cs="Times New Roman"/>
                <w:sz w:val="20"/>
                <w:szCs w:val="20"/>
                <w:lang w:eastAsia="lv-LV"/>
              </w:rPr>
              <w:t>s</w:t>
            </w:r>
            <w:r w:rsidRPr="000E60FD">
              <w:rPr>
                <w:rFonts w:ascii="Times New Roman" w:eastAsia="Times New Roman" w:hAnsi="Times New Roman" w:cs="Times New Roman"/>
                <w:sz w:val="20"/>
                <w:szCs w:val="20"/>
                <w:lang w:eastAsia="lv-LV"/>
              </w:rPr>
              <w:t xml:space="preserve"> (NGS)</w:t>
            </w:r>
            <w:r>
              <w:rPr>
                <w:rFonts w:ascii="Times New Roman" w:eastAsia="Times New Roman" w:hAnsi="Times New Roman" w:cs="Times New Roman"/>
                <w:sz w:val="20"/>
                <w:szCs w:val="20"/>
                <w:lang w:eastAsia="lv-LV"/>
              </w:rPr>
              <w:t xml:space="preserve"> iekārta</w:t>
            </w:r>
          </w:p>
        </w:tc>
        <w:tc>
          <w:tcPr>
            <w:tcW w:w="992" w:type="dxa"/>
            <w:shd w:val="clear" w:color="auto" w:fill="FFFFFF" w:themeFill="background1"/>
            <w:vAlign w:val="center"/>
          </w:tcPr>
          <w:p w14:paraId="0C0C7023" w14:textId="1287A218" w:rsidR="00B0543D" w:rsidRPr="00E1067B" w:rsidRDefault="00B0543D" w:rsidP="00B0543D">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sz w:val="20"/>
                <w:szCs w:val="20"/>
              </w:rPr>
              <w:t>484 000</w:t>
            </w:r>
          </w:p>
        </w:tc>
        <w:tc>
          <w:tcPr>
            <w:tcW w:w="851" w:type="dxa"/>
            <w:shd w:val="clear" w:color="auto" w:fill="FFFFFF" w:themeFill="background1"/>
            <w:vAlign w:val="center"/>
          </w:tcPr>
          <w:p w14:paraId="5436A7E2"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4FD379A5"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EEE8209" w14:textId="77777777" w:rsidR="00B0543D" w:rsidRPr="00E1067B"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1EFF7DF8"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4A905FBF"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3" w:type="dxa"/>
            <w:shd w:val="clear" w:color="auto" w:fill="FFFFFF" w:themeFill="background1"/>
            <w:vAlign w:val="center"/>
          </w:tcPr>
          <w:p w14:paraId="1FB5F542" w14:textId="1BE814C4" w:rsidR="00B0543D" w:rsidRPr="00030FAC" w:rsidRDefault="00B0543D" w:rsidP="00B0543D">
            <w:pPr>
              <w:spacing w:after="0" w:line="240" w:lineRule="auto"/>
              <w:jc w:val="center"/>
              <w:rPr>
                <w:rFonts w:ascii="Times New Roman" w:eastAsia="Times New Roman" w:hAnsi="Times New Roman" w:cs="Times New Roman"/>
                <w:bCs/>
                <w:sz w:val="16"/>
                <w:szCs w:val="16"/>
                <w:lang w:eastAsia="lv-LV"/>
              </w:rPr>
            </w:pPr>
            <w:r>
              <w:rPr>
                <w:rFonts w:ascii="Times New Roman" w:hAnsi="Times New Roman" w:cs="Times New Roman"/>
                <w:sz w:val="20"/>
                <w:szCs w:val="20"/>
              </w:rPr>
              <w:t>484 000</w:t>
            </w:r>
            <w:r w:rsidRPr="00847710">
              <w:rPr>
                <w:rFonts w:ascii="Times New Roman" w:hAnsi="Times New Roman" w:cs="Times New Roman"/>
                <w:sz w:val="20"/>
                <w:szCs w:val="20"/>
              </w:rPr>
              <w:t xml:space="preserve"> </w:t>
            </w:r>
          </w:p>
        </w:tc>
        <w:tc>
          <w:tcPr>
            <w:tcW w:w="708" w:type="dxa"/>
            <w:shd w:val="clear" w:color="auto" w:fill="FFFFFF" w:themeFill="background1"/>
            <w:vAlign w:val="center"/>
          </w:tcPr>
          <w:p w14:paraId="228EBAC6" w14:textId="77777777" w:rsidR="00B0543D" w:rsidRPr="00E1067B"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589FF094" w14:textId="77777777" w:rsidR="00B0543D" w:rsidRPr="00E1067B"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0ADD55E1" w14:textId="77777777" w:rsidR="00B0543D" w:rsidRPr="00E1067B"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8" w:type="dxa"/>
            <w:shd w:val="clear" w:color="auto" w:fill="FFFFFF" w:themeFill="background1"/>
            <w:vAlign w:val="center"/>
          </w:tcPr>
          <w:p w14:paraId="683452BB"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3A56C067"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2D1FFB8C" w14:textId="3FF1C669" w:rsidR="00B0543D" w:rsidRPr="000233A7" w:rsidRDefault="00B0543D" w:rsidP="00B0543D">
            <w:pPr>
              <w:spacing w:after="0" w:line="240" w:lineRule="auto"/>
              <w:jc w:val="center"/>
              <w:rPr>
                <w:rFonts w:ascii="Times New Roman" w:eastAsia="Times New Roman" w:hAnsi="Times New Roman" w:cs="Times New Roman"/>
                <w:bCs/>
                <w:sz w:val="20"/>
                <w:szCs w:val="20"/>
                <w:lang w:eastAsia="lv-LV"/>
              </w:rPr>
            </w:pPr>
            <w:r w:rsidRPr="000233A7">
              <w:rPr>
                <w:rFonts w:ascii="Times New Roman" w:hAnsi="Times New Roman" w:cs="Times New Roman"/>
                <w:bCs/>
                <w:sz w:val="20"/>
                <w:szCs w:val="20"/>
              </w:rPr>
              <w:t>1</w:t>
            </w:r>
          </w:p>
        </w:tc>
      </w:tr>
      <w:tr w:rsidR="00B0543D" w14:paraId="15A1D562" w14:textId="77777777" w:rsidTr="00077586">
        <w:trPr>
          <w:trHeight w:val="386"/>
          <w:jc w:val="center"/>
        </w:trPr>
        <w:tc>
          <w:tcPr>
            <w:tcW w:w="425" w:type="dxa"/>
            <w:shd w:val="clear" w:color="auto" w:fill="FFFFFF" w:themeFill="background1"/>
          </w:tcPr>
          <w:p w14:paraId="48B9D9B4"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w:t>
            </w:r>
          </w:p>
        </w:tc>
        <w:tc>
          <w:tcPr>
            <w:tcW w:w="2268" w:type="dxa"/>
            <w:shd w:val="clear" w:color="auto" w:fill="FFFFFF" w:themeFill="background1"/>
            <w:vAlign w:val="bottom"/>
          </w:tcPr>
          <w:p w14:paraId="1CE1A4C9" w14:textId="50AE688B" w:rsidR="00B0543D" w:rsidRPr="00847710" w:rsidRDefault="00B0543D" w:rsidP="00B0543D">
            <w:pPr>
              <w:spacing w:after="0" w:line="240" w:lineRule="auto"/>
              <w:rPr>
                <w:rFonts w:ascii="Times New Roman" w:eastAsia="Times New Roman" w:hAnsi="Times New Roman" w:cs="Times New Roman"/>
                <w:sz w:val="20"/>
                <w:szCs w:val="20"/>
                <w:lang w:eastAsia="lv-LV"/>
              </w:rPr>
            </w:pPr>
            <w:r w:rsidRPr="000E60FD">
              <w:rPr>
                <w:rFonts w:ascii="Times New Roman" w:eastAsia="Times New Roman" w:hAnsi="Times New Roman" w:cs="Times New Roman"/>
                <w:sz w:val="20"/>
                <w:szCs w:val="20"/>
                <w:lang w:eastAsia="lv-LV"/>
              </w:rPr>
              <w:t>Sekvenēšanas platforma ar datoraprīkojumu</w:t>
            </w:r>
          </w:p>
        </w:tc>
        <w:tc>
          <w:tcPr>
            <w:tcW w:w="992" w:type="dxa"/>
            <w:shd w:val="clear" w:color="auto" w:fill="FFFFFF" w:themeFill="background1"/>
            <w:vAlign w:val="center"/>
          </w:tcPr>
          <w:p w14:paraId="177B770F" w14:textId="6BFDB431" w:rsidR="00B0543D" w:rsidRDefault="00B0543D" w:rsidP="00B05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193 593</w:t>
            </w:r>
          </w:p>
        </w:tc>
        <w:tc>
          <w:tcPr>
            <w:tcW w:w="851" w:type="dxa"/>
            <w:shd w:val="clear" w:color="auto" w:fill="FFFFFF" w:themeFill="background1"/>
            <w:vAlign w:val="center"/>
          </w:tcPr>
          <w:p w14:paraId="76932B39"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06EE336E"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B37B10A"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0" w:type="dxa"/>
            <w:shd w:val="clear" w:color="auto" w:fill="FFFFFF" w:themeFill="background1"/>
            <w:vAlign w:val="center"/>
          </w:tcPr>
          <w:p w14:paraId="228FC1AC"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992" w:type="dxa"/>
            <w:shd w:val="clear" w:color="auto" w:fill="FFFFFF" w:themeFill="background1"/>
            <w:vAlign w:val="center"/>
          </w:tcPr>
          <w:p w14:paraId="0005B2D6" w14:textId="77777777" w:rsidR="00B0543D" w:rsidRDefault="00B0543D" w:rsidP="00B05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shd w:val="clear" w:color="auto" w:fill="FFFFFF" w:themeFill="background1"/>
            <w:vAlign w:val="center"/>
          </w:tcPr>
          <w:p w14:paraId="75AA7CED" w14:textId="64E8F971" w:rsidR="00B0543D" w:rsidRDefault="00B0543D" w:rsidP="00B054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193 593</w:t>
            </w:r>
          </w:p>
        </w:tc>
        <w:tc>
          <w:tcPr>
            <w:tcW w:w="708" w:type="dxa"/>
            <w:shd w:val="clear" w:color="auto" w:fill="FFFFFF" w:themeFill="background1"/>
            <w:vAlign w:val="center"/>
          </w:tcPr>
          <w:p w14:paraId="2887915A"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851" w:type="dxa"/>
            <w:shd w:val="clear" w:color="auto" w:fill="FFFFFF" w:themeFill="background1"/>
            <w:vAlign w:val="center"/>
          </w:tcPr>
          <w:p w14:paraId="73DFF7B1"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722E44DF"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8" w:type="dxa"/>
            <w:shd w:val="clear" w:color="auto" w:fill="FFFFFF" w:themeFill="background1"/>
            <w:vAlign w:val="center"/>
          </w:tcPr>
          <w:p w14:paraId="74151DB6" w14:textId="77777777" w:rsidR="00B0543D" w:rsidRDefault="00B0543D" w:rsidP="00B0543D">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w:t>
            </w:r>
          </w:p>
        </w:tc>
        <w:tc>
          <w:tcPr>
            <w:tcW w:w="709" w:type="dxa"/>
            <w:shd w:val="clear" w:color="auto" w:fill="FFFFFF" w:themeFill="background1"/>
            <w:vAlign w:val="center"/>
          </w:tcPr>
          <w:p w14:paraId="6921D550" w14:textId="77777777" w:rsidR="00B0543D" w:rsidRPr="000233A7" w:rsidRDefault="00B0543D" w:rsidP="00B0543D">
            <w:pPr>
              <w:spacing w:after="0" w:line="240" w:lineRule="auto"/>
              <w:jc w:val="center"/>
              <w:rPr>
                <w:rFonts w:ascii="Times New Roman" w:hAnsi="Times New Roman" w:cs="Times New Roman"/>
                <w:b/>
                <w:bCs/>
                <w:sz w:val="20"/>
                <w:szCs w:val="20"/>
              </w:rPr>
            </w:pPr>
            <w:r w:rsidRPr="000233A7">
              <w:rPr>
                <w:rFonts w:ascii="Times New Roman" w:hAnsi="Times New Roman" w:cs="Times New Roman"/>
                <w:b/>
                <w:bCs/>
                <w:sz w:val="20"/>
                <w:szCs w:val="20"/>
              </w:rPr>
              <w:t>-</w:t>
            </w:r>
          </w:p>
        </w:tc>
        <w:tc>
          <w:tcPr>
            <w:tcW w:w="709" w:type="dxa"/>
            <w:shd w:val="clear" w:color="auto" w:fill="FFFFFF" w:themeFill="background1"/>
            <w:vAlign w:val="center"/>
          </w:tcPr>
          <w:p w14:paraId="52014430" w14:textId="222ADB69" w:rsidR="00B0543D" w:rsidRPr="000233A7" w:rsidRDefault="00B0543D" w:rsidP="00B0543D">
            <w:pPr>
              <w:spacing w:after="0" w:line="240" w:lineRule="auto"/>
              <w:jc w:val="center"/>
              <w:rPr>
                <w:rFonts w:ascii="Times New Roman" w:hAnsi="Times New Roman" w:cs="Times New Roman"/>
                <w:bCs/>
                <w:sz w:val="20"/>
                <w:szCs w:val="20"/>
              </w:rPr>
            </w:pPr>
            <w:r w:rsidRPr="000233A7">
              <w:rPr>
                <w:rFonts w:ascii="Times New Roman" w:hAnsi="Times New Roman" w:cs="Times New Roman"/>
                <w:bCs/>
                <w:sz w:val="20"/>
                <w:szCs w:val="20"/>
              </w:rPr>
              <w:t>1</w:t>
            </w:r>
          </w:p>
        </w:tc>
      </w:tr>
      <w:tr w:rsidR="00B0543D" w14:paraId="6E755191" w14:textId="77777777" w:rsidTr="00077586">
        <w:trPr>
          <w:trHeight w:val="296"/>
          <w:jc w:val="center"/>
        </w:trPr>
        <w:tc>
          <w:tcPr>
            <w:tcW w:w="425" w:type="dxa"/>
            <w:shd w:val="clear" w:color="auto" w:fill="FBD4B4" w:themeFill="accent6" w:themeFillTint="66"/>
          </w:tcPr>
          <w:p w14:paraId="6EE36767" w14:textId="77777777" w:rsidR="00B0543D" w:rsidRPr="00847710" w:rsidRDefault="00B0543D" w:rsidP="00B0543D">
            <w:pPr>
              <w:spacing w:after="0" w:line="240" w:lineRule="auto"/>
              <w:rPr>
                <w:rFonts w:ascii="Times New Roman" w:eastAsia="Times New Roman" w:hAnsi="Times New Roman" w:cs="Times New Roman"/>
                <w:sz w:val="20"/>
                <w:szCs w:val="20"/>
                <w:lang w:eastAsia="lv-LV"/>
              </w:rPr>
            </w:pPr>
          </w:p>
        </w:tc>
        <w:tc>
          <w:tcPr>
            <w:tcW w:w="2268" w:type="dxa"/>
            <w:shd w:val="clear" w:color="auto" w:fill="FBD4B4" w:themeFill="accent6" w:themeFillTint="66"/>
            <w:vAlign w:val="bottom"/>
          </w:tcPr>
          <w:p w14:paraId="2502D72D" w14:textId="77777777" w:rsidR="00B0543D" w:rsidRPr="00847710" w:rsidRDefault="00B0543D" w:rsidP="00B0543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992" w:type="dxa"/>
            <w:shd w:val="clear" w:color="auto" w:fill="FBD4B4" w:themeFill="accent6" w:themeFillTint="66"/>
            <w:noWrap/>
            <w:vAlign w:val="bottom"/>
          </w:tcPr>
          <w:p w14:paraId="79059D74" w14:textId="77777777" w:rsidR="00B0543D" w:rsidRPr="00847710" w:rsidRDefault="00B0543D" w:rsidP="00B0543D">
            <w:pPr>
              <w:spacing w:after="0" w:line="240" w:lineRule="auto"/>
              <w:jc w:val="center"/>
              <w:rPr>
                <w:rFonts w:ascii="Times New Roman" w:eastAsia="Times New Roman" w:hAnsi="Times New Roman" w:cs="Times New Roman"/>
                <w:sz w:val="20"/>
                <w:szCs w:val="20"/>
                <w:lang w:eastAsia="lv-LV"/>
              </w:rPr>
            </w:pPr>
          </w:p>
        </w:tc>
        <w:tc>
          <w:tcPr>
            <w:tcW w:w="851" w:type="dxa"/>
            <w:shd w:val="clear" w:color="auto" w:fill="FBD4B4" w:themeFill="accent6" w:themeFillTint="66"/>
            <w:vAlign w:val="center"/>
          </w:tcPr>
          <w:p w14:paraId="67766F9D" w14:textId="77777777" w:rsidR="00B0543D" w:rsidRPr="00847710" w:rsidRDefault="00B0543D" w:rsidP="00B0543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45A4B945" w14:textId="77777777" w:rsidR="00B0543D" w:rsidRPr="00847710" w:rsidRDefault="00B0543D" w:rsidP="00B0543D">
            <w:pPr>
              <w:spacing w:after="0" w:line="240" w:lineRule="auto"/>
              <w:jc w:val="center"/>
              <w:rPr>
                <w:rFonts w:ascii="Times New Roman" w:hAnsi="Times New Roman" w:cs="Times New Roman"/>
                <w:sz w:val="20"/>
                <w:szCs w:val="20"/>
              </w:rPr>
            </w:pPr>
          </w:p>
        </w:tc>
        <w:tc>
          <w:tcPr>
            <w:tcW w:w="851" w:type="dxa"/>
            <w:shd w:val="clear" w:color="auto" w:fill="FBD4B4" w:themeFill="accent6" w:themeFillTint="66"/>
            <w:vAlign w:val="center"/>
          </w:tcPr>
          <w:p w14:paraId="5B6460BC" w14:textId="77777777" w:rsidR="00B0543D" w:rsidRPr="00847710" w:rsidRDefault="00B0543D" w:rsidP="00B0543D">
            <w:pPr>
              <w:spacing w:after="0" w:line="240" w:lineRule="auto"/>
              <w:jc w:val="center"/>
              <w:rPr>
                <w:rFonts w:ascii="Times New Roman" w:hAnsi="Times New Roman" w:cs="Times New Roman"/>
                <w:sz w:val="20"/>
                <w:szCs w:val="20"/>
              </w:rPr>
            </w:pPr>
          </w:p>
        </w:tc>
        <w:tc>
          <w:tcPr>
            <w:tcW w:w="850" w:type="dxa"/>
            <w:shd w:val="clear" w:color="auto" w:fill="FBD4B4" w:themeFill="accent6" w:themeFillTint="66"/>
            <w:vAlign w:val="center"/>
          </w:tcPr>
          <w:p w14:paraId="34DFEFE1" w14:textId="77777777" w:rsidR="00B0543D" w:rsidRPr="00847710" w:rsidRDefault="00B0543D" w:rsidP="00B0543D">
            <w:pPr>
              <w:spacing w:after="0" w:line="240" w:lineRule="auto"/>
              <w:jc w:val="center"/>
              <w:rPr>
                <w:rFonts w:ascii="Times New Roman" w:hAnsi="Times New Roman" w:cs="Times New Roman"/>
                <w:sz w:val="20"/>
                <w:szCs w:val="20"/>
              </w:rPr>
            </w:pPr>
          </w:p>
        </w:tc>
        <w:tc>
          <w:tcPr>
            <w:tcW w:w="992" w:type="dxa"/>
            <w:shd w:val="clear" w:color="auto" w:fill="FBD4B4" w:themeFill="accent6" w:themeFillTint="66"/>
            <w:vAlign w:val="center"/>
          </w:tcPr>
          <w:p w14:paraId="0E024D94" w14:textId="77777777" w:rsidR="00B0543D" w:rsidRPr="00847710" w:rsidRDefault="00B0543D" w:rsidP="00B0543D">
            <w:pPr>
              <w:spacing w:after="0" w:line="240" w:lineRule="auto"/>
              <w:jc w:val="center"/>
              <w:rPr>
                <w:rFonts w:ascii="Times New Roman" w:hAnsi="Times New Roman" w:cs="Times New Roman"/>
                <w:sz w:val="20"/>
                <w:szCs w:val="20"/>
              </w:rPr>
            </w:pPr>
          </w:p>
        </w:tc>
        <w:tc>
          <w:tcPr>
            <w:tcW w:w="993" w:type="dxa"/>
            <w:shd w:val="clear" w:color="auto" w:fill="FBD4B4" w:themeFill="accent6" w:themeFillTint="66"/>
            <w:noWrap/>
            <w:vAlign w:val="center"/>
          </w:tcPr>
          <w:p w14:paraId="0966DB25" w14:textId="6348BBCC" w:rsidR="00B0543D" w:rsidRPr="000233A7" w:rsidRDefault="00B0543D" w:rsidP="00B0543D">
            <w:pPr>
              <w:spacing w:after="0" w:line="240" w:lineRule="auto"/>
              <w:jc w:val="center"/>
              <w:rPr>
                <w:rFonts w:ascii="Times New Roman" w:eastAsia="Times New Roman" w:hAnsi="Times New Roman" w:cs="Times New Roman"/>
                <w:b/>
                <w:sz w:val="16"/>
                <w:szCs w:val="16"/>
                <w:lang w:eastAsia="lv-LV"/>
              </w:rPr>
            </w:pPr>
            <w:r w:rsidRPr="000233A7">
              <w:rPr>
                <w:rFonts w:ascii="Times New Roman" w:hAnsi="Times New Roman" w:cs="Times New Roman"/>
                <w:b/>
                <w:sz w:val="20"/>
                <w:szCs w:val="20"/>
              </w:rPr>
              <w:t>677 593</w:t>
            </w:r>
          </w:p>
        </w:tc>
        <w:tc>
          <w:tcPr>
            <w:tcW w:w="708" w:type="dxa"/>
            <w:shd w:val="clear" w:color="auto" w:fill="FBD4B4" w:themeFill="accent6" w:themeFillTint="66"/>
            <w:vAlign w:val="center"/>
          </w:tcPr>
          <w:p w14:paraId="49F1CCA5" w14:textId="77777777" w:rsidR="00B0543D" w:rsidRPr="000233A7" w:rsidRDefault="00B0543D" w:rsidP="00B0543D">
            <w:pPr>
              <w:spacing w:after="0" w:line="240" w:lineRule="auto"/>
              <w:jc w:val="center"/>
              <w:rPr>
                <w:rFonts w:ascii="Times New Roman" w:hAnsi="Times New Roman" w:cs="Times New Roman"/>
                <w:b/>
                <w:bCs/>
                <w:sz w:val="20"/>
                <w:szCs w:val="20"/>
              </w:rPr>
            </w:pPr>
          </w:p>
        </w:tc>
        <w:tc>
          <w:tcPr>
            <w:tcW w:w="851" w:type="dxa"/>
            <w:shd w:val="clear" w:color="auto" w:fill="FBD4B4" w:themeFill="accent6" w:themeFillTint="66"/>
            <w:vAlign w:val="center"/>
          </w:tcPr>
          <w:p w14:paraId="5C44A43D" w14:textId="77777777" w:rsidR="00B0543D" w:rsidRPr="000233A7" w:rsidRDefault="00B0543D" w:rsidP="00B0543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505DB13E" w14:textId="77777777" w:rsidR="00B0543D" w:rsidRPr="000233A7" w:rsidRDefault="00B0543D" w:rsidP="00B0543D">
            <w:pPr>
              <w:spacing w:after="0" w:line="240" w:lineRule="auto"/>
              <w:jc w:val="center"/>
              <w:rPr>
                <w:rFonts w:ascii="Times New Roman" w:hAnsi="Times New Roman" w:cs="Times New Roman"/>
                <w:b/>
                <w:bCs/>
                <w:sz w:val="20"/>
                <w:szCs w:val="20"/>
              </w:rPr>
            </w:pPr>
          </w:p>
        </w:tc>
        <w:tc>
          <w:tcPr>
            <w:tcW w:w="708" w:type="dxa"/>
            <w:shd w:val="clear" w:color="auto" w:fill="FBD4B4" w:themeFill="accent6" w:themeFillTint="66"/>
            <w:vAlign w:val="center"/>
          </w:tcPr>
          <w:p w14:paraId="356585BE" w14:textId="77777777" w:rsidR="00B0543D" w:rsidRPr="000233A7" w:rsidRDefault="00B0543D" w:rsidP="00B0543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vAlign w:val="center"/>
          </w:tcPr>
          <w:p w14:paraId="12C8AB49" w14:textId="77777777" w:rsidR="00B0543D" w:rsidRPr="000233A7" w:rsidRDefault="00B0543D" w:rsidP="00B0543D">
            <w:pPr>
              <w:spacing w:after="0" w:line="240" w:lineRule="auto"/>
              <w:jc w:val="center"/>
              <w:rPr>
                <w:rFonts w:ascii="Times New Roman" w:hAnsi="Times New Roman" w:cs="Times New Roman"/>
                <w:b/>
                <w:bCs/>
                <w:sz w:val="20"/>
                <w:szCs w:val="20"/>
              </w:rPr>
            </w:pPr>
          </w:p>
        </w:tc>
        <w:tc>
          <w:tcPr>
            <w:tcW w:w="709" w:type="dxa"/>
            <w:shd w:val="clear" w:color="auto" w:fill="FBD4B4" w:themeFill="accent6" w:themeFillTint="66"/>
            <w:noWrap/>
            <w:vAlign w:val="center"/>
          </w:tcPr>
          <w:p w14:paraId="375FBA28" w14:textId="096A69E3" w:rsidR="00B0543D" w:rsidRPr="000233A7" w:rsidRDefault="00B0543D" w:rsidP="00B0543D">
            <w:pPr>
              <w:spacing w:after="0" w:line="240" w:lineRule="auto"/>
              <w:jc w:val="center"/>
              <w:rPr>
                <w:rFonts w:ascii="Times New Roman" w:eastAsia="Times New Roman" w:hAnsi="Times New Roman" w:cs="Times New Roman"/>
                <w:b/>
                <w:bCs/>
                <w:sz w:val="20"/>
                <w:szCs w:val="20"/>
                <w:lang w:eastAsia="lv-LV"/>
              </w:rPr>
            </w:pPr>
            <w:r w:rsidRPr="000233A7">
              <w:rPr>
                <w:rFonts w:ascii="Times New Roman" w:hAnsi="Times New Roman" w:cs="Times New Roman"/>
                <w:b/>
                <w:bCs/>
                <w:sz w:val="20"/>
                <w:szCs w:val="20"/>
              </w:rPr>
              <w:t>2</w:t>
            </w:r>
          </w:p>
        </w:tc>
      </w:tr>
    </w:tbl>
    <w:p w14:paraId="1E72A09F" w14:textId="6DAF3C86" w:rsidR="00B0543D" w:rsidRDefault="00B0543D" w:rsidP="0042613F">
      <w:pPr>
        <w:shd w:val="clear" w:color="auto" w:fill="FFFFFF" w:themeFill="background1"/>
        <w:sectPr w:rsidR="00B0543D" w:rsidSect="00B0543D">
          <w:pgSz w:w="15840" w:h="12240" w:orient="landscape"/>
          <w:pgMar w:top="1701" w:right="1440" w:bottom="1440" w:left="1440" w:header="709" w:footer="709" w:gutter="0"/>
          <w:cols w:space="708"/>
          <w:docGrid w:linePitch="360"/>
        </w:sectPr>
      </w:pPr>
    </w:p>
    <w:p w14:paraId="4AA3D278" w14:textId="71928E86" w:rsidR="00223EE4" w:rsidRPr="009F7218" w:rsidRDefault="00223EE4" w:rsidP="0042613F">
      <w:pPr>
        <w:shd w:val="clear" w:color="auto" w:fill="FFFFFF" w:themeFill="background1"/>
      </w:pPr>
    </w:p>
    <w:p w14:paraId="267F53D0" w14:textId="79771566" w:rsidR="003D1B96" w:rsidRPr="000C3D0E" w:rsidRDefault="0071331A" w:rsidP="000C3D0E">
      <w:pPr>
        <w:pStyle w:val="Heading1"/>
        <w:spacing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Reformu īstenošanai nepieciešamā finansējuma kopsavilkums</w:t>
      </w:r>
    </w:p>
    <w:p w14:paraId="7DBF2475" w14:textId="76F14CCC" w:rsidR="00621704" w:rsidRPr="00E93259" w:rsidRDefault="00500E42" w:rsidP="3AC8A380">
      <w:pPr>
        <w:jc w:val="right"/>
        <w:rPr>
          <w:rFonts w:ascii="Times New Roman" w:hAnsi="Times New Roman" w:cs="Times New Roman"/>
          <w:i/>
          <w:iCs/>
          <w:sz w:val="24"/>
          <w:szCs w:val="24"/>
          <w:lang w:eastAsia="lv-LV"/>
        </w:rPr>
      </w:pPr>
      <w:r>
        <w:rPr>
          <w:rFonts w:ascii="Times New Roman" w:hAnsi="Times New Roman" w:cs="Times New Roman"/>
          <w:i/>
          <w:iCs/>
          <w:sz w:val="24"/>
          <w:szCs w:val="24"/>
          <w:lang w:eastAsia="lv-LV"/>
        </w:rPr>
        <w:t>111</w:t>
      </w:r>
      <w:r w:rsidR="0071331A" w:rsidRPr="3AC8A380">
        <w:rPr>
          <w:rFonts w:ascii="Times New Roman" w:hAnsi="Times New Roman" w:cs="Times New Roman"/>
          <w:i/>
          <w:iCs/>
          <w:sz w:val="24"/>
          <w:szCs w:val="24"/>
          <w:lang w:eastAsia="lv-LV"/>
        </w:rPr>
        <w:t>.tabula</w:t>
      </w:r>
    </w:p>
    <w:p w14:paraId="28E68ACD" w14:textId="6836EE08" w:rsidR="00621704" w:rsidRPr="000C3D0E" w:rsidRDefault="00D43A3B">
      <w:pPr>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Turpinot iesāktos r</w:t>
      </w:r>
      <w:r w:rsidR="0071331A" w:rsidRPr="0012317D">
        <w:rPr>
          <w:rFonts w:ascii="Times New Roman" w:hAnsi="Times New Roman" w:cs="Times New Roman"/>
          <w:b/>
          <w:bCs/>
          <w:sz w:val="24"/>
          <w:szCs w:val="24"/>
          <w:lang w:eastAsia="lv-LV"/>
        </w:rPr>
        <w:t xml:space="preserve">eformu </w:t>
      </w:r>
      <w:r>
        <w:rPr>
          <w:rFonts w:ascii="Times New Roman" w:hAnsi="Times New Roman" w:cs="Times New Roman"/>
          <w:b/>
          <w:bCs/>
          <w:sz w:val="24"/>
          <w:szCs w:val="24"/>
          <w:lang w:eastAsia="lv-LV"/>
        </w:rPr>
        <w:t xml:space="preserve">pasākumu </w:t>
      </w:r>
      <w:r w:rsidR="0071331A" w:rsidRPr="0012317D">
        <w:rPr>
          <w:rFonts w:ascii="Times New Roman" w:hAnsi="Times New Roman" w:cs="Times New Roman"/>
          <w:b/>
          <w:bCs/>
          <w:sz w:val="24"/>
          <w:szCs w:val="24"/>
          <w:lang w:eastAsia="lv-LV"/>
        </w:rPr>
        <w:t>īstenošanai nepieciešamais finansējums</w:t>
      </w:r>
    </w:p>
    <w:tbl>
      <w:tblPr>
        <w:tblW w:w="8647" w:type="dxa"/>
        <w:jc w:val="center"/>
        <w:tblLook w:val="04A0" w:firstRow="1" w:lastRow="0" w:firstColumn="1" w:lastColumn="0" w:noHBand="0" w:noVBand="1"/>
      </w:tblPr>
      <w:tblGrid>
        <w:gridCol w:w="5180"/>
        <w:gridCol w:w="1701"/>
        <w:gridCol w:w="1766"/>
      </w:tblGrid>
      <w:tr w:rsidR="00591368" w14:paraId="069E0048" w14:textId="77777777" w:rsidTr="00E93259">
        <w:trPr>
          <w:trHeight w:val="600"/>
          <w:jc w:val="center"/>
        </w:trPr>
        <w:tc>
          <w:tcPr>
            <w:tcW w:w="518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2F679C56" w14:textId="77777777" w:rsidR="008F1508" w:rsidRPr="00FE4F35" w:rsidRDefault="0071331A" w:rsidP="00AB7C24">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Reformas pasākums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34E55C1F" w14:textId="77777777" w:rsidR="008F1508" w:rsidRPr="00FE4F35" w:rsidRDefault="0071331A" w:rsidP="008F1508">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 xml:space="preserve">Finansējums, </w:t>
            </w:r>
            <w:r w:rsidRPr="00746D68">
              <w:rPr>
                <w:rFonts w:ascii="Times New Roman" w:eastAsia="Times New Roman" w:hAnsi="Times New Roman" w:cs="Times New Roman"/>
                <w:i/>
                <w:lang w:eastAsia="lv-LV"/>
              </w:rPr>
              <w:t>euro</w:t>
            </w:r>
          </w:p>
        </w:tc>
        <w:tc>
          <w:tcPr>
            <w:tcW w:w="1766"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5E0BD2AC" w14:textId="77777777" w:rsidR="008F1508" w:rsidRPr="00FE4F35" w:rsidRDefault="0071331A" w:rsidP="008F1508">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Budžeta apakšprogramma</w:t>
            </w:r>
          </w:p>
        </w:tc>
      </w:tr>
      <w:tr w:rsidR="00591368" w14:paraId="62844051"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67D7DEE"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1. Veselības aprūpes pakalpojumu pieejamība</w:t>
            </w:r>
          </w:p>
        </w:tc>
        <w:tc>
          <w:tcPr>
            <w:tcW w:w="1701" w:type="dxa"/>
            <w:tcBorders>
              <w:top w:val="nil"/>
              <w:left w:val="nil"/>
              <w:bottom w:val="single" w:sz="4" w:space="0" w:color="auto"/>
              <w:right w:val="single" w:sz="4" w:space="0" w:color="auto"/>
            </w:tcBorders>
            <w:shd w:val="clear" w:color="auto" w:fill="auto"/>
            <w:noWrap/>
            <w:vAlign w:val="bottom"/>
            <w:hideMark/>
          </w:tcPr>
          <w:p w14:paraId="47550102" w14:textId="368CD023" w:rsidR="00F50D6C" w:rsidRPr="00FE4F35" w:rsidRDefault="0076233F" w:rsidP="00041553">
            <w:pPr>
              <w:spacing w:after="0" w:line="240" w:lineRule="auto"/>
              <w:jc w:val="center"/>
              <w:rPr>
                <w:rFonts w:ascii="Times New Roman" w:eastAsia="Times New Roman" w:hAnsi="Times New Roman" w:cs="Times New Roman"/>
                <w:b/>
                <w:bCs/>
                <w:lang w:eastAsia="lv-LV"/>
              </w:rPr>
            </w:pPr>
            <w:r>
              <w:rPr>
                <w:rFonts w:ascii="Times New Roman" w:hAnsi="Times New Roman" w:cs="Times New Roman"/>
                <w:b/>
                <w:bCs/>
              </w:rPr>
              <w:t>50 848 118</w:t>
            </w:r>
          </w:p>
        </w:tc>
        <w:tc>
          <w:tcPr>
            <w:tcW w:w="1766" w:type="dxa"/>
            <w:tcBorders>
              <w:top w:val="nil"/>
              <w:left w:val="nil"/>
              <w:bottom w:val="single" w:sz="4" w:space="0" w:color="auto"/>
              <w:right w:val="single" w:sz="4" w:space="0" w:color="auto"/>
            </w:tcBorders>
            <w:shd w:val="clear" w:color="auto" w:fill="auto"/>
            <w:noWrap/>
            <w:vAlign w:val="bottom"/>
            <w:hideMark/>
          </w:tcPr>
          <w:p w14:paraId="231472C9" w14:textId="77777777" w:rsidR="00F50D6C" w:rsidRPr="00FE4F35" w:rsidRDefault="0071331A" w:rsidP="00F50D6C">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D43A3B" w14:paraId="4C0BB333"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6A43F37" w14:textId="53199A64" w:rsidR="00D43A3B" w:rsidRPr="00D43A3B"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Speciālistu konsultācijas</w:t>
            </w:r>
          </w:p>
        </w:tc>
        <w:tc>
          <w:tcPr>
            <w:tcW w:w="1701" w:type="dxa"/>
            <w:tcBorders>
              <w:top w:val="nil"/>
              <w:left w:val="nil"/>
              <w:bottom w:val="single" w:sz="4" w:space="0" w:color="auto"/>
              <w:right w:val="single" w:sz="4" w:space="0" w:color="auto"/>
            </w:tcBorders>
            <w:shd w:val="clear" w:color="auto" w:fill="auto"/>
            <w:noWrap/>
            <w:vAlign w:val="center"/>
            <w:hideMark/>
          </w:tcPr>
          <w:p w14:paraId="6619E803" w14:textId="03FAF694"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8</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613</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724</w:t>
            </w:r>
          </w:p>
        </w:tc>
        <w:tc>
          <w:tcPr>
            <w:tcW w:w="1766" w:type="dxa"/>
            <w:tcBorders>
              <w:top w:val="nil"/>
              <w:left w:val="nil"/>
              <w:bottom w:val="single" w:sz="4" w:space="0" w:color="auto"/>
              <w:right w:val="single" w:sz="4" w:space="0" w:color="auto"/>
            </w:tcBorders>
            <w:shd w:val="clear" w:color="auto" w:fill="auto"/>
            <w:noWrap/>
            <w:vAlign w:val="center"/>
            <w:hideMark/>
          </w:tcPr>
          <w:p w14:paraId="0AE69C6D" w14:textId="24608D08"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D43A3B" w14:paraId="39E8BFFC"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7E68ECE" w14:textId="270F400D" w:rsidR="00D43A3B" w:rsidRPr="00D43A3B"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Ambulatorie izmeklējumi un terapija</w:t>
            </w:r>
          </w:p>
        </w:tc>
        <w:tc>
          <w:tcPr>
            <w:tcW w:w="1701" w:type="dxa"/>
            <w:tcBorders>
              <w:top w:val="nil"/>
              <w:left w:val="nil"/>
              <w:bottom w:val="single" w:sz="4" w:space="0" w:color="auto"/>
              <w:right w:val="single" w:sz="4" w:space="0" w:color="auto"/>
            </w:tcBorders>
            <w:shd w:val="clear" w:color="auto" w:fill="auto"/>
            <w:noWrap/>
            <w:vAlign w:val="center"/>
            <w:hideMark/>
          </w:tcPr>
          <w:p w14:paraId="63016886" w14:textId="188B7FC6"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15</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770</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911</w:t>
            </w:r>
          </w:p>
        </w:tc>
        <w:tc>
          <w:tcPr>
            <w:tcW w:w="1766" w:type="dxa"/>
            <w:tcBorders>
              <w:top w:val="nil"/>
              <w:left w:val="nil"/>
              <w:bottom w:val="single" w:sz="4" w:space="0" w:color="auto"/>
              <w:right w:val="single" w:sz="4" w:space="0" w:color="auto"/>
            </w:tcBorders>
            <w:shd w:val="clear" w:color="auto" w:fill="auto"/>
            <w:noWrap/>
            <w:vAlign w:val="center"/>
            <w:hideMark/>
          </w:tcPr>
          <w:p w14:paraId="4813C7E7" w14:textId="7DBC00EB"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D43A3B" w14:paraId="01B83C6F"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11A02EF" w14:textId="307C2897" w:rsidR="00D43A3B" w:rsidRPr="00D43A3B"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Dienas stacionārā sniegtie pakalpojumi</w:t>
            </w:r>
          </w:p>
        </w:tc>
        <w:tc>
          <w:tcPr>
            <w:tcW w:w="1701" w:type="dxa"/>
            <w:tcBorders>
              <w:top w:val="nil"/>
              <w:left w:val="nil"/>
              <w:bottom w:val="single" w:sz="4" w:space="0" w:color="auto"/>
              <w:right w:val="single" w:sz="4" w:space="0" w:color="auto"/>
            </w:tcBorders>
            <w:shd w:val="clear" w:color="auto" w:fill="auto"/>
            <w:noWrap/>
            <w:vAlign w:val="center"/>
            <w:hideMark/>
          </w:tcPr>
          <w:p w14:paraId="4DEF633D" w14:textId="463B0915"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12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202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377</w:t>
            </w:r>
          </w:p>
        </w:tc>
        <w:tc>
          <w:tcPr>
            <w:tcW w:w="1766" w:type="dxa"/>
            <w:tcBorders>
              <w:top w:val="nil"/>
              <w:left w:val="nil"/>
              <w:bottom w:val="single" w:sz="4" w:space="0" w:color="auto"/>
              <w:right w:val="single" w:sz="4" w:space="0" w:color="auto"/>
            </w:tcBorders>
            <w:shd w:val="clear" w:color="auto" w:fill="auto"/>
            <w:noWrap/>
            <w:vAlign w:val="center"/>
            <w:hideMark/>
          </w:tcPr>
          <w:p w14:paraId="73BF01E2" w14:textId="4B10DC08"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D43A3B" w14:paraId="378E14FA"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2A9DADDB" w14:textId="6D05423F" w:rsidR="00D43A3B" w:rsidRPr="001E4659"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Ambulatorā rehabilitācija</w:t>
            </w:r>
          </w:p>
        </w:tc>
        <w:tc>
          <w:tcPr>
            <w:tcW w:w="1701" w:type="dxa"/>
            <w:tcBorders>
              <w:top w:val="nil"/>
              <w:left w:val="nil"/>
              <w:bottom w:val="single" w:sz="4" w:space="0" w:color="auto"/>
              <w:right w:val="single" w:sz="4" w:space="0" w:color="auto"/>
            </w:tcBorders>
            <w:shd w:val="clear" w:color="auto" w:fill="auto"/>
            <w:noWrap/>
            <w:vAlign w:val="center"/>
          </w:tcPr>
          <w:p w14:paraId="7E237569" w14:textId="42A78BAB" w:rsidR="00D43A3B" w:rsidRPr="00D43A3B" w:rsidRDefault="00D43A3B" w:rsidP="00041553">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1</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117</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980</w:t>
            </w:r>
          </w:p>
        </w:tc>
        <w:tc>
          <w:tcPr>
            <w:tcW w:w="1766" w:type="dxa"/>
            <w:tcBorders>
              <w:top w:val="nil"/>
              <w:left w:val="nil"/>
              <w:bottom w:val="single" w:sz="4" w:space="0" w:color="auto"/>
              <w:right w:val="single" w:sz="4" w:space="0" w:color="auto"/>
            </w:tcBorders>
            <w:shd w:val="clear" w:color="auto" w:fill="auto"/>
            <w:noWrap/>
            <w:vAlign w:val="center"/>
          </w:tcPr>
          <w:p w14:paraId="315C2898" w14:textId="7A29F1B1" w:rsidR="00D43A3B" w:rsidRPr="001E4659"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D43A3B" w14:paraId="37CFC15A"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72CBAFB" w14:textId="099DE11E" w:rsidR="00D43A3B" w:rsidRPr="00D43A3B"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Diabēta apmācības kabinetu izveide</w:t>
            </w:r>
          </w:p>
        </w:tc>
        <w:tc>
          <w:tcPr>
            <w:tcW w:w="1701" w:type="dxa"/>
            <w:tcBorders>
              <w:top w:val="nil"/>
              <w:left w:val="nil"/>
              <w:bottom w:val="single" w:sz="4" w:space="0" w:color="auto"/>
              <w:right w:val="single" w:sz="4" w:space="0" w:color="auto"/>
            </w:tcBorders>
            <w:shd w:val="clear" w:color="auto" w:fill="auto"/>
            <w:noWrap/>
            <w:vAlign w:val="center"/>
            <w:hideMark/>
          </w:tcPr>
          <w:p w14:paraId="3A0E2964" w14:textId="30A5FAD6"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225</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768</w:t>
            </w:r>
          </w:p>
        </w:tc>
        <w:tc>
          <w:tcPr>
            <w:tcW w:w="1766" w:type="dxa"/>
            <w:tcBorders>
              <w:top w:val="nil"/>
              <w:left w:val="nil"/>
              <w:bottom w:val="single" w:sz="4" w:space="0" w:color="auto"/>
              <w:right w:val="single" w:sz="4" w:space="0" w:color="auto"/>
            </w:tcBorders>
            <w:shd w:val="clear" w:color="auto" w:fill="auto"/>
            <w:noWrap/>
            <w:vAlign w:val="center"/>
            <w:hideMark/>
          </w:tcPr>
          <w:p w14:paraId="4C56C4FB" w14:textId="78AB099D"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D43A3B" w14:paraId="69A90C8E"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8397050" w14:textId="549CC0FF" w:rsidR="00D43A3B" w:rsidRPr="00D43A3B"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Endoprotezēšanas operācijas stacionārā</w:t>
            </w:r>
          </w:p>
        </w:tc>
        <w:tc>
          <w:tcPr>
            <w:tcW w:w="1701" w:type="dxa"/>
            <w:tcBorders>
              <w:top w:val="nil"/>
              <w:left w:val="nil"/>
              <w:bottom w:val="single" w:sz="4" w:space="0" w:color="auto"/>
              <w:right w:val="single" w:sz="4" w:space="0" w:color="auto"/>
            </w:tcBorders>
            <w:shd w:val="clear" w:color="auto" w:fill="auto"/>
            <w:noWrap/>
            <w:vAlign w:val="center"/>
            <w:hideMark/>
          </w:tcPr>
          <w:p w14:paraId="0E968601" w14:textId="635CFB49"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613</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397</w:t>
            </w:r>
          </w:p>
        </w:tc>
        <w:tc>
          <w:tcPr>
            <w:tcW w:w="1766" w:type="dxa"/>
            <w:tcBorders>
              <w:top w:val="nil"/>
              <w:left w:val="nil"/>
              <w:bottom w:val="single" w:sz="4" w:space="0" w:color="auto"/>
              <w:right w:val="single" w:sz="4" w:space="0" w:color="auto"/>
            </w:tcBorders>
            <w:shd w:val="clear" w:color="auto" w:fill="auto"/>
            <w:noWrap/>
            <w:vAlign w:val="center"/>
            <w:hideMark/>
          </w:tcPr>
          <w:p w14:paraId="3F9F9F24" w14:textId="7CFDC609"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33.18.00</w:t>
            </w:r>
          </w:p>
        </w:tc>
      </w:tr>
      <w:tr w:rsidR="00D43A3B" w14:paraId="4B2BE2F3" w14:textId="77777777" w:rsidTr="00E93259">
        <w:trPr>
          <w:trHeight w:val="78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55393AE" w14:textId="49B1B66D" w:rsidR="00D43A3B" w:rsidRPr="00D43A3B" w:rsidRDefault="00D43A3B" w:rsidP="00D43A3B">
            <w:pPr>
              <w:spacing w:after="0" w:line="240" w:lineRule="auto"/>
              <w:jc w:val="both"/>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Darbnespējas saīsināšana un pasākumi prognozējamās invaliditātes novēršanai ar mērķi novērst ilgstošu slimošanu personām darbspējīgā vecumā</w:t>
            </w:r>
          </w:p>
        </w:tc>
        <w:tc>
          <w:tcPr>
            <w:tcW w:w="1701" w:type="dxa"/>
            <w:tcBorders>
              <w:top w:val="nil"/>
              <w:left w:val="nil"/>
              <w:bottom w:val="single" w:sz="4" w:space="0" w:color="auto"/>
              <w:right w:val="single" w:sz="4" w:space="0" w:color="auto"/>
            </w:tcBorders>
            <w:shd w:val="clear" w:color="auto" w:fill="auto"/>
            <w:noWrap/>
            <w:vAlign w:val="center"/>
            <w:hideMark/>
          </w:tcPr>
          <w:p w14:paraId="425549DC" w14:textId="6E7491C2"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564</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029</w:t>
            </w:r>
          </w:p>
        </w:tc>
        <w:tc>
          <w:tcPr>
            <w:tcW w:w="1766" w:type="dxa"/>
            <w:tcBorders>
              <w:top w:val="nil"/>
              <w:left w:val="nil"/>
              <w:bottom w:val="single" w:sz="4" w:space="0" w:color="auto"/>
              <w:right w:val="single" w:sz="4" w:space="0" w:color="auto"/>
            </w:tcBorders>
            <w:shd w:val="clear" w:color="auto" w:fill="auto"/>
            <w:noWrap/>
            <w:vAlign w:val="center"/>
            <w:hideMark/>
          </w:tcPr>
          <w:p w14:paraId="5CFF59FB" w14:textId="6CE35C90"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33.18.00</w:t>
            </w:r>
          </w:p>
        </w:tc>
      </w:tr>
      <w:tr w:rsidR="00D43A3B" w14:paraId="1E309862"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DAE6C46" w14:textId="138DF6EE" w:rsidR="00D43A3B" w:rsidRPr="00D43A3B"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Aknu transplantācija</w:t>
            </w:r>
          </w:p>
        </w:tc>
        <w:tc>
          <w:tcPr>
            <w:tcW w:w="1701" w:type="dxa"/>
            <w:tcBorders>
              <w:top w:val="nil"/>
              <w:left w:val="nil"/>
              <w:bottom w:val="single" w:sz="4" w:space="0" w:color="auto"/>
              <w:right w:val="single" w:sz="4" w:space="0" w:color="auto"/>
            </w:tcBorders>
            <w:shd w:val="clear" w:color="auto" w:fill="auto"/>
            <w:noWrap/>
            <w:vAlign w:val="center"/>
            <w:hideMark/>
          </w:tcPr>
          <w:p w14:paraId="577CBE20" w14:textId="0908A16A"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418</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374</w:t>
            </w:r>
          </w:p>
        </w:tc>
        <w:tc>
          <w:tcPr>
            <w:tcW w:w="1766" w:type="dxa"/>
            <w:tcBorders>
              <w:top w:val="nil"/>
              <w:left w:val="nil"/>
              <w:bottom w:val="single" w:sz="4" w:space="0" w:color="auto"/>
              <w:right w:val="single" w:sz="4" w:space="0" w:color="auto"/>
            </w:tcBorders>
            <w:shd w:val="clear" w:color="auto" w:fill="auto"/>
            <w:noWrap/>
            <w:vAlign w:val="center"/>
            <w:hideMark/>
          </w:tcPr>
          <w:p w14:paraId="6796C5D6" w14:textId="5F36FA3E"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p>
        </w:tc>
      </w:tr>
      <w:tr w:rsidR="00D43A3B" w14:paraId="3842153E"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952A1D2" w14:textId="1C7625B9" w:rsidR="00D43A3B" w:rsidRPr="00D43A3B" w:rsidRDefault="00D43A3B" w:rsidP="00D43A3B">
            <w:pPr>
              <w:spacing w:after="0" w:line="240" w:lineRule="auto"/>
              <w:jc w:val="right"/>
              <w:rPr>
                <w:rFonts w:ascii="Times New Roman" w:eastAsia="Times New Roman" w:hAnsi="Times New Roman" w:cs="Times New Roman"/>
                <w:i/>
                <w:sz w:val="20"/>
                <w:szCs w:val="20"/>
                <w:lang w:eastAsia="lv-LV"/>
              </w:rPr>
            </w:pPr>
            <w:r w:rsidRPr="00E93259">
              <w:rPr>
                <w:rFonts w:ascii="Times New Roman" w:hAnsi="Times New Roman" w:cs="Times New Roman"/>
                <w:sz w:val="20"/>
                <w:szCs w:val="20"/>
              </w:rPr>
              <w:t>Operācijas nodrošināšana stacionārā</w:t>
            </w:r>
          </w:p>
        </w:tc>
        <w:tc>
          <w:tcPr>
            <w:tcW w:w="1701" w:type="dxa"/>
            <w:tcBorders>
              <w:top w:val="nil"/>
              <w:left w:val="nil"/>
              <w:bottom w:val="single" w:sz="4" w:space="0" w:color="auto"/>
              <w:right w:val="single" w:sz="4" w:space="0" w:color="auto"/>
            </w:tcBorders>
            <w:shd w:val="clear" w:color="auto" w:fill="auto"/>
            <w:noWrap/>
            <w:vAlign w:val="center"/>
            <w:hideMark/>
          </w:tcPr>
          <w:p w14:paraId="0216D44D" w14:textId="2B2507BF"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274</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578</w:t>
            </w:r>
          </w:p>
        </w:tc>
        <w:tc>
          <w:tcPr>
            <w:tcW w:w="1766" w:type="dxa"/>
            <w:tcBorders>
              <w:top w:val="nil"/>
              <w:left w:val="nil"/>
              <w:bottom w:val="single" w:sz="4" w:space="0" w:color="auto"/>
              <w:right w:val="single" w:sz="4" w:space="0" w:color="auto"/>
            </w:tcBorders>
            <w:shd w:val="clear" w:color="auto" w:fill="auto"/>
            <w:noWrap/>
            <w:vAlign w:val="center"/>
            <w:hideMark/>
          </w:tcPr>
          <w:p w14:paraId="40DB4DBD" w14:textId="29760BC5"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33.18.00</w:t>
            </w:r>
          </w:p>
        </w:tc>
      </w:tr>
      <w:tr w:rsidR="00D43A3B" w14:paraId="71990B5F"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A35C43D" w14:textId="30AE4621" w:rsidR="00D43A3B" w:rsidRPr="00D43A3B" w:rsidRDefault="00D43A3B" w:rsidP="00D43A3B">
            <w:pPr>
              <w:spacing w:after="0" w:line="240" w:lineRule="auto"/>
              <w:jc w:val="right"/>
              <w:rPr>
                <w:rFonts w:ascii="Times New Roman" w:eastAsia="Times New Roman" w:hAnsi="Times New Roman" w:cs="Times New Roman"/>
                <w:i/>
                <w:sz w:val="20"/>
                <w:szCs w:val="20"/>
                <w:lang w:eastAsia="lv-LV"/>
              </w:rPr>
            </w:pPr>
            <w:r w:rsidRPr="00E93259">
              <w:rPr>
                <w:rFonts w:ascii="Times New Roman" w:hAnsi="Times New Roman" w:cs="Times New Roman"/>
                <w:sz w:val="20"/>
                <w:szCs w:val="20"/>
              </w:rPr>
              <w:t>Aknu transplantācijai nepiciešamie izmeklējumi</w:t>
            </w:r>
          </w:p>
        </w:tc>
        <w:tc>
          <w:tcPr>
            <w:tcW w:w="1701" w:type="dxa"/>
            <w:tcBorders>
              <w:top w:val="nil"/>
              <w:left w:val="nil"/>
              <w:bottom w:val="single" w:sz="4" w:space="0" w:color="auto"/>
              <w:right w:val="single" w:sz="4" w:space="0" w:color="auto"/>
            </w:tcBorders>
            <w:shd w:val="clear" w:color="auto" w:fill="auto"/>
            <w:noWrap/>
            <w:vAlign w:val="center"/>
            <w:hideMark/>
          </w:tcPr>
          <w:p w14:paraId="5BB63465" w14:textId="46A6F29E"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7</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301</w:t>
            </w:r>
          </w:p>
        </w:tc>
        <w:tc>
          <w:tcPr>
            <w:tcW w:w="1766" w:type="dxa"/>
            <w:tcBorders>
              <w:top w:val="nil"/>
              <w:left w:val="nil"/>
              <w:bottom w:val="single" w:sz="4" w:space="0" w:color="auto"/>
              <w:right w:val="single" w:sz="4" w:space="0" w:color="auto"/>
            </w:tcBorders>
            <w:shd w:val="clear" w:color="auto" w:fill="auto"/>
            <w:noWrap/>
            <w:vAlign w:val="center"/>
            <w:hideMark/>
          </w:tcPr>
          <w:p w14:paraId="7804F788" w14:textId="0678D1F0"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D43A3B" w14:paraId="7768A947"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7563C2B" w14:textId="6D610D99" w:rsidR="00D43A3B" w:rsidRPr="00D43A3B" w:rsidRDefault="00D43A3B" w:rsidP="00D43A3B">
            <w:pPr>
              <w:spacing w:after="0" w:line="240" w:lineRule="auto"/>
              <w:jc w:val="right"/>
              <w:rPr>
                <w:rFonts w:ascii="Times New Roman" w:eastAsia="Times New Roman" w:hAnsi="Times New Roman" w:cs="Times New Roman"/>
                <w:i/>
                <w:sz w:val="20"/>
                <w:szCs w:val="20"/>
                <w:lang w:eastAsia="lv-LV"/>
              </w:rPr>
            </w:pPr>
            <w:r w:rsidRPr="00E93259">
              <w:rPr>
                <w:rFonts w:ascii="Times New Roman" w:hAnsi="Times New Roman" w:cs="Times New Roman"/>
                <w:sz w:val="20"/>
                <w:szCs w:val="20"/>
              </w:rPr>
              <w:t>Aknu transplantācijai nepiciešamie medikamenti</w:t>
            </w:r>
          </w:p>
        </w:tc>
        <w:tc>
          <w:tcPr>
            <w:tcW w:w="1701" w:type="dxa"/>
            <w:tcBorders>
              <w:top w:val="nil"/>
              <w:left w:val="nil"/>
              <w:bottom w:val="single" w:sz="4" w:space="0" w:color="auto"/>
              <w:right w:val="single" w:sz="4" w:space="0" w:color="auto"/>
            </w:tcBorders>
            <w:shd w:val="clear" w:color="auto" w:fill="auto"/>
            <w:noWrap/>
            <w:vAlign w:val="center"/>
            <w:hideMark/>
          </w:tcPr>
          <w:p w14:paraId="624EEC73" w14:textId="0DB67523"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77</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371</w:t>
            </w:r>
          </w:p>
        </w:tc>
        <w:tc>
          <w:tcPr>
            <w:tcW w:w="1766" w:type="dxa"/>
            <w:tcBorders>
              <w:top w:val="nil"/>
              <w:left w:val="nil"/>
              <w:bottom w:val="single" w:sz="4" w:space="0" w:color="auto"/>
              <w:right w:val="single" w:sz="4" w:space="0" w:color="auto"/>
            </w:tcBorders>
            <w:shd w:val="clear" w:color="auto" w:fill="auto"/>
            <w:noWrap/>
            <w:vAlign w:val="center"/>
            <w:hideMark/>
          </w:tcPr>
          <w:p w14:paraId="08D1E5C7" w14:textId="038928EE"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33.03.00</w:t>
            </w:r>
          </w:p>
        </w:tc>
      </w:tr>
      <w:tr w:rsidR="00D43A3B" w14:paraId="5F533B0E"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24C52B5F" w14:textId="0BDFCD51" w:rsidR="00D43A3B" w:rsidRPr="00E93259" w:rsidRDefault="00D43A3B" w:rsidP="00D43A3B">
            <w:pPr>
              <w:spacing w:after="0" w:line="240" w:lineRule="auto"/>
              <w:jc w:val="right"/>
              <w:rPr>
                <w:rFonts w:ascii="Times New Roman" w:hAnsi="Times New Roman" w:cs="Times New Roman"/>
                <w:i/>
                <w:sz w:val="20"/>
                <w:szCs w:val="20"/>
              </w:rPr>
            </w:pPr>
            <w:r w:rsidRPr="00E93259">
              <w:rPr>
                <w:rFonts w:ascii="Times New Roman" w:hAnsi="Times New Roman" w:cs="Times New Roman"/>
                <w:sz w:val="20"/>
                <w:szCs w:val="20"/>
              </w:rPr>
              <w:t>Pacientu izmeklēšana pirms aknu ortotopiskas aknu transplantācijas stacionārā</w:t>
            </w:r>
          </w:p>
        </w:tc>
        <w:tc>
          <w:tcPr>
            <w:tcW w:w="1701" w:type="dxa"/>
            <w:tcBorders>
              <w:top w:val="nil"/>
              <w:left w:val="nil"/>
              <w:bottom w:val="single" w:sz="4" w:space="0" w:color="auto"/>
              <w:right w:val="single" w:sz="4" w:space="0" w:color="auto"/>
            </w:tcBorders>
            <w:shd w:val="clear" w:color="auto" w:fill="auto"/>
            <w:noWrap/>
            <w:vAlign w:val="center"/>
          </w:tcPr>
          <w:p w14:paraId="3B1D9C53" w14:textId="2BB87C1C" w:rsidR="00D43A3B" w:rsidRPr="00D43A3B" w:rsidRDefault="00D43A3B" w:rsidP="00041553">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59</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124</w:t>
            </w:r>
          </w:p>
        </w:tc>
        <w:tc>
          <w:tcPr>
            <w:tcW w:w="1766" w:type="dxa"/>
            <w:tcBorders>
              <w:top w:val="nil"/>
              <w:left w:val="nil"/>
              <w:bottom w:val="single" w:sz="4" w:space="0" w:color="auto"/>
              <w:right w:val="single" w:sz="4" w:space="0" w:color="auto"/>
            </w:tcBorders>
            <w:shd w:val="clear" w:color="auto" w:fill="auto"/>
            <w:noWrap/>
            <w:vAlign w:val="center"/>
          </w:tcPr>
          <w:p w14:paraId="7A02FA8F" w14:textId="264E9CF5"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33.18.00</w:t>
            </w:r>
          </w:p>
        </w:tc>
      </w:tr>
      <w:tr w:rsidR="00D43A3B" w14:paraId="24F02DE5" w14:textId="77777777" w:rsidTr="00E93259">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5330C85" w14:textId="30E8326E" w:rsidR="00D43A3B" w:rsidRPr="00D43A3B"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Bioloģiskās terapijas nodrošināšana Krona slimībai, čūlainajam kolītam un psoriāzei</w:t>
            </w:r>
          </w:p>
        </w:tc>
        <w:tc>
          <w:tcPr>
            <w:tcW w:w="1701" w:type="dxa"/>
            <w:tcBorders>
              <w:top w:val="nil"/>
              <w:left w:val="nil"/>
              <w:bottom w:val="single" w:sz="4" w:space="0" w:color="auto"/>
              <w:right w:val="single" w:sz="4" w:space="0" w:color="auto"/>
            </w:tcBorders>
            <w:shd w:val="clear" w:color="auto" w:fill="auto"/>
            <w:noWrap/>
            <w:vAlign w:val="center"/>
            <w:hideMark/>
          </w:tcPr>
          <w:p w14:paraId="12740A62" w14:textId="7FFC6455"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1</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883</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748</w:t>
            </w:r>
          </w:p>
        </w:tc>
        <w:tc>
          <w:tcPr>
            <w:tcW w:w="1766" w:type="dxa"/>
            <w:tcBorders>
              <w:top w:val="nil"/>
              <w:left w:val="nil"/>
              <w:bottom w:val="single" w:sz="4" w:space="0" w:color="auto"/>
              <w:right w:val="single" w:sz="4" w:space="0" w:color="auto"/>
            </w:tcBorders>
            <w:shd w:val="clear" w:color="auto" w:fill="auto"/>
            <w:noWrap/>
            <w:vAlign w:val="center"/>
            <w:hideMark/>
          </w:tcPr>
          <w:p w14:paraId="08BF10B2" w14:textId="6E044BAA"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33.03.00</w:t>
            </w:r>
          </w:p>
        </w:tc>
      </w:tr>
      <w:tr w:rsidR="00D43A3B" w14:paraId="1B70DB05"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D1D6AA2" w14:textId="35D79FA3" w:rsidR="00D43A3B" w:rsidRPr="00D43A3B" w:rsidRDefault="00D43A3B" w:rsidP="00D43A3B">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Hronisko pacientu aprūpes reforma</w:t>
            </w:r>
          </w:p>
        </w:tc>
        <w:tc>
          <w:tcPr>
            <w:tcW w:w="1701" w:type="dxa"/>
            <w:tcBorders>
              <w:top w:val="nil"/>
              <w:left w:val="nil"/>
              <w:bottom w:val="single" w:sz="4" w:space="0" w:color="auto"/>
              <w:right w:val="single" w:sz="4" w:space="0" w:color="auto"/>
            </w:tcBorders>
            <w:shd w:val="clear" w:color="auto" w:fill="auto"/>
            <w:noWrap/>
            <w:vAlign w:val="center"/>
            <w:hideMark/>
          </w:tcPr>
          <w:p w14:paraId="5C90846B" w14:textId="33A72DB0" w:rsidR="00D43A3B" w:rsidRPr="00D43A3B" w:rsidRDefault="00D43A3B"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5</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437</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810</w:t>
            </w:r>
          </w:p>
        </w:tc>
        <w:tc>
          <w:tcPr>
            <w:tcW w:w="1766" w:type="dxa"/>
            <w:tcBorders>
              <w:top w:val="nil"/>
              <w:left w:val="nil"/>
              <w:bottom w:val="single" w:sz="4" w:space="0" w:color="auto"/>
              <w:right w:val="single" w:sz="4" w:space="0" w:color="auto"/>
            </w:tcBorders>
            <w:shd w:val="clear" w:color="auto" w:fill="auto"/>
            <w:noWrap/>
            <w:vAlign w:val="center"/>
            <w:hideMark/>
          </w:tcPr>
          <w:p w14:paraId="2F34E639" w14:textId="145774DA" w:rsidR="00D43A3B" w:rsidRPr="00D43A3B" w:rsidRDefault="00D43A3B" w:rsidP="00D43A3B">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33.18.00</w:t>
            </w:r>
          </w:p>
        </w:tc>
      </w:tr>
      <w:tr w:rsidR="00591368" w14:paraId="638A9456"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9B315C2"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2.Onkoloģija</w:t>
            </w:r>
          </w:p>
        </w:tc>
        <w:tc>
          <w:tcPr>
            <w:tcW w:w="1701" w:type="dxa"/>
            <w:tcBorders>
              <w:top w:val="nil"/>
              <w:left w:val="nil"/>
              <w:bottom w:val="single" w:sz="4" w:space="0" w:color="auto"/>
              <w:right w:val="single" w:sz="4" w:space="0" w:color="auto"/>
            </w:tcBorders>
            <w:shd w:val="clear" w:color="auto" w:fill="auto"/>
            <w:noWrap/>
            <w:vAlign w:val="bottom"/>
            <w:hideMark/>
          </w:tcPr>
          <w:p w14:paraId="56567E54" w14:textId="559C77F2" w:rsidR="00F50D6C" w:rsidRPr="00FE4F35" w:rsidRDefault="00942DE1" w:rsidP="00041553">
            <w:pPr>
              <w:spacing w:after="0" w:line="240" w:lineRule="auto"/>
              <w:jc w:val="center"/>
              <w:rPr>
                <w:rFonts w:ascii="Times New Roman" w:hAnsi="Times New Roman" w:cs="Times New Roman"/>
                <w:b/>
              </w:rPr>
            </w:pPr>
            <w:r>
              <w:rPr>
                <w:rFonts w:ascii="Times New Roman" w:hAnsi="Times New Roman" w:cs="Times New Roman"/>
                <w:b/>
                <w:bCs/>
              </w:rPr>
              <w:t>2</w:t>
            </w:r>
            <w:r w:rsidR="0076233F">
              <w:rPr>
                <w:rFonts w:ascii="Times New Roman" w:hAnsi="Times New Roman" w:cs="Times New Roman"/>
                <w:b/>
                <w:bCs/>
              </w:rPr>
              <w:t>5 480 159</w:t>
            </w:r>
          </w:p>
        </w:tc>
        <w:tc>
          <w:tcPr>
            <w:tcW w:w="1766" w:type="dxa"/>
            <w:tcBorders>
              <w:top w:val="nil"/>
              <w:left w:val="nil"/>
              <w:bottom w:val="single" w:sz="4" w:space="0" w:color="auto"/>
              <w:right w:val="single" w:sz="4" w:space="0" w:color="auto"/>
            </w:tcBorders>
            <w:shd w:val="clear" w:color="auto" w:fill="auto"/>
            <w:noWrap/>
            <w:vAlign w:val="bottom"/>
            <w:hideMark/>
          </w:tcPr>
          <w:p w14:paraId="4F3947F6" w14:textId="77777777" w:rsidR="00F50D6C" w:rsidRPr="00FE4F35" w:rsidRDefault="0071331A" w:rsidP="00F50D6C">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76233F" w14:paraId="3BF78644" w14:textId="77777777" w:rsidTr="00E93259">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6699DA1" w14:textId="4E0BD2DE" w:rsidR="0076233F" w:rsidRPr="0076233F" w:rsidRDefault="0076233F" w:rsidP="0076233F">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Onkoloģisko slimību primārās diagnostikas algoritmu ieviešana</w:t>
            </w:r>
          </w:p>
        </w:tc>
        <w:tc>
          <w:tcPr>
            <w:tcW w:w="1701" w:type="dxa"/>
            <w:tcBorders>
              <w:top w:val="nil"/>
              <w:left w:val="nil"/>
              <w:bottom w:val="single" w:sz="4" w:space="0" w:color="auto"/>
              <w:right w:val="single" w:sz="4" w:space="0" w:color="auto"/>
            </w:tcBorders>
            <w:shd w:val="clear" w:color="auto" w:fill="auto"/>
            <w:noWrap/>
            <w:vAlign w:val="center"/>
            <w:hideMark/>
          </w:tcPr>
          <w:p w14:paraId="2CD10307" w14:textId="57CED44D" w:rsidR="0076233F" w:rsidRPr="0076233F" w:rsidRDefault="0076233F"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1</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499</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520</w:t>
            </w:r>
          </w:p>
        </w:tc>
        <w:tc>
          <w:tcPr>
            <w:tcW w:w="1766" w:type="dxa"/>
            <w:tcBorders>
              <w:top w:val="nil"/>
              <w:left w:val="nil"/>
              <w:bottom w:val="single" w:sz="4" w:space="0" w:color="auto"/>
              <w:right w:val="single" w:sz="4" w:space="0" w:color="auto"/>
            </w:tcBorders>
            <w:shd w:val="clear" w:color="auto" w:fill="auto"/>
            <w:noWrap/>
            <w:vAlign w:val="center"/>
            <w:hideMark/>
          </w:tcPr>
          <w:p w14:paraId="696DFFB4" w14:textId="028F561F" w:rsidR="0076233F" w:rsidRPr="0076233F" w:rsidRDefault="0076233F" w:rsidP="0076233F">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76233F" w14:paraId="1D419AD5"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1E6AB6F" w14:textId="01AE6C6D" w:rsidR="0076233F" w:rsidRPr="0076233F" w:rsidRDefault="0076233F" w:rsidP="0076233F">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Speciālistu konsultācijas atbilstoši noteiktiem algoritmiem</w:t>
            </w:r>
          </w:p>
        </w:tc>
        <w:tc>
          <w:tcPr>
            <w:tcW w:w="1701" w:type="dxa"/>
            <w:tcBorders>
              <w:top w:val="nil"/>
              <w:left w:val="nil"/>
              <w:bottom w:val="single" w:sz="4" w:space="0" w:color="auto"/>
              <w:right w:val="single" w:sz="4" w:space="0" w:color="auto"/>
            </w:tcBorders>
            <w:shd w:val="clear" w:color="auto" w:fill="auto"/>
            <w:noWrap/>
            <w:vAlign w:val="center"/>
            <w:hideMark/>
          </w:tcPr>
          <w:p w14:paraId="294B74CD" w14:textId="34B3717A" w:rsidR="0076233F" w:rsidRPr="0076233F" w:rsidRDefault="0076233F"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650</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320</w:t>
            </w:r>
          </w:p>
        </w:tc>
        <w:tc>
          <w:tcPr>
            <w:tcW w:w="1766" w:type="dxa"/>
            <w:tcBorders>
              <w:top w:val="nil"/>
              <w:left w:val="nil"/>
              <w:bottom w:val="single" w:sz="4" w:space="0" w:color="auto"/>
              <w:right w:val="single" w:sz="4" w:space="0" w:color="auto"/>
            </w:tcBorders>
            <w:shd w:val="clear" w:color="auto" w:fill="auto"/>
            <w:noWrap/>
            <w:vAlign w:val="center"/>
            <w:hideMark/>
          </w:tcPr>
          <w:p w14:paraId="4ECCAE25" w14:textId="6F6FDDC6" w:rsidR="0076233F" w:rsidRPr="0076233F" w:rsidRDefault="0076233F" w:rsidP="0076233F">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76233F" w14:paraId="0D9BE037" w14:textId="77777777" w:rsidTr="00E93259">
        <w:trPr>
          <w:trHeight w:val="525"/>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DAB9A" w14:textId="319BDEA8" w:rsidR="0076233F" w:rsidRPr="0076233F" w:rsidRDefault="0076233F" w:rsidP="0076233F">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Sekundārās diagnostikas un izmeklēšanas  algoritmu ieviešana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0D250F" w14:textId="4000FB15" w:rsidR="0076233F" w:rsidRPr="0076233F" w:rsidRDefault="0076233F"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332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540</w:t>
            </w:r>
          </w:p>
        </w:tc>
        <w:tc>
          <w:tcPr>
            <w:tcW w:w="1766" w:type="dxa"/>
            <w:tcBorders>
              <w:top w:val="nil"/>
              <w:left w:val="nil"/>
              <w:bottom w:val="single" w:sz="4" w:space="0" w:color="auto"/>
              <w:right w:val="single" w:sz="4" w:space="0" w:color="auto"/>
            </w:tcBorders>
            <w:shd w:val="clear" w:color="auto" w:fill="auto"/>
            <w:vAlign w:val="center"/>
            <w:hideMark/>
          </w:tcPr>
          <w:p w14:paraId="7253A2DD" w14:textId="411EE73E" w:rsidR="0076233F" w:rsidRPr="0076233F" w:rsidRDefault="0076233F" w:rsidP="0076233F">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76233F" w14:paraId="23803479" w14:textId="77777777" w:rsidTr="00E93259">
        <w:trPr>
          <w:trHeight w:val="300"/>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4F0F" w14:textId="599A0253" w:rsidR="0076233F" w:rsidRPr="0076233F" w:rsidRDefault="0076233F" w:rsidP="0076233F">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Ambulatorās ārstēšanas apjoma pieaugums</w:t>
            </w:r>
          </w:p>
        </w:tc>
        <w:tc>
          <w:tcPr>
            <w:tcW w:w="1701" w:type="dxa"/>
            <w:tcBorders>
              <w:top w:val="nil"/>
              <w:left w:val="nil"/>
              <w:bottom w:val="single" w:sz="4" w:space="0" w:color="auto"/>
              <w:right w:val="single" w:sz="4" w:space="0" w:color="auto"/>
            </w:tcBorders>
            <w:shd w:val="clear" w:color="auto" w:fill="auto"/>
            <w:noWrap/>
            <w:vAlign w:val="center"/>
            <w:hideMark/>
          </w:tcPr>
          <w:p w14:paraId="70E6CB50" w14:textId="0E9D461D" w:rsidR="0076233F" w:rsidRPr="0076233F" w:rsidRDefault="0076233F"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1</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177</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895</w:t>
            </w:r>
          </w:p>
        </w:tc>
        <w:tc>
          <w:tcPr>
            <w:tcW w:w="1766" w:type="dxa"/>
            <w:tcBorders>
              <w:top w:val="nil"/>
              <w:left w:val="nil"/>
              <w:bottom w:val="single" w:sz="4" w:space="0" w:color="auto"/>
              <w:right w:val="single" w:sz="4" w:space="0" w:color="auto"/>
            </w:tcBorders>
            <w:shd w:val="clear" w:color="auto" w:fill="auto"/>
            <w:noWrap/>
            <w:vAlign w:val="center"/>
            <w:hideMark/>
          </w:tcPr>
          <w:p w14:paraId="6112A63C" w14:textId="40A94CEB" w:rsidR="0076233F" w:rsidRPr="0076233F" w:rsidRDefault="0076233F" w:rsidP="0076233F">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 33.16.00 </w:t>
            </w:r>
          </w:p>
        </w:tc>
      </w:tr>
      <w:tr w:rsidR="0076233F" w14:paraId="195E30D6"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869D649" w14:textId="1416E26C" w:rsidR="0076233F" w:rsidRPr="0076233F" w:rsidRDefault="0076233F" w:rsidP="0076233F">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Stacionārās ārstēšanas apjoma pieaugums</w:t>
            </w:r>
          </w:p>
        </w:tc>
        <w:tc>
          <w:tcPr>
            <w:tcW w:w="1701" w:type="dxa"/>
            <w:tcBorders>
              <w:top w:val="nil"/>
              <w:left w:val="nil"/>
              <w:bottom w:val="single" w:sz="4" w:space="0" w:color="auto"/>
              <w:right w:val="single" w:sz="4" w:space="0" w:color="auto"/>
            </w:tcBorders>
            <w:shd w:val="clear" w:color="auto" w:fill="auto"/>
            <w:noWrap/>
            <w:vAlign w:val="center"/>
            <w:hideMark/>
          </w:tcPr>
          <w:p w14:paraId="5F4E5734" w14:textId="4A360AFC" w:rsidR="0076233F" w:rsidRPr="0076233F" w:rsidRDefault="0076233F"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462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239</w:t>
            </w:r>
          </w:p>
        </w:tc>
        <w:tc>
          <w:tcPr>
            <w:tcW w:w="1766" w:type="dxa"/>
            <w:tcBorders>
              <w:top w:val="nil"/>
              <w:left w:val="nil"/>
              <w:bottom w:val="single" w:sz="4" w:space="0" w:color="auto"/>
              <w:right w:val="single" w:sz="4" w:space="0" w:color="auto"/>
            </w:tcBorders>
            <w:shd w:val="clear" w:color="auto" w:fill="auto"/>
            <w:noWrap/>
            <w:vAlign w:val="center"/>
            <w:hideMark/>
          </w:tcPr>
          <w:p w14:paraId="5B7457EE" w14:textId="4D299A6A" w:rsidR="0076233F" w:rsidRPr="0076233F" w:rsidRDefault="0076233F" w:rsidP="0076233F">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 33.18.00 </w:t>
            </w:r>
          </w:p>
        </w:tc>
      </w:tr>
      <w:tr w:rsidR="0076233F" w14:paraId="768BEC30"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5472D495" w14:textId="695F6F15" w:rsidR="0076233F" w:rsidRPr="001E4659" w:rsidRDefault="0076233F" w:rsidP="0076233F">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Medikamentu pieejamība onkoloģiskiem pacientiem</w:t>
            </w:r>
          </w:p>
        </w:tc>
        <w:tc>
          <w:tcPr>
            <w:tcW w:w="1701" w:type="dxa"/>
            <w:tcBorders>
              <w:top w:val="nil"/>
              <w:left w:val="nil"/>
              <w:bottom w:val="single" w:sz="4" w:space="0" w:color="auto"/>
              <w:right w:val="single" w:sz="4" w:space="0" w:color="auto"/>
            </w:tcBorders>
            <w:shd w:val="clear" w:color="auto" w:fill="auto"/>
            <w:noWrap/>
            <w:vAlign w:val="center"/>
          </w:tcPr>
          <w:p w14:paraId="54523D35" w14:textId="1FCD6871" w:rsidR="0076233F" w:rsidRPr="001E4659" w:rsidRDefault="0076233F" w:rsidP="00041553">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13</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719</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490</w:t>
            </w:r>
          </w:p>
        </w:tc>
        <w:tc>
          <w:tcPr>
            <w:tcW w:w="1766" w:type="dxa"/>
            <w:tcBorders>
              <w:top w:val="nil"/>
              <w:left w:val="nil"/>
              <w:bottom w:val="single" w:sz="4" w:space="0" w:color="auto"/>
              <w:right w:val="single" w:sz="4" w:space="0" w:color="auto"/>
            </w:tcBorders>
            <w:shd w:val="clear" w:color="auto" w:fill="auto"/>
            <w:noWrap/>
            <w:vAlign w:val="center"/>
          </w:tcPr>
          <w:p w14:paraId="7202F55D" w14:textId="609800D5" w:rsidR="0076233F" w:rsidRPr="001E4659" w:rsidRDefault="0076233F" w:rsidP="0076233F">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 33.03.00 </w:t>
            </w:r>
          </w:p>
        </w:tc>
      </w:tr>
      <w:tr w:rsidR="0076233F" w14:paraId="3D77AC91"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2208A5B8" w14:textId="7A27BE9B" w:rsidR="0076233F" w:rsidRPr="001E4659" w:rsidRDefault="0076233F" w:rsidP="0076233F">
            <w:pPr>
              <w:spacing w:after="0" w:line="240" w:lineRule="auto"/>
              <w:rPr>
                <w:rFonts w:ascii="Times New Roman" w:hAnsi="Times New Roman" w:cs="Times New Roman"/>
                <w:sz w:val="20"/>
                <w:szCs w:val="20"/>
              </w:rPr>
            </w:pPr>
            <w:r w:rsidRPr="00E93259">
              <w:rPr>
                <w:rFonts w:ascii="Times New Roman" w:hAnsi="Times New Roman" w:cs="Times New Roman"/>
                <w:sz w:val="20"/>
                <w:szCs w:val="20"/>
              </w:rPr>
              <w:t>Pozitronu emisijas tomogrāfija/ datortomogrāfija</w:t>
            </w:r>
          </w:p>
        </w:tc>
        <w:tc>
          <w:tcPr>
            <w:tcW w:w="1701" w:type="dxa"/>
            <w:tcBorders>
              <w:top w:val="nil"/>
              <w:left w:val="nil"/>
              <w:bottom w:val="single" w:sz="4" w:space="0" w:color="auto"/>
              <w:right w:val="single" w:sz="4" w:space="0" w:color="auto"/>
            </w:tcBorders>
            <w:shd w:val="clear" w:color="auto" w:fill="auto"/>
            <w:noWrap/>
            <w:vAlign w:val="center"/>
          </w:tcPr>
          <w:p w14:paraId="40CA5285" w14:textId="262C70BF" w:rsidR="0076233F" w:rsidRPr="001E4659" w:rsidRDefault="0076233F" w:rsidP="00041553">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558</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842</w:t>
            </w:r>
          </w:p>
        </w:tc>
        <w:tc>
          <w:tcPr>
            <w:tcW w:w="1766" w:type="dxa"/>
            <w:tcBorders>
              <w:top w:val="nil"/>
              <w:left w:val="nil"/>
              <w:bottom w:val="single" w:sz="4" w:space="0" w:color="auto"/>
              <w:right w:val="single" w:sz="4" w:space="0" w:color="auto"/>
            </w:tcBorders>
            <w:shd w:val="clear" w:color="auto" w:fill="auto"/>
            <w:noWrap/>
            <w:vAlign w:val="center"/>
          </w:tcPr>
          <w:p w14:paraId="2CCC8784" w14:textId="58E72434" w:rsidR="0076233F" w:rsidRPr="001E4659" w:rsidRDefault="0076233F" w:rsidP="0076233F">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 33.16.00 </w:t>
            </w:r>
          </w:p>
        </w:tc>
      </w:tr>
      <w:tr w:rsidR="0076233F" w14:paraId="4657586A"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94AA365" w14:textId="5015B517" w:rsidR="0076233F" w:rsidRPr="0076233F" w:rsidRDefault="0076233F" w:rsidP="0076233F">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Valsts patoloģijas centra izveide</w:t>
            </w:r>
          </w:p>
        </w:tc>
        <w:tc>
          <w:tcPr>
            <w:tcW w:w="1701" w:type="dxa"/>
            <w:tcBorders>
              <w:top w:val="nil"/>
              <w:left w:val="nil"/>
              <w:bottom w:val="single" w:sz="4" w:space="0" w:color="auto"/>
              <w:right w:val="single" w:sz="4" w:space="0" w:color="auto"/>
            </w:tcBorders>
            <w:shd w:val="clear" w:color="auto" w:fill="auto"/>
            <w:noWrap/>
            <w:vAlign w:val="center"/>
            <w:hideMark/>
          </w:tcPr>
          <w:p w14:paraId="3F6B4AE9" w14:textId="77E730CB" w:rsidR="0076233F" w:rsidRPr="0076233F" w:rsidRDefault="0076233F"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2</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559</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313</w:t>
            </w:r>
          </w:p>
        </w:tc>
        <w:tc>
          <w:tcPr>
            <w:tcW w:w="1766" w:type="dxa"/>
            <w:tcBorders>
              <w:top w:val="nil"/>
              <w:left w:val="nil"/>
              <w:bottom w:val="single" w:sz="4" w:space="0" w:color="auto"/>
              <w:right w:val="single" w:sz="4" w:space="0" w:color="auto"/>
            </w:tcBorders>
            <w:shd w:val="clear" w:color="auto" w:fill="auto"/>
            <w:noWrap/>
            <w:vAlign w:val="center"/>
            <w:hideMark/>
          </w:tcPr>
          <w:p w14:paraId="122591CE" w14:textId="4EBA5FE9" w:rsidR="0076233F" w:rsidRPr="0076233F" w:rsidRDefault="0076233F" w:rsidP="0076233F">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33.18.00</w:t>
            </w:r>
          </w:p>
        </w:tc>
      </w:tr>
      <w:tr w:rsidR="0076233F" w14:paraId="5CB5CC02"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4D1DFBA" w14:textId="5EFE5DA9" w:rsidR="0076233F" w:rsidRPr="0076233F" w:rsidRDefault="0076233F" w:rsidP="0076233F">
            <w:pPr>
              <w:spacing w:after="0" w:line="240" w:lineRule="auto"/>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Vēža skrīninga programmas reforma</w:t>
            </w:r>
          </w:p>
        </w:tc>
        <w:tc>
          <w:tcPr>
            <w:tcW w:w="1701" w:type="dxa"/>
            <w:tcBorders>
              <w:top w:val="nil"/>
              <w:left w:val="nil"/>
              <w:bottom w:val="single" w:sz="4" w:space="0" w:color="auto"/>
              <w:right w:val="single" w:sz="4" w:space="0" w:color="auto"/>
            </w:tcBorders>
            <w:shd w:val="clear" w:color="auto" w:fill="auto"/>
            <w:noWrap/>
            <w:vAlign w:val="center"/>
            <w:hideMark/>
          </w:tcPr>
          <w:p w14:paraId="2280AACE" w14:textId="7B47C910" w:rsidR="0076233F" w:rsidRPr="0076233F" w:rsidRDefault="0076233F" w:rsidP="00041553">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520</w:t>
            </w:r>
            <w:r w:rsidR="00EE086E">
              <w:rPr>
                <w:rFonts w:ascii="Times New Roman" w:hAnsi="Times New Roman" w:cs="Times New Roman"/>
                <w:sz w:val="20"/>
                <w:szCs w:val="20"/>
              </w:rPr>
              <w:t xml:space="preserve"> </w:t>
            </w:r>
            <w:r w:rsidRPr="00E93259">
              <w:rPr>
                <w:rFonts w:ascii="Times New Roman" w:hAnsi="Times New Roman" w:cs="Times New Roman"/>
                <w:sz w:val="20"/>
                <w:szCs w:val="20"/>
              </w:rPr>
              <w:t>000</w:t>
            </w:r>
          </w:p>
        </w:tc>
        <w:tc>
          <w:tcPr>
            <w:tcW w:w="1766" w:type="dxa"/>
            <w:tcBorders>
              <w:top w:val="nil"/>
              <w:left w:val="nil"/>
              <w:bottom w:val="single" w:sz="4" w:space="0" w:color="auto"/>
              <w:right w:val="single" w:sz="4" w:space="0" w:color="auto"/>
            </w:tcBorders>
            <w:shd w:val="clear" w:color="auto" w:fill="auto"/>
            <w:noWrap/>
            <w:vAlign w:val="center"/>
            <w:hideMark/>
          </w:tcPr>
          <w:p w14:paraId="3D255835" w14:textId="646E3D0A" w:rsidR="0076233F" w:rsidRPr="0076233F" w:rsidRDefault="0076233F" w:rsidP="0076233F">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33.14.00</w:t>
            </w:r>
          </w:p>
        </w:tc>
      </w:tr>
      <w:tr w:rsidR="00591368" w14:paraId="75B15C37"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EAAA0BD"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3. Infekcijas slimību izplatības mazināšana</w:t>
            </w:r>
          </w:p>
        </w:tc>
        <w:tc>
          <w:tcPr>
            <w:tcW w:w="1701" w:type="dxa"/>
            <w:tcBorders>
              <w:top w:val="nil"/>
              <w:left w:val="nil"/>
              <w:bottom w:val="single" w:sz="4" w:space="0" w:color="auto"/>
              <w:right w:val="single" w:sz="4" w:space="0" w:color="auto"/>
            </w:tcBorders>
            <w:shd w:val="clear" w:color="auto" w:fill="auto"/>
            <w:noWrap/>
            <w:vAlign w:val="bottom"/>
            <w:hideMark/>
          </w:tcPr>
          <w:p w14:paraId="32E54A8D" w14:textId="37B33145" w:rsidR="00F50D6C" w:rsidRPr="00FE4F35" w:rsidRDefault="00942DE1" w:rsidP="00041553">
            <w:pPr>
              <w:spacing w:after="0" w:line="240" w:lineRule="auto"/>
              <w:jc w:val="center"/>
              <w:rPr>
                <w:rFonts w:ascii="Times New Roman" w:eastAsia="Times New Roman" w:hAnsi="Times New Roman" w:cs="Times New Roman"/>
                <w:b/>
                <w:bCs/>
                <w:lang w:eastAsia="lv-LV"/>
              </w:rPr>
            </w:pPr>
            <w:r>
              <w:rPr>
                <w:rFonts w:ascii="Times New Roman" w:hAnsi="Times New Roman" w:cs="Times New Roman"/>
                <w:b/>
                <w:bCs/>
              </w:rPr>
              <w:t>16</w:t>
            </w:r>
            <w:r w:rsidR="0076233F">
              <w:rPr>
                <w:rFonts w:ascii="Times New Roman" w:hAnsi="Times New Roman" w:cs="Times New Roman"/>
                <w:b/>
                <w:bCs/>
              </w:rPr>
              <w:t> 016 643</w:t>
            </w:r>
          </w:p>
        </w:tc>
        <w:tc>
          <w:tcPr>
            <w:tcW w:w="1766" w:type="dxa"/>
            <w:tcBorders>
              <w:top w:val="nil"/>
              <w:left w:val="nil"/>
              <w:bottom w:val="single" w:sz="4" w:space="0" w:color="auto"/>
              <w:right w:val="single" w:sz="4" w:space="0" w:color="auto"/>
            </w:tcBorders>
            <w:shd w:val="clear" w:color="auto" w:fill="auto"/>
            <w:noWrap/>
            <w:vAlign w:val="bottom"/>
            <w:hideMark/>
          </w:tcPr>
          <w:p w14:paraId="2169DF89" w14:textId="77777777" w:rsidR="00F50D6C" w:rsidRPr="00FE4F35" w:rsidRDefault="0071331A" w:rsidP="00F50D6C">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591368" w14:paraId="0D50D084"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02B94D4"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C vīrushepatīta terapijas nodrošināšana</w:t>
            </w:r>
          </w:p>
        </w:tc>
        <w:tc>
          <w:tcPr>
            <w:tcW w:w="1701" w:type="dxa"/>
            <w:tcBorders>
              <w:top w:val="nil"/>
              <w:left w:val="nil"/>
              <w:bottom w:val="single" w:sz="4" w:space="0" w:color="auto"/>
              <w:right w:val="single" w:sz="4" w:space="0" w:color="auto"/>
            </w:tcBorders>
            <w:shd w:val="clear" w:color="auto" w:fill="auto"/>
            <w:noWrap/>
            <w:vAlign w:val="bottom"/>
            <w:hideMark/>
          </w:tcPr>
          <w:p w14:paraId="12F963C2" w14:textId="7B18CDC0" w:rsidR="00F50D6C" w:rsidRPr="00FE4F35" w:rsidRDefault="00977C31" w:rsidP="0004155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10 450 784</w:t>
            </w:r>
          </w:p>
        </w:tc>
        <w:tc>
          <w:tcPr>
            <w:tcW w:w="1766" w:type="dxa"/>
            <w:tcBorders>
              <w:top w:val="nil"/>
              <w:left w:val="nil"/>
              <w:bottom w:val="single" w:sz="4" w:space="0" w:color="auto"/>
              <w:right w:val="single" w:sz="4" w:space="0" w:color="auto"/>
            </w:tcBorders>
            <w:shd w:val="clear" w:color="auto" w:fill="auto"/>
            <w:noWrap/>
            <w:vAlign w:val="bottom"/>
            <w:hideMark/>
          </w:tcPr>
          <w:p w14:paraId="0474BBAF"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591368" w14:paraId="4B42815B" w14:textId="77777777" w:rsidTr="00E93259">
        <w:trPr>
          <w:trHeight w:val="653"/>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05C044F"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lastRenderedPageBreak/>
              <w:t>References laboratorijas izmeklējumi c hepatīta pacientu terapijas uzsākšanai un terapijas monitoringam saistībā ar pacientu skaita pieaugumu</w:t>
            </w:r>
          </w:p>
        </w:tc>
        <w:tc>
          <w:tcPr>
            <w:tcW w:w="1701" w:type="dxa"/>
            <w:tcBorders>
              <w:top w:val="nil"/>
              <w:left w:val="nil"/>
              <w:bottom w:val="single" w:sz="4" w:space="0" w:color="auto"/>
              <w:right w:val="single" w:sz="4" w:space="0" w:color="auto"/>
            </w:tcBorders>
            <w:shd w:val="clear" w:color="auto" w:fill="auto"/>
            <w:noWrap/>
            <w:vAlign w:val="bottom"/>
            <w:hideMark/>
          </w:tcPr>
          <w:p w14:paraId="151E38EC" w14:textId="77777777" w:rsidR="00F50D6C" w:rsidRPr="00FE4F35" w:rsidRDefault="0071331A"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783 203</w:t>
            </w:r>
          </w:p>
        </w:tc>
        <w:tc>
          <w:tcPr>
            <w:tcW w:w="1766" w:type="dxa"/>
            <w:tcBorders>
              <w:top w:val="nil"/>
              <w:left w:val="nil"/>
              <w:bottom w:val="single" w:sz="4" w:space="0" w:color="auto"/>
              <w:right w:val="single" w:sz="4" w:space="0" w:color="auto"/>
            </w:tcBorders>
            <w:shd w:val="clear" w:color="auto" w:fill="auto"/>
            <w:noWrap/>
            <w:vAlign w:val="bottom"/>
            <w:hideMark/>
          </w:tcPr>
          <w:p w14:paraId="437A70B4" w14:textId="019A3391"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sidR="000F7607">
              <w:rPr>
                <w:rFonts w:ascii="Times New Roman" w:eastAsia="Times New Roman" w:hAnsi="Times New Roman" w:cs="Times New Roman"/>
                <w:sz w:val="20"/>
                <w:szCs w:val="20"/>
                <w:lang w:eastAsia="lv-LV"/>
              </w:rPr>
              <w:t>5</w:t>
            </w:r>
            <w:r w:rsidRPr="00FE4F35">
              <w:rPr>
                <w:rFonts w:ascii="Times New Roman" w:eastAsia="Times New Roman" w:hAnsi="Times New Roman" w:cs="Times New Roman"/>
                <w:sz w:val="20"/>
                <w:szCs w:val="20"/>
                <w:lang w:eastAsia="lv-LV"/>
              </w:rPr>
              <w:t>.00</w:t>
            </w:r>
          </w:p>
        </w:tc>
      </w:tr>
      <w:tr w:rsidR="00591368" w14:paraId="3B9926A4" w14:textId="77777777" w:rsidTr="00E93259">
        <w:trPr>
          <w:trHeight w:val="36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1696356"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Vīrusu molekulārās izmeklēšanas analītiskās jūtības rādītāju uzlabošana</w:t>
            </w:r>
          </w:p>
        </w:tc>
        <w:tc>
          <w:tcPr>
            <w:tcW w:w="1701" w:type="dxa"/>
            <w:tcBorders>
              <w:top w:val="nil"/>
              <w:left w:val="nil"/>
              <w:bottom w:val="single" w:sz="4" w:space="0" w:color="auto"/>
              <w:right w:val="single" w:sz="4" w:space="0" w:color="auto"/>
            </w:tcBorders>
            <w:shd w:val="clear" w:color="auto" w:fill="auto"/>
            <w:noWrap/>
            <w:vAlign w:val="bottom"/>
            <w:hideMark/>
          </w:tcPr>
          <w:p w14:paraId="5314CDEE" w14:textId="77777777" w:rsidR="00F50D6C" w:rsidRPr="00FE4F35" w:rsidRDefault="0071331A"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579 656</w:t>
            </w:r>
          </w:p>
        </w:tc>
        <w:tc>
          <w:tcPr>
            <w:tcW w:w="1766" w:type="dxa"/>
            <w:tcBorders>
              <w:top w:val="nil"/>
              <w:left w:val="nil"/>
              <w:bottom w:val="single" w:sz="4" w:space="0" w:color="auto"/>
              <w:right w:val="single" w:sz="4" w:space="0" w:color="auto"/>
            </w:tcBorders>
            <w:shd w:val="clear" w:color="auto" w:fill="auto"/>
            <w:noWrap/>
            <w:vAlign w:val="bottom"/>
            <w:hideMark/>
          </w:tcPr>
          <w:p w14:paraId="602D0EAF"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39.03.00</w:t>
            </w:r>
          </w:p>
        </w:tc>
      </w:tr>
      <w:tr w:rsidR="00591368" w14:paraId="4509A396"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D6C3DF6"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HIV/AIDS medikamentozā ārstēšana</w:t>
            </w:r>
          </w:p>
        </w:tc>
        <w:tc>
          <w:tcPr>
            <w:tcW w:w="1701" w:type="dxa"/>
            <w:tcBorders>
              <w:top w:val="nil"/>
              <w:left w:val="nil"/>
              <w:bottom w:val="single" w:sz="4" w:space="0" w:color="auto"/>
              <w:right w:val="single" w:sz="4" w:space="0" w:color="auto"/>
            </w:tcBorders>
            <w:shd w:val="clear" w:color="auto" w:fill="auto"/>
            <w:noWrap/>
            <w:vAlign w:val="bottom"/>
            <w:hideMark/>
          </w:tcPr>
          <w:p w14:paraId="3C920525" w14:textId="77777777" w:rsidR="00F50D6C" w:rsidRPr="00FE4F35" w:rsidRDefault="0071331A"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4 203 000</w:t>
            </w:r>
          </w:p>
        </w:tc>
        <w:tc>
          <w:tcPr>
            <w:tcW w:w="1766" w:type="dxa"/>
            <w:tcBorders>
              <w:top w:val="nil"/>
              <w:left w:val="nil"/>
              <w:bottom w:val="single" w:sz="4" w:space="0" w:color="auto"/>
              <w:right w:val="single" w:sz="4" w:space="0" w:color="auto"/>
            </w:tcBorders>
            <w:shd w:val="clear" w:color="auto" w:fill="auto"/>
            <w:noWrap/>
            <w:vAlign w:val="bottom"/>
            <w:hideMark/>
          </w:tcPr>
          <w:p w14:paraId="48DC432B"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591368" w14:paraId="5ABC0991"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DD5789A"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4. Primārā veselības aprūpe</w:t>
            </w:r>
          </w:p>
        </w:tc>
        <w:tc>
          <w:tcPr>
            <w:tcW w:w="1701" w:type="dxa"/>
            <w:tcBorders>
              <w:top w:val="nil"/>
              <w:left w:val="nil"/>
              <w:bottom w:val="single" w:sz="4" w:space="0" w:color="auto"/>
              <w:right w:val="single" w:sz="4" w:space="0" w:color="auto"/>
            </w:tcBorders>
            <w:shd w:val="clear" w:color="auto" w:fill="auto"/>
            <w:noWrap/>
            <w:vAlign w:val="bottom"/>
            <w:hideMark/>
          </w:tcPr>
          <w:p w14:paraId="21806DE2" w14:textId="4D684057" w:rsidR="00F50D6C" w:rsidRPr="00FE4F35" w:rsidRDefault="00B15507" w:rsidP="00041553">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w:t>
            </w:r>
            <w:r w:rsidR="0076233F">
              <w:rPr>
                <w:rFonts w:ascii="Times New Roman" w:eastAsia="Times New Roman" w:hAnsi="Times New Roman" w:cs="Times New Roman"/>
                <w:b/>
                <w:bCs/>
                <w:lang w:eastAsia="lv-LV"/>
              </w:rPr>
              <w:t>4</w:t>
            </w:r>
            <w:r w:rsidR="008654DE">
              <w:rPr>
                <w:rFonts w:ascii="Times New Roman" w:eastAsia="Times New Roman" w:hAnsi="Times New Roman" w:cs="Times New Roman"/>
                <w:b/>
                <w:bCs/>
                <w:lang w:eastAsia="lv-LV"/>
              </w:rPr>
              <w:t> 359 414</w:t>
            </w:r>
          </w:p>
        </w:tc>
        <w:tc>
          <w:tcPr>
            <w:tcW w:w="1766" w:type="dxa"/>
            <w:tcBorders>
              <w:top w:val="nil"/>
              <w:left w:val="nil"/>
              <w:bottom w:val="single" w:sz="4" w:space="0" w:color="auto"/>
              <w:right w:val="single" w:sz="4" w:space="0" w:color="auto"/>
            </w:tcBorders>
            <w:shd w:val="clear" w:color="auto" w:fill="auto"/>
            <w:noWrap/>
            <w:vAlign w:val="bottom"/>
            <w:hideMark/>
          </w:tcPr>
          <w:p w14:paraId="57044AF2"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w:t>
            </w:r>
          </w:p>
        </w:tc>
      </w:tr>
      <w:tr w:rsidR="00591368" w14:paraId="2CA4F79B"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AC7EFD7"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Mērķa kritēriju izpildes iekļaušana kapitācijas naudā</w:t>
            </w:r>
          </w:p>
        </w:tc>
        <w:tc>
          <w:tcPr>
            <w:tcW w:w="1701" w:type="dxa"/>
            <w:tcBorders>
              <w:top w:val="nil"/>
              <w:left w:val="nil"/>
              <w:bottom w:val="single" w:sz="4" w:space="0" w:color="auto"/>
              <w:right w:val="single" w:sz="4" w:space="0" w:color="auto"/>
            </w:tcBorders>
            <w:shd w:val="clear" w:color="auto" w:fill="auto"/>
            <w:noWrap/>
            <w:vAlign w:val="bottom"/>
            <w:hideMark/>
          </w:tcPr>
          <w:p w14:paraId="63490816" w14:textId="77777777" w:rsidR="00F50D6C" w:rsidRPr="00FE4F35" w:rsidRDefault="0071331A"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3 131 715</w:t>
            </w:r>
          </w:p>
        </w:tc>
        <w:tc>
          <w:tcPr>
            <w:tcW w:w="1766" w:type="dxa"/>
            <w:tcBorders>
              <w:top w:val="nil"/>
              <w:left w:val="nil"/>
              <w:bottom w:val="single" w:sz="4" w:space="0" w:color="auto"/>
              <w:right w:val="single" w:sz="4" w:space="0" w:color="auto"/>
            </w:tcBorders>
            <w:shd w:val="clear" w:color="auto" w:fill="auto"/>
            <w:noWrap/>
            <w:vAlign w:val="bottom"/>
            <w:hideMark/>
          </w:tcPr>
          <w:p w14:paraId="03C80CF0"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591368" w14:paraId="5EB40C64"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FBBB36C"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Ģimenes ārstu kvalitātes maksājumu sistēmas reforma</w:t>
            </w:r>
          </w:p>
        </w:tc>
        <w:tc>
          <w:tcPr>
            <w:tcW w:w="1701" w:type="dxa"/>
            <w:tcBorders>
              <w:top w:val="nil"/>
              <w:left w:val="nil"/>
              <w:bottom w:val="single" w:sz="4" w:space="0" w:color="auto"/>
              <w:right w:val="single" w:sz="4" w:space="0" w:color="auto"/>
            </w:tcBorders>
            <w:shd w:val="clear" w:color="auto" w:fill="auto"/>
            <w:noWrap/>
            <w:vAlign w:val="bottom"/>
            <w:hideMark/>
          </w:tcPr>
          <w:p w14:paraId="6EDF2653" w14:textId="48A447EB" w:rsidR="00F50D6C" w:rsidRPr="00FE4F35" w:rsidRDefault="00D6220E"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3</w:t>
            </w:r>
            <w:r w:rsidR="0071331A" w:rsidRPr="00FE4F35">
              <w:rPr>
                <w:rFonts w:ascii="Times New Roman" w:hAnsi="Times New Roman" w:cs="Times New Roman"/>
                <w:sz w:val="20"/>
                <w:szCs w:val="20"/>
              </w:rPr>
              <w:t xml:space="preserve"> 7</w:t>
            </w:r>
            <w:r w:rsidRPr="00FE4F35">
              <w:rPr>
                <w:rFonts w:ascii="Times New Roman" w:hAnsi="Times New Roman" w:cs="Times New Roman"/>
                <w:sz w:val="20"/>
                <w:szCs w:val="20"/>
              </w:rPr>
              <w:t>2</w:t>
            </w:r>
            <w:r w:rsidR="0071331A" w:rsidRPr="00FE4F35">
              <w:rPr>
                <w:rFonts w:ascii="Times New Roman" w:hAnsi="Times New Roman" w:cs="Times New Roman"/>
                <w:sz w:val="20"/>
                <w:szCs w:val="20"/>
              </w:rPr>
              <w:t xml:space="preserve">9 </w:t>
            </w:r>
            <w:r w:rsidRPr="00FE4F35">
              <w:rPr>
                <w:rFonts w:ascii="Times New Roman" w:hAnsi="Times New Roman" w:cs="Times New Roman"/>
                <w:sz w:val="20"/>
                <w:szCs w:val="20"/>
              </w:rPr>
              <w:t>36</w:t>
            </w:r>
            <w:r w:rsidR="0071331A" w:rsidRPr="00FE4F35">
              <w:rPr>
                <w:rFonts w:ascii="Times New Roman" w:hAnsi="Times New Roman" w:cs="Times New Roman"/>
                <w:sz w:val="20"/>
                <w:szCs w:val="20"/>
              </w:rPr>
              <w:t>2</w:t>
            </w:r>
          </w:p>
        </w:tc>
        <w:tc>
          <w:tcPr>
            <w:tcW w:w="1766" w:type="dxa"/>
            <w:tcBorders>
              <w:top w:val="nil"/>
              <w:left w:val="nil"/>
              <w:bottom w:val="single" w:sz="4" w:space="0" w:color="auto"/>
              <w:right w:val="single" w:sz="4" w:space="0" w:color="auto"/>
            </w:tcBorders>
            <w:shd w:val="clear" w:color="auto" w:fill="auto"/>
            <w:noWrap/>
            <w:vAlign w:val="bottom"/>
            <w:hideMark/>
          </w:tcPr>
          <w:p w14:paraId="01CE342B"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w:t>
            </w:r>
            <w:r w:rsidR="00383845" w:rsidRPr="00FE4F35">
              <w:rPr>
                <w:rFonts w:ascii="Times New Roman" w:eastAsia="Times New Roman" w:hAnsi="Times New Roman" w:cs="Times New Roman"/>
                <w:sz w:val="20"/>
                <w:szCs w:val="20"/>
                <w:lang w:eastAsia="lv-LV"/>
              </w:rPr>
              <w:t>1</w:t>
            </w:r>
            <w:r w:rsidR="00A47779" w:rsidRPr="00FE4F35">
              <w:rPr>
                <w:rFonts w:ascii="Times New Roman" w:eastAsia="Times New Roman" w:hAnsi="Times New Roman" w:cs="Times New Roman"/>
                <w:sz w:val="20"/>
                <w:szCs w:val="20"/>
                <w:lang w:eastAsia="lv-LV"/>
              </w:rPr>
              <w:t>4</w:t>
            </w:r>
            <w:r w:rsidRPr="00FE4F35">
              <w:rPr>
                <w:rFonts w:ascii="Times New Roman" w:eastAsia="Times New Roman" w:hAnsi="Times New Roman" w:cs="Times New Roman"/>
                <w:sz w:val="20"/>
                <w:szCs w:val="20"/>
                <w:lang w:eastAsia="lv-LV"/>
              </w:rPr>
              <w:t>.00</w:t>
            </w:r>
          </w:p>
        </w:tc>
      </w:tr>
      <w:tr w:rsidR="00591368" w14:paraId="4AAECBC7" w14:textId="77777777" w:rsidTr="00E93259">
        <w:trPr>
          <w:trHeight w:val="32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C4C5011"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Bērnu zobārstniecības tarifu pārskatīšana, t.sk.</w:t>
            </w:r>
          </w:p>
        </w:tc>
        <w:tc>
          <w:tcPr>
            <w:tcW w:w="1701" w:type="dxa"/>
            <w:tcBorders>
              <w:top w:val="nil"/>
              <w:left w:val="nil"/>
              <w:bottom w:val="single" w:sz="4" w:space="0" w:color="auto"/>
              <w:right w:val="single" w:sz="4" w:space="0" w:color="auto"/>
            </w:tcBorders>
            <w:shd w:val="clear" w:color="auto" w:fill="auto"/>
            <w:noWrap/>
            <w:vAlign w:val="bottom"/>
            <w:hideMark/>
          </w:tcPr>
          <w:p w14:paraId="56A870B2" w14:textId="43B2C623" w:rsidR="00F50D6C" w:rsidRPr="00FE4F35" w:rsidRDefault="00EA67E1" w:rsidP="0004155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8654DE">
              <w:rPr>
                <w:rFonts w:ascii="Times New Roman" w:eastAsia="Times New Roman" w:hAnsi="Times New Roman" w:cs="Times New Roman"/>
                <w:sz w:val="20"/>
                <w:szCs w:val="20"/>
                <w:lang w:eastAsia="lv-LV"/>
              </w:rPr>
              <w:t> 498 337</w:t>
            </w:r>
          </w:p>
        </w:tc>
        <w:tc>
          <w:tcPr>
            <w:tcW w:w="1766" w:type="dxa"/>
            <w:tcBorders>
              <w:top w:val="nil"/>
              <w:left w:val="nil"/>
              <w:bottom w:val="single" w:sz="4" w:space="0" w:color="auto"/>
              <w:right w:val="single" w:sz="4" w:space="0" w:color="auto"/>
            </w:tcBorders>
            <w:shd w:val="clear" w:color="auto" w:fill="auto"/>
            <w:noWrap/>
            <w:vAlign w:val="bottom"/>
            <w:hideMark/>
          </w:tcPr>
          <w:p w14:paraId="16F8324F"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w:t>
            </w:r>
          </w:p>
        </w:tc>
      </w:tr>
      <w:tr w:rsidR="00591368" w14:paraId="5F7C83BE"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ECC6B49"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Tarifa pieaugums</w:t>
            </w:r>
          </w:p>
        </w:tc>
        <w:tc>
          <w:tcPr>
            <w:tcW w:w="1701" w:type="dxa"/>
            <w:tcBorders>
              <w:top w:val="nil"/>
              <w:left w:val="nil"/>
              <w:bottom w:val="single" w:sz="4" w:space="0" w:color="auto"/>
              <w:right w:val="single" w:sz="4" w:space="0" w:color="auto"/>
            </w:tcBorders>
            <w:shd w:val="clear" w:color="auto" w:fill="auto"/>
            <w:noWrap/>
            <w:vAlign w:val="bottom"/>
            <w:hideMark/>
          </w:tcPr>
          <w:p w14:paraId="733C88C3" w14:textId="672671D0" w:rsidR="00F50D6C" w:rsidRPr="00FE4F35" w:rsidRDefault="0007395E"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w:t>
            </w:r>
            <w:r w:rsidR="008654DE">
              <w:rPr>
                <w:rFonts w:ascii="Times New Roman" w:hAnsi="Times New Roman" w:cs="Times New Roman"/>
                <w:sz w:val="20"/>
                <w:szCs w:val="20"/>
              </w:rPr>
              <w:t> </w:t>
            </w:r>
            <w:r w:rsidRPr="00FE4F35">
              <w:rPr>
                <w:rFonts w:ascii="Times New Roman" w:hAnsi="Times New Roman" w:cs="Times New Roman"/>
                <w:sz w:val="20"/>
                <w:szCs w:val="20"/>
              </w:rPr>
              <w:t>31</w:t>
            </w:r>
            <w:r w:rsidR="008654DE">
              <w:rPr>
                <w:rFonts w:ascii="Times New Roman" w:hAnsi="Times New Roman" w:cs="Times New Roman"/>
                <w:sz w:val="20"/>
                <w:szCs w:val="20"/>
              </w:rPr>
              <w:t>4 628</w:t>
            </w:r>
          </w:p>
        </w:tc>
        <w:tc>
          <w:tcPr>
            <w:tcW w:w="1766" w:type="dxa"/>
            <w:tcBorders>
              <w:top w:val="nil"/>
              <w:left w:val="nil"/>
              <w:bottom w:val="single" w:sz="4" w:space="0" w:color="auto"/>
              <w:right w:val="single" w:sz="4" w:space="0" w:color="auto"/>
            </w:tcBorders>
            <w:shd w:val="clear" w:color="auto" w:fill="auto"/>
            <w:noWrap/>
            <w:vAlign w:val="bottom"/>
            <w:hideMark/>
          </w:tcPr>
          <w:p w14:paraId="74579859"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591368" w14:paraId="68D0F69C" w14:textId="77777777" w:rsidTr="00E93259">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6D70224"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Kompozīts bērniem līdz 14 gadiem (ieskaitot) ar medikamentiem</w:t>
            </w:r>
          </w:p>
        </w:tc>
        <w:tc>
          <w:tcPr>
            <w:tcW w:w="1701" w:type="dxa"/>
            <w:tcBorders>
              <w:top w:val="nil"/>
              <w:left w:val="nil"/>
              <w:bottom w:val="single" w:sz="4" w:space="0" w:color="auto"/>
              <w:right w:val="single" w:sz="4" w:space="0" w:color="auto"/>
            </w:tcBorders>
            <w:shd w:val="clear" w:color="auto" w:fill="auto"/>
            <w:noWrap/>
            <w:vAlign w:val="bottom"/>
            <w:hideMark/>
          </w:tcPr>
          <w:p w14:paraId="4179EB0E" w14:textId="4B6C0421" w:rsidR="00F50D6C" w:rsidRPr="00FE4F35" w:rsidRDefault="0007395E"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 xml:space="preserve">2 423 </w:t>
            </w:r>
            <w:r w:rsidR="008654DE">
              <w:rPr>
                <w:rFonts w:ascii="Times New Roman" w:hAnsi="Times New Roman" w:cs="Times New Roman"/>
                <w:sz w:val="20"/>
                <w:szCs w:val="20"/>
              </w:rPr>
              <w:t>648</w:t>
            </w:r>
          </w:p>
        </w:tc>
        <w:tc>
          <w:tcPr>
            <w:tcW w:w="1766" w:type="dxa"/>
            <w:tcBorders>
              <w:top w:val="nil"/>
              <w:left w:val="nil"/>
              <w:bottom w:val="single" w:sz="4" w:space="0" w:color="auto"/>
              <w:right w:val="single" w:sz="4" w:space="0" w:color="auto"/>
            </w:tcBorders>
            <w:shd w:val="clear" w:color="auto" w:fill="auto"/>
            <w:noWrap/>
            <w:vAlign w:val="bottom"/>
            <w:hideMark/>
          </w:tcPr>
          <w:p w14:paraId="7D3B58F7"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12324E" w14:paraId="38A11998" w14:textId="77777777" w:rsidTr="00E93259">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0F545F6" w14:textId="15395564" w:rsidR="0012324E" w:rsidRPr="00FE4F35" w:rsidRDefault="00F3376B"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Pakalpojuma apjoma pieaugums</w:t>
            </w:r>
          </w:p>
        </w:tc>
        <w:tc>
          <w:tcPr>
            <w:tcW w:w="1701" w:type="dxa"/>
            <w:tcBorders>
              <w:top w:val="nil"/>
              <w:left w:val="nil"/>
              <w:bottom w:val="single" w:sz="4" w:space="0" w:color="auto"/>
              <w:right w:val="single" w:sz="4" w:space="0" w:color="auto"/>
            </w:tcBorders>
            <w:shd w:val="clear" w:color="auto" w:fill="auto"/>
            <w:noWrap/>
            <w:vAlign w:val="bottom"/>
          </w:tcPr>
          <w:p w14:paraId="6C89DF6E" w14:textId="5A7F7677" w:rsidR="0012324E" w:rsidRPr="00FE4F35" w:rsidRDefault="00141340" w:rsidP="000415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654DE">
              <w:rPr>
                <w:rFonts w:ascii="Times New Roman" w:hAnsi="Times New Roman" w:cs="Times New Roman"/>
                <w:sz w:val="20"/>
                <w:szCs w:val="20"/>
              </w:rPr>
              <w:t> 760 061</w:t>
            </w:r>
          </w:p>
        </w:tc>
        <w:tc>
          <w:tcPr>
            <w:tcW w:w="1766" w:type="dxa"/>
            <w:tcBorders>
              <w:top w:val="nil"/>
              <w:left w:val="nil"/>
              <w:bottom w:val="single" w:sz="4" w:space="0" w:color="auto"/>
              <w:right w:val="single" w:sz="4" w:space="0" w:color="auto"/>
            </w:tcBorders>
            <w:shd w:val="clear" w:color="auto" w:fill="auto"/>
            <w:noWrap/>
            <w:vAlign w:val="bottom"/>
          </w:tcPr>
          <w:p w14:paraId="004D82D7" w14:textId="5FA86B93" w:rsidR="0012324E" w:rsidRPr="00FE4F35" w:rsidRDefault="00F3376B"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591368" w14:paraId="4F136AB2"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391BAAE"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5. Sirds/asinsvadu programma</w:t>
            </w:r>
          </w:p>
        </w:tc>
        <w:tc>
          <w:tcPr>
            <w:tcW w:w="1701" w:type="dxa"/>
            <w:tcBorders>
              <w:top w:val="nil"/>
              <w:left w:val="nil"/>
              <w:bottom w:val="single" w:sz="4" w:space="0" w:color="auto"/>
              <w:right w:val="single" w:sz="4" w:space="0" w:color="auto"/>
            </w:tcBorders>
            <w:shd w:val="clear" w:color="auto" w:fill="auto"/>
            <w:noWrap/>
            <w:vAlign w:val="bottom"/>
            <w:hideMark/>
          </w:tcPr>
          <w:p w14:paraId="78B37049" w14:textId="62B3A354" w:rsidR="00F50D6C" w:rsidRPr="00FE4F35" w:rsidRDefault="0076233F" w:rsidP="00041553">
            <w:pPr>
              <w:spacing w:after="0" w:line="240" w:lineRule="auto"/>
              <w:jc w:val="center"/>
              <w:rPr>
                <w:rFonts w:ascii="Times New Roman" w:hAnsi="Times New Roman" w:cs="Times New Roman"/>
                <w:b/>
              </w:rPr>
            </w:pPr>
            <w:r>
              <w:rPr>
                <w:rFonts w:ascii="Times New Roman" w:hAnsi="Times New Roman" w:cs="Times New Roman"/>
                <w:b/>
                <w:bCs/>
              </w:rPr>
              <w:t>7 519 673</w:t>
            </w:r>
          </w:p>
        </w:tc>
        <w:tc>
          <w:tcPr>
            <w:tcW w:w="1766" w:type="dxa"/>
            <w:tcBorders>
              <w:top w:val="nil"/>
              <w:left w:val="nil"/>
              <w:bottom w:val="single" w:sz="4" w:space="0" w:color="auto"/>
              <w:right w:val="single" w:sz="4" w:space="0" w:color="auto"/>
            </w:tcBorders>
            <w:shd w:val="clear" w:color="auto" w:fill="auto"/>
            <w:noWrap/>
            <w:vAlign w:val="bottom"/>
            <w:hideMark/>
          </w:tcPr>
          <w:p w14:paraId="16E7A0E0" w14:textId="77777777" w:rsidR="00F50D6C" w:rsidRPr="00FE4F35" w:rsidRDefault="0071331A" w:rsidP="00F50D6C">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591368" w14:paraId="79FEF974"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6F106C8"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Kardiovaskulārā riska izvērtēšana un algoritmu ieviešana, t.sk.</w:t>
            </w:r>
          </w:p>
        </w:tc>
        <w:tc>
          <w:tcPr>
            <w:tcW w:w="1701" w:type="dxa"/>
            <w:tcBorders>
              <w:top w:val="nil"/>
              <w:left w:val="nil"/>
              <w:bottom w:val="single" w:sz="4" w:space="0" w:color="auto"/>
              <w:right w:val="single" w:sz="4" w:space="0" w:color="auto"/>
            </w:tcBorders>
            <w:shd w:val="clear" w:color="auto" w:fill="auto"/>
            <w:noWrap/>
            <w:vAlign w:val="bottom"/>
            <w:hideMark/>
          </w:tcPr>
          <w:p w14:paraId="579DF182" w14:textId="208DC268" w:rsidR="00F50D6C" w:rsidRPr="00FE4F35" w:rsidRDefault="00D6220E"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 xml:space="preserve">2 </w:t>
            </w:r>
            <w:r w:rsidR="00263133" w:rsidRPr="00FE4F35">
              <w:rPr>
                <w:rFonts w:ascii="Times New Roman" w:hAnsi="Times New Roman" w:cs="Times New Roman"/>
                <w:sz w:val="20"/>
                <w:szCs w:val="20"/>
              </w:rPr>
              <w:t>594 17</w:t>
            </w:r>
            <w:r w:rsidR="008C392C">
              <w:rPr>
                <w:rFonts w:ascii="Times New Roman" w:hAnsi="Times New Roman" w:cs="Times New Roman"/>
                <w:sz w:val="20"/>
                <w:szCs w:val="20"/>
              </w:rPr>
              <w:t>9</w:t>
            </w:r>
          </w:p>
        </w:tc>
        <w:tc>
          <w:tcPr>
            <w:tcW w:w="1766" w:type="dxa"/>
            <w:tcBorders>
              <w:top w:val="nil"/>
              <w:left w:val="nil"/>
              <w:bottom w:val="single" w:sz="4" w:space="0" w:color="auto"/>
              <w:right w:val="single" w:sz="4" w:space="0" w:color="auto"/>
            </w:tcBorders>
            <w:shd w:val="clear" w:color="auto" w:fill="auto"/>
            <w:noWrap/>
            <w:vAlign w:val="bottom"/>
            <w:hideMark/>
          </w:tcPr>
          <w:p w14:paraId="6146F3AC"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w:t>
            </w:r>
          </w:p>
        </w:tc>
      </w:tr>
      <w:tr w:rsidR="00591368" w14:paraId="686D25C1"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5B4CD87" w14:textId="77777777" w:rsidR="00F50D6C" w:rsidRPr="00FE4F35" w:rsidRDefault="0071331A" w:rsidP="00E93259">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Primārās profilakses algoritmu ieviešana</w:t>
            </w:r>
          </w:p>
        </w:tc>
        <w:tc>
          <w:tcPr>
            <w:tcW w:w="1701" w:type="dxa"/>
            <w:tcBorders>
              <w:top w:val="nil"/>
              <w:left w:val="nil"/>
              <w:bottom w:val="single" w:sz="4" w:space="0" w:color="auto"/>
              <w:right w:val="single" w:sz="4" w:space="0" w:color="auto"/>
            </w:tcBorders>
            <w:shd w:val="clear" w:color="auto" w:fill="auto"/>
            <w:noWrap/>
            <w:vAlign w:val="bottom"/>
            <w:hideMark/>
          </w:tcPr>
          <w:p w14:paraId="443D8D95" w14:textId="7124A8B9" w:rsidR="00F50D6C" w:rsidRPr="00FE4F35" w:rsidRDefault="004C5072"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502 911</w:t>
            </w:r>
          </w:p>
        </w:tc>
        <w:tc>
          <w:tcPr>
            <w:tcW w:w="1766" w:type="dxa"/>
            <w:tcBorders>
              <w:top w:val="nil"/>
              <w:left w:val="nil"/>
              <w:bottom w:val="single" w:sz="4" w:space="0" w:color="auto"/>
              <w:right w:val="single" w:sz="4" w:space="0" w:color="auto"/>
            </w:tcBorders>
            <w:shd w:val="clear" w:color="auto" w:fill="auto"/>
            <w:noWrap/>
            <w:vAlign w:val="bottom"/>
            <w:hideMark/>
          </w:tcPr>
          <w:p w14:paraId="086D694B"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34549D" w:rsidRPr="004F0CD6" w14:paraId="73E96BE2"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37BC4107" w14:textId="166E327D" w:rsidR="0034549D" w:rsidRPr="00E11AFF" w:rsidRDefault="0034549D" w:rsidP="00E11AFF">
            <w:pPr>
              <w:spacing w:after="0" w:line="240" w:lineRule="auto"/>
              <w:rPr>
                <w:rFonts w:ascii="Times New Roman" w:eastAsia="Times New Roman" w:hAnsi="Times New Roman" w:cs="Times New Roman"/>
                <w:sz w:val="20"/>
                <w:szCs w:val="20"/>
                <w:lang w:eastAsia="lv-LV"/>
              </w:rPr>
            </w:pPr>
            <w:r w:rsidRPr="00E11AFF">
              <w:rPr>
                <w:rFonts w:ascii="Times New Roman" w:eastAsia="Times New Roman" w:hAnsi="Times New Roman" w:cs="Times New Roman"/>
                <w:sz w:val="20"/>
                <w:szCs w:val="20"/>
                <w:lang w:eastAsia="lv-LV"/>
              </w:rPr>
              <w:t>Laboratorija</w:t>
            </w:r>
          </w:p>
        </w:tc>
        <w:tc>
          <w:tcPr>
            <w:tcW w:w="1701" w:type="dxa"/>
            <w:tcBorders>
              <w:top w:val="nil"/>
              <w:left w:val="nil"/>
              <w:bottom w:val="single" w:sz="4" w:space="0" w:color="auto"/>
              <w:right w:val="single" w:sz="4" w:space="0" w:color="auto"/>
            </w:tcBorders>
            <w:shd w:val="clear" w:color="auto" w:fill="auto"/>
            <w:noWrap/>
            <w:vAlign w:val="bottom"/>
          </w:tcPr>
          <w:p w14:paraId="4C178AE0" w14:textId="38417F32" w:rsidR="0034549D" w:rsidRPr="004F0CD6" w:rsidRDefault="0034549D" w:rsidP="00041553">
            <w:pPr>
              <w:spacing w:after="0" w:line="240" w:lineRule="auto"/>
              <w:jc w:val="center"/>
              <w:rPr>
                <w:rFonts w:ascii="Times New Roman" w:hAnsi="Times New Roman" w:cs="Times New Roman"/>
                <w:sz w:val="20"/>
                <w:szCs w:val="20"/>
              </w:rPr>
            </w:pPr>
            <w:r w:rsidRPr="004F0CD6">
              <w:rPr>
                <w:rFonts w:ascii="Times New Roman" w:hAnsi="Times New Roman" w:cs="Times New Roman"/>
                <w:sz w:val="20"/>
                <w:szCs w:val="20"/>
              </w:rPr>
              <w:t>79 324</w:t>
            </w:r>
          </w:p>
        </w:tc>
        <w:tc>
          <w:tcPr>
            <w:tcW w:w="1766" w:type="dxa"/>
            <w:tcBorders>
              <w:top w:val="nil"/>
              <w:left w:val="nil"/>
              <w:bottom w:val="single" w:sz="4" w:space="0" w:color="auto"/>
              <w:right w:val="single" w:sz="4" w:space="0" w:color="auto"/>
            </w:tcBorders>
            <w:shd w:val="clear" w:color="auto" w:fill="auto"/>
            <w:noWrap/>
            <w:vAlign w:val="bottom"/>
          </w:tcPr>
          <w:p w14:paraId="3E378B57" w14:textId="0050380F" w:rsidR="0034549D" w:rsidRPr="00CC64B7" w:rsidRDefault="00250F00" w:rsidP="00F50D6C">
            <w:pPr>
              <w:spacing w:after="0" w:line="240" w:lineRule="auto"/>
              <w:jc w:val="center"/>
              <w:rPr>
                <w:rFonts w:ascii="Times New Roman" w:eastAsia="Times New Roman" w:hAnsi="Times New Roman" w:cs="Times New Roman"/>
                <w:sz w:val="20"/>
                <w:szCs w:val="20"/>
                <w:lang w:eastAsia="lv-LV"/>
              </w:rPr>
            </w:pPr>
            <w:r w:rsidRPr="00CC64B7">
              <w:rPr>
                <w:rFonts w:ascii="Times New Roman" w:eastAsia="Times New Roman" w:hAnsi="Times New Roman" w:cs="Times New Roman"/>
                <w:sz w:val="20"/>
                <w:szCs w:val="20"/>
                <w:lang w:eastAsia="lv-LV"/>
              </w:rPr>
              <w:t>33.1</w:t>
            </w:r>
            <w:r w:rsidR="001B0B3D" w:rsidRPr="00CC64B7">
              <w:rPr>
                <w:rFonts w:ascii="Times New Roman" w:eastAsia="Times New Roman" w:hAnsi="Times New Roman" w:cs="Times New Roman"/>
                <w:sz w:val="20"/>
                <w:szCs w:val="20"/>
                <w:lang w:eastAsia="lv-LV"/>
              </w:rPr>
              <w:t>6</w:t>
            </w:r>
            <w:r w:rsidRPr="00CC64B7">
              <w:rPr>
                <w:rFonts w:ascii="Times New Roman" w:eastAsia="Times New Roman" w:hAnsi="Times New Roman" w:cs="Times New Roman"/>
                <w:sz w:val="20"/>
                <w:szCs w:val="20"/>
                <w:lang w:eastAsia="lv-LV"/>
              </w:rPr>
              <w:t>.00</w:t>
            </w:r>
          </w:p>
        </w:tc>
      </w:tr>
      <w:tr w:rsidR="00591368" w14:paraId="3B3482B3" w14:textId="77777777" w:rsidTr="00E93259">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E4E5034"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Sekundārās diagnostikas un izmeklēšanas algoritmu ieviešana</w:t>
            </w:r>
          </w:p>
        </w:tc>
        <w:tc>
          <w:tcPr>
            <w:tcW w:w="1701" w:type="dxa"/>
            <w:tcBorders>
              <w:top w:val="nil"/>
              <w:left w:val="nil"/>
              <w:bottom w:val="single" w:sz="4" w:space="0" w:color="auto"/>
              <w:right w:val="single" w:sz="4" w:space="0" w:color="auto"/>
            </w:tcBorders>
            <w:shd w:val="clear" w:color="auto" w:fill="auto"/>
            <w:noWrap/>
            <w:vAlign w:val="bottom"/>
            <w:hideMark/>
          </w:tcPr>
          <w:p w14:paraId="5D67B4BA" w14:textId="7967D10A" w:rsidR="00F50D6C" w:rsidRPr="00FE4F35" w:rsidRDefault="00263133"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2 011 94</w:t>
            </w:r>
            <w:r w:rsidR="00294163">
              <w:rPr>
                <w:rFonts w:ascii="Times New Roman" w:hAnsi="Times New Roman" w:cs="Times New Roman"/>
                <w:sz w:val="20"/>
                <w:szCs w:val="20"/>
              </w:rPr>
              <w:t>4</w:t>
            </w:r>
          </w:p>
        </w:tc>
        <w:tc>
          <w:tcPr>
            <w:tcW w:w="1766" w:type="dxa"/>
            <w:tcBorders>
              <w:top w:val="nil"/>
              <w:left w:val="nil"/>
              <w:bottom w:val="single" w:sz="4" w:space="0" w:color="auto"/>
              <w:right w:val="single" w:sz="4" w:space="0" w:color="auto"/>
            </w:tcBorders>
            <w:shd w:val="clear" w:color="auto" w:fill="auto"/>
            <w:noWrap/>
            <w:vAlign w:val="bottom"/>
            <w:hideMark/>
          </w:tcPr>
          <w:p w14:paraId="6E8D3B9A" w14:textId="2C0500F1" w:rsidR="00F50D6C" w:rsidRPr="00FE4F35" w:rsidRDefault="00F50D6C" w:rsidP="00F50D6C">
            <w:pPr>
              <w:spacing w:after="0" w:line="240" w:lineRule="auto"/>
              <w:jc w:val="center"/>
              <w:rPr>
                <w:rFonts w:ascii="Times New Roman" w:eastAsia="Times New Roman" w:hAnsi="Times New Roman" w:cs="Times New Roman"/>
                <w:sz w:val="20"/>
                <w:szCs w:val="20"/>
                <w:lang w:eastAsia="lv-LV"/>
              </w:rPr>
            </w:pPr>
          </w:p>
        </w:tc>
      </w:tr>
      <w:tr w:rsidR="0034549D" w14:paraId="75759E4E" w14:textId="77777777" w:rsidTr="00E93259">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0AEE9E2" w14:textId="1C225FF6" w:rsidR="0034549D" w:rsidRPr="00FE4F35" w:rsidRDefault="0025798E"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PVA praksē</w:t>
            </w:r>
          </w:p>
        </w:tc>
        <w:tc>
          <w:tcPr>
            <w:tcW w:w="1701" w:type="dxa"/>
            <w:tcBorders>
              <w:top w:val="nil"/>
              <w:left w:val="nil"/>
              <w:bottom w:val="single" w:sz="4" w:space="0" w:color="auto"/>
              <w:right w:val="single" w:sz="4" w:space="0" w:color="auto"/>
            </w:tcBorders>
            <w:shd w:val="clear" w:color="auto" w:fill="auto"/>
            <w:noWrap/>
            <w:vAlign w:val="bottom"/>
          </w:tcPr>
          <w:p w14:paraId="214F2D83" w14:textId="54FED040" w:rsidR="0034549D" w:rsidRPr="00FE4F35" w:rsidRDefault="0089198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88 270</w:t>
            </w:r>
          </w:p>
        </w:tc>
        <w:tc>
          <w:tcPr>
            <w:tcW w:w="1766" w:type="dxa"/>
            <w:tcBorders>
              <w:top w:val="nil"/>
              <w:left w:val="nil"/>
              <w:bottom w:val="single" w:sz="4" w:space="0" w:color="auto"/>
              <w:right w:val="single" w:sz="4" w:space="0" w:color="auto"/>
            </w:tcBorders>
            <w:shd w:val="clear" w:color="auto" w:fill="auto"/>
            <w:noWrap/>
            <w:vAlign w:val="bottom"/>
          </w:tcPr>
          <w:p w14:paraId="7591CD15" w14:textId="1EDFF5CC" w:rsidR="0034549D" w:rsidRPr="00FE4F35" w:rsidRDefault="004204E9"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w:t>
            </w:r>
            <w:r w:rsidR="00250F00" w:rsidRPr="00FE4F35">
              <w:rPr>
                <w:rFonts w:ascii="Times New Roman" w:eastAsia="Times New Roman" w:hAnsi="Times New Roman" w:cs="Times New Roman"/>
                <w:sz w:val="20"/>
                <w:szCs w:val="20"/>
                <w:lang w:eastAsia="lv-LV"/>
              </w:rPr>
              <w:t>.00</w:t>
            </w:r>
          </w:p>
        </w:tc>
      </w:tr>
      <w:tr w:rsidR="0034549D" w14:paraId="4E2D8B11" w14:textId="77777777" w:rsidTr="00E93259">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22E38C44" w14:textId="67E6B35E" w:rsidR="0034549D" w:rsidRPr="00FE4F35" w:rsidRDefault="0025798E"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SAVA praksē</w:t>
            </w:r>
          </w:p>
        </w:tc>
        <w:tc>
          <w:tcPr>
            <w:tcW w:w="1701" w:type="dxa"/>
            <w:tcBorders>
              <w:top w:val="nil"/>
              <w:left w:val="nil"/>
              <w:bottom w:val="single" w:sz="4" w:space="0" w:color="auto"/>
              <w:right w:val="single" w:sz="4" w:space="0" w:color="auto"/>
            </w:tcBorders>
            <w:shd w:val="clear" w:color="auto" w:fill="auto"/>
            <w:noWrap/>
            <w:vAlign w:val="bottom"/>
          </w:tcPr>
          <w:p w14:paraId="0E88BEC2" w14:textId="570E6BED" w:rsidR="0034549D" w:rsidRPr="00FE4F35" w:rsidRDefault="0089198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894 226</w:t>
            </w:r>
          </w:p>
        </w:tc>
        <w:tc>
          <w:tcPr>
            <w:tcW w:w="1766" w:type="dxa"/>
            <w:tcBorders>
              <w:top w:val="nil"/>
              <w:left w:val="nil"/>
              <w:bottom w:val="single" w:sz="4" w:space="0" w:color="auto"/>
              <w:right w:val="single" w:sz="4" w:space="0" w:color="auto"/>
            </w:tcBorders>
            <w:shd w:val="clear" w:color="auto" w:fill="auto"/>
            <w:noWrap/>
            <w:vAlign w:val="bottom"/>
          </w:tcPr>
          <w:p w14:paraId="2F0AD8D7" w14:textId="02C6483A" w:rsidR="0034549D" w:rsidRPr="00FE4F35" w:rsidRDefault="00250F00"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34549D" w14:paraId="02741C23" w14:textId="77777777" w:rsidTr="00E93259">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0848829" w14:textId="7B776CE4" w:rsidR="0034549D" w:rsidRPr="00FE4F35" w:rsidRDefault="0025798E"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Laboratorija</w:t>
            </w:r>
          </w:p>
        </w:tc>
        <w:tc>
          <w:tcPr>
            <w:tcW w:w="1701" w:type="dxa"/>
            <w:tcBorders>
              <w:top w:val="nil"/>
              <w:left w:val="nil"/>
              <w:bottom w:val="single" w:sz="4" w:space="0" w:color="auto"/>
              <w:right w:val="single" w:sz="4" w:space="0" w:color="auto"/>
            </w:tcBorders>
            <w:shd w:val="clear" w:color="auto" w:fill="auto"/>
            <w:noWrap/>
            <w:vAlign w:val="bottom"/>
          </w:tcPr>
          <w:p w14:paraId="476857E6" w14:textId="44C5D238" w:rsidR="0034549D" w:rsidRPr="00FE4F35" w:rsidRDefault="0089198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340 494</w:t>
            </w:r>
          </w:p>
        </w:tc>
        <w:tc>
          <w:tcPr>
            <w:tcW w:w="1766" w:type="dxa"/>
            <w:tcBorders>
              <w:top w:val="nil"/>
              <w:left w:val="nil"/>
              <w:bottom w:val="single" w:sz="4" w:space="0" w:color="auto"/>
              <w:right w:val="single" w:sz="4" w:space="0" w:color="auto"/>
            </w:tcBorders>
            <w:shd w:val="clear" w:color="auto" w:fill="auto"/>
            <w:noWrap/>
            <w:vAlign w:val="bottom"/>
          </w:tcPr>
          <w:p w14:paraId="0900E594" w14:textId="6D1BF163" w:rsidR="0034549D" w:rsidRPr="00FE4F35" w:rsidRDefault="00106DF5"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34549D" w14:paraId="2FF8D170" w14:textId="77777777" w:rsidTr="00E93259">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7851B89F" w14:textId="6CD2EC48" w:rsidR="0034549D" w:rsidRPr="00FE4F35" w:rsidRDefault="0025798E"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Medikam</w:t>
            </w:r>
            <w:r w:rsidR="00592642" w:rsidRPr="00FE4F35">
              <w:rPr>
                <w:rFonts w:ascii="Times New Roman" w:eastAsia="Times New Roman" w:hAnsi="Times New Roman" w:cs="Times New Roman"/>
                <w:i/>
                <w:sz w:val="20"/>
                <w:szCs w:val="20"/>
                <w:lang w:eastAsia="lv-LV"/>
              </w:rPr>
              <w:t>e</w:t>
            </w:r>
            <w:r w:rsidRPr="00FE4F35">
              <w:rPr>
                <w:rFonts w:ascii="Times New Roman" w:eastAsia="Times New Roman" w:hAnsi="Times New Roman" w:cs="Times New Roman"/>
                <w:i/>
                <w:sz w:val="20"/>
                <w:szCs w:val="20"/>
                <w:lang w:eastAsia="lv-LV"/>
              </w:rPr>
              <w:t>nti</w:t>
            </w:r>
          </w:p>
        </w:tc>
        <w:tc>
          <w:tcPr>
            <w:tcW w:w="1701" w:type="dxa"/>
            <w:tcBorders>
              <w:top w:val="nil"/>
              <w:left w:val="nil"/>
              <w:bottom w:val="single" w:sz="4" w:space="0" w:color="auto"/>
              <w:right w:val="single" w:sz="4" w:space="0" w:color="auto"/>
            </w:tcBorders>
            <w:shd w:val="clear" w:color="auto" w:fill="auto"/>
            <w:noWrap/>
            <w:vAlign w:val="bottom"/>
          </w:tcPr>
          <w:p w14:paraId="7224A345" w14:textId="5701E568" w:rsidR="0034549D" w:rsidRPr="00FE4F35" w:rsidRDefault="0089198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688 95</w:t>
            </w:r>
            <w:r w:rsidR="008C392C">
              <w:rPr>
                <w:rFonts w:ascii="Times New Roman" w:hAnsi="Times New Roman" w:cs="Times New Roman"/>
                <w:sz w:val="20"/>
                <w:szCs w:val="20"/>
              </w:rPr>
              <w:t>4</w:t>
            </w:r>
          </w:p>
        </w:tc>
        <w:tc>
          <w:tcPr>
            <w:tcW w:w="1766" w:type="dxa"/>
            <w:tcBorders>
              <w:top w:val="nil"/>
              <w:left w:val="nil"/>
              <w:bottom w:val="single" w:sz="4" w:space="0" w:color="auto"/>
              <w:right w:val="single" w:sz="4" w:space="0" w:color="auto"/>
            </w:tcBorders>
            <w:shd w:val="clear" w:color="auto" w:fill="auto"/>
            <w:noWrap/>
            <w:vAlign w:val="bottom"/>
          </w:tcPr>
          <w:p w14:paraId="0298837C" w14:textId="71FCEDD8" w:rsidR="0034549D" w:rsidRPr="00FE4F35" w:rsidRDefault="00250F00"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591368" w14:paraId="7A3EEEB5" w14:textId="77777777" w:rsidTr="00E93259">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886DB53"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Aortālā vārstuļa transkatetrāla implantācija (TAVI) pakalpojuma ieviešana</w:t>
            </w:r>
          </w:p>
        </w:tc>
        <w:tc>
          <w:tcPr>
            <w:tcW w:w="1701" w:type="dxa"/>
            <w:tcBorders>
              <w:top w:val="nil"/>
              <w:left w:val="nil"/>
              <w:bottom w:val="single" w:sz="4" w:space="0" w:color="auto"/>
              <w:right w:val="single" w:sz="4" w:space="0" w:color="auto"/>
            </w:tcBorders>
            <w:shd w:val="clear" w:color="auto" w:fill="auto"/>
            <w:noWrap/>
            <w:vAlign w:val="center"/>
            <w:hideMark/>
          </w:tcPr>
          <w:p w14:paraId="1898F83D" w14:textId="77777777" w:rsidR="00F50D6C" w:rsidRPr="00FE4F35" w:rsidRDefault="0071331A" w:rsidP="00041553">
            <w:pPr>
              <w:spacing w:after="0" w:line="240" w:lineRule="auto"/>
              <w:jc w:val="center"/>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1 875 000</w:t>
            </w:r>
          </w:p>
        </w:tc>
        <w:tc>
          <w:tcPr>
            <w:tcW w:w="1766" w:type="dxa"/>
            <w:tcBorders>
              <w:top w:val="nil"/>
              <w:left w:val="nil"/>
              <w:bottom w:val="single" w:sz="4" w:space="0" w:color="auto"/>
              <w:right w:val="single" w:sz="4" w:space="0" w:color="auto"/>
            </w:tcBorders>
            <w:shd w:val="clear" w:color="auto" w:fill="auto"/>
            <w:noWrap/>
            <w:vAlign w:val="bottom"/>
            <w:hideMark/>
          </w:tcPr>
          <w:p w14:paraId="3F780404"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47D9009A"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7E455960" w14:textId="77777777" w:rsidR="000B7F3A"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Kompensējamo medikamentu nodrošinā</w:t>
            </w:r>
            <w:r w:rsidR="00E81EE7" w:rsidRPr="00FE4F35">
              <w:rPr>
                <w:rFonts w:ascii="Times New Roman" w:eastAsia="Times New Roman" w:hAnsi="Times New Roman" w:cs="Times New Roman"/>
                <w:sz w:val="20"/>
                <w:szCs w:val="20"/>
                <w:lang w:eastAsia="lv-LV"/>
              </w:rPr>
              <w:t>š</w:t>
            </w:r>
            <w:r w:rsidRPr="00FE4F35">
              <w:rPr>
                <w:rFonts w:ascii="Times New Roman" w:eastAsia="Times New Roman" w:hAnsi="Times New Roman" w:cs="Times New Roman"/>
                <w:sz w:val="20"/>
                <w:szCs w:val="20"/>
                <w:lang w:eastAsia="lv-LV"/>
              </w:rPr>
              <w:t>ana</w:t>
            </w:r>
            <w:r w:rsidR="00714CC3" w:rsidRPr="00FE4F35">
              <w:rPr>
                <w:rFonts w:ascii="Times New Roman" w:eastAsia="Times New Roman" w:hAnsi="Times New Roman" w:cs="Times New Roman"/>
                <w:sz w:val="20"/>
                <w:szCs w:val="20"/>
                <w:lang w:eastAsia="lv-LV"/>
              </w:rPr>
              <w:t xml:space="preserve"> sirds un asinsvadu saslimšanām</w:t>
            </w:r>
          </w:p>
        </w:tc>
        <w:tc>
          <w:tcPr>
            <w:tcW w:w="1701" w:type="dxa"/>
            <w:tcBorders>
              <w:top w:val="nil"/>
              <w:left w:val="nil"/>
              <w:bottom w:val="single" w:sz="4" w:space="0" w:color="auto"/>
              <w:right w:val="single" w:sz="4" w:space="0" w:color="auto"/>
            </w:tcBorders>
            <w:shd w:val="clear" w:color="auto" w:fill="auto"/>
            <w:noWrap/>
            <w:vAlign w:val="center"/>
          </w:tcPr>
          <w:p w14:paraId="4582B53B" w14:textId="77777777" w:rsidR="000B7F3A" w:rsidRPr="00FE4F35" w:rsidRDefault="0071331A"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 xml:space="preserve">3 050 </w:t>
            </w:r>
            <w:r w:rsidR="008156D3" w:rsidRPr="00FE4F35">
              <w:rPr>
                <w:rFonts w:ascii="Times New Roman" w:hAnsi="Times New Roman" w:cs="Times New Roman"/>
                <w:sz w:val="20"/>
                <w:szCs w:val="20"/>
              </w:rPr>
              <w:t>494</w:t>
            </w:r>
          </w:p>
        </w:tc>
        <w:tc>
          <w:tcPr>
            <w:tcW w:w="1766" w:type="dxa"/>
            <w:tcBorders>
              <w:top w:val="nil"/>
              <w:left w:val="nil"/>
              <w:bottom w:val="single" w:sz="4" w:space="0" w:color="auto"/>
              <w:right w:val="single" w:sz="4" w:space="0" w:color="auto"/>
            </w:tcBorders>
            <w:shd w:val="clear" w:color="auto" w:fill="auto"/>
            <w:noWrap/>
            <w:vAlign w:val="bottom"/>
          </w:tcPr>
          <w:p w14:paraId="426F6DED" w14:textId="77777777" w:rsidR="000B7F3A"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591368" w14:paraId="0A21EF4D"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483209A8" w14:textId="125DFFF8" w:rsidR="007D2CE0" w:rsidRPr="00847710" w:rsidRDefault="0071331A" w:rsidP="007D2CE0">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Kopā</w:t>
            </w:r>
          </w:p>
        </w:tc>
        <w:tc>
          <w:tcPr>
            <w:tcW w:w="1701" w:type="dxa"/>
            <w:tcBorders>
              <w:top w:val="nil"/>
              <w:left w:val="nil"/>
              <w:bottom w:val="single" w:sz="4" w:space="0" w:color="auto"/>
              <w:right w:val="single" w:sz="4" w:space="0" w:color="auto"/>
            </w:tcBorders>
            <w:shd w:val="clear" w:color="auto" w:fill="FBD4B4" w:themeFill="accent6" w:themeFillTint="66"/>
            <w:noWrap/>
            <w:vAlign w:val="bottom"/>
            <w:hideMark/>
          </w:tcPr>
          <w:p w14:paraId="42A95A08" w14:textId="2B4B28C3" w:rsidR="007D2CE0" w:rsidRPr="000C3D0E" w:rsidRDefault="00567426" w:rsidP="000C3D0E">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114</w:t>
            </w:r>
            <w:r w:rsidR="008654DE">
              <w:rPr>
                <w:rFonts w:ascii="Times New Roman" w:eastAsia="Times New Roman" w:hAnsi="Times New Roman" w:cs="Times New Roman"/>
                <w:b/>
                <w:bCs/>
                <w:lang w:eastAsia="lv-LV"/>
              </w:rPr>
              <w:t> 224 007</w:t>
            </w:r>
          </w:p>
        </w:tc>
        <w:tc>
          <w:tcPr>
            <w:tcW w:w="1766" w:type="dxa"/>
            <w:tcBorders>
              <w:top w:val="nil"/>
              <w:left w:val="nil"/>
              <w:bottom w:val="single" w:sz="4" w:space="0" w:color="auto"/>
              <w:right w:val="single" w:sz="4" w:space="0" w:color="auto"/>
            </w:tcBorders>
            <w:shd w:val="clear" w:color="auto" w:fill="FBD4B4" w:themeFill="accent6" w:themeFillTint="66"/>
            <w:noWrap/>
            <w:vAlign w:val="bottom"/>
            <w:hideMark/>
          </w:tcPr>
          <w:p w14:paraId="75EFC33D" w14:textId="77777777" w:rsidR="007D2CE0" w:rsidRPr="00BC2160" w:rsidRDefault="0071331A" w:rsidP="000C3D0E">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 </w:t>
            </w:r>
          </w:p>
        </w:tc>
      </w:tr>
    </w:tbl>
    <w:p w14:paraId="52E6256D" w14:textId="091EC668" w:rsidR="003D1B96" w:rsidRDefault="003D1B96" w:rsidP="00AB7C24">
      <w:pPr>
        <w:rPr>
          <w:rFonts w:ascii="Times New Roman" w:hAnsi="Times New Roman" w:cs="Times New Roman"/>
        </w:rPr>
      </w:pPr>
    </w:p>
    <w:p w14:paraId="7CAE450A" w14:textId="3574410F" w:rsidR="00D43A3B" w:rsidRPr="00E93259" w:rsidRDefault="00500E42" w:rsidP="00746D68">
      <w:pPr>
        <w:spacing w:after="0" w:line="240" w:lineRule="auto"/>
        <w:jc w:val="right"/>
        <w:rPr>
          <w:rFonts w:ascii="Times New Roman" w:hAnsi="Times New Roman" w:cs="Times New Roman"/>
          <w:i/>
        </w:rPr>
      </w:pPr>
      <w:r>
        <w:rPr>
          <w:rFonts w:ascii="Times New Roman" w:hAnsi="Times New Roman" w:cs="Times New Roman"/>
          <w:i/>
        </w:rPr>
        <w:t>112</w:t>
      </w:r>
      <w:r w:rsidR="00D43A3B" w:rsidRPr="00E93259">
        <w:rPr>
          <w:rFonts w:ascii="Times New Roman" w:hAnsi="Times New Roman" w:cs="Times New Roman"/>
          <w:i/>
        </w:rPr>
        <w:t>.tabula</w:t>
      </w:r>
    </w:p>
    <w:p w14:paraId="2FCF45E7" w14:textId="593102AD" w:rsidR="00D43A3B" w:rsidRPr="000C3D0E" w:rsidRDefault="00D43A3B" w:rsidP="00746D68">
      <w:pPr>
        <w:spacing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Jauno r</w:t>
      </w:r>
      <w:r w:rsidRPr="0012317D">
        <w:rPr>
          <w:rFonts w:ascii="Times New Roman" w:hAnsi="Times New Roman" w:cs="Times New Roman"/>
          <w:b/>
          <w:bCs/>
          <w:sz w:val="24"/>
          <w:szCs w:val="24"/>
          <w:lang w:eastAsia="lv-LV"/>
        </w:rPr>
        <w:t xml:space="preserve">eformu </w:t>
      </w:r>
      <w:r>
        <w:rPr>
          <w:rFonts w:ascii="Times New Roman" w:hAnsi="Times New Roman" w:cs="Times New Roman"/>
          <w:b/>
          <w:bCs/>
          <w:sz w:val="24"/>
          <w:szCs w:val="24"/>
          <w:lang w:eastAsia="lv-LV"/>
        </w:rPr>
        <w:t xml:space="preserve">pasākumu </w:t>
      </w:r>
      <w:r w:rsidRPr="0012317D">
        <w:rPr>
          <w:rFonts w:ascii="Times New Roman" w:hAnsi="Times New Roman" w:cs="Times New Roman"/>
          <w:b/>
          <w:bCs/>
          <w:sz w:val="24"/>
          <w:szCs w:val="24"/>
          <w:lang w:eastAsia="lv-LV"/>
        </w:rPr>
        <w:t>īstenošanai nepieciešamais finansējums</w:t>
      </w:r>
    </w:p>
    <w:tbl>
      <w:tblPr>
        <w:tblW w:w="8400" w:type="dxa"/>
        <w:jc w:val="center"/>
        <w:tblLook w:val="04A0" w:firstRow="1" w:lastRow="0" w:firstColumn="1" w:lastColumn="0" w:noHBand="0" w:noVBand="1"/>
      </w:tblPr>
      <w:tblGrid>
        <w:gridCol w:w="5180"/>
        <w:gridCol w:w="1480"/>
        <w:gridCol w:w="1740"/>
      </w:tblGrid>
      <w:tr w:rsidR="00D43A3B" w14:paraId="63CB04FC" w14:textId="77777777" w:rsidTr="00ED3FC5">
        <w:trPr>
          <w:trHeight w:val="600"/>
          <w:jc w:val="center"/>
        </w:trPr>
        <w:tc>
          <w:tcPr>
            <w:tcW w:w="518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3AA837D7" w14:textId="77777777" w:rsidR="00D43A3B" w:rsidRPr="00FE4F35" w:rsidRDefault="00D43A3B" w:rsidP="00ED3FC5">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Reformas pasākums</w:t>
            </w:r>
          </w:p>
        </w:tc>
        <w:tc>
          <w:tcPr>
            <w:tcW w:w="148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62730347" w14:textId="77777777" w:rsidR="00D43A3B" w:rsidRPr="00FE4F35" w:rsidRDefault="00D43A3B" w:rsidP="00ED3FC5">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Finansējums, euro</w:t>
            </w:r>
          </w:p>
        </w:tc>
        <w:tc>
          <w:tcPr>
            <w:tcW w:w="174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7151A244" w14:textId="77777777" w:rsidR="00D43A3B" w:rsidRPr="00FE4F35" w:rsidRDefault="00D43A3B" w:rsidP="00ED3FC5">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Budžeta apakšprogramma</w:t>
            </w:r>
          </w:p>
        </w:tc>
      </w:tr>
      <w:tr w:rsidR="00D43A3B" w14:paraId="4FDED7B2"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E8B222B" w14:textId="77777777" w:rsidR="00D43A3B" w:rsidRPr="00FE4F35" w:rsidRDefault="00D43A3B" w:rsidP="00ED3FC5">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1. Veselības aprūpes pakalpojumu pieejamība</w:t>
            </w:r>
          </w:p>
        </w:tc>
        <w:tc>
          <w:tcPr>
            <w:tcW w:w="1480" w:type="dxa"/>
            <w:tcBorders>
              <w:top w:val="nil"/>
              <w:left w:val="nil"/>
              <w:bottom w:val="single" w:sz="4" w:space="0" w:color="auto"/>
              <w:right w:val="single" w:sz="4" w:space="0" w:color="auto"/>
            </w:tcBorders>
            <w:shd w:val="clear" w:color="auto" w:fill="auto"/>
            <w:noWrap/>
            <w:vAlign w:val="bottom"/>
            <w:hideMark/>
          </w:tcPr>
          <w:p w14:paraId="3AAAB7AB" w14:textId="0BF96B9E" w:rsidR="00D43A3B" w:rsidRPr="00FE4F35" w:rsidRDefault="00EE086E" w:rsidP="00041553">
            <w:pPr>
              <w:spacing w:after="0" w:line="240" w:lineRule="auto"/>
              <w:jc w:val="center"/>
              <w:rPr>
                <w:rFonts w:ascii="Times New Roman" w:eastAsia="Times New Roman" w:hAnsi="Times New Roman" w:cs="Times New Roman"/>
                <w:b/>
                <w:bCs/>
                <w:lang w:eastAsia="lv-LV"/>
              </w:rPr>
            </w:pPr>
            <w:r>
              <w:rPr>
                <w:rFonts w:ascii="Times New Roman" w:hAnsi="Times New Roman" w:cs="Times New Roman"/>
                <w:b/>
                <w:bCs/>
              </w:rPr>
              <w:t>6 690 528</w:t>
            </w:r>
          </w:p>
        </w:tc>
        <w:tc>
          <w:tcPr>
            <w:tcW w:w="1740" w:type="dxa"/>
            <w:tcBorders>
              <w:top w:val="nil"/>
              <w:left w:val="nil"/>
              <w:bottom w:val="single" w:sz="4" w:space="0" w:color="auto"/>
              <w:right w:val="single" w:sz="4" w:space="0" w:color="auto"/>
            </w:tcBorders>
            <w:shd w:val="clear" w:color="auto" w:fill="auto"/>
            <w:noWrap/>
            <w:vAlign w:val="bottom"/>
            <w:hideMark/>
          </w:tcPr>
          <w:p w14:paraId="4254F243" w14:textId="77777777" w:rsidR="00D43A3B" w:rsidRPr="00FE4F35" w:rsidRDefault="00D43A3B" w:rsidP="00ED3FC5">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D43A3B" w14:paraId="6062EAD4"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2A0CAE95" w14:textId="77777777" w:rsidR="00D43A3B" w:rsidRPr="00FE4F35" w:rsidRDefault="00D43A3B" w:rsidP="00ED3FC5">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Papildus speciālistu piesaiste</w:t>
            </w:r>
          </w:p>
        </w:tc>
        <w:tc>
          <w:tcPr>
            <w:tcW w:w="1480" w:type="dxa"/>
            <w:tcBorders>
              <w:top w:val="nil"/>
              <w:left w:val="nil"/>
              <w:bottom w:val="single" w:sz="4" w:space="0" w:color="auto"/>
              <w:right w:val="single" w:sz="4" w:space="0" w:color="auto"/>
            </w:tcBorders>
            <w:shd w:val="clear" w:color="auto" w:fill="auto"/>
            <w:noWrap/>
            <w:vAlign w:val="bottom"/>
          </w:tcPr>
          <w:p w14:paraId="43924865" w14:textId="77777777" w:rsidR="00D43A3B" w:rsidRPr="00FE4F35" w:rsidRDefault="00D43A3B"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2 681 28</w:t>
            </w:r>
            <w:r>
              <w:rPr>
                <w:rFonts w:ascii="Times New Roman" w:hAnsi="Times New Roman" w:cs="Times New Roman"/>
                <w:sz w:val="20"/>
                <w:szCs w:val="20"/>
              </w:rPr>
              <w:t>1</w:t>
            </w:r>
          </w:p>
        </w:tc>
        <w:tc>
          <w:tcPr>
            <w:tcW w:w="1740" w:type="dxa"/>
            <w:tcBorders>
              <w:top w:val="nil"/>
              <w:left w:val="nil"/>
              <w:bottom w:val="single" w:sz="4" w:space="0" w:color="auto"/>
              <w:right w:val="single" w:sz="4" w:space="0" w:color="auto"/>
            </w:tcBorders>
            <w:shd w:val="clear" w:color="auto" w:fill="auto"/>
            <w:noWrap/>
            <w:vAlign w:val="bottom"/>
          </w:tcPr>
          <w:p w14:paraId="5DF0225B" w14:textId="77777777" w:rsidR="00D43A3B" w:rsidRPr="00FE4F35" w:rsidRDefault="00D43A3B" w:rsidP="00ED3FC5">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4F0CD6" w14:paraId="2F6091A0" w14:textId="77777777" w:rsidTr="00E11AFF">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3AD66878" w14:textId="3EDDB603" w:rsidR="004F0CD6" w:rsidRPr="001E4659" w:rsidRDefault="004F0CD6" w:rsidP="004F0CD6">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Pediatra kā tiešās pieejamības speciālista palīdzības pieejamība III</w:t>
            </w:r>
            <w:r>
              <w:rPr>
                <w:rFonts w:ascii="Times New Roman" w:hAnsi="Times New Roman" w:cs="Times New Roman"/>
                <w:sz w:val="20"/>
                <w:szCs w:val="20"/>
              </w:rPr>
              <w:t xml:space="preserve">, </w:t>
            </w:r>
            <w:r w:rsidRPr="00FE4F35">
              <w:rPr>
                <w:rFonts w:ascii="Times New Roman" w:hAnsi="Times New Roman" w:cs="Times New Roman"/>
                <w:sz w:val="20"/>
                <w:szCs w:val="20"/>
              </w:rPr>
              <w:t>IV</w:t>
            </w:r>
            <w:r>
              <w:rPr>
                <w:rFonts w:ascii="Times New Roman" w:hAnsi="Times New Roman" w:cs="Times New Roman"/>
                <w:sz w:val="20"/>
                <w:szCs w:val="20"/>
              </w:rPr>
              <w:t xml:space="preserve"> un V</w:t>
            </w:r>
            <w:r w:rsidRPr="00FE4F35">
              <w:rPr>
                <w:rFonts w:ascii="Times New Roman" w:hAnsi="Times New Roman" w:cs="Times New Roman"/>
                <w:sz w:val="20"/>
                <w:szCs w:val="20"/>
              </w:rPr>
              <w:t xml:space="preserve"> līmeņa slimnīcās</w:t>
            </w:r>
          </w:p>
        </w:tc>
        <w:tc>
          <w:tcPr>
            <w:tcW w:w="1480" w:type="dxa"/>
            <w:tcBorders>
              <w:top w:val="nil"/>
              <w:left w:val="nil"/>
              <w:bottom w:val="single" w:sz="4" w:space="0" w:color="auto"/>
              <w:right w:val="single" w:sz="4" w:space="0" w:color="auto"/>
            </w:tcBorders>
            <w:shd w:val="clear" w:color="auto" w:fill="auto"/>
            <w:noWrap/>
            <w:vAlign w:val="center"/>
          </w:tcPr>
          <w:p w14:paraId="4E7287C7" w14:textId="260FABA5" w:rsidR="004F0CD6" w:rsidRPr="001E4659" w:rsidRDefault="004F0CD6" w:rsidP="00041553">
            <w:pPr>
              <w:spacing w:after="0" w:line="240" w:lineRule="auto"/>
              <w:jc w:val="center"/>
              <w:rPr>
                <w:rFonts w:ascii="Times New Roman" w:hAnsi="Times New Roman" w:cs="Times New Roman"/>
                <w:sz w:val="20"/>
                <w:szCs w:val="20"/>
              </w:rPr>
            </w:pPr>
            <w:r w:rsidRPr="00E93259">
              <w:rPr>
                <w:rFonts w:ascii="Times New Roman" w:hAnsi="Times New Roman" w:cs="Times New Roman"/>
                <w:sz w:val="20"/>
                <w:szCs w:val="20"/>
              </w:rPr>
              <w:t>573</w:t>
            </w:r>
            <w:r>
              <w:rPr>
                <w:rFonts w:ascii="Times New Roman" w:hAnsi="Times New Roman" w:cs="Times New Roman"/>
                <w:sz w:val="20"/>
                <w:szCs w:val="20"/>
              </w:rPr>
              <w:t xml:space="preserve"> </w:t>
            </w:r>
            <w:r w:rsidRPr="00E93259">
              <w:rPr>
                <w:rFonts w:ascii="Times New Roman" w:hAnsi="Times New Roman" w:cs="Times New Roman"/>
                <w:sz w:val="20"/>
                <w:szCs w:val="20"/>
              </w:rPr>
              <w:t>534</w:t>
            </w:r>
          </w:p>
        </w:tc>
        <w:tc>
          <w:tcPr>
            <w:tcW w:w="1740" w:type="dxa"/>
            <w:tcBorders>
              <w:top w:val="nil"/>
              <w:left w:val="nil"/>
              <w:bottom w:val="single" w:sz="4" w:space="0" w:color="auto"/>
              <w:right w:val="single" w:sz="4" w:space="0" w:color="auto"/>
            </w:tcBorders>
            <w:shd w:val="clear" w:color="auto" w:fill="auto"/>
            <w:noWrap/>
            <w:vAlign w:val="center"/>
          </w:tcPr>
          <w:p w14:paraId="1ACFC260" w14:textId="15C8FC0E" w:rsidR="004F0CD6" w:rsidRPr="001E4659" w:rsidRDefault="004F0CD6" w:rsidP="004F0CD6">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33.16.00</w:t>
            </w:r>
          </w:p>
        </w:tc>
      </w:tr>
      <w:tr w:rsidR="004F0CD6" w14:paraId="00F0952C"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2D102373"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Operācijas zāles izveide</w:t>
            </w:r>
          </w:p>
        </w:tc>
        <w:tc>
          <w:tcPr>
            <w:tcW w:w="1480" w:type="dxa"/>
            <w:tcBorders>
              <w:top w:val="nil"/>
              <w:left w:val="nil"/>
              <w:bottom w:val="single" w:sz="4" w:space="0" w:color="auto"/>
              <w:right w:val="single" w:sz="4" w:space="0" w:color="auto"/>
            </w:tcBorders>
            <w:shd w:val="clear" w:color="auto" w:fill="auto"/>
            <w:noWrap/>
            <w:vAlign w:val="bottom"/>
          </w:tcPr>
          <w:p w14:paraId="5F2CBAA2"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962 059</w:t>
            </w:r>
          </w:p>
        </w:tc>
        <w:tc>
          <w:tcPr>
            <w:tcW w:w="1740" w:type="dxa"/>
            <w:tcBorders>
              <w:top w:val="nil"/>
              <w:left w:val="nil"/>
              <w:bottom w:val="single" w:sz="4" w:space="0" w:color="auto"/>
              <w:right w:val="single" w:sz="4" w:space="0" w:color="auto"/>
            </w:tcBorders>
            <w:shd w:val="clear" w:color="auto" w:fill="auto"/>
            <w:noWrap/>
            <w:vAlign w:val="bottom"/>
          </w:tcPr>
          <w:p w14:paraId="5200BA1C"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01EA72A0" w14:textId="77777777" w:rsidTr="00ED3FC5">
        <w:trPr>
          <w:trHeight w:val="241"/>
          <w:jc w:val="center"/>
        </w:trPr>
        <w:tc>
          <w:tcPr>
            <w:tcW w:w="5180" w:type="dxa"/>
            <w:tcBorders>
              <w:top w:val="nil"/>
              <w:left w:val="single" w:sz="4" w:space="0" w:color="auto"/>
              <w:bottom w:val="single" w:sz="4" w:space="0" w:color="auto"/>
              <w:right w:val="single" w:sz="4" w:space="0" w:color="auto"/>
            </w:tcBorders>
            <w:shd w:val="clear" w:color="auto" w:fill="auto"/>
          </w:tcPr>
          <w:p w14:paraId="5946A91A" w14:textId="77777777" w:rsidR="004F0CD6" w:rsidRPr="00FE4F35" w:rsidRDefault="004F0CD6" w:rsidP="004F0CD6">
            <w:pPr>
              <w:spacing w:after="0" w:line="240" w:lineRule="auto"/>
              <w:jc w:val="both"/>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Sāpju kabinets</w:t>
            </w:r>
          </w:p>
        </w:tc>
        <w:tc>
          <w:tcPr>
            <w:tcW w:w="1480" w:type="dxa"/>
            <w:tcBorders>
              <w:top w:val="nil"/>
              <w:left w:val="nil"/>
              <w:bottom w:val="single" w:sz="4" w:space="0" w:color="auto"/>
              <w:right w:val="single" w:sz="4" w:space="0" w:color="auto"/>
            </w:tcBorders>
            <w:shd w:val="clear" w:color="auto" w:fill="auto"/>
            <w:noWrap/>
            <w:vAlign w:val="bottom"/>
          </w:tcPr>
          <w:p w14:paraId="06D2367F"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191 603</w:t>
            </w:r>
          </w:p>
        </w:tc>
        <w:tc>
          <w:tcPr>
            <w:tcW w:w="1740" w:type="dxa"/>
            <w:tcBorders>
              <w:top w:val="nil"/>
              <w:left w:val="nil"/>
              <w:bottom w:val="single" w:sz="4" w:space="0" w:color="auto"/>
              <w:right w:val="single" w:sz="4" w:space="0" w:color="auto"/>
            </w:tcBorders>
            <w:shd w:val="clear" w:color="auto" w:fill="auto"/>
            <w:noWrap/>
            <w:vAlign w:val="bottom"/>
          </w:tcPr>
          <w:p w14:paraId="498156C4"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33.16.00</w:t>
            </w:r>
          </w:p>
        </w:tc>
      </w:tr>
      <w:tr w:rsidR="004F0CD6" w14:paraId="50BEED86"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78671332" w14:textId="77777777" w:rsidR="004F0CD6" w:rsidRPr="00FE4F35" w:rsidRDefault="004F0CD6" w:rsidP="004F0CD6">
            <w:pPr>
              <w:spacing w:after="0" w:line="240" w:lineRule="auto"/>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Laboratorisko pakalpojumu pieejamības uzlabošana</w:t>
            </w:r>
          </w:p>
        </w:tc>
        <w:tc>
          <w:tcPr>
            <w:tcW w:w="1480" w:type="dxa"/>
            <w:tcBorders>
              <w:top w:val="nil"/>
              <w:left w:val="nil"/>
              <w:bottom w:val="single" w:sz="4" w:space="0" w:color="auto"/>
              <w:right w:val="single" w:sz="4" w:space="0" w:color="auto"/>
            </w:tcBorders>
            <w:shd w:val="clear" w:color="auto" w:fill="auto"/>
            <w:noWrap/>
            <w:vAlign w:val="bottom"/>
          </w:tcPr>
          <w:p w14:paraId="25585BB4" w14:textId="77777777"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2 </w:t>
            </w:r>
            <w:r>
              <w:rPr>
                <w:rFonts w:ascii="Times New Roman" w:hAnsi="Times New Roman" w:cs="Times New Roman"/>
                <w:bCs/>
                <w:sz w:val="20"/>
                <w:szCs w:val="20"/>
              </w:rPr>
              <w:t>282 051</w:t>
            </w:r>
          </w:p>
        </w:tc>
        <w:tc>
          <w:tcPr>
            <w:tcW w:w="1740" w:type="dxa"/>
            <w:tcBorders>
              <w:top w:val="nil"/>
              <w:left w:val="nil"/>
              <w:bottom w:val="single" w:sz="4" w:space="0" w:color="auto"/>
              <w:right w:val="single" w:sz="4" w:space="0" w:color="auto"/>
            </w:tcBorders>
            <w:shd w:val="clear" w:color="auto" w:fill="auto"/>
            <w:noWrap/>
            <w:vAlign w:val="bottom"/>
          </w:tcPr>
          <w:p w14:paraId="49C2C9A7" w14:textId="77777777" w:rsidR="004F0CD6" w:rsidRPr="00FE4F35" w:rsidRDefault="004F0CD6" w:rsidP="004F0CD6">
            <w:pPr>
              <w:spacing w:after="0" w:line="240" w:lineRule="auto"/>
              <w:jc w:val="center"/>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33.15.00</w:t>
            </w:r>
          </w:p>
        </w:tc>
      </w:tr>
      <w:tr w:rsidR="004F0CD6" w14:paraId="40FF0050"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7AB100F" w14:textId="77777777" w:rsidR="004F0CD6" w:rsidRPr="00FE4F35" w:rsidRDefault="004F0CD6" w:rsidP="004F0CD6">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2.Onkoloģija</w:t>
            </w:r>
          </w:p>
        </w:tc>
        <w:tc>
          <w:tcPr>
            <w:tcW w:w="1480" w:type="dxa"/>
            <w:tcBorders>
              <w:top w:val="nil"/>
              <w:left w:val="nil"/>
              <w:bottom w:val="single" w:sz="4" w:space="0" w:color="auto"/>
              <w:right w:val="single" w:sz="4" w:space="0" w:color="auto"/>
            </w:tcBorders>
            <w:shd w:val="clear" w:color="auto" w:fill="auto"/>
            <w:noWrap/>
            <w:vAlign w:val="bottom"/>
            <w:hideMark/>
          </w:tcPr>
          <w:p w14:paraId="0893FC40" w14:textId="3BDC13DC" w:rsidR="004F0CD6" w:rsidRPr="00FE4F35" w:rsidRDefault="004F0CD6" w:rsidP="00041553">
            <w:pPr>
              <w:spacing w:after="0" w:line="240" w:lineRule="auto"/>
              <w:jc w:val="center"/>
              <w:rPr>
                <w:rFonts w:ascii="Times New Roman" w:hAnsi="Times New Roman" w:cs="Times New Roman"/>
                <w:b/>
              </w:rPr>
            </w:pPr>
            <w:r>
              <w:rPr>
                <w:rFonts w:ascii="Times New Roman" w:hAnsi="Times New Roman" w:cs="Times New Roman"/>
                <w:b/>
                <w:bCs/>
              </w:rPr>
              <w:t>3 </w:t>
            </w:r>
            <w:r w:rsidR="00EE086E">
              <w:rPr>
                <w:rFonts w:ascii="Times New Roman" w:hAnsi="Times New Roman" w:cs="Times New Roman"/>
                <w:b/>
                <w:bCs/>
              </w:rPr>
              <w:t>7</w:t>
            </w:r>
            <w:r>
              <w:rPr>
                <w:rFonts w:ascii="Times New Roman" w:hAnsi="Times New Roman" w:cs="Times New Roman"/>
                <w:b/>
                <w:bCs/>
              </w:rPr>
              <w:t xml:space="preserve">35 </w:t>
            </w:r>
            <w:r w:rsidR="00EE086E">
              <w:rPr>
                <w:rFonts w:ascii="Times New Roman" w:hAnsi="Times New Roman" w:cs="Times New Roman"/>
                <w:b/>
                <w:bCs/>
              </w:rPr>
              <w:t>7</w:t>
            </w:r>
            <w:r>
              <w:rPr>
                <w:rFonts w:ascii="Times New Roman" w:hAnsi="Times New Roman" w:cs="Times New Roman"/>
                <w:b/>
                <w:bCs/>
              </w:rPr>
              <w:t>55</w:t>
            </w:r>
          </w:p>
        </w:tc>
        <w:tc>
          <w:tcPr>
            <w:tcW w:w="1740" w:type="dxa"/>
            <w:tcBorders>
              <w:top w:val="nil"/>
              <w:left w:val="nil"/>
              <w:bottom w:val="single" w:sz="4" w:space="0" w:color="auto"/>
              <w:right w:val="single" w:sz="4" w:space="0" w:color="auto"/>
            </w:tcBorders>
            <w:shd w:val="clear" w:color="auto" w:fill="auto"/>
            <w:noWrap/>
            <w:vAlign w:val="bottom"/>
            <w:hideMark/>
          </w:tcPr>
          <w:p w14:paraId="3040CCD6" w14:textId="77777777" w:rsidR="004F0CD6" w:rsidRPr="00FE4F35" w:rsidRDefault="004F0CD6" w:rsidP="004F0CD6">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4F0CD6" w14:paraId="7AB8CF20"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4002E9A1"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Psihoemocionālā dienas atbalsta centrs “Spēka avots”</w:t>
            </w:r>
          </w:p>
        </w:tc>
        <w:tc>
          <w:tcPr>
            <w:tcW w:w="1480" w:type="dxa"/>
            <w:tcBorders>
              <w:top w:val="nil"/>
              <w:left w:val="nil"/>
              <w:bottom w:val="single" w:sz="4" w:space="0" w:color="auto"/>
              <w:right w:val="single" w:sz="4" w:space="0" w:color="auto"/>
            </w:tcBorders>
            <w:shd w:val="clear" w:color="auto" w:fill="auto"/>
            <w:noWrap/>
            <w:vAlign w:val="bottom"/>
          </w:tcPr>
          <w:p w14:paraId="4AC98B3F" w14:textId="77777777" w:rsidR="004F0CD6" w:rsidRPr="00FE4F35" w:rsidRDefault="004F0CD6" w:rsidP="000415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77 013</w:t>
            </w:r>
          </w:p>
        </w:tc>
        <w:tc>
          <w:tcPr>
            <w:tcW w:w="1740" w:type="dxa"/>
            <w:tcBorders>
              <w:top w:val="nil"/>
              <w:left w:val="nil"/>
              <w:bottom w:val="single" w:sz="4" w:space="0" w:color="auto"/>
              <w:right w:val="single" w:sz="4" w:space="0" w:color="auto"/>
            </w:tcBorders>
            <w:shd w:val="clear" w:color="auto" w:fill="auto"/>
            <w:noWrap/>
            <w:vAlign w:val="bottom"/>
          </w:tcPr>
          <w:p w14:paraId="30EFCDD9"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45.01.00</w:t>
            </w:r>
          </w:p>
        </w:tc>
      </w:tr>
      <w:tr w:rsidR="004F0CD6" w14:paraId="69D55BC4"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2C9A570B"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lastRenderedPageBreak/>
              <w:t>Valsts patoloģijas centrā veicamo pakalpojumu jaunu manipulāciju izveide</w:t>
            </w:r>
          </w:p>
        </w:tc>
        <w:tc>
          <w:tcPr>
            <w:tcW w:w="1480" w:type="dxa"/>
            <w:tcBorders>
              <w:top w:val="nil"/>
              <w:left w:val="nil"/>
              <w:bottom w:val="single" w:sz="4" w:space="0" w:color="auto"/>
              <w:right w:val="single" w:sz="4" w:space="0" w:color="auto"/>
            </w:tcBorders>
            <w:shd w:val="clear" w:color="auto" w:fill="auto"/>
            <w:noWrap/>
            <w:vAlign w:val="bottom"/>
          </w:tcPr>
          <w:p w14:paraId="380A10A5"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3</w:t>
            </w:r>
            <w:r>
              <w:rPr>
                <w:rFonts w:ascii="Times New Roman" w:hAnsi="Times New Roman" w:cs="Times New Roman"/>
                <w:sz w:val="20"/>
                <w:szCs w:val="20"/>
              </w:rPr>
              <w:t>27 585</w:t>
            </w:r>
          </w:p>
        </w:tc>
        <w:tc>
          <w:tcPr>
            <w:tcW w:w="1740" w:type="dxa"/>
            <w:tcBorders>
              <w:top w:val="nil"/>
              <w:left w:val="nil"/>
              <w:bottom w:val="single" w:sz="4" w:space="0" w:color="auto"/>
              <w:right w:val="single" w:sz="4" w:space="0" w:color="auto"/>
            </w:tcBorders>
            <w:shd w:val="clear" w:color="auto" w:fill="auto"/>
            <w:noWrap/>
            <w:vAlign w:val="bottom"/>
          </w:tcPr>
          <w:p w14:paraId="752D6700"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3F603C97"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685964C9"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Zarnu vēža skrīninga reforma</w:t>
            </w:r>
          </w:p>
        </w:tc>
        <w:tc>
          <w:tcPr>
            <w:tcW w:w="1480" w:type="dxa"/>
            <w:tcBorders>
              <w:top w:val="nil"/>
              <w:left w:val="nil"/>
              <w:bottom w:val="single" w:sz="4" w:space="0" w:color="auto"/>
              <w:right w:val="single" w:sz="4" w:space="0" w:color="auto"/>
            </w:tcBorders>
            <w:shd w:val="clear" w:color="auto" w:fill="auto"/>
            <w:noWrap/>
            <w:vAlign w:val="bottom"/>
          </w:tcPr>
          <w:p w14:paraId="487C637D"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305 2</w:t>
            </w:r>
            <w:r>
              <w:rPr>
                <w:rFonts w:ascii="Times New Roman" w:hAnsi="Times New Roman" w:cs="Times New Roman"/>
                <w:sz w:val="20"/>
                <w:szCs w:val="20"/>
              </w:rPr>
              <w:t>83</w:t>
            </w:r>
          </w:p>
        </w:tc>
        <w:tc>
          <w:tcPr>
            <w:tcW w:w="1740" w:type="dxa"/>
            <w:tcBorders>
              <w:top w:val="nil"/>
              <w:left w:val="nil"/>
              <w:bottom w:val="single" w:sz="4" w:space="0" w:color="auto"/>
              <w:right w:val="single" w:sz="4" w:space="0" w:color="auto"/>
            </w:tcBorders>
            <w:shd w:val="clear" w:color="auto" w:fill="auto"/>
            <w:noWrap/>
            <w:vAlign w:val="bottom"/>
          </w:tcPr>
          <w:p w14:paraId="67017E89"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4F0CD6" w14:paraId="2F2FF861"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A013921"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 xml:space="preserve">Jaunu manipulāciju izveide urīnpūšļa un prostatas vēža diagnostikai un ārstēšanai </w:t>
            </w:r>
          </w:p>
        </w:tc>
        <w:tc>
          <w:tcPr>
            <w:tcW w:w="1480" w:type="dxa"/>
            <w:tcBorders>
              <w:top w:val="nil"/>
              <w:left w:val="nil"/>
              <w:bottom w:val="single" w:sz="4" w:space="0" w:color="auto"/>
              <w:right w:val="single" w:sz="4" w:space="0" w:color="auto"/>
            </w:tcBorders>
            <w:shd w:val="clear" w:color="auto" w:fill="auto"/>
            <w:noWrap/>
            <w:vAlign w:val="bottom"/>
          </w:tcPr>
          <w:p w14:paraId="4BF9A3BE" w14:textId="77777777" w:rsidR="004F0CD6" w:rsidRPr="00FE4F35" w:rsidRDefault="004F0CD6" w:rsidP="000415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165 874</w:t>
            </w:r>
          </w:p>
        </w:tc>
        <w:tc>
          <w:tcPr>
            <w:tcW w:w="1740" w:type="dxa"/>
            <w:tcBorders>
              <w:top w:val="nil"/>
              <w:left w:val="nil"/>
              <w:bottom w:val="single" w:sz="4" w:space="0" w:color="auto"/>
              <w:right w:val="single" w:sz="4" w:space="0" w:color="auto"/>
            </w:tcBorders>
            <w:shd w:val="clear" w:color="auto" w:fill="auto"/>
            <w:noWrap/>
            <w:vAlign w:val="bottom"/>
          </w:tcPr>
          <w:p w14:paraId="430B9A6C"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39C6A4ED" w14:textId="77777777" w:rsidTr="00ED3FC5">
        <w:trPr>
          <w:trHeight w:val="279"/>
          <w:jc w:val="center"/>
        </w:trPr>
        <w:tc>
          <w:tcPr>
            <w:tcW w:w="5180" w:type="dxa"/>
            <w:tcBorders>
              <w:top w:val="nil"/>
              <w:left w:val="single" w:sz="4" w:space="0" w:color="auto"/>
              <w:bottom w:val="single" w:sz="4" w:space="0" w:color="auto"/>
              <w:right w:val="single" w:sz="4" w:space="0" w:color="auto"/>
            </w:tcBorders>
            <w:shd w:val="clear" w:color="auto" w:fill="auto"/>
          </w:tcPr>
          <w:p w14:paraId="5E585E3A" w14:textId="77777777" w:rsidR="004F0CD6" w:rsidRPr="00FE4F35" w:rsidRDefault="004F0CD6" w:rsidP="0092778D">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Lineārā paaātrinātāja iegāde</w:t>
            </w:r>
          </w:p>
        </w:tc>
        <w:tc>
          <w:tcPr>
            <w:tcW w:w="1480" w:type="dxa"/>
            <w:tcBorders>
              <w:top w:val="nil"/>
              <w:left w:val="nil"/>
              <w:bottom w:val="single" w:sz="4" w:space="0" w:color="auto"/>
              <w:right w:val="single" w:sz="4" w:space="0" w:color="auto"/>
            </w:tcBorders>
            <w:shd w:val="clear" w:color="auto" w:fill="auto"/>
            <w:noWrap/>
            <w:vAlign w:val="bottom"/>
          </w:tcPr>
          <w:p w14:paraId="7F23D1B9"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2 500 000</w:t>
            </w:r>
          </w:p>
        </w:tc>
        <w:tc>
          <w:tcPr>
            <w:tcW w:w="1740" w:type="dxa"/>
            <w:tcBorders>
              <w:top w:val="nil"/>
              <w:left w:val="nil"/>
              <w:bottom w:val="single" w:sz="4" w:space="0" w:color="auto"/>
              <w:right w:val="single" w:sz="4" w:space="0" w:color="auto"/>
            </w:tcBorders>
            <w:shd w:val="clear" w:color="auto" w:fill="auto"/>
            <w:noWrap/>
            <w:vAlign w:val="bottom"/>
          </w:tcPr>
          <w:p w14:paraId="1C31B3AD"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409A62A7"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14B1F0F7" w14:textId="77777777" w:rsidR="004F0CD6" w:rsidRPr="00FE4F35" w:rsidRDefault="004F0CD6" w:rsidP="0092778D">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Mamogrāfijas iekārtas (ar stereotaktisko aprīkojumu vakuuma biopsijas veikšanu)</w:t>
            </w:r>
          </w:p>
        </w:tc>
        <w:tc>
          <w:tcPr>
            <w:tcW w:w="1480" w:type="dxa"/>
            <w:tcBorders>
              <w:top w:val="nil"/>
              <w:left w:val="nil"/>
              <w:bottom w:val="single" w:sz="4" w:space="0" w:color="auto"/>
              <w:right w:val="single" w:sz="4" w:space="0" w:color="auto"/>
            </w:tcBorders>
            <w:shd w:val="clear" w:color="auto" w:fill="auto"/>
            <w:noWrap/>
            <w:vAlign w:val="bottom"/>
          </w:tcPr>
          <w:p w14:paraId="0975F78B"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250 000</w:t>
            </w:r>
          </w:p>
        </w:tc>
        <w:tc>
          <w:tcPr>
            <w:tcW w:w="1740" w:type="dxa"/>
            <w:tcBorders>
              <w:top w:val="nil"/>
              <w:left w:val="nil"/>
              <w:bottom w:val="single" w:sz="4" w:space="0" w:color="auto"/>
              <w:right w:val="single" w:sz="4" w:space="0" w:color="auto"/>
            </w:tcBorders>
            <w:shd w:val="clear" w:color="auto" w:fill="auto"/>
            <w:noWrap/>
          </w:tcPr>
          <w:p w14:paraId="0DA651BC"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0E692DF8" w14:textId="77777777" w:rsidTr="00ED3FC5">
        <w:trPr>
          <w:trHeight w:val="23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7DC773D6" w14:textId="77777777" w:rsidR="004F0CD6" w:rsidRPr="00FE4F35" w:rsidRDefault="004F0CD6" w:rsidP="0092778D">
            <w:pPr>
              <w:spacing w:after="0" w:line="240" w:lineRule="auto"/>
              <w:jc w:val="both"/>
              <w:rPr>
                <w:rFonts w:ascii="Times New Roman" w:hAnsi="Times New Roman" w:cs="Times New Roman"/>
                <w:sz w:val="20"/>
                <w:szCs w:val="20"/>
              </w:rPr>
            </w:pPr>
            <w:r w:rsidRPr="00FE4F35">
              <w:rPr>
                <w:rFonts w:ascii="Times New Roman" w:hAnsi="Times New Roman" w:cs="Times New Roman"/>
                <w:sz w:val="20"/>
                <w:szCs w:val="20"/>
              </w:rPr>
              <w:t>Videocistoskopijas sistēmas komplekts</w:t>
            </w:r>
          </w:p>
        </w:tc>
        <w:tc>
          <w:tcPr>
            <w:tcW w:w="1480" w:type="dxa"/>
            <w:tcBorders>
              <w:top w:val="nil"/>
              <w:left w:val="nil"/>
              <w:bottom w:val="single" w:sz="4" w:space="0" w:color="auto"/>
              <w:right w:val="single" w:sz="4" w:space="0" w:color="auto"/>
            </w:tcBorders>
            <w:shd w:val="clear" w:color="auto" w:fill="auto"/>
            <w:noWrap/>
            <w:vAlign w:val="bottom"/>
          </w:tcPr>
          <w:p w14:paraId="67B3CA68"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110 000</w:t>
            </w:r>
          </w:p>
        </w:tc>
        <w:tc>
          <w:tcPr>
            <w:tcW w:w="1740" w:type="dxa"/>
            <w:tcBorders>
              <w:top w:val="nil"/>
              <w:left w:val="nil"/>
              <w:bottom w:val="single" w:sz="4" w:space="0" w:color="auto"/>
              <w:right w:val="single" w:sz="4" w:space="0" w:color="auto"/>
            </w:tcBorders>
            <w:shd w:val="clear" w:color="auto" w:fill="auto"/>
            <w:noWrap/>
          </w:tcPr>
          <w:p w14:paraId="7768E6BF"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7D143CA2"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4152AE1" w14:textId="77777777" w:rsidR="004F0CD6" w:rsidRPr="00FE4F35" w:rsidRDefault="004F0CD6" w:rsidP="004F0CD6">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3. Infekcijas slimību izplatības mazināšana</w:t>
            </w:r>
          </w:p>
        </w:tc>
        <w:tc>
          <w:tcPr>
            <w:tcW w:w="1480" w:type="dxa"/>
            <w:tcBorders>
              <w:top w:val="nil"/>
              <w:left w:val="nil"/>
              <w:bottom w:val="single" w:sz="4" w:space="0" w:color="auto"/>
              <w:right w:val="single" w:sz="4" w:space="0" w:color="auto"/>
            </w:tcBorders>
            <w:shd w:val="clear" w:color="auto" w:fill="auto"/>
            <w:noWrap/>
            <w:vAlign w:val="bottom"/>
            <w:hideMark/>
          </w:tcPr>
          <w:p w14:paraId="6B1AE4E2" w14:textId="64809A5D" w:rsidR="004F0CD6" w:rsidRPr="00FE4F35" w:rsidRDefault="004F0CD6" w:rsidP="00041553">
            <w:pPr>
              <w:spacing w:after="0" w:line="240" w:lineRule="auto"/>
              <w:jc w:val="center"/>
              <w:rPr>
                <w:rFonts w:ascii="Times New Roman" w:eastAsia="Times New Roman" w:hAnsi="Times New Roman" w:cs="Times New Roman"/>
                <w:b/>
                <w:bCs/>
                <w:lang w:eastAsia="lv-LV"/>
              </w:rPr>
            </w:pPr>
            <w:r>
              <w:rPr>
                <w:rFonts w:ascii="Times New Roman" w:hAnsi="Times New Roman" w:cs="Times New Roman"/>
                <w:b/>
                <w:bCs/>
              </w:rPr>
              <w:t>467 571</w:t>
            </w:r>
          </w:p>
        </w:tc>
        <w:tc>
          <w:tcPr>
            <w:tcW w:w="1740" w:type="dxa"/>
            <w:tcBorders>
              <w:top w:val="nil"/>
              <w:left w:val="nil"/>
              <w:bottom w:val="single" w:sz="4" w:space="0" w:color="auto"/>
              <w:right w:val="single" w:sz="4" w:space="0" w:color="auto"/>
            </w:tcBorders>
            <w:shd w:val="clear" w:color="auto" w:fill="auto"/>
            <w:noWrap/>
            <w:vAlign w:val="bottom"/>
            <w:hideMark/>
          </w:tcPr>
          <w:p w14:paraId="01CBA8B8" w14:textId="77777777" w:rsidR="004F0CD6" w:rsidRPr="00FE4F35" w:rsidRDefault="004F0CD6" w:rsidP="004F0CD6">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4F0CD6" w14:paraId="01BA8D49" w14:textId="77777777" w:rsidTr="00ED3FC5">
        <w:trPr>
          <w:trHeight w:val="281"/>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9F37F73"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i/>
                <w:sz w:val="20"/>
                <w:szCs w:val="20"/>
                <w:lang w:eastAsia="lv-LV"/>
              </w:rPr>
              <w:t>Fibroscan</w:t>
            </w:r>
            <w:r w:rsidRPr="00FE4F35">
              <w:rPr>
                <w:rFonts w:ascii="Times New Roman" w:eastAsia="Times New Roman" w:hAnsi="Times New Roman" w:cs="Times New Roman"/>
                <w:sz w:val="20"/>
                <w:szCs w:val="20"/>
                <w:lang w:eastAsia="lv-LV"/>
              </w:rPr>
              <w:t xml:space="preserve"> iekārtas</w:t>
            </w:r>
          </w:p>
        </w:tc>
        <w:tc>
          <w:tcPr>
            <w:tcW w:w="1480" w:type="dxa"/>
            <w:tcBorders>
              <w:top w:val="nil"/>
              <w:left w:val="nil"/>
              <w:bottom w:val="single" w:sz="4" w:space="0" w:color="auto"/>
              <w:right w:val="single" w:sz="4" w:space="0" w:color="auto"/>
            </w:tcBorders>
            <w:shd w:val="clear" w:color="auto" w:fill="auto"/>
            <w:noWrap/>
            <w:vAlign w:val="bottom"/>
          </w:tcPr>
          <w:p w14:paraId="6D6D4773"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360 000</w:t>
            </w:r>
          </w:p>
        </w:tc>
        <w:tc>
          <w:tcPr>
            <w:tcW w:w="1740" w:type="dxa"/>
            <w:tcBorders>
              <w:top w:val="nil"/>
              <w:left w:val="nil"/>
              <w:bottom w:val="single" w:sz="4" w:space="0" w:color="auto"/>
              <w:right w:val="single" w:sz="4" w:space="0" w:color="auto"/>
            </w:tcBorders>
            <w:shd w:val="clear" w:color="auto" w:fill="auto"/>
            <w:noWrap/>
            <w:vAlign w:val="bottom"/>
          </w:tcPr>
          <w:p w14:paraId="145AFD77"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2113068F" w14:textId="77777777" w:rsidTr="00ED3FC5">
        <w:trPr>
          <w:trHeight w:val="319"/>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6CCACED5"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xml:space="preserve">Aknu elastogramma ar </w:t>
            </w:r>
            <w:r w:rsidRPr="00FE4F35">
              <w:rPr>
                <w:rFonts w:ascii="Times New Roman" w:eastAsia="Times New Roman" w:hAnsi="Times New Roman" w:cs="Times New Roman"/>
                <w:i/>
                <w:sz w:val="20"/>
                <w:szCs w:val="20"/>
                <w:lang w:eastAsia="lv-LV"/>
              </w:rPr>
              <w:t>FibroScan</w:t>
            </w:r>
            <w:r w:rsidRPr="00FE4F35">
              <w:rPr>
                <w:rFonts w:ascii="Times New Roman" w:eastAsia="Times New Roman" w:hAnsi="Times New Roman" w:cs="Times New Roman"/>
                <w:sz w:val="20"/>
                <w:szCs w:val="20"/>
                <w:lang w:eastAsia="lv-LV"/>
              </w:rPr>
              <w:t xml:space="preserve"> iekārtu</w:t>
            </w:r>
          </w:p>
        </w:tc>
        <w:tc>
          <w:tcPr>
            <w:tcW w:w="1480" w:type="dxa"/>
            <w:tcBorders>
              <w:top w:val="nil"/>
              <w:left w:val="nil"/>
              <w:bottom w:val="single" w:sz="4" w:space="0" w:color="auto"/>
              <w:right w:val="single" w:sz="4" w:space="0" w:color="auto"/>
            </w:tcBorders>
            <w:shd w:val="clear" w:color="auto" w:fill="auto"/>
            <w:noWrap/>
            <w:vAlign w:val="bottom"/>
          </w:tcPr>
          <w:p w14:paraId="3B6DACC1"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24 550</w:t>
            </w:r>
          </w:p>
        </w:tc>
        <w:tc>
          <w:tcPr>
            <w:tcW w:w="1740" w:type="dxa"/>
            <w:tcBorders>
              <w:top w:val="nil"/>
              <w:left w:val="nil"/>
              <w:bottom w:val="single" w:sz="4" w:space="0" w:color="auto"/>
              <w:right w:val="single" w:sz="4" w:space="0" w:color="auto"/>
            </w:tcBorders>
            <w:shd w:val="clear" w:color="auto" w:fill="auto"/>
            <w:noWrap/>
            <w:vAlign w:val="bottom"/>
          </w:tcPr>
          <w:p w14:paraId="79893DC1"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7F55679B"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E5C63BD"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bCs/>
                <w:sz w:val="20"/>
                <w:szCs w:val="20"/>
                <w:lang w:eastAsia="lv-LV"/>
              </w:rPr>
              <w:t>HIV līdzestības kabineta izveide</w:t>
            </w:r>
          </w:p>
        </w:tc>
        <w:tc>
          <w:tcPr>
            <w:tcW w:w="1480" w:type="dxa"/>
            <w:tcBorders>
              <w:top w:val="nil"/>
              <w:left w:val="nil"/>
              <w:bottom w:val="single" w:sz="4" w:space="0" w:color="auto"/>
              <w:right w:val="single" w:sz="4" w:space="0" w:color="auto"/>
            </w:tcBorders>
            <w:shd w:val="clear" w:color="auto" w:fill="auto"/>
            <w:noWrap/>
            <w:vAlign w:val="bottom"/>
          </w:tcPr>
          <w:p w14:paraId="196B44EB"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bCs/>
                <w:sz w:val="20"/>
                <w:szCs w:val="20"/>
              </w:rPr>
              <w:t>21 465</w:t>
            </w:r>
          </w:p>
        </w:tc>
        <w:tc>
          <w:tcPr>
            <w:tcW w:w="1740" w:type="dxa"/>
            <w:tcBorders>
              <w:top w:val="nil"/>
              <w:left w:val="nil"/>
              <w:bottom w:val="single" w:sz="4" w:space="0" w:color="auto"/>
              <w:right w:val="single" w:sz="4" w:space="0" w:color="auto"/>
            </w:tcBorders>
            <w:shd w:val="clear" w:color="auto" w:fill="auto"/>
            <w:noWrap/>
            <w:vAlign w:val="bottom"/>
          </w:tcPr>
          <w:p w14:paraId="433FBD7E"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bCs/>
                <w:sz w:val="20"/>
                <w:szCs w:val="20"/>
                <w:lang w:eastAsia="lv-LV"/>
              </w:rPr>
              <w:t>33.16.00</w:t>
            </w:r>
          </w:p>
        </w:tc>
      </w:tr>
      <w:tr w:rsidR="004F0CD6" w14:paraId="7055186A"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0A74A78A"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A733E">
              <w:rPr>
                <w:rFonts w:ascii="Times New Roman" w:eastAsia="Times New Roman" w:hAnsi="Times New Roman" w:cs="Times New Roman"/>
                <w:sz w:val="20"/>
                <w:szCs w:val="20"/>
                <w:lang w:eastAsia="lv-LV"/>
              </w:rPr>
              <w:t>HIV pacientu atbalsta personu nodrošinājums</w:t>
            </w:r>
          </w:p>
        </w:tc>
        <w:tc>
          <w:tcPr>
            <w:tcW w:w="1480" w:type="dxa"/>
            <w:tcBorders>
              <w:top w:val="nil"/>
              <w:left w:val="nil"/>
              <w:bottom w:val="single" w:sz="4" w:space="0" w:color="auto"/>
              <w:right w:val="single" w:sz="4" w:space="0" w:color="auto"/>
            </w:tcBorders>
            <w:shd w:val="clear" w:color="auto" w:fill="auto"/>
            <w:noWrap/>
            <w:vAlign w:val="bottom"/>
          </w:tcPr>
          <w:p w14:paraId="384C00EC"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bCs/>
                <w:sz w:val="20"/>
                <w:szCs w:val="20"/>
              </w:rPr>
              <w:t>14 000</w:t>
            </w:r>
          </w:p>
        </w:tc>
        <w:tc>
          <w:tcPr>
            <w:tcW w:w="1740" w:type="dxa"/>
            <w:tcBorders>
              <w:top w:val="nil"/>
              <w:left w:val="nil"/>
              <w:bottom w:val="single" w:sz="4" w:space="0" w:color="auto"/>
              <w:right w:val="single" w:sz="4" w:space="0" w:color="auto"/>
            </w:tcBorders>
            <w:shd w:val="clear" w:color="auto" w:fill="auto"/>
            <w:noWrap/>
            <w:vAlign w:val="bottom"/>
          </w:tcPr>
          <w:p w14:paraId="56CC2284"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bCs/>
                <w:sz w:val="20"/>
                <w:szCs w:val="20"/>
                <w:lang w:eastAsia="lv-LV"/>
              </w:rPr>
              <w:t>46.03.00</w:t>
            </w:r>
          </w:p>
        </w:tc>
      </w:tr>
      <w:tr w:rsidR="004F0CD6" w14:paraId="51E5EB62"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0B967B05"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A733E">
              <w:rPr>
                <w:rFonts w:ascii="Times New Roman" w:eastAsia="Times New Roman" w:hAnsi="Times New Roman" w:cs="Times New Roman"/>
                <w:sz w:val="20"/>
                <w:szCs w:val="20"/>
                <w:lang w:eastAsia="lv-LV"/>
              </w:rPr>
              <w:t>Pacientu meklēšanas kabinets SPKC (zema sliekšņa pakalpojumi)</w:t>
            </w:r>
          </w:p>
        </w:tc>
        <w:tc>
          <w:tcPr>
            <w:tcW w:w="1480" w:type="dxa"/>
            <w:tcBorders>
              <w:top w:val="nil"/>
              <w:left w:val="nil"/>
              <w:bottom w:val="single" w:sz="4" w:space="0" w:color="auto"/>
              <w:right w:val="single" w:sz="4" w:space="0" w:color="auto"/>
            </w:tcBorders>
            <w:shd w:val="clear" w:color="auto" w:fill="auto"/>
            <w:noWrap/>
            <w:vAlign w:val="bottom"/>
          </w:tcPr>
          <w:p w14:paraId="26FA207F"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bCs/>
                <w:sz w:val="20"/>
                <w:szCs w:val="20"/>
              </w:rPr>
              <w:t>47 556</w:t>
            </w:r>
          </w:p>
        </w:tc>
        <w:tc>
          <w:tcPr>
            <w:tcW w:w="1740" w:type="dxa"/>
            <w:tcBorders>
              <w:top w:val="nil"/>
              <w:left w:val="nil"/>
              <w:bottom w:val="single" w:sz="4" w:space="0" w:color="auto"/>
              <w:right w:val="single" w:sz="4" w:space="0" w:color="auto"/>
            </w:tcBorders>
            <w:shd w:val="clear" w:color="auto" w:fill="auto"/>
            <w:noWrap/>
            <w:vAlign w:val="bottom"/>
          </w:tcPr>
          <w:p w14:paraId="64BD6C05"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bCs/>
                <w:sz w:val="20"/>
                <w:szCs w:val="20"/>
                <w:lang w:eastAsia="lv-LV"/>
              </w:rPr>
              <w:t>46.03.00</w:t>
            </w:r>
          </w:p>
        </w:tc>
      </w:tr>
      <w:tr w:rsidR="004F0CD6" w14:paraId="41252DCF"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C83FA32" w14:textId="77777777" w:rsidR="004F0CD6" w:rsidRPr="00FE4F35" w:rsidRDefault="004F0CD6" w:rsidP="004F0CD6">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4. Primārā veselības aprūpe</w:t>
            </w:r>
          </w:p>
        </w:tc>
        <w:tc>
          <w:tcPr>
            <w:tcW w:w="1480" w:type="dxa"/>
            <w:tcBorders>
              <w:top w:val="nil"/>
              <w:left w:val="nil"/>
              <w:bottom w:val="single" w:sz="4" w:space="0" w:color="auto"/>
              <w:right w:val="single" w:sz="4" w:space="0" w:color="auto"/>
            </w:tcBorders>
            <w:shd w:val="clear" w:color="auto" w:fill="auto"/>
            <w:noWrap/>
            <w:vAlign w:val="bottom"/>
            <w:hideMark/>
          </w:tcPr>
          <w:p w14:paraId="6E224A12" w14:textId="639BC86B" w:rsidR="004F0CD6" w:rsidRPr="00FE4F35" w:rsidRDefault="004F0CD6" w:rsidP="00041553">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1 073 794</w:t>
            </w:r>
          </w:p>
        </w:tc>
        <w:tc>
          <w:tcPr>
            <w:tcW w:w="1740" w:type="dxa"/>
            <w:tcBorders>
              <w:top w:val="nil"/>
              <w:left w:val="nil"/>
              <w:bottom w:val="single" w:sz="4" w:space="0" w:color="auto"/>
              <w:right w:val="single" w:sz="4" w:space="0" w:color="auto"/>
            </w:tcBorders>
            <w:shd w:val="clear" w:color="auto" w:fill="auto"/>
            <w:noWrap/>
            <w:vAlign w:val="bottom"/>
            <w:hideMark/>
          </w:tcPr>
          <w:p w14:paraId="348082C2"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w:t>
            </w:r>
          </w:p>
        </w:tc>
      </w:tr>
      <w:tr w:rsidR="004F0CD6" w14:paraId="75192064" w14:textId="77777777" w:rsidTr="00ED3FC5">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23E512F7"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Jaundzimušo skrīnings</w:t>
            </w:r>
          </w:p>
        </w:tc>
        <w:tc>
          <w:tcPr>
            <w:tcW w:w="1480" w:type="dxa"/>
            <w:tcBorders>
              <w:top w:val="nil"/>
              <w:left w:val="nil"/>
              <w:bottom w:val="single" w:sz="4" w:space="0" w:color="auto"/>
              <w:right w:val="single" w:sz="4" w:space="0" w:color="auto"/>
            </w:tcBorders>
            <w:shd w:val="clear" w:color="auto" w:fill="auto"/>
            <w:noWrap/>
            <w:vAlign w:val="bottom"/>
          </w:tcPr>
          <w:p w14:paraId="26155E0E" w14:textId="77777777" w:rsidR="004F0CD6" w:rsidRPr="00FE4F35" w:rsidRDefault="004F0CD6" w:rsidP="000415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361 062</w:t>
            </w:r>
          </w:p>
        </w:tc>
        <w:tc>
          <w:tcPr>
            <w:tcW w:w="1740" w:type="dxa"/>
            <w:tcBorders>
              <w:top w:val="nil"/>
              <w:left w:val="nil"/>
              <w:bottom w:val="single" w:sz="4" w:space="0" w:color="auto"/>
              <w:right w:val="single" w:sz="4" w:space="0" w:color="auto"/>
            </w:tcBorders>
            <w:shd w:val="clear" w:color="auto" w:fill="auto"/>
            <w:noWrap/>
            <w:vAlign w:val="bottom"/>
          </w:tcPr>
          <w:p w14:paraId="1CC60E23"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4DE5DBC7" w14:textId="77777777" w:rsidTr="00ED3FC5">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FFC87B3"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Vējbakas</w:t>
            </w:r>
          </w:p>
        </w:tc>
        <w:tc>
          <w:tcPr>
            <w:tcW w:w="1480" w:type="dxa"/>
            <w:tcBorders>
              <w:top w:val="nil"/>
              <w:left w:val="nil"/>
              <w:bottom w:val="single" w:sz="4" w:space="0" w:color="auto"/>
              <w:right w:val="single" w:sz="4" w:space="0" w:color="auto"/>
            </w:tcBorders>
            <w:shd w:val="clear" w:color="auto" w:fill="auto"/>
            <w:noWrap/>
            <w:vAlign w:val="bottom"/>
          </w:tcPr>
          <w:p w14:paraId="75EEC31A"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663 906</w:t>
            </w:r>
          </w:p>
        </w:tc>
        <w:tc>
          <w:tcPr>
            <w:tcW w:w="1740" w:type="dxa"/>
            <w:tcBorders>
              <w:top w:val="nil"/>
              <w:left w:val="nil"/>
              <w:bottom w:val="single" w:sz="4" w:space="0" w:color="auto"/>
              <w:right w:val="single" w:sz="4" w:space="0" w:color="auto"/>
            </w:tcBorders>
            <w:shd w:val="clear" w:color="auto" w:fill="auto"/>
            <w:noWrap/>
            <w:vAlign w:val="bottom"/>
          </w:tcPr>
          <w:p w14:paraId="63BFBDEB"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33.04.00</w:t>
            </w:r>
          </w:p>
        </w:tc>
      </w:tr>
      <w:tr w:rsidR="004F0CD6" w14:paraId="3205F418" w14:textId="77777777" w:rsidTr="00ED3FC5">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062D415B"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Gripas vakcīna bērniem un grūtniecēm</w:t>
            </w:r>
          </w:p>
        </w:tc>
        <w:tc>
          <w:tcPr>
            <w:tcW w:w="1480" w:type="dxa"/>
            <w:tcBorders>
              <w:top w:val="nil"/>
              <w:left w:val="nil"/>
              <w:bottom w:val="single" w:sz="4" w:space="0" w:color="auto"/>
              <w:right w:val="single" w:sz="4" w:space="0" w:color="auto"/>
            </w:tcBorders>
            <w:shd w:val="clear" w:color="auto" w:fill="auto"/>
            <w:noWrap/>
            <w:vAlign w:val="bottom"/>
          </w:tcPr>
          <w:p w14:paraId="1130EE4B" w14:textId="77777777" w:rsidR="004F0CD6" w:rsidRPr="00FE4F35" w:rsidRDefault="004F0CD6" w:rsidP="000415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48 826</w:t>
            </w:r>
          </w:p>
        </w:tc>
        <w:tc>
          <w:tcPr>
            <w:tcW w:w="1740" w:type="dxa"/>
            <w:tcBorders>
              <w:top w:val="nil"/>
              <w:left w:val="nil"/>
              <w:bottom w:val="single" w:sz="4" w:space="0" w:color="auto"/>
              <w:right w:val="single" w:sz="4" w:space="0" w:color="auto"/>
            </w:tcBorders>
            <w:shd w:val="clear" w:color="auto" w:fill="auto"/>
            <w:noWrap/>
            <w:vAlign w:val="bottom"/>
          </w:tcPr>
          <w:p w14:paraId="1D32697F"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33.04.00</w:t>
            </w:r>
          </w:p>
        </w:tc>
      </w:tr>
      <w:tr w:rsidR="004F0CD6" w14:paraId="29FA95D0"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9721715" w14:textId="77777777" w:rsidR="004F0CD6" w:rsidRPr="00FE4F35" w:rsidRDefault="004F0CD6" w:rsidP="0092778D">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5. Sirds/asinsvadu programma</w:t>
            </w:r>
          </w:p>
        </w:tc>
        <w:tc>
          <w:tcPr>
            <w:tcW w:w="1480" w:type="dxa"/>
            <w:tcBorders>
              <w:top w:val="nil"/>
              <w:left w:val="nil"/>
              <w:bottom w:val="single" w:sz="4" w:space="0" w:color="auto"/>
              <w:right w:val="single" w:sz="4" w:space="0" w:color="auto"/>
            </w:tcBorders>
            <w:shd w:val="clear" w:color="auto" w:fill="auto"/>
            <w:noWrap/>
            <w:vAlign w:val="bottom"/>
            <w:hideMark/>
          </w:tcPr>
          <w:p w14:paraId="18EC5CB8" w14:textId="68EF4826" w:rsidR="004F0CD6" w:rsidRPr="00FE4F35" w:rsidRDefault="004F0CD6" w:rsidP="00041553">
            <w:pPr>
              <w:spacing w:after="0" w:line="240" w:lineRule="auto"/>
              <w:jc w:val="center"/>
              <w:rPr>
                <w:rFonts w:ascii="Times New Roman" w:hAnsi="Times New Roman" w:cs="Times New Roman"/>
                <w:b/>
              </w:rPr>
            </w:pPr>
            <w:r>
              <w:rPr>
                <w:rFonts w:ascii="Times New Roman" w:hAnsi="Times New Roman" w:cs="Times New Roman"/>
                <w:b/>
                <w:bCs/>
              </w:rPr>
              <w:t>2 941 200</w:t>
            </w:r>
          </w:p>
        </w:tc>
        <w:tc>
          <w:tcPr>
            <w:tcW w:w="1740" w:type="dxa"/>
            <w:tcBorders>
              <w:top w:val="nil"/>
              <w:left w:val="nil"/>
              <w:bottom w:val="single" w:sz="4" w:space="0" w:color="auto"/>
              <w:right w:val="single" w:sz="4" w:space="0" w:color="auto"/>
            </w:tcBorders>
            <w:shd w:val="clear" w:color="auto" w:fill="auto"/>
            <w:noWrap/>
            <w:vAlign w:val="bottom"/>
            <w:hideMark/>
          </w:tcPr>
          <w:p w14:paraId="3EADBB63" w14:textId="77777777" w:rsidR="004F0CD6" w:rsidRPr="00FE4F35" w:rsidRDefault="004F0CD6" w:rsidP="0092778D">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4F0CD6" w14:paraId="79C67654" w14:textId="77777777" w:rsidTr="000233A7">
        <w:trPr>
          <w:trHeight w:val="351"/>
          <w:jc w:val="center"/>
        </w:trPr>
        <w:tc>
          <w:tcPr>
            <w:tcW w:w="5180" w:type="dxa"/>
            <w:tcBorders>
              <w:top w:val="nil"/>
              <w:left w:val="single" w:sz="4" w:space="0" w:color="auto"/>
              <w:bottom w:val="single" w:sz="4" w:space="0" w:color="auto"/>
              <w:right w:val="single" w:sz="4" w:space="0" w:color="auto"/>
            </w:tcBorders>
            <w:shd w:val="clear" w:color="auto" w:fill="auto"/>
          </w:tcPr>
          <w:p w14:paraId="0B0E8840"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Angiogrāfa iegāde</w:t>
            </w:r>
          </w:p>
        </w:tc>
        <w:tc>
          <w:tcPr>
            <w:tcW w:w="1480" w:type="dxa"/>
            <w:tcBorders>
              <w:top w:val="nil"/>
              <w:left w:val="nil"/>
              <w:bottom w:val="single" w:sz="4" w:space="0" w:color="auto"/>
              <w:right w:val="single" w:sz="4" w:space="0" w:color="auto"/>
            </w:tcBorders>
            <w:shd w:val="clear" w:color="auto" w:fill="auto"/>
            <w:noWrap/>
            <w:vAlign w:val="center"/>
          </w:tcPr>
          <w:p w14:paraId="478DC90E"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1 900 000</w:t>
            </w:r>
          </w:p>
        </w:tc>
        <w:tc>
          <w:tcPr>
            <w:tcW w:w="1740" w:type="dxa"/>
            <w:tcBorders>
              <w:top w:val="nil"/>
              <w:left w:val="nil"/>
              <w:bottom w:val="single" w:sz="4" w:space="0" w:color="auto"/>
              <w:right w:val="single" w:sz="4" w:space="0" w:color="auto"/>
            </w:tcBorders>
            <w:shd w:val="clear" w:color="auto" w:fill="auto"/>
            <w:noWrap/>
            <w:vAlign w:val="bottom"/>
          </w:tcPr>
          <w:p w14:paraId="2566F4B4"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F0CD6" w14:paraId="7F371E37" w14:textId="77777777" w:rsidTr="000233A7">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4DB665A8"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Sirds un plaušu atbalsta sistēma </w:t>
            </w:r>
          </w:p>
        </w:tc>
        <w:tc>
          <w:tcPr>
            <w:tcW w:w="1480" w:type="dxa"/>
            <w:tcBorders>
              <w:top w:val="nil"/>
              <w:left w:val="nil"/>
              <w:bottom w:val="single" w:sz="4" w:space="0" w:color="auto"/>
              <w:right w:val="single" w:sz="4" w:space="0" w:color="auto"/>
            </w:tcBorders>
            <w:shd w:val="clear" w:color="auto" w:fill="auto"/>
            <w:noWrap/>
            <w:vAlign w:val="center"/>
          </w:tcPr>
          <w:p w14:paraId="6966C2A8"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266 200</w:t>
            </w:r>
          </w:p>
        </w:tc>
        <w:tc>
          <w:tcPr>
            <w:tcW w:w="1740" w:type="dxa"/>
            <w:tcBorders>
              <w:top w:val="nil"/>
              <w:left w:val="nil"/>
              <w:bottom w:val="single" w:sz="4" w:space="0" w:color="auto"/>
              <w:right w:val="single" w:sz="4" w:space="0" w:color="auto"/>
            </w:tcBorders>
            <w:shd w:val="clear" w:color="auto" w:fill="auto"/>
            <w:noWrap/>
            <w:vAlign w:val="bottom"/>
          </w:tcPr>
          <w:p w14:paraId="2646A510"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F0CD6" w14:paraId="62C74EC4" w14:textId="77777777" w:rsidTr="000233A7">
        <w:trPr>
          <w:trHeight w:val="307"/>
          <w:jc w:val="center"/>
        </w:trPr>
        <w:tc>
          <w:tcPr>
            <w:tcW w:w="5180" w:type="dxa"/>
            <w:tcBorders>
              <w:top w:val="nil"/>
              <w:left w:val="single" w:sz="4" w:space="0" w:color="auto"/>
              <w:bottom w:val="single" w:sz="4" w:space="0" w:color="auto"/>
              <w:right w:val="single" w:sz="4" w:space="0" w:color="auto"/>
            </w:tcBorders>
            <w:shd w:val="clear" w:color="auto" w:fill="auto"/>
          </w:tcPr>
          <w:p w14:paraId="008F2828"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Mākslīgās asinsrites iekārta </w:t>
            </w:r>
          </w:p>
        </w:tc>
        <w:tc>
          <w:tcPr>
            <w:tcW w:w="1480" w:type="dxa"/>
            <w:tcBorders>
              <w:top w:val="nil"/>
              <w:left w:val="nil"/>
              <w:bottom w:val="single" w:sz="4" w:space="0" w:color="auto"/>
              <w:right w:val="single" w:sz="4" w:space="0" w:color="auto"/>
            </w:tcBorders>
            <w:shd w:val="clear" w:color="auto" w:fill="auto"/>
            <w:noWrap/>
            <w:vAlign w:val="center"/>
          </w:tcPr>
          <w:p w14:paraId="0F0449E5"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615 000</w:t>
            </w:r>
          </w:p>
        </w:tc>
        <w:tc>
          <w:tcPr>
            <w:tcW w:w="1740" w:type="dxa"/>
            <w:tcBorders>
              <w:top w:val="nil"/>
              <w:left w:val="nil"/>
              <w:bottom w:val="single" w:sz="4" w:space="0" w:color="auto"/>
              <w:right w:val="single" w:sz="4" w:space="0" w:color="auto"/>
            </w:tcBorders>
            <w:shd w:val="clear" w:color="auto" w:fill="auto"/>
            <w:noWrap/>
          </w:tcPr>
          <w:p w14:paraId="329394FC"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F0CD6" w14:paraId="7CE56161" w14:textId="77777777" w:rsidTr="000233A7">
        <w:trPr>
          <w:trHeight w:val="157"/>
          <w:jc w:val="center"/>
        </w:trPr>
        <w:tc>
          <w:tcPr>
            <w:tcW w:w="5180" w:type="dxa"/>
            <w:tcBorders>
              <w:top w:val="nil"/>
              <w:left w:val="single" w:sz="4" w:space="0" w:color="auto"/>
              <w:bottom w:val="single" w:sz="4" w:space="0" w:color="auto"/>
              <w:right w:val="single" w:sz="4" w:space="0" w:color="auto"/>
            </w:tcBorders>
            <w:shd w:val="clear" w:color="auto" w:fill="auto"/>
          </w:tcPr>
          <w:p w14:paraId="132594C7" w14:textId="77777777" w:rsidR="004F0CD6" w:rsidRPr="00FE4F35" w:rsidRDefault="004F0CD6" w:rsidP="0092778D">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Ekstrakorporālās oksigenācijas sistēma </w:t>
            </w:r>
          </w:p>
        </w:tc>
        <w:tc>
          <w:tcPr>
            <w:tcW w:w="1480" w:type="dxa"/>
            <w:tcBorders>
              <w:top w:val="nil"/>
              <w:left w:val="nil"/>
              <w:bottom w:val="single" w:sz="4" w:space="0" w:color="auto"/>
              <w:right w:val="single" w:sz="4" w:space="0" w:color="auto"/>
            </w:tcBorders>
            <w:shd w:val="clear" w:color="auto" w:fill="auto"/>
            <w:noWrap/>
            <w:vAlign w:val="center"/>
          </w:tcPr>
          <w:p w14:paraId="23C950BD"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160 000</w:t>
            </w:r>
          </w:p>
        </w:tc>
        <w:tc>
          <w:tcPr>
            <w:tcW w:w="1740" w:type="dxa"/>
            <w:tcBorders>
              <w:top w:val="nil"/>
              <w:left w:val="nil"/>
              <w:bottom w:val="single" w:sz="4" w:space="0" w:color="auto"/>
              <w:right w:val="single" w:sz="4" w:space="0" w:color="auto"/>
            </w:tcBorders>
            <w:shd w:val="clear" w:color="auto" w:fill="auto"/>
            <w:noWrap/>
          </w:tcPr>
          <w:p w14:paraId="7D2B3035" w14:textId="77777777" w:rsidR="004F0CD6" w:rsidRPr="00FE4F35" w:rsidRDefault="004F0CD6" w:rsidP="0092778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F0CD6" w14:paraId="312D2525"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06D5B775" w14:textId="77777777" w:rsidR="004F0CD6" w:rsidRPr="00FE4F35" w:rsidRDefault="004F0CD6" w:rsidP="004F0CD6">
            <w:pPr>
              <w:pStyle w:val="ListParagraph"/>
              <w:numPr>
                <w:ilvl w:val="0"/>
                <w:numId w:val="44"/>
              </w:numPr>
              <w:spacing w:after="0" w:line="240" w:lineRule="auto"/>
              <w:jc w:val="right"/>
              <w:rPr>
                <w:rFonts w:ascii="Times New Roman" w:eastAsia="Times New Roman" w:hAnsi="Times New Roman"/>
                <w:b/>
                <w:lang w:val="lv-LV" w:eastAsia="lv-LV"/>
              </w:rPr>
            </w:pPr>
            <w:r w:rsidRPr="00FE4F35">
              <w:rPr>
                <w:rFonts w:ascii="Times New Roman" w:eastAsia="Times New Roman" w:hAnsi="Times New Roman"/>
                <w:b/>
                <w:lang w:val="lv-LV" w:eastAsia="lv-LV"/>
              </w:rPr>
              <w:t>Ārstniecības iestāžu līmeņu reforma</w:t>
            </w:r>
          </w:p>
        </w:tc>
        <w:tc>
          <w:tcPr>
            <w:tcW w:w="1480" w:type="dxa"/>
            <w:tcBorders>
              <w:top w:val="nil"/>
              <w:left w:val="nil"/>
              <w:bottom w:val="single" w:sz="4" w:space="0" w:color="auto"/>
              <w:right w:val="single" w:sz="4" w:space="0" w:color="auto"/>
            </w:tcBorders>
            <w:shd w:val="clear" w:color="auto" w:fill="auto"/>
            <w:noWrap/>
            <w:vAlign w:val="bottom"/>
          </w:tcPr>
          <w:p w14:paraId="4FEBC8A9" w14:textId="77777777" w:rsidR="004F0CD6" w:rsidRPr="00E93259" w:rsidRDefault="004F0CD6" w:rsidP="00041553">
            <w:pPr>
              <w:spacing w:after="0" w:line="240" w:lineRule="auto"/>
              <w:jc w:val="center"/>
              <w:rPr>
                <w:rFonts w:ascii="Times New Roman" w:hAnsi="Times New Roman" w:cs="Times New Roman"/>
              </w:rPr>
            </w:pPr>
            <w:r w:rsidRPr="00E93259">
              <w:rPr>
                <w:rFonts w:ascii="Times New Roman" w:hAnsi="Times New Roman" w:cs="Times New Roman"/>
                <w:b/>
                <w:bCs/>
              </w:rPr>
              <w:t>6 928 936</w:t>
            </w:r>
          </w:p>
        </w:tc>
        <w:tc>
          <w:tcPr>
            <w:tcW w:w="1740" w:type="dxa"/>
            <w:tcBorders>
              <w:top w:val="nil"/>
              <w:left w:val="nil"/>
              <w:bottom w:val="single" w:sz="4" w:space="0" w:color="auto"/>
              <w:right w:val="single" w:sz="4" w:space="0" w:color="auto"/>
            </w:tcBorders>
            <w:shd w:val="clear" w:color="auto" w:fill="auto"/>
            <w:noWrap/>
            <w:vAlign w:val="bottom"/>
          </w:tcPr>
          <w:p w14:paraId="237DEE56"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p>
        </w:tc>
      </w:tr>
      <w:tr w:rsidR="004F0CD6" w14:paraId="0A0BFB36"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2BF6D65B"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Uzņemšanas nodaļu nodrošināšana I līmeņa ārstniecības iestādēm un II līmeņa ārstniecības iestādei</w:t>
            </w:r>
          </w:p>
        </w:tc>
        <w:tc>
          <w:tcPr>
            <w:tcW w:w="1480" w:type="dxa"/>
            <w:tcBorders>
              <w:top w:val="nil"/>
              <w:left w:val="nil"/>
              <w:bottom w:val="single" w:sz="4" w:space="0" w:color="auto"/>
              <w:right w:val="single" w:sz="4" w:space="0" w:color="auto"/>
            </w:tcBorders>
            <w:shd w:val="clear" w:color="auto" w:fill="auto"/>
            <w:noWrap/>
            <w:vAlign w:val="bottom"/>
          </w:tcPr>
          <w:p w14:paraId="378A39B3"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2 20</w:t>
            </w:r>
            <w:r>
              <w:rPr>
                <w:rFonts w:ascii="Times New Roman" w:hAnsi="Times New Roman" w:cs="Times New Roman"/>
                <w:sz w:val="20"/>
                <w:szCs w:val="20"/>
              </w:rPr>
              <w:t>4</w:t>
            </w:r>
            <w:r w:rsidRPr="00FE4F35">
              <w:rPr>
                <w:rFonts w:ascii="Times New Roman" w:hAnsi="Times New Roman" w:cs="Times New Roman"/>
                <w:sz w:val="20"/>
                <w:szCs w:val="20"/>
              </w:rPr>
              <w:t xml:space="preserve"> 819</w:t>
            </w:r>
          </w:p>
        </w:tc>
        <w:tc>
          <w:tcPr>
            <w:tcW w:w="1740" w:type="dxa"/>
            <w:tcBorders>
              <w:top w:val="nil"/>
              <w:left w:val="nil"/>
              <w:bottom w:val="single" w:sz="4" w:space="0" w:color="auto"/>
              <w:right w:val="single" w:sz="4" w:space="0" w:color="auto"/>
            </w:tcBorders>
            <w:shd w:val="clear" w:color="auto" w:fill="auto"/>
            <w:noWrap/>
            <w:vAlign w:val="bottom"/>
          </w:tcPr>
          <w:p w14:paraId="4CD45D4C" w14:textId="6355E1F1"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sidR="004D10F4">
              <w:rPr>
                <w:rFonts w:ascii="Times New Roman" w:eastAsia="Times New Roman" w:hAnsi="Times New Roman" w:cs="Times New Roman"/>
                <w:sz w:val="20"/>
                <w:szCs w:val="20"/>
                <w:lang w:eastAsia="lv-LV"/>
              </w:rPr>
              <w:t>7</w:t>
            </w:r>
            <w:r w:rsidRPr="00FE4F35">
              <w:rPr>
                <w:rFonts w:ascii="Times New Roman" w:eastAsia="Times New Roman" w:hAnsi="Times New Roman" w:cs="Times New Roman"/>
                <w:sz w:val="20"/>
                <w:szCs w:val="20"/>
                <w:lang w:eastAsia="lv-LV"/>
              </w:rPr>
              <w:t>.00</w:t>
            </w:r>
          </w:p>
        </w:tc>
      </w:tr>
      <w:tr w:rsidR="004F0CD6" w14:paraId="185FA63D"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8B10EDA" w14:textId="77777777" w:rsidR="004F0CD6" w:rsidRPr="00FE4F35" w:rsidRDefault="004F0CD6" w:rsidP="004F0CD6">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V  līmeņa ārstniecības iestāžu izmaksu kompensācija, pārskatot gultas dienu tarifu</w:t>
            </w:r>
          </w:p>
        </w:tc>
        <w:tc>
          <w:tcPr>
            <w:tcW w:w="1480" w:type="dxa"/>
            <w:tcBorders>
              <w:top w:val="nil"/>
              <w:left w:val="nil"/>
              <w:bottom w:val="single" w:sz="4" w:space="0" w:color="auto"/>
              <w:right w:val="single" w:sz="4" w:space="0" w:color="auto"/>
            </w:tcBorders>
            <w:shd w:val="clear" w:color="auto" w:fill="auto"/>
            <w:noWrap/>
            <w:vAlign w:val="bottom"/>
          </w:tcPr>
          <w:p w14:paraId="0B937892"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2 837 994</w:t>
            </w:r>
          </w:p>
        </w:tc>
        <w:tc>
          <w:tcPr>
            <w:tcW w:w="1740" w:type="dxa"/>
            <w:tcBorders>
              <w:top w:val="nil"/>
              <w:left w:val="nil"/>
              <w:bottom w:val="single" w:sz="4" w:space="0" w:color="auto"/>
              <w:right w:val="single" w:sz="4" w:space="0" w:color="auto"/>
            </w:tcBorders>
            <w:shd w:val="clear" w:color="auto" w:fill="auto"/>
            <w:noWrap/>
            <w:vAlign w:val="bottom"/>
          </w:tcPr>
          <w:p w14:paraId="3385356F" w14:textId="6EDAA02E"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Pr>
                <w:rFonts w:ascii="Times New Roman" w:eastAsia="Times New Roman" w:hAnsi="Times New Roman" w:cs="Times New Roman"/>
                <w:sz w:val="20"/>
                <w:szCs w:val="20"/>
                <w:lang w:eastAsia="lv-LV"/>
              </w:rPr>
              <w:t>7</w:t>
            </w:r>
            <w:r w:rsidRPr="00FE4F35">
              <w:rPr>
                <w:rFonts w:ascii="Times New Roman" w:eastAsia="Times New Roman" w:hAnsi="Times New Roman" w:cs="Times New Roman"/>
                <w:sz w:val="20"/>
                <w:szCs w:val="20"/>
                <w:lang w:eastAsia="lv-LV"/>
              </w:rPr>
              <w:t>.00</w:t>
            </w:r>
          </w:p>
        </w:tc>
      </w:tr>
      <w:tr w:rsidR="004F0CD6" w14:paraId="49983513"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28792D81" w14:textId="77777777" w:rsidR="004F0CD6" w:rsidRPr="00FE4F35" w:rsidRDefault="004F0CD6" w:rsidP="004F0CD6">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Neatliekamās palīdzības, uzņemšanas nodaļas optimālas darbības nodrošināšanai SIA “Rīgas Austrumu klīniskā universitātes slimnīca” papildus 9 speciālistu dežūras</w:t>
            </w:r>
          </w:p>
        </w:tc>
        <w:tc>
          <w:tcPr>
            <w:tcW w:w="1480" w:type="dxa"/>
            <w:tcBorders>
              <w:top w:val="nil"/>
              <w:left w:val="nil"/>
              <w:bottom w:val="single" w:sz="4" w:space="0" w:color="auto"/>
              <w:right w:val="single" w:sz="4" w:space="0" w:color="auto"/>
            </w:tcBorders>
            <w:shd w:val="clear" w:color="auto" w:fill="auto"/>
            <w:noWrap/>
            <w:vAlign w:val="bottom"/>
          </w:tcPr>
          <w:p w14:paraId="4BD3824F"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1 206 568</w:t>
            </w:r>
          </w:p>
        </w:tc>
        <w:tc>
          <w:tcPr>
            <w:tcW w:w="1740" w:type="dxa"/>
            <w:tcBorders>
              <w:top w:val="nil"/>
              <w:left w:val="nil"/>
              <w:bottom w:val="single" w:sz="4" w:space="0" w:color="auto"/>
              <w:right w:val="single" w:sz="4" w:space="0" w:color="auto"/>
            </w:tcBorders>
            <w:shd w:val="clear" w:color="auto" w:fill="auto"/>
            <w:noWrap/>
            <w:vAlign w:val="bottom"/>
          </w:tcPr>
          <w:p w14:paraId="0C3ADF61"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Pr>
                <w:rFonts w:ascii="Times New Roman" w:eastAsia="Times New Roman" w:hAnsi="Times New Roman" w:cs="Times New Roman"/>
                <w:sz w:val="20"/>
                <w:szCs w:val="20"/>
                <w:lang w:eastAsia="lv-LV"/>
              </w:rPr>
              <w:t>7</w:t>
            </w:r>
            <w:r w:rsidRPr="00FE4F35">
              <w:rPr>
                <w:rFonts w:ascii="Times New Roman" w:eastAsia="Times New Roman" w:hAnsi="Times New Roman" w:cs="Times New Roman"/>
                <w:sz w:val="20"/>
                <w:szCs w:val="20"/>
                <w:lang w:eastAsia="lv-LV"/>
              </w:rPr>
              <w:t>.00</w:t>
            </w:r>
          </w:p>
        </w:tc>
      </w:tr>
      <w:tr w:rsidR="004F0CD6" w14:paraId="446E5DA6"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F38F384" w14:textId="77777777" w:rsidR="004F0CD6" w:rsidRPr="00FE4F35" w:rsidRDefault="004F0CD6" w:rsidP="004F0CD6">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Neatliekamās palīdzības, uzņemšanas nodaļas  papildus neonatologa dežūras nodrošināšanai 3 reģionālajās iestādēs</w:t>
            </w:r>
          </w:p>
        </w:tc>
        <w:tc>
          <w:tcPr>
            <w:tcW w:w="1480" w:type="dxa"/>
            <w:tcBorders>
              <w:top w:val="nil"/>
              <w:left w:val="nil"/>
              <w:bottom w:val="single" w:sz="4" w:space="0" w:color="auto"/>
              <w:right w:val="single" w:sz="4" w:space="0" w:color="auto"/>
            </w:tcBorders>
            <w:shd w:val="clear" w:color="auto" w:fill="auto"/>
            <w:noWrap/>
            <w:vAlign w:val="bottom"/>
          </w:tcPr>
          <w:p w14:paraId="76E2F215"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389 637</w:t>
            </w:r>
          </w:p>
        </w:tc>
        <w:tc>
          <w:tcPr>
            <w:tcW w:w="1740" w:type="dxa"/>
            <w:tcBorders>
              <w:top w:val="nil"/>
              <w:left w:val="nil"/>
              <w:bottom w:val="single" w:sz="4" w:space="0" w:color="auto"/>
              <w:right w:val="single" w:sz="4" w:space="0" w:color="auto"/>
            </w:tcBorders>
            <w:shd w:val="clear" w:color="auto" w:fill="auto"/>
            <w:noWrap/>
            <w:vAlign w:val="bottom"/>
          </w:tcPr>
          <w:p w14:paraId="7B6DF574"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Pr>
                <w:rFonts w:ascii="Times New Roman" w:eastAsia="Times New Roman" w:hAnsi="Times New Roman" w:cs="Times New Roman"/>
                <w:sz w:val="20"/>
                <w:szCs w:val="20"/>
                <w:lang w:eastAsia="lv-LV"/>
              </w:rPr>
              <w:t>7</w:t>
            </w:r>
            <w:r w:rsidRPr="00FE4F35">
              <w:rPr>
                <w:rFonts w:ascii="Times New Roman" w:eastAsia="Times New Roman" w:hAnsi="Times New Roman" w:cs="Times New Roman"/>
                <w:sz w:val="20"/>
                <w:szCs w:val="20"/>
                <w:lang w:eastAsia="lv-LV"/>
              </w:rPr>
              <w:t>.00</w:t>
            </w:r>
          </w:p>
        </w:tc>
      </w:tr>
      <w:tr w:rsidR="004F0CD6" w14:paraId="4AF831B3"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90B828B" w14:textId="77777777" w:rsidR="004F0CD6" w:rsidRPr="00FE4F35" w:rsidRDefault="004F0CD6" w:rsidP="004F0CD6">
            <w:pPr>
              <w:spacing w:after="0" w:line="240" w:lineRule="auto"/>
              <w:rPr>
                <w:rFonts w:ascii="Times New Roman" w:hAnsi="Times New Roman" w:cs="Times New Roman"/>
                <w:sz w:val="20"/>
                <w:szCs w:val="20"/>
                <w:shd w:val="clear" w:color="auto" w:fill="FFF2CC"/>
              </w:rPr>
            </w:pPr>
            <w:r w:rsidRPr="00FE4F35">
              <w:rPr>
                <w:rFonts w:ascii="Times New Roman" w:hAnsi="Times New Roman" w:cs="Times New Roman"/>
                <w:sz w:val="20"/>
                <w:szCs w:val="20"/>
              </w:rPr>
              <w:t>Paliatīvās aprūpes pakalpojumu nodrošināšana PSKUS</w:t>
            </w:r>
          </w:p>
        </w:tc>
        <w:tc>
          <w:tcPr>
            <w:tcW w:w="1480" w:type="dxa"/>
            <w:tcBorders>
              <w:top w:val="nil"/>
              <w:left w:val="nil"/>
              <w:bottom w:val="single" w:sz="4" w:space="0" w:color="auto"/>
              <w:right w:val="single" w:sz="4" w:space="0" w:color="auto"/>
            </w:tcBorders>
            <w:shd w:val="clear" w:color="auto" w:fill="auto"/>
            <w:noWrap/>
            <w:vAlign w:val="bottom"/>
          </w:tcPr>
          <w:p w14:paraId="299BF526" w14:textId="77777777" w:rsidR="004F0CD6" w:rsidRPr="00FE4F35"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289 918</w:t>
            </w:r>
          </w:p>
        </w:tc>
        <w:tc>
          <w:tcPr>
            <w:tcW w:w="1740" w:type="dxa"/>
            <w:tcBorders>
              <w:top w:val="nil"/>
              <w:left w:val="nil"/>
              <w:bottom w:val="single" w:sz="4" w:space="0" w:color="auto"/>
              <w:right w:val="single" w:sz="4" w:space="0" w:color="auto"/>
            </w:tcBorders>
            <w:shd w:val="clear" w:color="auto" w:fill="auto"/>
            <w:noWrap/>
            <w:vAlign w:val="bottom"/>
          </w:tcPr>
          <w:p w14:paraId="5F1886CC"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5C5CF30E"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2E9787F4" w14:textId="54400703" w:rsidR="004F0CD6" w:rsidRPr="00FE4F35" w:rsidRDefault="004F0CD6" w:rsidP="004F0CD6">
            <w:pPr>
              <w:spacing w:after="0" w:line="240" w:lineRule="auto"/>
              <w:rPr>
                <w:rFonts w:ascii="Times New Roman" w:hAnsi="Times New Roman" w:cs="Times New Roman"/>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14:paraId="06477303" w14:textId="3759D322" w:rsidR="004F0CD6" w:rsidRPr="00FE4F35" w:rsidRDefault="004F0CD6" w:rsidP="00041553">
            <w:pPr>
              <w:spacing w:after="0" w:line="240" w:lineRule="auto"/>
              <w:jc w:val="center"/>
              <w:rPr>
                <w:rFonts w:ascii="Times New Roman" w:hAnsi="Times New Roman" w:cs="Times New Roman"/>
                <w:sz w:val="20"/>
                <w:szCs w:val="20"/>
              </w:rPr>
            </w:pPr>
          </w:p>
        </w:tc>
        <w:tc>
          <w:tcPr>
            <w:tcW w:w="1740" w:type="dxa"/>
            <w:tcBorders>
              <w:top w:val="nil"/>
              <w:left w:val="nil"/>
              <w:bottom w:val="single" w:sz="4" w:space="0" w:color="auto"/>
              <w:right w:val="single" w:sz="4" w:space="0" w:color="auto"/>
            </w:tcBorders>
            <w:shd w:val="clear" w:color="auto" w:fill="auto"/>
            <w:noWrap/>
            <w:vAlign w:val="bottom"/>
          </w:tcPr>
          <w:p w14:paraId="7E13E59F" w14:textId="69B65645"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p>
        </w:tc>
      </w:tr>
      <w:tr w:rsidR="004F0CD6" w14:paraId="07816BE8"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74E5484F" w14:textId="77777777" w:rsidR="004F0CD6" w:rsidRPr="00FE4F35" w:rsidRDefault="004F0CD6" w:rsidP="004F0CD6">
            <w:pPr>
              <w:spacing w:after="0" w:line="240" w:lineRule="auto"/>
              <w:jc w:val="right"/>
              <w:rPr>
                <w:rFonts w:ascii="Times New Roman" w:hAnsi="Times New Roman" w:cs="Times New Roman"/>
                <w:sz w:val="20"/>
                <w:szCs w:val="20"/>
              </w:rPr>
            </w:pPr>
            <w:r w:rsidRPr="00FE4F35">
              <w:rPr>
                <w:rFonts w:ascii="Times New Roman" w:hAnsi="Times New Roman" w:cs="Times New Roman"/>
                <w:b/>
                <w:bCs/>
                <w:sz w:val="20"/>
                <w:szCs w:val="20"/>
              </w:rPr>
              <w:t xml:space="preserve">7.Rehabilitācijas </w:t>
            </w:r>
            <w:r w:rsidRPr="00141340">
              <w:rPr>
                <w:rFonts w:ascii="Times New Roman" w:hAnsi="Times New Roman" w:cs="Times New Roman"/>
                <w:b/>
                <w:bCs/>
              </w:rPr>
              <w:t>pakalpojumu</w:t>
            </w:r>
            <w:r w:rsidRPr="00FE4F35">
              <w:rPr>
                <w:rFonts w:ascii="Times New Roman" w:hAnsi="Times New Roman" w:cs="Times New Roman"/>
                <w:b/>
                <w:bCs/>
                <w:sz w:val="20"/>
                <w:szCs w:val="20"/>
              </w:rPr>
              <w:t xml:space="preserve">  stratēģiskais iepirkums</w:t>
            </w:r>
          </w:p>
        </w:tc>
        <w:tc>
          <w:tcPr>
            <w:tcW w:w="1480" w:type="dxa"/>
            <w:tcBorders>
              <w:top w:val="nil"/>
              <w:left w:val="nil"/>
              <w:bottom w:val="single" w:sz="4" w:space="0" w:color="auto"/>
              <w:right w:val="single" w:sz="4" w:space="0" w:color="auto"/>
            </w:tcBorders>
            <w:shd w:val="clear" w:color="auto" w:fill="auto"/>
            <w:noWrap/>
            <w:vAlign w:val="bottom"/>
          </w:tcPr>
          <w:p w14:paraId="1B13F1F1" w14:textId="13188264" w:rsidR="004F0CD6" w:rsidRPr="00FE4F35" w:rsidRDefault="004F0CD6" w:rsidP="00041553">
            <w:pPr>
              <w:spacing w:after="0" w:line="240" w:lineRule="auto"/>
              <w:jc w:val="center"/>
              <w:rPr>
                <w:rFonts w:ascii="Times New Roman" w:hAnsi="Times New Roman" w:cs="Times New Roman"/>
                <w:b/>
                <w:sz w:val="20"/>
                <w:szCs w:val="20"/>
              </w:rPr>
            </w:pPr>
            <w:r w:rsidRPr="00FE4F35">
              <w:rPr>
                <w:rFonts w:ascii="Times New Roman" w:hAnsi="Times New Roman" w:cs="Times New Roman"/>
                <w:b/>
                <w:bCs/>
                <w:sz w:val="20"/>
                <w:szCs w:val="20"/>
              </w:rPr>
              <w:t>3 874 7</w:t>
            </w:r>
            <w:r w:rsidR="00356933">
              <w:rPr>
                <w:rFonts w:ascii="Times New Roman" w:hAnsi="Times New Roman" w:cs="Times New Roman"/>
                <w:b/>
                <w:bCs/>
                <w:sz w:val="20"/>
                <w:szCs w:val="20"/>
              </w:rPr>
              <w:t>7</w:t>
            </w:r>
            <w:r>
              <w:rPr>
                <w:rFonts w:ascii="Times New Roman" w:hAnsi="Times New Roman" w:cs="Times New Roman"/>
                <w:b/>
                <w:bCs/>
                <w:sz w:val="20"/>
                <w:szCs w:val="20"/>
              </w:rPr>
              <w:t>4</w:t>
            </w:r>
          </w:p>
        </w:tc>
        <w:tc>
          <w:tcPr>
            <w:tcW w:w="1740" w:type="dxa"/>
            <w:tcBorders>
              <w:top w:val="nil"/>
              <w:left w:val="nil"/>
              <w:bottom w:val="single" w:sz="4" w:space="0" w:color="auto"/>
              <w:right w:val="single" w:sz="4" w:space="0" w:color="auto"/>
            </w:tcBorders>
            <w:shd w:val="clear" w:color="auto" w:fill="auto"/>
            <w:noWrap/>
            <w:vAlign w:val="bottom"/>
          </w:tcPr>
          <w:p w14:paraId="67356C1C"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p>
        </w:tc>
      </w:tr>
      <w:tr w:rsidR="004F0CD6" w14:paraId="75AC47E5"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B154ED1" w14:textId="77777777" w:rsidR="004F0CD6" w:rsidRPr="00FE4F35" w:rsidRDefault="004F0CD6" w:rsidP="004F0CD6">
            <w:pPr>
              <w:spacing w:after="0" w:line="240" w:lineRule="auto"/>
              <w:rPr>
                <w:rFonts w:ascii="Times New Roman" w:hAnsi="Times New Roman" w:cs="Times New Roman"/>
                <w:bCs/>
                <w:sz w:val="20"/>
                <w:szCs w:val="20"/>
              </w:rPr>
            </w:pPr>
            <w:r w:rsidRPr="00FE4F35">
              <w:rPr>
                <w:rFonts w:ascii="Times New Roman" w:hAnsi="Times New Roman" w:cs="Times New Roman"/>
                <w:bCs/>
                <w:sz w:val="20"/>
                <w:szCs w:val="20"/>
              </w:rPr>
              <w:t>Akūtā rehabilitācija</w:t>
            </w:r>
          </w:p>
        </w:tc>
        <w:tc>
          <w:tcPr>
            <w:tcW w:w="1480" w:type="dxa"/>
            <w:tcBorders>
              <w:top w:val="nil"/>
              <w:left w:val="nil"/>
              <w:bottom w:val="single" w:sz="4" w:space="0" w:color="auto"/>
              <w:right w:val="single" w:sz="4" w:space="0" w:color="auto"/>
            </w:tcBorders>
            <w:shd w:val="clear" w:color="auto" w:fill="auto"/>
            <w:noWrap/>
            <w:vAlign w:val="bottom"/>
          </w:tcPr>
          <w:p w14:paraId="4B7D6FDB" w14:textId="77777777"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1 888 53</w:t>
            </w:r>
            <w:r>
              <w:rPr>
                <w:rFonts w:ascii="Times New Roman" w:hAnsi="Times New Roman" w:cs="Times New Roman"/>
                <w:bCs/>
                <w:sz w:val="20"/>
                <w:szCs w:val="20"/>
              </w:rPr>
              <w:t>5</w:t>
            </w:r>
          </w:p>
        </w:tc>
        <w:tc>
          <w:tcPr>
            <w:tcW w:w="1740" w:type="dxa"/>
            <w:tcBorders>
              <w:top w:val="nil"/>
              <w:left w:val="nil"/>
              <w:bottom w:val="single" w:sz="4" w:space="0" w:color="auto"/>
              <w:right w:val="single" w:sz="4" w:space="0" w:color="auto"/>
            </w:tcBorders>
            <w:shd w:val="clear" w:color="auto" w:fill="auto"/>
            <w:noWrap/>
            <w:vAlign w:val="bottom"/>
          </w:tcPr>
          <w:p w14:paraId="26390CC9"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2541D93C"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D4F03F7" w14:textId="77777777" w:rsidR="004F0CD6" w:rsidRPr="00FE4F35" w:rsidRDefault="004F0CD6" w:rsidP="004F0CD6">
            <w:pPr>
              <w:spacing w:after="0" w:line="240" w:lineRule="auto"/>
              <w:rPr>
                <w:rFonts w:ascii="Times New Roman" w:hAnsi="Times New Roman" w:cs="Times New Roman"/>
                <w:bCs/>
                <w:sz w:val="20"/>
                <w:szCs w:val="20"/>
              </w:rPr>
            </w:pPr>
            <w:r w:rsidRPr="00FE4F35">
              <w:rPr>
                <w:rFonts w:ascii="Times New Roman" w:hAnsi="Times New Roman" w:cs="Times New Roman"/>
                <w:bCs/>
                <w:sz w:val="20"/>
                <w:szCs w:val="20"/>
              </w:rPr>
              <w:t>Subakūtā rehabilitācija</w:t>
            </w:r>
          </w:p>
        </w:tc>
        <w:tc>
          <w:tcPr>
            <w:tcW w:w="1480" w:type="dxa"/>
            <w:tcBorders>
              <w:top w:val="nil"/>
              <w:left w:val="nil"/>
              <w:bottom w:val="single" w:sz="4" w:space="0" w:color="auto"/>
              <w:right w:val="single" w:sz="4" w:space="0" w:color="auto"/>
            </w:tcBorders>
            <w:shd w:val="clear" w:color="auto" w:fill="auto"/>
            <w:noWrap/>
            <w:vAlign w:val="bottom"/>
          </w:tcPr>
          <w:p w14:paraId="0B580A9A" w14:textId="77777777"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1 986 23</w:t>
            </w:r>
            <w:r>
              <w:rPr>
                <w:rFonts w:ascii="Times New Roman" w:hAnsi="Times New Roman" w:cs="Times New Roman"/>
                <w:bCs/>
                <w:sz w:val="20"/>
                <w:szCs w:val="20"/>
              </w:rPr>
              <w:t>9</w:t>
            </w:r>
          </w:p>
        </w:tc>
        <w:tc>
          <w:tcPr>
            <w:tcW w:w="1740" w:type="dxa"/>
            <w:tcBorders>
              <w:top w:val="nil"/>
              <w:left w:val="nil"/>
              <w:bottom w:val="single" w:sz="4" w:space="0" w:color="auto"/>
              <w:right w:val="single" w:sz="4" w:space="0" w:color="auto"/>
            </w:tcBorders>
            <w:shd w:val="clear" w:color="auto" w:fill="auto"/>
            <w:noWrap/>
            <w:vAlign w:val="bottom"/>
          </w:tcPr>
          <w:p w14:paraId="4B9B70C3"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48357AE5"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A3797F4" w14:textId="77777777" w:rsidR="004F0CD6" w:rsidRPr="00141340" w:rsidRDefault="004F0CD6" w:rsidP="004F0CD6">
            <w:pPr>
              <w:spacing w:after="0" w:line="240" w:lineRule="auto"/>
              <w:jc w:val="right"/>
              <w:rPr>
                <w:rFonts w:ascii="Times New Roman" w:hAnsi="Times New Roman" w:cs="Times New Roman"/>
              </w:rPr>
            </w:pPr>
            <w:r w:rsidRPr="00141340">
              <w:rPr>
                <w:rFonts w:ascii="Times New Roman" w:hAnsi="Times New Roman" w:cs="Times New Roman"/>
                <w:b/>
                <w:bCs/>
              </w:rPr>
              <w:t>8.Psihiskās veselības uzlabošana</w:t>
            </w:r>
          </w:p>
        </w:tc>
        <w:tc>
          <w:tcPr>
            <w:tcW w:w="1480" w:type="dxa"/>
            <w:tcBorders>
              <w:top w:val="nil"/>
              <w:left w:val="nil"/>
              <w:bottom w:val="single" w:sz="4" w:space="0" w:color="auto"/>
              <w:right w:val="single" w:sz="4" w:space="0" w:color="auto"/>
            </w:tcBorders>
            <w:shd w:val="clear" w:color="auto" w:fill="auto"/>
            <w:noWrap/>
            <w:vAlign w:val="bottom"/>
          </w:tcPr>
          <w:p w14:paraId="71CD5E94" w14:textId="36FA2134" w:rsidR="004F0CD6" w:rsidRPr="00FE4F35" w:rsidRDefault="004F0CD6" w:rsidP="00041553">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6</w:t>
            </w:r>
            <w:r w:rsidR="008654DE">
              <w:rPr>
                <w:rFonts w:ascii="Times New Roman" w:hAnsi="Times New Roman" w:cs="Times New Roman"/>
                <w:b/>
                <w:bCs/>
                <w:sz w:val="20"/>
                <w:szCs w:val="20"/>
              </w:rPr>
              <w:t xml:space="preserve"> 308 </w:t>
            </w:r>
            <w:r w:rsidR="00F0234E">
              <w:rPr>
                <w:rFonts w:ascii="Times New Roman" w:hAnsi="Times New Roman" w:cs="Times New Roman"/>
                <w:b/>
                <w:bCs/>
                <w:sz w:val="20"/>
                <w:szCs w:val="20"/>
              </w:rPr>
              <w:t>906</w:t>
            </w:r>
          </w:p>
        </w:tc>
        <w:tc>
          <w:tcPr>
            <w:tcW w:w="1740" w:type="dxa"/>
            <w:tcBorders>
              <w:top w:val="nil"/>
              <w:left w:val="nil"/>
              <w:bottom w:val="single" w:sz="4" w:space="0" w:color="auto"/>
              <w:right w:val="single" w:sz="4" w:space="0" w:color="auto"/>
            </w:tcBorders>
            <w:shd w:val="clear" w:color="auto" w:fill="auto"/>
            <w:noWrap/>
            <w:vAlign w:val="bottom"/>
          </w:tcPr>
          <w:p w14:paraId="6EB24607"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p>
        </w:tc>
      </w:tr>
      <w:tr w:rsidR="004F0CD6" w14:paraId="484E5C92"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46B882E0" w14:textId="77777777" w:rsidR="004F0CD6" w:rsidRPr="00FE4F35" w:rsidRDefault="004F0CD6" w:rsidP="004F0CD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Attīstīt psihiatra komandas ambulatoro darbu, psihiatra komandā iesaistot bērnu psihiatru, psihologu, garīgo māsu un funkcionālos speciālistu (ergoterapeits, fizioterapeits u.tml.), stiprinot esošās psihiatriskās prakses un psihiatriskās prakses centros.</w:t>
            </w:r>
          </w:p>
        </w:tc>
        <w:tc>
          <w:tcPr>
            <w:tcW w:w="1480" w:type="dxa"/>
            <w:tcBorders>
              <w:top w:val="nil"/>
              <w:left w:val="nil"/>
              <w:bottom w:val="single" w:sz="4" w:space="0" w:color="auto"/>
              <w:right w:val="single" w:sz="4" w:space="0" w:color="auto"/>
            </w:tcBorders>
            <w:shd w:val="clear" w:color="auto" w:fill="auto"/>
            <w:noWrap/>
            <w:vAlign w:val="bottom"/>
          </w:tcPr>
          <w:p w14:paraId="2F81A37E" w14:textId="05854F90"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 xml:space="preserve">759 </w:t>
            </w:r>
            <w:r w:rsidR="008654DE">
              <w:rPr>
                <w:rFonts w:ascii="Times New Roman" w:hAnsi="Times New Roman" w:cs="Times New Roman"/>
                <w:bCs/>
                <w:sz w:val="20"/>
                <w:szCs w:val="20"/>
              </w:rPr>
              <w:t>761</w:t>
            </w:r>
          </w:p>
        </w:tc>
        <w:tc>
          <w:tcPr>
            <w:tcW w:w="1740" w:type="dxa"/>
            <w:tcBorders>
              <w:top w:val="nil"/>
              <w:left w:val="nil"/>
              <w:bottom w:val="single" w:sz="4" w:space="0" w:color="auto"/>
              <w:right w:val="single" w:sz="4" w:space="0" w:color="auto"/>
            </w:tcBorders>
            <w:shd w:val="clear" w:color="auto" w:fill="auto"/>
            <w:noWrap/>
            <w:vAlign w:val="bottom"/>
          </w:tcPr>
          <w:p w14:paraId="1B69E3A1" w14:textId="47994F3C"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Pr>
                <w:rFonts w:ascii="Times New Roman" w:eastAsia="Times New Roman" w:hAnsi="Times New Roman" w:cs="Times New Roman"/>
                <w:sz w:val="20"/>
                <w:szCs w:val="20"/>
                <w:lang w:eastAsia="lv-LV"/>
              </w:rPr>
              <w:t>6</w:t>
            </w:r>
            <w:r w:rsidRPr="00FE4F35">
              <w:rPr>
                <w:rFonts w:ascii="Times New Roman" w:eastAsia="Times New Roman" w:hAnsi="Times New Roman" w:cs="Times New Roman"/>
                <w:sz w:val="20"/>
                <w:szCs w:val="20"/>
                <w:lang w:eastAsia="lv-LV"/>
              </w:rPr>
              <w:t>.00</w:t>
            </w:r>
          </w:p>
        </w:tc>
      </w:tr>
      <w:tr w:rsidR="004F0CD6" w14:paraId="406EA287"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1423904" w14:textId="77777777" w:rsidR="004F0CD6" w:rsidRPr="00FE4F35" w:rsidRDefault="004F0CD6" w:rsidP="004F0CD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lastRenderedPageBreak/>
              <w:t>Uzlabot pieejamību dienas stacionāra pakalpojumiem psihiskajā veselības aprūpē, tādējādi palielinot psihiskās veselības ambulatoro pakalpojumu pieejamību.</w:t>
            </w:r>
          </w:p>
        </w:tc>
        <w:tc>
          <w:tcPr>
            <w:tcW w:w="1480" w:type="dxa"/>
            <w:tcBorders>
              <w:top w:val="nil"/>
              <w:left w:val="nil"/>
              <w:bottom w:val="single" w:sz="4" w:space="0" w:color="auto"/>
              <w:right w:val="single" w:sz="4" w:space="0" w:color="auto"/>
            </w:tcBorders>
            <w:shd w:val="clear" w:color="auto" w:fill="auto"/>
            <w:noWrap/>
            <w:vAlign w:val="bottom"/>
          </w:tcPr>
          <w:p w14:paraId="6491F81D" w14:textId="3E3AD7AD"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445 90</w:t>
            </w:r>
            <w:r w:rsidR="008654DE">
              <w:rPr>
                <w:rFonts w:ascii="Times New Roman" w:hAnsi="Times New Roman" w:cs="Times New Roman"/>
                <w:bCs/>
                <w:sz w:val="20"/>
                <w:szCs w:val="20"/>
              </w:rPr>
              <w:t>7</w:t>
            </w:r>
          </w:p>
        </w:tc>
        <w:tc>
          <w:tcPr>
            <w:tcW w:w="1740" w:type="dxa"/>
            <w:tcBorders>
              <w:top w:val="nil"/>
              <w:left w:val="nil"/>
              <w:bottom w:val="single" w:sz="4" w:space="0" w:color="auto"/>
              <w:right w:val="single" w:sz="4" w:space="0" w:color="auto"/>
            </w:tcBorders>
            <w:shd w:val="clear" w:color="auto" w:fill="auto"/>
            <w:noWrap/>
            <w:vAlign w:val="bottom"/>
          </w:tcPr>
          <w:p w14:paraId="4EE84A13" w14:textId="0A03661F"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Pr>
                <w:rFonts w:ascii="Times New Roman" w:eastAsia="Times New Roman" w:hAnsi="Times New Roman" w:cs="Times New Roman"/>
                <w:sz w:val="20"/>
                <w:szCs w:val="20"/>
                <w:lang w:eastAsia="lv-LV"/>
              </w:rPr>
              <w:t>6</w:t>
            </w:r>
            <w:r w:rsidRPr="00FE4F35">
              <w:rPr>
                <w:rFonts w:ascii="Times New Roman" w:eastAsia="Times New Roman" w:hAnsi="Times New Roman" w:cs="Times New Roman"/>
                <w:sz w:val="20"/>
                <w:szCs w:val="20"/>
                <w:lang w:eastAsia="lv-LV"/>
              </w:rPr>
              <w:t>.00</w:t>
            </w:r>
          </w:p>
        </w:tc>
      </w:tr>
      <w:tr w:rsidR="004F0CD6" w14:paraId="42D1DB95"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F5DF6E6" w14:textId="77777777" w:rsidR="004F0CD6" w:rsidRPr="00FE4F35" w:rsidRDefault="004F0CD6" w:rsidP="004F0CD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Paplašināt nemedikamentozās ārstēšanas iespējas stacionārā, piesaistot papildus speciālistus – psihiatrus un garīgās veselības māsas, funkcionālos speciālistus, psihologus, sociālos darbiniekus un bērnu psihiatriskajā veselības aprūpē arī sociālos pedagogus.</w:t>
            </w:r>
          </w:p>
        </w:tc>
        <w:tc>
          <w:tcPr>
            <w:tcW w:w="1480" w:type="dxa"/>
            <w:tcBorders>
              <w:top w:val="nil"/>
              <w:left w:val="nil"/>
              <w:bottom w:val="single" w:sz="4" w:space="0" w:color="auto"/>
              <w:right w:val="single" w:sz="4" w:space="0" w:color="auto"/>
            </w:tcBorders>
            <w:shd w:val="clear" w:color="auto" w:fill="auto"/>
            <w:noWrap/>
            <w:vAlign w:val="bottom"/>
          </w:tcPr>
          <w:p w14:paraId="02D5B7F1" w14:textId="5EA4CB3C"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3</w:t>
            </w:r>
            <w:r w:rsidR="008654DE">
              <w:rPr>
                <w:rFonts w:ascii="Times New Roman" w:hAnsi="Times New Roman" w:cs="Times New Roman"/>
                <w:bCs/>
                <w:sz w:val="20"/>
                <w:szCs w:val="20"/>
              </w:rPr>
              <w:t> </w:t>
            </w:r>
            <w:r>
              <w:rPr>
                <w:rFonts w:ascii="Times New Roman" w:hAnsi="Times New Roman" w:cs="Times New Roman"/>
                <w:bCs/>
                <w:sz w:val="20"/>
                <w:szCs w:val="20"/>
              </w:rPr>
              <w:t>1</w:t>
            </w:r>
            <w:r w:rsidR="008654DE">
              <w:rPr>
                <w:rFonts w:ascii="Times New Roman" w:hAnsi="Times New Roman" w:cs="Times New Roman"/>
                <w:bCs/>
                <w:sz w:val="20"/>
                <w:szCs w:val="20"/>
              </w:rPr>
              <w:t>58 322</w:t>
            </w:r>
          </w:p>
        </w:tc>
        <w:tc>
          <w:tcPr>
            <w:tcW w:w="1740" w:type="dxa"/>
            <w:tcBorders>
              <w:top w:val="nil"/>
              <w:left w:val="nil"/>
              <w:bottom w:val="single" w:sz="4" w:space="0" w:color="auto"/>
              <w:right w:val="single" w:sz="4" w:space="0" w:color="auto"/>
            </w:tcBorders>
            <w:shd w:val="clear" w:color="auto" w:fill="auto"/>
            <w:noWrap/>
            <w:vAlign w:val="bottom"/>
          </w:tcPr>
          <w:p w14:paraId="5BFE38B2"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F0CD6" w14:paraId="1F782F48" w14:textId="77777777" w:rsidTr="00E93259">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5B4A9654" w14:textId="436ED4EE" w:rsidR="004F0CD6" w:rsidRPr="001E4659" w:rsidRDefault="004F0CD6" w:rsidP="004F0CD6">
            <w:pPr>
              <w:spacing w:after="0" w:line="240" w:lineRule="auto"/>
              <w:rPr>
                <w:rFonts w:ascii="Times New Roman" w:eastAsia="Times New Roman" w:hAnsi="Times New Roman" w:cs="Times New Roman"/>
                <w:sz w:val="20"/>
                <w:szCs w:val="20"/>
              </w:rPr>
            </w:pPr>
            <w:r w:rsidRPr="00E93259">
              <w:rPr>
                <w:rFonts w:ascii="Times New Roman" w:hAnsi="Times New Roman" w:cs="Times New Roman"/>
                <w:sz w:val="20"/>
                <w:szCs w:val="20"/>
              </w:rPr>
              <w:t>Izmaksu palielinājums tāmes finansētajās iestādēs</w:t>
            </w:r>
          </w:p>
        </w:tc>
        <w:tc>
          <w:tcPr>
            <w:tcW w:w="1480" w:type="dxa"/>
            <w:tcBorders>
              <w:top w:val="nil"/>
              <w:left w:val="nil"/>
              <w:bottom w:val="single" w:sz="4" w:space="0" w:color="auto"/>
              <w:right w:val="single" w:sz="4" w:space="0" w:color="auto"/>
            </w:tcBorders>
            <w:shd w:val="clear" w:color="auto" w:fill="auto"/>
            <w:noWrap/>
            <w:vAlign w:val="center"/>
          </w:tcPr>
          <w:p w14:paraId="5775F120" w14:textId="03C5DF36" w:rsidR="004F0CD6" w:rsidRPr="001E4659" w:rsidRDefault="004F0CD6" w:rsidP="000415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8654DE">
              <w:rPr>
                <w:rFonts w:ascii="Times New Roman" w:hAnsi="Times New Roman" w:cs="Times New Roman"/>
                <w:sz w:val="20"/>
                <w:szCs w:val="20"/>
              </w:rPr>
              <w:t>9</w:t>
            </w:r>
            <w:r>
              <w:rPr>
                <w:rFonts w:ascii="Times New Roman" w:hAnsi="Times New Roman" w:cs="Times New Roman"/>
                <w:sz w:val="20"/>
                <w:szCs w:val="20"/>
              </w:rPr>
              <w:t xml:space="preserve"> </w:t>
            </w:r>
            <w:r w:rsidR="008654DE">
              <w:rPr>
                <w:rFonts w:ascii="Times New Roman" w:hAnsi="Times New Roman" w:cs="Times New Roman"/>
                <w:sz w:val="20"/>
                <w:szCs w:val="20"/>
              </w:rPr>
              <w:t>746</w:t>
            </w:r>
          </w:p>
        </w:tc>
        <w:tc>
          <w:tcPr>
            <w:tcW w:w="1740" w:type="dxa"/>
            <w:tcBorders>
              <w:top w:val="nil"/>
              <w:left w:val="nil"/>
              <w:bottom w:val="single" w:sz="4" w:space="0" w:color="auto"/>
              <w:right w:val="single" w:sz="4" w:space="0" w:color="auto"/>
            </w:tcBorders>
            <w:shd w:val="clear" w:color="auto" w:fill="auto"/>
            <w:noWrap/>
            <w:vAlign w:val="center"/>
          </w:tcPr>
          <w:p w14:paraId="62B045F2" w14:textId="1E9F71BE" w:rsidR="004F0CD6" w:rsidRPr="001E4659" w:rsidRDefault="004F0CD6" w:rsidP="004F0CD6">
            <w:pPr>
              <w:spacing w:after="0" w:line="240" w:lineRule="auto"/>
              <w:jc w:val="center"/>
              <w:rPr>
                <w:rFonts w:ascii="Times New Roman" w:eastAsia="Times New Roman" w:hAnsi="Times New Roman" w:cs="Times New Roman"/>
                <w:sz w:val="20"/>
                <w:szCs w:val="20"/>
                <w:lang w:eastAsia="lv-LV"/>
              </w:rPr>
            </w:pPr>
            <w:r w:rsidRPr="00E93259">
              <w:rPr>
                <w:rFonts w:ascii="Times New Roman" w:hAnsi="Times New Roman" w:cs="Times New Roman"/>
                <w:sz w:val="20"/>
                <w:szCs w:val="20"/>
              </w:rPr>
              <w:t>33.18.00</w:t>
            </w:r>
          </w:p>
        </w:tc>
      </w:tr>
      <w:tr w:rsidR="004F0CD6" w14:paraId="38D43BE0"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7E1C896" w14:textId="77777777" w:rsidR="004F0CD6" w:rsidRPr="00FE4F35" w:rsidRDefault="004F0CD6" w:rsidP="004F0CD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Izveidot observācijas gultas pie psihoneiroloģiskām slimnīcām, tādējādi mazinot nepamatotus stacionēšanas gadījumus.</w:t>
            </w:r>
          </w:p>
        </w:tc>
        <w:tc>
          <w:tcPr>
            <w:tcW w:w="1480" w:type="dxa"/>
            <w:tcBorders>
              <w:top w:val="nil"/>
              <w:left w:val="nil"/>
              <w:bottom w:val="single" w:sz="4" w:space="0" w:color="auto"/>
              <w:right w:val="single" w:sz="4" w:space="0" w:color="auto"/>
            </w:tcBorders>
            <w:shd w:val="clear" w:color="auto" w:fill="auto"/>
            <w:noWrap/>
            <w:vAlign w:val="bottom"/>
          </w:tcPr>
          <w:p w14:paraId="7BD8D3B7" w14:textId="581F4FB5" w:rsidR="004F0CD6" w:rsidRPr="00FE4F35" w:rsidRDefault="008654DE" w:rsidP="00041553">
            <w:pPr>
              <w:spacing w:after="0" w:line="240" w:lineRule="auto"/>
              <w:jc w:val="center"/>
              <w:rPr>
                <w:rFonts w:ascii="Times New Roman" w:hAnsi="Times New Roman" w:cs="Times New Roman"/>
                <w:bCs/>
                <w:sz w:val="20"/>
                <w:szCs w:val="20"/>
              </w:rPr>
            </w:pPr>
            <w:r>
              <w:rPr>
                <w:rFonts w:ascii="Times New Roman" w:hAnsi="Times New Roman"/>
                <w:sz w:val="20"/>
                <w:szCs w:val="20"/>
              </w:rPr>
              <w:t>67 502</w:t>
            </w:r>
          </w:p>
        </w:tc>
        <w:tc>
          <w:tcPr>
            <w:tcW w:w="1740" w:type="dxa"/>
            <w:tcBorders>
              <w:top w:val="nil"/>
              <w:left w:val="nil"/>
              <w:bottom w:val="single" w:sz="4" w:space="0" w:color="auto"/>
              <w:right w:val="single" w:sz="4" w:space="0" w:color="auto"/>
            </w:tcBorders>
            <w:shd w:val="clear" w:color="auto" w:fill="auto"/>
            <w:noWrap/>
            <w:vAlign w:val="bottom"/>
          </w:tcPr>
          <w:p w14:paraId="483F20A5"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F0CD6" w14:paraId="4F42E8D4"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4109C35C" w14:textId="2E4EEA54" w:rsidR="004F0CD6" w:rsidRPr="00FE4F35" w:rsidRDefault="004F0CD6" w:rsidP="004F0CD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Nodrošināt iespēju vecākiem uzturēties kopā ar bērniem</w:t>
            </w:r>
          </w:p>
        </w:tc>
        <w:tc>
          <w:tcPr>
            <w:tcW w:w="1480" w:type="dxa"/>
            <w:tcBorders>
              <w:top w:val="nil"/>
              <w:left w:val="nil"/>
              <w:bottom w:val="single" w:sz="4" w:space="0" w:color="auto"/>
              <w:right w:val="single" w:sz="4" w:space="0" w:color="auto"/>
            </w:tcBorders>
            <w:shd w:val="clear" w:color="auto" w:fill="auto"/>
            <w:noWrap/>
            <w:vAlign w:val="bottom"/>
          </w:tcPr>
          <w:p w14:paraId="2E988919" w14:textId="77777777"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10 515</w:t>
            </w:r>
          </w:p>
        </w:tc>
        <w:tc>
          <w:tcPr>
            <w:tcW w:w="1740" w:type="dxa"/>
            <w:tcBorders>
              <w:top w:val="nil"/>
              <w:left w:val="nil"/>
              <w:bottom w:val="single" w:sz="4" w:space="0" w:color="auto"/>
              <w:right w:val="single" w:sz="4" w:space="0" w:color="auto"/>
            </w:tcBorders>
            <w:shd w:val="clear" w:color="auto" w:fill="auto"/>
            <w:noWrap/>
            <w:vAlign w:val="bottom"/>
          </w:tcPr>
          <w:p w14:paraId="2CD05468"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36E9075F"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4EAFF0E" w14:textId="77777777" w:rsidR="004F0CD6" w:rsidRPr="00FE4F35" w:rsidRDefault="004F0CD6" w:rsidP="004F0CD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Nodrošināt interešu izglītību bērniem ārstniecības un atveseļošanās procesa laikā VSIA “Bērnu klīniskā universitātes slimnīcā”, kā arī palīdzēt bērniem mazināt stresu, pārvarēt adaptācijas grūtības atšķirīgajā slimnīcas vidē un aizpildīt no medicīniskajām manipulācijām brīvo laiku.</w:t>
            </w:r>
          </w:p>
        </w:tc>
        <w:tc>
          <w:tcPr>
            <w:tcW w:w="1480" w:type="dxa"/>
            <w:tcBorders>
              <w:top w:val="nil"/>
              <w:left w:val="nil"/>
              <w:bottom w:val="single" w:sz="4" w:space="0" w:color="auto"/>
              <w:right w:val="single" w:sz="4" w:space="0" w:color="auto"/>
            </w:tcBorders>
            <w:shd w:val="clear" w:color="auto" w:fill="auto"/>
            <w:noWrap/>
            <w:vAlign w:val="bottom"/>
          </w:tcPr>
          <w:p w14:paraId="5647A775" w14:textId="5F9D37D6" w:rsidR="004F0CD6" w:rsidRPr="00FE4F35" w:rsidRDefault="008654DE" w:rsidP="000415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30 992</w:t>
            </w:r>
          </w:p>
        </w:tc>
        <w:tc>
          <w:tcPr>
            <w:tcW w:w="1740" w:type="dxa"/>
            <w:tcBorders>
              <w:top w:val="nil"/>
              <w:left w:val="nil"/>
              <w:bottom w:val="single" w:sz="4" w:space="0" w:color="auto"/>
              <w:right w:val="single" w:sz="4" w:space="0" w:color="auto"/>
            </w:tcBorders>
            <w:shd w:val="clear" w:color="auto" w:fill="auto"/>
            <w:noWrap/>
            <w:vAlign w:val="bottom"/>
          </w:tcPr>
          <w:p w14:paraId="15F01883"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33.09.00</w:t>
            </w:r>
          </w:p>
        </w:tc>
      </w:tr>
      <w:tr w:rsidR="004F0CD6" w14:paraId="03B9E089"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24CCA0AE" w14:textId="77777777" w:rsidR="004F0CD6" w:rsidRPr="00FE4F35" w:rsidRDefault="004F0CD6" w:rsidP="004F0CD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Pilotprojekts “Pierādījumos balstīta jauniešu garīgās veselības sekundārās profilakses programma garastāvokļa un uzvedības traucējumu novēršanai un seku mazināšanai”.</w:t>
            </w:r>
          </w:p>
        </w:tc>
        <w:tc>
          <w:tcPr>
            <w:tcW w:w="1480" w:type="dxa"/>
            <w:tcBorders>
              <w:top w:val="nil"/>
              <w:left w:val="nil"/>
              <w:bottom w:val="single" w:sz="4" w:space="0" w:color="auto"/>
              <w:right w:val="single" w:sz="4" w:space="0" w:color="auto"/>
            </w:tcBorders>
            <w:shd w:val="clear" w:color="auto" w:fill="auto"/>
            <w:noWrap/>
            <w:vAlign w:val="bottom"/>
          </w:tcPr>
          <w:p w14:paraId="593CEC88" w14:textId="77777777"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83 594</w:t>
            </w:r>
          </w:p>
        </w:tc>
        <w:tc>
          <w:tcPr>
            <w:tcW w:w="1740" w:type="dxa"/>
            <w:tcBorders>
              <w:top w:val="nil"/>
              <w:left w:val="nil"/>
              <w:bottom w:val="single" w:sz="4" w:space="0" w:color="auto"/>
              <w:right w:val="single" w:sz="4" w:space="0" w:color="auto"/>
            </w:tcBorders>
            <w:shd w:val="clear" w:color="auto" w:fill="auto"/>
            <w:noWrap/>
            <w:vAlign w:val="bottom"/>
          </w:tcPr>
          <w:p w14:paraId="114AF586"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4F0CD6" w14:paraId="77F71B7A"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CE7ACDB" w14:textId="77777777" w:rsidR="004F0CD6" w:rsidRPr="00FE4F35" w:rsidRDefault="004F0CD6" w:rsidP="004F0CD6">
            <w:pPr>
              <w:spacing w:after="0" w:line="240" w:lineRule="auto"/>
              <w:rPr>
                <w:rFonts w:ascii="Times New Roman" w:hAnsi="Times New Roman"/>
                <w:bCs/>
                <w:sz w:val="20"/>
                <w:szCs w:val="20"/>
              </w:rPr>
            </w:pPr>
            <w:r w:rsidRPr="00FE4F35">
              <w:rPr>
                <w:rFonts w:ascii="Times New Roman" w:hAnsi="Times New Roman"/>
                <w:bCs/>
                <w:sz w:val="20"/>
                <w:szCs w:val="20"/>
              </w:rPr>
              <w:t>Medikamenti psihiskās veselības uzlabošanai</w:t>
            </w:r>
          </w:p>
        </w:tc>
        <w:tc>
          <w:tcPr>
            <w:tcW w:w="1480" w:type="dxa"/>
            <w:tcBorders>
              <w:top w:val="nil"/>
              <w:left w:val="nil"/>
              <w:bottom w:val="single" w:sz="4" w:space="0" w:color="auto"/>
              <w:right w:val="single" w:sz="4" w:space="0" w:color="auto"/>
            </w:tcBorders>
            <w:shd w:val="clear" w:color="auto" w:fill="auto"/>
            <w:noWrap/>
            <w:vAlign w:val="bottom"/>
          </w:tcPr>
          <w:p w14:paraId="2EDF132B" w14:textId="3FA17D15" w:rsidR="004F0CD6" w:rsidRPr="00FA733E" w:rsidRDefault="004F0CD6" w:rsidP="000415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r w:rsidR="008654DE">
              <w:rPr>
                <w:rFonts w:ascii="Times New Roman" w:hAnsi="Times New Roman" w:cs="Times New Roman"/>
                <w:bCs/>
                <w:sz w:val="20"/>
                <w:szCs w:val="20"/>
              </w:rPr>
              <w:t> 242 5</w:t>
            </w:r>
            <w:r w:rsidR="00F0234E">
              <w:rPr>
                <w:rFonts w:ascii="Times New Roman" w:hAnsi="Times New Roman" w:cs="Times New Roman"/>
                <w:bCs/>
                <w:sz w:val="20"/>
                <w:szCs w:val="20"/>
              </w:rPr>
              <w:t>67</w:t>
            </w:r>
          </w:p>
        </w:tc>
        <w:tc>
          <w:tcPr>
            <w:tcW w:w="1740" w:type="dxa"/>
            <w:tcBorders>
              <w:top w:val="nil"/>
              <w:left w:val="nil"/>
              <w:bottom w:val="single" w:sz="4" w:space="0" w:color="auto"/>
              <w:right w:val="single" w:sz="4" w:space="0" w:color="auto"/>
            </w:tcBorders>
            <w:shd w:val="clear" w:color="auto" w:fill="auto"/>
            <w:noWrap/>
            <w:vAlign w:val="bottom"/>
          </w:tcPr>
          <w:p w14:paraId="3EEF28A5"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4F0CD6" w14:paraId="5C48EB48"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DE619D8" w14:textId="77777777" w:rsidR="004F0CD6" w:rsidRPr="00E56575" w:rsidRDefault="004F0CD6" w:rsidP="004F0CD6">
            <w:pPr>
              <w:spacing w:after="0" w:line="240" w:lineRule="auto"/>
              <w:jc w:val="right"/>
              <w:rPr>
                <w:rFonts w:ascii="Times New Roman" w:hAnsi="Times New Roman"/>
                <w:b/>
                <w:bCs/>
                <w:sz w:val="20"/>
                <w:szCs w:val="20"/>
              </w:rPr>
            </w:pPr>
            <w:r w:rsidRPr="00E56575">
              <w:rPr>
                <w:rFonts w:ascii="Times New Roman" w:hAnsi="Times New Roman"/>
                <w:b/>
                <w:bCs/>
                <w:sz w:val="20"/>
                <w:szCs w:val="20"/>
              </w:rPr>
              <w:t>9. Vides uzlabošana un infrastruktūras efektivizēšana</w:t>
            </w:r>
          </w:p>
        </w:tc>
        <w:tc>
          <w:tcPr>
            <w:tcW w:w="1480" w:type="dxa"/>
            <w:tcBorders>
              <w:top w:val="nil"/>
              <w:left w:val="nil"/>
              <w:bottom w:val="single" w:sz="4" w:space="0" w:color="auto"/>
              <w:right w:val="single" w:sz="4" w:space="0" w:color="auto"/>
            </w:tcBorders>
            <w:shd w:val="clear" w:color="auto" w:fill="auto"/>
            <w:noWrap/>
            <w:vAlign w:val="bottom"/>
          </w:tcPr>
          <w:p w14:paraId="5F7A5D7E" w14:textId="3E8B81B6" w:rsidR="004F0CD6" w:rsidRPr="00E56575" w:rsidDel="008749F9" w:rsidRDefault="00EE086E" w:rsidP="000415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7 959 5</w:t>
            </w:r>
            <w:r w:rsidR="00F0234E">
              <w:rPr>
                <w:rFonts w:ascii="Times New Roman" w:hAnsi="Times New Roman" w:cs="Times New Roman"/>
                <w:b/>
                <w:bCs/>
                <w:sz w:val="20"/>
                <w:szCs w:val="20"/>
              </w:rPr>
              <w:t>29</w:t>
            </w:r>
          </w:p>
        </w:tc>
        <w:tc>
          <w:tcPr>
            <w:tcW w:w="1740" w:type="dxa"/>
            <w:tcBorders>
              <w:top w:val="nil"/>
              <w:left w:val="nil"/>
              <w:bottom w:val="single" w:sz="4" w:space="0" w:color="auto"/>
              <w:right w:val="single" w:sz="4" w:space="0" w:color="auto"/>
            </w:tcBorders>
            <w:shd w:val="clear" w:color="auto" w:fill="auto"/>
            <w:noWrap/>
            <w:vAlign w:val="bottom"/>
          </w:tcPr>
          <w:p w14:paraId="7461856F"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p>
        </w:tc>
      </w:tr>
      <w:tr w:rsidR="004F0CD6" w14:paraId="586E3686"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74772203" w14:textId="77777777" w:rsidR="004F0CD6" w:rsidRPr="00FA733E" w:rsidRDefault="004F0CD6" w:rsidP="004F0CD6">
            <w:pPr>
              <w:spacing w:after="0" w:line="240" w:lineRule="auto"/>
              <w:rPr>
                <w:rFonts w:ascii="Times New Roman" w:hAnsi="Times New Roman"/>
                <w:sz w:val="20"/>
                <w:szCs w:val="20"/>
              </w:rPr>
            </w:pPr>
            <w:r w:rsidRPr="00FE4F35">
              <w:rPr>
                <w:rFonts w:ascii="Times New Roman" w:hAnsi="Times New Roman" w:cs="Times New Roman"/>
                <w:sz w:val="20"/>
                <w:szCs w:val="20"/>
              </w:rPr>
              <w:t>Valsts asinsdonoru centra  struktūras un procesu darbības efektivitātes uzlabošana paaugstinot sagatavoto komponentu drošību</w:t>
            </w:r>
          </w:p>
        </w:tc>
        <w:tc>
          <w:tcPr>
            <w:tcW w:w="1480" w:type="dxa"/>
            <w:tcBorders>
              <w:top w:val="nil"/>
              <w:left w:val="nil"/>
              <w:bottom w:val="single" w:sz="4" w:space="0" w:color="auto"/>
              <w:right w:val="single" w:sz="4" w:space="0" w:color="auto"/>
            </w:tcBorders>
            <w:shd w:val="clear" w:color="auto" w:fill="auto"/>
            <w:noWrap/>
            <w:vAlign w:val="bottom"/>
          </w:tcPr>
          <w:p w14:paraId="1960CCC5" w14:textId="77777777" w:rsidR="004F0CD6" w:rsidRPr="0031179E" w:rsidDel="008749F9"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bCs/>
                <w:sz w:val="20"/>
                <w:szCs w:val="20"/>
              </w:rPr>
              <w:t>994 500</w:t>
            </w:r>
          </w:p>
        </w:tc>
        <w:tc>
          <w:tcPr>
            <w:tcW w:w="1740" w:type="dxa"/>
            <w:tcBorders>
              <w:top w:val="nil"/>
              <w:left w:val="nil"/>
              <w:bottom w:val="single" w:sz="4" w:space="0" w:color="auto"/>
              <w:right w:val="single" w:sz="4" w:space="0" w:color="auto"/>
            </w:tcBorders>
            <w:shd w:val="clear" w:color="auto" w:fill="auto"/>
            <w:noWrap/>
            <w:vAlign w:val="bottom"/>
          </w:tcPr>
          <w:p w14:paraId="319C68D3"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39.03.00</w:t>
            </w:r>
          </w:p>
        </w:tc>
      </w:tr>
      <w:tr w:rsidR="004F0CD6" w14:paraId="272B21B6" w14:textId="77777777" w:rsidTr="00E11AFF">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FCA8563" w14:textId="39D69296" w:rsidR="004F0CD6" w:rsidRPr="00FE4F35" w:rsidRDefault="004F0CD6" w:rsidP="004F0CD6">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Datortomogrāfa iegāde</w:t>
            </w:r>
          </w:p>
        </w:tc>
        <w:tc>
          <w:tcPr>
            <w:tcW w:w="1480" w:type="dxa"/>
            <w:tcBorders>
              <w:top w:val="nil"/>
              <w:left w:val="nil"/>
              <w:bottom w:val="single" w:sz="4" w:space="0" w:color="auto"/>
              <w:right w:val="single" w:sz="4" w:space="0" w:color="auto"/>
            </w:tcBorders>
            <w:shd w:val="clear" w:color="auto" w:fill="auto"/>
            <w:noWrap/>
            <w:vAlign w:val="bottom"/>
          </w:tcPr>
          <w:p w14:paraId="776C000D" w14:textId="77C25F9A"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sz w:val="20"/>
                <w:szCs w:val="20"/>
              </w:rPr>
              <w:t>2 100 000</w:t>
            </w:r>
          </w:p>
        </w:tc>
        <w:tc>
          <w:tcPr>
            <w:tcW w:w="1740" w:type="dxa"/>
            <w:tcBorders>
              <w:top w:val="nil"/>
              <w:left w:val="nil"/>
              <w:bottom w:val="single" w:sz="4" w:space="0" w:color="auto"/>
              <w:right w:val="single" w:sz="4" w:space="0" w:color="auto"/>
            </w:tcBorders>
            <w:shd w:val="clear" w:color="auto" w:fill="auto"/>
            <w:noWrap/>
            <w:vAlign w:val="bottom"/>
          </w:tcPr>
          <w:p w14:paraId="054AF1CE" w14:textId="76DA9259"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182FB642" w14:textId="77777777" w:rsidTr="00E11AFF">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030BAC2A" w14:textId="3A2D66D4" w:rsidR="004F0CD6" w:rsidRPr="00FE4F35" w:rsidRDefault="004F0CD6" w:rsidP="004F0CD6">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Ultrasonogrāfijas iekārtas</w:t>
            </w:r>
          </w:p>
        </w:tc>
        <w:tc>
          <w:tcPr>
            <w:tcW w:w="1480" w:type="dxa"/>
            <w:tcBorders>
              <w:top w:val="nil"/>
              <w:left w:val="nil"/>
              <w:bottom w:val="single" w:sz="4" w:space="0" w:color="auto"/>
              <w:right w:val="single" w:sz="4" w:space="0" w:color="auto"/>
            </w:tcBorders>
            <w:shd w:val="clear" w:color="auto" w:fill="auto"/>
            <w:noWrap/>
            <w:vAlign w:val="bottom"/>
          </w:tcPr>
          <w:p w14:paraId="71D88539" w14:textId="7ACEAEA6"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sz w:val="20"/>
                <w:szCs w:val="20"/>
              </w:rPr>
              <w:t>187 550</w:t>
            </w:r>
          </w:p>
        </w:tc>
        <w:tc>
          <w:tcPr>
            <w:tcW w:w="1740" w:type="dxa"/>
            <w:tcBorders>
              <w:top w:val="nil"/>
              <w:left w:val="nil"/>
              <w:bottom w:val="single" w:sz="4" w:space="0" w:color="auto"/>
              <w:right w:val="single" w:sz="4" w:space="0" w:color="auto"/>
            </w:tcBorders>
            <w:shd w:val="clear" w:color="auto" w:fill="auto"/>
            <w:noWrap/>
          </w:tcPr>
          <w:p w14:paraId="1A7BBDDE" w14:textId="660F1C20"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3731D4A0" w14:textId="77777777" w:rsidTr="00E11AFF">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3B171342" w14:textId="6CB6E159" w:rsidR="004F0CD6" w:rsidRPr="00FE4F35" w:rsidRDefault="004F0CD6" w:rsidP="004F0CD6">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Magnētiskās rezonanses iekārtas </w:t>
            </w:r>
          </w:p>
        </w:tc>
        <w:tc>
          <w:tcPr>
            <w:tcW w:w="1480" w:type="dxa"/>
            <w:tcBorders>
              <w:top w:val="nil"/>
              <w:left w:val="nil"/>
              <w:bottom w:val="single" w:sz="4" w:space="0" w:color="auto"/>
              <w:right w:val="single" w:sz="4" w:space="0" w:color="auto"/>
            </w:tcBorders>
            <w:shd w:val="clear" w:color="auto" w:fill="auto"/>
            <w:noWrap/>
            <w:vAlign w:val="bottom"/>
          </w:tcPr>
          <w:p w14:paraId="7F4A9AC6" w14:textId="3EEFF87C"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sz w:val="20"/>
                <w:szCs w:val="20"/>
              </w:rPr>
              <w:t>3 900 000</w:t>
            </w:r>
          </w:p>
        </w:tc>
        <w:tc>
          <w:tcPr>
            <w:tcW w:w="1740" w:type="dxa"/>
            <w:tcBorders>
              <w:top w:val="nil"/>
              <w:left w:val="nil"/>
              <w:bottom w:val="single" w:sz="4" w:space="0" w:color="auto"/>
              <w:right w:val="single" w:sz="4" w:space="0" w:color="auto"/>
            </w:tcBorders>
            <w:shd w:val="clear" w:color="auto" w:fill="auto"/>
            <w:noWrap/>
          </w:tcPr>
          <w:p w14:paraId="6C2088ED" w14:textId="171C8F48"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39190C95" w14:textId="77777777" w:rsidTr="00E11AFF">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5A3CFAD1" w14:textId="4F6B81DA" w:rsidR="004F0CD6" w:rsidRPr="00FE4F35" w:rsidRDefault="004F0CD6" w:rsidP="004F0CD6">
            <w:pPr>
              <w:spacing w:after="0" w:line="240" w:lineRule="auto"/>
              <w:rPr>
                <w:rFonts w:ascii="Times New Roman" w:hAnsi="Times New Roman" w:cs="Times New Roman"/>
                <w:sz w:val="20"/>
                <w:szCs w:val="20"/>
              </w:rPr>
            </w:pPr>
            <w:r w:rsidRPr="00FE4F35">
              <w:rPr>
                <w:rFonts w:ascii="Times New Roman" w:eastAsia="Times New Roman" w:hAnsi="Times New Roman" w:cs="Times New Roman"/>
                <w:sz w:val="20"/>
                <w:szCs w:val="20"/>
                <w:lang w:eastAsia="lv-LV"/>
              </w:rPr>
              <w:t>Kaulu allotransplantāti</w:t>
            </w:r>
          </w:p>
        </w:tc>
        <w:tc>
          <w:tcPr>
            <w:tcW w:w="1480" w:type="dxa"/>
            <w:tcBorders>
              <w:top w:val="nil"/>
              <w:left w:val="nil"/>
              <w:bottom w:val="single" w:sz="4" w:space="0" w:color="auto"/>
              <w:right w:val="single" w:sz="4" w:space="0" w:color="auto"/>
            </w:tcBorders>
            <w:shd w:val="clear" w:color="auto" w:fill="auto"/>
            <w:noWrap/>
            <w:vAlign w:val="bottom"/>
          </w:tcPr>
          <w:p w14:paraId="706F0F12" w14:textId="6A616CBF" w:rsidR="004F0CD6" w:rsidRPr="00FE4F35"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sz w:val="20"/>
                <w:szCs w:val="20"/>
              </w:rPr>
              <w:t>99 900</w:t>
            </w:r>
          </w:p>
        </w:tc>
        <w:tc>
          <w:tcPr>
            <w:tcW w:w="1740" w:type="dxa"/>
            <w:tcBorders>
              <w:top w:val="nil"/>
              <w:left w:val="nil"/>
              <w:bottom w:val="single" w:sz="4" w:space="0" w:color="auto"/>
              <w:right w:val="single" w:sz="4" w:space="0" w:color="auto"/>
            </w:tcBorders>
            <w:shd w:val="clear" w:color="auto" w:fill="auto"/>
            <w:noWrap/>
            <w:vAlign w:val="bottom"/>
          </w:tcPr>
          <w:p w14:paraId="6FA21C00" w14:textId="3695D273"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5B79C390"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72EA4A6" w14:textId="77777777" w:rsidR="004F0CD6" w:rsidRPr="00FE4F35" w:rsidRDefault="004F0CD6" w:rsidP="004F0CD6">
            <w:pPr>
              <w:spacing w:after="0" w:line="240" w:lineRule="auto"/>
              <w:rPr>
                <w:rFonts w:ascii="Times New Roman" w:hAnsi="Times New Roman"/>
                <w:bCs/>
                <w:sz w:val="20"/>
                <w:szCs w:val="20"/>
              </w:rPr>
            </w:pPr>
            <w:r w:rsidRPr="00FE4F35">
              <w:rPr>
                <w:rFonts w:ascii="Times New Roman" w:hAnsi="Times New Roman" w:cs="Times New Roman"/>
                <w:sz w:val="20"/>
                <w:szCs w:val="20"/>
              </w:rPr>
              <w:t>Komperatīvā genoma hibridizācijas (CGH), viena nukleotīda polimorfizma (SNP) skeneris un nākamās paaudzes sekvēšanas (NGS) iekārta </w:t>
            </w:r>
          </w:p>
        </w:tc>
        <w:tc>
          <w:tcPr>
            <w:tcW w:w="1480" w:type="dxa"/>
            <w:tcBorders>
              <w:top w:val="nil"/>
              <w:left w:val="nil"/>
              <w:bottom w:val="single" w:sz="4" w:space="0" w:color="auto"/>
              <w:right w:val="single" w:sz="4" w:space="0" w:color="auto"/>
            </w:tcBorders>
            <w:shd w:val="clear" w:color="auto" w:fill="auto"/>
            <w:noWrap/>
            <w:vAlign w:val="center"/>
          </w:tcPr>
          <w:p w14:paraId="736F3258" w14:textId="77777777" w:rsidR="004F0CD6" w:rsidRPr="0031179E" w:rsidDel="008749F9" w:rsidRDefault="004F0CD6" w:rsidP="00041553">
            <w:pPr>
              <w:spacing w:after="0" w:line="240" w:lineRule="auto"/>
              <w:jc w:val="center"/>
              <w:rPr>
                <w:rFonts w:ascii="Times New Roman" w:hAnsi="Times New Roman" w:cs="Times New Roman"/>
                <w:bCs/>
                <w:sz w:val="20"/>
                <w:szCs w:val="20"/>
              </w:rPr>
            </w:pPr>
            <w:r w:rsidRPr="00FE4F35">
              <w:rPr>
                <w:rFonts w:ascii="Times New Roman" w:hAnsi="Times New Roman" w:cs="Times New Roman"/>
                <w:sz w:val="20"/>
                <w:szCs w:val="20"/>
              </w:rPr>
              <w:t>484 000</w:t>
            </w:r>
          </w:p>
        </w:tc>
        <w:tc>
          <w:tcPr>
            <w:tcW w:w="1740" w:type="dxa"/>
            <w:tcBorders>
              <w:top w:val="nil"/>
              <w:left w:val="nil"/>
              <w:bottom w:val="single" w:sz="4" w:space="0" w:color="auto"/>
              <w:right w:val="single" w:sz="4" w:space="0" w:color="auto"/>
            </w:tcBorders>
            <w:shd w:val="clear" w:color="auto" w:fill="auto"/>
            <w:noWrap/>
            <w:vAlign w:val="center"/>
          </w:tcPr>
          <w:p w14:paraId="0BEB4319"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1DF717ED"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69504EF7" w14:textId="77777777" w:rsidR="004F0CD6" w:rsidRPr="00FE4F35" w:rsidRDefault="004F0CD6" w:rsidP="004F0CD6">
            <w:pPr>
              <w:spacing w:after="0" w:line="240" w:lineRule="auto"/>
              <w:rPr>
                <w:rFonts w:ascii="Times New Roman" w:hAnsi="Times New Roman"/>
                <w:bCs/>
                <w:sz w:val="20"/>
                <w:szCs w:val="20"/>
              </w:rPr>
            </w:pPr>
            <w:r w:rsidRPr="00FE4F35">
              <w:rPr>
                <w:rFonts w:ascii="Times New Roman" w:hAnsi="Times New Roman" w:cs="Times New Roman"/>
                <w:sz w:val="20"/>
                <w:szCs w:val="20"/>
              </w:rPr>
              <w:t>Sekvenēšanas platforma ar datoraprīkojumu </w:t>
            </w:r>
          </w:p>
        </w:tc>
        <w:tc>
          <w:tcPr>
            <w:tcW w:w="1480" w:type="dxa"/>
            <w:tcBorders>
              <w:top w:val="nil"/>
              <w:left w:val="nil"/>
              <w:bottom w:val="single" w:sz="4" w:space="0" w:color="auto"/>
              <w:right w:val="single" w:sz="4" w:space="0" w:color="auto"/>
            </w:tcBorders>
            <w:shd w:val="clear" w:color="auto" w:fill="auto"/>
            <w:noWrap/>
            <w:vAlign w:val="center"/>
          </w:tcPr>
          <w:p w14:paraId="48F249E6" w14:textId="3033375D" w:rsidR="00FE6739" w:rsidRPr="00FE6739" w:rsidDel="008749F9" w:rsidRDefault="004F0CD6" w:rsidP="00041553">
            <w:pPr>
              <w:spacing w:after="0" w:line="240" w:lineRule="auto"/>
              <w:jc w:val="center"/>
              <w:rPr>
                <w:rFonts w:ascii="Times New Roman" w:hAnsi="Times New Roman" w:cs="Times New Roman"/>
                <w:sz w:val="20"/>
                <w:szCs w:val="20"/>
              </w:rPr>
            </w:pPr>
            <w:r w:rsidRPr="00FE4F35">
              <w:rPr>
                <w:rFonts w:ascii="Times New Roman" w:hAnsi="Times New Roman" w:cs="Times New Roman"/>
                <w:sz w:val="20"/>
                <w:szCs w:val="20"/>
              </w:rPr>
              <w:t>193</w:t>
            </w:r>
            <w:r w:rsidR="00FE6739">
              <w:rPr>
                <w:rFonts w:ascii="Times New Roman" w:hAnsi="Times New Roman" w:cs="Times New Roman"/>
                <w:sz w:val="20"/>
                <w:szCs w:val="20"/>
              </w:rPr>
              <w:t> </w:t>
            </w:r>
            <w:r>
              <w:rPr>
                <w:rFonts w:ascii="Times New Roman" w:hAnsi="Times New Roman" w:cs="Times New Roman"/>
                <w:sz w:val="20"/>
                <w:szCs w:val="20"/>
              </w:rPr>
              <w:t>5</w:t>
            </w:r>
            <w:r w:rsidR="00F0234E">
              <w:rPr>
                <w:rFonts w:ascii="Times New Roman" w:hAnsi="Times New Roman" w:cs="Times New Roman"/>
                <w:sz w:val="20"/>
                <w:szCs w:val="20"/>
              </w:rPr>
              <w:t>79</w:t>
            </w:r>
          </w:p>
        </w:tc>
        <w:tc>
          <w:tcPr>
            <w:tcW w:w="1740" w:type="dxa"/>
            <w:tcBorders>
              <w:top w:val="nil"/>
              <w:left w:val="nil"/>
              <w:bottom w:val="single" w:sz="4" w:space="0" w:color="auto"/>
              <w:right w:val="single" w:sz="4" w:space="0" w:color="auto"/>
            </w:tcBorders>
            <w:shd w:val="clear" w:color="auto" w:fill="auto"/>
            <w:noWrap/>
            <w:vAlign w:val="center"/>
          </w:tcPr>
          <w:p w14:paraId="1209D32D" w14:textId="77777777" w:rsidR="004F0CD6" w:rsidRPr="00FE4F35" w:rsidRDefault="004F0CD6" w:rsidP="004F0CD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4F0CD6" w14:paraId="7E625F87" w14:textId="77777777" w:rsidTr="00ED3FC5">
        <w:trPr>
          <w:trHeight w:val="300"/>
          <w:jc w:val="center"/>
        </w:trPr>
        <w:tc>
          <w:tcPr>
            <w:tcW w:w="51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2B5DA9E1" w14:textId="77777777" w:rsidR="004F0CD6" w:rsidRPr="00847710" w:rsidRDefault="004F0CD6" w:rsidP="004F0CD6">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Kopā</w:t>
            </w:r>
          </w:p>
        </w:tc>
        <w:tc>
          <w:tcPr>
            <w:tcW w:w="1480" w:type="dxa"/>
            <w:tcBorders>
              <w:top w:val="nil"/>
              <w:left w:val="nil"/>
              <w:bottom w:val="single" w:sz="4" w:space="0" w:color="auto"/>
              <w:right w:val="single" w:sz="4" w:space="0" w:color="auto"/>
            </w:tcBorders>
            <w:shd w:val="clear" w:color="auto" w:fill="FBD4B4" w:themeFill="accent6" w:themeFillTint="66"/>
            <w:noWrap/>
            <w:vAlign w:val="bottom"/>
            <w:hideMark/>
          </w:tcPr>
          <w:p w14:paraId="434ADADB" w14:textId="41624974" w:rsidR="004F0CD6" w:rsidRPr="000C3D0E" w:rsidRDefault="004F0CD6" w:rsidP="004F0CD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39</w:t>
            </w:r>
            <w:r w:rsidR="008654DE">
              <w:rPr>
                <w:rFonts w:ascii="Times New Roman" w:eastAsia="Times New Roman" w:hAnsi="Times New Roman" w:cs="Times New Roman"/>
                <w:b/>
                <w:bCs/>
                <w:lang w:eastAsia="lv-LV"/>
              </w:rPr>
              <w:t> 980 993</w:t>
            </w:r>
          </w:p>
        </w:tc>
        <w:tc>
          <w:tcPr>
            <w:tcW w:w="1740" w:type="dxa"/>
            <w:tcBorders>
              <w:top w:val="nil"/>
              <w:left w:val="nil"/>
              <w:bottom w:val="single" w:sz="4" w:space="0" w:color="auto"/>
              <w:right w:val="single" w:sz="4" w:space="0" w:color="auto"/>
            </w:tcBorders>
            <w:shd w:val="clear" w:color="auto" w:fill="FBD4B4" w:themeFill="accent6" w:themeFillTint="66"/>
            <w:noWrap/>
            <w:vAlign w:val="bottom"/>
            <w:hideMark/>
          </w:tcPr>
          <w:p w14:paraId="29BACD4A" w14:textId="77777777" w:rsidR="004F0CD6" w:rsidRPr="00BC2160" w:rsidRDefault="004F0CD6" w:rsidP="004F0CD6">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 </w:t>
            </w:r>
          </w:p>
        </w:tc>
      </w:tr>
    </w:tbl>
    <w:p w14:paraId="79FE6756" w14:textId="77777777" w:rsidR="00D43A3B" w:rsidRPr="00847710" w:rsidRDefault="00D43A3B" w:rsidP="00AB7C24">
      <w:pPr>
        <w:rPr>
          <w:rFonts w:ascii="Times New Roman" w:hAnsi="Times New Roman" w:cs="Times New Roman"/>
        </w:rPr>
      </w:pPr>
    </w:p>
    <w:p w14:paraId="20EB55FB" w14:textId="77B6DC56" w:rsidR="008A1384" w:rsidRPr="008A1384" w:rsidRDefault="0071331A" w:rsidP="008A1384">
      <w:pPr>
        <w:pStyle w:val="Heading1"/>
        <w:spacing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 xml:space="preserve">Reformas </w:t>
      </w:r>
      <w:r w:rsidR="008A1384">
        <w:rPr>
          <w:rFonts w:ascii="Times New Roman" w:hAnsi="Times New Roman" w:cs="Times New Roman"/>
          <w:b/>
          <w:bCs/>
          <w:color w:val="auto"/>
          <w:sz w:val="28"/>
          <w:szCs w:val="28"/>
        </w:rPr>
        <w:t>ieguvumi</w:t>
      </w:r>
      <w:r w:rsidRPr="0012317D">
        <w:rPr>
          <w:rFonts w:ascii="Times New Roman" w:hAnsi="Times New Roman" w:cs="Times New Roman"/>
          <w:b/>
          <w:bCs/>
          <w:color w:val="auto"/>
          <w:sz w:val="28"/>
          <w:szCs w:val="28"/>
        </w:rPr>
        <w:t xml:space="preserve"> un nepieciešamā</w:t>
      </w:r>
      <w:r w:rsidR="00FC506D" w:rsidRPr="0078794A">
        <w:rPr>
          <w:rFonts w:ascii="Times New Roman" w:hAnsi="Times New Roman" w:cs="Times New Roman"/>
          <w:b/>
          <w:bCs/>
          <w:color w:val="auto"/>
          <w:sz w:val="28"/>
          <w:szCs w:val="28"/>
        </w:rPr>
        <w:t xml:space="preserve"> </w:t>
      </w:r>
      <w:r w:rsidRPr="00BD7921">
        <w:rPr>
          <w:rFonts w:ascii="Times New Roman" w:hAnsi="Times New Roman" w:cs="Times New Roman"/>
          <w:b/>
          <w:bCs/>
          <w:color w:val="auto"/>
          <w:sz w:val="28"/>
          <w:szCs w:val="28"/>
        </w:rPr>
        <w:t>rīcība reformu īstenošan</w:t>
      </w:r>
      <w:r w:rsidRPr="00890961">
        <w:rPr>
          <w:rFonts w:ascii="Times New Roman" w:hAnsi="Times New Roman" w:cs="Times New Roman"/>
          <w:b/>
          <w:bCs/>
          <w:color w:val="auto"/>
          <w:sz w:val="28"/>
          <w:szCs w:val="28"/>
        </w:rPr>
        <w:t>ai</w:t>
      </w:r>
    </w:p>
    <w:p w14:paraId="589F7E5E" w14:textId="77777777" w:rsidR="00C34F4F" w:rsidRDefault="00C34F4F" w:rsidP="00C34F4F">
      <w:pPr>
        <w:ind w:firstLine="709"/>
        <w:jc w:val="both"/>
        <w:rPr>
          <w:rFonts w:ascii="Times New Roman" w:hAnsi="Times New Roman" w:cs="Times New Roman"/>
          <w:sz w:val="24"/>
          <w:szCs w:val="24"/>
        </w:rPr>
      </w:pPr>
      <w:r>
        <w:rPr>
          <w:rFonts w:ascii="Times New Roman" w:hAnsi="Times New Roman" w:cs="Times New Roman"/>
          <w:sz w:val="24"/>
          <w:szCs w:val="24"/>
        </w:rPr>
        <w:t xml:space="preserve">Ziņojumā aprakstīto 2017.gadā un 2018.gadā īstenoto reformu rezultāti un 2019.gadā paredzētais reformu turpinājums un jaunās iniciatīvas turpina radīt priekšnoteikumus iedzīvotāju veselības saglabāšanai, uzlabošanai un atjaunošanai, </w:t>
      </w:r>
      <w:r w:rsidRPr="006F6F9C">
        <w:rPr>
          <w:rFonts w:ascii="Times New Roman" w:hAnsi="Times New Roman" w:cs="Times New Roman"/>
          <w:sz w:val="24"/>
          <w:szCs w:val="24"/>
        </w:rPr>
        <w:t>palielin</w:t>
      </w:r>
      <w:r>
        <w:rPr>
          <w:rFonts w:ascii="Times New Roman" w:hAnsi="Times New Roman" w:cs="Times New Roman"/>
          <w:sz w:val="24"/>
          <w:szCs w:val="24"/>
        </w:rPr>
        <w:t>o</w:t>
      </w:r>
      <w:r w:rsidRPr="006F6F9C">
        <w:rPr>
          <w:rFonts w:ascii="Times New Roman" w:hAnsi="Times New Roman" w:cs="Times New Roman"/>
          <w:sz w:val="24"/>
          <w:szCs w:val="24"/>
        </w:rPr>
        <w:t>t Latvijas iedzīvotāju veselīgi nodzīvoto mūža gadu skaitu</w:t>
      </w:r>
      <w:r>
        <w:rPr>
          <w:rFonts w:ascii="Times New Roman" w:hAnsi="Times New Roman" w:cs="Times New Roman"/>
          <w:sz w:val="24"/>
          <w:szCs w:val="24"/>
        </w:rPr>
        <w:t xml:space="preserve"> un novēršot</w:t>
      </w:r>
      <w:r w:rsidRPr="006F6F9C">
        <w:rPr>
          <w:rFonts w:ascii="Times New Roman" w:hAnsi="Times New Roman" w:cs="Times New Roman"/>
          <w:sz w:val="24"/>
          <w:szCs w:val="24"/>
        </w:rPr>
        <w:t xml:space="preserve"> priekšlaicīgu nāvi</w:t>
      </w:r>
      <w:r>
        <w:rPr>
          <w:rFonts w:ascii="Times New Roman" w:hAnsi="Times New Roman" w:cs="Times New Roman"/>
          <w:sz w:val="24"/>
          <w:szCs w:val="24"/>
        </w:rPr>
        <w:t>.</w:t>
      </w:r>
    </w:p>
    <w:p w14:paraId="79BFCDA9" w14:textId="77777777" w:rsidR="00C34F4F" w:rsidRDefault="64AB90BD"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Informatīvajā ziņojumā “Par veselības reformas pasākumu īstenošanu 2018.gadā” tika analizēta Veselības ministrijas budžeta izdevumu pieauguma ietekme uz potenciāli zaudētiem mūža gadiem (turpmāk – PZMG) un tā ieguvums tautsaimniecībai. Turpinot veikt PZMG izmaiņu prognozēšanu, tiek saglabāta iepriekšējā gadā pielietotā metode (skatīt Skaidrojumu). </w:t>
      </w:r>
      <w:r w:rsidRPr="64AB90BD">
        <w:rPr>
          <w:rFonts w:ascii="Times New Roman" w:hAnsi="Times New Roman" w:cs="Times New Roman"/>
          <w:sz w:val="24"/>
          <w:szCs w:val="24"/>
        </w:rPr>
        <w:lastRenderedPageBreak/>
        <w:t>Vienlaikus ir ņemta vērā Finanšu ministrijas aktualizētā Latvijas ekonomikas izaugsmes prognoze 2018.-2021.gadiem (iekšzemes kopprodukts faktiskajās cenās), ir veikta Latvijas iedzīvotāju faktiskā un prognozētā skaita aktualizēšana, kā arī ir precizēti faktiskie PZMG iepriekšējos gados saskaņā ar SPKC sniegto informāciju.</w:t>
      </w:r>
    </w:p>
    <w:tbl>
      <w:tblPr>
        <w:tblStyle w:val="TableGrid"/>
        <w:tblW w:w="0" w:type="auto"/>
        <w:jc w:val="center"/>
        <w:tblLook w:val="04A0" w:firstRow="1" w:lastRow="0" w:firstColumn="1" w:lastColumn="0" w:noHBand="0" w:noVBand="1"/>
      </w:tblPr>
      <w:tblGrid>
        <w:gridCol w:w="8276"/>
      </w:tblGrid>
      <w:tr w:rsidR="00C34F4F" w14:paraId="294759A2" w14:textId="77777777" w:rsidTr="00C34F4F">
        <w:trPr>
          <w:jc w:val="center"/>
        </w:trPr>
        <w:tc>
          <w:tcPr>
            <w:tcW w:w="8276" w:type="dxa"/>
            <w:tcBorders>
              <w:top w:val="double" w:sz="4" w:space="0" w:color="auto"/>
              <w:left w:val="double" w:sz="4" w:space="0" w:color="auto"/>
              <w:bottom w:val="double" w:sz="4" w:space="0" w:color="auto"/>
              <w:right w:val="double" w:sz="4" w:space="0" w:color="auto"/>
            </w:tcBorders>
          </w:tcPr>
          <w:p w14:paraId="4E41D3B7" w14:textId="77777777" w:rsidR="00C34F4F" w:rsidRPr="006B186F" w:rsidRDefault="00C34F4F" w:rsidP="00D67DC3">
            <w:pPr>
              <w:jc w:val="right"/>
              <w:rPr>
                <w:rFonts w:ascii="Times New Roman" w:hAnsi="Times New Roman"/>
                <w:i/>
                <w:sz w:val="24"/>
                <w:szCs w:val="24"/>
              </w:rPr>
            </w:pPr>
            <w:r w:rsidRPr="006B186F">
              <w:rPr>
                <w:rFonts w:ascii="Times New Roman" w:hAnsi="Times New Roman"/>
                <w:i/>
                <w:sz w:val="24"/>
                <w:szCs w:val="24"/>
              </w:rPr>
              <w:t>Skaidrojums</w:t>
            </w:r>
          </w:p>
          <w:p w14:paraId="4E63EF1E" w14:textId="77777777" w:rsidR="00C34F4F" w:rsidRPr="006B186F" w:rsidRDefault="00C34F4F" w:rsidP="00D67DC3">
            <w:pPr>
              <w:spacing w:after="120"/>
              <w:jc w:val="center"/>
              <w:rPr>
                <w:rFonts w:ascii="Times New Roman" w:hAnsi="Times New Roman"/>
                <w:sz w:val="24"/>
                <w:szCs w:val="24"/>
              </w:rPr>
            </w:pPr>
            <w:r w:rsidRPr="006B186F">
              <w:rPr>
                <w:rFonts w:ascii="Times New Roman" w:hAnsi="Times New Roman"/>
                <w:sz w:val="24"/>
                <w:szCs w:val="24"/>
              </w:rPr>
              <w:t>PZMG izmaiņu prognozēšanai pielietotā metode</w:t>
            </w:r>
          </w:p>
          <w:p w14:paraId="6AD9315B" w14:textId="1AD19C26" w:rsidR="00C34F4F" w:rsidRDefault="00C34F4F" w:rsidP="00D67DC3">
            <w:pPr>
              <w:spacing w:after="120" w:line="276" w:lineRule="auto"/>
              <w:ind w:firstLine="737"/>
              <w:jc w:val="both"/>
              <w:rPr>
                <w:rFonts w:ascii="Times New Roman" w:hAnsi="Times New Roman"/>
                <w:sz w:val="24"/>
                <w:szCs w:val="24"/>
              </w:rPr>
            </w:pPr>
            <w:r w:rsidRPr="006B186F">
              <w:rPr>
                <w:rFonts w:ascii="Times New Roman" w:hAnsi="Times New Roman"/>
                <w:sz w:val="24"/>
                <w:szCs w:val="24"/>
              </w:rPr>
              <w:t xml:space="preserve">Prognozēšanā tiek izmantoti pieejamie dati konkrētās diagnozēs, kas atspoguļo incidences (saslimstības),  prevalences (izplatības) un mirstības tendences pa gadiem atkarībā no vecuma grupas, dzimuma un diagnozes, kā arī meklējot ciešas un loģiski izskaidrojamas saistības ar kādiem citiem faktoriem. Datu pieejamības gadījumā tiek izmantota informācija par konkrētās diagnozes incidenci sabiedrībā un mirstības gadījumu skaitu. Savukārt ņemot vērā, ka pakalpojumu pieejamība atšķirībā no iniciatīvām konkrētām diagnozēm tiek nodrošināta plašai diagnožu grupai, PZMG samazinājumam tiek izmantotas plašākas prognozes nekā konkrētām diagnozēm. Lielākajās pakalpojumu grupās faktiskā diagnoze tiek noteikta tikai pēc pakalpojuma saņemšanas, līdz ar to plānošanas posmā tā nav zināma. Turklāt ambulatorajā posmā, pakalpojumi lielākoties vērsti uz dzīvildzes palielināšanu, veicot ātrāku diagnostiku, diagnozes uzstādīšanu, speciālistu pakalpojumu un terapijas un rehabilitācijas saņemšanu. Līdz ar to galvenais prognozētais lielums ir uz vienu mirstības gadījumu samazinātie PZMG, atbilstoši </w:t>
            </w:r>
            <w:r w:rsidR="00073137" w:rsidRPr="00AD3B6A">
              <w:rPr>
                <w:rFonts w:ascii="Times New Roman" w:hAnsi="Times New Roman"/>
                <w:sz w:val="24"/>
                <w:szCs w:val="24"/>
              </w:rPr>
              <w:t>saslimšanas incidencei un prevalencei</w:t>
            </w:r>
            <w:r w:rsidR="00073137" w:rsidRPr="006B186F">
              <w:rPr>
                <w:rFonts w:ascii="Times New Roman" w:hAnsi="Times New Roman"/>
                <w:sz w:val="24"/>
                <w:szCs w:val="24"/>
              </w:rPr>
              <w:t xml:space="preserve"> un saistīb</w:t>
            </w:r>
            <w:r w:rsidR="00073137">
              <w:rPr>
                <w:rFonts w:ascii="Times New Roman" w:hAnsi="Times New Roman"/>
                <w:sz w:val="24"/>
                <w:szCs w:val="24"/>
              </w:rPr>
              <w:t>ai</w:t>
            </w:r>
            <w:r w:rsidR="00073137" w:rsidRPr="006B186F" w:rsidDel="00073137">
              <w:rPr>
                <w:rFonts w:ascii="Times New Roman" w:hAnsi="Times New Roman"/>
                <w:sz w:val="24"/>
                <w:szCs w:val="24"/>
              </w:rPr>
              <w:t xml:space="preserve"> </w:t>
            </w:r>
            <w:r w:rsidRPr="006B186F">
              <w:rPr>
                <w:rFonts w:ascii="Times New Roman" w:hAnsi="Times New Roman"/>
                <w:sz w:val="24"/>
                <w:szCs w:val="24"/>
              </w:rPr>
              <w:t>ar citiem medicīniski pamatotiem faktoriem, izmantojot ekspertu vērtējumus.</w:t>
            </w:r>
          </w:p>
        </w:tc>
      </w:tr>
    </w:tbl>
    <w:p w14:paraId="31467325" w14:textId="5E1C4D7B" w:rsidR="00C34F4F" w:rsidRDefault="64AB90BD" w:rsidP="64AB90BD">
      <w:pPr>
        <w:shd w:val="clear" w:color="auto" w:fill="FFFFFF" w:themeFill="background1"/>
        <w:spacing w:before="120"/>
        <w:ind w:firstLine="720"/>
        <w:jc w:val="both"/>
        <w:rPr>
          <w:rFonts w:ascii="Times New Roman" w:hAnsi="Times New Roman" w:cs="Times New Roman"/>
          <w:sz w:val="24"/>
          <w:szCs w:val="24"/>
        </w:rPr>
      </w:pPr>
      <w:r w:rsidRPr="64AB90BD">
        <w:rPr>
          <w:rFonts w:ascii="Times New Roman" w:hAnsi="Times New Roman" w:cs="Times New Roman"/>
          <w:sz w:val="24"/>
          <w:szCs w:val="24"/>
        </w:rPr>
        <w:t>Reformu turpinājums un jaunās iniciatīvas turpina radīt priekšnoteikumus iedzīvotāju veselības saglabāšanai. Tos papildina un pastiprina kopējie veselības sistēmas strukturālie uzlabojumi. Turklāt statistikas dati liecina par mirušo skaita vecumā līdz 64 gadiem samazināšanos, kā arī tā īpatsvara samazināšanos kopējā mirušo skaitā (</w:t>
      </w:r>
      <w:r w:rsidR="00C94F00">
        <w:rPr>
          <w:rFonts w:ascii="Times New Roman" w:hAnsi="Times New Roman" w:cs="Times New Roman"/>
          <w:sz w:val="24"/>
          <w:szCs w:val="24"/>
        </w:rPr>
        <w:t>13</w:t>
      </w:r>
      <w:r w:rsidRPr="64AB90BD">
        <w:rPr>
          <w:rFonts w:ascii="Times New Roman" w:hAnsi="Times New Roman" w:cs="Times New Roman"/>
          <w:sz w:val="24"/>
          <w:szCs w:val="24"/>
        </w:rPr>
        <w:t>.attēls). Vienlaikus tiek novērots mirušo skaita vecumā līdz 64 gadiem straujāks samazinājums salīdzinājumā ar šajā vecumā esošo iedzīvotāju kopējā skaita kritumu 2017.gadā pret 2013.gadu (</w:t>
      </w:r>
      <w:r w:rsidR="00C94F00">
        <w:rPr>
          <w:rFonts w:ascii="Times New Roman" w:hAnsi="Times New Roman" w:cs="Times New Roman"/>
          <w:sz w:val="24"/>
          <w:szCs w:val="24"/>
        </w:rPr>
        <w:t>14</w:t>
      </w:r>
      <w:r w:rsidRPr="64AB90BD">
        <w:rPr>
          <w:rFonts w:ascii="Times New Roman" w:hAnsi="Times New Roman" w:cs="Times New Roman"/>
          <w:sz w:val="24"/>
          <w:szCs w:val="24"/>
        </w:rPr>
        <w:t xml:space="preserve">.attēls). </w:t>
      </w:r>
    </w:p>
    <w:p w14:paraId="77D02502" w14:textId="77777777" w:rsidR="00746D68" w:rsidRDefault="00746D68" w:rsidP="3AC8A380">
      <w:pPr>
        <w:jc w:val="right"/>
        <w:rPr>
          <w:rFonts w:ascii="Times New Roman" w:hAnsi="Times New Roman" w:cs="Times New Roman"/>
          <w:i/>
          <w:iCs/>
          <w:sz w:val="24"/>
          <w:szCs w:val="24"/>
        </w:rPr>
      </w:pPr>
    </w:p>
    <w:p w14:paraId="3FB234BA" w14:textId="77777777" w:rsidR="00746D68" w:rsidRDefault="00746D68" w:rsidP="3AC8A380">
      <w:pPr>
        <w:jc w:val="right"/>
        <w:rPr>
          <w:rFonts w:ascii="Times New Roman" w:hAnsi="Times New Roman" w:cs="Times New Roman"/>
          <w:i/>
          <w:iCs/>
          <w:sz w:val="24"/>
          <w:szCs w:val="24"/>
        </w:rPr>
      </w:pPr>
    </w:p>
    <w:p w14:paraId="6405B2CE" w14:textId="77777777" w:rsidR="00746D68" w:rsidRDefault="00746D68" w:rsidP="3AC8A380">
      <w:pPr>
        <w:jc w:val="right"/>
        <w:rPr>
          <w:rFonts w:ascii="Times New Roman" w:hAnsi="Times New Roman" w:cs="Times New Roman"/>
          <w:i/>
          <w:iCs/>
          <w:sz w:val="24"/>
          <w:szCs w:val="24"/>
        </w:rPr>
      </w:pPr>
    </w:p>
    <w:p w14:paraId="06040CF1" w14:textId="77777777" w:rsidR="00746D68" w:rsidRDefault="00746D68" w:rsidP="3AC8A380">
      <w:pPr>
        <w:jc w:val="right"/>
        <w:rPr>
          <w:rFonts w:ascii="Times New Roman" w:hAnsi="Times New Roman" w:cs="Times New Roman"/>
          <w:i/>
          <w:iCs/>
          <w:sz w:val="24"/>
          <w:szCs w:val="24"/>
        </w:rPr>
      </w:pPr>
    </w:p>
    <w:p w14:paraId="639FE54F" w14:textId="77777777" w:rsidR="00746D68" w:rsidRDefault="00746D68" w:rsidP="3AC8A380">
      <w:pPr>
        <w:jc w:val="right"/>
        <w:rPr>
          <w:rFonts w:ascii="Times New Roman" w:hAnsi="Times New Roman" w:cs="Times New Roman"/>
          <w:i/>
          <w:iCs/>
          <w:sz w:val="24"/>
          <w:szCs w:val="24"/>
        </w:rPr>
      </w:pPr>
    </w:p>
    <w:p w14:paraId="40D76EA3" w14:textId="77777777" w:rsidR="00746D68" w:rsidRDefault="00746D68" w:rsidP="3AC8A380">
      <w:pPr>
        <w:jc w:val="right"/>
        <w:rPr>
          <w:rFonts w:ascii="Times New Roman" w:hAnsi="Times New Roman" w:cs="Times New Roman"/>
          <w:i/>
          <w:iCs/>
          <w:sz w:val="24"/>
          <w:szCs w:val="24"/>
        </w:rPr>
      </w:pPr>
    </w:p>
    <w:p w14:paraId="76BC1D5E" w14:textId="00434D19" w:rsidR="00C34F4F" w:rsidRPr="00E93259" w:rsidRDefault="00C94F00" w:rsidP="00746D68">
      <w:pPr>
        <w:spacing w:after="0" w:line="240" w:lineRule="auto"/>
        <w:jc w:val="right"/>
        <w:rPr>
          <w:rFonts w:ascii="Times New Roman" w:hAnsi="Times New Roman" w:cs="Times New Roman"/>
          <w:i/>
          <w:iCs/>
          <w:sz w:val="24"/>
          <w:szCs w:val="24"/>
        </w:rPr>
      </w:pPr>
      <w:r w:rsidRPr="3AC8A380">
        <w:rPr>
          <w:rFonts w:ascii="Times New Roman" w:hAnsi="Times New Roman" w:cs="Times New Roman"/>
          <w:i/>
          <w:iCs/>
          <w:sz w:val="24"/>
          <w:szCs w:val="24"/>
        </w:rPr>
        <w:lastRenderedPageBreak/>
        <w:t>13</w:t>
      </w:r>
      <w:r w:rsidR="00C34F4F" w:rsidRPr="3AC8A380">
        <w:rPr>
          <w:rFonts w:ascii="Times New Roman" w:hAnsi="Times New Roman" w:cs="Times New Roman"/>
          <w:i/>
          <w:iCs/>
          <w:sz w:val="24"/>
          <w:szCs w:val="24"/>
        </w:rPr>
        <w:t>.attēls</w:t>
      </w:r>
    </w:p>
    <w:p w14:paraId="29BF9191" w14:textId="77777777" w:rsidR="00C34F4F" w:rsidRPr="002A42BC" w:rsidRDefault="00C34F4F" w:rsidP="00746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Mirušie 2013.-2017.gados, Latvijā</w:t>
      </w:r>
    </w:p>
    <w:p w14:paraId="3540293D" w14:textId="77777777" w:rsidR="00C34F4F" w:rsidRDefault="00C34F4F" w:rsidP="64AB90BD">
      <w:pPr>
        <w:shd w:val="clear" w:color="auto" w:fill="FFFFFF" w:themeFill="background1"/>
        <w:jc w:val="center"/>
        <w:rPr>
          <w:rFonts w:ascii="Times New Roman" w:hAnsi="Times New Roman" w:cs="Times New Roman"/>
          <w:sz w:val="24"/>
          <w:szCs w:val="24"/>
        </w:rPr>
      </w:pPr>
      <w:r>
        <w:rPr>
          <w:noProof/>
        </w:rPr>
        <w:drawing>
          <wp:inline distT="0" distB="0" distL="0" distR="0" wp14:anchorId="4078AE6D" wp14:editId="6FF3BD8B">
            <wp:extent cx="5306400" cy="3466800"/>
            <wp:effectExtent l="0" t="0" r="8890" b="635"/>
            <wp:docPr id="1269809272" name="Picture 1269809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06400" cy="3466800"/>
                    </a:xfrm>
                    <a:prstGeom prst="rect">
                      <a:avLst/>
                    </a:prstGeom>
                  </pic:spPr>
                </pic:pic>
              </a:graphicData>
            </a:graphic>
          </wp:inline>
        </w:drawing>
      </w:r>
    </w:p>
    <w:p w14:paraId="797AE086" w14:textId="77777777" w:rsidR="00C34F4F" w:rsidRPr="00E93259" w:rsidRDefault="64AB90BD" w:rsidP="704995BB">
      <w:pPr>
        <w:shd w:val="clear" w:color="auto" w:fill="FFFFFF" w:themeFill="background1"/>
        <w:ind w:firstLine="720"/>
        <w:jc w:val="both"/>
        <w:rPr>
          <w:rFonts w:ascii="Times New Roman" w:hAnsi="Times New Roman" w:cs="Times New Roman"/>
          <w:i/>
          <w:iCs/>
          <w:sz w:val="20"/>
          <w:szCs w:val="20"/>
        </w:rPr>
      </w:pPr>
      <w:r w:rsidRPr="704995BB">
        <w:rPr>
          <w:rFonts w:ascii="Times New Roman" w:hAnsi="Times New Roman" w:cs="Times New Roman"/>
          <w:i/>
          <w:iCs/>
          <w:sz w:val="20"/>
          <w:szCs w:val="20"/>
        </w:rPr>
        <w:t>Avots: CSP, VM aprēķini</w:t>
      </w:r>
    </w:p>
    <w:p w14:paraId="7A046CF0" w14:textId="5B304A72" w:rsidR="00C34F4F" w:rsidRPr="00E93259" w:rsidRDefault="00C94F00" w:rsidP="00746D68">
      <w:pPr>
        <w:spacing w:after="0" w:line="240" w:lineRule="auto"/>
        <w:jc w:val="right"/>
        <w:rPr>
          <w:rFonts w:ascii="Times New Roman" w:hAnsi="Times New Roman" w:cs="Times New Roman"/>
          <w:i/>
          <w:iCs/>
          <w:sz w:val="24"/>
          <w:szCs w:val="24"/>
        </w:rPr>
      </w:pPr>
      <w:r w:rsidRPr="3AC8A380">
        <w:rPr>
          <w:rFonts w:ascii="Times New Roman" w:hAnsi="Times New Roman" w:cs="Times New Roman"/>
          <w:i/>
          <w:iCs/>
          <w:sz w:val="24"/>
          <w:szCs w:val="24"/>
        </w:rPr>
        <w:t>14</w:t>
      </w:r>
      <w:r w:rsidR="00C34F4F" w:rsidRPr="3AC8A380">
        <w:rPr>
          <w:rFonts w:ascii="Times New Roman" w:hAnsi="Times New Roman" w:cs="Times New Roman"/>
          <w:i/>
          <w:iCs/>
          <w:sz w:val="24"/>
          <w:szCs w:val="24"/>
        </w:rPr>
        <w:t>.attēls</w:t>
      </w:r>
    </w:p>
    <w:p w14:paraId="16D4218F" w14:textId="77777777" w:rsidR="00C34F4F" w:rsidRPr="002A42BC" w:rsidRDefault="00C34F4F" w:rsidP="00746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Iedzīvotāji 2013.-2017.gados, Latvijā</w:t>
      </w:r>
    </w:p>
    <w:p w14:paraId="631833DA" w14:textId="77777777" w:rsidR="00C34F4F" w:rsidRPr="00E93259" w:rsidRDefault="00C34F4F" w:rsidP="704995BB">
      <w:pPr>
        <w:shd w:val="clear" w:color="auto" w:fill="FFFFFF" w:themeFill="background1"/>
        <w:jc w:val="center"/>
        <w:rPr>
          <w:rFonts w:ascii="Times New Roman" w:hAnsi="Times New Roman" w:cs="Times New Roman"/>
          <w:i/>
          <w:iCs/>
          <w:sz w:val="20"/>
          <w:szCs w:val="20"/>
        </w:rPr>
      </w:pPr>
      <w:r>
        <w:rPr>
          <w:noProof/>
        </w:rPr>
        <w:drawing>
          <wp:inline distT="0" distB="0" distL="0" distR="0" wp14:anchorId="529D8EB9" wp14:editId="736A0033">
            <wp:extent cx="5334000" cy="3343275"/>
            <wp:effectExtent l="0" t="0" r="0" b="9525"/>
            <wp:docPr id="1400031804" name="Picture 140003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52525" cy="3354886"/>
                    </a:xfrm>
                    <a:prstGeom prst="rect">
                      <a:avLst/>
                    </a:prstGeom>
                  </pic:spPr>
                </pic:pic>
              </a:graphicData>
            </a:graphic>
          </wp:inline>
        </w:drawing>
      </w:r>
    </w:p>
    <w:p w14:paraId="328A2849" w14:textId="77777777" w:rsidR="00C34F4F" w:rsidRDefault="64AB90BD" w:rsidP="64AB90BD">
      <w:pPr>
        <w:shd w:val="clear" w:color="auto" w:fill="FFFFFF" w:themeFill="background1"/>
        <w:ind w:firstLine="720"/>
        <w:jc w:val="both"/>
        <w:rPr>
          <w:rFonts w:ascii="Times New Roman" w:hAnsi="Times New Roman" w:cs="Times New Roman"/>
          <w:sz w:val="24"/>
          <w:szCs w:val="24"/>
        </w:rPr>
      </w:pPr>
      <w:r w:rsidRPr="704995BB">
        <w:rPr>
          <w:rFonts w:ascii="Times New Roman" w:hAnsi="Times New Roman" w:cs="Times New Roman"/>
          <w:i/>
          <w:iCs/>
          <w:sz w:val="20"/>
          <w:szCs w:val="20"/>
        </w:rPr>
        <w:lastRenderedPageBreak/>
        <w:t>Avots: CSP, VM aprēķini</w:t>
      </w:r>
    </w:p>
    <w:p w14:paraId="7938362F" w14:textId="3E8AB53C" w:rsidR="00C34F4F" w:rsidRDefault="64AB90BD" w:rsidP="64AB90BD">
      <w:pPr>
        <w:shd w:val="clear" w:color="auto" w:fill="FFFFFF" w:themeFill="background1"/>
        <w:ind w:firstLine="709"/>
        <w:jc w:val="both"/>
        <w:rPr>
          <w:rFonts w:ascii="Times New Roman" w:hAnsi="Times New Roman" w:cs="Times New Roman"/>
          <w:sz w:val="24"/>
          <w:szCs w:val="24"/>
        </w:rPr>
      </w:pPr>
      <w:r w:rsidRPr="64AB90BD">
        <w:rPr>
          <w:rFonts w:ascii="Times New Roman" w:hAnsi="Times New Roman" w:cs="Times New Roman"/>
          <w:sz w:val="24"/>
          <w:szCs w:val="24"/>
        </w:rPr>
        <w:t xml:space="preserve">Apstākļos, kad </w:t>
      </w:r>
      <w:r w:rsidR="00073137">
        <w:rPr>
          <w:rFonts w:ascii="Times New Roman" w:hAnsi="Times New Roman" w:cs="Times New Roman"/>
          <w:sz w:val="24"/>
          <w:szCs w:val="24"/>
        </w:rPr>
        <w:t>notiek</w:t>
      </w:r>
      <w:r w:rsidRPr="64AB90BD">
        <w:rPr>
          <w:rFonts w:ascii="Times New Roman" w:hAnsi="Times New Roman" w:cs="Times New Roman"/>
          <w:sz w:val="24"/>
          <w:szCs w:val="24"/>
        </w:rPr>
        <w:t xml:space="preserve"> Latvijas iedzīvotāju novecošanās un</w:t>
      </w:r>
      <w:r w:rsidR="00073137">
        <w:rPr>
          <w:rFonts w:ascii="Times New Roman" w:hAnsi="Times New Roman" w:cs="Times New Roman"/>
          <w:sz w:val="24"/>
          <w:szCs w:val="24"/>
        </w:rPr>
        <w:t xml:space="preserve"> cilvēku</w:t>
      </w:r>
      <w:r w:rsidRPr="64AB90BD">
        <w:rPr>
          <w:rFonts w:ascii="Times New Roman" w:hAnsi="Times New Roman" w:cs="Times New Roman"/>
          <w:sz w:val="24"/>
          <w:szCs w:val="24"/>
        </w:rPr>
        <w:t xml:space="preserve"> darba spējas vecumā īpatsvara samazināšanās, un kad Latvijas iedzīvotāju skaits ar katru gadu sarūk, atgūto (nezaudēto) mūža gadu samazinājums neveicot ieguldījumu neradīs vai radīs minimālu pozitīvu ietekmi uz Latvijas ekonomikas izaugsmi un faktiski izpau</w:t>
      </w:r>
      <w:r w:rsidR="006433B9">
        <w:rPr>
          <w:rFonts w:ascii="Times New Roman" w:hAnsi="Times New Roman" w:cs="Times New Roman"/>
          <w:sz w:val="24"/>
          <w:szCs w:val="24"/>
        </w:rPr>
        <w:t xml:space="preserve">dīsies PZMG skaita </w:t>
      </w:r>
      <w:r w:rsidR="00073137">
        <w:rPr>
          <w:rFonts w:ascii="Times New Roman" w:hAnsi="Times New Roman" w:cs="Times New Roman"/>
          <w:sz w:val="24"/>
          <w:szCs w:val="24"/>
        </w:rPr>
        <w:t>“</w:t>
      </w:r>
      <w:r w:rsidR="006433B9">
        <w:rPr>
          <w:rFonts w:ascii="Times New Roman" w:hAnsi="Times New Roman" w:cs="Times New Roman"/>
          <w:sz w:val="24"/>
          <w:szCs w:val="24"/>
        </w:rPr>
        <w:t>stagnēšanā</w:t>
      </w:r>
      <w:r w:rsidR="00073137">
        <w:rPr>
          <w:rFonts w:ascii="Times New Roman" w:hAnsi="Times New Roman" w:cs="Times New Roman"/>
          <w:sz w:val="24"/>
          <w:szCs w:val="24"/>
        </w:rPr>
        <w:t>”</w:t>
      </w:r>
      <w:r w:rsidR="006433B9">
        <w:rPr>
          <w:rFonts w:ascii="Times New Roman" w:hAnsi="Times New Roman" w:cs="Times New Roman"/>
          <w:sz w:val="24"/>
          <w:szCs w:val="24"/>
        </w:rPr>
        <w:t xml:space="preserve"> (</w:t>
      </w:r>
      <w:r w:rsidR="00C94F00">
        <w:rPr>
          <w:rFonts w:ascii="Times New Roman" w:hAnsi="Times New Roman" w:cs="Times New Roman"/>
          <w:sz w:val="24"/>
          <w:szCs w:val="24"/>
        </w:rPr>
        <w:t>15</w:t>
      </w:r>
      <w:r w:rsidRPr="64AB90BD">
        <w:rPr>
          <w:rFonts w:ascii="Times New Roman" w:hAnsi="Times New Roman" w:cs="Times New Roman"/>
          <w:sz w:val="24"/>
          <w:szCs w:val="24"/>
        </w:rPr>
        <w:t>.attēls).</w:t>
      </w:r>
    </w:p>
    <w:p w14:paraId="7C8395B8" w14:textId="69E66ED4" w:rsidR="00C34F4F" w:rsidRDefault="64AB90BD" w:rsidP="64AB90BD">
      <w:pPr>
        <w:shd w:val="clear" w:color="auto" w:fill="FFFFFF" w:themeFill="background1"/>
        <w:ind w:firstLine="709"/>
        <w:jc w:val="both"/>
        <w:rPr>
          <w:rFonts w:ascii="Times New Roman" w:hAnsi="Times New Roman" w:cs="Times New Roman"/>
          <w:sz w:val="24"/>
          <w:szCs w:val="24"/>
        </w:rPr>
      </w:pPr>
      <w:r w:rsidRPr="64AB90BD">
        <w:rPr>
          <w:rFonts w:ascii="Times New Roman" w:hAnsi="Times New Roman" w:cs="Times New Roman"/>
          <w:sz w:val="24"/>
          <w:szCs w:val="24"/>
        </w:rPr>
        <w:t>Lai radītu priekšnoteikumus Latvijas iedzīvotāju veselīgi nodzīvoto mūža gadu skaita palielināšanai un priekšlaicīgas nāves novēršanai ir jāturpina iesāktās reformas un jāuzsāk jaunās iniciatīvas. Veicot ziņojumā minētās reformas palielināsies iedzīvotāju dzīvildze un samazināsies priekšlaikus mirušo skaits, līdz ar to samazinot PZMG skaitu (</w:t>
      </w:r>
      <w:r w:rsidR="00500E42">
        <w:rPr>
          <w:rFonts w:ascii="Times New Roman" w:hAnsi="Times New Roman" w:cs="Times New Roman"/>
          <w:sz w:val="24"/>
          <w:szCs w:val="24"/>
        </w:rPr>
        <w:t>113</w:t>
      </w:r>
      <w:r w:rsidRPr="64AB90BD">
        <w:rPr>
          <w:rFonts w:ascii="Times New Roman" w:hAnsi="Times New Roman" w:cs="Times New Roman"/>
          <w:sz w:val="24"/>
          <w:szCs w:val="24"/>
        </w:rPr>
        <w:t xml:space="preserve">.tabula un </w:t>
      </w:r>
      <w:r w:rsidR="004C381F">
        <w:rPr>
          <w:rFonts w:ascii="Times New Roman" w:hAnsi="Times New Roman" w:cs="Times New Roman"/>
          <w:sz w:val="24"/>
          <w:szCs w:val="24"/>
        </w:rPr>
        <w:t>8</w:t>
      </w:r>
      <w:r w:rsidRPr="64AB90BD">
        <w:rPr>
          <w:rFonts w:ascii="Times New Roman" w:hAnsi="Times New Roman" w:cs="Times New Roman"/>
          <w:sz w:val="24"/>
          <w:szCs w:val="24"/>
        </w:rPr>
        <w:t>.attēls).</w:t>
      </w:r>
    </w:p>
    <w:p w14:paraId="5F139C5E" w14:textId="4A6690E7" w:rsidR="00C34F4F" w:rsidRPr="00E93259" w:rsidRDefault="00500E42" w:rsidP="3AC8A380">
      <w:pPr>
        <w:jc w:val="right"/>
        <w:rPr>
          <w:rFonts w:ascii="Times New Roman" w:hAnsi="Times New Roman" w:cs="Times New Roman"/>
          <w:i/>
          <w:iCs/>
          <w:sz w:val="24"/>
          <w:szCs w:val="24"/>
        </w:rPr>
      </w:pPr>
      <w:r>
        <w:rPr>
          <w:rFonts w:ascii="Times New Roman" w:hAnsi="Times New Roman" w:cs="Times New Roman"/>
          <w:i/>
          <w:iCs/>
          <w:sz w:val="24"/>
          <w:szCs w:val="24"/>
        </w:rPr>
        <w:t>113</w:t>
      </w:r>
      <w:r w:rsidR="00C34F4F" w:rsidRPr="3AC8A380">
        <w:rPr>
          <w:rFonts w:ascii="Times New Roman" w:hAnsi="Times New Roman" w:cs="Times New Roman"/>
          <w:i/>
          <w:iCs/>
          <w:sz w:val="24"/>
          <w:szCs w:val="24"/>
        </w:rPr>
        <w:t>.tabula</w:t>
      </w:r>
    </w:p>
    <w:p w14:paraId="0E62AAFA" w14:textId="77777777" w:rsidR="00C34F4F" w:rsidRPr="00CA0003" w:rsidRDefault="00C34F4F" w:rsidP="00C34F4F">
      <w:pPr>
        <w:jc w:val="center"/>
        <w:rPr>
          <w:rFonts w:ascii="Times New Roman" w:hAnsi="Times New Roman" w:cs="Times New Roman"/>
          <w:b/>
          <w:bCs/>
          <w:sz w:val="24"/>
          <w:szCs w:val="24"/>
        </w:rPr>
      </w:pPr>
      <w:r w:rsidRPr="00CA0003">
        <w:rPr>
          <w:rFonts w:ascii="Times New Roman" w:hAnsi="Times New Roman" w:cs="Times New Roman"/>
          <w:b/>
          <w:bCs/>
          <w:sz w:val="24"/>
          <w:szCs w:val="24"/>
        </w:rPr>
        <w:t>Potenciāli zaudēto mūža gadu prognoze, ja ieguldījumi tiek veikti</w:t>
      </w:r>
    </w:p>
    <w:tbl>
      <w:tblPr>
        <w:tblW w:w="9634" w:type="dxa"/>
        <w:jc w:val="center"/>
        <w:tblLayout w:type="fixed"/>
        <w:tblLook w:val="04A0" w:firstRow="1" w:lastRow="0" w:firstColumn="1" w:lastColumn="0" w:noHBand="0" w:noVBand="1"/>
      </w:tblPr>
      <w:tblGrid>
        <w:gridCol w:w="1980"/>
        <w:gridCol w:w="795"/>
        <w:gridCol w:w="764"/>
        <w:gridCol w:w="795"/>
        <w:gridCol w:w="764"/>
        <w:gridCol w:w="1134"/>
        <w:gridCol w:w="1134"/>
        <w:gridCol w:w="1134"/>
        <w:gridCol w:w="1134"/>
      </w:tblGrid>
      <w:tr w:rsidR="00C34F4F" w:rsidRPr="002A42BC" w14:paraId="482C7A20" w14:textId="77777777" w:rsidTr="00E93259">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7A45F0B7" w14:textId="77777777" w:rsidR="00C34F4F" w:rsidRPr="00A50934" w:rsidRDefault="00C34F4F" w:rsidP="00D67DC3">
            <w:pPr>
              <w:spacing w:after="0" w:line="240" w:lineRule="auto"/>
              <w:rPr>
                <w:rFonts w:ascii="Times New Roman" w:eastAsia="Times New Roman" w:hAnsi="Times New Roman" w:cs="Times New Roman"/>
                <w:sz w:val="18"/>
                <w:szCs w:val="18"/>
                <w:lang w:eastAsia="lv-LV"/>
              </w:rPr>
            </w:pPr>
            <w:r w:rsidRPr="00A50934">
              <w:rPr>
                <w:rFonts w:ascii="Times New Roman" w:eastAsia="Times New Roman" w:hAnsi="Times New Roman" w:cs="Times New Roman"/>
                <w:sz w:val="18"/>
                <w:szCs w:val="18"/>
                <w:lang w:eastAsia="lv-LV"/>
              </w:rPr>
              <w:t> </w:t>
            </w:r>
          </w:p>
        </w:tc>
        <w:tc>
          <w:tcPr>
            <w:tcW w:w="79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83089A6"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2014</w:t>
            </w:r>
          </w:p>
        </w:tc>
        <w:tc>
          <w:tcPr>
            <w:tcW w:w="76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91D982C"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2015</w:t>
            </w:r>
          </w:p>
        </w:tc>
        <w:tc>
          <w:tcPr>
            <w:tcW w:w="79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F6394EA"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2016</w:t>
            </w:r>
          </w:p>
        </w:tc>
        <w:tc>
          <w:tcPr>
            <w:tcW w:w="76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A54D968"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2017</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254320"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2018</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48CDC06"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2019</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4AE18AE6"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2020</w:t>
            </w:r>
          </w:p>
        </w:tc>
        <w:tc>
          <w:tcPr>
            <w:tcW w:w="11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99A86A6"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2021</w:t>
            </w:r>
          </w:p>
        </w:tc>
      </w:tr>
      <w:tr w:rsidR="00C34F4F" w:rsidRPr="002A42BC" w14:paraId="71E03F68" w14:textId="77777777" w:rsidTr="00E93259">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D560613" w14:textId="77777777" w:rsidR="00C34F4F" w:rsidRPr="00A50934" w:rsidRDefault="00C34F4F" w:rsidP="00D67DC3">
            <w:pPr>
              <w:spacing w:after="0" w:line="240" w:lineRule="auto"/>
              <w:rPr>
                <w:rFonts w:ascii="Times New Roman" w:eastAsia="Times New Roman" w:hAnsi="Times New Roman" w:cs="Times New Roman"/>
                <w:sz w:val="18"/>
                <w:szCs w:val="18"/>
                <w:lang w:eastAsia="lv-LV"/>
              </w:rPr>
            </w:pPr>
            <w:r w:rsidRPr="00A50934">
              <w:rPr>
                <w:rFonts w:ascii="Times New Roman" w:eastAsia="Times New Roman" w:hAnsi="Times New Roman" w:cs="Times New Roman"/>
                <w:sz w:val="18"/>
                <w:szCs w:val="18"/>
                <w:lang w:eastAsia="lv-LV"/>
              </w:rPr>
              <w:t>PZMG prognoze neveicot ieguldījumus</w:t>
            </w:r>
            <w:r>
              <w:rPr>
                <w:rFonts w:ascii="Times New Roman" w:eastAsia="Times New Roman" w:hAnsi="Times New Roman" w:cs="Times New Roman"/>
                <w:sz w:val="18"/>
                <w:szCs w:val="18"/>
                <w:lang w:eastAsia="lv-LV"/>
              </w:rPr>
              <w:t xml:space="preserve"> *</w:t>
            </w:r>
          </w:p>
        </w:tc>
        <w:tc>
          <w:tcPr>
            <w:tcW w:w="795" w:type="dxa"/>
            <w:tcBorders>
              <w:top w:val="nil"/>
              <w:left w:val="nil"/>
              <w:bottom w:val="single" w:sz="4" w:space="0" w:color="auto"/>
              <w:right w:val="single" w:sz="4" w:space="0" w:color="auto"/>
            </w:tcBorders>
            <w:shd w:val="clear" w:color="auto" w:fill="auto"/>
            <w:noWrap/>
            <w:vAlign w:val="bottom"/>
            <w:hideMark/>
          </w:tcPr>
          <w:p w14:paraId="1833E8B0"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93 374</w:t>
            </w:r>
          </w:p>
        </w:tc>
        <w:tc>
          <w:tcPr>
            <w:tcW w:w="764" w:type="dxa"/>
            <w:tcBorders>
              <w:top w:val="nil"/>
              <w:left w:val="nil"/>
              <w:bottom w:val="single" w:sz="4" w:space="0" w:color="auto"/>
              <w:right w:val="single" w:sz="4" w:space="0" w:color="auto"/>
            </w:tcBorders>
            <w:shd w:val="clear" w:color="auto" w:fill="auto"/>
            <w:noWrap/>
            <w:vAlign w:val="bottom"/>
            <w:hideMark/>
          </w:tcPr>
          <w:p w14:paraId="1A725D10"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88 297</w:t>
            </w:r>
          </w:p>
        </w:tc>
        <w:tc>
          <w:tcPr>
            <w:tcW w:w="795" w:type="dxa"/>
            <w:tcBorders>
              <w:top w:val="nil"/>
              <w:left w:val="nil"/>
              <w:bottom w:val="single" w:sz="4" w:space="0" w:color="auto"/>
              <w:right w:val="single" w:sz="4" w:space="0" w:color="auto"/>
            </w:tcBorders>
            <w:shd w:val="clear" w:color="auto" w:fill="auto"/>
            <w:noWrap/>
            <w:vAlign w:val="bottom"/>
            <w:hideMark/>
          </w:tcPr>
          <w:p w14:paraId="30690056"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84 670</w:t>
            </w:r>
          </w:p>
        </w:tc>
        <w:tc>
          <w:tcPr>
            <w:tcW w:w="764" w:type="dxa"/>
            <w:tcBorders>
              <w:top w:val="nil"/>
              <w:left w:val="nil"/>
              <w:bottom w:val="single" w:sz="4" w:space="0" w:color="auto"/>
              <w:right w:val="single" w:sz="4" w:space="0" w:color="auto"/>
            </w:tcBorders>
            <w:shd w:val="clear" w:color="auto" w:fill="auto"/>
            <w:noWrap/>
            <w:vAlign w:val="bottom"/>
            <w:hideMark/>
          </w:tcPr>
          <w:p w14:paraId="473EAEB2"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83 876</w:t>
            </w:r>
          </w:p>
        </w:tc>
        <w:tc>
          <w:tcPr>
            <w:tcW w:w="1134" w:type="dxa"/>
            <w:tcBorders>
              <w:top w:val="nil"/>
              <w:left w:val="nil"/>
              <w:bottom w:val="single" w:sz="4" w:space="0" w:color="auto"/>
              <w:right w:val="single" w:sz="4" w:space="0" w:color="auto"/>
            </w:tcBorders>
            <w:shd w:val="clear" w:color="auto" w:fill="auto"/>
            <w:noWrap/>
            <w:vAlign w:val="bottom"/>
            <w:hideMark/>
          </w:tcPr>
          <w:p w14:paraId="4AC0B922"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83 037</w:t>
            </w:r>
          </w:p>
        </w:tc>
        <w:tc>
          <w:tcPr>
            <w:tcW w:w="1134" w:type="dxa"/>
            <w:tcBorders>
              <w:top w:val="nil"/>
              <w:left w:val="nil"/>
              <w:bottom w:val="single" w:sz="4" w:space="0" w:color="auto"/>
              <w:right w:val="single" w:sz="4" w:space="0" w:color="auto"/>
            </w:tcBorders>
            <w:shd w:val="clear" w:color="auto" w:fill="auto"/>
            <w:noWrap/>
            <w:vAlign w:val="bottom"/>
            <w:hideMark/>
          </w:tcPr>
          <w:p w14:paraId="5E8B185A"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82 207</w:t>
            </w:r>
          </w:p>
        </w:tc>
        <w:tc>
          <w:tcPr>
            <w:tcW w:w="1134" w:type="dxa"/>
            <w:tcBorders>
              <w:top w:val="single" w:sz="4" w:space="0" w:color="auto"/>
              <w:left w:val="nil"/>
              <w:bottom w:val="single" w:sz="4" w:space="0" w:color="auto"/>
              <w:right w:val="single" w:sz="4" w:space="0" w:color="auto"/>
            </w:tcBorders>
            <w:vAlign w:val="bottom"/>
          </w:tcPr>
          <w:p w14:paraId="19322E15"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81 385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51E98FF"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80 571</w:t>
            </w:r>
          </w:p>
        </w:tc>
      </w:tr>
      <w:tr w:rsidR="00073137" w:rsidRPr="002A42BC" w14:paraId="45F786CD" w14:textId="77777777" w:rsidTr="00E93259">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ED71A4" w14:textId="77777777" w:rsidR="00073137" w:rsidRPr="00A50934" w:rsidRDefault="00073137" w:rsidP="00073137">
            <w:pPr>
              <w:spacing w:after="0" w:line="240" w:lineRule="auto"/>
              <w:rPr>
                <w:rFonts w:ascii="Times New Roman" w:eastAsia="Times New Roman" w:hAnsi="Times New Roman" w:cs="Times New Roman"/>
                <w:sz w:val="18"/>
                <w:szCs w:val="18"/>
                <w:lang w:eastAsia="lv-LV"/>
              </w:rPr>
            </w:pPr>
            <w:r w:rsidRPr="00A50934">
              <w:rPr>
                <w:rFonts w:ascii="Times New Roman" w:eastAsia="Times New Roman" w:hAnsi="Times New Roman" w:cs="Times New Roman"/>
                <w:sz w:val="18"/>
                <w:szCs w:val="18"/>
                <w:lang w:eastAsia="lv-LV"/>
              </w:rPr>
              <w:t>PZMG prognoze veicot ieguldījumus</w:t>
            </w:r>
          </w:p>
        </w:tc>
        <w:tc>
          <w:tcPr>
            <w:tcW w:w="795" w:type="dxa"/>
            <w:tcBorders>
              <w:top w:val="nil"/>
              <w:left w:val="nil"/>
              <w:bottom w:val="single" w:sz="4" w:space="0" w:color="auto"/>
              <w:right w:val="single" w:sz="4" w:space="0" w:color="auto"/>
            </w:tcBorders>
            <w:shd w:val="clear" w:color="auto" w:fill="auto"/>
            <w:noWrap/>
            <w:vAlign w:val="bottom"/>
          </w:tcPr>
          <w:p w14:paraId="2A2D79F8" w14:textId="77777777" w:rsidR="00073137" w:rsidRPr="00894054" w:rsidRDefault="00073137" w:rsidP="00073137">
            <w:pPr>
              <w:spacing w:after="0" w:line="240" w:lineRule="auto"/>
              <w:jc w:val="right"/>
              <w:rPr>
                <w:rFonts w:ascii="Times New Roman" w:hAnsi="Times New Roman" w:cs="Times New Roman"/>
                <w:sz w:val="18"/>
                <w:szCs w:val="18"/>
              </w:rPr>
            </w:pPr>
          </w:p>
        </w:tc>
        <w:tc>
          <w:tcPr>
            <w:tcW w:w="764" w:type="dxa"/>
            <w:tcBorders>
              <w:top w:val="nil"/>
              <w:left w:val="nil"/>
              <w:bottom w:val="single" w:sz="4" w:space="0" w:color="auto"/>
              <w:right w:val="single" w:sz="4" w:space="0" w:color="auto"/>
            </w:tcBorders>
            <w:shd w:val="clear" w:color="auto" w:fill="auto"/>
            <w:noWrap/>
            <w:vAlign w:val="bottom"/>
          </w:tcPr>
          <w:p w14:paraId="2DACED52" w14:textId="77777777" w:rsidR="00073137" w:rsidRPr="00894054" w:rsidRDefault="00073137" w:rsidP="00073137">
            <w:pPr>
              <w:spacing w:after="0" w:line="240" w:lineRule="auto"/>
              <w:jc w:val="right"/>
              <w:rPr>
                <w:rFonts w:ascii="Times New Roman" w:hAnsi="Times New Roman" w:cs="Times New Roman"/>
                <w:sz w:val="18"/>
                <w:szCs w:val="18"/>
              </w:rPr>
            </w:pPr>
          </w:p>
        </w:tc>
        <w:tc>
          <w:tcPr>
            <w:tcW w:w="795" w:type="dxa"/>
            <w:tcBorders>
              <w:top w:val="nil"/>
              <w:left w:val="nil"/>
              <w:bottom w:val="single" w:sz="4" w:space="0" w:color="auto"/>
              <w:right w:val="single" w:sz="4" w:space="0" w:color="auto"/>
            </w:tcBorders>
            <w:shd w:val="clear" w:color="auto" w:fill="auto"/>
            <w:noWrap/>
            <w:vAlign w:val="bottom"/>
          </w:tcPr>
          <w:p w14:paraId="5E192E8A" w14:textId="77777777" w:rsidR="00073137" w:rsidRPr="00894054" w:rsidRDefault="00073137" w:rsidP="00073137">
            <w:pPr>
              <w:spacing w:after="0" w:line="240" w:lineRule="auto"/>
              <w:jc w:val="right"/>
              <w:rPr>
                <w:rFonts w:ascii="Times New Roman" w:hAnsi="Times New Roman" w:cs="Times New Roman"/>
                <w:sz w:val="18"/>
                <w:szCs w:val="18"/>
              </w:rPr>
            </w:pPr>
          </w:p>
        </w:tc>
        <w:tc>
          <w:tcPr>
            <w:tcW w:w="764" w:type="dxa"/>
            <w:tcBorders>
              <w:top w:val="nil"/>
              <w:left w:val="nil"/>
              <w:bottom w:val="single" w:sz="4" w:space="0" w:color="auto"/>
              <w:right w:val="single" w:sz="4" w:space="0" w:color="auto"/>
            </w:tcBorders>
            <w:shd w:val="clear" w:color="auto" w:fill="auto"/>
            <w:noWrap/>
            <w:vAlign w:val="bottom"/>
          </w:tcPr>
          <w:p w14:paraId="071B567A" w14:textId="77777777" w:rsidR="00073137" w:rsidRPr="00894054" w:rsidRDefault="00073137" w:rsidP="00073137">
            <w:pPr>
              <w:spacing w:after="0" w:line="240" w:lineRule="auto"/>
              <w:jc w:val="right"/>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ED140D7" w14:textId="77777777"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80 612</w:t>
            </w:r>
          </w:p>
        </w:tc>
        <w:tc>
          <w:tcPr>
            <w:tcW w:w="1134" w:type="dxa"/>
            <w:tcBorders>
              <w:top w:val="nil"/>
              <w:left w:val="nil"/>
              <w:bottom w:val="single" w:sz="4" w:space="0" w:color="auto"/>
              <w:right w:val="single" w:sz="4" w:space="0" w:color="auto"/>
            </w:tcBorders>
            <w:shd w:val="clear" w:color="auto" w:fill="auto"/>
            <w:noWrap/>
            <w:vAlign w:val="bottom"/>
            <w:hideMark/>
          </w:tcPr>
          <w:p w14:paraId="7CB14C9F" w14:textId="3E4FAE22"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78 </w:t>
            </w:r>
            <w:r>
              <w:rPr>
                <w:rFonts w:ascii="Times New Roman" w:hAnsi="Times New Roman" w:cs="Times New Roman"/>
                <w:sz w:val="18"/>
                <w:szCs w:val="18"/>
              </w:rPr>
              <w:t>223</w:t>
            </w:r>
          </w:p>
        </w:tc>
        <w:tc>
          <w:tcPr>
            <w:tcW w:w="1134" w:type="dxa"/>
            <w:tcBorders>
              <w:top w:val="single" w:sz="4" w:space="0" w:color="auto"/>
              <w:left w:val="nil"/>
              <w:bottom w:val="single" w:sz="4" w:space="0" w:color="auto"/>
              <w:right w:val="single" w:sz="4" w:space="0" w:color="auto"/>
            </w:tcBorders>
            <w:vAlign w:val="bottom"/>
          </w:tcPr>
          <w:p w14:paraId="38D56BC5" w14:textId="11D82319"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75 </w:t>
            </w:r>
            <w:r>
              <w:rPr>
                <w:rFonts w:ascii="Times New Roman" w:hAnsi="Times New Roman" w:cs="Times New Roman"/>
                <w:sz w:val="18"/>
                <w:szCs w:val="18"/>
              </w:rPr>
              <w:t>542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E942FB8" w14:textId="2BC73A45"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73 </w:t>
            </w:r>
            <w:r>
              <w:rPr>
                <w:rFonts w:ascii="Times New Roman" w:hAnsi="Times New Roman" w:cs="Times New Roman"/>
                <w:sz w:val="18"/>
                <w:szCs w:val="18"/>
              </w:rPr>
              <w:t>355</w:t>
            </w:r>
          </w:p>
        </w:tc>
      </w:tr>
      <w:tr w:rsidR="00073137" w:rsidRPr="002A42BC" w14:paraId="3A076739" w14:textId="77777777" w:rsidTr="00E93259">
        <w:trPr>
          <w:trHeight w:val="300"/>
          <w:jc w:val="center"/>
        </w:trPr>
        <w:tc>
          <w:tcPr>
            <w:tcW w:w="198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3FB421C" w14:textId="77777777" w:rsidR="00073137" w:rsidRPr="00A50934" w:rsidRDefault="00073137" w:rsidP="00073137">
            <w:pPr>
              <w:spacing w:after="0" w:line="240" w:lineRule="auto"/>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Iegūtie PZMG</w:t>
            </w:r>
          </w:p>
        </w:tc>
        <w:tc>
          <w:tcPr>
            <w:tcW w:w="795" w:type="dxa"/>
            <w:tcBorders>
              <w:top w:val="nil"/>
              <w:left w:val="nil"/>
              <w:bottom w:val="single" w:sz="4" w:space="0" w:color="auto"/>
              <w:right w:val="single" w:sz="4" w:space="0" w:color="auto"/>
            </w:tcBorders>
            <w:shd w:val="clear" w:color="auto" w:fill="FABF8F" w:themeFill="accent6" w:themeFillTint="99"/>
            <w:noWrap/>
            <w:vAlign w:val="bottom"/>
            <w:hideMark/>
          </w:tcPr>
          <w:p w14:paraId="19240BA2" w14:textId="77777777" w:rsidR="00073137" w:rsidRPr="00894054" w:rsidRDefault="00073137" w:rsidP="00073137">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64" w:type="dxa"/>
            <w:tcBorders>
              <w:top w:val="nil"/>
              <w:left w:val="nil"/>
              <w:bottom w:val="single" w:sz="4" w:space="0" w:color="auto"/>
              <w:right w:val="single" w:sz="4" w:space="0" w:color="auto"/>
            </w:tcBorders>
            <w:shd w:val="clear" w:color="auto" w:fill="FABF8F" w:themeFill="accent6" w:themeFillTint="99"/>
            <w:noWrap/>
            <w:vAlign w:val="bottom"/>
            <w:hideMark/>
          </w:tcPr>
          <w:p w14:paraId="16DF0911" w14:textId="77777777" w:rsidR="00073137" w:rsidRPr="00894054" w:rsidRDefault="00073137" w:rsidP="00073137">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95" w:type="dxa"/>
            <w:tcBorders>
              <w:top w:val="nil"/>
              <w:left w:val="nil"/>
              <w:bottom w:val="single" w:sz="4" w:space="0" w:color="auto"/>
              <w:right w:val="single" w:sz="4" w:space="0" w:color="auto"/>
            </w:tcBorders>
            <w:shd w:val="clear" w:color="auto" w:fill="FABF8F" w:themeFill="accent6" w:themeFillTint="99"/>
            <w:noWrap/>
            <w:vAlign w:val="bottom"/>
            <w:hideMark/>
          </w:tcPr>
          <w:p w14:paraId="056B8208" w14:textId="77777777" w:rsidR="00073137" w:rsidRPr="00894054" w:rsidRDefault="00073137" w:rsidP="00073137">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64" w:type="dxa"/>
            <w:tcBorders>
              <w:top w:val="nil"/>
              <w:left w:val="nil"/>
              <w:bottom w:val="single" w:sz="4" w:space="0" w:color="auto"/>
              <w:right w:val="single" w:sz="4" w:space="0" w:color="auto"/>
            </w:tcBorders>
            <w:shd w:val="clear" w:color="auto" w:fill="FABF8F" w:themeFill="accent6" w:themeFillTint="99"/>
            <w:noWrap/>
            <w:vAlign w:val="bottom"/>
            <w:hideMark/>
          </w:tcPr>
          <w:p w14:paraId="086830DF" w14:textId="77777777" w:rsidR="00073137" w:rsidRPr="00894054" w:rsidRDefault="00073137" w:rsidP="00073137">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202784D3" w14:textId="77777777"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2425</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271F53C4" w14:textId="151327C9"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3</w:t>
            </w:r>
            <w:r>
              <w:rPr>
                <w:rFonts w:ascii="Times New Roman" w:hAnsi="Times New Roman" w:cs="Times New Roman"/>
                <w:sz w:val="18"/>
                <w:szCs w:val="18"/>
              </w:rPr>
              <w:t>984</w:t>
            </w:r>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bottom"/>
          </w:tcPr>
          <w:p w14:paraId="77DD5A1F" w14:textId="1AE9FEC6"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5</w:t>
            </w:r>
            <w:r>
              <w:rPr>
                <w:rFonts w:ascii="Times New Roman" w:hAnsi="Times New Roman" w:cs="Times New Roman"/>
                <w:sz w:val="18"/>
                <w:szCs w:val="18"/>
              </w:rPr>
              <w:t>843</w:t>
            </w:r>
          </w:p>
        </w:tc>
        <w:tc>
          <w:tcPr>
            <w:tcW w:w="1134" w:type="dxa"/>
            <w:tcBorders>
              <w:top w:val="nil"/>
              <w:left w:val="single" w:sz="4" w:space="0" w:color="auto"/>
              <w:bottom w:val="single" w:sz="4" w:space="0" w:color="auto"/>
              <w:right w:val="single" w:sz="4" w:space="0" w:color="auto"/>
            </w:tcBorders>
            <w:shd w:val="clear" w:color="auto" w:fill="FABF8F" w:themeFill="accent6" w:themeFillTint="99"/>
            <w:noWrap/>
            <w:vAlign w:val="bottom"/>
          </w:tcPr>
          <w:p w14:paraId="01D741E4" w14:textId="1DDFA09D" w:rsidR="00073137" w:rsidRPr="00894054" w:rsidRDefault="00073137" w:rsidP="00073137">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7216</w:t>
            </w:r>
          </w:p>
        </w:tc>
      </w:tr>
      <w:tr w:rsidR="00073137" w:rsidRPr="002A42BC" w14:paraId="64CB0E45" w14:textId="77777777" w:rsidTr="00E9325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490FD3AB" w14:textId="77777777" w:rsidR="00073137" w:rsidRPr="00A50934" w:rsidRDefault="00073137" w:rsidP="00073137">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Veselības aprūpes pakalpojumu pieejamības uzlabošana</w:t>
            </w:r>
          </w:p>
        </w:tc>
        <w:tc>
          <w:tcPr>
            <w:tcW w:w="795" w:type="dxa"/>
            <w:tcBorders>
              <w:top w:val="nil"/>
              <w:left w:val="nil"/>
              <w:bottom w:val="single" w:sz="4" w:space="0" w:color="auto"/>
              <w:right w:val="single" w:sz="4" w:space="0" w:color="auto"/>
            </w:tcBorders>
            <w:shd w:val="clear" w:color="auto" w:fill="auto"/>
            <w:noWrap/>
            <w:vAlign w:val="bottom"/>
          </w:tcPr>
          <w:p w14:paraId="7F382F6B" w14:textId="77777777" w:rsidR="00073137" w:rsidRPr="00894054" w:rsidRDefault="00073137" w:rsidP="00073137">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29801615" w14:textId="77777777" w:rsidR="00073137" w:rsidRPr="00894054" w:rsidRDefault="00073137" w:rsidP="00073137">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31DBE0FF" w14:textId="77777777" w:rsidR="00073137" w:rsidRPr="00894054" w:rsidRDefault="00073137" w:rsidP="00073137">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5B536768" w14:textId="77777777" w:rsidR="00073137" w:rsidRPr="00894054" w:rsidRDefault="00073137" w:rsidP="00073137">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29B2F9A4" w14:textId="77777777"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518</w:t>
            </w:r>
          </w:p>
        </w:tc>
        <w:tc>
          <w:tcPr>
            <w:tcW w:w="1134" w:type="dxa"/>
            <w:tcBorders>
              <w:top w:val="nil"/>
              <w:left w:val="nil"/>
              <w:bottom w:val="single" w:sz="4" w:space="0" w:color="auto"/>
              <w:right w:val="single" w:sz="4" w:space="0" w:color="auto"/>
            </w:tcBorders>
            <w:shd w:val="clear" w:color="auto" w:fill="auto"/>
            <w:noWrap/>
            <w:vAlign w:val="bottom"/>
          </w:tcPr>
          <w:p w14:paraId="521FE1E4" w14:textId="272160BB"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9</w:t>
            </w:r>
            <w:r>
              <w:rPr>
                <w:rFonts w:ascii="Times New Roman" w:hAnsi="Times New Roman" w:cs="Times New Roman"/>
                <w:sz w:val="18"/>
                <w:szCs w:val="18"/>
              </w:rPr>
              <w:t>32</w:t>
            </w:r>
          </w:p>
        </w:tc>
        <w:tc>
          <w:tcPr>
            <w:tcW w:w="1134" w:type="dxa"/>
            <w:tcBorders>
              <w:top w:val="single" w:sz="4" w:space="0" w:color="auto"/>
              <w:left w:val="nil"/>
              <w:bottom w:val="single" w:sz="4" w:space="0" w:color="auto"/>
              <w:right w:val="single" w:sz="4" w:space="0" w:color="auto"/>
            </w:tcBorders>
            <w:vAlign w:val="bottom"/>
          </w:tcPr>
          <w:p w14:paraId="2C29D573" w14:textId="4688BA87"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15</w:t>
            </w:r>
            <w:r>
              <w:rPr>
                <w:rFonts w:ascii="Times New Roman" w:hAnsi="Times New Roman" w:cs="Times New Roman"/>
                <w:sz w:val="18"/>
                <w:szCs w:val="18"/>
              </w:rPr>
              <w:t>53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BEE6CA6" w14:textId="0668A9A8" w:rsidR="00073137" w:rsidRPr="00894054" w:rsidRDefault="00073137" w:rsidP="00073137">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16</w:t>
            </w:r>
            <w:r>
              <w:rPr>
                <w:rFonts w:ascii="Times New Roman" w:hAnsi="Times New Roman" w:cs="Times New Roman"/>
                <w:sz w:val="18"/>
                <w:szCs w:val="18"/>
              </w:rPr>
              <w:t>31</w:t>
            </w:r>
          </w:p>
        </w:tc>
      </w:tr>
      <w:tr w:rsidR="00C34F4F" w:rsidRPr="002A42BC" w14:paraId="4661A331" w14:textId="77777777" w:rsidTr="00E9325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CEF5178"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Onkoloģisko saslimšanu diagnostikas un ārstēšanas pieejamības uzlabošana</w:t>
            </w:r>
          </w:p>
        </w:tc>
        <w:tc>
          <w:tcPr>
            <w:tcW w:w="795" w:type="dxa"/>
            <w:tcBorders>
              <w:top w:val="nil"/>
              <w:left w:val="nil"/>
              <w:bottom w:val="single" w:sz="4" w:space="0" w:color="auto"/>
              <w:right w:val="single" w:sz="4" w:space="0" w:color="auto"/>
            </w:tcBorders>
            <w:shd w:val="clear" w:color="auto" w:fill="auto"/>
            <w:noWrap/>
            <w:vAlign w:val="bottom"/>
          </w:tcPr>
          <w:p w14:paraId="641551B7"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20ECD39E"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387F0AB9"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7CCB2921"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18F5D399"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578</w:t>
            </w:r>
          </w:p>
        </w:tc>
        <w:tc>
          <w:tcPr>
            <w:tcW w:w="1134" w:type="dxa"/>
            <w:tcBorders>
              <w:top w:val="nil"/>
              <w:left w:val="nil"/>
              <w:bottom w:val="single" w:sz="4" w:space="0" w:color="auto"/>
              <w:right w:val="single" w:sz="4" w:space="0" w:color="auto"/>
            </w:tcBorders>
            <w:shd w:val="clear" w:color="auto" w:fill="auto"/>
            <w:noWrap/>
            <w:vAlign w:val="bottom"/>
          </w:tcPr>
          <w:p w14:paraId="29C34AC2"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751</w:t>
            </w:r>
          </w:p>
        </w:tc>
        <w:tc>
          <w:tcPr>
            <w:tcW w:w="1134" w:type="dxa"/>
            <w:tcBorders>
              <w:top w:val="single" w:sz="4" w:space="0" w:color="auto"/>
              <w:left w:val="nil"/>
              <w:bottom w:val="single" w:sz="4" w:space="0" w:color="auto"/>
              <w:right w:val="single" w:sz="4" w:space="0" w:color="auto"/>
            </w:tcBorders>
            <w:vAlign w:val="bottom"/>
          </w:tcPr>
          <w:p w14:paraId="4417B47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1251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C7317B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1314</w:t>
            </w:r>
          </w:p>
        </w:tc>
      </w:tr>
      <w:tr w:rsidR="00C34F4F" w:rsidRPr="002A42BC" w14:paraId="2182FCB3" w14:textId="77777777" w:rsidTr="00E9325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2ABE753B"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Infekcijas slimību izplatības mazināšana</w:t>
            </w:r>
          </w:p>
        </w:tc>
        <w:tc>
          <w:tcPr>
            <w:tcW w:w="795" w:type="dxa"/>
            <w:tcBorders>
              <w:top w:val="nil"/>
              <w:left w:val="nil"/>
              <w:bottom w:val="single" w:sz="4" w:space="0" w:color="auto"/>
              <w:right w:val="single" w:sz="4" w:space="0" w:color="auto"/>
            </w:tcBorders>
            <w:shd w:val="clear" w:color="auto" w:fill="auto"/>
            <w:noWrap/>
            <w:vAlign w:val="bottom"/>
          </w:tcPr>
          <w:p w14:paraId="67A41785"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1D274746"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06E608DF"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41EF0E94"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0B0F2D1E"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534</w:t>
            </w:r>
          </w:p>
        </w:tc>
        <w:tc>
          <w:tcPr>
            <w:tcW w:w="1134" w:type="dxa"/>
            <w:tcBorders>
              <w:top w:val="nil"/>
              <w:left w:val="nil"/>
              <w:bottom w:val="single" w:sz="4" w:space="0" w:color="auto"/>
              <w:right w:val="single" w:sz="4" w:space="0" w:color="auto"/>
            </w:tcBorders>
            <w:shd w:val="clear" w:color="auto" w:fill="auto"/>
            <w:noWrap/>
            <w:vAlign w:val="bottom"/>
          </w:tcPr>
          <w:p w14:paraId="60429A35"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1181</w:t>
            </w:r>
          </w:p>
        </w:tc>
        <w:tc>
          <w:tcPr>
            <w:tcW w:w="1134" w:type="dxa"/>
            <w:tcBorders>
              <w:top w:val="single" w:sz="4" w:space="0" w:color="auto"/>
              <w:left w:val="nil"/>
              <w:bottom w:val="single" w:sz="4" w:space="0" w:color="auto"/>
              <w:right w:val="single" w:sz="4" w:space="0" w:color="auto"/>
            </w:tcBorders>
            <w:vAlign w:val="bottom"/>
          </w:tcPr>
          <w:p w14:paraId="7622D9F0"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1645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20FC19A"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2748</w:t>
            </w:r>
          </w:p>
        </w:tc>
      </w:tr>
      <w:tr w:rsidR="00C34F4F" w:rsidRPr="002A42BC" w14:paraId="5883E17F" w14:textId="77777777" w:rsidTr="00E9325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9252B01"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Primārās veselības aprūpes sistēmas kvalitātes un pieejamības uzlabošana</w:t>
            </w:r>
          </w:p>
        </w:tc>
        <w:tc>
          <w:tcPr>
            <w:tcW w:w="795" w:type="dxa"/>
            <w:tcBorders>
              <w:top w:val="nil"/>
              <w:left w:val="nil"/>
              <w:bottom w:val="single" w:sz="4" w:space="0" w:color="auto"/>
              <w:right w:val="single" w:sz="4" w:space="0" w:color="auto"/>
            </w:tcBorders>
            <w:shd w:val="clear" w:color="auto" w:fill="auto"/>
            <w:noWrap/>
            <w:vAlign w:val="bottom"/>
          </w:tcPr>
          <w:p w14:paraId="61EFA63E"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41C99368"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6D28D26C"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521D6AAD"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4D9248FC"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102</w:t>
            </w:r>
          </w:p>
        </w:tc>
        <w:tc>
          <w:tcPr>
            <w:tcW w:w="1134" w:type="dxa"/>
            <w:tcBorders>
              <w:top w:val="nil"/>
              <w:left w:val="nil"/>
              <w:bottom w:val="single" w:sz="4" w:space="0" w:color="auto"/>
              <w:right w:val="single" w:sz="4" w:space="0" w:color="auto"/>
            </w:tcBorders>
            <w:shd w:val="clear" w:color="auto" w:fill="auto"/>
            <w:noWrap/>
            <w:vAlign w:val="bottom"/>
          </w:tcPr>
          <w:p w14:paraId="0006D919"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114</w:t>
            </w:r>
          </w:p>
        </w:tc>
        <w:tc>
          <w:tcPr>
            <w:tcW w:w="1134" w:type="dxa"/>
            <w:tcBorders>
              <w:top w:val="single" w:sz="4" w:space="0" w:color="auto"/>
              <w:left w:val="nil"/>
              <w:bottom w:val="single" w:sz="4" w:space="0" w:color="auto"/>
              <w:right w:val="single" w:sz="4" w:space="0" w:color="auto"/>
            </w:tcBorders>
            <w:vAlign w:val="bottom"/>
          </w:tcPr>
          <w:p w14:paraId="21C336A0"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216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91367D9"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227</w:t>
            </w:r>
          </w:p>
        </w:tc>
      </w:tr>
      <w:tr w:rsidR="00C34F4F" w:rsidRPr="002A42BC" w14:paraId="1D343685" w14:textId="77777777" w:rsidTr="00E9325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66EB408"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Kardiovaskulārās saslimstības mazināšanai un slimību ārstēšanas efektivitātes uzlabošana</w:t>
            </w:r>
          </w:p>
        </w:tc>
        <w:tc>
          <w:tcPr>
            <w:tcW w:w="795" w:type="dxa"/>
            <w:tcBorders>
              <w:top w:val="nil"/>
              <w:left w:val="nil"/>
              <w:bottom w:val="single" w:sz="4" w:space="0" w:color="auto"/>
              <w:right w:val="single" w:sz="4" w:space="0" w:color="auto"/>
            </w:tcBorders>
            <w:shd w:val="clear" w:color="auto" w:fill="auto"/>
            <w:noWrap/>
            <w:vAlign w:val="bottom"/>
          </w:tcPr>
          <w:p w14:paraId="6FFD6A26"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67DE2C70"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515BAF9C"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456CD53A"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7B3CFEF0"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693</w:t>
            </w:r>
          </w:p>
        </w:tc>
        <w:tc>
          <w:tcPr>
            <w:tcW w:w="1134" w:type="dxa"/>
            <w:tcBorders>
              <w:top w:val="nil"/>
              <w:left w:val="nil"/>
              <w:bottom w:val="single" w:sz="4" w:space="0" w:color="auto"/>
              <w:right w:val="single" w:sz="4" w:space="0" w:color="auto"/>
            </w:tcBorders>
            <w:shd w:val="clear" w:color="auto" w:fill="auto"/>
            <w:noWrap/>
            <w:vAlign w:val="bottom"/>
          </w:tcPr>
          <w:p w14:paraId="6E0D3A7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836</w:t>
            </w:r>
          </w:p>
        </w:tc>
        <w:tc>
          <w:tcPr>
            <w:tcW w:w="1134" w:type="dxa"/>
            <w:tcBorders>
              <w:top w:val="single" w:sz="4" w:space="0" w:color="auto"/>
              <w:left w:val="nil"/>
              <w:bottom w:val="single" w:sz="4" w:space="0" w:color="auto"/>
              <w:right w:val="single" w:sz="4" w:space="0" w:color="auto"/>
            </w:tcBorders>
            <w:vAlign w:val="bottom"/>
          </w:tcPr>
          <w:p w14:paraId="0C88DC0C"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929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96E72BA"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975</w:t>
            </w:r>
          </w:p>
        </w:tc>
      </w:tr>
      <w:tr w:rsidR="00220DD2" w:rsidRPr="002A42BC" w14:paraId="3A3FFB35" w14:textId="77777777" w:rsidTr="3AC8A380">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A9B8C02" w14:textId="556562B6" w:rsidR="00220DD2" w:rsidRPr="00A50934" w:rsidRDefault="00220DD2" w:rsidP="00220DD2">
            <w:pPr>
              <w:spacing w:after="0" w:line="240" w:lineRule="auto"/>
              <w:jc w:val="right"/>
              <w:rPr>
                <w:rFonts w:ascii="Times New Roman" w:hAnsi="Times New Roman" w:cs="Times New Roman"/>
                <w:i/>
                <w:iCs/>
                <w:sz w:val="18"/>
                <w:szCs w:val="18"/>
              </w:rPr>
            </w:pPr>
            <w:r w:rsidRPr="009C1659">
              <w:rPr>
                <w:rFonts w:ascii="Times New Roman" w:eastAsia="Times New Roman" w:hAnsi="Times New Roman" w:cs="Times New Roman"/>
                <w:i/>
                <w:iCs/>
                <w:sz w:val="18"/>
                <w:szCs w:val="18"/>
                <w:lang w:eastAsia="lv-LV"/>
              </w:rPr>
              <w:t>Rehabilitācijas pakalpojumu  stratēģiskais iepirkums</w:t>
            </w:r>
          </w:p>
        </w:tc>
        <w:tc>
          <w:tcPr>
            <w:tcW w:w="795" w:type="dxa"/>
            <w:tcBorders>
              <w:top w:val="nil"/>
              <w:left w:val="nil"/>
              <w:bottom w:val="single" w:sz="4" w:space="0" w:color="auto"/>
              <w:right w:val="single" w:sz="4" w:space="0" w:color="auto"/>
            </w:tcBorders>
            <w:shd w:val="clear" w:color="auto" w:fill="auto"/>
            <w:noWrap/>
            <w:vAlign w:val="bottom"/>
          </w:tcPr>
          <w:p w14:paraId="5C56E74A" w14:textId="77777777" w:rsidR="00220DD2" w:rsidRPr="00894054" w:rsidRDefault="00220DD2" w:rsidP="00220DD2">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0CF3F56D" w14:textId="77777777" w:rsidR="00220DD2" w:rsidRPr="00894054" w:rsidRDefault="00220DD2" w:rsidP="00220DD2">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061B0D86" w14:textId="77777777" w:rsidR="00220DD2" w:rsidRPr="00894054" w:rsidRDefault="00220DD2" w:rsidP="00220DD2">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56E286A0" w14:textId="77777777" w:rsidR="00220DD2" w:rsidRPr="00894054" w:rsidRDefault="00220DD2" w:rsidP="00220DD2">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4B5383C3" w14:textId="77777777" w:rsidR="00220DD2" w:rsidRPr="00894054" w:rsidRDefault="00220DD2" w:rsidP="00220DD2">
            <w:pPr>
              <w:spacing w:after="0" w:line="240" w:lineRule="auto"/>
              <w:jc w:val="right"/>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5DF2AF4C" w14:textId="2D88C7BF" w:rsidR="00220DD2" w:rsidRPr="00894054" w:rsidRDefault="00220DD2" w:rsidP="00220DD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104</w:t>
            </w:r>
          </w:p>
        </w:tc>
        <w:tc>
          <w:tcPr>
            <w:tcW w:w="1134" w:type="dxa"/>
            <w:tcBorders>
              <w:top w:val="single" w:sz="4" w:space="0" w:color="auto"/>
              <w:left w:val="nil"/>
              <w:bottom w:val="single" w:sz="4" w:space="0" w:color="auto"/>
              <w:right w:val="single" w:sz="4" w:space="0" w:color="auto"/>
            </w:tcBorders>
            <w:vAlign w:val="bottom"/>
          </w:tcPr>
          <w:p w14:paraId="423BE02F" w14:textId="7363A5E1" w:rsidR="00220DD2" w:rsidRPr="00894054" w:rsidRDefault="00220DD2" w:rsidP="00220DD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E14424B" w14:textId="50DF8B1E" w:rsidR="00220DD2" w:rsidRPr="00894054" w:rsidRDefault="00220DD2" w:rsidP="00220DD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122</w:t>
            </w:r>
          </w:p>
        </w:tc>
      </w:tr>
      <w:tr w:rsidR="00220DD2" w:rsidRPr="002A42BC" w14:paraId="0ED60A0F" w14:textId="77777777" w:rsidTr="3AC8A380">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84190D6" w14:textId="2AE8EAC5" w:rsidR="00220DD2" w:rsidRPr="00A50934" w:rsidRDefault="00220DD2" w:rsidP="00220DD2">
            <w:pPr>
              <w:spacing w:after="0" w:line="240" w:lineRule="auto"/>
              <w:jc w:val="right"/>
              <w:rPr>
                <w:rFonts w:ascii="Times New Roman" w:hAnsi="Times New Roman" w:cs="Times New Roman"/>
                <w:i/>
                <w:iCs/>
                <w:sz w:val="18"/>
                <w:szCs w:val="18"/>
              </w:rPr>
            </w:pPr>
            <w:r w:rsidRPr="009C1659">
              <w:rPr>
                <w:rFonts w:ascii="Times New Roman" w:eastAsia="Times New Roman" w:hAnsi="Times New Roman" w:cs="Times New Roman"/>
                <w:i/>
                <w:iCs/>
                <w:sz w:val="18"/>
                <w:szCs w:val="18"/>
                <w:lang w:eastAsia="lv-LV"/>
              </w:rPr>
              <w:t>Psihiskās veselības aprūpes uzlabošana</w:t>
            </w:r>
          </w:p>
        </w:tc>
        <w:tc>
          <w:tcPr>
            <w:tcW w:w="795" w:type="dxa"/>
            <w:tcBorders>
              <w:top w:val="nil"/>
              <w:left w:val="nil"/>
              <w:bottom w:val="single" w:sz="4" w:space="0" w:color="auto"/>
              <w:right w:val="single" w:sz="4" w:space="0" w:color="auto"/>
            </w:tcBorders>
            <w:shd w:val="clear" w:color="auto" w:fill="auto"/>
            <w:noWrap/>
            <w:vAlign w:val="bottom"/>
          </w:tcPr>
          <w:p w14:paraId="665E4E76" w14:textId="77777777" w:rsidR="00220DD2" w:rsidRPr="00894054" w:rsidRDefault="00220DD2" w:rsidP="00220DD2">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4AF4F436" w14:textId="77777777" w:rsidR="00220DD2" w:rsidRPr="00894054" w:rsidRDefault="00220DD2" w:rsidP="00220DD2">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3249924F" w14:textId="77777777" w:rsidR="00220DD2" w:rsidRPr="00894054" w:rsidRDefault="00220DD2" w:rsidP="00220DD2">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4B7EC09B" w14:textId="77777777" w:rsidR="00220DD2" w:rsidRPr="00894054" w:rsidRDefault="00220DD2" w:rsidP="00220DD2">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58AFE754" w14:textId="77777777" w:rsidR="00220DD2" w:rsidRPr="00894054" w:rsidRDefault="00220DD2" w:rsidP="00220DD2">
            <w:pPr>
              <w:spacing w:after="0" w:line="240" w:lineRule="auto"/>
              <w:jc w:val="right"/>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6F4A665E" w14:textId="44835E7C" w:rsidR="00220DD2" w:rsidRPr="00894054" w:rsidRDefault="00220DD2" w:rsidP="00220DD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66</w:t>
            </w:r>
          </w:p>
        </w:tc>
        <w:tc>
          <w:tcPr>
            <w:tcW w:w="1134" w:type="dxa"/>
            <w:tcBorders>
              <w:top w:val="single" w:sz="4" w:space="0" w:color="auto"/>
              <w:left w:val="nil"/>
              <w:bottom w:val="single" w:sz="4" w:space="0" w:color="auto"/>
              <w:right w:val="single" w:sz="4" w:space="0" w:color="auto"/>
            </w:tcBorders>
            <w:vAlign w:val="bottom"/>
          </w:tcPr>
          <w:p w14:paraId="144610B9" w14:textId="7ECC897E" w:rsidR="00220DD2" w:rsidRPr="00894054" w:rsidRDefault="00220DD2" w:rsidP="00220DD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EFC4453" w14:textId="07C3ADCC" w:rsidR="00220DD2" w:rsidRPr="00894054" w:rsidRDefault="00220DD2" w:rsidP="00220DD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199</w:t>
            </w:r>
          </w:p>
        </w:tc>
      </w:tr>
    </w:tbl>
    <w:p w14:paraId="6F6C7305" w14:textId="77777777" w:rsidR="00C34F4F" w:rsidRDefault="00C34F4F" w:rsidP="00C34F4F">
      <w:pPr>
        <w:jc w:val="both"/>
        <w:rPr>
          <w:rFonts w:ascii="Times New Roman" w:hAnsi="Times New Roman" w:cs="Times New Roman"/>
          <w:i/>
          <w:iCs/>
          <w:sz w:val="20"/>
          <w:szCs w:val="20"/>
        </w:rPr>
      </w:pPr>
      <w:r w:rsidRPr="002A42BC">
        <w:rPr>
          <w:rFonts w:ascii="Times New Roman" w:hAnsi="Times New Roman" w:cs="Times New Roman"/>
          <w:i/>
          <w:iCs/>
          <w:sz w:val="20"/>
          <w:szCs w:val="20"/>
        </w:rPr>
        <w:t>Avots: VM un SPKC</w:t>
      </w:r>
    </w:p>
    <w:p w14:paraId="2E857B8E" w14:textId="77777777" w:rsidR="00C34F4F" w:rsidRDefault="00C34F4F" w:rsidP="00C34F4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CA0003">
        <w:rPr>
          <w:rFonts w:ascii="Times New Roman" w:hAnsi="Times New Roman" w:cs="Times New Roman"/>
          <w:sz w:val="20"/>
          <w:szCs w:val="20"/>
        </w:rPr>
        <w:t>Koriģēti 2015.g. un 2016.g. Avots: SPKC dati. Sākot ar 2018.g. VM prognoze atbilstoši iedzīvotāju skaita izmaiņu tendencei.</w:t>
      </w:r>
    </w:p>
    <w:p w14:paraId="51E1D06D" w14:textId="62F064EE" w:rsidR="00C34F4F" w:rsidRPr="00383204" w:rsidRDefault="00C34F4F" w:rsidP="00C34F4F">
      <w:pPr>
        <w:jc w:val="both"/>
        <w:rPr>
          <w:rFonts w:ascii="Times New Roman" w:hAnsi="Times New Roman" w:cs="Times New Roman"/>
          <w:sz w:val="20"/>
          <w:szCs w:val="20"/>
        </w:rPr>
      </w:pPr>
    </w:p>
    <w:p w14:paraId="5F05B745" w14:textId="23831146" w:rsidR="00C34F4F" w:rsidRPr="00E93259" w:rsidRDefault="00C94F00" w:rsidP="704995BB">
      <w:pPr>
        <w:shd w:val="clear" w:color="auto" w:fill="FFFFFF" w:themeFill="background1"/>
        <w:ind w:firstLine="709"/>
        <w:jc w:val="right"/>
        <w:rPr>
          <w:rFonts w:ascii="Times New Roman" w:hAnsi="Times New Roman" w:cs="Times New Roman"/>
          <w:i/>
          <w:iCs/>
          <w:sz w:val="24"/>
          <w:szCs w:val="24"/>
        </w:rPr>
      </w:pPr>
      <w:r w:rsidRPr="704995BB">
        <w:rPr>
          <w:rFonts w:ascii="Times New Roman" w:hAnsi="Times New Roman" w:cs="Times New Roman"/>
          <w:i/>
          <w:iCs/>
          <w:sz w:val="24"/>
          <w:szCs w:val="24"/>
        </w:rPr>
        <w:lastRenderedPageBreak/>
        <w:t>15</w:t>
      </w:r>
      <w:r w:rsidR="64AB90BD" w:rsidRPr="704995BB">
        <w:rPr>
          <w:rFonts w:ascii="Times New Roman" w:hAnsi="Times New Roman" w:cs="Times New Roman"/>
          <w:i/>
          <w:iCs/>
          <w:sz w:val="24"/>
          <w:szCs w:val="24"/>
        </w:rPr>
        <w:t>.attēls</w:t>
      </w:r>
    </w:p>
    <w:p w14:paraId="7954AB74" w14:textId="77777777" w:rsidR="00C34F4F" w:rsidRPr="00E9145D" w:rsidRDefault="00C34F4F" w:rsidP="00C34F4F">
      <w:pPr>
        <w:jc w:val="center"/>
        <w:rPr>
          <w:rFonts w:ascii="Times New Roman" w:hAnsi="Times New Roman" w:cs="Times New Roman"/>
          <w:b/>
          <w:bCs/>
          <w:sz w:val="24"/>
          <w:szCs w:val="24"/>
        </w:rPr>
      </w:pPr>
      <w:r w:rsidRPr="00E9145D">
        <w:rPr>
          <w:rFonts w:ascii="Times New Roman" w:hAnsi="Times New Roman" w:cs="Times New Roman"/>
          <w:b/>
          <w:bCs/>
          <w:sz w:val="24"/>
          <w:szCs w:val="24"/>
        </w:rPr>
        <w:t>Potenciāli zaudēto mūža gadu prognoze, ja ieguldījumi netiek veikti un ja ieguldījumi tiek veikti</w:t>
      </w:r>
    </w:p>
    <w:p w14:paraId="404275BB" w14:textId="77777777" w:rsidR="00C34F4F" w:rsidRPr="002A42BC" w:rsidRDefault="00C34F4F" w:rsidP="00C34F4F">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1EE69185" wp14:editId="0E694F8C">
            <wp:extent cx="5306400" cy="3466800"/>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06400" cy="3466800"/>
                    </a:xfrm>
                    <a:prstGeom prst="rect">
                      <a:avLst/>
                    </a:prstGeom>
                    <a:noFill/>
                  </pic:spPr>
                </pic:pic>
              </a:graphicData>
            </a:graphic>
          </wp:inline>
        </w:drawing>
      </w:r>
    </w:p>
    <w:p w14:paraId="578FF5EA" w14:textId="705DCF47" w:rsidR="00C34F4F" w:rsidRPr="004B320A" w:rsidRDefault="00C34F4F" w:rsidP="004B320A">
      <w:pPr>
        <w:jc w:val="both"/>
        <w:rPr>
          <w:rFonts w:ascii="Times New Roman" w:hAnsi="Times New Roman" w:cs="Times New Roman"/>
          <w:i/>
          <w:iCs/>
          <w:sz w:val="20"/>
          <w:szCs w:val="20"/>
        </w:rPr>
      </w:pPr>
      <w:r w:rsidRPr="002A42BC">
        <w:rPr>
          <w:rFonts w:ascii="Times New Roman" w:hAnsi="Times New Roman" w:cs="Times New Roman"/>
          <w:i/>
          <w:iCs/>
          <w:sz w:val="20"/>
          <w:szCs w:val="20"/>
        </w:rPr>
        <w:t>Avots: SPKC</w:t>
      </w:r>
      <w:r>
        <w:rPr>
          <w:rFonts w:ascii="Times New Roman" w:hAnsi="Times New Roman" w:cs="Times New Roman"/>
          <w:i/>
          <w:iCs/>
          <w:sz w:val="20"/>
          <w:szCs w:val="20"/>
        </w:rPr>
        <w:t>, VM aprēķins</w:t>
      </w:r>
    </w:p>
    <w:p w14:paraId="48D9F2E4" w14:textId="4C4CEC58" w:rsidR="00C34F4F" w:rsidRDefault="00073137" w:rsidP="64AB90BD">
      <w:pPr>
        <w:shd w:val="clear" w:color="auto" w:fill="FFFFFF" w:themeFill="background1"/>
        <w:ind w:firstLine="720"/>
        <w:jc w:val="both"/>
        <w:rPr>
          <w:rFonts w:ascii="Times New Roman" w:hAnsi="Times New Roman" w:cs="Times New Roman"/>
          <w:sz w:val="24"/>
          <w:szCs w:val="24"/>
        </w:rPr>
      </w:pPr>
      <w:r w:rsidRPr="00CE764F">
        <w:rPr>
          <w:rFonts w:ascii="Times New Roman" w:hAnsi="Times New Roman" w:cs="Times New Roman"/>
          <w:sz w:val="24"/>
          <w:szCs w:val="24"/>
        </w:rPr>
        <w:t xml:space="preserve">Risinot cilvēkresursu trūkumu, uzlabojot </w:t>
      </w:r>
      <w:r w:rsidRPr="001E4659">
        <w:rPr>
          <w:rFonts w:ascii="Times New Roman" w:hAnsi="Times New Roman"/>
          <w:sz w:val="24"/>
          <w:szCs w:val="24"/>
          <w:lang w:eastAsia="lv-LV"/>
        </w:rPr>
        <w:t xml:space="preserve">laboratorisko pakalpojumu pieejamību </w:t>
      </w:r>
      <w:r w:rsidRPr="00CE764F">
        <w:rPr>
          <w:rFonts w:ascii="Times New Roman" w:hAnsi="Times New Roman" w:cs="Times New Roman"/>
          <w:sz w:val="24"/>
          <w:szCs w:val="24"/>
        </w:rPr>
        <w:t>un ieguldot līdzekļus medicīnas tehnoloģiju attīstībā tiks sekmēta kvalitatīvāk</w:t>
      </w:r>
      <w:r w:rsidR="00EE71F4">
        <w:rPr>
          <w:rFonts w:ascii="Times New Roman" w:hAnsi="Times New Roman" w:cs="Times New Roman"/>
          <w:sz w:val="24"/>
          <w:szCs w:val="24"/>
        </w:rPr>
        <w:t>a</w:t>
      </w:r>
      <w:r w:rsidRPr="00CE764F">
        <w:rPr>
          <w:rFonts w:ascii="Times New Roman" w:hAnsi="Times New Roman" w:cs="Times New Roman"/>
          <w:sz w:val="24"/>
          <w:szCs w:val="24"/>
        </w:rPr>
        <w:t>, drošāk</w:t>
      </w:r>
      <w:r w:rsidR="00EE71F4">
        <w:rPr>
          <w:rFonts w:ascii="Times New Roman" w:hAnsi="Times New Roman" w:cs="Times New Roman"/>
          <w:sz w:val="24"/>
          <w:szCs w:val="24"/>
        </w:rPr>
        <w:t>a</w:t>
      </w:r>
      <w:r w:rsidRPr="00CE764F">
        <w:rPr>
          <w:rFonts w:ascii="Times New Roman" w:hAnsi="Times New Roman" w:cs="Times New Roman"/>
          <w:sz w:val="24"/>
          <w:szCs w:val="24"/>
        </w:rPr>
        <w:t xml:space="preserve"> un efektīvāk</w:t>
      </w:r>
      <w:r w:rsidR="00EE71F4">
        <w:rPr>
          <w:rFonts w:ascii="Times New Roman" w:hAnsi="Times New Roman" w:cs="Times New Roman"/>
          <w:sz w:val="24"/>
          <w:szCs w:val="24"/>
        </w:rPr>
        <w:t>a</w:t>
      </w:r>
      <w:r w:rsidRPr="00CE764F">
        <w:rPr>
          <w:rFonts w:ascii="Times New Roman" w:hAnsi="Times New Roman" w:cs="Times New Roman"/>
          <w:sz w:val="24"/>
          <w:szCs w:val="24"/>
        </w:rPr>
        <w:t xml:space="preserve"> izmeklējumu veikšana. Prognozēts, ka speciālistu piesaiste būtiski uzlabos veselības aprūpes pakalpojumu pieejamību un pakalpojumu </w:t>
      </w:r>
      <w:r w:rsidRPr="00CE764F">
        <w:rPr>
          <w:rFonts w:ascii="Times New Roman" w:hAnsi="Times New Roman" w:cs="Times New Roman"/>
          <w:sz w:val="24"/>
          <w:szCs w:val="24"/>
          <w:lang w:eastAsia="lv-LV"/>
        </w:rPr>
        <w:t xml:space="preserve">kvalitāti, kā arī mazinās pakalpojumu gaidīšanas rindas, savukārt diabēta apmācības kabinetu izveide dos iespēju diabēta pacientiem </w:t>
      </w:r>
      <w:r>
        <w:rPr>
          <w:rFonts w:ascii="Times New Roman" w:hAnsi="Times New Roman" w:cs="Times New Roman"/>
          <w:sz w:val="24"/>
          <w:szCs w:val="24"/>
          <w:lang w:eastAsia="lv-LV"/>
        </w:rPr>
        <w:t xml:space="preserve">apmeklēt </w:t>
      </w:r>
      <w:r w:rsidRPr="001E4659">
        <w:rPr>
          <w:rFonts w:ascii="Times New Roman" w:hAnsi="Times New Roman" w:cs="Times New Roman"/>
          <w:sz w:val="24"/>
          <w:szCs w:val="24"/>
          <w:lang w:eastAsia="lv-LV"/>
        </w:rPr>
        <w:t xml:space="preserve">jaunatvērtos diabēta apmācību kabinetus, kas veicinās līdzestību un </w:t>
      </w:r>
      <w:r w:rsidRPr="001A0684">
        <w:rPr>
          <w:rFonts w:ascii="Times New Roman" w:hAnsi="Times New Roman"/>
          <w:sz w:val="24"/>
          <w:szCs w:val="24"/>
          <w:lang w:eastAsia="lv-LV"/>
        </w:rPr>
        <w:t>izpratni par savlaicīgu medikamentu lietošanu, attīstīs prasmi novērs</w:t>
      </w:r>
      <w:r w:rsidRPr="00E93259">
        <w:rPr>
          <w:rFonts w:ascii="Times New Roman" w:hAnsi="Times New Roman"/>
          <w:sz w:val="24"/>
          <w:szCs w:val="24"/>
          <w:lang w:eastAsia="lv-LV"/>
        </w:rPr>
        <w:t xml:space="preserve">t akūtus veselības sarežģījumus, </w:t>
      </w:r>
      <w:r w:rsidR="52B20BA9" w:rsidRPr="00E93259">
        <w:rPr>
          <w:rFonts w:ascii="Times New Roman" w:hAnsi="Times New Roman"/>
          <w:sz w:val="24"/>
          <w:szCs w:val="24"/>
          <w:lang w:eastAsia="lv-LV"/>
        </w:rPr>
        <w:t xml:space="preserve">līdz ar to samazinot akūtās un vēlīnās komplikācijas, invaliditātes iestāšanās riskus un mirstību. </w:t>
      </w:r>
      <w:r w:rsidR="52B20BA9" w:rsidRPr="00E93259">
        <w:rPr>
          <w:rFonts w:ascii="Times New Roman" w:hAnsi="Times New Roman" w:cs="Times New Roman"/>
          <w:sz w:val="24"/>
          <w:szCs w:val="24"/>
        </w:rPr>
        <w:t xml:space="preserve">Ziņojumā aprakstītais 2019.gadā paredzētais reformu turpinājums un jaunās iniciatīvas pieejamības uzlabošanā atstās pozitīvu ietekmi un palielinās vidējo potenciāli atgūto mūža gadu skaitu uz vienu mirstības gadījumu līdz 1,85%. </w:t>
      </w:r>
    </w:p>
    <w:p w14:paraId="43337FD9" w14:textId="77777777" w:rsidR="00C35F98" w:rsidRPr="00E93259" w:rsidRDefault="00C35F98">
      <w:pPr>
        <w:shd w:val="clear" w:color="auto" w:fill="FFFFFF" w:themeFill="background1"/>
        <w:ind w:firstLine="720"/>
        <w:jc w:val="both"/>
        <w:rPr>
          <w:rFonts w:ascii="Times New Roman" w:hAnsi="Times New Roman" w:cs="Times New Roman"/>
          <w:b/>
          <w:bCs/>
          <w:sz w:val="24"/>
          <w:szCs w:val="24"/>
        </w:rPr>
      </w:pPr>
      <w:r w:rsidRPr="001E4659">
        <w:rPr>
          <w:rFonts w:ascii="Times New Roman" w:hAnsi="Times New Roman" w:cs="Times New Roman"/>
          <w:b/>
          <w:bCs/>
          <w:sz w:val="24"/>
          <w:szCs w:val="24"/>
        </w:rPr>
        <w:t>Onkoloģi</w:t>
      </w:r>
      <w:r w:rsidRPr="001A0684">
        <w:rPr>
          <w:rFonts w:ascii="Times New Roman" w:hAnsi="Times New Roman" w:cs="Times New Roman"/>
          <w:b/>
          <w:bCs/>
          <w:sz w:val="24"/>
          <w:szCs w:val="24"/>
        </w:rPr>
        <w:t>sko saslimšanu diagnostikas un ārstēšanas pieejamības uzlabošana</w:t>
      </w:r>
    </w:p>
    <w:p w14:paraId="3ED66D7F" w14:textId="74AD12FE" w:rsidR="00C35F98" w:rsidRDefault="00C35F98" w:rsidP="64AB90BD">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sz w:val="24"/>
          <w:szCs w:val="24"/>
        </w:rPr>
        <w:t>Papildus 2018.gadā iesāktām aktivitātēm, 2019.gadā tiek plānots nodrošinā</w:t>
      </w:r>
      <w:r w:rsidRPr="00753CA3">
        <w:rPr>
          <w:rFonts w:ascii="Times New Roman" w:hAnsi="Times New Roman" w:cs="Times New Roman"/>
          <w:sz w:val="24"/>
          <w:szCs w:val="24"/>
        </w:rPr>
        <w:t xml:space="preserve">t </w:t>
      </w:r>
      <w:r>
        <w:rPr>
          <w:rFonts w:ascii="Times New Roman" w:hAnsi="Times New Roman" w:cs="Times New Roman"/>
          <w:sz w:val="24"/>
          <w:szCs w:val="24"/>
        </w:rPr>
        <w:t>psihosociālu</w:t>
      </w:r>
      <w:r w:rsidRPr="009B2991">
        <w:rPr>
          <w:rFonts w:ascii="Times New Roman" w:hAnsi="Times New Roman" w:cs="Times New Roman"/>
          <w:sz w:val="24"/>
          <w:szCs w:val="24"/>
        </w:rPr>
        <w:t xml:space="preserve"> atbalstu onkoloģiskajiem pacientiem un viņu tuviniekiem no brīža, kad uzzināta diagnoze, kā arī akūtās ārstēšanas procesā</w:t>
      </w:r>
      <w:r>
        <w:rPr>
          <w:rFonts w:ascii="Times New Roman" w:hAnsi="Times New Roman" w:cs="Times New Roman"/>
          <w:sz w:val="24"/>
          <w:szCs w:val="24"/>
        </w:rPr>
        <w:t xml:space="preserve">. Ir paredzēts attīstīt </w:t>
      </w:r>
      <w:r w:rsidRPr="009A7D7B">
        <w:rPr>
          <w:rFonts w:ascii="Times New Roman" w:hAnsi="Times New Roman" w:cs="Times New Roman"/>
          <w:sz w:val="24"/>
          <w:szCs w:val="24"/>
        </w:rPr>
        <w:t>allotransplantācijas</w:t>
      </w:r>
      <w:r>
        <w:rPr>
          <w:rFonts w:ascii="Times New Roman" w:hAnsi="Times New Roman" w:cs="Times New Roman"/>
          <w:sz w:val="24"/>
          <w:szCs w:val="24"/>
        </w:rPr>
        <w:t xml:space="preserve"> operācijas </w:t>
      </w:r>
      <w:r w:rsidRPr="009B2991">
        <w:rPr>
          <w:rFonts w:ascii="Times New Roman" w:hAnsi="Times New Roman" w:cs="Times New Roman"/>
          <w:sz w:val="24"/>
          <w:szCs w:val="24"/>
        </w:rPr>
        <w:t xml:space="preserve">onkoloģijas pacientiem, </w:t>
      </w:r>
      <w:r>
        <w:rPr>
          <w:rFonts w:ascii="Times New Roman" w:hAnsi="Times New Roman" w:cs="Times New Roman"/>
          <w:sz w:val="24"/>
          <w:szCs w:val="24"/>
        </w:rPr>
        <w:t xml:space="preserve">savukārt ieviešot jaunas tehnoloģijas un izmeklējumus </w:t>
      </w:r>
      <w:r w:rsidRPr="009B2991">
        <w:rPr>
          <w:rFonts w:ascii="Times New Roman" w:hAnsi="Times New Roman" w:cs="Times New Roman"/>
          <w:sz w:val="24"/>
          <w:szCs w:val="24"/>
        </w:rPr>
        <w:t xml:space="preserve">onkoloģisko </w:t>
      </w:r>
      <w:r w:rsidRPr="009B2991">
        <w:rPr>
          <w:rFonts w:ascii="Times New Roman" w:hAnsi="Times New Roman" w:cs="Times New Roman"/>
          <w:sz w:val="24"/>
          <w:szCs w:val="24"/>
        </w:rPr>
        <w:lastRenderedPageBreak/>
        <w:t>slimību diagnostikā un ārstēšanā</w:t>
      </w:r>
      <w:r>
        <w:rPr>
          <w:rFonts w:ascii="Times New Roman" w:hAnsi="Times New Roman" w:cs="Times New Roman"/>
          <w:sz w:val="24"/>
          <w:szCs w:val="24"/>
        </w:rPr>
        <w:t xml:space="preserve">, palielināsies Latvijas iedzīvotāju </w:t>
      </w:r>
      <w:r w:rsidRPr="009B2991">
        <w:rPr>
          <w:rFonts w:ascii="Times New Roman" w:hAnsi="Times New Roman" w:cs="Times New Roman"/>
          <w:sz w:val="24"/>
          <w:szCs w:val="24"/>
        </w:rPr>
        <w:t>dzīvil</w:t>
      </w:r>
      <w:r>
        <w:rPr>
          <w:rFonts w:ascii="Times New Roman" w:hAnsi="Times New Roman" w:cs="Times New Roman"/>
          <w:sz w:val="24"/>
          <w:szCs w:val="24"/>
        </w:rPr>
        <w:t>dze</w:t>
      </w:r>
      <w:r w:rsidRPr="64AB90BD">
        <w:rPr>
          <w:rFonts w:ascii="Times New Roman" w:hAnsi="Times New Roman" w:cs="Times New Roman"/>
          <w:sz w:val="24"/>
          <w:szCs w:val="24"/>
        </w:rPr>
        <w:t xml:space="preserve"> un </w:t>
      </w:r>
      <w:r>
        <w:rPr>
          <w:rFonts w:ascii="Times New Roman" w:hAnsi="Times New Roman" w:cs="Times New Roman"/>
          <w:sz w:val="24"/>
          <w:szCs w:val="24"/>
        </w:rPr>
        <w:t>kopējais</w:t>
      </w:r>
      <w:r w:rsidRPr="64AB90BD">
        <w:rPr>
          <w:rFonts w:ascii="Times New Roman" w:hAnsi="Times New Roman" w:cs="Times New Roman"/>
          <w:sz w:val="24"/>
          <w:szCs w:val="24"/>
        </w:rPr>
        <w:t xml:space="preserve"> ieguvumu</w:t>
      </w:r>
      <w:r>
        <w:rPr>
          <w:rFonts w:ascii="Times New Roman" w:hAnsi="Times New Roman" w:cs="Times New Roman"/>
          <w:sz w:val="24"/>
          <w:szCs w:val="24"/>
        </w:rPr>
        <w:t xml:space="preserve">s tautsaimniecībā. </w:t>
      </w:r>
      <w:r w:rsidRPr="64AB90BD">
        <w:rPr>
          <w:rFonts w:ascii="Times New Roman" w:hAnsi="Times New Roman" w:cs="Times New Roman"/>
          <w:sz w:val="24"/>
          <w:szCs w:val="24"/>
        </w:rPr>
        <w:t>Ziņojumā iekļautais</w:t>
      </w:r>
      <w:r w:rsidR="52B20BA9" w:rsidRPr="00E93259">
        <w:rPr>
          <w:rFonts w:ascii="Times New Roman" w:hAnsi="Times New Roman" w:cs="Times New Roman"/>
          <w:sz w:val="24"/>
          <w:szCs w:val="24"/>
        </w:rPr>
        <w:t>, 2019.gadā turpinās iesāktās aktivitātes un uzsāks jaunās iniciatīvas, kas, pēc ekspertu vērtējuma, sniegs papildus PZMG ieguvumu, sasniedzot kopējo mirstības samazinājumu 9,3% apmērā.</w:t>
      </w:r>
    </w:p>
    <w:p w14:paraId="5E4239BF" w14:textId="77777777" w:rsidR="00C35F98" w:rsidRPr="00E93259" w:rsidRDefault="00C35F98">
      <w:pPr>
        <w:shd w:val="clear" w:color="auto" w:fill="FFFFFF" w:themeFill="background1"/>
        <w:ind w:firstLine="720"/>
        <w:jc w:val="both"/>
        <w:rPr>
          <w:rFonts w:ascii="Times New Roman" w:hAnsi="Times New Roman" w:cs="Times New Roman"/>
          <w:b/>
          <w:bCs/>
          <w:sz w:val="24"/>
          <w:szCs w:val="24"/>
        </w:rPr>
      </w:pPr>
      <w:r w:rsidRPr="001E4659">
        <w:rPr>
          <w:rFonts w:ascii="Times New Roman" w:hAnsi="Times New Roman" w:cs="Times New Roman"/>
          <w:b/>
          <w:bCs/>
          <w:sz w:val="24"/>
          <w:szCs w:val="24"/>
        </w:rPr>
        <w:t>Infekcijas slimību izplat</w:t>
      </w:r>
      <w:r w:rsidRPr="001A0684">
        <w:rPr>
          <w:rFonts w:ascii="Times New Roman" w:hAnsi="Times New Roman" w:cs="Times New Roman"/>
          <w:b/>
          <w:bCs/>
          <w:sz w:val="24"/>
          <w:szCs w:val="24"/>
        </w:rPr>
        <w:t>ības mazināšana</w:t>
      </w:r>
    </w:p>
    <w:p w14:paraId="2EBE86B2" w14:textId="7BD997E1" w:rsidR="00C35F98" w:rsidRDefault="00C35F98"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Prognozējot </w:t>
      </w:r>
      <w:r w:rsidRPr="001E4659">
        <w:rPr>
          <w:rFonts w:ascii="Times New Roman" w:hAnsi="Times New Roman" w:cs="Times New Roman"/>
          <w:sz w:val="24"/>
          <w:szCs w:val="24"/>
        </w:rPr>
        <w:t>infekcijas slimību reformu</w:t>
      </w:r>
      <w:r w:rsidRPr="64AB90BD">
        <w:rPr>
          <w:rFonts w:ascii="Times New Roman" w:hAnsi="Times New Roman" w:cs="Times New Roman"/>
          <w:sz w:val="24"/>
          <w:szCs w:val="24"/>
        </w:rPr>
        <w:t xml:space="preserve"> ietekmi uz PZMG samazinājumu</w:t>
      </w:r>
      <w:r>
        <w:rPr>
          <w:rFonts w:ascii="Times New Roman" w:hAnsi="Times New Roman" w:cs="Times New Roman"/>
          <w:sz w:val="24"/>
          <w:szCs w:val="24"/>
        </w:rPr>
        <w:t>,</w:t>
      </w:r>
      <w:r w:rsidRPr="64AB90BD">
        <w:rPr>
          <w:rFonts w:ascii="Times New Roman" w:hAnsi="Times New Roman" w:cs="Times New Roman"/>
          <w:sz w:val="24"/>
          <w:szCs w:val="24"/>
        </w:rPr>
        <w:t xml:space="preserve"> ņemta vērā mirstība un mirstības vecuma struktūra no VHC un HIV/AIDS saslimšanām. Saglabājot 2018.gadā pielietoto metodiku, ir noteikts, ka ārstējot VHC pacientus tiek nodrošināts, ka mirstība no VHC samazinās par 8%, kopējais ar VHC inficēto pacientu skaits samazinās par 4%, vēl vairāk samazinot mirstību, savukārt samazinoties inficēto HIV/AIDS pacientu skaitam, mirstība </w:t>
      </w:r>
      <w:r>
        <w:rPr>
          <w:rFonts w:ascii="Times New Roman" w:hAnsi="Times New Roman" w:cs="Times New Roman"/>
          <w:sz w:val="24"/>
          <w:szCs w:val="24"/>
        </w:rPr>
        <w:t>samazinās</w:t>
      </w:r>
      <w:r w:rsidRPr="64AB90BD">
        <w:rPr>
          <w:rFonts w:ascii="Times New Roman" w:hAnsi="Times New Roman" w:cs="Times New Roman"/>
          <w:sz w:val="24"/>
          <w:szCs w:val="24"/>
        </w:rPr>
        <w:t xml:space="preserve"> par 20,21%, jeb par 81 gadījumu.</w:t>
      </w:r>
      <w:r>
        <w:rPr>
          <w:rFonts w:ascii="Times New Roman" w:hAnsi="Times New Roman" w:cs="Times New Roman"/>
          <w:sz w:val="24"/>
          <w:szCs w:val="24"/>
        </w:rPr>
        <w:t xml:space="preserve"> Ieguldījums </w:t>
      </w:r>
      <w:r w:rsidRPr="00F566C0">
        <w:rPr>
          <w:rFonts w:ascii="Times New Roman" w:hAnsi="Times New Roman" w:cs="Times New Roman"/>
          <w:sz w:val="24"/>
          <w:szCs w:val="24"/>
        </w:rPr>
        <w:t>VHC pacientu izmeklēšan</w:t>
      </w:r>
      <w:r>
        <w:rPr>
          <w:rFonts w:ascii="Times New Roman" w:hAnsi="Times New Roman" w:cs="Times New Roman"/>
          <w:sz w:val="24"/>
          <w:szCs w:val="24"/>
        </w:rPr>
        <w:t xml:space="preserve">ā un ārstēšanā, 2019.gadā nodrošinot </w:t>
      </w:r>
      <w:r w:rsidRPr="000C2EF6">
        <w:rPr>
          <w:rFonts w:ascii="Times New Roman" w:hAnsi="Times New Roman" w:cs="Times New Roman"/>
          <w:color w:val="000000"/>
          <w:sz w:val="24"/>
          <w:szCs w:val="24"/>
        </w:rPr>
        <w:t xml:space="preserve">pacientiem, kas saņem ARV terapiju, </w:t>
      </w:r>
      <w:r>
        <w:rPr>
          <w:rFonts w:ascii="Times New Roman" w:hAnsi="Times New Roman" w:cs="Times New Roman"/>
          <w:color w:val="000000"/>
          <w:sz w:val="24"/>
          <w:szCs w:val="24"/>
        </w:rPr>
        <w:t>līdzestības</w:t>
      </w:r>
      <w:r w:rsidRPr="00E93259">
        <w:rPr>
          <w:rFonts w:ascii="Times New Roman" w:hAnsi="Times New Roman" w:cs="Times New Roman"/>
          <w:color w:val="000000" w:themeColor="text1"/>
          <w:sz w:val="24"/>
          <w:szCs w:val="24"/>
        </w:rPr>
        <w:t xml:space="preserve"> pakalpojumus un atbalsta personālu, </w:t>
      </w:r>
      <w:r w:rsidRPr="000C2EF6">
        <w:rPr>
          <w:rFonts w:ascii="Times New Roman" w:hAnsi="Times New Roman" w:cs="Times New Roman"/>
          <w:sz w:val="24"/>
          <w:szCs w:val="24"/>
        </w:rPr>
        <w:t>uzlabo</w:t>
      </w:r>
      <w:r>
        <w:rPr>
          <w:rFonts w:ascii="Times New Roman" w:hAnsi="Times New Roman" w:cs="Times New Roman"/>
          <w:sz w:val="24"/>
          <w:szCs w:val="24"/>
        </w:rPr>
        <w:t>s pieejamību</w:t>
      </w:r>
      <w:r w:rsidRPr="000C2EF6">
        <w:rPr>
          <w:rFonts w:ascii="Times New Roman" w:hAnsi="Times New Roman" w:cs="Times New Roman"/>
          <w:sz w:val="24"/>
          <w:szCs w:val="24"/>
        </w:rPr>
        <w:t xml:space="preserve"> </w:t>
      </w:r>
      <w:r>
        <w:rPr>
          <w:rFonts w:ascii="Times New Roman" w:hAnsi="Times New Roman" w:cs="Times New Roman"/>
          <w:sz w:val="24"/>
          <w:szCs w:val="24"/>
        </w:rPr>
        <w:t>veselības aprūpes,</w:t>
      </w:r>
      <w:r w:rsidR="52B20BA9" w:rsidRPr="00E93259">
        <w:rPr>
          <w:rFonts w:ascii="Times New Roman" w:hAnsi="Times New Roman" w:cs="Times New Roman"/>
          <w:sz w:val="24"/>
          <w:szCs w:val="24"/>
        </w:rPr>
        <w:t xml:space="preserve"> tai skaitā diagnostikas pakalpojumiem, lai agrīnāk atklātu HIV inficētās personas un uzsāktu šo personu ārstēšanu, samazinot HIV infekcijas izplatības rādītājus un iedzīvotāju mirstību.</w:t>
      </w:r>
    </w:p>
    <w:p w14:paraId="1B49E2FC" w14:textId="77777777" w:rsidR="00C35F98" w:rsidRPr="00E93259" w:rsidRDefault="00C35F98">
      <w:pPr>
        <w:shd w:val="clear" w:color="auto" w:fill="FFFFFF" w:themeFill="background1"/>
        <w:ind w:firstLine="720"/>
        <w:jc w:val="both"/>
        <w:rPr>
          <w:rFonts w:ascii="Times New Roman" w:hAnsi="Times New Roman" w:cs="Times New Roman"/>
          <w:b/>
          <w:bCs/>
          <w:sz w:val="24"/>
          <w:szCs w:val="24"/>
        </w:rPr>
      </w:pPr>
      <w:r w:rsidRPr="001E4659">
        <w:rPr>
          <w:rFonts w:ascii="Times New Roman" w:hAnsi="Times New Roman" w:cs="Times New Roman"/>
          <w:b/>
          <w:bCs/>
          <w:sz w:val="24"/>
          <w:szCs w:val="24"/>
        </w:rPr>
        <w:t>Primārās veselības aprūpes sistēmas kvalitātes un pieejamības uzlabošana</w:t>
      </w:r>
    </w:p>
    <w:p w14:paraId="65A483A7" w14:textId="4E67631F" w:rsidR="00C35F98" w:rsidRDefault="00C35F98" w:rsidP="64AB90BD">
      <w:pPr>
        <w:shd w:val="clear" w:color="auto" w:fill="FFFFFF" w:themeFill="background1"/>
        <w:ind w:firstLine="720"/>
        <w:jc w:val="both"/>
        <w:rPr>
          <w:rFonts w:ascii="Times New Roman" w:eastAsia="Times New Roman" w:hAnsi="Times New Roman" w:cs="Times New Roman"/>
          <w:sz w:val="24"/>
          <w:szCs w:val="24"/>
        </w:rPr>
      </w:pPr>
      <w:r w:rsidRPr="64AB90BD">
        <w:rPr>
          <w:rFonts w:ascii="Times New Roman" w:hAnsi="Times New Roman" w:cs="Times New Roman"/>
          <w:sz w:val="24"/>
          <w:szCs w:val="24"/>
        </w:rPr>
        <w:t xml:space="preserve">PZMG samazinājums saistībā ar </w:t>
      </w:r>
      <w:r w:rsidRPr="001E4659">
        <w:rPr>
          <w:rFonts w:ascii="Times New Roman" w:hAnsi="Times New Roman" w:cs="Times New Roman"/>
          <w:sz w:val="24"/>
          <w:szCs w:val="24"/>
        </w:rPr>
        <w:t>bērnu zobārstniecību</w:t>
      </w:r>
      <w:r w:rsidRPr="64AB90BD">
        <w:rPr>
          <w:rFonts w:ascii="Times New Roman" w:hAnsi="Times New Roman" w:cs="Times New Roman"/>
          <w:sz w:val="24"/>
          <w:szCs w:val="24"/>
        </w:rPr>
        <w:t xml:space="preserve"> aprēķināts, prognozējot, ka nodrošinot pilnvērtīgu aptveri, </w:t>
      </w:r>
      <w:r w:rsidRPr="64AB90BD">
        <w:rPr>
          <w:rFonts w:ascii="Times New Roman" w:eastAsia="Times New Roman" w:hAnsi="Times New Roman" w:cs="Times New Roman"/>
          <w:sz w:val="24"/>
          <w:szCs w:val="24"/>
        </w:rPr>
        <w:t xml:space="preserve">risks saslimt ar cukura diabētu, </w:t>
      </w:r>
      <w:r>
        <w:rPr>
          <w:rFonts w:ascii="Times New Roman" w:eastAsia="Times New Roman" w:hAnsi="Times New Roman" w:cs="Times New Roman"/>
          <w:sz w:val="24"/>
          <w:szCs w:val="24"/>
        </w:rPr>
        <w:t>kardiovaskulāro</w:t>
      </w:r>
      <w:r w:rsidR="52B20BA9" w:rsidRPr="00E93259">
        <w:rPr>
          <w:rFonts w:ascii="Times New Roman" w:eastAsia="Times New Roman" w:hAnsi="Times New Roman" w:cs="Times New Roman"/>
          <w:sz w:val="24"/>
          <w:szCs w:val="24"/>
        </w:rPr>
        <w:t>, pulmonoloģisko vai gremošanas orgānu slimībām samazinās par 5%, novēršot 8 259 saslimšanas gadījumus un potenciālos nāves gadījumus atbilstoši minēto slimību mirstībai uz 100 000 iedzīvotājiem.</w:t>
      </w:r>
    </w:p>
    <w:p w14:paraId="4AB7678A" w14:textId="77777777" w:rsidR="00C35F98" w:rsidRPr="00E93259" w:rsidRDefault="00C35F98">
      <w:pPr>
        <w:shd w:val="clear" w:color="auto" w:fill="FFFFFF" w:themeFill="background1"/>
        <w:ind w:firstLine="720"/>
        <w:jc w:val="both"/>
        <w:rPr>
          <w:rFonts w:ascii="Times New Roman" w:eastAsia="Times New Roman" w:hAnsi="Times New Roman" w:cs="Times New Roman"/>
          <w:b/>
          <w:bCs/>
          <w:sz w:val="24"/>
          <w:szCs w:val="24"/>
        </w:rPr>
      </w:pPr>
      <w:r w:rsidRPr="001E4659">
        <w:rPr>
          <w:rFonts w:ascii="Times New Roman" w:eastAsia="Times New Roman" w:hAnsi="Times New Roman" w:cs="Times New Roman"/>
          <w:b/>
          <w:bCs/>
          <w:sz w:val="24"/>
          <w:szCs w:val="24"/>
        </w:rPr>
        <w:t>Kardiovaskulārās saslimstības mazināšanas</w:t>
      </w:r>
      <w:r w:rsidR="52B20BA9" w:rsidRPr="00E93259">
        <w:rPr>
          <w:rFonts w:ascii="Times New Roman" w:eastAsia="Times New Roman" w:hAnsi="Times New Roman" w:cs="Times New Roman"/>
          <w:b/>
          <w:bCs/>
          <w:sz w:val="24"/>
          <w:szCs w:val="24"/>
        </w:rPr>
        <w:t xml:space="preserve"> un slimību ārstēšanas efektivitātes uzlabošana</w:t>
      </w:r>
    </w:p>
    <w:p w14:paraId="6F527DF7" w14:textId="124F0DD5" w:rsidR="00C35F98" w:rsidRDefault="00C35F98" w:rsidP="64AB90BD">
      <w:pPr>
        <w:shd w:val="clear" w:color="auto" w:fill="FFFFFF" w:themeFill="background1"/>
        <w:ind w:firstLine="720"/>
        <w:jc w:val="both"/>
        <w:rPr>
          <w:rFonts w:ascii="Times New Roman" w:hAnsi="Times New Roman" w:cs="Times New Roman"/>
          <w:sz w:val="24"/>
          <w:szCs w:val="24"/>
        </w:rPr>
      </w:pPr>
      <w:r w:rsidRPr="002A42BC">
        <w:rPr>
          <w:rFonts w:ascii="Times New Roman" w:hAnsi="Times New Roman" w:cs="Times New Roman"/>
          <w:sz w:val="24"/>
          <w:szCs w:val="24"/>
        </w:rPr>
        <w:t>Prognozējot primārās veselības aprūpes reformu ietekmi uz PZMG</w:t>
      </w:r>
      <w:r>
        <w:rPr>
          <w:rFonts w:ascii="Times New Roman" w:hAnsi="Times New Roman" w:cs="Times New Roman"/>
          <w:sz w:val="24"/>
          <w:szCs w:val="24"/>
        </w:rPr>
        <w:t xml:space="preserve"> 2019.gadā un turpmākos gados</w:t>
      </w:r>
      <w:r w:rsidRPr="002A42BC">
        <w:rPr>
          <w:rFonts w:ascii="Times New Roman" w:hAnsi="Times New Roman" w:cs="Times New Roman"/>
          <w:sz w:val="24"/>
          <w:szCs w:val="24"/>
        </w:rPr>
        <w:t xml:space="preserve">, ņemts vērā, ka ģimenes ārsti nodrošina sākuma posmu pārējo reformu veikšanai, tādējādi tiešā veidā atstājot ietekmi uz </w:t>
      </w:r>
      <w:r>
        <w:rPr>
          <w:rFonts w:ascii="Times New Roman" w:hAnsi="Times New Roman" w:cs="Times New Roman"/>
          <w:sz w:val="24"/>
          <w:szCs w:val="24"/>
        </w:rPr>
        <w:t>turpmāko reformas gaitu</w:t>
      </w:r>
      <w:r w:rsidR="00A72827">
        <w:rPr>
          <w:rFonts w:ascii="Times New Roman" w:hAnsi="Times New Roman" w:cs="Times New Roman"/>
          <w:sz w:val="24"/>
          <w:szCs w:val="24"/>
        </w:rPr>
        <w:t xml:space="preserve"> </w:t>
      </w:r>
      <w:r w:rsidR="00D43A3B">
        <w:rPr>
          <w:rFonts w:ascii="Times New Roman" w:hAnsi="Times New Roman" w:cs="Times New Roman"/>
          <w:sz w:val="24"/>
          <w:szCs w:val="24"/>
        </w:rPr>
        <w:t>n</w:t>
      </w:r>
      <w:r>
        <w:rPr>
          <w:rFonts w:ascii="Times New Roman" w:hAnsi="Times New Roman" w:cs="Times New Roman"/>
          <w:sz w:val="24"/>
          <w:szCs w:val="24"/>
        </w:rPr>
        <w:t>osūtot</w:t>
      </w:r>
      <w:r w:rsidRPr="002A42BC">
        <w:rPr>
          <w:rFonts w:ascii="Times New Roman" w:hAnsi="Times New Roman" w:cs="Times New Roman"/>
          <w:sz w:val="24"/>
          <w:szCs w:val="24"/>
        </w:rPr>
        <w:t xml:space="preserve"> pacientus </w:t>
      </w:r>
      <w:r>
        <w:rPr>
          <w:rFonts w:ascii="Times New Roman" w:hAnsi="Times New Roman" w:cs="Times New Roman"/>
          <w:sz w:val="24"/>
          <w:szCs w:val="24"/>
        </w:rPr>
        <w:t xml:space="preserve">ambulatoro pakalpojumu saņemšanai </w:t>
      </w:r>
      <w:r w:rsidRPr="002A42BC">
        <w:rPr>
          <w:rFonts w:ascii="Times New Roman" w:hAnsi="Times New Roman" w:cs="Times New Roman"/>
          <w:sz w:val="24"/>
          <w:szCs w:val="24"/>
        </w:rPr>
        <w:t xml:space="preserve">atbilstoši apstiprinātajam </w:t>
      </w:r>
      <w:r>
        <w:rPr>
          <w:rFonts w:ascii="Times New Roman" w:hAnsi="Times New Roman" w:cs="Times New Roman"/>
          <w:sz w:val="24"/>
          <w:szCs w:val="24"/>
        </w:rPr>
        <w:t>SAS algoritm</w:t>
      </w:r>
      <w:r w:rsidRPr="002A42BC">
        <w:rPr>
          <w:rFonts w:ascii="Times New Roman" w:hAnsi="Times New Roman" w:cs="Times New Roman"/>
          <w:sz w:val="24"/>
          <w:szCs w:val="24"/>
        </w:rPr>
        <w:t>am.</w:t>
      </w:r>
      <w:r>
        <w:rPr>
          <w:rFonts w:ascii="Times New Roman" w:hAnsi="Times New Roman" w:cs="Times New Roman"/>
          <w:sz w:val="24"/>
          <w:szCs w:val="24"/>
        </w:rPr>
        <w:t xml:space="preserve"> </w:t>
      </w:r>
      <w:r w:rsidRPr="001E4659">
        <w:rPr>
          <w:rFonts w:ascii="Times New Roman" w:hAnsi="Times New Roman" w:cs="Times New Roman"/>
          <w:sz w:val="24"/>
          <w:szCs w:val="24"/>
        </w:rPr>
        <w:t xml:space="preserve">Prognozējot PZMG, tiek vērtēta </w:t>
      </w:r>
      <w:r w:rsidRPr="00962FB1">
        <w:rPr>
          <w:rFonts w:ascii="Times New Roman" w:hAnsi="Times New Roman"/>
          <w:sz w:val="24"/>
          <w:szCs w:val="24"/>
        </w:rPr>
        <w:t>p</w:t>
      </w:r>
      <w:r>
        <w:rPr>
          <w:rFonts w:ascii="Times New Roman" w:hAnsi="Times New Roman"/>
          <w:sz w:val="24"/>
          <w:szCs w:val="24"/>
        </w:rPr>
        <w:t xml:space="preserve">rimārās veselības aprūpes uzlabošana, </w:t>
      </w:r>
      <w:r w:rsidRPr="00962FB1">
        <w:rPr>
          <w:rFonts w:ascii="Times New Roman" w:hAnsi="Times New Roman"/>
          <w:sz w:val="24"/>
          <w:szCs w:val="24"/>
        </w:rPr>
        <w:t>sekmējot</w:t>
      </w:r>
      <w:r w:rsidRPr="64AB90BD">
        <w:rPr>
          <w:rFonts w:ascii="Times New Roman" w:hAnsi="Times New Roman"/>
          <w:kern w:val="1"/>
          <w:sz w:val="24"/>
          <w:szCs w:val="24"/>
          <w:lang w:eastAsia="ar-SA"/>
        </w:rPr>
        <w:t xml:space="preserve"> </w:t>
      </w:r>
      <w:r>
        <w:rPr>
          <w:rFonts w:ascii="Times New Roman" w:hAnsi="Times New Roman"/>
          <w:kern w:val="1"/>
          <w:sz w:val="24"/>
          <w:szCs w:val="24"/>
          <w:lang w:eastAsia="ar-SA"/>
        </w:rPr>
        <w:t>SAS profilaksi un agrīnu diagnostiku, tai skaitā ieviešot un attīstot SAS profilaksi iedzīvotājiem 40, 45, 50, 55, 60 un 65 gadu vecumā atbilstoši starptautiski atzītai SCORE metodei, kur</w:t>
      </w:r>
      <w:r w:rsidRPr="64AB90BD">
        <w:rPr>
          <w:rFonts w:ascii="Times New Roman" w:hAnsi="Times New Roman"/>
          <w:kern w:val="1"/>
          <w:sz w:val="24"/>
          <w:szCs w:val="24"/>
          <w:lang w:eastAsia="ar-SA"/>
        </w:rPr>
        <w:t>a</w:t>
      </w:r>
      <w:r>
        <w:rPr>
          <w:rFonts w:ascii="Times New Roman" w:hAnsi="Times New Roman"/>
          <w:kern w:val="1"/>
          <w:sz w:val="24"/>
          <w:szCs w:val="24"/>
          <w:lang w:eastAsia="ar-SA"/>
        </w:rPr>
        <w:t xml:space="preserve">s mērķis ir palīdzēt noteikt nepieciešamo profilaktisko pasākumu apjomu, kā arī izdalīt augsta SAS riska pacientus. </w:t>
      </w:r>
      <w:r w:rsidRPr="00E93259">
        <w:rPr>
          <w:rFonts w:ascii="Times New Roman" w:hAnsi="Times New Roman"/>
          <w:sz w:val="24"/>
          <w:szCs w:val="24"/>
          <w:lang w:eastAsia="ar-SA"/>
        </w:rPr>
        <w:t>P</w:t>
      </w:r>
      <w:r>
        <w:rPr>
          <w:rFonts w:ascii="Times New Roman" w:hAnsi="Times New Roman" w:cs="Times New Roman"/>
          <w:sz w:val="24"/>
          <w:szCs w:val="24"/>
        </w:rPr>
        <w:t xml:space="preserve">rognozējot PZMG samazinājumu </w:t>
      </w:r>
      <w:r w:rsidRPr="00324A07">
        <w:rPr>
          <w:rFonts w:ascii="Times New Roman" w:hAnsi="Times New Roman" w:cs="Times New Roman"/>
          <w:sz w:val="24"/>
          <w:szCs w:val="24"/>
        </w:rPr>
        <w:t xml:space="preserve">līdzekļu no </w:t>
      </w:r>
      <w:r>
        <w:rPr>
          <w:rFonts w:ascii="Times New Roman" w:hAnsi="Times New Roman" w:cs="Times New Roman"/>
          <w:sz w:val="24"/>
          <w:szCs w:val="24"/>
        </w:rPr>
        <w:t xml:space="preserve">Eiropas Komisijas pieļautās budžeta deficīta atkāpes </w:t>
      </w:r>
      <w:r w:rsidRPr="001E4659">
        <w:rPr>
          <w:rFonts w:ascii="Times New Roman" w:hAnsi="Times New Roman" w:cs="Times New Roman"/>
          <w:sz w:val="24"/>
          <w:szCs w:val="24"/>
        </w:rPr>
        <w:t xml:space="preserve">ietekmē </w:t>
      </w:r>
      <w:r w:rsidRPr="00E93259">
        <w:rPr>
          <w:rFonts w:ascii="Times New Roman" w:hAnsi="Times New Roman" w:cs="Times New Roman"/>
          <w:sz w:val="24"/>
          <w:szCs w:val="24"/>
        </w:rPr>
        <w:t>SAS reformu</w:t>
      </w:r>
      <w:r w:rsidRPr="00E93259">
        <w:rPr>
          <w:rFonts w:ascii="Times New Roman" w:hAnsi="Times New Roman" w:cs="Times New Roman"/>
          <w:i/>
          <w:iCs/>
          <w:sz w:val="24"/>
          <w:szCs w:val="24"/>
        </w:rPr>
        <w:t xml:space="preserve"> </w:t>
      </w:r>
      <w:r w:rsidRPr="002A42BC">
        <w:rPr>
          <w:rFonts w:ascii="Times New Roman" w:hAnsi="Times New Roman" w:cs="Times New Roman"/>
          <w:sz w:val="24"/>
          <w:szCs w:val="24"/>
        </w:rPr>
        <w:t>ietvaros,</w:t>
      </w:r>
      <w:r>
        <w:rPr>
          <w:rFonts w:ascii="Times New Roman" w:hAnsi="Times New Roman" w:cs="Times New Roman"/>
          <w:sz w:val="24"/>
          <w:szCs w:val="24"/>
        </w:rPr>
        <w:t xml:space="preserve"> ņemta vērā mirstība no SAS, mirušo skaits līdz 64 gadiem</w:t>
      </w:r>
      <w:r w:rsidRPr="002A42BC">
        <w:rPr>
          <w:rFonts w:ascii="Times New Roman" w:hAnsi="Times New Roman" w:cs="Times New Roman"/>
          <w:sz w:val="24"/>
          <w:szCs w:val="24"/>
        </w:rPr>
        <w:t>,</w:t>
      </w:r>
      <w:r>
        <w:rPr>
          <w:rFonts w:ascii="Times New Roman" w:hAnsi="Times New Roman" w:cs="Times New Roman"/>
          <w:sz w:val="24"/>
          <w:szCs w:val="24"/>
        </w:rPr>
        <w:t xml:space="preserve"> </w:t>
      </w:r>
      <w:r w:rsidRPr="002A42BC">
        <w:rPr>
          <w:rFonts w:ascii="Times New Roman" w:hAnsi="Times New Roman" w:cs="Times New Roman"/>
          <w:sz w:val="24"/>
          <w:szCs w:val="24"/>
        </w:rPr>
        <w:t xml:space="preserve">tas, </w:t>
      </w:r>
      <w:r>
        <w:rPr>
          <w:rFonts w:ascii="Times New Roman" w:hAnsi="Times New Roman" w:cs="Times New Roman"/>
          <w:sz w:val="24"/>
          <w:szCs w:val="24"/>
        </w:rPr>
        <w:t>ka uz vieno miruš</w:t>
      </w:r>
      <w:r w:rsidRPr="002A42BC">
        <w:rPr>
          <w:rFonts w:ascii="Times New Roman" w:hAnsi="Times New Roman" w:cs="Times New Roman"/>
          <w:sz w:val="24"/>
          <w:szCs w:val="24"/>
        </w:rPr>
        <w:t xml:space="preserve">o no SAS vidēji tiek zaudēti 9,78 dzīves gadi un </w:t>
      </w:r>
      <w:r>
        <w:rPr>
          <w:rFonts w:ascii="Times New Roman" w:hAnsi="Times New Roman" w:cs="Times New Roman"/>
          <w:sz w:val="24"/>
          <w:szCs w:val="24"/>
        </w:rPr>
        <w:t>ekspertu novērtējum</w:t>
      </w:r>
      <w:r w:rsidRPr="002A42BC">
        <w:rPr>
          <w:rFonts w:ascii="Times New Roman" w:hAnsi="Times New Roman" w:cs="Times New Roman"/>
          <w:sz w:val="24"/>
          <w:szCs w:val="24"/>
        </w:rPr>
        <w:t>s</w:t>
      </w:r>
      <w:r>
        <w:rPr>
          <w:rFonts w:ascii="Times New Roman" w:hAnsi="Times New Roman" w:cs="Times New Roman"/>
          <w:sz w:val="24"/>
          <w:szCs w:val="24"/>
        </w:rPr>
        <w:t xml:space="preserve"> par prognozējamo mirstības samazinājumu reformu ietvarā par 4</w:t>
      </w:r>
      <w:r w:rsidRPr="002A42BC">
        <w:rPr>
          <w:rFonts w:ascii="Times New Roman" w:hAnsi="Times New Roman" w:cs="Times New Roman"/>
          <w:sz w:val="24"/>
          <w:szCs w:val="24"/>
        </w:rPr>
        <w:t>,2</w:t>
      </w:r>
      <w:r>
        <w:rPr>
          <w:rFonts w:ascii="Times New Roman" w:hAnsi="Times New Roman" w:cs="Times New Roman"/>
          <w:sz w:val="24"/>
          <w:szCs w:val="24"/>
        </w:rPr>
        <w:t>%</w:t>
      </w:r>
      <w:r w:rsidR="52B20BA9" w:rsidRPr="00E93259">
        <w:rPr>
          <w:rFonts w:ascii="Times New Roman" w:hAnsi="Times New Roman" w:cs="Times New Roman"/>
          <w:sz w:val="24"/>
          <w:szCs w:val="24"/>
        </w:rPr>
        <w:t>.</w:t>
      </w:r>
    </w:p>
    <w:p w14:paraId="618CC559" w14:textId="77777777" w:rsidR="004B320A" w:rsidRDefault="004B320A">
      <w:pPr>
        <w:shd w:val="clear" w:color="auto" w:fill="FFFFFF" w:themeFill="background1"/>
        <w:ind w:firstLine="720"/>
        <w:jc w:val="both"/>
        <w:rPr>
          <w:rFonts w:ascii="Times New Roman" w:hAnsi="Times New Roman" w:cs="Times New Roman"/>
          <w:b/>
          <w:bCs/>
          <w:sz w:val="24"/>
          <w:szCs w:val="24"/>
        </w:rPr>
      </w:pPr>
    </w:p>
    <w:p w14:paraId="01228008" w14:textId="59E5D798" w:rsidR="00C35F98" w:rsidRPr="00E93259" w:rsidRDefault="00C35F98">
      <w:pPr>
        <w:shd w:val="clear" w:color="auto" w:fill="FFFFFF" w:themeFill="background1"/>
        <w:ind w:firstLine="720"/>
        <w:jc w:val="both"/>
        <w:rPr>
          <w:rFonts w:ascii="Times New Roman" w:hAnsi="Times New Roman" w:cs="Times New Roman"/>
          <w:b/>
          <w:bCs/>
          <w:sz w:val="24"/>
          <w:szCs w:val="24"/>
        </w:rPr>
      </w:pPr>
      <w:r w:rsidRPr="001E4659">
        <w:rPr>
          <w:rFonts w:ascii="Times New Roman" w:hAnsi="Times New Roman" w:cs="Times New Roman"/>
          <w:b/>
          <w:bCs/>
          <w:sz w:val="24"/>
          <w:szCs w:val="24"/>
        </w:rPr>
        <w:lastRenderedPageBreak/>
        <w:t>Rehabilitācijas pakalpojumu stratēģiskais iepirkums</w:t>
      </w:r>
    </w:p>
    <w:p w14:paraId="0AEEA82B" w14:textId="3E13C31C" w:rsidR="00C35F98" w:rsidRDefault="00C35F98" w:rsidP="00C35F98">
      <w:pPr>
        <w:shd w:val="clear" w:color="auto" w:fill="FFFFFF" w:themeFill="background1"/>
        <w:ind w:firstLine="720"/>
        <w:jc w:val="both"/>
        <w:rPr>
          <w:rFonts w:ascii="Times New Roman" w:hAnsi="Times New Roman" w:cs="Times New Roman"/>
          <w:sz w:val="24"/>
          <w:szCs w:val="24"/>
        </w:rPr>
      </w:pPr>
      <w:r w:rsidRPr="000A6CCA">
        <w:rPr>
          <w:rFonts w:ascii="Times New Roman" w:hAnsi="Times New Roman" w:cs="Times New Roman"/>
          <w:sz w:val="24"/>
          <w:szCs w:val="24"/>
        </w:rPr>
        <w:t>Medicīniskajai rehabilitācijai ir būti</w:t>
      </w:r>
      <w:r>
        <w:rPr>
          <w:rFonts w:ascii="Times New Roman" w:hAnsi="Times New Roman" w:cs="Times New Roman"/>
          <w:sz w:val="24"/>
          <w:szCs w:val="24"/>
        </w:rPr>
        <w:t>ska nozīme darbspēju saglabāšanā un atjaunošanā, kā arī mirstības samazināšanā.</w:t>
      </w:r>
      <w:r w:rsidRPr="000A6CCA">
        <w:rPr>
          <w:rFonts w:ascii="Times New Roman" w:hAnsi="Times New Roman" w:cs="Times New Roman"/>
          <w:sz w:val="24"/>
          <w:szCs w:val="24"/>
        </w:rPr>
        <w:t xml:space="preserve"> </w:t>
      </w:r>
      <w:r>
        <w:rPr>
          <w:rFonts w:ascii="Times New Roman" w:hAnsi="Times New Roman" w:cs="Times New Roman"/>
          <w:sz w:val="24"/>
          <w:szCs w:val="24"/>
        </w:rPr>
        <w:t xml:space="preserve">Rehabilitācijas neesamība vai nepieejamība palielina pacientu mirstību. Nesaņemot savlaicīgus rehabilitācijas pasākumus pirmajā gadā pēc akūtas slimības epizodes pastāv risks nomirt </w:t>
      </w:r>
      <w:r w:rsidRPr="00E93259">
        <w:footnoteReference w:id="89"/>
      </w:r>
      <w:r>
        <w:rPr>
          <w:rFonts w:ascii="Times New Roman" w:hAnsi="Times New Roman" w:cs="Times New Roman"/>
          <w:sz w:val="24"/>
          <w:szCs w:val="24"/>
        </w:rPr>
        <w:t xml:space="preserve"> pacientiem, </w:t>
      </w:r>
      <w:r w:rsidRPr="00CA59EF">
        <w:rPr>
          <w:rFonts w:ascii="Times New Roman" w:hAnsi="Times New Roman" w:cs="Times New Roman"/>
          <w:sz w:val="24"/>
          <w:szCs w:val="24"/>
        </w:rPr>
        <w:t>kardioilogiskiem</w:t>
      </w:r>
      <w:r>
        <w:rPr>
          <w:rFonts w:ascii="Times New Roman" w:hAnsi="Times New Roman" w:cs="Times New Roman"/>
          <w:sz w:val="24"/>
          <w:szCs w:val="24"/>
        </w:rPr>
        <w:t xml:space="preserve"> pacientiem (īpaši pēc lielām </w:t>
      </w:r>
      <w:r w:rsidRPr="00CA59EF">
        <w:rPr>
          <w:rFonts w:ascii="Times New Roman" w:hAnsi="Times New Roman" w:cs="Times New Roman"/>
          <w:sz w:val="24"/>
          <w:szCs w:val="24"/>
        </w:rPr>
        <w:t>kardioloģiskām</w:t>
      </w:r>
      <w:r>
        <w:rPr>
          <w:rFonts w:ascii="Times New Roman" w:hAnsi="Times New Roman" w:cs="Times New Roman"/>
          <w:sz w:val="24"/>
          <w:szCs w:val="24"/>
        </w:rPr>
        <w:t xml:space="preserve"> operācijām</w:t>
      </w:r>
      <w:r w:rsidRPr="00E93259">
        <w:t>￼</w:t>
      </w:r>
      <w:r>
        <w:rPr>
          <w:rFonts w:ascii="Times New Roman" w:hAnsi="Times New Roman" w:cs="Times New Roman"/>
          <w:sz w:val="24"/>
          <w:szCs w:val="24"/>
        </w:rPr>
        <w:t xml:space="preserve">), pacientiem ar koronāro artēriju slimībām un citām SAS, pacientiem pēc smadzeņu insulta, galvas traumas, muguras smadzeņu traumas, </w:t>
      </w:r>
      <w:r w:rsidRPr="00CA59EF">
        <w:rPr>
          <w:rFonts w:ascii="Times New Roman" w:hAnsi="Times New Roman" w:cs="Times New Roman"/>
          <w:sz w:val="24"/>
          <w:szCs w:val="24"/>
        </w:rPr>
        <w:t>neiroonkoloģijas</w:t>
      </w:r>
      <w:r>
        <w:rPr>
          <w:rFonts w:ascii="Times New Roman" w:hAnsi="Times New Roman" w:cs="Times New Roman"/>
          <w:sz w:val="24"/>
          <w:szCs w:val="24"/>
        </w:rPr>
        <w:t xml:space="preserve"> pacientiem, pacientiem ar skoliozi un multiplo sklerozi. Personām ar </w:t>
      </w:r>
      <w:r w:rsidRPr="00CA59EF">
        <w:rPr>
          <w:rFonts w:ascii="Times New Roman" w:hAnsi="Times New Roman" w:cs="Times New Roman"/>
          <w:sz w:val="24"/>
          <w:szCs w:val="24"/>
        </w:rPr>
        <w:t>politraumām</w:t>
      </w:r>
      <w:r>
        <w:rPr>
          <w:rFonts w:ascii="Times New Roman" w:hAnsi="Times New Roman" w:cs="Times New Roman"/>
          <w:sz w:val="24"/>
          <w:szCs w:val="24"/>
        </w:rPr>
        <w:t xml:space="preserve"> un </w:t>
      </w:r>
      <w:r w:rsidRPr="00CA59EF">
        <w:rPr>
          <w:rFonts w:ascii="Times New Roman" w:hAnsi="Times New Roman" w:cs="Times New Roman"/>
          <w:sz w:val="24"/>
          <w:szCs w:val="24"/>
        </w:rPr>
        <w:t>ektremitāšu</w:t>
      </w:r>
      <w:r>
        <w:rPr>
          <w:rFonts w:ascii="Times New Roman" w:hAnsi="Times New Roman" w:cs="Times New Roman"/>
          <w:sz w:val="24"/>
          <w:szCs w:val="24"/>
        </w:rPr>
        <w:t xml:space="preserve"> amputācijām tūlītēja </w:t>
      </w:r>
      <w:r w:rsidRPr="00CA59EF">
        <w:rPr>
          <w:rFonts w:ascii="Times New Roman" w:hAnsi="Times New Roman" w:cs="Times New Roman"/>
          <w:sz w:val="24"/>
          <w:szCs w:val="24"/>
        </w:rPr>
        <w:t>rehabilitācijas aprūpes saņemšana uzreiz pēc akūtas</w:t>
      </w:r>
      <w:r>
        <w:rPr>
          <w:rFonts w:ascii="Times New Roman" w:hAnsi="Times New Roman" w:cs="Times New Roman"/>
          <w:sz w:val="24"/>
          <w:szCs w:val="24"/>
        </w:rPr>
        <w:t xml:space="preserve"> epizodes būtiski </w:t>
      </w:r>
      <w:r w:rsidRPr="00E93259">
        <w:footnoteReference w:id="90"/>
      </w:r>
      <w:r>
        <w:rPr>
          <w:rFonts w:ascii="Times New Roman" w:hAnsi="Times New Roman" w:cs="Times New Roman"/>
          <w:sz w:val="24"/>
          <w:szCs w:val="24"/>
        </w:rPr>
        <w:t>medicīnisko stabilitāti nekā pacientiem</w:t>
      </w:r>
      <w:r w:rsidR="52B20BA9" w:rsidRPr="00E93259">
        <w:rPr>
          <w:rFonts w:ascii="Times New Roman" w:hAnsi="Times New Roman" w:cs="Times New Roman"/>
          <w:sz w:val="24"/>
          <w:szCs w:val="24"/>
        </w:rPr>
        <w:t>, kuri to nav saņēmuši</w:t>
      </w:r>
      <w:r w:rsidR="00D43A3B">
        <w:rPr>
          <w:rStyle w:val="FootnoteReference"/>
          <w:rFonts w:ascii="Times New Roman" w:hAnsi="Times New Roman" w:cs="Times New Roman"/>
          <w:sz w:val="24"/>
          <w:szCs w:val="24"/>
        </w:rPr>
        <w:footnoteReference w:id="91"/>
      </w:r>
      <w:r w:rsidR="52B20BA9" w:rsidRPr="00E93259">
        <w:rPr>
          <w:rFonts w:ascii="Times New Roman" w:hAnsi="Times New Roman" w:cs="Times New Roman"/>
          <w:sz w:val="24"/>
          <w:szCs w:val="24"/>
        </w:rPr>
        <w:t>.</w:t>
      </w:r>
    </w:p>
    <w:p w14:paraId="4007AA71" w14:textId="42631EEB" w:rsidR="00C35F98" w:rsidRDefault="00C35F98"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Nodrošinot rehabilitācijas pakalpojumu stratēģisko iepirkumu, tiek paplašināta iespēja saņemt rehabilitācijas pakalpojumus, kuru rezultātā pacientiem mazināt</w:t>
      </w:r>
      <w:r>
        <w:rPr>
          <w:rFonts w:ascii="Times New Roman" w:hAnsi="Times New Roman" w:cs="Times New Roman"/>
          <w:sz w:val="24"/>
          <w:szCs w:val="24"/>
        </w:rPr>
        <w:t>a</w:t>
      </w:r>
      <w:r w:rsidRPr="64AB90BD">
        <w:rPr>
          <w:rFonts w:ascii="Times New Roman" w:hAnsi="Times New Roman" w:cs="Times New Roman"/>
          <w:sz w:val="24"/>
          <w:szCs w:val="24"/>
        </w:rPr>
        <w:t>s komplikācij</w:t>
      </w:r>
      <w:r>
        <w:rPr>
          <w:rFonts w:ascii="Times New Roman" w:hAnsi="Times New Roman" w:cs="Times New Roman"/>
          <w:sz w:val="24"/>
          <w:szCs w:val="24"/>
        </w:rPr>
        <w:t>u</w:t>
      </w:r>
      <w:r w:rsidRPr="64AB90BD">
        <w:rPr>
          <w:rFonts w:ascii="Times New Roman" w:hAnsi="Times New Roman" w:cs="Times New Roman"/>
          <w:sz w:val="24"/>
          <w:szCs w:val="24"/>
        </w:rPr>
        <w:t xml:space="preserve"> </w:t>
      </w:r>
      <w:r>
        <w:rPr>
          <w:rFonts w:ascii="Times New Roman" w:hAnsi="Times New Roman" w:cs="Times New Roman"/>
          <w:sz w:val="24"/>
          <w:szCs w:val="24"/>
        </w:rPr>
        <w:t xml:space="preserve">risks </w:t>
      </w:r>
      <w:r w:rsidRPr="64AB90BD">
        <w:rPr>
          <w:rFonts w:ascii="Times New Roman" w:hAnsi="Times New Roman" w:cs="Times New Roman"/>
          <w:sz w:val="24"/>
          <w:szCs w:val="24"/>
        </w:rPr>
        <w:t>un funkcionālo spēju ierobežojumi. Nesaņemot medicīnisko rehabilitāciju pēc smagām slimībām vai traumām, pacientam var draudēt invaliditāte vai pat nāve. Savukārt savlaicīga rehabilitācijas saņemšana samazina iespējamas komplikācijas, uzlabo vispārējo fizisko stāvokli un ļauj atgriezties darba tirgū</w:t>
      </w:r>
      <w:r>
        <w:rPr>
          <w:rFonts w:ascii="Times New Roman" w:hAnsi="Times New Roman" w:cs="Times New Roman"/>
          <w:sz w:val="24"/>
          <w:szCs w:val="24"/>
        </w:rPr>
        <w:t>.</w:t>
      </w:r>
    </w:p>
    <w:p w14:paraId="6FA5E78C" w14:textId="40112AC1" w:rsidR="00C35F98" w:rsidRDefault="00C35F98" w:rsidP="64AB90BD">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sz w:val="24"/>
          <w:szCs w:val="24"/>
        </w:rPr>
        <w:t xml:space="preserve">Vērtējot plānoto rehabilitācijas pakalpojumu potenciālo ietekmi uz PZMG samazinājumu, tiek ņemta vērā rehabilitācijas pakalpojumu pozitīva ietekme uz SAS pacientiem, samazinot mirstību par 0,2% no kopējā mirušo no SAS pacientu skaita līdz </w:t>
      </w:r>
      <w:r w:rsidRPr="00763338">
        <w:rPr>
          <w:rFonts w:ascii="Times New Roman" w:hAnsi="Times New Roman" w:cs="Times New Roman"/>
          <w:sz w:val="24"/>
          <w:szCs w:val="24"/>
        </w:rPr>
        <w:t>64 gadiem</w:t>
      </w:r>
      <w:r>
        <w:rPr>
          <w:rFonts w:ascii="Times New Roman" w:hAnsi="Times New Roman" w:cs="Times New Roman"/>
          <w:sz w:val="24"/>
          <w:szCs w:val="24"/>
        </w:rPr>
        <w:t xml:space="preserve">. Savukārt pārējie rehabilitācijas pasākumi </w:t>
      </w:r>
      <w:r w:rsidRPr="64AB90BD">
        <w:rPr>
          <w:rFonts w:ascii="Times New Roman" w:hAnsi="Times New Roman" w:cs="Times New Roman"/>
          <w:sz w:val="24"/>
          <w:szCs w:val="24"/>
        </w:rPr>
        <w:t xml:space="preserve">palielinās vidējo potenciāli atgūto mūža gadu skaitu </w:t>
      </w:r>
      <w:r>
        <w:rPr>
          <w:rFonts w:ascii="Times New Roman" w:hAnsi="Times New Roman" w:cs="Times New Roman"/>
          <w:sz w:val="24"/>
          <w:szCs w:val="24"/>
        </w:rPr>
        <w:t>uz vienu mirstības gadījumu par</w:t>
      </w:r>
      <w:r w:rsidRPr="64AB90BD">
        <w:rPr>
          <w:rFonts w:ascii="Times New Roman" w:hAnsi="Times New Roman" w:cs="Times New Roman"/>
          <w:sz w:val="24"/>
          <w:szCs w:val="24"/>
        </w:rPr>
        <w:t xml:space="preserve"> </w:t>
      </w:r>
      <w:r>
        <w:rPr>
          <w:rFonts w:ascii="Times New Roman" w:hAnsi="Times New Roman" w:cs="Times New Roman"/>
          <w:sz w:val="24"/>
          <w:szCs w:val="24"/>
        </w:rPr>
        <w:t>0,08</w:t>
      </w:r>
      <w:r w:rsidRPr="64AB90BD">
        <w:rPr>
          <w:rFonts w:ascii="Times New Roman" w:hAnsi="Times New Roman" w:cs="Times New Roman"/>
          <w:sz w:val="24"/>
          <w:szCs w:val="24"/>
        </w:rPr>
        <w:t>%</w:t>
      </w:r>
      <w:r>
        <w:rPr>
          <w:rFonts w:ascii="Times New Roman" w:hAnsi="Times New Roman" w:cs="Times New Roman"/>
          <w:sz w:val="24"/>
          <w:szCs w:val="24"/>
        </w:rPr>
        <w:t>, kas 2019.gadā kopā veido 104 potenciāli atgūtos mūža gadus.</w:t>
      </w:r>
    </w:p>
    <w:p w14:paraId="6DA2039B" w14:textId="4F5FD7AE" w:rsidR="00C35F98" w:rsidRPr="00E93259" w:rsidRDefault="00C35F98">
      <w:pPr>
        <w:shd w:val="clear" w:color="auto" w:fill="FFFFFF" w:themeFill="background1"/>
        <w:ind w:firstLine="720"/>
        <w:jc w:val="both"/>
        <w:rPr>
          <w:rFonts w:ascii="Times New Roman" w:hAnsi="Times New Roman" w:cs="Times New Roman"/>
          <w:b/>
          <w:bCs/>
          <w:sz w:val="24"/>
          <w:szCs w:val="24"/>
        </w:rPr>
      </w:pPr>
      <w:r w:rsidRPr="001E4659">
        <w:rPr>
          <w:rFonts w:ascii="Times New Roman" w:hAnsi="Times New Roman" w:cs="Times New Roman"/>
          <w:b/>
          <w:bCs/>
          <w:sz w:val="24"/>
          <w:szCs w:val="24"/>
        </w:rPr>
        <w:t>Psihiskās veselības aprūpes uzlabošana</w:t>
      </w:r>
    </w:p>
    <w:p w14:paraId="4586239A" w14:textId="1C983E40" w:rsidR="00721D7D" w:rsidRDefault="00C35F98" w:rsidP="00E93259">
      <w:pPr>
        <w:spacing w:after="120"/>
        <w:ind w:firstLine="720"/>
        <w:jc w:val="both"/>
        <w:rPr>
          <w:rFonts w:ascii="Times New Roman" w:hAnsi="Times New Roman" w:cs="Times New Roman"/>
          <w:sz w:val="24"/>
          <w:szCs w:val="24"/>
        </w:rPr>
      </w:pPr>
      <w:r>
        <w:rPr>
          <w:rFonts w:ascii="Times New Roman" w:hAnsi="Times New Roman" w:cs="Times New Roman"/>
          <w:sz w:val="24"/>
          <w:szCs w:val="24"/>
        </w:rPr>
        <w:t>Psihisko slimību slogs uz nacionālo ekonomiku un iedzīvotāju labklājību ir augsts. OECD ir definējusi iedzīvotāju garīgas neveselības (“ill-health”)</w:t>
      </w:r>
      <w:r w:rsidRPr="00AA69ED">
        <w:rPr>
          <w:rFonts w:ascii="Times New Roman" w:hAnsi="Times New Roman" w:cs="Times New Roman"/>
          <w:sz w:val="24"/>
          <w:szCs w:val="24"/>
        </w:rPr>
        <w:t xml:space="preserve"> izmaksu komponentes</w:t>
      </w:r>
      <w:r>
        <w:rPr>
          <w:rFonts w:ascii="Times New Roman" w:hAnsi="Times New Roman" w:cs="Times New Roman"/>
          <w:sz w:val="24"/>
          <w:szCs w:val="24"/>
        </w:rPr>
        <w:t>, kas sastāv no tiešām, netiešām, nemateriālām izmaksām un transfertu maksājumiem (</w:t>
      </w:r>
      <w:r w:rsidR="00500E42">
        <w:rPr>
          <w:rFonts w:ascii="Times New Roman" w:hAnsi="Times New Roman" w:cs="Times New Roman"/>
          <w:sz w:val="24"/>
          <w:szCs w:val="24"/>
        </w:rPr>
        <w:t>114</w:t>
      </w:r>
      <w:r>
        <w:rPr>
          <w:rFonts w:ascii="Times New Roman" w:hAnsi="Times New Roman" w:cs="Times New Roman"/>
          <w:sz w:val="24"/>
          <w:szCs w:val="24"/>
        </w:rPr>
        <w:t>.tabula). Pēc OECD datiem</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w:t>
      </w:r>
      <w:r w:rsidRPr="00D175D8">
        <w:rPr>
          <w:rFonts w:ascii="Times New Roman" w:hAnsi="Times New Roman" w:cs="Times New Roman"/>
          <w:sz w:val="24"/>
          <w:szCs w:val="24"/>
        </w:rPr>
        <w:t>garīgās neveselības tiešās un netiešās izmaksas ir ļoti augstas un var sasniegt vairāk nekā 4% no IKP</w:t>
      </w:r>
      <w:r w:rsidR="00721D7D">
        <w:rPr>
          <w:rFonts w:ascii="Times New Roman" w:hAnsi="Times New Roman" w:cs="Times New Roman"/>
          <w:sz w:val="24"/>
          <w:szCs w:val="24"/>
        </w:rPr>
        <w:t>.</w:t>
      </w:r>
    </w:p>
    <w:p w14:paraId="1798E4E2" w14:textId="77777777" w:rsidR="008A336A" w:rsidRDefault="008A336A" w:rsidP="00E93259">
      <w:pPr>
        <w:spacing w:after="120"/>
        <w:ind w:firstLine="720"/>
        <w:jc w:val="both"/>
        <w:rPr>
          <w:rFonts w:ascii="Times New Roman" w:hAnsi="Times New Roman" w:cs="Times New Roman"/>
          <w:sz w:val="24"/>
          <w:szCs w:val="24"/>
        </w:rPr>
      </w:pPr>
    </w:p>
    <w:p w14:paraId="1DCFD0FA" w14:textId="5437E89A" w:rsidR="00C34F4F" w:rsidRDefault="00500E42" w:rsidP="00C51D09">
      <w:pPr>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114</w:t>
      </w:r>
      <w:r w:rsidR="00C34F4F" w:rsidRPr="6494A521">
        <w:rPr>
          <w:rFonts w:ascii="Times New Roman" w:hAnsi="Times New Roman" w:cs="Times New Roman"/>
          <w:i/>
          <w:iCs/>
          <w:sz w:val="24"/>
          <w:szCs w:val="24"/>
        </w:rPr>
        <w:t>.tabula</w:t>
      </w:r>
    </w:p>
    <w:p w14:paraId="4890D1F9" w14:textId="77777777" w:rsidR="00C34F4F" w:rsidRPr="00C476D8" w:rsidRDefault="00C34F4F" w:rsidP="00C51D09">
      <w:pPr>
        <w:spacing w:after="0" w:line="240" w:lineRule="auto"/>
        <w:ind w:firstLine="709"/>
        <w:jc w:val="center"/>
        <w:rPr>
          <w:rFonts w:ascii="Times New Roman" w:hAnsi="Times New Roman" w:cs="Times New Roman"/>
          <w:b/>
          <w:sz w:val="24"/>
          <w:szCs w:val="24"/>
        </w:rPr>
      </w:pPr>
      <w:r w:rsidRPr="00C476D8">
        <w:rPr>
          <w:rFonts w:ascii="Times New Roman" w:hAnsi="Times New Roman" w:cs="Times New Roman"/>
          <w:b/>
          <w:sz w:val="24"/>
          <w:szCs w:val="24"/>
        </w:rPr>
        <w:t>OECD definētas iedzīvotāju garīgas neveselības (“ill-health”) izmaksu komponentes</w:t>
      </w:r>
    </w:p>
    <w:tbl>
      <w:tblPr>
        <w:tblStyle w:val="TableGrid"/>
        <w:tblW w:w="0" w:type="auto"/>
        <w:jc w:val="center"/>
        <w:tblLook w:val="04A0" w:firstRow="1" w:lastRow="0" w:firstColumn="1" w:lastColumn="0" w:noHBand="0" w:noVBand="1"/>
      </w:tblPr>
      <w:tblGrid>
        <w:gridCol w:w="2722"/>
        <w:gridCol w:w="5637"/>
      </w:tblGrid>
      <w:tr w:rsidR="00C34F4F" w14:paraId="01633F3D" w14:textId="77777777" w:rsidTr="704995BB">
        <w:trPr>
          <w:jc w:val="center"/>
        </w:trPr>
        <w:tc>
          <w:tcPr>
            <w:tcW w:w="2722" w:type="dxa"/>
          </w:tcPr>
          <w:p w14:paraId="76D41E69" w14:textId="77777777" w:rsidR="00C34F4F" w:rsidRPr="002A2C94" w:rsidRDefault="00C34F4F" w:rsidP="00C51D09">
            <w:pPr>
              <w:rPr>
                <w:rFonts w:ascii="Times New Roman" w:hAnsi="Times New Roman"/>
                <w:sz w:val="24"/>
                <w:szCs w:val="24"/>
              </w:rPr>
            </w:pPr>
            <w:r w:rsidRPr="002A2C94">
              <w:rPr>
                <w:rFonts w:ascii="Times New Roman" w:hAnsi="Times New Roman"/>
                <w:sz w:val="24"/>
                <w:szCs w:val="24"/>
              </w:rPr>
              <w:t>Tiešās izmaksas:</w:t>
            </w:r>
          </w:p>
        </w:tc>
        <w:tc>
          <w:tcPr>
            <w:tcW w:w="5637" w:type="dxa"/>
          </w:tcPr>
          <w:p w14:paraId="429FA3FF" w14:textId="77777777" w:rsidR="00C34F4F" w:rsidRDefault="00C34F4F" w:rsidP="00C51D09">
            <w:pPr>
              <w:jc w:val="both"/>
              <w:rPr>
                <w:rFonts w:ascii="Times New Roman" w:hAnsi="Times New Roman"/>
                <w:sz w:val="24"/>
                <w:szCs w:val="24"/>
              </w:rPr>
            </w:pPr>
            <w:r>
              <w:rPr>
                <w:rFonts w:ascii="Times New Roman" w:hAnsi="Times New Roman"/>
                <w:sz w:val="24"/>
                <w:szCs w:val="24"/>
              </w:rPr>
              <w:t>S</w:t>
            </w:r>
            <w:r w:rsidRPr="002A6126">
              <w:rPr>
                <w:rFonts w:ascii="Times New Roman" w:hAnsi="Times New Roman"/>
                <w:sz w:val="24"/>
                <w:szCs w:val="24"/>
              </w:rPr>
              <w:t xml:space="preserve">aistītas ar slimības atklāšanu, ārstēšanu, profilaksi un rehabilitāciju un ietver izdevumus par </w:t>
            </w:r>
            <w:r>
              <w:rPr>
                <w:rFonts w:ascii="Times New Roman" w:hAnsi="Times New Roman"/>
                <w:sz w:val="24"/>
                <w:szCs w:val="24"/>
              </w:rPr>
              <w:t xml:space="preserve">visu posmu </w:t>
            </w:r>
            <w:r w:rsidRPr="002A6126">
              <w:rPr>
                <w:rFonts w:ascii="Times New Roman" w:hAnsi="Times New Roman"/>
                <w:sz w:val="24"/>
                <w:szCs w:val="24"/>
              </w:rPr>
              <w:t xml:space="preserve">medicīnisko aprūpi </w:t>
            </w:r>
            <w:r>
              <w:rPr>
                <w:rFonts w:ascii="Times New Roman" w:hAnsi="Times New Roman"/>
                <w:sz w:val="24"/>
                <w:szCs w:val="24"/>
              </w:rPr>
              <w:t xml:space="preserve">un ārstēšanu, tai skaitā atrašanos </w:t>
            </w:r>
            <w:r w:rsidRPr="002A6126">
              <w:rPr>
                <w:rFonts w:ascii="Times New Roman" w:hAnsi="Times New Roman"/>
                <w:sz w:val="24"/>
                <w:szCs w:val="24"/>
              </w:rPr>
              <w:t xml:space="preserve">rehabilitācijas un ilgtermiņa </w:t>
            </w:r>
            <w:r>
              <w:rPr>
                <w:rFonts w:ascii="Times New Roman" w:hAnsi="Times New Roman"/>
                <w:sz w:val="24"/>
                <w:szCs w:val="24"/>
              </w:rPr>
              <w:t>aprūpes iestādēs, medikamentus</w:t>
            </w:r>
            <w:r w:rsidRPr="002A6126">
              <w:rPr>
                <w:rFonts w:ascii="Times New Roman" w:hAnsi="Times New Roman"/>
                <w:sz w:val="24"/>
                <w:szCs w:val="24"/>
              </w:rPr>
              <w:t>, kā arī tiešās sociālās aprūpes izmaksas.</w:t>
            </w:r>
          </w:p>
        </w:tc>
      </w:tr>
      <w:tr w:rsidR="00C34F4F" w14:paraId="23B88625" w14:textId="77777777" w:rsidTr="704995BB">
        <w:trPr>
          <w:jc w:val="center"/>
        </w:trPr>
        <w:tc>
          <w:tcPr>
            <w:tcW w:w="2722" w:type="dxa"/>
          </w:tcPr>
          <w:p w14:paraId="577DB338" w14:textId="77777777" w:rsidR="00C34F4F" w:rsidRPr="002A2C94" w:rsidRDefault="00C34F4F" w:rsidP="00D67DC3">
            <w:pPr>
              <w:rPr>
                <w:rFonts w:ascii="Times New Roman" w:hAnsi="Times New Roman"/>
                <w:sz w:val="24"/>
                <w:szCs w:val="24"/>
              </w:rPr>
            </w:pPr>
            <w:r w:rsidRPr="002A2C94">
              <w:rPr>
                <w:rFonts w:ascii="Times New Roman" w:hAnsi="Times New Roman"/>
                <w:sz w:val="24"/>
                <w:szCs w:val="24"/>
              </w:rPr>
              <w:t>Netiešās izmaksas:</w:t>
            </w:r>
          </w:p>
        </w:tc>
        <w:tc>
          <w:tcPr>
            <w:tcW w:w="5637" w:type="dxa"/>
          </w:tcPr>
          <w:p w14:paraId="0C513DB2" w14:textId="77777777" w:rsidR="00C34F4F" w:rsidRDefault="00C34F4F" w:rsidP="00D67DC3">
            <w:pPr>
              <w:spacing w:line="276" w:lineRule="auto"/>
              <w:jc w:val="both"/>
              <w:rPr>
                <w:rFonts w:ascii="Times New Roman" w:hAnsi="Times New Roman"/>
                <w:sz w:val="24"/>
                <w:szCs w:val="24"/>
              </w:rPr>
            </w:pPr>
            <w:r>
              <w:rPr>
                <w:rFonts w:ascii="Times New Roman" w:hAnsi="Times New Roman"/>
                <w:sz w:val="24"/>
                <w:szCs w:val="24"/>
              </w:rPr>
              <w:t xml:space="preserve">Ietekme uz darba tirgu, t.i. </w:t>
            </w:r>
            <w:r w:rsidRPr="002A6126">
              <w:rPr>
                <w:rFonts w:ascii="Times New Roman" w:hAnsi="Times New Roman"/>
                <w:sz w:val="24"/>
                <w:szCs w:val="24"/>
              </w:rPr>
              <w:t>samazinā</w:t>
            </w:r>
            <w:r>
              <w:rPr>
                <w:rFonts w:ascii="Times New Roman" w:hAnsi="Times New Roman"/>
                <w:sz w:val="24"/>
                <w:szCs w:val="24"/>
              </w:rPr>
              <w:t>ta darbaspēka pieejamība psihisko slimību</w:t>
            </w:r>
            <w:r w:rsidRPr="002A6126">
              <w:rPr>
                <w:rFonts w:ascii="Times New Roman" w:hAnsi="Times New Roman"/>
                <w:sz w:val="24"/>
                <w:szCs w:val="24"/>
              </w:rPr>
              <w:t xml:space="preserve"> dēļ. </w:t>
            </w:r>
            <w:r>
              <w:rPr>
                <w:rFonts w:ascii="Times New Roman" w:hAnsi="Times New Roman"/>
                <w:sz w:val="24"/>
                <w:szCs w:val="24"/>
              </w:rPr>
              <w:t>Ģ</w:t>
            </w:r>
            <w:r w:rsidRPr="002A6126">
              <w:rPr>
                <w:rFonts w:ascii="Times New Roman" w:hAnsi="Times New Roman"/>
                <w:sz w:val="24"/>
                <w:szCs w:val="24"/>
              </w:rPr>
              <w:t>imenes locekļi</w:t>
            </w:r>
            <w:r>
              <w:rPr>
                <w:rFonts w:ascii="Times New Roman" w:hAnsi="Times New Roman"/>
                <w:sz w:val="24"/>
                <w:szCs w:val="24"/>
              </w:rPr>
              <w:t xml:space="preserve">em papildus izdevumi </w:t>
            </w:r>
            <w:r w:rsidRPr="002A6126">
              <w:rPr>
                <w:rFonts w:ascii="Times New Roman" w:hAnsi="Times New Roman"/>
                <w:sz w:val="24"/>
                <w:szCs w:val="24"/>
              </w:rPr>
              <w:t>darba nespējas dēļ vai priekšlaicīgās mirstības dēļ.</w:t>
            </w:r>
            <w:r>
              <w:rPr>
                <w:rFonts w:ascii="Times New Roman" w:hAnsi="Times New Roman"/>
                <w:sz w:val="24"/>
                <w:szCs w:val="24"/>
              </w:rPr>
              <w:t xml:space="preserve"> </w:t>
            </w:r>
            <w:r w:rsidRPr="002A6126">
              <w:rPr>
                <w:rFonts w:ascii="Times New Roman" w:hAnsi="Times New Roman"/>
                <w:sz w:val="24"/>
                <w:szCs w:val="24"/>
              </w:rPr>
              <w:t>Izdevumi par citām precēm un pakalpojumiem</w:t>
            </w:r>
            <w:r>
              <w:rPr>
                <w:rFonts w:ascii="Times New Roman" w:hAnsi="Times New Roman"/>
                <w:sz w:val="24"/>
                <w:szCs w:val="24"/>
              </w:rPr>
              <w:t xml:space="preserve">, kas ir saistīti vai ko ir radījis cilvēks ar psihisku saslimšanu, </w:t>
            </w:r>
            <w:r w:rsidRPr="002A6126">
              <w:rPr>
                <w:rFonts w:ascii="Times New Roman" w:hAnsi="Times New Roman"/>
                <w:sz w:val="24"/>
                <w:szCs w:val="24"/>
              </w:rPr>
              <w:t>piemēram</w:t>
            </w:r>
            <w:r>
              <w:rPr>
                <w:rFonts w:ascii="Times New Roman" w:hAnsi="Times New Roman"/>
                <w:sz w:val="24"/>
                <w:szCs w:val="24"/>
              </w:rPr>
              <w:t>,</w:t>
            </w:r>
            <w:r w:rsidRPr="002A6126">
              <w:rPr>
                <w:rFonts w:ascii="Times New Roman" w:hAnsi="Times New Roman"/>
                <w:sz w:val="24"/>
                <w:szCs w:val="24"/>
              </w:rPr>
              <w:t xml:space="preserve"> </w:t>
            </w:r>
            <w:r>
              <w:rPr>
                <w:rFonts w:ascii="Times New Roman" w:hAnsi="Times New Roman"/>
                <w:sz w:val="24"/>
                <w:szCs w:val="24"/>
              </w:rPr>
              <w:t xml:space="preserve">ugunsgrēku postījumi (piemēram, </w:t>
            </w:r>
            <w:r w:rsidRPr="002A6126">
              <w:rPr>
                <w:rFonts w:ascii="Times New Roman" w:hAnsi="Times New Roman"/>
                <w:sz w:val="24"/>
                <w:szCs w:val="24"/>
              </w:rPr>
              <w:t>s</w:t>
            </w:r>
            <w:r>
              <w:rPr>
                <w:rFonts w:ascii="Times New Roman" w:hAnsi="Times New Roman"/>
                <w:sz w:val="24"/>
                <w:szCs w:val="24"/>
              </w:rPr>
              <w:t>mēķēšanas izraisīti ugunsgrēki) un</w:t>
            </w:r>
            <w:r w:rsidRPr="002A6126">
              <w:rPr>
                <w:rFonts w:ascii="Times New Roman" w:hAnsi="Times New Roman"/>
                <w:sz w:val="24"/>
                <w:szCs w:val="24"/>
              </w:rPr>
              <w:t xml:space="preserve"> kriminālie pārkāpumi (piemēram, alkohola lietošanas vai narkomānijas dēļ). Specifiskie produkti</w:t>
            </w:r>
            <w:r>
              <w:rPr>
                <w:rFonts w:ascii="Times New Roman" w:hAnsi="Times New Roman"/>
                <w:sz w:val="24"/>
                <w:szCs w:val="24"/>
              </w:rPr>
              <w:t>, preces un pakalpojumi.</w:t>
            </w:r>
          </w:p>
        </w:tc>
      </w:tr>
      <w:tr w:rsidR="00C34F4F" w14:paraId="68AB8144" w14:textId="77777777" w:rsidTr="008A336A">
        <w:trPr>
          <w:trHeight w:val="60"/>
          <w:jc w:val="center"/>
        </w:trPr>
        <w:tc>
          <w:tcPr>
            <w:tcW w:w="2722" w:type="dxa"/>
            <w:tcBorders>
              <w:bottom w:val="single" w:sz="4" w:space="0" w:color="auto"/>
            </w:tcBorders>
          </w:tcPr>
          <w:p w14:paraId="78FF00EB" w14:textId="77777777" w:rsidR="00C34F4F" w:rsidRPr="002A2C94" w:rsidRDefault="00C34F4F" w:rsidP="00D67DC3">
            <w:pPr>
              <w:rPr>
                <w:rFonts w:ascii="Times New Roman" w:hAnsi="Times New Roman"/>
                <w:sz w:val="24"/>
                <w:szCs w:val="24"/>
              </w:rPr>
            </w:pPr>
            <w:r>
              <w:rPr>
                <w:rFonts w:ascii="Times New Roman" w:hAnsi="Times New Roman"/>
                <w:sz w:val="24"/>
                <w:szCs w:val="24"/>
              </w:rPr>
              <w:t>Ne</w:t>
            </w:r>
            <w:r w:rsidRPr="002A2C94">
              <w:rPr>
                <w:rFonts w:ascii="Times New Roman" w:hAnsi="Times New Roman"/>
                <w:sz w:val="24"/>
                <w:szCs w:val="24"/>
              </w:rPr>
              <w:t>materiālās izmaksas:</w:t>
            </w:r>
          </w:p>
        </w:tc>
        <w:tc>
          <w:tcPr>
            <w:tcW w:w="5637" w:type="dxa"/>
            <w:tcBorders>
              <w:bottom w:val="single" w:sz="4" w:space="0" w:color="auto"/>
            </w:tcBorders>
          </w:tcPr>
          <w:p w14:paraId="69D34283" w14:textId="77777777" w:rsidR="00C34F4F" w:rsidRDefault="64AB90BD" w:rsidP="64AB90BD">
            <w:pPr>
              <w:shd w:val="clear" w:color="auto" w:fill="FFFFFF" w:themeFill="background1"/>
              <w:jc w:val="both"/>
              <w:rPr>
                <w:rFonts w:ascii="Times New Roman" w:hAnsi="Times New Roman"/>
                <w:sz w:val="24"/>
                <w:szCs w:val="24"/>
              </w:rPr>
            </w:pPr>
            <w:r w:rsidRPr="64AB90BD">
              <w:rPr>
                <w:rFonts w:ascii="Times New Roman" w:hAnsi="Times New Roman"/>
                <w:sz w:val="24"/>
                <w:szCs w:val="24"/>
              </w:rPr>
              <w:t>Sāpes, ciešanas un vēlme izvairīties no tālākās saslimstības un priekšlaicīgas mirstības. Sabiedrības reakcija un refleksija.</w:t>
            </w:r>
          </w:p>
        </w:tc>
      </w:tr>
      <w:tr w:rsidR="00C34F4F" w14:paraId="5007F6C9" w14:textId="77777777" w:rsidTr="008A336A">
        <w:trPr>
          <w:jc w:val="center"/>
        </w:trPr>
        <w:tc>
          <w:tcPr>
            <w:tcW w:w="2722" w:type="dxa"/>
            <w:tcBorders>
              <w:bottom w:val="single" w:sz="4" w:space="0" w:color="auto"/>
            </w:tcBorders>
          </w:tcPr>
          <w:p w14:paraId="168AFA34" w14:textId="77777777" w:rsidR="00C34F4F" w:rsidRPr="002A2C94" w:rsidRDefault="00C34F4F" w:rsidP="00D67DC3">
            <w:pPr>
              <w:rPr>
                <w:rFonts w:ascii="Times New Roman" w:hAnsi="Times New Roman"/>
                <w:sz w:val="24"/>
                <w:szCs w:val="24"/>
              </w:rPr>
            </w:pPr>
            <w:r w:rsidRPr="002A2C94">
              <w:rPr>
                <w:rFonts w:ascii="Times New Roman" w:hAnsi="Times New Roman"/>
                <w:sz w:val="24"/>
                <w:szCs w:val="24"/>
              </w:rPr>
              <w:t>Transfertu maksājumi:</w:t>
            </w:r>
          </w:p>
        </w:tc>
        <w:tc>
          <w:tcPr>
            <w:tcW w:w="5637" w:type="dxa"/>
            <w:tcBorders>
              <w:bottom w:val="single" w:sz="4" w:space="0" w:color="auto"/>
            </w:tcBorders>
          </w:tcPr>
          <w:p w14:paraId="6CAD50F7" w14:textId="77777777" w:rsidR="00C34F4F" w:rsidRDefault="00C34F4F" w:rsidP="00D67DC3">
            <w:pPr>
              <w:spacing w:line="276" w:lineRule="auto"/>
              <w:jc w:val="both"/>
              <w:rPr>
                <w:rFonts w:ascii="Times New Roman" w:hAnsi="Times New Roman"/>
                <w:sz w:val="24"/>
                <w:szCs w:val="24"/>
              </w:rPr>
            </w:pPr>
            <w:r>
              <w:rPr>
                <w:rFonts w:ascii="Times New Roman" w:hAnsi="Times New Roman"/>
                <w:sz w:val="24"/>
                <w:szCs w:val="24"/>
              </w:rPr>
              <w:t>S</w:t>
            </w:r>
            <w:r w:rsidRPr="002A6126">
              <w:rPr>
                <w:rFonts w:ascii="Times New Roman" w:hAnsi="Times New Roman"/>
                <w:sz w:val="24"/>
                <w:szCs w:val="24"/>
              </w:rPr>
              <w:t>ociāli</w:t>
            </w:r>
            <w:r>
              <w:rPr>
                <w:rFonts w:ascii="Times New Roman" w:hAnsi="Times New Roman"/>
                <w:sz w:val="24"/>
                <w:szCs w:val="24"/>
              </w:rPr>
              <w:t>e</w:t>
            </w:r>
            <w:r w:rsidRPr="002A6126">
              <w:rPr>
                <w:rFonts w:ascii="Times New Roman" w:hAnsi="Times New Roman"/>
                <w:sz w:val="24"/>
                <w:szCs w:val="24"/>
              </w:rPr>
              <w:t xml:space="preserve"> maksājumi un pabalsti, kas ir saistīti ar īslaicīgu vai pastā</w:t>
            </w:r>
            <w:r>
              <w:rPr>
                <w:rFonts w:ascii="Times New Roman" w:hAnsi="Times New Roman"/>
                <w:sz w:val="24"/>
                <w:szCs w:val="24"/>
              </w:rPr>
              <w:t xml:space="preserve">vīgu darba nespēju slimības dēļ, </w:t>
            </w:r>
            <w:r w:rsidRPr="002A6126">
              <w:rPr>
                <w:rFonts w:ascii="Times New Roman" w:hAnsi="Times New Roman"/>
                <w:sz w:val="24"/>
                <w:szCs w:val="24"/>
              </w:rPr>
              <w:t>slimā cilvēka kopšanu u.c.</w:t>
            </w:r>
          </w:p>
        </w:tc>
      </w:tr>
    </w:tbl>
    <w:p w14:paraId="5C935BF4" w14:textId="36119C07" w:rsidR="00C34F4F" w:rsidRPr="00A05803" w:rsidRDefault="00C34F4F" w:rsidP="00C34F4F">
      <w:pPr>
        <w:jc w:val="both"/>
        <w:rPr>
          <w:rFonts w:ascii="Times New Roman" w:hAnsi="Times New Roman" w:cs="Times New Roman"/>
          <w:i/>
          <w:iCs/>
          <w:sz w:val="20"/>
          <w:szCs w:val="20"/>
          <w:lang w:val="en-GB"/>
        </w:rPr>
      </w:pPr>
      <w:r w:rsidRPr="002A42BC">
        <w:rPr>
          <w:rFonts w:ascii="Times New Roman" w:hAnsi="Times New Roman" w:cs="Times New Roman"/>
          <w:i/>
          <w:iCs/>
          <w:sz w:val="20"/>
          <w:szCs w:val="20"/>
        </w:rPr>
        <w:t xml:space="preserve">Avots: VM </w:t>
      </w:r>
      <w:r>
        <w:rPr>
          <w:rFonts w:ascii="Times New Roman" w:hAnsi="Times New Roman" w:cs="Times New Roman"/>
          <w:i/>
          <w:iCs/>
          <w:sz w:val="20"/>
          <w:szCs w:val="20"/>
        </w:rPr>
        <w:t xml:space="preserve">pēc </w:t>
      </w:r>
      <w:r w:rsidRPr="00C36935">
        <w:rPr>
          <w:rFonts w:ascii="Times New Roman" w:hAnsi="Times New Roman" w:cs="Times New Roman"/>
          <w:i/>
          <w:iCs/>
          <w:sz w:val="20"/>
          <w:szCs w:val="20"/>
        </w:rPr>
        <w:t xml:space="preserve">OECD (2014), </w:t>
      </w:r>
      <w:r w:rsidRPr="00A05803">
        <w:rPr>
          <w:rFonts w:ascii="Times New Roman" w:hAnsi="Times New Roman" w:cs="Times New Roman"/>
          <w:i/>
          <w:iCs/>
          <w:sz w:val="20"/>
          <w:szCs w:val="20"/>
          <w:lang w:val="en-GB"/>
        </w:rPr>
        <w:t>Making Mental Health Count: The Social and Economic Costs of Neglecting Mental Health Care, OECD Health Policy Studies, OECD Publishing.</w:t>
      </w:r>
    </w:p>
    <w:p w14:paraId="7C84C037" w14:textId="77777777" w:rsidR="00C35F98" w:rsidRPr="00CD7DB3" w:rsidRDefault="00C35F98" w:rsidP="00C35F98">
      <w:pPr>
        <w:spacing w:before="200"/>
        <w:ind w:firstLine="709"/>
        <w:jc w:val="both"/>
        <w:rPr>
          <w:rFonts w:ascii="Times New Roman" w:eastAsia="Times New Roman" w:hAnsi="Times New Roman" w:cs="Times New Roman"/>
          <w:color w:val="000000"/>
          <w:lang w:eastAsia="lv-LV"/>
        </w:rPr>
      </w:pPr>
      <w:r>
        <w:rPr>
          <w:rFonts w:ascii="Times New Roman" w:hAnsi="Times New Roman" w:cs="Times New Roman"/>
          <w:sz w:val="24"/>
          <w:szCs w:val="24"/>
        </w:rPr>
        <w:t>Psihiskiem</w:t>
      </w:r>
      <w:r w:rsidRPr="00D24DE5">
        <w:rPr>
          <w:rFonts w:ascii="Times New Roman" w:hAnsi="Times New Roman" w:cs="Times New Roman"/>
          <w:sz w:val="24"/>
          <w:szCs w:val="24"/>
        </w:rPr>
        <w:t xml:space="preserve"> traucējumiem ir būtiska ietekme uz sabiedrību, kas veicina bezdarbu</w:t>
      </w:r>
      <w:r w:rsidRPr="001E4659">
        <w:rPr>
          <w:rFonts w:ascii="Times New Roman" w:hAnsi="Times New Roman" w:cs="Times New Roman"/>
          <w:i/>
          <w:iCs/>
          <w:sz w:val="24"/>
          <w:szCs w:val="24"/>
        </w:rPr>
        <w:t>, izkrišanu</w:t>
      </w:r>
      <w:r>
        <w:rPr>
          <w:rFonts w:ascii="Times New Roman" w:hAnsi="Times New Roman" w:cs="Times New Roman"/>
          <w:sz w:val="24"/>
          <w:szCs w:val="24"/>
        </w:rPr>
        <w:t xml:space="preserve"> no darba tirgus slimības dēļ</w:t>
      </w:r>
      <w:r w:rsidRPr="00D24DE5">
        <w:rPr>
          <w:rFonts w:ascii="Times New Roman" w:hAnsi="Times New Roman" w:cs="Times New Roman"/>
          <w:sz w:val="24"/>
          <w:szCs w:val="24"/>
        </w:rPr>
        <w:t xml:space="preserve"> un darba </w:t>
      </w:r>
      <w:r>
        <w:rPr>
          <w:rFonts w:ascii="Times New Roman" w:hAnsi="Times New Roman" w:cs="Times New Roman"/>
          <w:sz w:val="24"/>
          <w:szCs w:val="24"/>
        </w:rPr>
        <w:t>spēju</w:t>
      </w:r>
      <w:r w:rsidRPr="00D24DE5">
        <w:rPr>
          <w:rFonts w:ascii="Times New Roman" w:hAnsi="Times New Roman" w:cs="Times New Roman"/>
          <w:sz w:val="24"/>
          <w:szCs w:val="24"/>
        </w:rPr>
        <w:t xml:space="preserve"> zudumu.</w:t>
      </w:r>
      <w:r>
        <w:rPr>
          <w:rFonts w:ascii="Times New Roman" w:hAnsi="Times New Roman" w:cs="Times New Roman"/>
          <w:sz w:val="24"/>
          <w:szCs w:val="24"/>
        </w:rPr>
        <w:t xml:space="preserve"> C</w:t>
      </w:r>
      <w:r w:rsidRPr="00D24DE5">
        <w:rPr>
          <w:rFonts w:ascii="Times New Roman" w:hAnsi="Times New Roman" w:cs="Times New Roman"/>
          <w:sz w:val="24"/>
          <w:szCs w:val="24"/>
        </w:rPr>
        <w:t>ilvēki ar smagām</w:t>
      </w:r>
      <w:r>
        <w:rPr>
          <w:rFonts w:ascii="Times New Roman" w:hAnsi="Times New Roman" w:cs="Times New Roman"/>
          <w:sz w:val="24"/>
          <w:szCs w:val="24"/>
        </w:rPr>
        <w:t xml:space="preserve"> psihiskām</w:t>
      </w:r>
      <w:r w:rsidRPr="00D24DE5">
        <w:rPr>
          <w:rFonts w:ascii="Times New Roman" w:hAnsi="Times New Roman" w:cs="Times New Roman"/>
          <w:sz w:val="24"/>
          <w:szCs w:val="24"/>
        </w:rPr>
        <w:t xml:space="preserve"> saslimšanām mirst </w:t>
      </w:r>
      <w:r>
        <w:rPr>
          <w:rFonts w:ascii="Times New Roman" w:hAnsi="Times New Roman" w:cs="Times New Roman"/>
          <w:sz w:val="24"/>
          <w:szCs w:val="24"/>
        </w:rPr>
        <w:t xml:space="preserve">vidēji par </w:t>
      </w:r>
      <w:r w:rsidRPr="00D24DE5">
        <w:rPr>
          <w:rFonts w:ascii="Times New Roman" w:hAnsi="Times New Roman" w:cs="Times New Roman"/>
          <w:sz w:val="24"/>
          <w:szCs w:val="24"/>
        </w:rPr>
        <w:t xml:space="preserve">20 gadiem </w:t>
      </w:r>
      <w:r>
        <w:rPr>
          <w:rFonts w:ascii="Times New Roman" w:hAnsi="Times New Roman" w:cs="Times New Roman"/>
          <w:sz w:val="24"/>
          <w:szCs w:val="24"/>
        </w:rPr>
        <w:t>ātrāk salīdzinot ar veseliem vienaudžiem</w:t>
      </w:r>
      <w:r w:rsidRPr="00D24DE5">
        <w:rPr>
          <w:rFonts w:ascii="Times New Roman" w:hAnsi="Times New Roman" w:cs="Times New Roman"/>
          <w:sz w:val="24"/>
          <w:szCs w:val="24"/>
        </w:rPr>
        <w:t xml:space="preserve">, </w:t>
      </w:r>
      <w:r>
        <w:rPr>
          <w:rFonts w:ascii="Times New Roman" w:hAnsi="Times New Roman" w:cs="Times New Roman"/>
          <w:sz w:val="24"/>
          <w:szCs w:val="24"/>
        </w:rPr>
        <w:t xml:space="preserve">starp </w:t>
      </w:r>
      <w:r w:rsidRPr="00D24DE5">
        <w:rPr>
          <w:rFonts w:ascii="Times New Roman" w:hAnsi="Times New Roman" w:cs="Times New Roman"/>
          <w:sz w:val="24"/>
          <w:szCs w:val="24"/>
        </w:rPr>
        <w:t xml:space="preserve">viņiem ir </w:t>
      </w:r>
      <w:r>
        <w:rPr>
          <w:rFonts w:ascii="Times New Roman" w:hAnsi="Times New Roman" w:cs="Times New Roman"/>
          <w:sz w:val="24"/>
          <w:szCs w:val="24"/>
        </w:rPr>
        <w:t xml:space="preserve">raksturīgs </w:t>
      </w:r>
      <w:r w:rsidRPr="00D24DE5">
        <w:rPr>
          <w:rFonts w:ascii="Times New Roman" w:hAnsi="Times New Roman" w:cs="Times New Roman"/>
          <w:sz w:val="24"/>
          <w:szCs w:val="24"/>
        </w:rPr>
        <w:t>daudz lielāks bezdarb</w:t>
      </w:r>
      <w:r>
        <w:rPr>
          <w:rFonts w:ascii="Times New Roman" w:hAnsi="Times New Roman" w:cs="Times New Roman"/>
          <w:sz w:val="24"/>
          <w:szCs w:val="24"/>
        </w:rPr>
        <w:t>a līmenis</w:t>
      </w:r>
      <w:r w:rsidRPr="00D24DE5">
        <w:rPr>
          <w:rFonts w:ascii="Times New Roman" w:hAnsi="Times New Roman" w:cs="Times New Roman"/>
          <w:sz w:val="24"/>
          <w:szCs w:val="24"/>
        </w:rPr>
        <w:t xml:space="preserve"> un viņi ir nabadzīgāki par iedzīvotājiem kopumā.</w:t>
      </w:r>
      <w:r>
        <w:rPr>
          <w:rFonts w:ascii="Times New Roman" w:hAnsi="Times New Roman" w:cs="Times New Roman"/>
          <w:sz w:val="24"/>
          <w:szCs w:val="24"/>
        </w:rPr>
        <w:t xml:space="preserve"> P</w:t>
      </w:r>
      <w:r w:rsidRPr="008A12B0">
        <w:rPr>
          <w:rFonts w:ascii="Times New Roman" w:hAnsi="Times New Roman" w:cs="Times New Roman"/>
          <w:sz w:val="24"/>
          <w:szCs w:val="24"/>
        </w:rPr>
        <w:t>ašnā</w:t>
      </w:r>
      <w:r>
        <w:rPr>
          <w:rFonts w:ascii="Times New Roman" w:hAnsi="Times New Roman" w:cs="Times New Roman"/>
          <w:sz w:val="24"/>
          <w:szCs w:val="24"/>
        </w:rPr>
        <w:t>vības gadījumi ir cieši saistīti</w:t>
      </w:r>
      <w:r w:rsidRPr="008A12B0">
        <w:rPr>
          <w:rFonts w:ascii="Times New Roman" w:hAnsi="Times New Roman" w:cs="Times New Roman"/>
          <w:sz w:val="24"/>
          <w:szCs w:val="24"/>
        </w:rPr>
        <w:t xml:space="preserve"> ar psihiskās veselības traucējumiem</w:t>
      </w:r>
      <w:r>
        <w:rPr>
          <w:rFonts w:ascii="Times New Roman" w:hAnsi="Times New Roman" w:cs="Times New Roman"/>
          <w:sz w:val="24"/>
          <w:szCs w:val="24"/>
        </w:rPr>
        <w:t xml:space="preserve">. Īstenojot ziņojumā aprakstītos pasākumus, </w:t>
      </w:r>
      <w:r w:rsidRPr="002D3A92">
        <w:rPr>
          <w:rFonts w:ascii="Times New Roman" w:hAnsi="Times New Roman" w:cs="Times New Roman"/>
          <w:sz w:val="24"/>
          <w:szCs w:val="24"/>
        </w:rPr>
        <w:t>nodrošin</w:t>
      </w:r>
      <w:r>
        <w:rPr>
          <w:rFonts w:ascii="Times New Roman" w:hAnsi="Times New Roman" w:cs="Times New Roman"/>
          <w:sz w:val="24"/>
          <w:szCs w:val="24"/>
        </w:rPr>
        <w:t>o</w:t>
      </w:r>
      <w:r w:rsidRPr="002D3A92">
        <w:rPr>
          <w:rFonts w:ascii="Times New Roman" w:hAnsi="Times New Roman" w:cs="Times New Roman"/>
          <w:sz w:val="24"/>
          <w:szCs w:val="24"/>
        </w:rPr>
        <w:t>t savlaicīgu veselības pakalpojumu pieejamību pacientiem ar diagnosticētiem psihiskiem traucējumiem</w:t>
      </w:r>
      <w:r>
        <w:rPr>
          <w:rFonts w:ascii="Times New Roman" w:hAnsi="Times New Roman" w:cs="Times New Roman"/>
          <w:sz w:val="24"/>
          <w:szCs w:val="24"/>
        </w:rPr>
        <w:t xml:space="preserve">, tiks uzlabota iedzīvotāju psihiskā veselība un samazināti savainošanās, citu slimību saasināšanas un pašnāvības riski. 2017.gadā no </w:t>
      </w:r>
      <w:r w:rsidRPr="006A5078">
        <w:rPr>
          <w:rFonts w:ascii="Times New Roman" w:hAnsi="Times New Roman" w:cs="Times New Roman"/>
          <w:sz w:val="24"/>
          <w:szCs w:val="24"/>
        </w:rPr>
        <w:t xml:space="preserve">pašnāvībām ir miruši 354 cilvēki, no tiem 263 vecumā līdz 64 gadiem, kopumā potenciāli zaudējot </w:t>
      </w:r>
      <w:r w:rsidRPr="00CD7DB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 </w:t>
      </w:r>
      <w:r w:rsidRPr="00CD7DB3">
        <w:rPr>
          <w:rFonts w:ascii="Times New Roman" w:eastAsia="Times New Roman" w:hAnsi="Times New Roman" w:cs="Times New Roman"/>
          <w:color w:val="000000"/>
          <w:sz w:val="24"/>
          <w:szCs w:val="24"/>
          <w:lang w:eastAsia="lv-LV"/>
        </w:rPr>
        <w:t>452 mūža gadus</w:t>
      </w:r>
      <w:r>
        <w:rPr>
          <w:rFonts w:ascii="Times New Roman" w:eastAsia="Times New Roman" w:hAnsi="Times New Roman" w:cs="Times New Roman"/>
          <w:color w:val="000000"/>
          <w:sz w:val="24"/>
          <w:szCs w:val="24"/>
          <w:lang w:eastAsia="lv-LV"/>
        </w:rPr>
        <w:t xml:space="preserve"> (SPKC dati)</w:t>
      </w:r>
      <w:r w:rsidRPr="00CD7DB3">
        <w:rPr>
          <w:rFonts w:ascii="Times New Roman" w:eastAsia="Times New Roman" w:hAnsi="Times New Roman" w:cs="Times New Roman"/>
          <w:color w:val="000000"/>
          <w:sz w:val="24"/>
          <w:szCs w:val="24"/>
          <w:lang w:eastAsia="lv-LV"/>
        </w:rPr>
        <w:t>. Ziņojumā aprakstītie pasākumi, pēc eksperta vērtējuma, 5 gadu laikā atstās ietekmi uz potenciāli zaudētiem mūža gadiem, samazinot tos par 6%.</w:t>
      </w:r>
      <w:r>
        <w:rPr>
          <w:rFonts w:ascii="Times New Roman" w:eastAsia="Times New Roman" w:hAnsi="Times New Roman" w:cs="Times New Roman"/>
          <w:color w:val="000000"/>
          <w:lang w:eastAsia="lv-LV"/>
        </w:rPr>
        <w:t xml:space="preserve"> </w:t>
      </w:r>
    </w:p>
    <w:p w14:paraId="771475D0" w14:textId="77777777" w:rsidR="002C53A2" w:rsidRDefault="002C53A2">
      <w:pPr>
        <w:shd w:val="clear" w:color="auto" w:fill="FFFFFF" w:themeFill="background1"/>
        <w:ind w:firstLine="720"/>
        <w:jc w:val="both"/>
        <w:rPr>
          <w:rFonts w:ascii="Times New Roman" w:eastAsia="Times New Roman" w:hAnsi="Times New Roman"/>
          <w:b/>
          <w:bCs/>
          <w:sz w:val="24"/>
          <w:szCs w:val="24"/>
          <w:lang w:eastAsia="lv-LV"/>
        </w:rPr>
      </w:pPr>
    </w:p>
    <w:p w14:paraId="6A6AEB28" w14:textId="77777777" w:rsidR="002C53A2" w:rsidRDefault="002C53A2">
      <w:pPr>
        <w:shd w:val="clear" w:color="auto" w:fill="FFFFFF" w:themeFill="background1"/>
        <w:ind w:firstLine="720"/>
        <w:jc w:val="both"/>
        <w:rPr>
          <w:rFonts w:ascii="Times New Roman" w:eastAsia="Times New Roman" w:hAnsi="Times New Roman"/>
          <w:b/>
          <w:bCs/>
          <w:sz w:val="24"/>
          <w:szCs w:val="24"/>
          <w:lang w:eastAsia="lv-LV"/>
        </w:rPr>
      </w:pPr>
    </w:p>
    <w:p w14:paraId="170ECE5C" w14:textId="66F89B4E" w:rsidR="00C87C75" w:rsidRPr="00E93259" w:rsidRDefault="00C87C75">
      <w:pPr>
        <w:shd w:val="clear" w:color="auto" w:fill="FFFFFF" w:themeFill="background1"/>
        <w:ind w:firstLine="720"/>
        <w:jc w:val="both"/>
        <w:rPr>
          <w:rFonts w:ascii="Times New Roman" w:eastAsia="Times New Roman" w:hAnsi="Times New Roman"/>
          <w:b/>
          <w:bCs/>
          <w:sz w:val="24"/>
          <w:szCs w:val="24"/>
          <w:lang w:eastAsia="lv-LV"/>
        </w:rPr>
      </w:pPr>
      <w:r w:rsidRPr="001E4659">
        <w:rPr>
          <w:rFonts w:ascii="Times New Roman" w:eastAsia="Times New Roman" w:hAnsi="Times New Roman"/>
          <w:b/>
          <w:bCs/>
          <w:sz w:val="24"/>
          <w:szCs w:val="24"/>
          <w:lang w:eastAsia="lv-LV"/>
        </w:rPr>
        <w:lastRenderedPageBreak/>
        <w:t>Ārstniecības iestāžu līmeņu reforma</w:t>
      </w:r>
    </w:p>
    <w:p w14:paraId="61ED5303" w14:textId="77777777" w:rsidR="00C87C75" w:rsidRDefault="00C87C75" w:rsidP="00C87C75">
      <w:pPr>
        <w:shd w:val="clear" w:color="auto" w:fill="FFFFFF" w:themeFill="background1"/>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Plānotā </w:t>
      </w:r>
      <w:r w:rsidRPr="00B871FA">
        <w:rPr>
          <w:rFonts w:ascii="Times New Roman" w:hAnsi="Times New Roman" w:cs="Times New Roman"/>
          <w:sz w:val="24"/>
          <w:szCs w:val="24"/>
        </w:rPr>
        <w:t>veselības aprūpes pakalpojumu izvietojum</w:t>
      </w:r>
      <w:r>
        <w:rPr>
          <w:rFonts w:ascii="Times New Roman" w:hAnsi="Times New Roman" w:cs="Times New Roman"/>
          <w:sz w:val="24"/>
          <w:szCs w:val="24"/>
        </w:rPr>
        <w:t>a restrukturizācija nodrošinā</w:t>
      </w:r>
      <w:r w:rsidRPr="00B871FA">
        <w:rPr>
          <w:rFonts w:ascii="Times New Roman" w:hAnsi="Times New Roman" w:cs="Times New Roman"/>
          <w:sz w:val="24"/>
          <w:szCs w:val="24"/>
        </w:rPr>
        <w:t>s</w:t>
      </w:r>
      <w:r>
        <w:rPr>
          <w:rFonts w:ascii="Times New Roman" w:hAnsi="Times New Roman" w:cs="Times New Roman"/>
          <w:sz w:val="24"/>
          <w:szCs w:val="24"/>
        </w:rPr>
        <w:t xml:space="preserve"> pakalpojumu</w:t>
      </w:r>
      <w:r w:rsidRPr="00B871FA">
        <w:rPr>
          <w:rFonts w:ascii="Times New Roman" w:hAnsi="Times New Roman" w:cs="Times New Roman"/>
          <w:sz w:val="24"/>
          <w:szCs w:val="24"/>
        </w:rPr>
        <w:t xml:space="preserve"> </w:t>
      </w:r>
      <w:r>
        <w:rPr>
          <w:rFonts w:ascii="Times New Roman" w:hAnsi="Times New Roman" w:cs="Times New Roman"/>
          <w:sz w:val="24"/>
          <w:szCs w:val="24"/>
        </w:rPr>
        <w:t>sniegšanu</w:t>
      </w:r>
      <w:r w:rsidRPr="00B871FA">
        <w:rPr>
          <w:rFonts w:ascii="Times New Roman" w:hAnsi="Times New Roman" w:cs="Times New Roman"/>
          <w:sz w:val="24"/>
          <w:szCs w:val="24"/>
        </w:rPr>
        <w:t xml:space="preserve"> atbilstošajā vietā un laikā</w:t>
      </w:r>
      <w:r>
        <w:rPr>
          <w:rFonts w:ascii="Times New Roman" w:hAnsi="Times New Roman" w:cs="Times New Roman"/>
          <w:sz w:val="24"/>
          <w:szCs w:val="24"/>
        </w:rPr>
        <w:t xml:space="preserve">. </w:t>
      </w:r>
      <w:r w:rsidRPr="00F041F9">
        <w:rPr>
          <w:rFonts w:ascii="Times New Roman" w:hAnsi="Times New Roman" w:cs="Times New Roman"/>
          <w:sz w:val="24"/>
          <w:szCs w:val="24"/>
        </w:rPr>
        <w:t>Sadarbības teritorijas ietvaros ārstniecības iestādes varēs efektīvāk plānot nepieciešamo infrastruktūru un cilvēkresursus, nodrošinot vie</w:t>
      </w:r>
      <w:r>
        <w:rPr>
          <w:rFonts w:ascii="Times New Roman" w:hAnsi="Times New Roman" w:cs="Times New Roman"/>
          <w:sz w:val="24"/>
          <w:szCs w:val="24"/>
        </w:rPr>
        <w:t>nlīdzīgu pakalpojumu pieejamību un</w:t>
      </w:r>
      <w:r w:rsidRPr="00F041F9">
        <w:rPr>
          <w:rFonts w:ascii="Times New Roman" w:hAnsi="Times New Roman" w:cs="Times New Roman"/>
          <w:sz w:val="24"/>
          <w:szCs w:val="24"/>
        </w:rPr>
        <w:t xml:space="preserve"> vienlīdzīgu pakalpojumu kvalitāti, attīstot ilgtspējīgu </w:t>
      </w:r>
      <w:r>
        <w:rPr>
          <w:rFonts w:ascii="Times New Roman" w:hAnsi="Times New Roman" w:cs="Times New Roman"/>
          <w:sz w:val="24"/>
          <w:szCs w:val="24"/>
        </w:rPr>
        <w:t>un perspektīvu veselības aprūpes pakalpojumu sniegšanu.</w:t>
      </w:r>
      <w:r w:rsidRPr="00E93259">
        <w:rPr>
          <w:rFonts w:ascii="Times New Roman" w:hAnsi="Times New Roman" w:cs="Times New Roman"/>
          <w:sz w:val="24"/>
          <w:szCs w:val="24"/>
        </w:rPr>
        <w:t xml:space="preserve"> Ā</w:t>
      </w:r>
      <w:r>
        <w:rPr>
          <w:rFonts w:ascii="Times New Roman" w:eastAsia="Calibri" w:hAnsi="Times New Roman" w:cs="Times New Roman"/>
          <w:sz w:val="24"/>
          <w:szCs w:val="24"/>
        </w:rPr>
        <w:t>rstniecības iestāžu pārprofilēšana ietver</w:t>
      </w:r>
      <w:r w:rsidRPr="008300AF">
        <w:rPr>
          <w:rFonts w:ascii="Times New Roman" w:eastAsia="Calibri" w:hAnsi="Times New Roman" w:cs="Times New Roman"/>
          <w:sz w:val="24"/>
          <w:szCs w:val="24"/>
        </w:rPr>
        <w:t>s</w:t>
      </w:r>
      <w:r>
        <w:rPr>
          <w:rFonts w:ascii="Times New Roman" w:eastAsia="Calibri" w:hAnsi="Times New Roman" w:cs="Times New Roman"/>
          <w:sz w:val="24"/>
          <w:szCs w:val="24"/>
        </w:rPr>
        <w:t xml:space="preserve"> ne tikai pakalpojumu koncentrāciju un paplašināšanu attiecīga līmeņa slimnīcās, lai optimi</w:t>
      </w:r>
      <w:r w:rsidRPr="008300AF">
        <w:rPr>
          <w:rFonts w:ascii="Times New Roman" w:eastAsia="Calibri" w:hAnsi="Times New Roman" w:cs="Times New Roman"/>
          <w:sz w:val="24"/>
          <w:szCs w:val="24"/>
        </w:rPr>
        <w:t>zētu resursus, bet arī nodrošinās</w:t>
      </w:r>
      <w:r w:rsidR="52B20BA9" w:rsidRPr="00E93259">
        <w:rPr>
          <w:rFonts w:ascii="Times New Roman" w:eastAsia="Calibri" w:hAnsi="Times New Roman" w:cs="Times New Roman"/>
          <w:sz w:val="24"/>
          <w:szCs w:val="24"/>
        </w:rPr>
        <w:t xml:space="preserve"> kvalitātes līmeņa uzturēšanai pietiekamu apjomu un savlaicīgu piekļuvi slimnīcas pakalpojumiem augstākajos līmeņos īsākā laika periodā (atbilstoši diagnozei pacients tiek nogādāts nekavējoties uz atbilstošā līmeņa slimnīcu, kur var saņemt pilnu pakalpojuma klāstu atbilstoši pacienta stāvoklim).</w:t>
      </w:r>
    </w:p>
    <w:p w14:paraId="1D6A8D8A" w14:textId="028EDCAA" w:rsidR="00C87C75" w:rsidRPr="00E93259" w:rsidRDefault="00C87C75" w:rsidP="00C87C75">
      <w:pPr>
        <w:shd w:val="clear" w:color="auto" w:fill="FFFFFF" w:themeFill="background1"/>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Ārstniecības iestāžu līmeņu reforma ir strukturālā reforma, un, risinot resursu koncentrācijas, optimizācijas un kvalitātes paaugstināšanas uzdevumus, tā rada sinerģijas efektu ar pārējiem reformu virzieniem. Ārstniecības iestāžu līmeņu reformas ietekme uz PZMG nav tieši nosakāma, taču tā simulē PZMG samazināšanos, sekmējot veselības aprūpes sistēmas mērķu sasniegšanu.   </w:t>
      </w:r>
    </w:p>
    <w:p w14:paraId="03FE203A" w14:textId="69C2582A" w:rsidR="00C34F4F" w:rsidRDefault="00B94F99" w:rsidP="64AB90BD">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sz w:val="24"/>
          <w:szCs w:val="24"/>
        </w:rPr>
        <w:t>I</w:t>
      </w:r>
      <w:r w:rsidR="64AB90BD" w:rsidRPr="64AB90BD">
        <w:rPr>
          <w:rFonts w:ascii="Times New Roman" w:hAnsi="Times New Roman" w:cs="Times New Roman"/>
          <w:sz w:val="24"/>
          <w:szCs w:val="24"/>
        </w:rPr>
        <w:t xml:space="preserve">zvirzīto reformu mērķu izpilde ir atkarīga no papildus finanšu resursu piesaistes. </w:t>
      </w:r>
      <w:r w:rsidR="00C87C75">
        <w:rPr>
          <w:rFonts w:ascii="Times New Roman" w:hAnsi="Times New Roman" w:cs="Times New Roman"/>
          <w:sz w:val="24"/>
          <w:szCs w:val="24"/>
        </w:rPr>
        <w:t>R</w:t>
      </w:r>
      <w:r w:rsidR="64AB90BD" w:rsidRPr="64AB90BD">
        <w:rPr>
          <w:rFonts w:ascii="Times New Roman" w:hAnsi="Times New Roman" w:cs="Times New Roman"/>
          <w:sz w:val="24"/>
          <w:szCs w:val="24"/>
        </w:rPr>
        <w:t>eformas soļi sistēmas efektivitātes un snieguma rādītāju uzlabošanai pozitīvi ietekmēs mirstības rādītājus, tomēr to ietekme vien, bez papildu finanšu resursiem, nebūs pietiekama, lai būtiski uzlabotu šos rādītājus.</w:t>
      </w:r>
    </w:p>
    <w:p w14:paraId="49FF8F6D" w14:textId="31D63FF3" w:rsidR="00A01E3E" w:rsidRPr="00C51D09" w:rsidRDefault="64AB90BD" w:rsidP="00C51D09">
      <w:pPr>
        <w:shd w:val="clear" w:color="auto" w:fill="FFFFFF" w:themeFill="background1"/>
        <w:ind w:firstLine="720"/>
        <w:jc w:val="both"/>
        <w:rPr>
          <w:rFonts w:ascii="Times New Roman" w:eastAsia="Times New Roman" w:hAnsi="Times New Roman" w:cs="Times New Roman"/>
          <w:color w:val="000000" w:themeColor="text1"/>
          <w:sz w:val="24"/>
          <w:szCs w:val="24"/>
          <w:lang w:eastAsia="lv-LV"/>
        </w:rPr>
      </w:pPr>
      <w:r w:rsidRPr="64AB90BD">
        <w:rPr>
          <w:rFonts w:ascii="Times New Roman" w:hAnsi="Times New Roman" w:cs="Times New Roman"/>
          <w:sz w:val="24"/>
          <w:szCs w:val="24"/>
        </w:rPr>
        <w:t xml:space="preserve">Ņemot vērā visus šajā dokumentā minētos apsvērumus un paredzamo ietekmi, veselības nozares reformu sekmīgai turpināšanai nepieciešams pārdalīt Veselības ministrijai veselības aprūpes sistēmas reformas ieviešanai budžeta resora “74.Gadskārtējā valsts budžeta izpildes procesā pārdalāmais finansējums” 08.00.00 programmā “Veselības aprūpes sistēmas reformas ieviešanas finansējums” rezervēto finansējumu 154 205 000 </w:t>
      </w:r>
      <w:r w:rsidRPr="704995BB">
        <w:rPr>
          <w:rFonts w:ascii="Times New Roman" w:hAnsi="Times New Roman" w:cs="Times New Roman"/>
          <w:i/>
          <w:iCs/>
          <w:sz w:val="24"/>
          <w:szCs w:val="24"/>
        </w:rPr>
        <w:t>euro</w:t>
      </w:r>
      <w:r w:rsidRPr="64AB90BD">
        <w:rPr>
          <w:rFonts w:ascii="Times New Roman" w:hAnsi="Times New Roman" w:cs="Times New Roman"/>
          <w:sz w:val="24"/>
          <w:szCs w:val="24"/>
        </w:rPr>
        <w:t xml:space="preserve"> apmērā veselības aprūpes sistēmas reformas pasākumu īstenošanai 2019.gadā.</w:t>
      </w:r>
    </w:p>
    <w:p w14:paraId="3C4C4FCB" w14:textId="50A728D2" w:rsidR="7810E5C0" w:rsidRPr="00E93259" w:rsidRDefault="087DD2DF" w:rsidP="00E93259">
      <w:pPr>
        <w:shd w:val="clear" w:color="auto" w:fill="FFFFFF" w:themeFill="background1"/>
        <w:ind w:firstLine="720"/>
        <w:jc w:val="both"/>
        <w:rPr>
          <w:rFonts w:ascii="Times New Roman" w:hAnsi="Times New Roman" w:cs="Times New Roman"/>
          <w:sz w:val="24"/>
          <w:szCs w:val="24"/>
        </w:rPr>
      </w:pPr>
      <w:r w:rsidRPr="00E93259">
        <w:rPr>
          <w:rFonts w:ascii="Times New Roman" w:hAnsi="Times New Roman" w:cs="Times New Roman"/>
          <w:sz w:val="24"/>
          <w:szCs w:val="24"/>
        </w:rPr>
        <w:t>Ziņojumā minētie pasāk</w:t>
      </w:r>
      <w:r w:rsidR="07709A92" w:rsidRPr="00E93259">
        <w:rPr>
          <w:rFonts w:ascii="Times New Roman" w:hAnsi="Times New Roman" w:cs="Times New Roman"/>
          <w:sz w:val="24"/>
          <w:szCs w:val="24"/>
        </w:rPr>
        <w:t>u</w:t>
      </w:r>
      <w:r w:rsidR="19799723" w:rsidRPr="00E93259">
        <w:rPr>
          <w:rFonts w:ascii="Times New Roman" w:hAnsi="Times New Roman" w:cs="Times New Roman"/>
          <w:sz w:val="24"/>
          <w:szCs w:val="24"/>
        </w:rPr>
        <w:t>m</w:t>
      </w:r>
      <w:r w:rsidR="07709A92" w:rsidRPr="00E93259">
        <w:rPr>
          <w:rFonts w:ascii="Times New Roman" w:hAnsi="Times New Roman" w:cs="Times New Roman"/>
          <w:sz w:val="24"/>
          <w:szCs w:val="24"/>
        </w:rPr>
        <w:t xml:space="preserve">i </w:t>
      </w:r>
      <w:r w:rsidR="19799723" w:rsidRPr="00E93259">
        <w:rPr>
          <w:rFonts w:ascii="Times New Roman" w:hAnsi="Times New Roman" w:cs="Times New Roman"/>
          <w:sz w:val="24"/>
          <w:szCs w:val="24"/>
        </w:rPr>
        <w:t>tiks turpināti</w:t>
      </w:r>
      <w:r w:rsidRPr="00E93259">
        <w:rPr>
          <w:rFonts w:ascii="Times New Roman" w:hAnsi="Times New Roman" w:cs="Times New Roman"/>
          <w:sz w:val="24"/>
          <w:szCs w:val="24"/>
        </w:rPr>
        <w:t xml:space="preserve"> 2020.gadā </w:t>
      </w:r>
      <w:r w:rsidR="3422C677" w:rsidRPr="00E93259">
        <w:rPr>
          <w:rFonts w:ascii="Times New Roman" w:hAnsi="Times New Roman" w:cs="Times New Roman"/>
          <w:sz w:val="24"/>
          <w:szCs w:val="24"/>
        </w:rPr>
        <w:t>piešķirtā valsts budžet</w:t>
      </w:r>
      <w:r w:rsidR="700FB45D" w:rsidRPr="00E93259">
        <w:rPr>
          <w:rFonts w:ascii="Times New Roman" w:hAnsi="Times New Roman" w:cs="Times New Roman"/>
          <w:sz w:val="24"/>
          <w:szCs w:val="24"/>
        </w:rPr>
        <w:t>a ietvaros</w:t>
      </w:r>
      <w:r w:rsidR="63A67FC5" w:rsidRPr="00E93259">
        <w:rPr>
          <w:rFonts w:ascii="Times New Roman" w:hAnsi="Times New Roman" w:cs="Times New Roman"/>
          <w:sz w:val="24"/>
          <w:szCs w:val="24"/>
        </w:rPr>
        <w:t>.</w:t>
      </w:r>
      <w:r w:rsidR="19799723" w:rsidRPr="00E93259">
        <w:rPr>
          <w:rFonts w:ascii="Times New Roman" w:hAnsi="Times New Roman" w:cs="Times New Roman"/>
          <w:sz w:val="24"/>
          <w:szCs w:val="24"/>
        </w:rPr>
        <w:t xml:space="preserve"> </w:t>
      </w:r>
    </w:p>
    <w:p w14:paraId="1C338AC5" w14:textId="77777777" w:rsidR="00D9310C" w:rsidRDefault="00D9310C" w:rsidP="00C51D09">
      <w:pPr>
        <w:spacing w:after="120"/>
        <w:ind w:right="-766"/>
        <w:rPr>
          <w:rFonts w:ascii="Times New Roman" w:eastAsia="Times New Roman" w:hAnsi="Times New Roman" w:cs="Times New Roman"/>
          <w:sz w:val="24"/>
          <w:szCs w:val="24"/>
        </w:rPr>
      </w:pPr>
    </w:p>
    <w:p w14:paraId="6C2E1745" w14:textId="58530243" w:rsidR="00343E8A" w:rsidRPr="00C51D09" w:rsidRDefault="0071331A" w:rsidP="00C51D09">
      <w:pPr>
        <w:spacing w:after="120"/>
        <w:ind w:right="-766"/>
        <w:rPr>
          <w:rFonts w:ascii="Times New Roman" w:eastAsia="Times New Roman" w:hAnsi="Times New Roman" w:cs="Times New Roman"/>
          <w:sz w:val="24"/>
          <w:szCs w:val="24"/>
        </w:rPr>
      </w:pPr>
      <w:r w:rsidRPr="00C51D09">
        <w:rPr>
          <w:rFonts w:ascii="Times New Roman" w:eastAsia="Times New Roman" w:hAnsi="Times New Roman" w:cs="Times New Roman"/>
          <w:sz w:val="24"/>
          <w:szCs w:val="24"/>
        </w:rPr>
        <w:t>Veselības ministre</w:t>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t xml:space="preserve"> </w:t>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002E4052" w:rsidRPr="00C51D09">
        <w:rPr>
          <w:rFonts w:ascii="Times New Roman" w:eastAsia="Times New Roman" w:hAnsi="Times New Roman" w:cs="Times New Roman"/>
          <w:sz w:val="24"/>
          <w:szCs w:val="24"/>
        </w:rPr>
        <w:t xml:space="preserve">      </w:t>
      </w:r>
      <w:r w:rsidRPr="00C51D09">
        <w:rPr>
          <w:rFonts w:ascii="Times New Roman" w:eastAsia="Times New Roman" w:hAnsi="Times New Roman" w:cs="Times New Roman"/>
          <w:sz w:val="24"/>
          <w:szCs w:val="24"/>
        </w:rPr>
        <w:t>Anda Čakša</w:t>
      </w:r>
    </w:p>
    <w:p w14:paraId="3F3FA7A1" w14:textId="49505787" w:rsidR="00343E8A" w:rsidRPr="00C51D09" w:rsidRDefault="0071331A" w:rsidP="00C51D09">
      <w:pPr>
        <w:tabs>
          <w:tab w:val="left" w:pos="7088"/>
          <w:tab w:val="right" w:pos="9072"/>
        </w:tabs>
        <w:spacing w:after="120"/>
        <w:ind w:right="-766"/>
        <w:rPr>
          <w:rFonts w:ascii="Times New Roman" w:eastAsia="Times New Roman" w:hAnsi="Times New Roman" w:cs="Times New Roman"/>
          <w:sz w:val="24"/>
          <w:szCs w:val="24"/>
        </w:rPr>
      </w:pPr>
      <w:r w:rsidRPr="00C51D09">
        <w:rPr>
          <w:rFonts w:ascii="Times New Roman" w:eastAsia="Times New Roman" w:hAnsi="Times New Roman" w:cs="Times New Roman"/>
          <w:sz w:val="24"/>
          <w:szCs w:val="24"/>
        </w:rPr>
        <w:t>Iesniedzējs: Veselības ministre</w:t>
      </w:r>
      <w:r w:rsidRPr="00C51D09">
        <w:rPr>
          <w:rFonts w:ascii="Times New Roman" w:eastAsia="Times New Roman" w:hAnsi="Times New Roman" w:cs="Times New Roman"/>
          <w:sz w:val="24"/>
          <w:szCs w:val="24"/>
        </w:rPr>
        <w:tab/>
        <w:t xml:space="preserve"> </w:t>
      </w:r>
      <w:r w:rsidR="002E4052" w:rsidRPr="00C51D09">
        <w:rPr>
          <w:rFonts w:ascii="Times New Roman" w:eastAsia="Times New Roman" w:hAnsi="Times New Roman" w:cs="Times New Roman"/>
          <w:sz w:val="24"/>
          <w:szCs w:val="24"/>
        </w:rPr>
        <w:t xml:space="preserve">      </w:t>
      </w:r>
      <w:r w:rsidRPr="00C51D09">
        <w:rPr>
          <w:rFonts w:ascii="Times New Roman" w:eastAsia="Times New Roman" w:hAnsi="Times New Roman" w:cs="Times New Roman"/>
          <w:sz w:val="24"/>
          <w:szCs w:val="24"/>
        </w:rPr>
        <w:t xml:space="preserve"> Anda Čakša</w:t>
      </w:r>
    </w:p>
    <w:p w14:paraId="080EA52E" w14:textId="70F419F2" w:rsidR="00343E8A" w:rsidRPr="00C51D09" w:rsidRDefault="0071331A" w:rsidP="00C51D09">
      <w:pPr>
        <w:spacing w:after="120"/>
        <w:ind w:right="-1"/>
        <w:rPr>
          <w:rFonts w:ascii="Times New Roman" w:eastAsia="Times New Roman" w:hAnsi="Times New Roman" w:cs="Times New Roman"/>
          <w:sz w:val="24"/>
          <w:szCs w:val="24"/>
        </w:rPr>
      </w:pPr>
      <w:r w:rsidRPr="00C51D09">
        <w:rPr>
          <w:rFonts w:ascii="Times New Roman" w:eastAsia="Times New Roman" w:hAnsi="Times New Roman" w:cs="Times New Roman"/>
          <w:sz w:val="24"/>
          <w:szCs w:val="24"/>
        </w:rPr>
        <w:t>Vīza: Valsts sekretār</w:t>
      </w:r>
      <w:r w:rsidR="002E4052" w:rsidRPr="00C51D09">
        <w:rPr>
          <w:rFonts w:ascii="Times New Roman" w:eastAsia="Times New Roman" w:hAnsi="Times New Roman" w:cs="Times New Roman"/>
          <w:sz w:val="24"/>
          <w:szCs w:val="24"/>
        </w:rPr>
        <w:t>a p.i.</w:t>
      </w:r>
      <w:r w:rsidR="00683D53" w:rsidRPr="00C51D09">
        <w:rPr>
          <w:rFonts w:ascii="Times New Roman" w:eastAsia="Times New Roman" w:hAnsi="Times New Roman" w:cs="Times New Roman"/>
          <w:sz w:val="24"/>
          <w:szCs w:val="24"/>
        </w:rPr>
        <w:t xml:space="preserve"> </w:t>
      </w:r>
      <w:r w:rsidR="00683D53" w:rsidRPr="00C51D09">
        <w:rPr>
          <w:rFonts w:ascii="Times New Roman" w:eastAsia="Times New Roman" w:hAnsi="Times New Roman" w:cs="Times New Roman"/>
          <w:sz w:val="24"/>
          <w:szCs w:val="24"/>
        </w:rPr>
        <w:tab/>
      </w:r>
      <w:r w:rsidR="00683D53" w:rsidRPr="00C51D09">
        <w:rPr>
          <w:rFonts w:ascii="Times New Roman" w:eastAsia="Times New Roman" w:hAnsi="Times New Roman" w:cs="Times New Roman"/>
          <w:sz w:val="24"/>
          <w:szCs w:val="24"/>
        </w:rPr>
        <w:tab/>
      </w:r>
      <w:r w:rsidR="00683D53" w:rsidRPr="00C51D09">
        <w:rPr>
          <w:rFonts w:ascii="Times New Roman" w:eastAsia="Times New Roman" w:hAnsi="Times New Roman" w:cs="Times New Roman"/>
          <w:sz w:val="24"/>
          <w:szCs w:val="24"/>
        </w:rPr>
        <w:tab/>
      </w:r>
      <w:r w:rsidR="00683D53" w:rsidRPr="00C51D09">
        <w:rPr>
          <w:rFonts w:ascii="Times New Roman" w:eastAsia="Times New Roman" w:hAnsi="Times New Roman" w:cs="Times New Roman"/>
          <w:sz w:val="24"/>
          <w:szCs w:val="24"/>
        </w:rPr>
        <w:tab/>
      </w:r>
      <w:r w:rsidR="00C51D09">
        <w:rPr>
          <w:rFonts w:ascii="Times New Roman" w:eastAsia="Times New Roman" w:hAnsi="Times New Roman" w:cs="Times New Roman"/>
          <w:sz w:val="24"/>
          <w:szCs w:val="24"/>
        </w:rPr>
        <w:t xml:space="preserve">                </w:t>
      </w:r>
      <w:r w:rsidR="002E4052" w:rsidRPr="00C51D09">
        <w:rPr>
          <w:rFonts w:ascii="Times New Roman" w:eastAsia="Times New Roman" w:hAnsi="Times New Roman" w:cs="Times New Roman"/>
          <w:sz w:val="24"/>
          <w:szCs w:val="24"/>
        </w:rPr>
        <w:t>Daina Mūrmane - Umbraško</w:t>
      </w:r>
    </w:p>
    <w:sectPr w:rsidR="00343E8A" w:rsidRPr="00C51D09" w:rsidSect="00333B64">
      <w:pgSz w:w="12240" w:h="15840"/>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23BD" w14:textId="77777777" w:rsidR="00333B64" w:rsidRDefault="00333B64">
      <w:pPr>
        <w:spacing w:after="0" w:line="240" w:lineRule="auto"/>
      </w:pPr>
      <w:r>
        <w:separator/>
      </w:r>
    </w:p>
  </w:endnote>
  <w:endnote w:type="continuationSeparator" w:id="0">
    <w:p w14:paraId="32452268" w14:textId="77777777" w:rsidR="00333B64" w:rsidRDefault="00333B64">
      <w:pPr>
        <w:spacing w:after="0" w:line="240" w:lineRule="auto"/>
      </w:pPr>
      <w:r>
        <w:continuationSeparator/>
      </w:r>
    </w:p>
  </w:endnote>
  <w:endnote w:type="continuationNotice" w:id="1">
    <w:p w14:paraId="0D322BFD" w14:textId="77777777" w:rsidR="00333B64" w:rsidRDefault="00333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382E" w14:textId="18F29B8F" w:rsidR="00333B64" w:rsidRPr="00ED2403" w:rsidRDefault="00333B64">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Pr>
        <w:rFonts w:ascii="Times New Roman" w:hAnsi="Times New Roman" w:cs="Times New Roman"/>
        <w:sz w:val="20"/>
        <w:szCs w:val="20"/>
      </w:rPr>
      <w:t>070119</w:t>
    </w:r>
    <w:r w:rsidRPr="00FB42B8">
      <w:rPr>
        <w:rFonts w:ascii="Times New Roman" w:hAnsi="Times New Roman" w:cs="Times New Roman"/>
        <w:sz w:val="20"/>
        <w:szCs w:val="20"/>
      </w:rPr>
      <w:t>_</w:t>
    </w:r>
    <w:r>
      <w:rPr>
        <w:rFonts w:ascii="Times New Roman" w:hAnsi="Times New Roman" w:cs="Times New Roman"/>
        <w:sz w:val="20"/>
        <w:szCs w:val="20"/>
      </w:rPr>
      <w:t>154</w:t>
    </w:r>
    <w:r w:rsidRPr="00FB42B8">
      <w:rPr>
        <w:rFonts w:ascii="Times New Roman" w:hAnsi="Times New Roman" w:cs="Times New Roman"/>
        <w:sz w:val="20"/>
        <w:szCs w:val="20"/>
      </w:rPr>
      <w:t>milj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C7B8" w14:textId="33BFDE2D" w:rsidR="00333B64" w:rsidRPr="0086477B" w:rsidRDefault="00333B64" w:rsidP="00D1321B">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Pr>
        <w:rFonts w:ascii="Times New Roman" w:hAnsi="Times New Roman" w:cs="Times New Roman"/>
        <w:sz w:val="20"/>
        <w:szCs w:val="20"/>
      </w:rPr>
      <w:t>070119</w:t>
    </w:r>
    <w:r w:rsidRPr="00FB42B8">
      <w:rPr>
        <w:rFonts w:ascii="Times New Roman" w:hAnsi="Times New Roman" w:cs="Times New Roman"/>
        <w:sz w:val="20"/>
        <w:szCs w:val="20"/>
      </w:rPr>
      <w:t>_</w:t>
    </w:r>
    <w:r>
      <w:rPr>
        <w:rFonts w:ascii="Times New Roman" w:hAnsi="Times New Roman" w:cs="Times New Roman"/>
        <w:sz w:val="20"/>
        <w:szCs w:val="20"/>
      </w:rPr>
      <w:t>154</w:t>
    </w:r>
    <w:r w:rsidRPr="00FB42B8">
      <w:rPr>
        <w:rFonts w:ascii="Times New Roman" w:hAnsi="Times New Roman" w:cs="Times New Roman"/>
        <w:sz w:val="20"/>
        <w:szCs w:val="20"/>
      </w:rPr>
      <w:t>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AFEA5" w14:textId="77777777" w:rsidR="00333B64" w:rsidRDefault="00333B64" w:rsidP="00742970">
      <w:pPr>
        <w:spacing w:after="0" w:line="240" w:lineRule="auto"/>
      </w:pPr>
      <w:r>
        <w:separator/>
      </w:r>
    </w:p>
  </w:footnote>
  <w:footnote w:type="continuationSeparator" w:id="0">
    <w:p w14:paraId="6EFBC9BF" w14:textId="77777777" w:rsidR="00333B64" w:rsidRDefault="00333B64" w:rsidP="00742970">
      <w:pPr>
        <w:spacing w:after="0" w:line="240" w:lineRule="auto"/>
      </w:pPr>
      <w:r>
        <w:continuationSeparator/>
      </w:r>
    </w:p>
  </w:footnote>
  <w:footnote w:type="continuationNotice" w:id="1">
    <w:p w14:paraId="2079FA14" w14:textId="77777777" w:rsidR="00333B64" w:rsidRDefault="00333B64">
      <w:pPr>
        <w:spacing w:after="0" w:line="240" w:lineRule="auto"/>
      </w:pPr>
    </w:p>
  </w:footnote>
  <w:footnote w:id="2">
    <w:p w14:paraId="08FA1571" w14:textId="4E95AD82" w:rsidR="00333B64" w:rsidRPr="008463B6" w:rsidRDefault="00333B64" w:rsidP="008E1411">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Eiropas Savienības Padomes ieteikumi par Latvijas 2016.gada valsts reformu programmu un ar ko sniedz Padomes atzinumu par Latvijas 2016. gada stabilitātes programmu</w:t>
      </w:r>
    </w:p>
  </w:footnote>
  <w:footnote w:id="3">
    <w:p w14:paraId="7D15403A" w14:textId="6A59B7B8" w:rsidR="00333B64" w:rsidRPr="008463B6" w:rsidRDefault="00333B64" w:rsidP="0061763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Padomes ieteikums (2016.gada 12.jūlijs) par Latvijas 2016.gada valsts reformu programmu un ar ko sniedz Padomes atzinumu par Latvijas 2016.gada stabilitātes programmu</w:t>
      </w:r>
    </w:p>
  </w:footnote>
  <w:footnote w:id="4">
    <w:p w14:paraId="334DE968" w14:textId="0EE9F6AC" w:rsidR="00333B64" w:rsidRPr="008079F4" w:rsidRDefault="00333B64" w:rsidP="64AB90BD">
      <w:pPr>
        <w:shd w:val="clear" w:color="auto" w:fill="FFFFFF" w:themeFill="background1"/>
        <w:spacing w:after="0" w:line="103" w:lineRule="atLeast"/>
        <w:jc w:val="both"/>
        <w:rPr>
          <w:rFonts w:ascii="Times New Roman" w:eastAsia="Times New Roman" w:hAnsi="Times New Roman" w:cs="Times New Roman"/>
          <w:sz w:val="20"/>
          <w:szCs w:val="20"/>
          <w:lang w:eastAsia="lv-LV"/>
        </w:rPr>
      </w:pPr>
      <w:r w:rsidRPr="008079F4">
        <w:rPr>
          <w:rStyle w:val="FootnoteReference"/>
          <w:rFonts w:ascii="Times New Roman" w:hAnsi="Times New Roman" w:cs="Times New Roman"/>
          <w:sz w:val="20"/>
          <w:szCs w:val="20"/>
        </w:rPr>
        <w:footnoteRef/>
      </w:r>
      <w:r w:rsidRPr="008079F4">
        <w:rPr>
          <w:rFonts w:ascii="Times New Roman" w:hAnsi="Times New Roman" w:cs="Times New Roman"/>
          <w:sz w:val="20"/>
          <w:szCs w:val="20"/>
        </w:rPr>
        <w:t xml:space="preserve"> </w:t>
      </w:r>
      <w:r w:rsidRPr="008079F4">
        <w:rPr>
          <w:rFonts w:ascii="Times New Roman" w:eastAsia="Times New Roman" w:hAnsi="Times New Roman" w:cs="Times New Roman"/>
          <w:sz w:val="20"/>
          <w:szCs w:val="20"/>
          <w:lang w:eastAsia="lv-LV"/>
        </w:rPr>
        <w:t>Sabiedrības veselības pamatnostādnes 2014.-2020.gadam (MK rīkojums Nr.589 14.10.2014</w:t>
      </w:r>
      <w:r>
        <w:rPr>
          <w:rFonts w:ascii="Times New Roman" w:eastAsia="Times New Roman" w:hAnsi="Times New Roman" w:cs="Times New Roman"/>
          <w:sz w:val="20"/>
          <w:szCs w:val="20"/>
          <w:lang w:eastAsia="lv-LV"/>
        </w:rPr>
        <w:t>.</w:t>
      </w:r>
      <w:r w:rsidRPr="008079F4">
        <w:rPr>
          <w:rFonts w:ascii="Times New Roman" w:eastAsia="Times New Roman" w:hAnsi="Times New Roman" w:cs="Times New Roman"/>
          <w:sz w:val="20"/>
          <w:szCs w:val="20"/>
          <w:lang w:eastAsia="lv-LV"/>
        </w:rPr>
        <w:t>) ir vidēja termiņa attīstības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5">
    <w:p w14:paraId="4F0009D4" w14:textId="77777777" w:rsidR="00333B64" w:rsidRPr="008463B6" w:rsidRDefault="00333B64" w:rsidP="0061763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bookmarkStart w:id="1" w:name="_ftn1"/>
      <w:r w:rsidRPr="008463B6">
        <w:rPr>
          <w:rFonts w:ascii="Times New Roman" w:hAnsi="Times New Roman" w:cs="Times New Roman"/>
          <w:color w:val="000000"/>
        </w:rPr>
        <w:t>V</w:t>
      </w:r>
      <w:bookmarkEnd w:id="1"/>
      <w:r w:rsidRPr="008463B6">
        <w:rPr>
          <w:rFonts w:ascii="Times New Roman" w:hAnsi="Times New Roman" w:cs="Times New Roman"/>
          <w:color w:val="000000"/>
        </w:rPr>
        <w:t>eselīgi nodzīvotie mūža gadi ir laiks, kurus cilvēks prognozējami var nodzīvot bez slimībām un invaliditātes jeb aktivitātes ierobežojumiem.</w:t>
      </w:r>
    </w:p>
  </w:footnote>
  <w:footnote w:id="6">
    <w:p w14:paraId="4F85FC0E" w14:textId="77777777" w:rsidR="00333B64" w:rsidRPr="008463B6" w:rsidRDefault="00333B64" w:rsidP="00B95678">
      <w:pPr>
        <w:spacing w:after="0" w:line="103" w:lineRule="atLeast"/>
        <w:jc w:val="both"/>
        <w:rPr>
          <w:rFonts w:ascii="Times New Roman" w:hAnsi="Times New Roman" w:cs="Times New Roman"/>
          <w:color w:val="000000" w:themeColor="text1"/>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hAnsi="Times New Roman" w:cs="Times New Roman"/>
          <w:color w:val="000000" w:themeColor="text1"/>
          <w:sz w:val="20"/>
          <w:szCs w:val="20"/>
        </w:rPr>
        <w:t xml:space="preserve">Potenciāli zaudētie mūža gadi – </w:t>
      </w:r>
      <w:r w:rsidRPr="008463B6">
        <w:rPr>
          <w:rFonts w:ascii="Times New Roman" w:eastAsia="Calibri" w:hAnsi="Times New Roman" w:cs="Times New Roman"/>
          <w:color w:val="000000" w:themeColor="text1"/>
          <w:sz w:val="20"/>
          <w:szCs w:val="20"/>
          <w:lang w:eastAsia="lv-LV"/>
        </w:rPr>
        <w:t>gadi, kurus cilvēks būtu nodzīvojis līdz noteiktam vecumam (LV lietotais slieksnis līdz 64 gadiem), ja nebūtu nomiris. Jo agrākā vecumā iedzīvotāji mirst, jo lielāks ir potenciāli zaudēto mūža gadu skaits.</w:t>
      </w:r>
    </w:p>
  </w:footnote>
  <w:footnote w:id="7">
    <w:p w14:paraId="62239075" w14:textId="77777777" w:rsidR="00333B64" w:rsidRPr="00E93259" w:rsidRDefault="00333B64" w:rsidP="00E93259">
      <w:pPr>
        <w:pStyle w:val="NormalWeb"/>
        <w:shd w:val="clear" w:color="auto" w:fill="FFFFFF" w:themeFill="background1"/>
        <w:spacing w:before="0" w:beforeAutospacing="0" w:after="0" w:afterAutospacing="0"/>
        <w:jc w:val="both"/>
        <w:rPr>
          <w:color w:val="000000" w:themeColor="text1"/>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Ministru kabineta rīkojums Nr.589 2014.gada 14.oktobrī (prot. Nr.51 53.§) “</w:t>
      </w:r>
      <w:r w:rsidRPr="008463B6">
        <w:rPr>
          <w:color w:val="000000" w:themeColor="text1"/>
          <w:sz w:val="20"/>
          <w:szCs w:val="20"/>
          <w:lang w:bidi="en-US"/>
        </w:rPr>
        <w:t>Sabiedrības veselības pamatnostādnes 2014-2020” (6.lpp.)</w:t>
      </w:r>
    </w:p>
  </w:footnote>
  <w:footnote w:id="8">
    <w:p w14:paraId="0969BD83" w14:textId="77777777" w:rsidR="00333B64" w:rsidRPr="008463B6" w:rsidRDefault="00333B64" w:rsidP="001F3825">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hAnsi="Times New Roman" w:cs="Times New Roman"/>
          <w:color w:val="000000" w:themeColor="text1"/>
        </w:rPr>
        <w:t>Ministru kabineta rīkojums Nr.589 2014.gada 14.oktobrī (prot. Nr.51 53.§) “</w:t>
      </w:r>
      <w:r w:rsidRPr="008463B6">
        <w:rPr>
          <w:rFonts w:ascii="Times New Roman" w:hAnsi="Times New Roman" w:cs="Times New Roman"/>
          <w:color w:val="000000" w:themeColor="text1"/>
          <w:lang w:bidi="en-US"/>
        </w:rPr>
        <w:t>Sabiedrības veselības pamatnostādnes 2014-2020” (83.lpp.)</w:t>
      </w:r>
    </w:p>
  </w:footnote>
  <w:footnote w:id="9">
    <w:p w14:paraId="3897F85F" w14:textId="77777777" w:rsidR="00333B64" w:rsidRDefault="00333B64" w:rsidP="00E431D5">
      <w:pPr>
        <w:pStyle w:val="FootnoteText"/>
      </w:pPr>
      <w:r>
        <w:rPr>
          <w:rStyle w:val="FootnoteReference"/>
        </w:rPr>
        <w:footnoteRef/>
      </w:r>
      <w:r>
        <w:t xml:space="preserve"> </w:t>
      </w:r>
      <w:r w:rsidRPr="00BB73BC">
        <w:rPr>
          <w:rFonts w:ascii="Times New Roman" w:hAnsi="Times New Roman" w:cs="Times New Roman"/>
        </w:rPr>
        <w:t>Centrālā statistikas datu bāze</w:t>
      </w:r>
    </w:p>
  </w:footnote>
  <w:footnote w:id="10">
    <w:p w14:paraId="39202DAD" w14:textId="77777777" w:rsidR="00333B64" w:rsidRPr="008463B6" w:rsidRDefault="00333B64" w:rsidP="007A0F5A">
      <w:pPr>
        <w:pStyle w:val="FootnoteText"/>
        <w:rPr>
          <w:rFonts w:ascii="Times New Roman" w:hAnsi="Times New Roman" w:cs="Times New Roman"/>
        </w:rPr>
      </w:pPr>
      <w:r w:rsidRPr="008463B6">
        <w:rPr>
          <w:rStyle w:val="FootnoteReference"/>
          <w:rFonts w:ascii="Times New Roman" w:hAnsi="Times New Roman" w:cs="Times New Roman"/>
        </w:rPr>
        <w:footnoteRef/>
      </w:r>
      <w:r w:rsidRPr="00B76B13">
        <w:rPr>
          <w:rFonts w:ascii="Times New Roman" w:hAnsi="Times New Roman" w:cs="Times New Roman"/>
        </w:rPr>
        <w:t>https://ec.europa.eu/health/indicators_data/indicators_en</w:t>
      </w:r>
    </w:p>
  </w:footnote>
  <w:footnote w:id="11">
    <w:p w14:paraId="68FDAA85" w14:textId="77777777" w:rsidR="00333B64" w:rsidRPr="008463B6" w:rsidRDefault="00333B64" w:rsidP="007A0F5A">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csp, statistisko datu krājums “Iedzīvotāju veselības apsekojuma rezultāti Latvijā”, 66.lpp</w:t>
      </w:r>
    </w:p>
  </w:footnote>
  <w:footnote w:id="12">
    <w:p w14:paraId="5A9D2B90" w14:textId="77777777" w:rsidR="00333B64" w:rsidRPr="008463B6" w:rsidRDefault="00333B64" w:rsidP="00245EC9">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Avots NVD</w:t>
      </w:r>
    </w:p>
  </w:footnote>
  <w:footnote w:id="13">
    <w:p w14:paraId="0A91D996" w14:textId="77777777" w:rsidR="00333B64" w:rsidRPr="00B57B95" w:rsidRDefault="00333B64" w:rsidP="00467161">
      <w:pPr>
        <w:pStyle w:val="FootnoteText"/>
        <w:rPr>
          <w:rFonts w:ascii="Times New Roman" w:hAnsi="Times New Roman" w:cs="Times New Roman"/>
        </w:rPr>
      </w:pPr>
      <w:r w:rsidRPr="00B57B95">
        <w:rPr>
          <w:rStyle w:val="FootnoteReference"/>
          <w:rFonts w:ascii="Times New Roman" w:hAnsi="Times New Roman" w:cs="Times New Roman"/>
        </w:rPr>
        <w:footnoteRef/>
      </w:r>
      <w:r w:rsidRPr="00B57B95">
        <w:rPr>
          <w:rFonts w:ascii="Times New Roman" w:hAnsi="Times New Roman" w:cs="Times New Roman"/>
        </w:rPr>
        <w:t xml:space="preserve"> https://www.sip-platform.eu/files/structure_until_2016/Home/ReflectionProcess_screen.pdf</w:t>
      </w:r>
    </w:p>
  </w:footnote>
  <w:footnote w:id="14">
    <w:p w14:paraId="18551720" w14:textId="77777777" w:rsidR="00333B64" w:rsidRPr="00B57B95" w:rsidRDefault="00333B64" w:rsidP="00467161">
      <w:pPr>
        <w:pStyle w:val="FootnoteText"/>
        <w:rPr>
          <w:rFonts w:ascii="Times New Roman" w:hAnsi="Times New Roman" w:cs="Times New Roman"/>
        </w:rPr>
      </w:pPr>
      <w:r w:rsidRPr="00B57B95">
        <w:rPr>
          <w:rStyle w:val="FootnoteReference"/>
          <w:rFonts w:ascii="Times New Roman" w:hAnsi="Times New Roman" w:cs="Times New Roman"/>
        </w:rPr>
        <w:footnoteRef/>
      </w:r>
      <w:r w:rsidRPr="00B57B95">
        <w:rPr>
          <w:rFonts w:ascii="Times New Roman" w:hAnsi="Times New Roman" w:cs="Times New Roman"/>
        </w:rPr>
        <w:t xml:space="preserve"> https://tautaunveseliba.lv/sapes-onkologiska-pacienta-ikdiena-ne/</w:t>
      </w:r>
    </w:p>
  </w:footnote>
  <w:footnote w:id="15">
    <w:p w14:paraId="78F2F98D" w14:textId="77777777" w:rsidR="00333B64" w:rsidRDefault="00333B64" w:rsidP="00894E2F">
      <w:pPr>
        <w:pStyle w:val="FootnoteText"/>
      </w:pPr>
      <w:r w:rsidRPr="00B57B95">
        <w:rPr>
          <w:rStyle w:val="FootnoteReference"/>
          <w:rFonts w:ascii="Times New Roman" w:hAnsi="Times New Roman" w:cs="Times New Roman"/>
        </w:rPr>
        <w:footnoteRef/>
      </w:r>
      <w:r w:rsidRPr="00B57B95">
        <w:rPr>
          <w:rFonts w:ascii="Times New Roman" w:hAnsi="Times New Roman" w:cs="Times New Roman"/>
        </w:rPr>
        <w:t xml:space="preserve"> https://www.spkc.gov.lv/upload/Petijumi%20un%20zinojumi/FINBALT/finbalt_2016_2.pdf</w:t>
      </w:r>
    </w:p>
  </w:footnote>
  <w:footnote w:id="16">
    <w:p w14:paraId="245B8334" w14:textId="77777777" w:rsidR="00333B64" w:rsidRDefault="00333B64" w:rsidP="007E7131">
      <w:pPr>
        <w:pStyle w:val="FootnoteText"/>
      </w:pPr>
      <w:r>
        <w:rPr>
          <w:rStyle w:val="FootnoteReference"/>
        </w:rPr>
        <w:footnoteRef/>
      </w:r>
      <w:r>
        <w:t xml:space="preserve"> </w:t>
      </w:r>
      <w:r w:rsidRPr="00E7030C">
        <w:rPr>
          <w:rFonts w:ascii="Times New Roman" w:hAnsi="Times New Roman"/>
        </w:rPr>
        <w:t>Klīnisko universitātes slimnīcu speciālistu novērtējums un prognoze atbilstoši faktiskajam uzņemšanas nodaļu darbam</w:t>
      </w:r>
    </w:p>
  </w:footnote>
  <w:footnote w:id="17">
    <w:p w14:paraId="1CA12CD0" w14:textId="77777777" w:rsidR="00333B64" w:rsidRPr="00E93259" w:rsidRDefault="00333B64" w:rsidP="00E93259">
      <w:pPr>
        <w:pStyle w:val="NormalWeb"/>
        <w:shd w:val="clear" w:color="auto" w:fill="FFFFFF" w:themeFill="background1"/>
        <w:spacing w:before="0" w:beforeAutospacing="0" w:after="0" w:afterAutospacing="0"/>
        <w:jc w:val="both"/>
        <w:rPr>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Ministru kabineta rīkojums Nr.589 2014.gada 14.oktobrī (prot. Nr.51 53.§) “</w:t>
      </w:r>
      <w:r w:rsidRPr="008463B6">
        <w:rPr>
          <w:color w:val="000000" w:themeColor="text1"/>
          <w:sz w:val="20"/>
          <w:szCs w:val="20"/>
          <w:lang w:bidi="en-US"/>
        </w:rPr>
        <w:t>Sabiedrības veselības pamatnostādnes 2014-2020” (6.-7.lpp.)</w:t>
      </w:r>
    </w:p>
  </w:footnote>
  <w:footnote w:id="18">
    <w:p w14:paraId="6E40E633" w14:textId="77777777" w:rsidR="00333B64" w:rsidRPr="008463B6" w:rsidRDefault="00333B64" w:rsidP="0099308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Tiek novērtēta kopējā intervences ietekme, ņemot vērā ambulatoro pakalpojumu dažādību un to ietekmi uz dažādām saslimšanas diagnozēm</w:t>
      </w:r>
    </w:p>
  </w:footnote>
  <w:footnote w:id="19">
    <w:p w14:paraId="3A07551D" w14:textId="77777777" w:rsidR="00333B64" w:rsidRPr="008463B6" w:rsidRDefault="00333B64" w:rsidP="007102D1">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Veselības aprūpes pakalpojumu onkoloģijas jomā uzlabošanas plāns 2017.-2020. gadam (MK 31.05.2017. rīkojums Nr.269); 3.23.punkts</w:t>
      </w:r>
    </w:p>
  </w:footnote>
  <w:footnote w:id="20">
    <w:p w14:paraId="5771F159" w14:textId="77777777" w:rsidR="00333B64" w:rsidRPr="00725982" w:rsidRDefault="00333B64" w:rsidP="000650B8">
      <w:pPr>
        <w:pStyle w:val="FootnoteText"/>
        <w:rPr>
          <w:rFonts w:ascii="Times New Roman" w:hAnsi="Times New Roman" w:cs="Times New Roman"/>
        </w:rPr>
      </w:pPr>
      <w:r w:rsidRPr="00725982">
        <w:rPr>
          <w:rStyle w:val="FootnoteReference"/>
          <w:rFonts w:ascii="Times New Roman" w:hAnsi="Times New Roman" w:cs="Times New Roman"/>
        </w:rPr>
        <w:footnoteRef/>
      </w:r>
      <w:r w:rsidRPr="00725982">
        <w:rPr>
          <w:rFonts w:ascii="Times New Roman" w:hAnsi="Times New Roman" w:cs="Times New Roman"/>
        </w:rPr>
        <w:t xml:space="preserve"> Slimību profilakses un kontroles centrs, www.spkc.gov.lv/statistika</w:t>
      </w:r>
    </w:p>
  </w:footnote>
  <w:footnote w:id="21">
    <w:p w14:paraId="5997AD86" w14:textId="56140D84" w:rsidR="00333B64" w:rsidRPr="00CC103A" w:rsidRDefault="00333B64">
      <w:pPr>
        <w:pStyle w:val="FootnoteText"/>
        <w:rPr>
          <w:rFonts w:ascii="Times New Roman" w:hAnsi="Times New Roman" w:cs="Times New Roman"/>
        </w:rPr>
      </w:pPr>
      <w:r w:rsidRPr="00CC103A">
        <w:rPr>
          <w:rStyle w:val="FootnoteReference"/>
          <w:rFonts w:ascii="Times New Roman" w:hAnsi="Times New Roman" w:cs="Times New Roman"/>
        </w:rPr>
        <w:footnoteRef/>
      </w:r>
      <w:r w:rsidRPr="00CC103A">
        <w:rPr>
          <w:rFonts w:ascii="Times New Roman" w:hAnsi="Times New Roman" w:cs="Times New Roman"/>
        </w:rPr>
        <w:t xml:space="preserve"> SIA “</w:t>
      </w:r>
      <w:r>
        <w:rPr>
          <w:rFonts w:ascii="Times New Roman" w:hAnsi="Times New Roman" w:cs="Times New Roman"/>
        </w:rPr>
        <w:t xml:space="preserve">Rīgas </w:t>
      </w:r>
      <w:r w:rsidRPr="00DA2E28">
        <w:rPr>
          <w:rFonts w:ascii="Times New Roman" w:hAnsi="Times New Roman" w:cs="Times New Roman"/>
        </w:rPr>
        <w:t>Austrumu k</w:t>
      </w:r>
      <w:r w:rsidRPr="00CC103A">
        <w:rPr>
          <w:rFonts w:ascii="Times New Roman" w:hAnsi="Times New Roman" w:cs="Times New Roman"/>
        </w:rPr>
        <w:t>līniskās universitātes slimnīcas” eksperta novērtējums</w:t>
      </w:r>
    </w:p>
  </w:footnote>
  <w:footnote w:id="22">
    <w:p w14:paraId="7C2B3EA9" w14:textId="77777777" w:rsidR="00333B64" w:rsidRPr="00000FA6" w:rsidRDefault="00333B64" w:rsidP="00B24429">
      <w:pPr>
        <w:pStyle w:val="FootnoteText"/>
        <w:jc w:val="both"/>
        <w:rPr>
          <w:rFonts w:ascii="Times New Roman" w:hAnsi="Times New Roman" w:cs="Times New Roman"/>
        </w:rPr>
      </w:pPr>
      <w:r w:rsidRPr="00000FA6">
        <w:rPr>
          <w:rStyle w:val="FootnoteReference"/>
          <w:rFonts w:ascii="Times New Roman" w:hAnsi="Times New Roman" w:cs="Times New Roman"/>
        </w:rPr>
        <w:footnoteRef/>
      </w:r>
      <w:r w:rsidRPr="00000FA6">
        <w:rPr>
          <w:rFonts w:ascii="Times New Roman" w:hAnsi="Times New Roman" w:cs="Times New Roman"/>
        </w:rPr>
        <w:t xml:space="preserve"> EASL Recommendations on Treatment of Hepatitis C 2016q </w:t>
      </w:r>
    </w:p>
    <w:p w14:paraId="220FC48B" w14:textId="77777777" w:rsidR="00333B64" w:rsidRPr="00000FA6" w:rsidRDefault="00333B64" w:rsidP="00B24429">
      <w:pPr>
        <w:pStyle w:val="FootnoteText"/>
        <w:jc w:val="both"/>
        <w:rPr>
          <w:rFonts w:ascii="Times New Roman" w:hAnsi="Times New Roman" w:cs="Times New Roman"/>
        </w:rPr>
      </w:pPr>
      <w:r w:rsidRPr="00000FA6">
        <w:rPr>
          <w:rFonts w:ascii="Times New Roman" w:hAnsi="Times New Roman" w:cs="Times New Roman"/>
        </w:rPr>
        <w:t>http://www.easl.eu/medias/cpg/HCV2016/English-report.pdf</w:t>
      </w:r>
    </w:p>
  </w:footnote>
  <w:footnote w:id="23">
    <w:p w14:paraId="14EAB5E7" w14:textId="1C932FFA" w:rsidR="00333B64" w:rsidRPr="006576BB" w:rsidRDefault="00333B64">
      <w:pPr>
        <w:pStyle w:val="FootnoteText"/>
        <w:rPr>
          <w:rFonts w:ascii="Times New Roman" w:hAnsi="Times New Roman" w:cs="Times New Roman"/>
        </w:rPr>
      </w:pPr>
      <w:r w:rsidRPr="006576BB">
        <w:rPr>
          <w:rStyle w:val="FootnoteReference"/>
          <w:rFonts w:ascii="Times New Roman" w:hAnsi="Times New Roman" w:cs="Times New Roman"/>
        </w:rPr>
        <w:footnoteRef/>
      </w:r>
      <w:r w:rsidRPr="006576BB">
        <w:rPr>
          <w:rFonts w:ascii="Times New Roman" w:hAnsi="Times New Roman" w:cs="Times New Roman"/>
        </w:rPr>
        <w:t xml:space="preserve"> </w:t>
      </w:r>
      <w:r w:rsidRPr="006576BB">
        <w:rPr>
          <w:rFonts w:ascii="Times New Roman" w:eastAsia="Times New Roman" w:hAnsi="Times New Roman" w:cs="Times New Roman"/>
        </w:rPr>
        <w:t>http://apps.who.int/iris/bitstream/10665/206453/1/WHO_HIV_2016.04_eng.pdf?ua=1</w:t>
      </w:r>
    </w:p>
  </w:footnote>
  <w:footnote w:id="24">
    <w:p w14:paraId="2E394EEC" w14:textId="77777777" w:rsidR="00333B64" w:rsidRPr="001B3584" w:rsidRDefault="00333B64" w:rsidP="00442764">
      <w:pPr>
        <w:pStyle w:val="FootnoteText"/>
        <w:rPr>
          <w:rFonts w:ascii="Times New Roman" w:hAnsi="Times New Roman" w:cs="Times New Roman"/>
          <w:lang w:val="en-US"/>
        </w:rPr>
      </w:pPr>
      <w:r w:rsidRPr="001B3584">
        <w:rPr>
          <w:rStyle w:val="FootnoteReference"/>
          <w:rFonts w:ascii="Times New Roman" w:hAnsi="Times New Roman" w:cs="Times New Roman"/>
          <w:lang w:val="en-US"/>
        </w:rPr>
        <w:footnoteRef/>
      </w:r>
      <w:r w:rsidRPr="001B3584">
        <w:rPr>
          <w:rFonts w:ascii="Times New Roman" w:hAnsi="Times New Roman" w:cs="Times New Roman"/>
          <w:lang w:val="en-US"/>
        </w:rPr>
        <w:t>Patel P, Borkowf CB, Brooks JT. Et al. Estimating per-act HIV transmission risk: a systematic review. AIDS. 2014. doi: 10.1097/QAD.0000000000000298</w:t>
      </w:r>
    </w:p>
  </w:footnote>
  <w:footnote w:id="25">
    <w:p w14:paraId="67957F1C" w14:textId="77777777" w:rsidR="00333B64" w:rsidRPr="001B3584" w:rsidRDefault="00333B64" w:rsidP="00442764">
      <w:pPr>
        <w:pStyle w:val="FootnoteText"/>
        <w:rPr>
          <w:rFonts w:ascii="Times New Roman" w:hAnsi="Times New Roman" w:cs="Times New Roman"/>
          <w:lang w:val="en-US"/>
        </w:rPr>
      </w:pPr>
      <w:r w:rsidRPr="001B3584">
        <w:rPr>
          <w:rStyle w:val="FootnoteReference"/>
          <w:rFonts w:ascii="Times New Roman" w:hAnsi="Times New Roman" w:cs="Times New Roman"/>
          <w:lang w:val="en-US"/>
        </w:rPr>
        <w:footnoteRef/>
      </w:r>
      <w:r w:rsidRPr="001B3584">
        <w:rPr>
          <w:rFonts w:ascii="Times New Roman" w:hAnsi="Times New Roman" w:cs="Times New Roman"/>
          <w:lang w:val="en-US"/>
        </w:rPr>
        <w:t xml:space="preserve">Pretty LA, Anderson GS, Sweet DJ. Human bites and the risk of human immunodeficiency virus transmission. Am J Forensic Med Pathol 1999;20(3):232-239 </w:t>
      </w:r>
    </w:p>
  </w:footnote>
  <w:footnote w:id="26">
    <w:p w14:paraId="4107F11C" w14:textId="77777777" w:rsidR="00333B64" w:rsidRPr="00065AF6" w:rsidRDefault="00333B64" w:rsidP="009E0D80">
      <w:pPr>
        <w:pStyle w:val="FootnoteText"/>
        <w:rPr>
          <w:rFonts w:ascii="Times New Roman" w:hAnsi="Times New Roman" w:cs="Times New Roman"/>
        </w:rPr>
      </w:pPr>
      <w:r w:rsidRPr="001B3584">
        <w:rPr>
          <w:rStyle w:val="FootnoteReference"/>
          <w:rFonts w:ascii="Times New Roman" w:hAnsi="Times New Roman" w:cs="Times New Roman"/>
        </w:rPr>
        <w:footnoteRef/>
      </w:r>
      <w:r w:rsidRPr="001B3584">
        <w:rPr>
          <w:rFonts w:ascii="Times New Roman" w:hAnsi="Times New Roman" w:cs="Times New Roman"/>
        </w:rPr>
        <w:t>http://www.euro.who.int/en/about-us/governance/regional-committee-for-europe/66th-session/documentation/working-documents/eurrc669-action-plan-for-the-health-sector-response-to-hiv-in-the-</w:t>
      </w:r>
      <w:r w:rsidRPr="00065AF6">
        <w:rPr>
          <w:rFonts w:ascii="Times New Roman" w:hAnsi="Times New Roman" w:cs="Times New Roman"/>
        </w:rPr>
        <w:t>who-european-region</w:t>
      </w:r>
    </w:p>
  </w:footnote>
  <w:footnote w:id="27">
    <w:p w14:paraId="5D757C2B" w14:textId="77777777" w:rsidR="00333B64" w:rsidRPr="00AF3598" w:rsidRDefault="00333B64" w:rsidP="009E0D80">
      <w:pPr>
        <w:rPr>
          <w:rFonts w:ascii="Times New Roman" w:hAnsi="Times New Roman" w:cs="Times New Roman"/>
          <w:sz w:val="20"/>
          <w:szCs w:val="20"/>
          <w:lang w:val="en-US"/>
        </w:rPr>
      </w:pPr>
      <w:r w:rsidRPr="00AF3598">
        <w:rPr>
          <w:rStyle w:val="FootnoteReference"/>
          <w:rFonts w:ascii="Times New Roman" w:hAnsi="Times New Roman" w:cs="Times New Roman"/>
          <w:sz w:val="20"/>
          <w:szCs w:val="20"/>
          <w:lang w:val="en-US"/>
        </w:rPr>
        <w:footnoteRef/>
      </w:r>
      <w:r w:rsidRPr="00AF3598">
        <w:rPr>
          <w:rFonts w:ascii="Times New Roman" w:hAnsi="Times New Roman" w:cs="Times New Roman"/>
          <w:color w:val="000000"/>
          <w:sz w:val="20"/>
          <w:szCs w:val="20"/>
          <w:lang w:val="en-US"/>
        </w:rPr>
        <w:t xml:space="preserve">Pētījums Chung MH, Richardson BA, Tapia K, Benki-Nugent S, Kiarie JN, et al. </w:t>
      </w:r>
      <w:r w:rsidRPr="001942C8">
        <w:rPr>
          <w:rFonts w:ascii="Times New Roman" w:hAnsi="Times New Roman" w:cs="Times New Roman"/>
          <w:bCs/>
          <w:color w:val="000000"/>
          <w:sz w:val="20"/>
          <w:szCs w:val="20"/>
          <w:lang w:val="en-US"/>
        </w:rPr>
        <w:t>A Randomized Controlled Trial Comparing the Effects of Counseling and Alarm Device on HAART Adherence and Virologic Outcomes</w:t>
      </w:r>
      <w:r w:rsidRPr="00AF3598">
        <w:rPr>
          <w:rFonts w:ascii="Times New Roman" w:hAnsi="Times New Roman" w:cs="Times New Roman"/>
          <w:color w:val="000000"/>
          <w:sz w:val="20"/>
          <w:szCs w:val="20"/>
          <w:lang w:val="en-US"/>
        </w:rPr>
        <w:t xml:space="preserve">. </w:t>
      </w:r>
      <w:r w:rsidRPr="00AF3598">
        <w:rPr>
          <w:rFonts w:ascii="Times New Roman" w:hAnsi="Times New Roman" w:cs="Times New Roman"/>
          <w:iCs/>
          <w:color w:val="000000"/>
          <w:sz w:val="20"/>
          <w:szCs w:val="20"/>
          <w:lang w:val="en-US"/>
        </w:rPr>
        <w:t>PLoS Med</w:t>
      </w:r>
      <w:r w:rsidRPr="00AF3598">
        <w:rPr>
          <w:rFonts w:ascii="Times New Roman" w:hAnsi="Times New Roman" w:cs="Times New Roman"/>
          <w:color w:val="000000"/>
          <w:sz w:val="20"/>
          <w:szCs w:val="20"/>
          <w:lang w:val="en-US"/>
        </w:rPr>
        <w:t xml:space="preserve">, 8(3): e1000422 DOI: </w:t>
      </w:r>
      <w:hyperlink r:id="rId1" w:history="1">
        <w:r w:rsidRPr="00AF3598">
          <w:rPr>
            <w:rFonts w:ascii="Times New Roman" w:hAnsi="Times New Roman" w:cs="Times New Roman"/>
            <w:color w:val="000000"/>
            <w:sz w:val="20"/>
            <w:szCs w:val="20"/>
            <w:u w:val="single"/>
            <w:lang w:val="en-US"/>
          </w:rPr>
          <w:t>10.1371/journal.pmed.1000422</w:t>
        </w:r>
      </w:hyperlink>
    </w:p>
    <w:p w14:paraId="7F295655" w14:textId="77777777" w:rsidR="00333B64" w:rsidRPr="002A474B" w:rsidRDefault="00333B64" w:rsidP="009E0D80">
      <w:pPr>
        <w:pStyle w:val="FootnoteText"/>
        <w:rPr>
          <w:rFonts w:ascii="Times New Roman" w:hAnsi="Times New Roman" w:cs="Times New Roman"/>
        </w:rPr>
      </w:pPr>
    </w:p>
  </w:footnote>
  <w:footnote w:id="28">
    <w:p w14:paraId="6FE1FD7A" w14:textId="77777777" w:rsidR="00333B64" w:rsidRPr="00065AF6" w:rsidRDefault="00333B64">
      <w:pPr>
        <w:pStyle w:val="FootnoteText"/>
        <w:tabs>
          <w:tab w:val="left" w:pos="142"/>
        </w:tabs>
        <w:rPr>
          <w:rFonts w:ascii="Times New Roman" w:hAnsi="Times New Roman" w:cs="Times New Roman"/>
          <w:lang w:val="en-US"/>
        </w:rPr>
      </w:pPr>
      <w:r w:rsidRPr="3AC8A380">
        <w:rPr>
          <w:rStyle w:val="FootnoteReference"/>
          <w:rFonts w:ascii="Times New Roman" w:eastAsiaTheme="majorEastAsia" w:hAnsi="Times New Roman" w:cs="Times New Roman"/>
          <w:lang w:val="en-US"/>
        </w:rPr>
        <w:footnoteRef/>
      </w:r>
      <w:r w:rsidRPr="00E12849">
        <w:rPr>
          <w:rFonts w:ascii="Times New Roman" w:hAnsi="Times New Roman" w:cs="Times New Roman"/>
          <w:lang w:val="en-US"/>
        </w:rPr>
        <w:t>ECDC Special report Implementing the Dublin Declaration on Partnership to Fight HIV/AIDS in Europe and Central Asia: 2010 Progress report</w:t>
      </w:r>
    </w:p>
  </w:footnote>
  <w:footnote w:id="29">
    <w:p w14:paraId="4BC6223D" w14:textId="77777777" w:rsidR="00333B64" w:rsidRPr="0067015D" w:rsidRDefault="00333B64" w:rsidP="009E0D80">
      <w:pPr>
        <w:pStyle w:val="FootnoteText"/>
        <w:tabs>
          <w:tab w:val="left" w:pos="0"/>
        </w:tabs>
        <w:jc w:val="both"/>
        <w:rPr>
          <w:rFonts w:ascii="Times New Roman" w:hAnsi="Times New Roman" w:cs="Times New Roman"/>
          <w:szCs w:val="24"/>
        </w:rPr>
      </w:pPr>
      <w:r w:rsidRPr="006C498C">
        <w:rPr>
          <w:rStyle w:val="FootnoteReference"/>
          <w:rFonts w:eastAsiaTheme="majorEastAsia"/>
          <w:szCs w:val="24"/>
        </w:rPr>
        <w:footnoteRef/>
      </w:r>
      <w:r w:rsidRPr="0067015D">
        <w:rPr>
          <w:rFonts w:ascii="Times New Roman" w:hAnsi="Times New Roman" w:cs="Times New Roman"/>
          <w:szCs w:val="24"/>
        </w:rPr>
        <w:t xml:space="preserve">Gailītis A., Bulmistre I., Bundule L., Brokere I., Dudareva S., Karnīte A., Lāss I., Skripste I., Upmace I. Narkotiku lietošanas radītā veselības kaitējuma mazināšana un novēršana. Rokasgrāmata kaitējuma mazināšanas pakalpojumu sniedzējiem darbā ar injicējamo narkotiku lietotājiem. Sabiedrības veselības aģentūra, 2011, </w:t>
      </w:r>
      <w:hyperlink r:id="rId2" w:history="1">
        <w:r w:rsidRPr="0067015D">
          <w:rPr>
            <w:rStyle w:val="Hyperlink"/>
            <w:rFonts w:ascii="Times New Roman" w:eastAsiaTheme="majorEastAsia" w:hAnsi="Times New Roman" w:cs="Times New Roman"/>
            <w:szCs w:val="24"/>
          </w:rPr>
          <w:t>http://balthiv.com/noderiga-informacija/vadlinijas-rekomendacijas</w:t>
        </w:r>
      </w:hyperlink>
    </w:p>
  </w:footnote>
  <w:footnote w:id="30">
    <w:p w14:paraId="02F2BE5E" w14:textId="3CB41288" w:rsidR="00333B64" w:rsidRPr="008463B6" w:rsidRDefault="00333B64" w:rsidP="00E52E2A">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Papildus no valsts budžeta finansējuma </w:t>
      </w:r>
      <w:r>
        <w:rPr>
          <w:rFonts w:ascii="Times New Roman" w:hAnsi="Times New Roman" w:cs="Times New Roman"/>
        </w:rPr>
        <w:t xml:space="preserve">2018.gada ārstniecības personu darba samaksas paaugstināšanai </w:t>
      </w:r>
      <w:r w:rsidRPr="008463B6">
        <w:rPr>
          <w:rFonts w:ascii="Times New Roman" w:hAnsi="Times New Roman" w:cs="Times New Roman"/>
        </w:rPr>
        <w:t>palielināt</w:t>
      </w:r>
      <w:r>
        <w:rPr>
          <w:rFonts w:ascii="Times New Roman" w:hAnsi="Times New Roman" w:cs="Times New Roman"/>
        </w:rPr>
        <w:t>a</w:t>
      </w:r>
      <w:r w:rsidRPr="008463B6">
        <w:rPr>
          <w:rFonts w:ascii="Times New Roman" w:hAnsi="Times New Roman" w:cs="Times New Roman"/>
        </w:rPr>
        <w:t xml:space="preserve"> kapitācijas naudā iekļaut</w:t>
      </w:r>
      <w:r>
        <w:rPr>
          <w:rFonts w:ascii="Times New Roman" w:hAnsi="Times New Roman" w:cs="Times New Roman"/>
        </w:rPr>
        <w:t>ā</w:t>
      </w:r>
      <w:r w:rsidRPr="008463B6">
        <w:rPr>
          <w:rFonts w:ascii="Times New Roman" w:hAnsi="Times New Roman" w:cs="Times New Roman"/>
        </w:rPr>
        <w:t xml:space="preserve"> </w:t>
      </w:r>
      <w:r>
        <w:rPr>
          <w:rFonts w:ascii="Times New Roman" w:hAnsi="Times New Roman" w:cs="Times New Roman"/>
        </w:rPr>
        <w:t>darba samaksas pozīcija</w:t>
      </w:r>
      <w:r w:rsidRPr="008463B6">
        <w:rPr>
          <w:rFonts w:ascii="Times New Roman" w:hAnsi="Times New Roman" w:cs="Times New Roman"/>
        </w:rPr>
        <w:t xml:space="preserve">, nodrošinot kapitācijas naudas pieaugumu no 1.251254 līdz 1.47171 </w:t>
      </w:r>
      <w:r w:rsidRPr="00E52E2A">
        <w:rPr>
          <w:rFonts w:ascii="Times New Roman" w:hAnsi="Times New Roman" w:cs="Times New Roman"/>
          <w:i/>
        </w:rPr>
        <w:t>euro</w:t>
      </w:r>
      <w:r w:rsidRPr="008463B6">
        <w:rPr>
          <w:rFonts w:ascii="Times New Roman" w:hAnsi="Times New Roman" w:cs="Times New Roman"/>
        </w:rPr>
        <w:t xml:space="preserve">. No EK atkāpes finansējuma </w:t>
      </w:r>
      <w:r>
        <w:rPr>
          <w:rFonts w:ascii="Times New Roman" w:hAnsi="Times New Roman" w:cs="Times New Roman"/>
        </w:rPr>
        <w:t>netika veikts</w:t>
      </w:r>
      <w:r w:rsidRPr="008463B6">
        <w:rPr>
          <w:rFonts w:ascii="Times New Roman" w:hAnsi="Times New Roman" w:cs="Times New Roman"/>
        </w:rPr>
        <w:t xml:space="preserve"> mēnešalgas palielinājums.</w:t>
      </w:r>
    </w:p>
  </w:footnote>
  <w:footnote w:id="31">
    <w:p w14:paraId="6ACFDB8D" w14:textId="77777777" w:rsidR="00333B64" w:rsidRPr="005E1F8E" w:rsidRDefault="00333B64" w:rsidP="00795EAD">
      <w:pPr>
        <w:pStyle w:val="FootnoteText"/>
        <w:rPr>
          <w:rFonts w:ascii="Times New Roman" w:hAnsi="Times New Roman" w:cs="Times New Roman"/>
        </w:rPr>
      </w:pPr>
      <w:r w:rsidRPr="002F534F">
        <w:rPr>
          <w:rStyle w:val="FootnoteReference"/>
          <w:rFonts w:ascii="Times New Roman" w:hAnsi="Times New Roman" w:cs="Times New Roman"/>
        </w:rPr>
        <w:footnoteRef/>
      </w:r>
      <w:r w:rsidRPr="002F534F">
        <w:rPr>
          <w:rFonts w:ascii="Times New Roman" w:hAnsi="Times New Roman" w:cs="Times New Roman"/>
        </w:rPr>
        <w:t xml:space="preserve"> </w:t>
      </w:r>
      <w:r w:rsidRPr="005E1F8E">
        <w:rPr>
          <w:rFonts w:ascii="Times New Roman" w:hAnsi="Times New Roman" w:cs="Times New Roman"/>
        </w:rPr>
        <w:t>Ayoade F, Gossman WG. Varicella (Chickenpox), Zoster. [Updated 2017 Jul 25]. In: StatPearls [Internet]. Treasure Island (FL): StatPearls Publishing; 2017 Jun. Available from: https://www.ncbi.nlm.nih.gov/books/NBK448191/</w:t>
      </w:r>
    </w:p>
  </w:footnote>
  <w:footnote w:id="32">
    <w:p w14:paraId="4326A449" w14:textId="77777777" w:rsidR="00333B64" w:rsidRPr="005E1F8E" w:rsidRDefault="00333B64" w:rsidP="00E52E2A">
      <w:pPr>
        <w:pStyle w:val="FootnoteText"/>
        <w:jc w:val="both"/>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Ayoade F, Gossman WG. Varicella (Chickenpox), Zoster. [Updated 2017 Jul 25]. In: StatPearls [Internet]. Treasure Island (FL): StatPearls Publishing; 2017 Jun. Available from: https://www.ncbi.nlm.nih.gov/books/NBK448191/</w:t>
      </w:r>
    </w:p>
  </w:footnote>
  <w:footnote w:id="33">
    <w:p w14:paraId="42935E67" w14:textId="77777777" w:rsidR="00333B64" w:rsidRPr="00624B05" w:rsidRDefault="00333B64" w:rsidP="006849C3">
      <w:pPr>
        <w:pStyle w:val="FootnoteText"/>
        <w:rPr>
          <w:rFonts w:ascii="Times New Roman" w:hAnsi="Times New Roman" w:cs="Times New Roman"/>
        </w:rPr>
      </w:pPr>
      <w:r w:rsidRPr="00624B05">
        <w:rPr>
          <w:rStyle w:val="FootnoteReference"/>
          <w:rFonts w:ascii="Times New Roman" w:hAnsi="Times New Roman" w:cs="Times New Roman"/>
        </w:rPr>
        <w:footnoteRef/>
      </w:r>
      <w:r w:rsidRPr="00624B05">
        <w:rPr>
          <w:rFonts w:ascii="Times New Roman" w:hAnsi="Times New Roman" w:cs="Times New Roman"/>
        </w:rPr>
        <w:t xml:space="preserve"> Johnsons Hopkins Medicine</w:t>
      </w:r>
    </w:p>
  </w:footnote>
  <w:footnote w:id="34">
    <w:p w14:paraId="3C796C4C" w14:textId="77777777" w:rsidR="00333B64" w:rsidRPr="002E5545" w:rsidRDefault="00333B64" w:rsidP="00795EAD">
      <w:pPr>
        <w:pStyle w:val="FootnoteText"/>
        <w:rPr>
          <w:rFonts w:ascii="Times New Roman" w:hAnsi="Times New Roman" w:cs="Times New Roman"/>
        </w:rPr>
      </w:pPr>
      <w:r w:rsidRPr="002E5545">
        <w:rPr>
          <w:rStyle w:val="FootnoteReference"/>
          <w:rFonts w:ascii="Times New Roman" w:hAnsi="Times New Roman" w:cs="Times New Roman"/>
        </w:rPr>
        <w:footnoteRef/>
      </w:r>
      <w:r w:rsidRPr="002E5545">
        <w:rPr>
          <w:rFonts w:ascii="Times New Roman" w:hAnsi="Times New Roman" w:cs="Times New Roman"/>
        </w:rPr>
        <w:t xml:space="preserve"> https://www.doctus.lv/2017/10/vejbaku-komplikacijas-vai-tiesam-vejbakas-ir-tik-viegla-slimiba</w:t>
      </w:r>
    </w:p>
  </w:footnote>
  <w:footnote w:id="35">
    <w:p w14:paraId="193C690B" w14:textId="77777777" w:rsidR="00333B64" w:rsidRPr="005E1F8E" w:rsidRDefault="00333B64" w:rsidP="00F30E8C">
      <w:pPr>
        <w:pStyle w:val="FootnoteText"/>
        <w:jc w:val="both"/>
        <w:rPr>
          <w:rFonts w:ascii="Times New Roman" w:hAnsi="Times New Roman" w:cs="Times New Roman"/>
        </w:rPr>
      </w:pPr>
      <w:r w:rsidRPr="00883144">
        <w:rPr>
          <w:rStyle w:val="FootnoteReference"/>
          <w:rFonts w:ascii="Times New Roman" w:hAnsi="Times New Roman" w:cs="Times New Roman"/>
        </w:rPr>
        <w:footnoteRef/>
      </w:r>
      <w:r w:rsidRPr="00883144">
        <w:rPr>
          <w:rFonts w:ascii="Times New Roman" w:hAnsi="Times New Roman" w:cs="Times New Roman"/>
        </w:rPr>
        <w:t xml:space="preserve"> </w:t>
      </w:r>
      <w:r w:rsidRPr="005E1F8E">
        <w:rPr>
          <w:rFonts w:ascii="Times New Roman" w:hAnsi="Times New Roman" w:cs="Times New Roman"/>
        </w:rPr>
        <w:t>Ozden Turel, Mustafa Bakir, Ismail Gonen, Nevin Hatipoglu, Cigdem Aydogmus, Emine Hosaf, Rengin Siraneci. Children Hospitalized for Varicella: Complications and Cost Burden. Value in Health Regional Issues, Elsevier, Sept–Oct 2013</w:t>
      </w:r>
    </w:p>
  </w:footnote>
  <w:footnote w:id="36">
    <w:p w14:paraId="3D967EC6" w14:textId="77777777" w:rsidR="00333B64" w:rsidRPr="005E1F8E" w:rsidRDefault="00333B64" w:rsidP="00F30E8C">
      <w:pPr>
        <w:pStyle w:val="FootnoteText"/>
        <w:jc w:val="both"/>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Lenehan CP, Grella MJ. Vaccine, Varicella (Chickenpox) [Updated 2017 Jun 27]. In: StatPearls [Internet]. Treasure Island (FL): StatPearls Publishing; 2017 Jun. Available from: https://www.ncbi.nlm.nih.gov/books/NBK441946/</w:t>
      </w:r>
    </w:p>
  </w:footnote>
  <w:footnote w:id="37">
    <w:p w14:paraId="518A391C" w14:textId="77777777" w:rsidR="00333B64" w:rsidRPr="005E1F8E" w:rsidRDefault="00333B64" w:rsidP="00F30E8C">
      <w:pPr>
        <w:pStyle w:val="FootnoteText"/>
        <w:jc w:val="both"/>
        <w:rPr>
          <w:rFonts w:ascii="Times New Roman" w:hAnsi="Times New Roman" w:cs="Times New Roman"/>
        </w:rPr>
      </w:pPr>
      <w:r w:rsidRPr="00E52E2A">
        <w:rPr>
          <w:rStyle w:val="FootnoteReference"/>
          <w:rFonts w:ascii="Times New Roman" w:hAnsi="Times New Roman" w:cs="Times New Roman"/>
        </w:rPr>
        <w:footnoteRef/>
      </w:r>
      <w:r w:rsidRPr="00E52E2A">
        <w:rPr>
          <w:rFonts w:ascii="Times New Roman" w:hAnsi="Times New Roman" w:cs="Times New Roman"/>
        </w:rPr>
        <w:t xml:space="preserve"> </w:t>
      </w:r>
      <w:r w:rsidRPr="005E1F8E">
        <w:rPr>
          <w:rFonts w:ascii="Times New Roman" w:hAnsi="Times New Roman" w:cs="Times New Roman"/>
        </w:rPr>
        <w:t>Wilson GJ, Talkington DF, Gruber W, et al: Group A streptococcal necrotizing fasciitis following varicella in children: case reports and review. Clin Infect Dis, 1995; 20: 1333–1338</w:t>
      </w:r>
    </w:p>
  </w:footnote>
  <w:footnote w:id="38">
    <w:p w14:paraId="3EBDD671" w14:textId="77777777" w:rsidR="00333B64" w:rsidRPr="005E1F8E" w:rsidRDefault="00333B64" w:rsidP="00F30E8C">
      <w:pPr>
        <w:pStyle w:val="FootnoteText"/>
        <w:jc w:val="both"/>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Salas AA, Nava A. Acute cerebellar ataxia in childhood: initial approach in the emergency department. Emerg Med J, 2010; 27(12): 956–957. doi: 10.1136/emj.2009.079376</w:t>
      </w:r>
    </w:p>
  </w:footnote>
  <w:footnote w:id="39">
    <w:p w14:paraId="13D87CC7" w14:textId="77777777" w:rsidR="00333B64" w:rsidRPr="005E1F8E" w:rsidRDefault="00333B64" w:rsidP="00F30E8C">
      <w:pPr>
        <w:pStyle w:val="FootnoteText"/>
        <w:jc w:val="both"/>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Heininger U, Seward JF. Varicella. Lancet, 2006; 368(9544): 1365–1376</w:t>
      </w:r>
    </w:p>
  </w:footnote>
  <w:footnote w:id="40">
    <w:p w14:paraId="73379BF5" w14:textId="77777777" w:rsidR="00333B64" w:rsidRPr="005E1F8E" w:rsidRDefault="00333B64" w:rsidP="00F30E8C">
      <w:pPr>
        <w:pStyle w:val="FootnoteText"/>
        <w:jc w:val="both"/>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https://www.cambridge.org/core/journals/cardiology-in-the-young/article/cardiac-complications-in-children-following-infection-with-varicella-zoster-virus/91A574EC1DEB38F1ED4DEBDB139080FB</w:t>
      </w:r>
    </w:p>
  </w:footnote>
  <w:footnote w:id="41">
    <w:p w14:paraId="12557E5A" w14:textId="77777777" w:rsidR="00333B64" w:rsidRDefault="00333B64" w:rsidP="00A94A67">
      <w:pPr>
        <w:pStyle w:val="FootnoteText"/>
        <w:jc w:val="both"/>
        <w:rPr>
          <w:rFonts w:ascii="Times New Roman" w:hAnsi="Times New Roman" w:cs="Times New Roman"/>
        </w:rPr>
      </w:pPr>
      <w:r w:rsidRPr="00A94A67">
        <w:rPr>
          <w:rStyle w:val="FootnoteReference"/>
          <w:rFonts w:ascii="Times New Roman" w:hAnsi="Times New Roman" w:cs="Times New Roman"/>
        </w:rPr>
        <w:footnoteRef/>
      </w:r>
      <w:r w:rsidRPr="00A94A67">
        <w:rPr>
          <w:rFonts w:ascii="Times New Roman" w:hAnsi="Times New Roman" w:cs="Times New Roman"/>
        </w:rPr>
        <w:t xml:space="preserve"> </w:t>
      </w:r>
      <w:r w:rsidRPr="00A94A67">
        <w:rPr>
          <w:rFonts w:ascii="Times New Roman" w:hAnsi="Times New Roman" w:cs="Times New Roman"/>
          <w:lang w:val="en-GB"/>
        </w:rPr>
        <w:t>Report on the High-level hearing on the implementation of the Council Recommendation on seasonal influenza vaccination; Luxembourg, 30 April 2015</w:t>
      </w:r>
      <w:r w:rsidRPr="00A94A67">
        <w:rPr>
          <w:rFonts w:ascii="Times New Roman" w:hAnsi="Times New Roman" w:cs="Times New Roman"/>
        </w:rPr>
        <w:t xml:space="preserve">; </w:t>
      </w:r>
    </w:p>
    <w:p w14:paraId="06E50B8C" w14:textId="6AE29AB2" w:rsidR="00333B64" w:rsidRPr="00A94A67" w:rsidRDefault="00333B64" w:rsidP="00A94A67">
      <w:pPr>
        <w:pStyle w:val="FootnoteText"/>
        <w:jc w:val="both"/>
        <w:rPr>
          <w:rFonts w:ascii="Times New Roman" w:hAnsi="Times New Roman" w:cs="Times New Roman"/>
        </w:rPr>
      </w:pPr>
      <w:r w:rsidRPr="00A94A67">
        <w:rPr>
          <w:rFonts w:ascii="Times New Roman" w:hAnsi="Times New Roman" w:cs="Times New Roman"/>
        </w:rPr>
        <w:t>https://ec.europa.eu/health/sites/health/files/preparedness_response/docs/ev_20150429_co21_en.pdf</w:t>
      </w:r>
    </w:p>
  </w:footnote>
  <w:footnote w:id="42">
    <w:p w14:paraId="1BF89E34" w14:textId="77777777" w:rsidR="00333B64" w:rsidRPr="00A94A67" w:rsidRDefault="00333B64" w:rsidP="00A94A67">
      <w:pPr>
        <w:pStyle w:val="FootnoteText"/>
        <w:jc w:val="both"/>
        <w:rPr>
          <w:rFonts w:ascii="Times New Roman" w:hAnsi="Times New Roman" w:cs="Times New Roman"/>
        </w:rPr>
      </w:pPr>
      <w:r w:rsidRPr="00A94A67">
        <w:rPr>
          <w:rStyle w:val="FootnoteReference"/>
          <w:rFonts w:ascii="Times New Roman" w:hAnsi="Times New Roman" w:cs="Times New Roman"/>
        </w:rPr>
        <w:footnoteRef/>
      </w:r>
      <w:r w:rsidRPr="00A94A67">
        <w:rPr>
          <w:rFonts w:ascii="Times New Roman" w:hAnsi="Times New Roman" w:cs="Times New Roman"/>
        </w:rPr>
        <w:t xml:space="preserve"> Pasaules Veselības asamblejas 2003. gadā pieņemtā Rezolūcija Nr. 56.19 </w:t>
      </w:r>
      <w:r w:rsidRPr="00A94A67">
        <w:rPr>
          <w:rFonts w:ascii="Times New Roman" w:hAnsi="Times New Roman" w:cs="Times New Roman"/>
          <w:vertAlign w:val="superscript"/>
        </w:rPr>
        <w:footnoteRef/>
      </w:r>
      <w:r w:rsidRPr="00A94A67">
        <w:rPr>
          <w:rFonts w:ascii="Times New Roman" w:hAnsi="Times New Roman" w:cs="Times New Roman"/>
        </w:rPr>
        <w:t>, lai paplašinātu vakcināciju pret gripu, iekļaujot visas augsta riska grupu personas;</w:t>
      </w:r>
    </w:p>
  </w:footnote>
  <w:footnote w:id="43">
    <w:p w14:paraId="2BD9E80A" w14:textId="77777777" w:rsidR="00333B64" w:rsidRPr="00A94A67" w:rsidRDefault="00333B64" w:rsidP="00A94A67">
      <w:pPr>
        <w:pStyle w:val="FootnoteText"/>
        <w:jc w:val="both"/>
        <w:rPr>
          <w:rFonts w:ascii="Times New Roman" w:hAnsi="Times New Roman" w:cs="Times New Roman"/>
        </w:rPr>
      </w:pPr>
      <w:r w:rsidRPr="00A94A67">
        <w:rPr>
          <w:rStyle w:val="FootnoteReference"/>
          <w:rFonts w:ascii="Times New Roman" w:hAnsi="Times New Roman" w:cs="Times New Roman"/>
        </w:rPr>
        <w:footnoteRef/>
      </w:r>
      <w:r w:rsidRPr="00A94A67">
        <w:rPr>
          <w:rFonts w:ascii="Times New Roman" w:hAnsi="Times New Roman" w:cs="Times New Roman"/>
        </w:rPr>
        <w:t xml:space="preserve"> Eiropas Padomes 2009. gada 22. decembra ieteikumus par vakcināciju pret sezonālo gripu (2009/1019/ES)</w:t>
      </w:r>
    </w:p>
  </w:footnote>
  <w:footnote w:id="44">
    <w:p w14:paraId="6503D0D8" w14:textId="77777777" w:rsidR="00333B64" w:rsidRPr="00B35352" w:rsidRDefault="00333B64" w:rsidP="0050396F">
      <w:pPr>
        <w:pStyle w:val="FootnoteText"/>
        <w:rPr>
          <w:rFonts w:ascii="Times New Roman" w:hAnsi="Times New Roman" w:cs="Times New Roman"/>
        </w:rPr>
      </w:pPr>
      <w:r w:rsidRPr="00B35352">
        <w:rPr>
          <w:rStyle w:val="FootnoteReference"/>
          <w:rFonts w:ascii="Times New Roman" w:hAnsi="Times New Roman" w:cs="Times New Roman"/>
        </w:rPr>
        <w:footnoteRef/>
      </w:r>
      <w:r w:rsidRPr="00B35352">
        <w:rPr>
          <w:rFonts w:ascii="Times New Roman" w:hAnsi="Times New Roman" w:cs="Times New Roman"/>
        </w:rPr>
        <w:t xml:space="preserve"> Latvijas neirologu biedrības rekomendācijas “ Cerebrāla infarkta prehospitālās aprūpes, diagnostikas un akūtas ārstēšanas klīniskās vadlīnijas”2013. http://neirologi.lv/vadlinijas/</w:t>
      </w:r>
    </w:p>
  </w:footnote>
  <w:footnote w:id="45">
    <w:p w14:paraId="055F83E4" w14:textId="77777777" w:rsidR="00333B64" w:rsidRPr="000254C7" w:rsidRDefault="00333B64" w:rsidP="00992DEF">
      <w:pPr>
        <w:pStyle w:val="FootnoteText"/>
        <w:rPr>
          <w:rFonts w:ascii="Times New Roman" w:hAnsi="Times New Roman" w:cs="Times New Roman"/>
        </w:rPr>
      </w:pPr>
      <w:r w:rsidRPr="000254C7">
        <w:rPr>
          <w:rStyle w:val="FootnoteReference"/>
          <w:rFonts w:ascii="Times New Roman" w:hAnsi="Times New Roman" w:cs="Times New Roman"/>
        </w:rPr>
        <w:footnoteRef/>
      </w:r>
      <w:r w:rsidRPr="000254C7">
        <w:rPr>
          <w:rFonts w:ascii="Times New Roman" w:hAnsi="Times New Roman" w:cs="Times New Roman"/>
        </w:rPr>
        <w:t xml:space="preserve"> Informatīvais ziņojums par darba tirgus vidēja un ilgtermiņa prognozēm.</w:t>
      </w:r>
    </w:p>
  </w:footnote>
  <w:footnote w:id="46">
    <w:p w14:paraId="3C536D49" w14:textId="77777777" w:rsidR="00333B64" w:rsidRPr="000254C7" w:rsidRDefault="00333B64" w:rsidP="00992DEF">
      <w:pPr>
        <w:pStyle w:val="FootnoteText"/>
        <w:rPr>
          <w:rFonts w:ascii="Times New Roman" w:hAnsi="Times New Roman" w:cs="Times New Roman"/>
        </w:rPr>
      </w:pPr>
      <w:r w:rsidRPr="000254C7">
        <w:rPr>
          <w:rStyle w:val="FootnoteReference"/>
          <w:rFonts w:ascii="Times New Roman" w:hAnsi="Times New Roman" w:cs="Times New Roman"/>
        </w:rPr>
        <w:footnoteRef/>
      </w:r>
      <w:r w:rsidRPr="000254C7">
        <w:rPr>
          <w:rFonts w:ascii="Times New Roman" w:hAnsi="Times New Roman" w:cs="Times New Roman"/>
        </w:rPr>
        <w:t xml:space="preserve"> 2012.gada 20.decembra Saeimas paziņojums “Par Latvijas Nacionālo attīstības plānu 2014.-2020.gadam”</w:t>
      </w:r>
    </w:p>
  </w:footnote>
  <w:footnote w:id="47">
    <w:p w14:paraId="679470D8" w14:textId="77777777" w:rsidR="00333B64" w:rsidRDefault="00333B64" w:rsidP="00992DEF">
      <w:pPr>
        <w:pStyle w:val="FootnoteText"/>
      </w:pPr>
      <w:r w:rsidRPr="000254C7">
        <w:rPr>
          <w:rStyle w:val="FootnoteReference"/>
          <w:rFonts w:ascii="Times New Roman" w:hAnsi="Times New Roman" w:cs="Times New Roman"/>
        </w:rPr>
        <w:footnoteRef/>
      </w:r>
      <w:r w:rsidRPr="000254C7">
        <w:rPr>
          <w:rFonts w:ascii="Times New Roman" w:hAnsi="Times New Roman" w:cs="Times New Roman"/>
        </w:rPr>
        <w:t xml:space="preserve"> Ministru kabineta rīkojums Nr.589 “Par Sabiedrības veselības pamatnostādnēm 2014.−2020.gadam”</w:t>
      </w:r>
    </w:p>
  </w:footnote>
  <w:footnote w:id="48">
    <w:p w14:paraId="44B9FAD1" w14:textId="77777777" w:rsidR="00333B64" w:rsidRDefault="00333B64" w:rsidP="00992DEF">
      <w:pPr>
        <w:pStyle w:val="FootnoteText"/>
      </w:pPr>
      <w:r>
        <w:rPr>
          <w:rStyle w:val="FootnoteReference"/>
        </w:rPr>
        <w:footnoteRef/>
      </w:r>
      <w:r>
        <w:t xml:space="preserve"> Ārstniecības iestāžu aptauja (NVD)</w:t>
      </w:r>
    </w:p>
  </w:footnote>
  <w:footnote w:id="49">
    <w:p w14:paraId="502F70E5" w14:textId="6A164BF6" w:rsidR="00333B64" w:rsidRPr="00A62BA5" w:rsidRDefault="00333B64" w:rsidP="00A62BA5">
      <w:pPr>
        <w:pStyle w:val="FootnoteText"/>
        <w:rPr>
          <w:rFonts w:ascii="Times New Roman" w:hAnsi="Times New Roman" w:cs="Times New Roman"/>
        </w:rPr>
      </w:pPr>
      <w:r>
        <w:rPr>
          <w:rStyle w:val="FootnoteReference"/>
        </w:rPr>
        <w:footnoteRef/>
      </w:r>
      <w:r>
        <w:t xml:space="preserve"> </w:t>
      </w:r>
      <w:r w:rsidRPr="00A62BA5">
        <w:rPr>
          <w:rFonts w:ascii="Times New Roman" w:hAnsi="Times New Roman" w:cs="Times New Roman"/>
        </w:rPr>
        <w:t>World report on disability 2011, Chapter 4 “Rehabilitation”, Addressing barriers to rehabilitation</w:t>
      </w:r>
    </w:p>
  </w:footnote>
  <w:footnote w:id="50">
    <w:p w14:paraId="3743B16D" w14:textId="77777777" w:rsidR="00333B64" w:rsidRPr="00F30E8C" w:rsidRDefault="00333B64" w:rsidP="00532CFC">
      <w:pPr>
        <w:pStyle w:val="FootnoteText"/>
        <w:jc w:val="both"/>
        <w:rPr>
          <w:rFonts w:ascii="Times New Roman" w:hAnsi="Times New Roman" w:cs="Times New Roman"/>
        </w:rPr>
      </w:pPr>
      <w:r>
        <w:rPr>
          <w:rStyle w:val="FootnoteReference"/>
        </w:rPr>
        <w:footnoteRef/>
      </w:r>
      <w:r>
        <w:t xml:space="preserve"> </w:t>
      </w:r>
      <w:r w:rsidRPr="00F30E8C">
        <w:rPr>
          <w:rFonts w:ascii="Times New Roman" w:hAnsi="Times New Roman" w:cs="Times New Roman"/>
        </w:rPr>
        <w:t>Cardiac rehabilitation: evidence for action, E-journal of the ESC Council for Cardiology Practice</w:t>
      </w:r>
    </w:p>
    <w:p w14:paraId="05635C26" w14:textId="3AFA7DC9" w:rsidR="00333B64" w:rsidRDefault="00333B64" w:rsidP="00532CFC">
      <w:pPr>
        <w:pStyle w:val="FootnoteText"/>
      </w:pPr>
      <w:r w:rsidRPr="00F30E8C">
        <w:rPr>
          <w:rFonts w:ascii="Times New Roman" w:hAnsi="Times New Roman" w:cs="Times New Roman"/>
        </w:rPr>
        <w:t>Vol. 11, N° 6 - 16 Nov 2012, pieejams: https://www.escardio.org/Journals/E-Journal-of-Cardiology-Practice/Volume-11/Cardiac-rehabilitation-Evidence-for-Action</w:t>
      </w:r>
    </w:p>
  </w:footnote>
  <w:footnote w:id="51">
    <w:p w14:paraId="470ADF3A" w14:textId="77777777" w:rsidR="00333B64" w:rsidRDefault="00333B64" w:rsidP="00F30E8C">
      <w:pPr>
        <w:pStyle w:val="FootnoteText"/>
        <w:jc w:val="both"/>
      </w:pPr>
      <w:r w:rsidRPr="00806DFE">
        <w:rPr>
          <w:rStyle w:val="FootnoteReference"/>
          <w:rFonts w:ascii="Times New Roman" w:hAnsi="Times New Roman" w:cs="Times New Roman"/>
        </w:rPr>
        <w:footnoteRef/>
      </w:r>
      <w:r w:rsidRPr="00806DFE">
        <w:rPr>
          <w:rFonts w:ascii="Times New Roman" w:hAnsi="Times New Roman" w:cs="Times New Roman"/>
        </w:rPr>
        <w:t xml:space="preserve"> Ministru kabineta 2017. gada 7. augusta rīkojums Nr. 394 “Konceptuālais</w:t>
      </w:r>
      <w:r w:rsidRPr="00A62BA5">
        <w:rPr>
          <w:rFonts w:ascii="Times New Roman" w:hAnsi="Times New Roman" w:cs="Times New Roman"/>
        </w:rPr>
        <w:t xml:space="preserve"> ziņojums "Par veselības aprūpes sistēmas reformu"”, 3.1.3. Slimnīcu nodrošinātā veselības aprūpe</w:t>
      </w:r>
      <w:r>
        <w:t>.</w:t>
      </w:r>
    </w:p>
  </w:footnote>
  <w:footnote w:id="52">
    <w:p w14:paraId="39522F80" w14:textId="77777777" w:rsidR="00333B64" w:rsidRPr="00F30E8C" w:rsidRDefault="00333B64" w:rsidP="00F30E8C">
      <w:pPr>
        <w:pStyle w:val="FootnoteText"/>
        <w:jc w:val="both"/>
        <w:rPr>
          <w:rFonts w:ascii="Times New Roman" w:hAnsi="Times New Roman" w:cs="Times New Roman"/>
        </w:rPr>
      </w:pPr>
      <w:r w:rsidRPr="001D6901">
        <w:rPr>
          <w:rStyle w:val="FootnoteReference"/>
          <w:rFonts w:ascii="Times New Roman" w:hAnsi="Times New Roman" w:cs="Times New Roman"/>
        </w:rPr>
        <w:footnoteRef/>
      </w:r>
      <w:r>
        <w:rPr>
          <w:rFonts w:ascii="Times New Roman" w:hAnsi="Times New Roman" w:cs="Times New Roman"/>
        </w:rPr>
        <w:t> </w:t>
      </w:r>
      <w:r w:rsidRPr="00F30E8C">
        <w:rPr>
          <w:rFonts w:ascii="Times New Roman" w:hAnsi="Times New Roman" w:cs="Times New Roman"/>
        </w:rPr>
        <w:t xml:space="preserve">World Health Oranization. Mental health: strengthening our response, 2018. Pieejams: </w:t>
      </w:r>
      <w:hyperlink r:id="rId3" w:history="1">
        <w:r w:rsidRPr="00F30E8C">
          <w:rPr>
            <w:rStyle w:val="Hyperlink"/>
            <w:rFonts w:ascii="Times New Roman" w:hAnsi="Times New Roman" w:cs="Times New Roman"/>
          </w:rPr>
          <w:t>http://www.who.int/news-room/fact-sheets/detail/mental-health-strengthening-our-response</w:t>
        </w:r>
      </w:hyperlink>
    </w:p>
  </w:footnote>
  <w:footnote w:id="53">
    <w:p w14:paraId="2EDFA19F" w14:textId="77777777" w:rsidR="00333B64" w:rsidRPr="00F30E8C" w:rsidRDefault="00333B64" w:rsidP="00F30E8C">
      <w:pPr>
        <w:pStyle w:val="FootnoteText"/>
        <w:jc w:val="both"/>
        <w:rPr>
          <w:rFonts w:ascii="Times New Roman" w:hAnsi="Times New Roman" w:cs="Times New Roman"/>
        </w:rPr>
      </w:pPr>
      <w:r w:rsidRPr="00F30E8C">
        <w:rPr>
          <w:rStyle w:val="FootnoteReference"/>
          <w:rFonts w:ascii="Times New Roman" w:hAnsi="Times New Roman" w:cs="Times New Roman"/>
        </w:rPr>
        <w:footnoteRef/>
      </w:r>
      <w:r w:rsidRPr="00F30E8C">
        <w:rPr>
          <w:rFonts w:ascii="Times New Roman" w:hAnsi="Times New Roman" w:cs="Times New Roman"/>
        </w:rPr>
        <w:t xml:space="preserve"> Eiropas Kopienu komisija. Zaļā grāmata. Brisele, 14.10.2015. COM (2005) 484, 4.lpp</w:t>
      </w:r>
    </w:p>
  </w:footnote>
  <w:footnote w:id="54">
    <w:p w14:paraId="54480E5A" w14:textId="77777777" w:rsidR="00333B64" w:rsidRPr="00F30E8C" w:rsidRDefault="00333B64" w:rsidP="00F30E8C">
      <w:pPr>
        <w:pStyle w:val="FootnoteText"/>
        <w:jc w:val="both"/>
        <w:rPr>
          <w:rFonts w:ascii="Times New Roman" w:hAnsi="Times New Roman" w:cs="Times New Roman"/>
        </w:rPr>
      </w:pPr>
      <w:r w:rsidRPr="00F30E8C">
        <w:rPr>
          <w:rStyle w:val="FootnoteReference"/>
          <w:rFonts w:ascii="Times New Roman" w:hAnsi="Times New Roman" w:cs="Times New Roman"/>
        </w:rPr>
        <w:footnoteRef/>
      </w:r>
      <w:r w:rsidRPr="00F30E8C">
        <w:rPr>
          <w:rFonts w:ascii="Times New Roman" w:hAnsi="Times New Roman" w:cs="Times New Roman"/>
        </w:rPr>
        <w:t xml:space="preserve"> Kulbergs, J.Dinamiskā psihiatrija. Jumava, 2001, 463.lpp</w:t>
      </w:r>
    </w:p>
  </w:footnote>
  <w:footnote w:id="55">
    <w:p w14:paraId="599E59C3" w14:textId="77777777" w:rsidR="00333B64" w:rsidRPr="006342E6" w:rsidRDefault="00333B64" w:rsidP="00F30E8C">
      <w:pPr>
        <w:pStyle w:val="FootnoteText"/>
        <w:jc w:val="both"/>
        <w:rPr>
          <w:rFonts w:ascii="Times New Roman" w:hAnsi="Times New Roman" w:cs="Times New Roman"/>
        </w:rPr>
      </w:pPr>
      <w:r w:rsidRPr="00F30E8C">
        <w:rPr>
          <w:rStyle w:val="FootnoteReference"/>
          <w:rFonts w:ascii="Times New Roman" w:hAnsi="Times New Roman" w:cs="Times New Roman"/>
        </w:rPr>
        <w:footnoteRef/>
      </w:r>
      <w:r w:rsidRPr="006342E6">
        <w:rPr>
          <w:rFonts w:ascii="Times New Roman" w:hAnsi="Times New Roman" w:cs="Times New Roman"/>
        </w:rPr>
        <w:t xml:space="preserve"> Apinis, P., Mozgis, Dz. Divpadsmit Latvijas Ārstu biedrības ieteikumi veselībai. Pieejams: </w:t>
      </w:r>
      <w:hyperlink r:id="rId4" w:history="1">
        <w:r w:rsidRPr="006342E6">
          <w:rPr>
            <w:rStyle w:val="Hyperlink"/>
            <w:rFonts w:ascii="Times New Roman" w:hAnsi="Times New Roman" w:cs="Times New Roman"/>
          </w:rPr>
          <w:t>http://www.arstubiedriba.lv/images/12_ieteikumi_web.pdf</w:t>
        </w:r>
      </w:hyperlink>
    </w:p>
  </w:footnote>
  <w:footnote w:id="56">
    <w:p w14:paraId="6796C82D" w14:textId="56D69161" w:rsidR="00333B64" w:rsidRPr="006342E6" w:rsidRDefault="00333B64" w:rsidP="00F30E8C">
      <w:pPr>
        <w:pStyle w:val="FootnoteText"/>
        <w:jc w:val="both"/>
        <w:rPr>
          <w:rFonts w:ascii="Times New Roman" w:hAnsi="Times New Roman" w:cs="Times New Roman"/>
        </w:rPr>
      </w:pPr>
      <w:r w:rsidRPr="006342E6">
        <w:rPr>
          <w:rStyle w:val="FootnoteReference"/>
          <w:rFonts w:ascii="Times New Roman" w:hAnsi="Times New Roman" w:cs="Times New Roman"/>
        </w:rPr>
        <w:footnoteRef/>
      </w:r>
      <w:r w:rsidRPr="006342E6">
        <w:rPr>
          <w:rFonts w:ascii="Times New Roman" w:hAnsi="Times New Roman" w:cs="Times New Roman"/>
        </w:rPr>
        <w:t xml:space="preserve"> Caune, M., Rancāns, E., Andrēziņa, R. RSU. Mācību materiāls ambulatorās aprūpes psihiatriem un narkologiem, stacionārās aprūpes ārstiem. Sociālpsihiatrija. R.: Nacionālais apgāds, 2009.</w:t>
      </w:r>
    </w:p>
  </w:footnote>
  <w:footnote w:id="57">
    <w:p w14:paraId="6D1EF42F" w14:textId="77777777" w:rsidR="00333B64" w:rsidRPr="006342E6" w:rsidRDefault="00333B64" w:rsidP="00F30E8C">
      <w:pPr>
        <w:spacing w:before="120"/>
        <w:jc w:val="both"/>
        <w:rPr>
          <w:rFonts w:ascii="Times New Roman" w:hAnsi="Times New Roman" w:cs="Times New Roman"/>
          <w:sz w:val="20"/>
          <w:szCs w:val="20"/>
        </w:rPr>
      </w:pPr>
      <w:r w:rsidRPr="006342E6">
        <w:rPr>
          <w:rStyle w:val="FootnoteReference"/>
          <w:rFonts w:ascii="Times New Roman" w:hAnsi="Times New Roman" w:cs="Times New Roman"/>
          <w:sz w:val="20"/>
          <w:szCs w:val="20"/>
        </w:rPr>
        <w:footnoteRef/>
      </w:r>
      <w:r w:rsidRPr="006342E6">
        <w:rPr>
          <w:rFonts w:ascii="Times New Roman" w:hAnsi="Times New Roman" w:cs="Times New Roman"/>
          <w:sz w:val="20"/>
          <w:szCs w:val="20"/>
        </w:rPr>
        <w:t xml:space="preserve"> Avots: PVO HFA datubāze (23.10.2017.)</w:t>
      </w:r>
    </w:p>
    <w:p w14:paraId="578A9653" w14:textId="77777777" w:rsidR="00333B64" w:rsidRDefault="00333B64" w:rsidP="00CB4485">
      <w:pPr>
        <w:pStyle w:val="FootnoteText"/>
      </w:pPr>
    </w:p>
  </w:footnote>
  <w:footnote w:id="58">
    <w:p w14:paraId="30B7BC74" w14:textId="77777777" w:rsidR="00333B64" w:rsidRPr="006342E6" w:rsidRDefault="00333B64" w:rsidP="00CB4485">
      <w:pPr>
        <w:pStyle w:val="FootnoteText"/>
        <w:rPr>
          <w:rFonts w:ascii="Times New Roman" w:hAnsi="Times New Roman" w:cs="Times New Roman"/>
        </w:rPr>
      </w:pPr>
      <w:r w:rsidRPr="006342E6">
        <w:rPr>
          <w:rStyle w:val="FootnoteReference"/>
          <w:rFonts w:ascii="Times New Roman" w:hAnsi="Times New Roman" w:cs="Times New Roman"/>
        </w:rPr>
        <w:footnoteRef/>
      </w:r>
      <w:r w:rsidRPr="006342E6">
        <w:rPr>
          <w:rFonts w:ascii="Times New Roman" w:hAnsi="Times New Roman" w:cs="Times New Roman"/>
        </w:rPr>
        <w:t xml:space="preserve"> https://www.oecd-ilibrary.org/social-issues-migration-health/health-at-a-glance-2017/mental-health_health_glance-2017-12-en</w:t>
      </w:r>
    </w:p>
  </w:footnote>
  <w:footnote w:id="59">
    <w:p w14:paraId="13C574BA" w14:textId="77777777" w:rsidR="00333B64" w:rsidRPr="006342E6" w:rsidRDefault="00333B64" w:rsidP="00CB4485">
      <w:pPr>
        <w:pStyle w:val="FootnoteText"/>
        <w:rPr>
          <w:rFonts w:ascii="Times New Roman" w:hAnsi="Times New Roman" w:cs="Times New Roman"/>
        </w:rPr>
      </w:pPr>
      <w:r w:rsidRPr="006342E6">
        <w:rPr>
          <w:rStyle w:val="FootnoteReference"/>
          <w:rFonts w:ascii="Times New Roman" w:hAnsi="Times New Roman" w:cs="Times New Roman"/>
        </w:rPr>
        <w:footnoteRef/>
      </w:r>
      <w:r w:rsidRPr="006342E6">
        <w:rPr>
          <w:rFonts w:ascii="Times New Roman" w:hAnsi="Times New Roman" w:cs="Times New Roman"/>
        </w:rPr>
        <w:t xml:space="preserve"> http://www.euro.who.int/__data/assets/pdf_file/0017/348011/Fact-sheet-SDG-Mental-health-UPDATE-02-05-2018.pdf?ua=1</w:t>
      </w:r>
    </w:p>
  </w:footnote>
  <w:footnote w:id="60">
    <w:p w14:paraId="2E911C26" w14:textId="77777777" w:rsidR="00333B64" w:rsidRPr="006342E6" w:rsidRDefault="00333B64" w:rsidP="00CB4485">
      <w:pPr>
        <w:pStyle w:val="FootnoteText"/>
        <w:jc w:val="both"/>
        <w:rPr>
          <w:rFonts w:ascii="Times New Roman" w:hAnsi="Times New Roman" w:cs="Times New Roman"/>
        </w:rPr>
      </w:pPr>
      <w:r w:rsidRPr="007C2408">
        <w:rPr>
          <w:rStyle w:val="FootnoteReference"/>
          <w:rFonts w:ascii="Times New Roman" w:hAnsi="Times New Roman" w:cs="Times New Roman"/>
        </w:rPr>
        <w:footnoteRef/>
      </w:r>
      <w:r w:rsidRPr="007C2408">
        <w:rPr>
          <w:rFonts w:ascii="Times New Roman" w:hAnsi="Times New Roman" w:cs="Times New Roman"/>
        </w:rPr>
        <w:t xml:space="preserve"> http://polsis.mk.gov.lv/documents/4965</w:t>
      </w:r>
    </w:p>
  </w:footnote>
  <w:footnote w:id="61">
    <w:p w14:paraId="0FF1B64C" w14:textId="77777777" w:rsidR="00333B64" w:rsidRPr="006342E6" w:rsidRDefault="00333B64" w:rsidP="00CB4485">
      <w:pPr>
        <w:pStyle w:val="FootnoteText"/>
        <w:rPr>
          <w:rFonts w:ascii="Times New Roman" w:hAnsi="Times New Roman" w:cs="Times New Roman"/>
        </w:rPr>
      </w:pPr>
      <w:r w:rsidRPr="006342E6">
        <w:rPr>
          <w:rStyle w:val="FootnoteReference"/>
          <w:rFonts w:ascii="Times New Roman" w:hAnsi="Times New Roman" w:cs="Times New Roman"/>
        </w:rPr>
        <w:footnoteRef/>
      </w:r>
      <w:r w:rsidRPr="006342E6">
        <w:rPr>
          <w:rFonts w:ascii="Times New Roman" w:hAnsi="Times New Roman" w:cs="Times New Roman"/>
        </w:rPr>
        <w:t xml:space="preserve"> M.Taube, J.Buģins, I.Rezebergs, E.Tērauds “Latvijas psihiatrijas dienests – quo vadis? “ Latvijas ārsts, 2018. gada marts</w:t>
      </w:r>
    </w:p>
  </w:footnote>
  <w:footnote w:id="62">
    <w:p w14:paraId="46EB48F1" w14:textId="77777777" w:rsidR="00333B64" w:rsidRPr="00D5681C" w:rsidRDefault="00333B64" w:rsidP="00CB4485">
      <w:pPr>
        <w:pStyle w:val="FootnoteText"/>
        <w:rPr>
          <w:rFonts w:ascii="Times New Roman" w:hAnsi="Times New Roman" w:cs="Times New Roman"/>
        </w:rPr>
      </w:pPr>
      <w:r w:rsidRPr="006342E6">
        <w:rPr>
          <w:rStyle w:val="FootnoteReference"/>
          <w:rFonts w:ascii="Times New Roman" w:hAnsi="Times New Roman" w:cs="Times New Roman"/>
        </w:rPr>
        <w:footnoteRef/>
      </w:r>
      <w:r w:rsidRPr="00D5681C">
        <w:rPr>
          <w:rFonts w:ascii="Times New Roman" w:hAnsi="Times New Roman" w:cs="Times New Roman"/>
        </w:rPr>
        <w:t xml:space="preserve"> https://www.spkc.gov.lv/upload/Psihiska_veseliba_faili/tz_pvl_2016_final.pdf</w:t>
      </w:r>
    </w:p>
  </w:footnote>
  <w:footnote w:id="63">
    <w:p w14:paraId="4B5A1C64" w14:textId="77777777" w:rsidR="00333B64" w:rsidRPr="00D5681C" w:rsidRDefault="00333B64" w:rsidP="00CB4485">
      <w:pPr>
        <w:pStyle w:val="FootnoteText"/>
        <w:rPr>
          <w:rFonts w:ascii="Times New Roman" w:hAnsi="Times New Roman" w:cs="Times New Roman"/>
        </w:rPr>
      </w:pPr>
      <w:r w:rsidRPr="00D5681C">
        <w:rPr>
          <w:rStyle w:val="FootnoteReference"/>
          <w:rFonts w:ascii="Times New Roman" w:hAnsi="Times New Roman" w:cs="Times New Roman"/>
        </w:rPr>
        <w:footnoteRef/>
      </w:r>
      <w:r w:rsidRPr="00D5681C">
        <w:rPr>
          <w:rFonts w:ascii="Times New Roman" w:hAnsi="Times New Roman" w:cs="Times New Roman"/>
        </w:rPr>
        <w:t xml:space="preserve"> http://www.depresija.lv/depresija/depresija-latvija/</w:t>
      </w:r>
    </w:p>
  </w:footnote>
  <w:footnote w:id="64">
    <w:p w14:paraId="5B00162C" w14:textId="77777777" w:rsidR="00333B64" w:rsidRPr="00D5681C" w:rsidRDefault="00333B64" w:rsidP="00CB4485">
      <w:pPr>
        <w:pStyle w:val="FootnoteText"/>
        <w:rPr>
          <w:rFonts w:ascii="Times New Roman" w:hAnsi="Times New Roman" w:cs="Times New Roman"/>
        </w:rPr>
      </w:pPr>
      <w:r w:rsidRPr="00D5681C">
        <w:rPr>
          <w:rStyle w:val="FootnoteReference"/>
          <w:rFonts w:ascii="Times New Roman" w:hAnsi="Times New Roman" w:cs="Times New Roman"/>
        </w:rPr>
        <w:footnoteRef/>
      </w:r>
      <w:r w:rsidRPr="00D5681C">
        <w:rPr>
          <w:rFonts w:ascii="Times New Roman" w:hAnsi="Times New Roman" w:cs="Times New Roman"/>
        </w:rPr>
        <w:t xml:space="preserve"> https://www.psychiatry.org/patients-families/eating-disorders/what-are-eating-disorders</w:t>
      </w:r>
    </w:p>
  </w:footnote>
  <w:footnote w:id="65">
    <w:p w14:paraId="2D5F7AC4" w14:textId="77777777" w:rsidR="00333B64" w:rsidRPr="00D5681C" w:rsidRDefault="00333B64" w:rsidP="00CB4485">
      <w:pPr>
        <w:pStyle w:val="FootnoteText"/>
        <w:rPr>
          <w:rFonts w:ascii="Times New Roman" w:hAnsi="Times New Roman" w:cs="Times New Roman"/>
        </w:rPr>
      </w:pPr>
      <w:r w:rsidRPr="00D5681C">
        <w:rPr>
          <w:rStyle w:val="FootnoteReference"/>
          <w:rFonts w:ascii="Times New Roman" w:hAnsi="Times New Roman" w:cs="Times New Roman"/>
        </w:rPr>
        <w:footnoteRef/>
      </w:r>
      <w:r w:rsidRPr="00D5681C">
        <w:rPr>
          <w:rFonts w:ascii="Times New Roman" w:hAnsi="Times New Roman" w:cs="Times New Roman"/>
        </w:rPr>
        <w:t xml:space="preserve"> https://www.ncbi.nlm.nih.gov/pubmed/21924589</w:t>
      </w:r>
    </w:p>
  </w:footnote>
  <w:footnote w:id="66">
    <w:p w14:paraId="20F51067" w14:textId="77777777" w:rsidR="00333B64" w:rsidRPr="00C34F4F" w:rsidRDefault="00333B64" w:rsidP="00972B28">
      <w:pPr>
        <w:spacing w:after="0"/>
        <w:jc w:val="both"/>
        <w:rPr>
          <w:rFonts w:ascii="Times New Roman" w:hAnsi="Times New Roman" w:cs="Times New Roman"/>
          <w:sz w:val="20"/>
          <w:szCs w:val="20"/>
        </w:rPr>
      </w:pPr>
      <w:r w:rsidRPr="001D6901">
        <w:rPr>
          <w:rStyle w:val="FootnoteReference"/>
          <w:rFonts w:ascii="Times New Roman" w:hAnsi="Times New Roman" w:cs="Times New Roman"/>
          <w:sz w:val="20"/>
          <w:szCs w:val="20"/>
        </w:rPr>
        <w:footnoteRef/>
      </w:r>
      <w:r>
        <w:rPr>
          <w:rFonts w:ascii="Times New Roman" w:hAnsi="Times New Roman" w:cs="Times New Roman"/>
          <w:sz w:val="20"/>
          <w:szCs w:val="20"/>
        </w:rPr>
        <w:t> PKC</w:t>
      </w:r>
      <w:r w:rsidRPr="001D6901">
        <w:rPr>
          <w:rFonts w:ascii="Times New Roman" w:hAnsi="Times New Roman" w:cs="Times New Roman"/>
          <w:sz w:val="20"/>
          <w:szCs w:val="20"/>
        </w:rPr>
        <w:t xml:space="preserve"> </w:t>
      </w:r>
      <w:r w:rsidRPr="00C34F4F">
        <w:rPr>
          <w:rFonts w:ascii="Times New Roman" w:hAnsi="Times New Roman" w:cs="Times New Roman"/>
          <w:sz w:val="20"/>
          <w:szCs w:val="20"/>
        </w:rPr>
        <w:t>“</w:t>
      </w:r>
      <w:r w:rsidRPr="00C34F4F">
        <w:rPr>
          <w:rFonts w:ascii="Times New Roman" w:eastAsia="Times New Roman" w:hAnsi="Times New Roman" w:cs="Times New Roman"/>
          <w:sz w:val="20"/>
          <w:szCs w:val="20"/>
        </w:rPr>
        <w:t xml:space="preserve"> Ziņojums par nepieciešamajiem uzlabojumiem starpnozaru sadarbībā un palīdzības sniegšanā bērniem ar psihiskiem, attīstības un uzvedības traucējumiem, kā arī antisociālu uzvedību”.</w:t>
      </w:r>
    </w:p>
  </w:footnote>
  <w:footnote w:id="67">
    <w:p w14:paraId="7482FD28" w14:textId="77777777" w:rsidR="00333B64" w:rsidRPr="001D6901" w:rsidRDefault="00333B64"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Pulmanis T., Pelne A., Taube M. Psihiskā veselība Latvijā 2011. gadā. SPKC, 2012., 84 lpp.</w:t>
      </w:r>
    </w:p>
  </w:footnote>
  <w:footnote w:id="68">
    <w:p w14:paraId="6036DB25" w14:textId="77777777" w:rsidR="00333B64" w:rsidRPr="001D6901" w:rsidRDefault="00333B64"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Zārde I., Pulmane K., Villeruša A. Psihiatriskā stigma – dzimuma, vecuma, izglītības un iepriekšēja kontakta ietekme uz gatavību sociāli pieņemt indivīdus ar psihisku saslimšanu. RSU 2012. gada Zinātniskā konference. Tēzes. Rīga, RSU., 2012.</w:t>
      </w:r>
    </w:p>
  </w:footnote>
  <w:footnote w:id="69">
    <w:p w14:paraId="3381FEC5" w14:textId="77777777" w:rsidR="00333B64" w:rsidRPr="001D6901" w:rsidRDefault="00333B64"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Pulmanis T. Sabiedrības garīgās labklājības veicināšana – izaicinājums? Aktuāla informācija par atkarību problēmām. E-žurnāls. SPKC, Rīga: 2013, 16. lpp.</w:t>
      </w:r>
    </w:p>
  </w:footnote>
  <w:footnote w:id="70">
    <w:p w14:paraId="30706A19" w14:textId="77777777" w:rsidR="00333B64" w:rsidRPr="001D6901" w:rsidRDefault="00333B64"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Wittchen HU, Jacobi F, Rehm J, Gustavsson A, et.all. The size and burden of mental disorders and other disorders of the brain in Europe 2010. Eur Neuropsychopharmacol. 2011 Sep;21(9):655-79.</w:t>
      </w:r>
    </w:p>
  </w:footnote>
  <w:footnote w:id="71">
    <w:p w14:paraId="63A31D64" w14:textId="77777777" w:rsidR="00333B64" w:rsidRPr="001D6901" w:rsidRDefault="00333B64" w:rsidP="00972B28">
      <w:pPr>
        <w:pStyle w:val="FootnoteText"/>
        <w:jc w:val="both"/>
        <w:rPr>
          <w:rFonts w:ascii="Times New Roman" w:hAnsi="Times New Roman" w:cs="Times New Roman"/>
        </w:rPr>
      </w:pPr>
      <w:r w:rsidRPr="001D6901">
        <w:rPr>
          <w:rStyle w:val="FootnoteReference"/>
          <w:rFonts w:ascii="Times New Roman" w:hAnsi="Times New Roman" w:cs="Times New Roman"/>
        </w:rPr>
        <w:footnoteRef/>
      </w:r>
      <w:r>
        <w:rPr>
          <w:rFonts w:ascii="Times New Roman" w:hAnsi="Times New Roman" w:cs="Times New Roman"/>
        </w:rPr>
        <w:t> </w:t>
      </w:r>
      <w:r w:rsidRPr="001D6901">
        <w:rPr>
          <w:rFonts w:ascii="Times New Roman" w:hAnsi="Times New Roman" w:cs="Times New Roman"/>
        </w:rPr>
        <w:t>Klitzing, K., Dohnert, M., Kroll, M. Grube, M. 2015. Mental Disorders in Early Childhood, Deutsches Arzteblatt International, 112:375-386.</w:t>
      </w:r>
    </w:p>
  </w:footnote>
  <w:footnote w:id="72">
    <w:p w14:paraId="03AB7D24" w14:textId="77777777" w:rsidR="00333B64" w:rsidRPr="001D6901" w:rsidRDefault="00333B64"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WHO. Impact of economic crises on mental health.</w:t>
      </w:r>
      <w:r w:rsidRPr="001D6901">
        <w:rPr>
          <w:rFonts w:ascii="Times New Roman" w:eastAsia="Times New Roman" w:hAnsi="Times New Roman" w:cs="Times New Roman"/>
          <w:i/>
          <w:sz w:val="20"/>
          <w:szCs w:val="20"/>
        </w:rPr>
        <w:t xml:space="preserve"> </w:t>
      </w:r>
      <w:r w:rsidRPr="001D6901">
        <w:rPr>
          <w:rFonts w:ascii="Times New Roman" w:eastAsia="Times New Roman" w:hAnsi="Times New Roman" w:cs="Times New Roman"/>
          <w:sz w:val="20"/>
          <w:szCs w:val="20"/>
        </w:rPr>
        <w:t>WHO Regional Office for Europe: 2011., 34 p.</w:t>
      </w:r>
    </w:p>
  </w:footnote>
  <w:footnote w:id="73">
    <w:p w14:paraId="64EC9290" w14:textId="77777777" w:rsidR="00333B64" w:rsidRPr="001D6901" w:rsidRDefault="00333B64"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sidRPr="001D6901">
        <w:rPr>
          <w:rFonts w:ascii="Times New Roman" w:hAnsi="Times New Roman" w:cs="Times New Roman"/>
          <w:sz w:val="20"/>
          <w:szCs w:val="20"/>
        </w:rPr>
        <w:t xml:space="preserve"> </w:t>
      </w:r>
      <w:r>
        <w:rPr>
          <w:rFonts w:ascii="Times New Roman" w:hAnsi="Times New Roman" w:cs="Times New Roman"/>
          <w:sz w:val="20"/>
          <w:szCs w:val="20"/>
        </w:rPr>
        <w:t>SPKC,</w:t>
      </w:r>
      <w:r>
        <w:rPr>
          <w:rFonts w:ascii="Times New Roman" w:eastAsia="Times New Roman" w:hAnsi="Times New Roman" w:cs="Times New Roman"/>
          <w:sz w:val="20"/>
          <w:szCs w:val="20"/>
        </w:rPr>
        <w:t> </w:t>
      </w:r>
      <w:r w:rsidRPr="001D6901">
        <w:rPr>
          <w:rFonts w:ascii="Times New Roman" w:eastAsia="Times New Roman" w:hAnsi="Times New Roman" w:cs="Times New Roman"/>
          <w:sz w:val="20"/>
          <w:szCs w:val="20"/>
        </w:rPr>
        <w:t>“Psihiskā veselība Latvijā 2016. gadā”, tematiskais ziņojums, 17. izdevums, Rīga, 2017</w:t>
      </w:r>
    </w:p>
  </w:footnote>
  <w:footnote w:id="74">
    <w:p w14:paraId="62BF78E6" w14:textId="77777777" w:rsidR="00333B64" w:rsidRDefault="00333B64" w:rsidP="00972B28">
      <w:pPr>
        <w:pStyle w:val="FootnoteText"/>
        <w:jc w:val="both"/>
      </w:pPr>
      <w:r w:rsidRPr="001D6901">
        <w:rPr>
          <w:rStyle w:val="FootnoteReference"/>
          <w:rFonts w:ascii="Times New Roman" w:hAnsi="Times New Roman" w:cs="Times New Roman"/>
        </w:rPr>
        <w:footnoteRef/>
      </w:r>
      <w:r w:rsidRPr="001D6901">
        <w:rPr>
          <w:rFonts w:ascii="Times New Roman" w:hAnsi="Times New Roman" w:cs="Times New Roman"/>
        </w:rPr>
        <w:t xml:space="preserve"> http://www.who.int/mental_health/media/en/75.pdf</w:t>
      </w:r>
    </w:p>
  </w:footnote>
  <w:footnote w:id="75">
    <w:p w14:paraId="668E008B" w14:textId="77777777" w:rsidR="00333B64" w:rsidRPr="001D6901" w:rsidRDefault="00333B64" w:rsidP="00972B28">
      <w:pPr>
        <w:pStyle w:val="FootnoteText"/>
        <w:jc w:val="both"/>
        <w:rPr>
          <w:rFonts w:ascii="Times New Roman" w:hAnsi="Times New Roman" w:cs="Times New Roman"/>
        </w:rPr>
      </w:pPr>
      <w:r w:rsidRPr="001D6901">
        <w:rPr>
          <w:rStyle w:val="FootnoteReference"/>
          <w:rFonts w:ascii="Times New Roman" w:hAnsi="Times New Roman" w:cs="Times New Roman"/>
        </w:rPr>
        <w:footnoteRef/>
      </w:r>
      <w:r w:rsidRPr="001D6901">
        <w:rPr>
          <w:rFonts w:ascii="Times New Roman" w:hAnsi="Times New Roman" w:cs="Times New Roman"/>
        </w:rPr>
        <w:t xml:space="preserve"> https://www.who.int/mental_health/mhgap/mhGAP_intervention_guide_02/en/</w:t>
      </w:r>
    </w:p>
  </w:footnote>
  <w:footnote w:id="76">
    <w:p w14:paraId="7AEC0A67" w14:textId="77777777" w:rsidR="00333B64" w:rsidRPr="00E93259" w:rsidRDefault="00333B64" w:rsidP="00CB4485">
      <w:pPr>
        <w:pStyle w:val="FootnoteText"/>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xml:space="preserve"> https://www.spkc.gov.lv/upload/Psihiska_veseliba_faili/tz_pvl_2016_final.pdf</w:t>
      </w:r>
    </w:p>
  </w:footnote>
  <w:footnote w:id="77">
    <w:p w14:paraId="70B7D166" w14:textId="77777777" w:rsidR="00333B64" w:rsidRPr="00330A34" w:rsidRDefault="00333B64" w:rsidP="00972B28">
      <w:pPr>
        <w:pStyle w:val="FootnoteText"/>
        <w:jc w:val="both"/>
        <w:rPr>
          <w:rFonts w:ascii="Times New Roman" w:hAnsi="Times New Roman" w:cs="Times New Roman"/>
        </w:rPr>
      </w:pPr>
      <w:r w:rsidRPr="00330A34">
        <w:rPr>
          <w:rStyle w:val="FootnoteReference"/>
          <w:rFonts w:ascii="Times New Roman" w:hAnsi="Times New Roman" w:cs="Times New Roman"/>
        </w:rPr>
        <w:footnoteRef/>
      </w:r>
      <w:r>
        <w:rPr>
          <w:rFonts w:ascii="Times New Roman" w:hAnsi="Times New Roman" w:cs="Times New Roman"/>
        </w:rPr>
        <w:t> </w:t>
      </w:r>
      <w:r w:rsidRPr="00330A34">
        <w:rPr>
          <w:rFonts w:ascii="Times New Roman" w:hAnsi="Times New Roman" w:cs="Times New Roman"/>
        </w:rPr>
        <w:t>ANO Bērnu tiesības komiteja, Vispārējais komentārs Nr.7 (2005) Bērnu tiesību īstenošana agrīnā bērnībā, 18. punkts.</w:t>
      </w:r>
    </w:p>
  </w:footnote>
  <w:footnote w:id="78">
    <w:p w14:paraId="56E92E63" w14:textId="77777777" w:rsidR="00333B64" w:rsidRPr="00FD5F0D" w:rsidRDefault="00333B64" w:rsidP="00972B28">
      <w:pPr>
        <w:pStyle w:val="FootnoteText"/>
        <w:jc w:val="both"/>
        <w:rPr>
          <w:rFonts w:ascii="Times New Roman" w:hAnsi="Times New Roman" w:cs="Times New Roman"/>
        </w:rPr>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eastAsia="Times New Roman" w:hAnsi="Times New Roman" w:cs="Times New Roman"/>
        </w:rPr>
        <w:t>L</w:t>
      </w:r>
      <w:r>
        <w:rPr>
          <w:rFonts w:ascii="Times New Roman" w:eastAsia="Times New Roman" w:hAnsi="Times New Roman" w:cs="Times New Roman"/>
        </w:rPr>
        <w:t xml:space="preserve">atvijas </w:t>
      </w:r>
      <w:r w:rsidRPr="00FD5F0D">
        <w:rPr>
          <w:rFonts w:ascii="Times New Roman" w:eastAsia="Times New Roman" w:hAnsi="Times New Roman" w:cs="Times New Roman"/>
        </w:rPr>
        <w:t>U</w:t>
      </w:r>
      <w:r>
        <w:rPr>
          <w:rFonts w:ascii="Times New Roman" w:eastAsia="Times New Roman" w:hAnsi="Times New Roman" w:cs="Times New Roman"/>
        </w:rPr>
        <w:t>niversitātes</w:t>
      </w:r>
      <w:r w:rsidRPr="00FD5F0D">
        <w:rPr>
          <w:rFonts w:ascii="Times New Roman" w:eastAsia="Times New Roman" w:hAnsi="Times New Roman" w:cs="Times New Roman"/>
        </w:rPr>
        <w:t xml:space="preserve"> “Pētījums par bērniem ar speciālām vajadzībām sniedzamo atbalsta pakalpojumu izmaksu modeli iekļaujošas izglītības īstenošanas kontekstā”</w:t>
      </w:r>
    </w:p>
  </w:footnote>
  <w:footnote w:id="79">
    <w:p w14:paraId="4AA58161" w14:textId="77777777" w:rsidR="00333B64" w:rsidRPr="00FD5F0D" w:rsidRDefault="00333B64" w:rsidP="00972B28">
      <w:pPr>
        <w:pStyle w:val="FootnoteText"/>
        <w:jc w:val="both"/>
        <w:rPr>
          <w:rFonts w:ascii="Times New Roman" w:hAnsi="Times New Roman" w:cs="Times New Roman"/>
        </w:rPr>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hAnsi="Times New Roman" w:cs="Times New Roman"/>
        </w:rPr>
        <w:t>Rancans, E., Vrublevska, J., et all (2014) The point prevalence of depression  and associated sociodemographic correlates in the general population of Latvia. Journal of Affective Disorders, 156: 104-110</w:t>
      </w:r>
    </w:p>
  </w:footnote>
  <w:footnote w:id="80">
    <w:p w14:paraId="4A6131EA" w14:textId="77777777" w:rsidR="00333B64" w:rsidRPr="000750B6" w:rsidRDefault="00333B64" w:rsidP="00972B28">
      <w:pPr>
        <w:pStyle w:val="FootnoteText"/>
        <w:jc w:val="both"/>
        <w:rPr>
          <w:rFonts w:ascii="Times New Roman" w:hAnsi="Times New Roman" w:cs="Times New Roman"/>
          <w:sz w:val="16"/>
          <w:szCs w:val="16"/>
        </w:rPr>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hAnsi="Times New Roman" w:cs="Times New Roman"/>
        </w:rPr>
        <w:t>Https://www.spkc.gov.lv/upload/Petijumi%20un%20zinojumi/Atkaribu%20slimibu%20petijumi/Diana/atkaribu_izraisosu_vielu_lietosana.pdf</w:t>
      </w:r>
    </w:p>
  </w:footnote>
  <w:footnote w:id="81">
    <w:p w14:paraId="0DC4C962" w14:textId="77777777" w:rsidR="00333B64" w:rsidRPr="00FD5F0D" w:rsidRDefault="00333B64" w:rsidP="00972B28">
      <w:pPr>
        <w:pStyle w:val="FootnoteText"/>
        <w:jc w:val="both"/>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hAnsi="Times New Roman" w:cs="Times New Roman"/>
        </w:rPr>
        <w:t>PKC ziņojums “</w:t>
      </w:r>
      <w:r w:rsidRPr="006465DD">
        <w:rPr>
          <w:rFonts w:ascii="Times New Roman" w:hAnsi="Times New Roman" w:cs="Times New Roman"/>
          <w:color w:val="000000"/>
        </w:rPr>
        <w:t>Par nepieciešamiem uzlabojumiem starpnozaru sadarbībā un palīdzības sniegšanā bērniem ar psihiskiem, attīstības un uzvedības traucējumiem, kā arī antisociālu uzvedību</w:t>
      </w:r>
      <w:r w:rsidRPr="00FD5F0D">
        <w:rPr>
          <w:rFonts w:ascii="Times New Roman" w:hAnsi="Times New Roman" w:cs="Times New Roman"/>
        </w:rPr>
        <w:t>”.</w:t>
      </w:r>
    </w:p>
  </w:footnote>
  <w:footnote w:id="82">
    <w:p w14:paraId="516E733E" w14:textId="77777777" w:rsidR="00333B64" w:rsidRPr="00FD5F0D" w:rsidRDefault="00333B64" w:rsidP="00972B28">
      <w:pPr>
        <w:pStyle w:val="FootnoteText"/>
        <w:jc w:val="both"/>
        <w:rPr>
          <w:rFonts w:ascii="Times New Roman" w:hAnsi="Times New Roman" w:cs="Times New Roman"/>
        </w:rPr>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hAnsi="Times New Roman" w:cs="Times New Roman"/>
          <w:lang w:val="en-US"/>
        </w:rPr>
        <w:t xml:space="preserve">Evans, D., 2017. </w:t>
      </w:r>
      <w:r w:rsidRPr="00FD5F0D">
        <w:rPr>
          <w:rFonts w:ascii="Times New Roman" w:hAnsi="Times New Roman" w:cs="Times New Roman"/>
          <w:iCs/>
          <w:lang w:val="en-US"/>
        </w:rPr>
        <w:t>Treating And Preventing Adolescent Mental Health Disorders : What We Know And What We Don't Know: A Research Agenda For Improving The Mental Health Of Our Youth</w:t>
      </w:r>
      <w:r w:rsidRPr="00FD5F0D">
        <w:rPr>
          <w:rFonts w:ascii="Times New Roman" w:hAnsi="Times New Roman" w:cs="Times New Roman"/>
          <w:lang w:val="en-US"/>
        </w:rPr>
        <w:t>. Oxford University Press.</w:t>
      </w:r>
    </w:p>
  </w:footnote>
  <w:footnote w:id="83">
    <w:p w14:paraId="2FE0B0F5" w14:textId="77777777" w:rsidR="00333B64" w:rsidRPr="00E93259" w:rsidRDefault="00333B64" w:rsidP="00E93259">
      <w:pPr>
        <w:pStyle w:val="FootnoteText"/>
        <w:jc w:val="both"/>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xml:space="preserve"> MK 31.10.2006. noteikumu Nr.899 “Ambulatorajai ārstēšanai paredzēto zāļu un medicīnisko ierīču iegādes izdevumu kompensācijas kārtība</w:t>
      </w:r>
    </w:p>
  </w:footnote>
  <w:footnote w:id="84">
    <w:p w14:paraId="47B9AE82" w14:textId="77777777" w:rsidR="00333B64" w:rsidRPr="00E93259" w:rsidRDefault="00333B64" w:rsidP="00E93259">
      <w:pPr>
        <w:pStyle w:val="FootnoteText"/>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xml:space="preserve"> </w:t>
      </w:r>
      <w:hyperlink r:id="rId5">
        <w:r w:rsidRPr="00E93259">
          <w:rPr>
            <w:rStyle w:val="Hyperlink"/>
            <w:rFonts w:ascii="Times New Roman" w:hAnsi="Times New Roman" w:cs="Times New Roman"/>
          </w:rPr>
          <w:t>https://www.spkc.gov.lv/upload/Psihiska_veseliba_faili/tz_pvl_2016_final.pdf</w:t>
        </w:r>
      </w:hyperlink>
      <w:r w:rsidRPr="00E93259">
        <w:rPr>
          <w:rFonts w:ascii="Times New Roman" w:hAnsi="Times New Roman" w:cs="Times New Roman"/>
        </w:rPr>
        <w:t xml:space="preserve"> (22.lpp.)</w:t>
      </w:r>
    </w:p>
  </w:footnote>
  <w:footnote w:id="85">
    <w:p w14:paraId="7B0E8057" w14:textId="77777777" w:rsidR="00333B64" w:rsidRPr="00E93259" w:rsidRDefault="00333B64" w:rsidP="00E93259">
      <w:pPr>
        <w:pStyle w:val="FootnoteText"/>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xml:space="preserve"> </w:t>
      </w:r>
      <w:hyperlink r:id="rId6">
        <w:r w:rsidRPr="00E93259">
          <w:rPr>
            <w:rStyle w:val="Hyperlink"/>
            <w:rFonts w:ascii="Times New Roman" w:hAnsi="Times New Roman" w:cs="Times New Roman"/>
          </w:rPr>
          <w:t>https://www.spkc.gov.lv/upload/Psihiska_veseliba_faili/tz_pvl_2016_final.pdf</w:t>
        </w:r>
      </w:hyperlink>
      <w:r w:rsidRPr="00E93259">
        <w:rPr>
          <w:rFonts w:ascii="Times New Roman" w:hAnsi="Times New Roman" w:cs="Times New Roman"/>
        </w:rPr>
        <w:t xml:space="preserve"> (19.lpp.)</w:t>
      </w:r>
    </w:p>
  </w:footnote>
  <w:footnote w:id="86">
    <w:p w14:paraId="6249E487" w14:textId="77777777" w:rsidR="00333B64" w:rsidRPr="00E93259" w:rsidRDefault="00333B64" w:rsidP="00E93259">
      <w:pPr>
        <w:pStyle w:val="FootnoteText"/>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xml:space="preserve"> </w:t>
      </w:r>
      <w:hyperlink r:id="rId7">
        <w:r w:rsidRPr="00E93259">
          <w:rPr>
            <w:rStyle w:val="Hyperlink"/>
            <w:rFonts w:ascii="Times New Roman" w:hAnsi="Times New Roman" w:cs="Times New Roman"/>
          </w:rPr>
          <w:t>https://www.spkc.gov.lv/upload/Psihiska_veseliba_faili/tz_pvl_2016_final.pdf</w:t>
        </w:r>
      </w:hyperlink>
      <w:r w:rsidRPr="00E93259">
        <w:rPr>
          <w:rFonts w:ascii="Times New Roman" w:hAnsi="Times New Roman" w:cs="Times New Roman"/>
        </w:rPr>
        <w:t xml:space="preserve"> (22.lpp.)</w:t>
      </w:r>
    </w:p>
  </w:footnote>
  <w:footnote w:id="87">
    <w:p w14:paraId="0932CC7D" w14:textId="77777777" w:rsidR="00333B64" w:rsidRPr="00E93259" w:rsidRDefault="00333B64" w:rsidP="00E93259">
      <w:pPr>
        <w:pStyle w:val="FootnoteText"/>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xml:space="preserve"> </w:t>
      </w:r>
      <w:hyperlink r:id="rId8">
        <w:r w:rsidRPr="00E93259">
          <w:rPr>
            <w:rStyle w:val="Hyperlink"/>
            <w:rFonts w:ascii="Times New Roman" w:hAnsi="Times New Roman" w:cs="Times New Roman"/>
          </w:rPr>
          <w:t>https://www.spkc.gov.lv/upload/Psihiska_veseliba_faili/tz_pvl_2016_final.pdf</w:t>
        </w:r>
      </w:hyperlink>
      <w:r w:rsidRPr="00E93259">
        <w:rPr>
          <w:rFonts w:ascii="Times New Roman" w:hAnsi="Times New Roman" w:cs="Times New Roman"/>
        </w:rPr>
        <w:t xml:space="preserve"> (19.lpp.)</w:t>
      </w:r>
    </w:p>
  </w:footnote>
  <w:footnote w:id="88">
    <w:p w14:paraId="6803034A" w14:textId="77777777" w:rsidR="00333B64" w:rsidRPr="00E93259" w:rsidRDefault="00333B64" w:rsidP="00E93259">
      <w:pPr>
        <w:pStyle w:val="FootnoteText"/>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https://likumi.lv/ta/id/187526-grozijumi-ministru-kabineta-2006-gada-31-oktobra-noteikumos-nr-899-ambulatorajai-arstesanai-paredzeto-zalu-un-medicinisko-ieric...</w:t>
      </w:r>
    </w:p>
  </w:footnote>
  <w:footnote w:id="89">
    <w:p w14:paraId="00B636D7" w14:textId="77777777" w:rsidR="00333B64" w:rsidRPr="00375B10" w:rsidRDefault="00333B64" w:rsidP="00C35F98">
      <w:pPr>
        <w:pStyle w:val="FootnoteText"/>
        <w:rPr>
          <w:rFonts w:ascii="Times New Roman" w:hAnsi="Times New Roman" w:cs="Times New Roman"/>
        </w:rPr>
      </w:pPr>
      <w:r w:rsidRPr="00532779">
        <w:rPr>
          <w:rStyle w:val="FootnoteReference"/>
          <w:rFonts w:ascii="Times New Roman" w:hAnsi="Times New Roman" w:cs="Times New Roman"/>
        </w:rPr>
        <w:footnoteRef/>
      </w:r>
      <w:r w:rsidRPr="00532779">
        <w:rPr>
          <w:rFonts w:ascii="Times New Roman" w:hAnsi="Times New Roman" w:cs="Times New Roman"/>
        </w:rPr>
        <w:t xml:space="preserve"> https://www.ncbi.nlm.nih.gov/pubmed/21576654</w:t>
      </w:r>
    </w:p>
  </w:footnote>
  <w:footnote w:id="90">
    <w:p w14:paraId="6D7A1FC3" w14:textId="77777777" w:rsidR="00333B64" w:rsidRDefault="00333B64"/>
    <w:p w14:paraId="26717AD5" w14:textId="77777777" w:rsidR="00333B64" w:rsidRDefault="00333B64"/>
  </w:footnote>
  <w:footnote w:id="91">
    <w:p w14:paraId="03B2E703" w14:textId="5495CFBB" w:rsidR="00333B64" w:rsidRDefault="00333B64">
      <w:pPr>
        <w:pStyle w:val="FootnoteText"/>
      </w:pPr>
      <w:r>
        <w:rPr>
          <w:rStyle w:val="FootnoteReference"/>
        </w:rPr>
        <w:footnoteRef/>
      </w:r>
      <w:r>
        <w:t xml:space="preserve"> </w:t>
      </w:r>
      <w:r w:rsidRPr="00532779">
        <w:rPr>
          <w:rFonts w:ascii="Times New Roman" w:hAnsi="Times New Roman" w:cs="Times New Roman"/>
        </w:rPr>
        <w:t>https://www.ncbi.nlm.nih.gov/pubmed/18503797</w:t>
      </w:r>
    </w:p>
  </w:footnote>
  <w:footnote w:id="92">
    <w:p w14:paraId="2AFC9038" w14:textId="77777777" w:rsidR="00333B64" w:rsidRDefault="00333B64" w:rsidP="00C35F98">
      <w:pPr>
        <w:pStyle w:val="FootnoteText"/>
        <w:jc w:val="both"/>
      </w:pPr>
      <w:r>
        <w:rPr>
          <w:rStyle w:val="FootnoteReference"/>
        </w:rPr>
        <w:footnoteRef/>
      </w:r>
      <w:r>
        <w:t xml:space="preserve"> </w:t>
      </w:r>
      <w:r w:rsidRPr="006F7BD8">
        <w:rPr>
          <w:rFonts w:ascii="Times New Roman" w:hAnsi="Times New Roman" w:cs="Times New Roman"/>
        </w:rPr>
        <w:t>OECD (2014), Making Mental Health Count: The Social and Economic Costs of Neglecting Mental Health Care, OECD Health Policy Studies, OECD Publishing.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97245794"/>
      <w:docPartObj>
        <w:docPartGallery w:val="Page Numbers (Top of Page)"/>
        <w:docPartUnique/>
      </w:docPartObj>
    </w:sdtPr>
    <w:sdtContent>
      <w:p w14:paraId="43E78E38" w14:textId="77777777" w:rsidR="00333B64" w:rsidRPr="005423DB" w:rsidRDefault="00333B64">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Pr>
            <w:rFonts w:ascii="Times New Roman" w:hAnsi="Times New Roman" w:cs="Times New Roman"/>
            <w:noProof/>
          </w:rPr>
          <w:t>82</w:t>
        </w:r>
        <w:r w:rsidRPr="005423DB">
          <w:rPr>
            <w:rFonts w:ascii="Times New Roman" w:hAnsi="Times New Roman" w:cs="Times New Roman"/>
          </w:rPr>
          <w:fldChar w:fldCharType="end"/>
        </w:r>
      </w:p>
    </w:sdtContent>
  </w:sdt>
  <w:p w14:paraId="2547D755" w14:textId="77777777" w:rsidR="00333B64" w:rsidRDefault="0033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33"/>
      <w:gridCol w:w="3033"/>
      <w:gridCol w:w="3033"/>
    </w:tblGrid>
    <w:tr w:rsidR="00333B64" w14:paraId="7452995B" w14:textId="77777777" w:rsidTr="42507AA6">
      <w:tc>
        <w:tcPr>
          <w:tcW w:w="3033" w:type="dxa"/>
        </w:tcPr>
        <w:p w14:paraId="3576F1C8" w14:textId="331624E4" w:rsidR="00333B64" w:rsidRDefault="00333B64" w:rsidP="00E93259">
          <w:pPr>
            <w:pStyle w:val="Header"/>
            <w:ind w:left="-115"/>
          </w:pPr>
        </w:p>
      </w:tc>
      <w:tc>
        <w:tcPr>
          <w:tcW w:w="3033" w:type="dxa"/>
        </w:tcPr>
        <w:p w14:paraId="43769080" w14:textId="4E076786" w:rsidR="00333B64" w:rsidRDefault="00333B64" w:rsidP="00E93259">
          <w:pPr>
            <w:pStyle w:val="Header"/>
            <w:jc w:val="center"/>
          </w:pPr>
        </w:p>
      </w:tc>
      <w:tc>
        <w:tcPr>
          <w:tcW w:w="3033" w:type="dxa"/>
        </w:tcPr>
        <w:p w14:paraId="652C87E9" w14:textId="125F0052" w:rsidR="00333B64" w:rsidRDefault="00333B64" w:rsidP="00E93259">
          <w:pPr>
            <w:pStyle w:val="Header"/>
            <w:ind w:right="-115"/>
            <w:jc w:val="right"/>
          </w:pPr>
        </w:p>
      </w:tc>
    </w:tr>
  </w:tbl>
  <w:p w14:paraId="7BF8CC03" w14:textId="5344AB81" w:rsidR="00333B64" w:rsidRDefault="00333B64" w:rsidP="00333B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BC6"/>
    <w:multiLevelType w:val="hybridMultilevel"/>
    <w:tmpl w:val="0368ED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11290F"/>
    <w:multiLevelType w:val="hybridMultilevel"/>
    <w:tmpl w:val="DE0629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8C688D"/>
    <w:multiLevelType w:val="hybridMultilevel"/>
    <w:tmpl w:val="7996D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8C3A23"/>
    <w:multiLevelType w:val="hybridMultilevel"/>
    <w:tmpl w:val="56320D0A"/>
    <w:lvl w:ilvl="0" w:tplc="B6ECFCEA">
      <w:start w:val="30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F360F"/>
    <w:multiLevelType w:val="hybridMultilevel"/>
    <w:tmpl w:val="39388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544856"/>
    <w:multiLevelType w:val="hybridMultilevel"/>
    <w:tmpl w:val="168E9BEA"/>
    <w:lvl w:ilvl="0" w:tplc="A07E8B1C">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5F3390A"/>
    <w:multiLevelType w:val="hybridMultilevel"/>
    <w:tmpl w:val="44504648"/>
    <w:lvl w:ilvl="0" w:tplc="756ACD2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826220B"/>
    <w:multiLevelType w:val="hybridMultilevel"/>
    <w:tmpl w:val="0ABAC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91C7EFC"/>
    <w:multiLevelType w:val="multilevel"/>
    <w:tmpl w:val="AE12916E"/>
    <w:lvl w:ilvl="0">
      <w:start w:val="2"/>
      <w:numFmt w:val="decimal"/>
      <w:lvlText w:val="%1."/>
      <w:lvlJc w:val="left"/>
      <w:pPr>
        <w:ind w:left="360" w:hanging="360"/>
      </w:pPr>
      <w:rPr>
        <w:rFonts w:hint="default"/>
      </w:rPr>
    </w:lvl>
    <w:lvl w:ilvl="1">
      <w:start w:val="14"/>
      <w:numFmt w:val="bullet"/>
      <w:lvlText w:val="-"/>
      <w:lvlJc w:val="left"/>
      <w:pPr>
        <w:ind w:left="1284" w:hanging="360"/>
      </w:pPr>
      <w:rPr>
        <w:rFonts w:ascii="Times New Roman" w:eastAsia="Times New Roman" w:hAnsi="Times New Roman" w:cs="Times New Roman"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9" w15:restartNumberingAfterBreak="0">
    <w:nsid w:val="19532AAC"/>
    <w:multiLevelType w:val="hybridMultilevel"/>
    <w:tmpl w:val="3E885CC8"/>
    <w:lvl w:ilvl="0" w:tplc="FFFFFFF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1BE83C4F"/>
    <w:multiLevelType w:val="multilevel"/>
    <w:tmpl w:val="D0A4C756"/>
    <w:lvl w:ilvl="0">
      <w:start w:val="9"/>
      <w:numFmt w:val="decimal"/>
      <w:lvlText w:val="%1."/>
      <w:lvlJc w:val="left"/>
      <w:pPr>
        <w:ind w:left="1129" w:hanging="360"/>
      </w:pPr>
      <w:rPr>
        <w:rFonts w:hint="default"/>
      </w:rPr>
    </w:lvl>
    <w:lvl w:ilvl="1">
      <w:start w:val="1"/>
      <w:numFmt w:val="decimal"/>
      <w:isLgl/>
      <w:lvlText w:val="%1.%2."/>
      <w:lvlJc w:val="left"/>
      <w:pPr>
        <w:ind w:left="1129" w:hanging="360"/>
      </w:pPr>
      <w:rPr>
        <w:rFonts w:cstheme="minorBidi" w:hint="default"/>
        <w:color w:val="000000" w:themeColor="text1"/>
      </w:rPr>
    </w:lvl>
    <w:lvl w:ilvl="2">
      <w:start w:val="1"/>
      <w:numFmt w:val="decimal"/>
      <w:isLgl/>
      <w:lvlText w:val="%1.%2.%3."/>
      <w:lvlJc w:val="left"/>
      <w:pPr>
        <w:ind w:left="1489" w:hanging="720"/>
      </w:pPr>
      <w:rPr>
        <w:rFonts w:cstheme="minorBidi" w:hint="default"/>
        <w:color w:val="000000" w:themeColor="text1"/>
      </w:rPr>
    </w:lvl>
    <w:lvl w:ilvl="3">
      <w:start w:val="1"/>
      <w:numFmt w:val="decimal"/>
      <w:isLgl/>
      <w:lvlText w:val="%1.%2.%3.%4."/>
      <w:lvlJc w:val="left"/>
      <w:pPr>
        <w:ind w:left="1489" w:hanging="720"/>
      </w:pPr>
      <w:rPr>
        <w:rFonts w:cstheme="minorBidi" w:hint="default"/>
        <w:color w:val="000000" w:themeColor="text1"/>
      </w:rPr>
    </w:lvl>
    <w:lvl w:ilvl="4">
      <w:start w:val="1"/>
      <w:numFmt w:val="decimal"/>
      <w:isLgl/>
      <w:lvlText w:val="%1.%2.%3.%4.%5."/>
      <w:lvlJc w:val="left"/>
      <w:pPr>
        <w:ind w:left="1849" w:hanging="1080"/>
      </w:pPr>
      <w:rPr>
        <w:rFonts w:cstheme="minorBidi" w:hint="default"/>
        <w:color w:val="000000" w:themeColor="text1"/>
      </w:rPr>
    </w:lvl>
    <w:lvl w:ilvl="5">
      <w:start w:val="1"/>
      <w:numFmt w:val="decimal"/>
      <w:isLgl/>
      <w:lvlText w:val="%1.%2.%3.%4.%5.%6."/>
      <w:lvlJc w:val="left"/>
      <w:pPr>
        <w:ind w:left="1849" w:hanging="1080"/>
      </w:pPr>
      <w:rPr>
        <w:rFonts w:cstheme="minorBidi" w:hint="default"/>
        <w:color w:val="000000" w:themeColor="text1"/>
      </w:rPr>
    </w:lvl>
    <w:lvl w:ilvl="6">
      <w:start w:val="1"/>
      <w:numFmt w:val="decimal"/>
      <w:isLgl/>
      <w:lvlText w:val="%1.%2.%3.%4.%5.%6.%7."/>
      <w:lvlJc w:val="left"/>
      <w:pPr>
        <w:ind w:left="2209" w:hanging="1440"/>
      </w:pPr>
      <w:rPr>
        <w:rFonts w:cstheme="minorBidi" w:hint="default"/>
        <w:color w:val="000000" w:themeColor="text1"/>
      </w:rPr>
    </w:lvl>
    <w:lvl w:ilvl="7">
      <w:start w:val="1"/>
      <w:numFmt w:val="decimal"/>
      <w:isLgl/>
      <w:lvlText w:val="%1.%2.%3.%4.%5.%6.%7.%8."/>
      <w:lvlJc w:val="left"/>
      <w:pPr>
        <w:ind w:left="2209" w:hanging="1440"/>
      </w:pPr>
      <w:rPr>
        <w:rFonts w:cstheme="minorBidi" w:hint="default"/>
        <w:color w:val="000000" w:themeColor="text1"/>
      </w:rPr>
    </w:lvl>
    <w:lvl w:ilvl="8">
      <w:start w:val="1"/>
      <w:numFmt w:val="decimal"/>
      <w:isLgl/>
      <w:lvlText w:val="%1.%2.%3.%4.%5.%6.%7.%8.%9."/>
      <w:lvlJc w:val="left"/>
      <w:pPr>
        <w:ind w:left="2569" w:hanging="1800"/>
      </w:pPr>
      <w:rPr>
        <w:rFonts w:cstheme="minorBidi" w:hint="default"/>
        <w:color w:val="000000" w:themeColor="text1"/>
      </w:rPr>
    </w:lvl>
  </w:abstractNum>
  <w:abstractNum w:abstractNumId="11" w15:restartNumberingAfterBreak="0">
    <w:nsid w:val="1CC02726"/>
    <w:multiLevelType w:val="hybridMultilevel"/>
    <w:tmpl w:val="1D8616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CC3FAC"/>
    <w:multiLevelType w:val="hybridMultilevel"/>
    <w:tmpl w:val="D952B022"/>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3" w15:restartNumberingAfterBreak="0">
    <w:nsid w:val="245D3893"/>
    <w:multiLevelType w:val="multilevel"/>
    <w:tmpl w:val="51A0D27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38709F"/>
    <w:multiLevelType w:val="hybridMultilevel"/>
    <w:tmpl w:val="7A163742"/>
    <w:lvl w:ilvl="0" w:tplc="91C6D658">
      <w:start w:val="386"/>
      <w:numFmt w:val="decimal"/>
      <w:lvlText w:val="%1"/>
      <w:lvlJc w:val="left"/>
      <w:pPr>
        <w:ind w:left="720" w:hanging="360"/>
      </w:pPr>
      <w:rPr>
        <w:rFonts w:eastAsia="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1944BA"/>
    <w:multiLevelType w:val="hybridMultilevel"/>
    <w:tmpl w:val="CEE4A2BA"/>
    <w:lvl w:ilvl="0" w:tplc="73D079B6">
      <w:start w:val="994"/>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6" w15:restartNumberingAfterBreak="0">
    <w:nsid w:val="313207F7"/>
    <w:multiLevelType w:val="multilevel"/>
    <w:tmpl w:val="089ED01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1">
    <w:nsid w:val="3452780D"/>
    <w:multiLevelType w:val="multilevel"/>
    <w:tmpl w:val="A88207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211"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60452"/>
    <w:multiLevelType w:val="multilevel"/>
    <w:tmpl w:val="DDCC96EA"/>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D23089"/>
    <w:multiLevelType w:val="hybridMultilevel"/>
    <w:tmpl w:val="674436E4"/>
    <w:lvl w:ilvl="0" w:tplc="6CE04EA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816A69"/>
    <w:multiLevelType w:val="hybridMultilevel"/>
    <w:tmpl w:val="1ED64538"/>
    <w:lvl w:ilvl="0" w:tplc="4C62D5F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A729F0"/>
    <w:multiLevelType w:val="hybridMultilevel"/>
    <w:tmpl w:val="44504648"/>
    <w:lvl w:ilvl="0" w:tplc="756ACD2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29C0AEF"/>
    <w:multiLevelType w:val="hybridMultilevel"/>
    <w:tmpl w:val="535E96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4007F9A"/>
    <w:multiLevelType w:val="hybridMultilevel"/>
    <w:tmpl w:val="B2502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F751A5"/>
    <w:multiLevelType w:val="hybridMultilevel"/>
    <w:tmpl w:val="F620E74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1">
    <w:nsid w:val="4AA608FC"/>
    <w:multiLevelType w:val="hybridMultilevel"/>
    <w:tmpl w:val="D5EEBB26"/>
    <w:lvl w:ilvl="0" w:tplc="19647EFE">
      <w:start w:val="1"/>
      <w:numFmt w:val="bullet"/>
      <w:lvlText w:val=""/>
      <w:lvlJc w:val="left"/>
      <w:pPr>
        <w:ind w:left="720" w:hanging="360"/>
      </w:pPr>
      <w:rPr>
        <w:rFonts w:ascii="Wingdings" w:hAnsi="Wingdings" w:hint="default"/>
      </w:rPr>
    </w:lvl>
    <w:lvl w:ilvl="1" w:tplc="60BEB096" w:tentative="1">
      <w:start w:val="1"/>
      <w:numFmt w:val="bullet"/>
      <w:lvlText w:val="o"/>
      <w:lvlJc w:val="left"/>
      <w:pPr>
        <w:ind w:left="1440" w:hanging="360"/>
      </w:pPr>
      <w:rPr>
        <w:rFonts w:ascii="Courier New" w:hAnsi="Courier New" w:cs="Courier New" w:hint="default"/>
      </w:rPr>
    </w:lvl>
    <w:lvl w:ilvl="2" w:tplc="10BA048C" w:tentative="1">
      <w:start w:val="1"/>
      <w:numFmt w:val="bullet"/>
      <w:lvlText w:val=""/>
      <w:lvlJc w:val="left"/>
      <w:pPr>
        <w:ind w:left="2160" w:hanging="360"/>
      </w:pPr>
      <w:rPr>
        <w:rFonts w:ascii="Wingdings" w:hAnsi="Wingdings" w:hint="default"/>
      </w:rPr>
    </w:lvl>
    <w:lvl w:ilvl="3" w:tplc="AB4AAC30" w:tentative="1">
      <w:start w:val="1"/>
      <w:numFmt w:val="bullet"/>
      <w:lvlText w:val=""/>
      <w:lvlJc w:val="left"/>
      <w:pPr>
        <w:ind w:left="2880" w:hanging="360"/>
      </w:pPr>
      <w:rPr>
        <w:rFonts w:ascii="Symbol" w:hAnsi="Symbol" w:hint="default"/>
      </w:rPr>
    </w:lvl>
    <w:lvl w:ilvl="4" w:tplc="42760C12" w:tentative="1">
      <w:start w:val="1"/>
      <w:numFmt w:val="bullet"/>
      <w:lvlText w:val="o"/>
      <w:lvlJc w:val="left"/>
      <w:pPr>
        <w:ind w:left="3600" w:hanging="360"/>
      </w:pPr>
      <w:rPr>
        <w:rFonts w:ascii="Courier New" w:hAnsi="Courier New" w:cs="Courier New" w:hint="default"/>
      </w:rPr>
    </w:lvl>
    <w:lvl w:ilvl="5" w:tplc="58369C24" w:tentative="1">
      <w:start w:val="1"/>
      <w:numFmt w:val="bullet"/>
      <w:lvlText w:val=""/>
      <w:lvlJc w:val="left"/>
      <w:pPr>
        <w:ind w:left="4320" w:hanging="360"/>
      </w:pPr>
      <w:rPr>
        <w:rFonts w:ascii="Wingdings" w:hAnsi="Wingdings" w:hint="default"/>
      </w:rPr>
    </w:lvl>
    <w:lvl w:ilvl="6" w:tplc="AAF051C0" w:tentative="1">
      <w:start w:val="1"/>
      <w:numFmt w:val="bullet"/>
      <w:lvlText w:val=""/>
      <w:lvlJc w:val="left"/>
      <w:pPr>
        <w:ind w:left="5040" w:hanging="360"/>
      </w:pPr>
      <w:rPr>
        <w:rFonts w:ascii="Symbol" w:hAnsi="Symbol" w:hint="default"/>
      </w:rPr>
    </w:lvl>
    <w:lvl w:ilvl="7" w:tplc="C21EA2E4" w:tentative="1">
      <w:start w:val="1"/>
      <w:numFmt w:val="bullet"/>
      <w:lvlText w:val="o"/>
      <w:lvlJc w:val="left"/>
      <w:pPr>
        <w:ind w:left="5760" w:hanging="360"/>
      </w:pPr>
      <w:rPr>
        <w:rFonts w:ascii="Courier New" w:hAnsi="Courier New" w:cs="Courier New" w:hint="default"/>
      </w:rPr>
    </w:lvl>
    <w:lvl w:ilvl="8" w:tplc="B08EB4D2" w:tentative="1">
      <w:start w:val="1"/>
      <w:numFmt w:val="bullet"/>
      <w:lvlText w:val=""/>
      <w:lvlJc w:val="left"/>
      <w:pPr>
        <w:ind w:left="6480" w:hanging="360"/>
      </w:pPr>
      <w:rPr>
        <w:rFonts w:ascii="Wingdings" w:hAnsi="Wingdings" w:hint="default"/>
      </w:rPr>
    </w:lvl>
  </w:abstractNum>
  <w:abstractNum w:abstractNumId="27" w15:restartNumberingAfterBreak="0">
    <w:nsid w:val="4B925B5F"/>
    <w:multiLevelType w:val="hybridMultilevel"/>
    <w:tmpl w:val="52586DBC"/>
    <w:lvl w:ilvl="0" w:tplc="B972F786">
      <w:start w:val="6"/>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1">
    <w:nsid w:val="512D7AE3"/>
    <w:multiLevelType w:val="multilevel"/>
    <w:tmpl w:val="0A629DC4"/>
    <w:lvl w:ilvl="0">
      <w:start w:val="1"/>
      <w:numFmt w:val="decimal"/>
      <w:lvlText w:val="%1."/>
      <w:lvlJc w:val="left"/>
      <w:pPr>
        <w:ind w:left="720" w:hanging="360"/>
      </w:pPr>
      <w:rPr>
        <w:rFonts w:hint="default"/>
      </w:rPr>
    </w:lvl>
    <w:lvl w:ilvl="1">
      <w:start w:val="7"/>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852C00"/>
    <w:multiLevelType w:val="hybridMultilevel"/>
    <w:tmpl w:val="6276A9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B34FCC"/>
    <w:multiLevelType w:val="multilevel"/>
    <w:tmpl w:val="2E6C5F38"/>
    <w:lvl w:ilvl="0">
      <w:start w:val="9"/>
      <w:numFmt w:val="decimal"/>
      <w:lvlText w:val="%1."/>
      <w:lvlJc w:val="left"/>
      <w:pPr>
        <w:ind w:left="360"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1" w15:restartNumberingAfterBreak="0">
    <w:nsid w:val="57227536"/>
    <w:multiLevelType w:val="hybridMultilevel"/>
    <w:tmpl w:val="1FD81D64"/>
    <w:lvl w:ilvl="0" w:tplc="5D40F57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1">
    <w:nsid w:val="5A4C6BC4"/>
    <w:multiLevelType w:val="hybridMultilevel"/>
    <w:tmpl w:val="3994423C"/>
    <w:lvl w:ilvl="0" w:tplc="57BADBF6">
      <w:start w:val="1"/>
      <w:numFmt w:val="bullet"/>
      <w:lvlText w:val=""/>
      <w:lvlJc w:val="left"/>
      <w:pPr>
        <w:ind w:left="720" w:hanging="360"/>
      </w:pPr>
      <w:rPr>
        <w:rFonts w:ascii="Wingdings" w:hAnsi="Wingdings" w:hint="default"/>
      </w:rPr>
    </w:lvl>
    <w:lvl w:ilvl="1" w:tplc="F1AAC084" w:tentative="1">
      <w:start w:val="1"/>
      <w:numFmt w:val="bullet"/>
      <w:lvlText w:val="o"/>
      <w:lvlJc w:val="left"/>
      <w:pPr>
        <w:ind w:left="1440" w:hanging="360"/>
      </w:pPr>
      <w:rPr>
        <w:rFonts w:ascii="Courier New" w:hAnsi="Courier New" w:cs="Courier New" w:hint="default"/>
      </w:rPr>
    </w:lvl>
    <w:lvl w:ilvl="2" w:tplc="09C40F00" w:tentative="1">
      <w:start w:val="1"/>
      <w:numFmt w:val="bullet"/>
      <w:lvlText w:val=""/>
      <w:lvlJc w:val="left"/>
      <w:pPr>
        <w:ind w:left="2160" w:hanging="360"/>
      </w:pPr>
      <w:rPr>
        <w:rFonts w:ascii="Wingdings" w:hAnsi="Wingdings" w:hint="default"/>
      </w:rPr>
    </w:lvl>
    <w:lvl w:ilvl="3" w:tplc="D3D063D8" w:tentative="1">
      <w:start w:val="1"/>
      <w:numFmt w:val="bullet"/>
      <w:lvlText w:val=""/>
      <w:lvlJc w:val="left"/>
      <w:pPr>
        <w:ind w:left="2880" w:hanging="360"/>
      </w:pPr>
      <w:rPr>
        <w:rFonts w:ascii="Symbol" w:hAnsi="Symbol" w:hint="default"/>
      </w:rPr>
    </w:lvl>
    <w:lvl w:ilvl="4" w:tplc="DBC01838" w:tentative="1">
      <w:start w:val="1"/>
      <w:numFmt w:val="bullet"/>
      <w:lvlText w:val="o"/>
      <w:lvlJc w:val="left"/>
      <w:pPr>
        <w:ind w:left="3600" w:hanging="360"/>
      </w:pPr>
      <w:rPr>
        <w:rFonts w:ascii="Courier New" w:hAnsi="Courier New" w:cs="Courier New" w:hint="default"/>
      </w:rPr>
    </w:lvl>
    <w:lvl w:ilvl="5" w:tplc="8F426BC8" w:tentative="1">
      <w:start w:val="1"/>
      <w:numFmt w:val="bullet"/>
      <w:lvlText w:val=""/>
      <w:lvlJc w:val="left"/>
      <w:pPr>
        <w:ind w:left="4320" w:hanging="360"/>
      </w:pPr>
      <w:rPr>
        <w:rFonts w:ascii="Wingdings" w:hAnsi="Wingdings" w:hint="default"/>
      </w:rPr>
    </w:lvl>
    <w:lvl w:ilvl="6" w:tplc="7428C57E" w:tentative="1">
      <w:start w:val="1"/>
      <w:numFmt w:val="bullet"/>
      <w:lvlText w:val=""/>
      <w:lvlJc w:val="left"/>
      <w:pPr>
        <w:ind w:left="5040" w:hanging="360"/>
      </w:pPr>
      <w:rPr>
        <w:rFonts w:ascii="Symbol" w:hAnsi="Symbol" w:hint="default"/>
      </w:rPr>
    </w:lvl>
    <w:lvl w:ilvl="7" w:tplc="0C18635E" w:tentative="1">
      <w:start w:val="1"/>
      <w:numFmt w:val="bullet"/>
      <w:lvlText w:val="o"/>
      <w:lvlJc w:val="left"/>
      <w:pPr>
        <w:ind w:left="5760" w:hanging="360"/>
      </w:pPr>
      <w:rPr>
        <w:rFonts w:ascii="Courier New" w:hAnsi="Courier New" w:cs="Courier New" w:hint="default"/>
      </w:rPr>
    </w:lvl>
    <w:lvl w:ilvl="8" w:tplc="78F833AC" w:tentative="1">
      <w:start w:val="1"/>
      <w:numFmt w:val="bullet"/>
      <w:lvlText w:val=""/>
      <w:lvlJc w:val="left"/>
      <w:pPr>
        <w:ind w:left="6480" w:hanging="360"/>
      </w:pPr>
      <w:rPr>
        <w:rFonts w:ascii="Wingdings" w:hAnsi="Wingdings" w:hint="default"/>
      </w:rPr>
    </w:lvl>
  </w:abstractNum>
  <w:abstractNum w:abstractNumId="33" w15:restartNumberingAfterBreak="0">
    <w:nsid w:val="5BFE6852"/>
    <w:multiLevelType w:val="hybridMultilevel"/>
    <w:tmpl w:val="D26C38B2"/>
    <w:lvl w:ilvl="0" w:tplc="3E7A582A">
      <w:start w:val="28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62E9590B"/>
    <w:multiLevelType w:val="hybridMultilevel"/>
    <w:tmpl w:val="7654F5D8"/>
    <w:lvl w:ilvl="0" w:tplc="B0449A68">
      <w:start w:val="1"/>
      <w:numFmt w:val="bullet"/>
      <w:lvlText w:val=""/>
      <w:lvlJc w:val="left"/>
      <w:pPr>
        <w:ind w:left="720" w:hanging="360"/>
      </w:pPr>
      <w:rPr>
        <w:rFonts w:ascii="Symbol" w:hAnsi="Symbol" w:hint="default"/>
      </w:rPr>
    </w:lvl>
    <w:lvl w:ilvl="1" w:tplc="2EA82F44" w:tentative="1">
      <w:start w:val="1"/>
      <w:numFmt w:val="bullet"/>
      <w:lvlText w:val="o"/>
      <w:lvlJc w:val="left"/>
      <w:pPr>
        <w:ind w:left="1440" w:hanging="360"/>
      </w:pPr>
      <w:rPr>
        <w:rFonts w:ascii="Courier New" w:hAnsi="Courier New" w:cs="Courier New" w:hint="default"/>
      </w:rPr>
    </w:lvl>
    <w:lvl w:ilvl="2" w:tplc="8CCAC606" w:tentative="1">
      <w:start w:val="1"/>
      <w:numFmt w:val="bullet"/>
      <w:lvlText w:val=""/>
      <w:lvlJc w:val="left"/>
      <w:pPr>
        <w:ind w:left="2160" w:hanging="360"/>
      </w:pPr>
      <w:rPr>
        <w:rFonts w:ascii="Wingdings" w:hAnsi="Wingdings" w:hint="default"/>
      </w:rPr>
    </w:lvl>
    <w:lvl w:ilvl="3" w:tplc="83B0553C" w:tentative="1">
      <w:start w:val="1"/>
      <w:numFmt w:val="bullet"/>
      <w:lvlText w:val=""/>
      <w:lvlJc w:val="left"/>
      <w:pPr>
        <w:ind w:left="2880" w:hanging="360"/>
      </w:pPr>
      <w:rPr>
        <w:rFonts w:ascii="Symbol" w:hAnsi="Symbol" w:hint="default"/>
      </w:rPr>
    </w:lvl>
    <w:lvl w:ilvl="4" w:tplc="6A8AAE60" w:tentative="1">
      <w:start w:val="1"/>
      <w:numFmt w:val="bullet"/>
      <w:lvlText w:val="o"/>
      <w:lvlJc w:val="left"/>
      <w:pPr>
        <w:ind w:left="3600" w:hanging="360"/>
      </w:pPr>
      <w:rPr>
        <w:rFonts w:ascii="Courier New" w:hAnsi="Courier New" w:cs="Courier New" w:hint="default"/>
      </w:rPr>
    </w:lvl>
    <w:lvl w:ilvl="5" w:tplc="08D8B3D4" w:tentative="1">
      <w:start w:val="1"/>
      <w:numFmt w:val="bullet"/>
      <w:lvlText w:val=""/>
      <w:lvlJc w:val="left"/>
      <w:pPr>
        <w:ind w:left="4320" w:hanging="360"/>
      </w:pPr>
      <w:rPr>
        <w:rFonts w:ascii="Wingdings" w:hAnsi="Wingdings" w:hint="default"/>
      </w:rPr>
    </w:lvl>
    <w:lvl w:ilvl="6" w:tplc="3F4C918C" w:tentative="1">
      <w:start w:val="1"/>
      <w:numFmt w:val="bullet"/>
      <w:lvlText w:val=""/>
      <w:lvlJc w:val="left"/>
      <w:pPr>
        <w:ind w:left="5040" w:hanging="360"/>
      </w:pPr>
      <w:rPr>
        <w:rFonts w:ascii="Symbol" w:hAnsi="Symbol" w:hint="default"/>
      </w:rPr>
    </w:lvl>
    <w:lvl w:ilvl="7" w:tplc="5104665E" w:tentative="1">
      <w:start w:val="1"/>
      <w:numFmt w:val="bullet"/>
      <w:lvlText w:val="o"/>
      <w:lvlJc w:val="left"/>
      <w:pPr>
        <w:ind w:left="5760" w:hanging="360"/>
      </w:pPr>
      <w:rPr>
        <w:rFonts w:ascii="Courier New" w:hAnsi="Courier New" w:cs="Courier New" w:hint="default"/>
      </w:rPr>
    </w:lvl>
    <w:lvl w:ilvl="8" w:tplc="BF106406" w:tentative="1">
      <w:start w:val="1"/>
      <w:numFmt w:val="bullet"/>
      <w:lvlText w:val=""/>
      <w:lvlJc w:val="left"/>
      <w:pPr>
        <w:ind w:left="6480" w:hanging="360"/>
      </w:pPr>
      <w:rPr>
        <w:rFonts w:ascii="Wingdings" w:hAnsi="Wingdings" w:hint="default"/>
      </w:rPr>
    </w:lvl>
  </w:abstractNum>
  <w:abstractNum w:abstractNumId="35" w15:restartNumberingAfterBreak="1">
    <w:nsid w:val="63B55768"/>
    <w:multiLevelType w:val="multilevel"/>
    <w:tmpl w:val="C602CC1A"/>
    <w:lvl w:ilvl="0">
      <w:start w:val="1"/>
      <w:numFmt w:val="decimal"/>
      <w:lvlText w:val="%1."/>
      <w:lvlJc w:val="left"/>
      <w:pPr>
        <w:ind w:left="1129" w:hanging="360"/>
      </w:pPr>
      <w:rPr>
        <w:rFonts w:hint="default"/>
        <w:color w:val="000000"/>
      </w:rPr>
    </w:lvl>
    <w:lvl w:ilvl="1">
      <w:start w:val="1"/>
      <w:numFmt w:val="decimal"/>
      <w:lvlText w:val="%1.%2."/>
      <w:lvlJc w:val="left"/>
      <w:pPr>
        <w:ind w:left="1189" w:hanging="420"/>
      </w:p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36" w15:restartNumberingAfterBreak="0">
    <w:nsid w:val="64D91290"/>
    <w:multiLevelType w:val="hybridMultilevel"/>
    <w:tmpl w:val="CD7A5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F2B1C"/>
    <w:multiLevelType w:val="hybridMultilevel"/>
    <w:tmpl w:val="3774A422"/>
    <w:lvl w:ilvl="0" w:tplc="A5402C26">
      <w:numFmt w:val="bullet"/>
      <w:lvlText w:val="-"/>
      <w:lvlJc w:val="left"/>
      <w:pPr>
        <w:ind w:left="720" w:hanging="360"/>
      </w:pPr>
      <w:rPr>
        <w:rFonts w:ascii="Times" w:eastAsia="Calibri" w:hAnsi="Times" w:cs="Time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1">
    <w:nsid w:val="66CB4B3A"/>
    <w:multiLevelType w:val="hybridMultilevel"/>
    <w:tmpl w:val="5E3EEB38"/>
    <w:lvl w:ilvl="0" w:tplc="DEE22116">
      <w:start w:val="1"/>
      <w:numFmt w:val="bullet"/>
      <w:lvlText w:val=""/>
      <w:lvlJc w:val="left"/>
      <w:pPr>
        <w:ind w:left="720" w:hanging="360"/>
      </w:pPr>
      <w:rPr>
        <w:rFonts w:ascii="Wingdings" w:hAnsi="Wingdings" w:hint="default"/>
      </w:rPr>
    </w:lvl>
    <w:lvl w:ilvl="1" w:tplc="B88097D8" w:tentative="1">
      <w:start w:val="1"/>
      <w:numFmt w:val="bullet"/>
      <w:lvlText w:val="o"/>
      <w:lvlJc w:val="left"/>
      <w:pPr>
        <w:ind w:left="1440" w:hanging="360"/>
      </w:pPr>
      <w:rPr>
        <w:rFonts w:ascii="Courier New" w:hAnsi="Courier New" w:cs="Courier New" w:hint="default"/>
      </w:rPr>
    </w:lvl>
    <w:lvl w:ilvl="2" w:tplc="B830C254" w:tentative="1">
      <w:start w:val="1"/>
      <w:numFmt w:val="bullet"/>
      <w:lvlText w:val=""/>
      <w:lvlJc w:val="left"/>
      <w:pPr>
        <w:ind w:left="2160" w:hanging="360"/>
      </w:pPr>
      <w:rPr>
        <w:rFonts w:ascii="Wingdings" w:hAnsi="Wingdings" w:hint="default"/>
      </w:rPr>
    </w:lvl>
    <w:lvl w:ilvl="3" w:tplc="A9E65528" w:tentative="1">
      <w:start w:val="1"/>
      <w:numFmt w:val="bullet"/>
      <w:lvlText w:val=""/>
      <w:lvlJc w:val="left"/>
      <w:pPr>
        <w:ind w:left="2880" w:hanging="360"/>
      </w:pPr>
      <w:rPr>
        <w:rFonts w:ascii="Symbol" w:hAnsi="Symbol" w:hint="default"/>
      </w:rPr>
    </w:lvl>
    <w:lvl w:ilvl="4" w:tplc="48E8685E" w:tentative="1">
      <w:start w:val="1"/>
      <w:numFmt w:val="bullet"/>
      <w:lvlText w:val="o"/>
      <w:lvlJc w:val="left"/>
      <w:pPr>
        <w:ind w:left="3600" w:hanging="360"/>
      </w:pPr>
      <w:rPr>
        <w:rFonts w:ascii="Courier New" w:hAnsi="Courier New" w:cs="Courier New" w:hint="default"/>
      </w:rPr>
    </w:lvl>
    <w:lvl w:ilvl="5" w:tplc="40D6D5FE" w:tentative="1">
      <w:start w:val="1"/>
      <w:numFmt w:val="bullet"/>
      <w:lvlText w:val=""/>
      <w:lvlJc w:val="left"/>
      <w:pPr>
        <w:ind w:left="4320" w:hanging="360"/>
      </w:pPr>
      <w:rPr>
        <w:rFonts w:ascii="Wingdings" w:hAnsi="Wingdings" w:hint="default"/>
      </w:rPr>
    </w:lvl>
    <w:lvl w:ilvl="6" w:tplc="2216F6A6" w:tentative="1">
      <w:start w:val="1"/>
      <w:numFmt w:val="bullet"/>
      <w:lvlText w:val=""/>
      <w:lvlJc w:val="left"/>
      <w:pPr>
        <w:ind w:left="5040" w:hanging="360"/>
      </w:pPr>
      <w:rPr>
        <w:rFonts w:ascii="Symbol" w:hAnsi="Symbol" w:hint="default"/>
      </w:rPr>
    </w:lvl>
    <w:lvl w:ilvl="7" w:tplc="EBDE4E28" w:tentative="1">
      <w:start w:val="1"/>
      <w:numFmt w:val="bullet"/>
      <w:lvlText w:val="o"/>
      <w:lvlJc w:val="left"/>
      <w:pPr>
        <w:ind w:left="5760" w:hanging="360"/>
      </w:pPr>
      <w:rPr>
        <w:rFonts w:ascii="Courier New" w:hAnsi="Courier New" w:cs="Courier New" w:hint="default"/>
      </w:rPr>
    </w:lvl>
    <w:lvl w:ilvl="8" w:tplc="BE66DAF2" w:tentative="1">
      <w:start w:val="1"/>
      <w:numFmt w:val="bullet"/>
      <w:lvlText w:val=""/>
      <w:lvlJc w:val="left"/>
      <w:pPr>
        <w:ind w:left="6480" w:hanging="360"/>
      </w:pPr>
      <w:rPr>
        <w:rFonts w:ascii="Wingdings" w:hAnsi="Wingdings" w:hint="default"/>
      </w:rPr>
    </w:lvl>
  </w:abstractNum>
  <w:abstractNum w:abstractNumId="39" w15:restartNumberingAfterBreak="0">
    <w:nsid w:val="6EC70B5C"/>
    <w:multiLevelType w:val="hybridMultilevel"/>
    <w:tmpl w:val="CC3E18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6F0F5A81"/>
    <w:multiLevelType w:val="hybridMultilevel"/>
    <w:tmpl w:val="CA081EB6"/>
    <w:lvl w:ilvl="0" w:tplc="64CC5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02641A6"/>
    <w:multiLevelType w:val="hybridMultilevel"/>
    <w:tmpl w:val="FB32581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2" w15:restartNumberingAfterBreak="0">
    <w:nsid w:val="704424DA"/>
    <w:multiLevelType w:val="hybridMultilevel"/>
    <w:tmpl w:val="6DA0ED2E"/>
    <w:lvl w:ilvl="0" w:tplc="D138C634">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A66885"/>
    <w:multiLevelType w:val="hybridMultilevel"/>
    <w:tmpl w:val="2B748F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5A17EEF"/>
    <w:multiLevelType w:val="hybridMultilevel"/>
    <w:tmpl w:val="6DA0ED2E"/>
    <w:lvl w:ilvl="0" w:tplc="D138C634">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DF12AB"/>
    <w:multiLevelType w:val="hybridMultilevel"/>
    <w:tmpl w:val="CFBCD724"/>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47" w15:restartNumberingAfterBreak="0">
    <w:nsid w:val="7C744CED"/>
    <w:multiLevelType w:val="hybridMultilevel"/>
    <w:tmpl w:val="DB2EFD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6247E5"/>
    <w:multiLevelType w:val="hybridMultilevel"/>
    <w:tmpl w:val="1270A9B0"/>
    <w:lvl w:ilvl="0" w:tplc="51B858E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32"/>
  </w:num>
  <w:num w:numId="3">
    <w:abstractNumId w:val="35"/>
  </w:num>
  <w:num w:numId="4">
    <w:abstractNumId w:val="26"/>
  </w:num>
  <w:num w:numId="5">
    <w:abstractNumId w:val="17"/>
  </w:num>
  <w:num w:numId="6">
    <w:abstractNumId w:val="28"/>
  </w:num>
  <w:num w:numId="7">
    <w:abstractNumId w:val="8"/>
  </w:num>
  <w:num w:numId="8">
    <w:abstractNumId w:val="6"/>
  </w:num>
  <w:num w:numId="9">
    <w:abstractNumId w:val="24"/>
  </w:num>
  <w:num w:numId="10">
    <w:abstractNumId w:val="4"/>
  </w:num>
  <w:num w:numId="11">
    <w:abstractNumId w:val="1"/>
  </w:num>
  <w:num w:numId="12">
    <w:abstractNumId w:val="18"/>
  </w:num>
  <w:num w:numId="13">
    <w:abstractNumId w:val="16"/>
  </w:num>
  <w:num w:numId="14">
    <w:abstractNumId w:val="48"/>
  </w:num>
  <w:num w:numId="15">
    <w:abstractNumId w:val="12"/>
  </w:num>
  <w:num w:numId="16">
    <w:abstractNumId w:val="23"/>
  </w:num>
  <w:num w:numId="17">
    <w:abstractNumId w:val="11"/>
  </w:num>
  <w:num w:numId="18">
    <w:abstractNumId w:val="38"/>
  </w:num>
  <w:num w:numId="19">
    <w:abstractNumId w:val="41"/>
  </w:num>
  <w:num w:numId="20">
    <w:abstractNumId w:val="37"/>
  </w:num>
  <w:num w:numId="21">
    <w:abstractNumId w:val="13"/>
  </w:num>
  <w:num w:numId="22">
    <w:abstractNumId w:val="9"/>
  </w:num>
  <w:num w:numId="23">
    <w:abstractNumId w:val="47"/>
  </w:num>
  <w:num w:numId="24">
    <w:abstractNumId w:val="29"/>
  </w:num>
  <w:num w:numId="25">
    <w:abstractNumId w:val="43"/>
  </w:num>
  <w:num w:numId="26">
    <w:abstractNumId w:val="19"/>
  </w:num>
  <w:num w:numId="27">
    <w:abstractNumId w:val="27"/>
  </w:num>
  <w:num w:numId="28">
    <w:abstractNumId w:val="25"/>
  </w:num>
  <w:num w:numId="29">
    <w:abstractNumId w:val="33"/>
  </w:num>
  <w:num w:numId="30">
    <w:abstractNumId w:val="5"/>
  </w:num>
  <w:num w:numId="31">
    <w:abstractNumId w:val="14"/>
  </w:num>
  <w:num w:numId="32">
    <w:abstractNumId w:val="36"/>
  </w:num>
  <w:num w:numId="33">
    <w:abstractNumId w:val="7"/>
  </w:num>
  <w:num w:numId="34">
    <w:abstractNumId w:val="46"/>
  </w:num>
  <w:num w:numId="35">
    <w:abstractNumId w:val="15"/>
  </w:num>
  <w:num w:numId="36">
    <w:abstractNumId w:val="2"/>
  </w:num>
  <w:num w:numId="37">
    <w:abstractNumId w:val="34"/>
  </w:num>
  <w:num w:numId="38">
    <w:abstractNumId w:val="3"/>
  </w:num>
  <w:num w:numId="39">
    <w:abstractNumId w:val="42"/>
  </w:num>
  <w:num w:numId="40">
    <w:abstractNumId w:val="0"/>
  </w:num>
  <w:num w:numId="41">
    <w:abstractNumId w:val="39"/>
  </w:num>
  <w:num w:numId="42">
    <w:abstractNumId w:val="22"/>
  </w:num>
  <w:num w:numId="43">
    <w:abstractNumId w:val="10"/>
  </w:num>
  <w:num w:numId="44">
    <w:abstractNumId w:val="21"/>
  </w:num>
  <w:num w:numId="45">
    <w:abstractNumId w:val="31"/>
  </w:num>
  <w:num w:numId="46">
    <w:abstractNumId w:val="20"/>
  </w:num>
  <w:num w:numId="47">
    <w:abstractNumId w:val="45"/>
  </w:num>
  <w:num w:numId="48">
    <w:abstractNumId w:val="30"/>
  </w:num>
  <w:num w:numId="49">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70"/>
    <w:rsid w:val="00000224"/>
    <w:rsid w:val="000004F4"/>
    <w:rsid w:val="000006C4"/>
    <w:rsid w:val="00000FA6"/>
    <w:rsid w:val="000015C0"/>
    <w:rsid w:val="000017AB"/>
    <w:rsid w:val="00001D49"/>
    <w:rsid w:val="00002BFF"/>
    <w:rsid w:val="00002C86"/>
    <w:rsid w:val="00004638"/>
    <w:rsid w:val="000046AF"/>
    <w:rsid w:val="00004A03"/>
    <w:rsid w:val="00004B91"/>
    <w:rsid w:val="00004FF9"/>
    <w:rsid w:val="000053D5"/>
    <w:rsid w:val="00005470"/>
    <w:rsid w:val="00005774"/>
    <w:rsid w:val="00005A06"/>
    <w:rsid w:val="00005A3E"/>
    <w:rsid w:val="0000742F"/>
    <w:rsid w:val="00007554"/>
    <w:rsid w:val="00007886"/>
    <w:rsid w:val="00007A5A"/>
    <w:rsid w:val="00007F7D"/>
    <w:rsid w:val="000100C5"/>
    <w:rsid w:val="000108A9"/>
    <w:rsid w:val="00010A18"/>
    <w:rsid w:val="00010A96"/>
    <w:rsid w:val="00010AC6"/>
    <w:rsid w:val="00010B16"/>
    <w:rsid w:val="00010F00"/>
    <w:rsid w:val="00011279"/>
    <w:rsid w:val="00011826"/>
    <w:rsid w:val="00012415"/>
    <w:rsid w:val="0001256D"/>
    <w:rsid w:val="0001279B"/>
    <w:rsid w:val="0001297D"/>
    <w:rsid w:val="00012FD4"/>
    <w:rsid w:val="000131BF"/>
    <w:rsid w:val="000133F7"/>
    <w:rsid w:val="00013560"/>
    <w:rsid w:val="000135F1"/>
    <w:rsid w:val="00013910"/>
    <w:rsid w:val="00014B3F"/>
    <w:rsid w:val="00014C5C"/>
    <w:rsid w:val="00014E4A"/>
    <w:rsid w:val="000156C0"/>
    <w:rsid w:val="00015F01"/>
    <w:rsid w:val="0001651B"/>
    <w:rsid w:val="0001671F"/>
    <w:rsid w:val="0001682C"/>
    <w:rsid w:val="00016DF0"/>
    <w:rsid w:val="000174DE"/>
    <w:rsid w:val="00020012"/>
    <w:rsid w:val="0002028D"/>
    <w:rsid w:val="00021A91"/>
    <w:rsid w:val="000224B6"/>
    <w:rsid w:val="00022B9F"/>
    <w:rsid w:val="00022C54"/>
    <w:rsid w:val="00023261"/>
    <w:rsid w:val="000233A7"/>
    <w:rsid w:val="000237EB"/>
    <w:rsid w:val="00023A4D"/>
    <w:rsid w:val="00023C94"/>
    <w:rsid w:val="00024012"/>
    <w:rsid w:val="00024048"/>
    <w:rsid w:val="00024179"/>
    <w:rsid w:val="00024372"/>
    <w:rsid w:val="0002467D"/>
    <w:rsid w:val="00024BD2"/>
    <w:rsid w:val="00024EC7"/>
    <w:rsid w:val="000252AF"/>
    <w:rsid w:val="000254C7"/>
    <w:rsid w:val="00025985"/>
    <w:rsid w:val="00025B53"/>
    <w:rsid w:val="00025DB7"/>
    <w:rsid w:val="00025EA0"/>
    <w:rsid w:val="00025F53"/>
    <w:rsid w:val="00026045"/>
    <w:rsid w:val="00026B33"/>
    <w:rsid w:val="00026C21"/>
    <w:rsid w:val="000301F2"/>
    <w:rsid w:val="00030766"/>
    <w:rsid w:val="000318A2"/>
    <w:rsid w:val="00031C57"/>
    <w:rsid w:val="00032A66"/>
    <w:rsid w:val="00032DA7"/>
    <w:rsid w:val="00032EE2"/>
    <w:rsid w:val="000332EC"/>
    <w:rsid w:val="0003359F"/>
    <w:rsid w:val="00033628"/>
    <w:rsid w:val="00033B6B"/>
    <w:rsid w:val="0003404D"/>
    <w:rsid w:val="0003424A"/>
    <w:rsid w:val="00034274"/>
    <w:rsid w:val="0003468B"/>
    <w:rsid w:val="0003469A"/>
    <w:rsid w:val="00034CBC"/>
    <w:rsid w:val="00035499"/>
    <w:rsid w:val="00035846"/>
    <w:rsid w:val="00035FEF"/>
    <w:rsid w:val="00036134"/>
    <w:rsid w:val="000366A8"/>
    <w:rsid w:val="000367E0"/>
    <w:rsid w:val="0003682A"/>
    <w:rsid w:val="000368B3"/>
    <w:rsid w:val="00036AF5"/>
    <w:rsid w:val="00036EA5"/>
    <w:rsid w:val="00036F24"/>
    <w:rsid w:val="00037491"/>
    <w:rsid w:val="00037BA1"/>
    <w:rsid w:val="000407E2"/>
    <w:rsid w:val="000409A8"/>
    <w:rsid w:val="00040C38"/>
    <w:rsid w:val="00041028"/>
    <w:rsid w:val="00041234"/>
    <w:rsid w:val="00041443"/>
    <w:rsid w:val="00041553"/>
    <w:rsid w:val="000420D9"/>
    <w:rsid w:val="000424EE"/>
    <w:rsid w:val="00042A65"/>
    <w:rsid w:val="00042ACB"/>
    <w:rsid w:val="00042B9F"/>
    <w:rsid w:val="00042EFE"/>
    <w:rsid w:val="000430B5"/>
    <w:rsid w:val="0004324B"/>
    <w:rsid w:val="0004364B"/>
    <w:rsid w:val="00043836"/>
    <w:rsid w:val="00043AA9"/>
    <w:rsid w:val="00043C5B"/>
    <w:rsid w:val="000444B0"/>
    <w:rsid w:val="00044667"/>
    <w:rsid w:val="00044C61"/>
    <w:rsid w:val="0004506B"/>
    <w:rsid w:val="00045376"/>
    <w:rsid w:val="00045386"/>
    <w:rsid w:val="00045715"/>
    <w:rsid w:val="00045982"/>
    <w:rsid w:val="00045CB2"/>
    <w:rsid w:val="00045D43"/>
    <w:rsid w:val="00045FB3"/>
    <w:rsid w:val="000465B1"/>
    <w:rsid w:val="00046AAF"/>
    <w:rsid w:val="00046D37"/>
    <w:rsid w:val="00046DE3"/>
    <w:rsid w:val="00047297"/>
    <w:rsid w:val="00047DF5"/>
    <w:rsid w:val="0005031E"/>
    <w:rsid w:val="0005043F"/>
    <w:rsid w:val="00050591"/>
    <w:rsid w:val="0005090B"/>
    <w:rsid w:val="00050ED4"/>
    <w:rsid w:val="00051136"/>
    <w:rsid w:val="00051903"/>
    <w:rsid w:val="00051A03"/>
    <w:rsid w:val="00051B28"/>
    <w:rsid w:val="00051D88"/>
    <w:rsid w:val="0005280E"/>
    <w:rsid w:val="00052B54"/>
    <w:rsid w:val="00052B6D"/>
    <w:rsid w:val="00052BC0"/>
    <w:rsid w:val="00052D53"/>
    <w:rsid w:val="00052F8B"/>
    <w:rsid w:val="00053264"/>
    <w:rsid w:val="000535FA"/>
    <w:rsid w:val="00053887"/>
    <w:rsid w:val="00053C5C"/>
    <w:rsid w:val="00053C91"/>
    <w:rsid w:val="00054903"/>
    <w:rsid w:val="00054B6B"/>
    <w:rsid w:val="00054C3E"/>
    <w:rsid w:val="00054DD8"/>
    <w:rsid w:val="00054EA1"/>
    <w:rsid w:val="00054FAB"/>
    <w:rsid w:val="00055558"/>
    <w:rsid w:val="000557DE"/>
    <w:rsid w:val="00055B49"/>
    <w:rsid w:val="00055E39"/>
    <w:rsid w:val="00055F1E"/>
    <w:rsid w:val="00056617"/>
    <w:rsid w:val="00056A9D"/>
    <w:rsid w:val="00056AB6"/>
    <w:rsid w:val="00056F80"/>
    <w:rsid w:val="000571EF"/>
    <w:rsid w:val="000575F0"/>
    <w:rsid w:val="00060191"/>
    <w:rsid w:val="0006051B"/>
    <w:rsid w:val="0006091E"/>
    <w:rsid w:val="0006096D"/>
    <w:rsid w:val="00060C2A"/>
    <w:rsid w:val="00060C47"/>
    <w:rsid w:val="00060F15"/>
    <w:rsid w:val="00060FB6"/>
    <w:rsid w:val="00061D01"/>
    <w:rsid w:val="000631DF"/>
    <w:rsid w:val="00064046"/>
    <w:rsid w:val="00064564"/>
    <w:rsid w:val="000650B8"/>
    <w:rsid w:val="00065285"/>
    <w:rsid w:val="00065436"/>
    <w:rsid w:val="0006544E"/>
    <w:rsid w:val="00065AF6"/>
    <w:rsid w:val="00065BCF"/>
    <w:rsid w:val="00066604"/>
    <w:rsid w:val="00066AF8"/>
    <w:rsid w:val="00066B2C"/>
    <w:rsid w:val="00066B3E"/>
    <w:rsid w:val="00067527"/>
    <w:rsid w:val="00067701"/>
    <w:rsid w:val="00067835"/>
    <w:rsid w:val="000678A1"/>
    <w:rsid w:val="000678E1"/>
    <w:rsid w:val="00067E55"/>
    <w:rsid w:val="00067E81"/>
    <w:rsid w:val="00067FF0"/>
    <w:rsid w:val="00070041"/>
    <w:rsid w:val="00070457"/>
    <w:rsid w:val="000707FF"/>
    <w:rsid w:val="00070862"/>
    <w:rsid w:val="0007140B"/>
    <w:rsid w:val="00071625"/>
    <w:rsid w:val="00071DF2"/>
    <w:rsid w:val="0007279D"/>
    <w:rsid w:val="0007280C"/>
    <w:rsid w:val="0007302B"/>
    <w:rsid w:val="00073137"/>
    <w:rsid w:val="00073902"/>
    <w:rsid w:val="0007392B"/>
    <w:rsid w:val="0007395E"/>
    <w:rsid w:val="00073A85"/>
    <w:rsid w:val="00073B30"/>
    <w:rsid w:val="00074607"/>
    <w:rsid w:val="000747A9"/>
    <w:rsid w:val="00074FD1"/>
    <w:rsid w:val="0007515C"/>
    <w:rsid w:val="00075A70"/>
    <w:rsid w:val="00075B0E"/>
    <w:rsid w:val="0007602E"/>
    <w:rsid w:val="000768C5"/>
    <w:rsid w:val="00076A9A"/>
    <w:rsid w:val="00077586"/>
    <w:rsid w:val="0007784D"/>
    <w:rsid w:val="00077F89"/>
    <w:rsid w:val="000810A7"/>
    <w:rsid w:val="00081A66"/>
    <w:rsid w:val="00081B54"/>
    <w:rsid w:val="000828C8"/>
    <w:rsid w:val="00082A62"/>
    <w:rsid w:val="00082EFC"/>
    <w:rsid w:val="0008325D"/>
    <w:rsid w:val="0008356D"/>
    <w:rsid w:val="00083A91"/>
    <w:rsid w:val="0008420B"/>
    <w:rsid w:val="000844FF"/>
    <w:rsid w:val="000853A1"/>
    <w:rsid w:val="000854D6"/>
    <w:rsid w:val="00085691"/>
    <w:rsid w:val="000859C3"/>
    <w:rsid w:val="0008611C"/>
    <w:rsid w:val="00086584"/>
    <w:rsid w:val="00086AE1"/>
    <w:rsid w:val="0008750F"/>
    <w:rsid w:val="00087AD3"/>
    <w:rsid w:val="00087CD7"/>
    <w:rsid w:val="00090820"/>
    <w:rsid w:val="00090F2D"/>
    <w:rsid w:val="00091057"/>
    <w:rsid w:val="0009135C"/>
    <w:rsid w:val="00091426"/>
    <w:rsid w:val="000916F6"/>
    <w:rsid w:val="00091C4C"/>
    <w:rsid w:val="00092405"/>
    <w:rsid w:val="000924CD"/>
    <w:rsid w:val="000927F6"/>
    <w:rsid w:val="000928C2"/>
    <w:rsid w:val="000930F6"/>
    <w:rsid w:val="00093D6E"/>
    <w:rsid w:val="00093DA1"/>
    <w:rsid w:val="00093FED"/>
    <w:rsid w:val="00094960"/>
    <w:rsid w:val="00094E5C"/>
    <w:rsid w:val="0009549D"/>
    <w:rsid w:val="00095D68"/>
    <w:rsid w:val="00096206"/>
    <w:rsid w:val="000964AD"/>
    <w:rsid w:val="00096930"/>
    <w:rsid w:val="00097038"/>
    <w:rsid w:val="000971BF"/>
    <w:rsid w:val="0009757D"/>
    <w:rsid w:val="00097EA5"/>
    <w:rsid w:val="00097FF6"/>
    <w:rsid w:val="000A01E8"/>
    <w:rsid w:val="000A01F0"/>
    <w:rsid w:val="000A0426"/>
    <w:rsid w:val="000A07CE"/>
    <w:rsid w:val="000A0A73"/>
    <w:rsid w:val="000A0E74"/>
    <w:rsid w:val="000A0EEB"/>
    <w:rsid w:val="000A1217"/>
    <w:rsid w:val="000A1917"/>
    <w:rsid w:val="000A1AFC"/>
    <w:rsid w:val="000A1C9E"/>
    <w:rsid w:val="000A1DAC"/>
    <w:rsid w:val="000A25BC"/>
    <w:rsid w:val="000A279A"/>
    <w:rsid w:val="000A2ACE"/>
    <w:rsid w:val="000A3630"/>
    <w:rsid w:val="000A3D98"/>
    <w:rsid w:val="000A445A"/>
    <w:rsid w:val="000A4EAD"/>
    <w:rsid w:val="000A4EFD"/>
    <w:rsid w:val="000A515E"/>
    <w:rsid w:val="000A526E"/>
    <w:rsid w:val="000A6049"/>
    <w:rsid w:val="000A65C1"/>
    <w:rsid w:val="000A6AD2"/>
    <w:rsid w:val="000A72AD"/>
    <w:rsid w:val="000A7972"/>
    <w:rsid w:val="000B055D"/>
    <w:rsid w:val="000B0E6A"/>
    <w:rsid w:val="000B2458"/>
    <w:rsid w:val="000B28D2"/>
    <w:rsid w:val="000B2A5C"/>
    <w:rsid w:val="000B2EAB"/>
    <w:rsid w:val="000B390D"/>
    <w:rsid w:val="000B3A22"/>
    <w:rsid w:val="000B3AF1"/>
    <w:rsid w:val="000B4248"/>
    <w:rsid w:val="000B435E"/>
    <w:rsid w:val="000B48D7"/>
    <w:rsid w:val="000B4A96"/>
    <w:rsid w:val="000B4AAD"/>
    <w:rsid w:val="000B4ADE"/>
    <w:rsid w:val="000B4DA5"/>
    <w:rsid w:val="000B4E81"/>
    <w:rsid w:val="000B5110"/>
    <w:rsid w:val="000B52BE"/>
    <w:rsid w:val="000B54D1"/>
    <w:rsid w:val="000B564B"/>
    <w:rsid w:val="000B5B24"/>
    <w:rsid w:val="000B5C35"/>
    <w:rsid w:val="000B5E0E"/>
    <w:rsid w:val="000B60FB"/>
    <w:rsid w:val="000B61C1"/>
    <w:rsid w:val="000B6354"/>
    <w:rsid w:val="000B7555"/>
    <w:rsid w:val="000B7F3A"/>
    <w:rsid w:val="000C01D8"/>
    <w:rsid w:val="000C03D9"/>
    <w:rsid w:val="000C0914"/>
    <w:rsid w:val="000C0DC5"/>
    <w:rsid w:val="000C109B"/>
    <w:rsid w:val="000C1361"/>
    <w:rsid w:val="000C1727"/>
    <w:rsid w:val="000C1AB2"/>
    <w:rsid w:val="000C1CA8"/>
    <w:rsid w:val="000C1DF2"/>
    <w:rsid w:val="000C2119"/>
    <w:rsid w:val="000C2382"/>
    <w:rsid w:val="000C23EA"/>
    <w:rsid w:val="000C246A"/>
    <w:rsid w:val="000C29E1"/>
    <w:rsid w:val="000C2AFF"/>
    <w:rsid w:val="000C2E87"/>
    <w:rsid w:val="000C2EF6"/>
    <w:rsid w:val="000C3512"/>
    <w:rsid w:val="000C3AD4"/>
    <w:rsid w:val="000C3D0E"/>
    <w:rsid w:val="000C50F0"/>
    <w:rsid w:val="000C5A03"/>
    <w:rsid w:val="000C5C94"/>
    <w:rsid w:val="000C662B"/>
    <w:rsid w:val="000C66AA"/>
    <w:rsid w:val="000C66E0"/>
    <w:rsid w:val="000C69D8"/>
    <w:rsid w:val="000C6CBF"/>
    <w:rsid w:val="000C7711"/>
    <w:rsid w:val="000C7F07"/>
    <w:rsid w:val="000D12D8"/>
    <w:rsid w:val="000D2789"/>
    <w:rsid w:val="000D2BDF"/>
    <w:rsid w:val="000D2BF5"/>
    <w:rsid w:val="000D3010"/>
    <w:rsid w:val="000D3401"/>
    <w:rsid w:val="000D3974"/>
    <w:rsid w:val="000D39D3"/>
    <w:rsid w:val="000D42A5"/>
    <w:rsid w:val="000D4759"/>
    <w:rsid w:val="000D4E35"/>
    <w:rsid w:val="000D500F"/>
    <w:rsid w:val="000D55FF"/>
    <w:rsid w:val="000D69E2"/>
    <w:rsid w:val="000D6BE7"/>
    <w:rsid w:val="000D6F8C"/>
    <w:rsid w:val="000D7B77"/>
    <w:rsid w:val="000E0F94"/>
    <w:rsid w:val="000E1A22"/>
    <w:rsid w:val="000E2158"/>
    <w:rsid w:val="000E2748"/>
    <w:rsid w:val="000E2840"/>
    <w:rsid w:val="000E289A"/>
    <w:rsid w:val="000E2BCE"/>
    <w:rsid w:val="000E3096"/>
    <w:rsid w:val="000E38A3"/>
    <w:rsid w:val="000E3DDC"/>
    <w:rsid w:val="000E3FC0"/>
    <w:rsid w:val="000E4651"/>
    <w:rsid w:val="000E49A2"/>
    <w:rsid w:val="000E4A6A"/>
    <w:rsid w:val="000E4B0D"/>
    <w:rsid w:val="000E4F0E"/>
    <w:rsid w:val="000E4F38"/>
    <w:rsid w:val="000E4FC9"/>
    <w:rsid w:val="000E553C"/>
    <w:rsid w:val="000E576E"/>
    <w:rsid w:val="000E5829"/>
    <w:rsid w:val="000E594E"/>
    <w:rsid w:val="000E5A8F"/>
    <w:rsid w:val="000E5C01"/>
    <w:rsid w:val="000E5CC0"/>
    <w:rsid w:val="000E5D27"/>
    <w:rsid w:val="000E60FD"/>
    <w:rsid w:val="000E643F"/>
    <w:rsid w:val="000E6CE9"/>
    <w:rsid w:val="000E6E0A"/>
    <w:rsid w:val="000E6EA2"/>
    <w:rsid w:val="000E70CB"/>
    <w:rsid w:val="000E7FEE"/>
    <w:rsid w:val="000F072B"/>
    <w:rsid w:val="000F085F"/>
    <w:rsid w:val="000F1402"/>
    <w:rsid w:val="000F1D79"/>
    <w:rsid w:val="000F1FE7"/>
    <w:rsid w:val="000F220C"/>
    <w:rsid w:val="000F22AC"/>
    <w:rsid w:val="000F2BA1"/>
    <w:rsid w:val="000F2F16"/>
    <w:rsid w:val="000F3745"/>
    <w:rsid w:val="000F3A77"/>
    <w:rsid w:val="000F3CEF"/>
    <w:rsid w:val="000F44AC"/>
    <w:rsid w:val="000F466B"/>
    <w:rsid w:val="000F47DD"/>
    <w:rsid w:val="000F4B32"/>
    <w:rsid w:val="000F4C35"/>
    <w:rsid w:val="000F512F"/>
    <w:rsid w:val="000F5AE6"/>
    <w:rsid w:val="000F60F8"/>
    <w:rsid w:val="000F6977"/>
    <w:rsid w:val="000F7284"/>
    <w:rsid w:val="000F746A"/>
    <w:rsid w:val="000F75EF"/>
    <w:rsid w:val="000F7607"/>
    <w:rsid w:val="000F7CE0"/>
    <w:rsid w:val="001002EF"/>
    <w:rsid w:val="00100432"/>
    <w:rsid w:val="00100B36"/>
    <w:rsid w:val="001012CE"/>
    <w:rsid w:val="0010165B"/>
    <w:rsid w:val="001018FA"/>
    <w:rsid w:val="0010191A"/>
    <w:rsid w:val="00101B6C"/>
    <w:rsid w:val="0010213F"/>
    <w:rsid w:val="00102458"/>
    <w:rsid w:val="0010247D"/>
    <w:rsid w:val="0010262C"/>
    <w:rsid w:val="001035AF"/>
    <w:rsid w:val="00103F9B"/>
    <w:rsid w:val="001046D3"/>
    <w:rsid w:val="00104D43"/>
    <w:rsid w:val="00104F21"/>
    <w:rsid w:val="00104F58"/>
    <w:rsid w:val="001051B9"/>
    <w:rsid w:val="0010528D"/>
    <w:rsid w:val="0010546C"/>
    <w:rsid w:val="00105497"/>
    <w:rsid w:val="00105539"/>
    <w:rsid w:val="00105851"/>
    <w:rsid w:val="00105C1B"/>
    <w:rsid w:val="00105C6C"/>
    <w:rsid w:val="00106229"/>
    <w:rsid w:val="0010663A"/>
    <w:rsid w:val="001066D0"/>
    <w:rsid w:val="0010675F"/>
    <w:rsid w:val="00106926"/>
    <w:rsid w:val="00106DF5"/>
    <w:rsid w:val="00107173"/>
    <w:rsid w:val="00107905"/>
    <w:rsid w:val="00107927"/>
    <w:rsid w:val="001102D9"/>
    <w:rsid w:val="00110F01"/>
    <w:rsid w:val="001113E5"/>
    <w:rsid w:val="00111B77"/>
    <w:rsid w:val="001128D8"/>
    <w:rsid w:val="0011299B"/>
    <w:rsid w:val="001137F7"/>
    <w:rsid w:val="0011381D"/>
    <w:rsid w:val="00113985"/>
    <w:rsid w:val="001139A2"/>
    <w:rsid w:val="00113AEA"/>
    <w:rsid w:val="00113DCC"/>
    <w:rsid w:val="001146CB"/>
    <w:rsid w:val="00114788"/>
    <w:rsid w:val="00114822"/>
    <w:rsid w:val="00114CF3"/>
    <w:rsid w:val="00115899"/>
    <w:rsid w:val="00115990"/>
    <w:rsid w:val="00115EEB"/>
    <w:rsid w:val="001168E6"/>
    <w:rsid w:val="00116BD1"/>
    <w:rsid w:val="00117AFB"/>
    <w:rsid w:val="00117E61"/>
    <w:rsid w:val="00120199"/>
    <w:rsid w:val="001209F2"/>
    <w:rsid w:val="00120BBD"/>
    <w:rsid w:val="001214FB"/>
    <w:rsid w:val="00121559"/>
    <w:rsid w:val="00121874"/>
    <w:rsid w:val="001218A2"/>
    <w:rsid w:val="00121AC9"/>
    <w:rsid w:val="00121C14"/>
    <w:rsid w:val="00121D10"/>
    <w:rsid w:val="00122030"/>
    <w:rsid w:val="00122AC3"/>
    <w:rsid w:val="00122C89"/>
    <w:rsid w:val="00122DEB"/>
    <w:rsid w:val="00122FFC"/>
    <w:rsid w:val="0012317D"/>
    <w:rsid w:val="0012324E"/>
    <w:rsid w:val="0012333F"/>
    <w:rsid w:val="00123698"/>
    <w:rsid w:val="00124055"/>
    <w:rsid w:val="00124326"/>
    <w:rsid w:val="001256FA"/>
    <w:rsid w:val="001257DC"/>
    <w:rsid w:val="0012589B"/>
    <w:rsid w:val="0012599C"/>
    <w:rsid w:val="00125A9A"/>
    <w:rsid w:val="00125B21"/>
    <w:rsid w:val="00126032"/>
    <w:rsid w:val="0012644C"/>
    <w:rsid w:val="00126A35"/>
    <w:rsid w:val="00126A8A"/>
    <w:rsid w:val="00126AF0"/>
    <w:rsid w:val="001270AF"/>
    <w:rsid w:val="00127126"/>
    <w:rsid w:val="00127DC4"/>
    <w:rsid w:val="001300E7"/>
    <w:rsid w:val="001301B0"/>
    <w:rsid w:val="001303B5"/>
    <w:rsid w:val="001303C3"/>
    <w:rsid w:val="001306AE"/>
    <w:rsid w:val="0013086B"/>
    <w:rsid w:val="00130A16"/>
    <w:rsid w:val="001312E5"/>
    <w:rsid w:val="0013165B"/>
    <w:rsid w:val="001317B2"/>
    <w:rsid w:val="00131BB3"/>
    <w:rsid w:val="00131CCF"/>
    <w:rsid w:val="001321C3"/>
    <w:rsid w:val="0013272D"/>
    <w:rsid w:val="00132784"/>
    <w:rsid w:val="0013278F"/>
    <w:rsid w:val="001333E2"/>
    <w:rsid w:val="00133A18"/>
    <w:rsid w:val="00133CE3"/>
    <w:rsid w:val="00133D9D"/>
    <w:rsid w:val="00133DBD"/>
    <w:rsid w:val="00133FEE"/>
    <w:rsid w:val="0013423A"/>
    <w:rsid w:val="00134F4C"/>
    <w:rsid w:val="00135AB1"/>
    <w:rsid w:val="00136163"/>
    <w:rsid w:val="0013652A"/>
    <w:rsid w:val="00136590"/>
    <w:rsid w:val="00136C30"/>
    <w:rsid w:val="00136F26"/>
    <w:rsid w:val="00137A9F"/>
    <w:rsid w:val="00137B38"/>
    <w:rsid w:val="00137D60"/>
    <w:rsid w:val="00137E44"/>
    <w:rsid w:val="00137E81"/>
    <w:rsid w:val="00140233"/>
    <w:rsid w:val="00140338"/>
    <w:rsid w:val="001406F2"/>
    <w:rsid w:val="0014078C"/>
    <w:rsid w:val="00140933"/>
    <w:rsid w:val="00141340"/>
    <w:rsid w:val="00141399"/>
    <w:rsid w:val="00141517"/>
    <w:rsid w:val="001417ED"/>
    <w:rsid w:val="00141A04"/>
    <w:rsid w:val="00141D96"/>
    <w:rsid w:val="00141E5B"/>
    <w:rsid w:val="001433E9"/>
    <w:rsid w:val="001435ED"/>
    <w:rsid w:val="00143690"/>
    <w:rsid w:val="00144087"/>
    <w:rsid w:val="001447FC"/>
    <w:rsid w:val="00144DF8"/>
    <w:rsid w:val="00145068"/>
    <w:rsid w:val="001457FF"/>
    <w:rsid w:val="00145B15"/>
    <w:rsid w:val="00146973"/>
    <w:rsid w:val="00146B98"/>
    <w:rsid w:val="00146C05"/>
    <w:rsid w:val="0014757F"/>
    <w:rsid w:val="0015013D"/>
    <w:rsid w:val="001506A7"/>
    <w:rsid w:val="001509A5"/>
    <w:rsid w:val="001509EB"/>
    <w:rsid w:val="00150E8C"/>
    <w:rsid w:val="0015101B"/>
    <w:rsid w:val="001510BA"/>
    <w:rsid w:val="00151356"/>
    <w:rsid w:val="001524A4"/>
    <w:rsid w:val="001525DB"/>
    <w:rsid w:val="001527B1"/>
    <w:rsid w:val="0015286F"/>
    <w:rsid w:val="00152E72"/>
    <w:rsid w:val="00152FD4"/>
    <w:rsid w:val="00153198"/>
    <w:rsid w:val="0015331A"/>
    <w:rsid w:val="001533B1"/>
    <w:rsid w:val="0015361E"/>
    <w:rsid w:val="00153625"/>
    <w:rsid w:val="00153753"/>
    <w:rsid w:val="00153F41"/>
    <w:rsid w:val="001542DA"/>
    <w:rsid w:val="00154373"/>
    <w:rsid w:val="001544CF"/>
    <w:rsid w:val="00154535"/>
    <w:rsid w:val="001547D0"/>
    <w:rsid w:val="00154ABB"/>
    <w:rsid w:val="00155407"/>
    <w:rsid w:val="001555DC"/>
    <w:rsid w:val="00155731"/>
    <w:rsid w:val="00155CAA"/>
    <w:rsid w:val="0015635C"/>
    <w:rsid w:val="001564E8"/>
    <w:rsid w:val="0015656C"/>
    <w:rsid w:val="00156A31"/>
    <w:rsid w:val="00156AAE"/>
    <w:rsid w:val="00156E9A"/>
    <w:rsid w:val="001571A1"/>
    <w:rsid w:val="00157863"/>
    <w:rsid w:val="00157915"/>
    <w:rsid w:val="0015793C"/>
    <w:rsid w:val="00157AE2"/>
    <w:rsid w:val="00157E0B"/>
    <w:rsid w:val="00157F1D"/>
    <w:rsid w:val="001601EA"/>
    <w:rsid w:val="00160304"/>
    <w:rsid w:val="00160316"/>
    <w:rsid w:val="00160729"/>
    <w:rsid w:val="00160737"/>
    <w:rsid w:val="00160B42"/>
    <w:rsid w:val="00160F4C"/>
    <w:rsid w:val="001614DE"/>
    <w:rsid w:val="001614EA"/>
    <w:rsid w:val="00161875"/>
    <w:rsid w:val="00161D54"/>
    <w:rsid w:val="00161E92"/>
    <w:rsid w:val="00161F45"/>
    <w:rsid w:val="00162B6E"/>
    <w:rsid w:val="00163023"/>
    <w:rsid w:val="00163075"/>
    <w:rsid w:val="001630C6"/>
    <w:rsid w:val="00163D38"/>
    <w:rsid w:val="00163DB2"/>
    <w:rsid w:val="00164465"/>
    <w:rsid w:val="001653D8"/>
    <w:rsid w:val="00166B1A"/>
    <w:rsid w:val="0016759E"/>
    <w:rsid w:val="0016789C"/>
    <w:rsid w:val="00167FAD"/>
    <w:rsid w:val="001701B4"/>
    <w:rsid w:val="001707E2"/>
    <w:rsid w:val="001712BF"/>
    <w:rsid w:val="001715C8"/>
    <w:rsid w:val="00172009"/>
    <w:rsid w:val="00172823"/>
    <w:rsid w:val="00173111"/>
    <w:rsid w:val="001734C1"/>
    <w:rsid w:val="00173641"/>
    <w:rsid w:val="0017367B"/>
    <w:rsid w:val="00173B28"/>
    <w:rsid w:val="00173EFF"/>
    <w:rsid w:val="0017405A"/>
    <w:rsid w:val="00174138"/>
    <w:rsid w:val="001745C7"/>
    <w:rsid w:val="00174607"/>
    <w:rsid w:val="00174D55"/>
    <w:rsid w:val="001759A6"/>
    <w:rsid w:val="00175C02"/>
    <w:rsid w:val="001763A1"/>
    <w:rsid w:val="0017650D"/>
    <w:rsid w:val="00176637"/>
    <w:rsid w:val="001768F7"/>
    <w:rsid w:val="0017698C"/>
    <w:rsid w:val="0017719C"/>
    <w:rsid w:val="001776EC"/>
    <w:rsid w:val="0017795C"/>
    <w:rsid w:val="00177B31"/>
    <w:rsid w:val="00177C7E"/>
    <w:rsid w:val="00177C9C"/>
    <w:rsid w:val="00177F3B"/>
    <w:rsid w:val="001802C7"/>
    <w:rsid w:val="0018057F"/>
    <w:rsid w:val="001805A5"/>
    <w:rsid w:val="001807C9"/>
    <w:rsid w:val="00180838"/>
    <w:rsid w:val="001810FF"/>
    <w:rsid w:val="00181144"/>
    <w:rsid w:val="0018122B"/>
    <w:rsid w:val="00181418"/>
    <w:rsid w:val="00181622"/>
    <w:rsid w:val="00181979"/>
    <w:rsid w:val="00181D7E"/>
    <w:rsid w:val="00181D8B"/>
    <w:rsid w:val="001825E4"/>
    <w:rsid w:val="00182E6E"/>
    <w:rsid w:val="00182F34"/>
    <w:rsid w:val="00182FF4"/>
    <w:rsid w:val="00183537"/>
    <w:rsid w:val="00183547"/>
    <w:rsid w:val="00183803"/>
    <w:rsid w:val="00183E50"/>
    <w:rsid w:val="00184019"/>
    <w:rsid w:val="001840CC"/>
    <w:rsid w:val="00184AD4"/>
    <w:rsid w:val="001851CD"/>
    <w:rsid w:val="001855A8"/>
    <w:rsid w:val="0018564B"/>
    <w:rsid w:val="001857D0"/>
    <w:rsid w:val="00185F6C"/>
    <w:rsid w:val="00186004"/>
    <w:rsid w:val="001867A3"/>
    <w:rsid w:val="00186A5D"/>
    <w:rsid w:val="00187031"/>
    <w:rsid w:val="001879A0"/>
    <w:rsid w:val="00190290"/>
    <w:rsid w:val="00190B3E"/>
    <w:rsid w:val="00190DCC"/>
    <w:rsid w:val="00190F68"/>
    <w:rsid w:val="001912A4"/>
    <w:rsid w:val="00191301"/>
    <w:rsid w:val="0019180B"/>
    <w:rsid w:val="00191AD4"/>
    <w:rsid w:val="001923AF"/>
    <w:rsid w:val="001924AC"/>
    <w:rsid w:val="00192DEA"/>
    <w:rsid w:val="00193709"/>
    <w:rsid w:val="0019393F"/>
    <w:rsid w:val="001942C8"/>
    <w:rsid w:val="00194926"/>
    <w:rsid w:val="00194958"/>
    <w:rsid w:val="00194FBC"/>
    <w:rsid w:val="001966D4"/>
    <w:rsid w:val="00196761"/>
    <w:rsid w:val="00196A0F"/>
    <w:rsid w:val="001978D1"/>
    <w:rsid w:val="00197D02"/>
    <w:rsid w:val="00197E7B"/>
    <w:rsid w:val="001A0018"/>
    <w:rsid w:val="001A0096"/>
    <w:rsid w:val="001A0155"/>
    <w:rsid w:val="001A0684"/>
    <w:rsid w:val="001A087E"/>
    <w:rsid w:val="001A0BF4"/>
    <w:rsid w:val="001A124B"/>
    <w:rsid w:val="001A1286"/>
    <w:rsid w:val="001A12DB"/>
    <w:rsid w:val="001A1492"/>
    <w:rsid w:val="001A179D"/>
    <w:rsid w:val="001A1AC0"/>
    <w:rsid w:val="001A2025"/>
    <w:rsid w:val="001A20AA"/>
    <w:rsid w:val="001A2147"/>
    <w:rsid w:val="001A2493"/>
    <w:rsid w:val="001A2E91"/>
    <w:rsid w:val="001A2FC0"/>
    <w:rsid w:val="001A39D4"/>
    <w:rsid w:val="001A402C"/>
    <w:rsid w:val="001A40BE"/>
    <w:rsid w:val="001A4687"/>
    <w:rsid w:val="001A512F"/>
    <w:rsid w:val="001A516A"/>
    <w:rsid w:val="001A51F3"/>
    <w:rsid w:val="001A528D"/>
    <w:rsid w:val="001A542E"/>
    <w:rsid w:val="001A5B19"/>
    <w:rsid w:val="001A5F37"/>
    <w:rsid w:val="001A6661"/>
    <w:rsid w:val="001A77BC"/>
    <w:rsid w:val="001A7B79"/>
    <w:rsid w:val="001A7BB1"/>
    <w:rsid w:val="001A7C5F"/>
    <w:rsid w:val="001B000F"/>
    <w:rsid w:val="001B0746"/>
    <w:rsid w:val="001B0B3D"/>
    <w:rsid w:val="001B10A1"/>
    <w:rsid w:val="001B1537"/>
    <w:rsid w:val="001B1836"/>
    <w:rsid w:val="001B1A2C"/>
    <w:rsid w:val="001B1AEF"/>
    <w:rsid w:val="001B1D58"/>
    <w:rsid w:val="001B246E"/>
    <w:rsid w:val="001B3204"/>
    <w:rsid w:val="001B3584"/>
    <w:rsid w:val="001B3943"/>
    <w:rsid w:val="001B3AD3"/>
    <w:rsid w:val="001B3D8E"/>
    <w:rsid w:val="001B3EAA"/>
    <w:rsid w:val="001B3F13"/>
    <w:rsid w:val="001B4529"/>
    <w:rsid w:val="001B4EE7"/>
    <w:rsid w:val="001B55CC"/>
    <w:rsid w:val="001B5B49"/>
    <w:rsid w:val="001B5E9F"/>
    <w:rsid w:val="001B5F83"/>
    <w:rsid w:val="001B7367"/>
    <w:rsid w:val="001B74B5"/>
    <w:rsid w:val="001B7D30"/>
    <w:rsid w:val="001C017B"/>
    <w:rsid w:val="001C057D"/>
    <w:rsid w:val="001C064B"/>
    <w:rsid w:val="001C0DEA"/>
    <w:rsid w:val="001C11A4"/>
    <w:rsid w:val="001C18DC"/>
    <w:rsid w:val="001C196E"/>
    <w:rsid w:val="001C2228"/>
    <w:rsid w:val="001C27BC"/>
    <w:rsid w:val="001C33C1"/>
    <w:rsid w:val="001C35B6"/>
    <w:rsid w:val="001C44F3"/>
    <w:rsid w:val="001C47E5"/>
    <w:rsid w:val="001C57BA"/>
    <w:rsid w:val="001C5B74"/>
    <w:rsid w:val="001C5FDF"/>
    <w:rsid w:val="001C7643"/>
    <w:rsid w:val="001C773D"/>
    <w:rsid w:val="001C784B"/>
    <w:rsid w:val="001C7B29"/>
    <w:rsid w:val="001D097E"/>
    <w:rsid w:val="001D0E69"/>
    <w:rsid w:val="001D0EEE"/>
    <w:rsid w:val="001D12C1"/>
    <w:rsid w:val="001D1417"/>
    <w:rsid w:val="001D15E4"/>
    <w:rsid w:val="001D1721"/>
    <w:rsid w:val="001D1B09"/>
    <w:rsid w:val="001D24BD"/>
    <w:rsid w:val="001D2CBC"/>
    <w:rsid w:val="001D2D82"/>
    <w:rsid w:val="001D2E01"/>
    <w:rsid w:val="001D340F"/>
    <w:rsid w:val="001D34A7"/>
    <w:rsid w:val="001D35CA"/>
    <w:rsid w:val="001D3685"/>
    <w:rsid w:val="001D382C"/>
    <w:rsid w:val="001D49EE"/>
    <w:rsid w:val="001D4A55"/>
    <w:rsid w:val="001D4FF4"/>
    <w:rsid w:val="001D52F1"/>
    <w:rsid w:val="001D5969"/>
    <w:rsid w:val="001D5BCC"/>
    <w:rsid w:val="001D5D19"/>
    <w:rsid w:val="001D650F"/>
    <w:rsid w:val="001D67CB"/>
    <w:rsid w:val="001D6FCF"/>
    <w:rsid w:val="001D7399"/>
    <w:rsid w:val="001E01B2"/>
    <w:rsid w:val="001E043E"/>
    <w:rsid w:val="001E0E56"/>
    <w:rsid w:val="001E17F3"/>
    <w:rsid w:val="001E22C3"/>
    <w:rsid w:val="001E2804"/>
    <w:rsid w:val="001E2F30"/>
    <w:rsid w:val="001E3651"/>
    <w:rsid w:val="001E3E4E"/>
    <w:rsid w:val="001E3E66"/>
    <w:rsid w:val="001E3F2C"/>
    <w:rsid w:val="001E4149"/>
    <w:rsid w:val="001E4659"/>
    <w:rsid w:val="001E4D04"/>
    <w:rsid w:val="001E4D0A"/>
    <w:rsid w:val="001E51E0"/>
    <w:rsid w:val="001E5EC9"/>
    <w:rsid w:val="001E6002"/>
    <w:rsid w:val="001E6807"/>
    <w:rsid w:val="001E6842"/>
    <w:rsid w:val="001E75F6"/>
    <w:rsid w:val="001E7714"/>
    <w:rsid w:val="001E7A7F"/>
    <w:rsid w:val="001E7BED"/>
    <w:rsid w:val="001F0390"/>
    <w:rsid w:val="001F052C"/>
    <w:rsid w:val="001F05A4"/>
    <w:rsid w:val="001F05D9"/>
    <w:rsid w:val="001F0784"/>
    <w:rsid w:val="001F0C1B"/>
    <w:rsid w:val="001F0C27"/>
    <w:rsid w:val="001F12EE"/>
    <w:rsid w:val="001F1F86"/>
    <w:rsid w:val="001F289F"/>
    <w:rsid w:val="001F29CA"/>
    <w:rsid w:val="001F2B22"/>
    <w:rsid w:val="001F2B47"/>
    <w:rsid w:val="001F2E84"/>
    <w:rsid w:val="001F331F"/>
    <w:rsid w:val="001F35D2"/>
    <w:rsid w:val="001F3825"/>
    <w:rsid w:val="001F38CC"/>
    <w:rsid w:val="001F3BDB"/>
    <w:rsid w:val="001F3DF8"/>
    <w:rsid w:val="001F3E23"/>
    <w:rsid w:val="001F3FC4"/>
    <w:rsid w:val="001F41FD"/>
    <w:rsid w:val="001F4658"/>
    <w:rsid w:val="001F4D0B"/>
    <w:rsid w:val="001F4D5F"/>
    <w:rsid w:val="001F5633"/>
    <w:rsid w:val="001F591A"/>
    <w:rsid w:val="001F5C1A"/>
    <w:rsid w:val="001F6686"/>
    <w:rsid w:val="001F679A"/>
    <w:rsid w:val="001F7C25"/>
    <w:rsid w:val="001F7D03"/>
    <w:rsid w:val="00200130"/>
    <w:rsid w:val="00200CB0"/>
    <w:rsid w:val="00200F78"/>
    <w:rsid w:val="00200F9E"/>
    <w:rsid w:val="0020102F"/>
    <w:rsid w:val="00201220"/>
    <w:rsid w:val="002015DB"/>
    <w:rsid w:val="00201998"/>
    <w:rsid w:val="002023C4"/>
    <w:rsid w:val="002025E5"/>
    <w:rsid w:val="002032E0"/>
    <w:rsid w:val="002038CC"/>
    <w:rsid w:val="00203B62"/>
    <w:rsid w:val="002040CA"/>
    <w:rsid w:val="002044A3"/>
    <w:rsid w:val="002047C4"/>
    <w:rsid w:val="00205789"/>
    <w:rsid w:val="00205CD4"/>
    <w:rsid w:val="0020611E"/>
    <w:rsid w:val="00206735"/>
    <w:rsid w:val="002067DC"/>
    <w:rsid w:val="00206F1E"/>
    <w:rsid w:val="00207428"/>
    <w:rsid w:val="0020776D"/>
    <w:rsid w:val="002077AA"/>
    <w:rsid w:val="00207D0A"/>
    <w:rsid w:val="00207D51"/>
    <w:rsid w:val="00207F1B"/>
    <w:rsid w:val="00210F0C"/>
    <w:rsid w:val="00211439"/>
    <w:rsid w:val="002116B8"/>
    <w:rsid w:val="0021181E"/>
    <w:rsid w:val="00211C3B"/>
    <w:rsid w:val="002122BE"/>
    <w:rsid w:val="002125B9"/>
    <w:rsid w:val="00212DB5"/>
    <w:rsid w:val="00212ECB"/>
    <w:rsid w:val="0021332E"/>
    <w:rsid w:val="002134DA"/>
    <w:rsid w:val="00213877"/>
    <w:rsid w:val="00213CC3"/>
    <w:rsid w:val="002141C3"/>
    <w:rsid w:val="00214950"/>
    <w:rsid w:val="00214F32"/>
    <w:rsid w:val="0021593C"/>
    <w:rsid w:val="00215982"/>
    <w:rsid w:val="00215BAC"/>
    <w:rsid w:val="00215FD4"/>
    <w:rsid w:val="0021627C"/>
    <w:rsid w:val="002173DB"/>
    <w:rsid w:val="00217405"/>
    <w:rsid w:val="00217516"/>
    <w:rsid w:val="00217A33"/>
    <w:rsid w:val="00217CD1"/>
    <w:rsid w:val="00217F4F"/>
    <w:rsid w:val="00220A1B"/>
    <w:rsid w:val="00220DD2"/>
    <w:rsid w:val="002215E4"/>
    <w:rsid w:val="00221A0A"/>
    <w:rsid w:val="00221ABD"/>
    <w:rsid w:val="00221B55"/>
    <w:rsid w:val="00221DA8"/>
    <w:rsid w:val="00221FF9"/>
    <w:rsid w:val="0022223F"/>
    <w:rsid w:val="00222C00"/>
    <w:rsid w:val="00222EEE"/>
    <w:rsid w:val="00223042"/>
    <w:rsid w:val="0022336F"/>
    <w:rsid w:val="00223616"/>
    <w:rsid w:val="00223AC5"/>
    <w:rsid w:val="00223B9E"/>
    <w:rsid w:val="00223CA9"/>
    <w:rsid w:val="00223EE4"/>
    <w:rsid w:val="00224225"/>
    <w:rsid w:val="00224238"/>
    <w:rsid w:val="00224A1B"/>
    <w:rsid w:val="0022673D"/>
    <w:rsid w:val="00226A3D"/>
    <w:rsid w:val="00226B25"/>
    <w:rsid w:val="00226C4D"/>
    <w:rsid w:val="00227362"/>
    <w:rsid w:val="0022740E"/>
    <w:rsid w:val="0022758F"/>
    <w:rsid w:val="00227B43"/>
    <w:rsid w:val="00227E0D"/>
    <w:rsid w:val="00230100"/>
    <w:rsid w:val="00230618"/>
    <w:rsid w:val="002308C0"/>
    <w:rsid w:val="002308D8"/>
    <w:rsid w:val="00230E6B"/>
    <w:rsid w:val="00230EA2"/>
    <w:rsid w:val="0023122A"/>
    <w:rsid w:val="002319B5"/>
    <w:rsid w:val="00231C73"/>
    <w:rsid w:val="00232723"/>
    <w:rsid w:val="0023281F"/>
    <w:rsid w:val="00232BC9"/>
    <w:rsid w:val="00232C4F"/>
    <w:rsid w:val="00232DBC"/>
    <w:rsid w:val="002330A6"/>
    <w:rsid w:val="0023373D"/>
    <w:rsid w:val="00233C67"/>
    <w:rsid w:val="00233C7B"/>
    <w:rsid w:val="00233F4B"/>
    <w:rsid w:val="00234154"/>
    <w:rsid w:val="002346D6"/>
    <w:rsid w:val="00234732"/>
    <w:rsid w:val="0023486B"/>
    <w:rsid w:val="00234B48"/>
    <w:rsid w:val="00234E32"/>
    <w:rsid w:val="00235397"/>
    <w:rsid w:val="00235612"/>
    <w:rsid w:val="00235BB9"/>
    <w:rsid w:val="00235FE8"/>
    <w:rsid w:val="0023630C"/>
    <w:rsid w:val="002364B2"/>
    <w:rsid w:val="0023660B"/>
    <w:rsid w:val="002370DE"/>
    <w:rsid w:val="00237A86"/>
    <w:rsid w:val="00240017"/>
    <w:rsid w:val="00240067"/>
    <w:rsid w:val="0024092A"/>
    <w:rsid w:val="00240A7A"/>
    <w:rsid w:val="00240E30"/>
    <w:rsid w:val="00240F90"/>
    <w:rsid w:val="0024136C"/>
    <w:rsid w:val="0024145F"/>
    <w:rsid w:val="002415BF"/>
    <w:rsid w:val="00242941"/>
    <w:rsid w:val="00242C85"/>
    <w:rsid w:val="00242FB4"/>
    <w:rsid w:val="00243172"/>
    <w:rsid w:val="002432EC"/>
    <w:rsid w:val="0024353F"/>
    <w:rsid w:val="00243B92"/>
    <w:rsid w:val="00244134"/>
    <w:rsid w:val="00244643"/>
    <w:rsid w:val="00244D92"/>
    <w:rsid w:val="00245344"/>
    <w:rsid w:val="002456C2"/>
    <w:rsid w:val="00245ACE"/>
    <w:rsid w:val="00245CB9"/>
    <w:rsid w:val="00245EC9"/>
    <w:rsid w:val="00246D9F"/>
    <w:rsid w:val="00246ECD"/>
    <w:rsid w:val="002475FC"/>
    <w:rsid w:val="00247823"/>
    <w:rsid w:val="00247CD6"/>
    <w:rsid w:val="00247CFF"/>
    <w:rsid w:val="00250AEC"/>
    <w:rsid w:val="00250F00"/>
    <w:rsid w:val="002514D1"/>
    <w:rsid w:val="002518FC"/>
    <w:rsid w:val="002519D1"/>
    <w:rsid w:val="00251B35"/>
    <w:rsid w:val="00251D44"/>
    <w:rsid w:val="00251F4E"/>
    <w:rsid w:val="00252681"/>
    <w:rsid w:val="00252943"/>
    <w:rsid w:val="0025333C"/>
    <w:rsid w:val="00253AAC"/>
    <w:rsid w:val="00253F6D"/>
    <w:rsid w:val="0025498A"/>
    <w:rsid w:val="00254A38"/>
    <w:rsid w:val="00254A6D"/>
    <w:rsid w:val="00255773"/>
    <w:rsid w:val="00256035"/>
    <w:rsid w:val="0025615F"/>
    <w:rsid w:val="00256595"/>
    <w:rsid w:val="00256E62"/>
    <w:rsid w:val="00257472"/>
    <w:rsid w:val="002575DC"/>
    <w:rsid w:val="002576AF"/>
    <w:rsid w:val="0025775C"/>
    <w:rsid w:val="0025798E"/>
    <w:rsid w:val="00257F77"/>
    <w:rsid w:val="002604F4"/>
    <w:rsid w:val="00260651"/>
    <w:rsid w:val="00260730"/>
    <w:rsid w:val="0026075F"/>
    <w:rsid w:val="002608BF"/>
    <w:rsid w:val="00261109"/>
    <w:rsid w:val="002615BC"/>
    <w:rsid w:val="0026171C"/>
    <w:rsid w:val="00261765"/>
    <w:rsid w:val="00261EE2"/>
    <w:rsid w:val="002621EF"/>
    <w:rsid w:val="00262939"/>
    <w:rsid w:val="002629DA"/>
    <w:rsid w:val="00262D86"/>
    <w:rsid w:val="00262D9D"/>
    <w:rsid w:val="00263133"/>
    <w:rsid w:val="00263AFA"/>
    <w:rsid w:val="00263B43"/>
    <w:rsid w:val="00263C24"/>
    <w:rsid w:val="00263CF1"/>
    <w:rsid w:val="00264858"/>
    <w:rsid w:val="00264B17"/>
    <w:rsid w:val="00264F6C"/>
    <w:rsid w:val="00265B68"/>
    <w:rsid w:val="00265C7E"/>
    <w:rsid w:val="002661C1"/>
    <w:rsid w:val="0026639B"/>
    <w:rsid w:val="002663FD"/>
    <w:rsid w:val="002664DA"/>
    <w:rsid w:val="00266CC3"/>
    <w:rsid w:val="00267C75"/>
    <w:rsid w:val="00267D0F"/>
    <w:rsid w:val="00267FB3"/>
    <w:rsid w:val="00270A96"/>
    <w:rsid w:val="00270FE1"/>
    <w:rsid w:val="00271275"/>
    <w:rsid w:val="00271513"/>
    <w:rsid w:val="0027152D"/>
    <w:rsid w:val="00271B3A"/>
    <w:rsid w:val="0027251E"/>
    <w:rsid w:val="0027254A"/>
    <w:rsid w:val="00272560"/>
    <w:rsid w:val="00272E3D"/>
    <w:rsid w:val="00273339"/>
    <w:rsid w:val="00274CA2"/>
    <w:rsid w:val="00274E7D"/>
    <w:rsid w:val="0027547A"/>
    <w:rsid w:val="0027567A"/>
    <w:rsid w:val="00275A9D"/>
    <w:rsid w:val="00275DA7"/>
    <w:rsid w:val="00276095"/>
    <w:rsid w:val="00276D50"/>
    <w:rsid w:val="0027713B"/>
    <w:rsid w:val="002772BF"/>
    <w:rsid w:val="00277C2F"/>
    <w:rsid w:val="0028025C"/>
    <w:rsid w:val="002806C8"/>
    <w:rsid w:val="00280B60"/>
    <w:rsid w:val="002811B8"/>
    <w:rsid w:val="00281809"/>
    <w:rsid w:val="00281EAE"/>
    <w:rsid w:val="00282365"/>
    <w:rsid w:val="002826C6"/>
    <w:rsid w:val="00282E6A"/>
    <w:rsid w:val="00282FC1"/>
    <w:rsid w:val="002839BC"/>
    <w:rsid w:val="00283CAE"/>
    <w:rsid w:val="00283FDE"/>
    <w:rsid w:val="002841D6"/>
    <w:rsid w:val="00284DE6"/>
    <w:rsid w:val="0028586A"/>
    <w:rsid w:val="002863A6"/>
    <w:rsid w:val="002864C2"/>
    <w:rsid w:val="00286D51"/>
    <w:rsid w:val="00287042"/>
    <w:rsid w:val="002873B8"/>
    <w:rsid w:val="0028763D"/>
    <w:rsid w:val="00287843"/>
    <w:rsid w:val="00287A02"/>
    <w:rsid w:val="00287DC0"/>
    <w:rsid w:val="00287EB7"/>
    <w:rsid w:val="0029021F"/>
    <w:rsid w:val="002903FF"/>
    <w:rsid w:val="002908D5"/>
    <w:rsid w:val="00290FF6"/>
    <w:rsid w:val="00291AD7"/>
    <w:rsid w:val="00291D09"/>
    <w:rsid w:val="00291F04"/>
    <w:rsid w:val="00292917"/>
    <w:rsid w:val="002933EE"/>
    <w:rsid w:val="00293688"/>
    <w:rsid w:val="00293A6B"/>
    <w:rsid w:val="00293E2F"/>
    <w:rsid w:val="00294163"/>
    <w:rsid w:val="00294239"/>
    <w:rsid w:val="0029423C"/>
    <w:rsid w:val="0029452F"/>
    <w:rsid w:val="002946AF"/>
    <w:rsid w:val="00294727"/>
    <w:rsid w:val="00294C65"/>
    <w:rsid w:val="00294E8D"/>
    <w:rsid w:val="00294EF7"/>
    <w:rsid w:val="00294F67"/>
    <w:rsid w:val="002954E0"/>
    <w:rsid w:val="0029581C"/>
    <w:rsid w:val="00295826"/>
    <w:rsid w:val="00295831"/>
    <w:rsid w:val="00296579"/>
    <w:rsid w:val="00296A03"/>
    <w:rsid w:val="00296DEB"/>
    <w:rsid w:val="00297B71"/>
    <w:rsid w:val="002A101D"/>
    <w:rsid w:val="002A150E"/>
    <w:rsid w:val="002A2158"/>
    <w:rsid w:val="002A236E"/>
    <w:rsid w:val="002A2453"/>
    <w:rsid w:val="002A26BA"/>
    <w:rsid w:val="002A2CA3"/>
    <w:rsid w:val="002A351C"/>
    <w:rsid w:val="002A39D0"/>
    <w:rsid w:val="002A3B83"/>
    <w:rsid w:val="002A3E00"/>
    <w:rsid w:val="002A4355"/>
    <w:rsid w:val="002A442F"/>
    <w:rsid w:val="002A474B"/>
    <w:rsid w:val="002A5037"/>
    <w:rsid w:val="002A57C2"/>
    <w:rsid w:val="002A5BA4"/>
    <w:rsid w:val="002A6015"/>
    <w:rsid w:val="002A6111"/>
    <w:rsid w:val="002A66BD"/>
    <w:rsid w:val="002A6ADA"/>
    <w:rsid w:val="002A7813"/>
    <w:rsid w:val="002A7CB3"/>
    <w:rsid w:val="002A7DAF"/>
    <w:rsid w:val="002B024F"/>
    <w:rsid w:val="002B0B29"/>
    <w:rsid w:val="002B0D2B"/>
    <w:rsid w:val="002B0D40"/>
    <w:rsid w:val="002B1130"/>
    <w:rsid w:val="002B12C6"/>
    <w:rsid w:val="002B15F0"/>
    <w:rsid w:val="002B160C"/>
    <w:rsid w:val="002B2040"/>
    <w:rsid w:val="002B24F2"/>
    <w:rsid w:val="002B2539"/>
    <w:rsid w:val="002B2FAE"/>
    <w:rsid w:val="002B342D"/>
    <w:rsid w:val="002B36D3"/>
    <w:rsid w:val="002B3745"/>
    <w:rsid w:val="002B4027"/>
    <w:rsid w:val="002B4483"/>
    <w:rsid w:val="002B48FA"/>
    <w:rsid w:val="002B4AC2"/>
    <w:rsid w:val="002B4BD0"/>
    <w:rsid w:val="002B501C"/>
    <w:rsid w:val="002B5105"/>
    <w:rsid w:val="002B55E6"/>
    <w:rsid w:val="002B58AD"/>
    <w:rsid w:val="002B5922"/>
    <w:rsid w:val="002B593B"/>
    <w:rsid w:val="002B5B37"/>
    <w:rsid w:val="002B64E7"/>
    <w:rsid w:val="002B6BD1"/>
    <w:rsid w:val="002B76B0"/>
    <w:rsid w:val="002B78F3"/>
    <w:rsid w:val="002B7EE1"/>
    <w:rsid w:val="002C01BA"/>
    <w:rsid w:val="002C0948"/>
    <w:rsid w:val="002C1EF5"/>
    <w:rsid w:val="002C1F3B"/>
    <w:rsid w:val="002C20AF"/>
    <w:rsid w:val="002C2BC7"/>
    <w:rsid w:val="002C2DA3"/>
    <w:rsid w:val="002C37BB"/>
    <w:rsid w:val="002C3AFB"/>
    <w:rsid w:val="002C3C4A"/>
    <w:rsid w:val="002C4338"/>
    <w:rsid w:val="002C437F"/>
    <w:rsid w:val="002C456D"/>
    <w:rsid w:val="002C4A66"/>
    <w:rsid w:val="002C4DF4"/>
    <w:rsid w:val="002C5096"/>
    <w:rsid w:val="002C511A"/>
    <w:rsid w:val="002C51F8"/>
    <w:rsid w:val="002C53A2"/>
    <w:rsid w:val="002C623D"/>
    <w:rsid w:val="002C6404"/>
    <w:rsid w:val="002C64DC"/>
    <w:rsid w:val="002C67A8"/>
    <w:rsid w:val="002C69DD"/>
    <w:rsid w:val="002C756C"/>
    <w:rsid w:val="002C770C"/>
    <w:rsid w:val="002C7A1E"/>
    <w:rsid w:val="002D006B"/>
    <w:rsid w:val="002D117C"/>
    <w:rsid w:val="002D1C41"/>
    <w:rsid w:val="002D1E33"/>
    <w:rsid w:val="002D25E1"/>
    <w:rsid w:val="002D273E"/>
    <w:rsid w:val="002D2D71"/>
    <w:rsid w:val="002D2E4C"/>
    <w:rsid w:val="002D2E70"/>
    <w:rsid w:val="002D3477"/>
    <w:rsid w:val="002D3954"/>
    <w:rsid w:val="002D3DC1"/>
    <w:rsid w:val="002D4014"/>
    <w:rsid w:val="002D4782"/>
    <w:rsid w:val="002D5295"/>
    <w:rsid w:val="002D5D48"/>
    <w:rsid w:val="002D5FD5"/>
    <w:rsid w:val="002D630D"/>
    <w:rsid w:val="002D643E"/>
    <w:rsid w:val="002D68DE"/>
    <w:rsid w:val="002D6C55"/>
    <w:rsid w:val="002D703E"/>
    <w:rsid w:val="002D747F"/>
    <w:rsid w:val="002E000D"/>
    <w:rsid w:val="002E05E0"/>
    <w:rsid w:val="002E06C6"/>
    <w:rsid w:val="002E0E4D"/>
    <w:rsid w:val="002E1443"/>
    <w:rsid w:val="002E1B95"/>
    <w:rsid w:val="002E20A5"/>
    <w:rsid w:val="002E29EA"/>
    <w:rsid w:val="002E2A17"/>
    <w:rsid w:val="002E30FA"/>
    <w:rsid w:val="002E3531"/>
    <w:rsid w:val="002E3BA9"/>
    <w:rsid w:val="002E3E3A"/>
    <w:rsid w:val="002E4052"/>
    <w:rsid w:val="002E413E"/>
    <w:rsid w:val="002E4719"/>
    <w:rsid w:val="002E47CD"/>
    <w:rsid w:val="002E4986"/>
    <w:rsid w:val="002E4B50"/>
    <w:rsid w:val="002E4C2B"/>
    <w:rsid w:val="002E52DA"/>
    <w:rsid w:val="002E52F8"/>
    <w:rsid w:val="002E55AB"/>
    <w:rsid w:val="002E5ABA"/>
    <w:rsid w:val="002E5B89"/>
    <w:rsid w:val="002E5C35"/>
    <w:rsid w:val="002E5F36"/>
    <w:rsid w:val="002E60F0"/>
    <w:rsid w:val="002E665B"/>
    <w:rsid w:val="002E6A18"/>
    <w:rsid w:val="002E70EC"/>
    <w:rsid w:val="002E78EA"/>
    <w:rsid w:val="002E79EA"/>
    <w:rsid w:val="002F0167"/>
    <w:rsid w:val="002F020A"/>
    <w:rsid w:val="002F0330"/>
    <w:rsid w:val="002F0C6D"/>
    <w:rsid w:val="002F0F11"/>
    <w:rsid w:val="002F18E9"/>
    <w:rsid w:val="002F198A"/>
    <w:rsid w:val="002F20AB"/>
    <w:rsid w:val="002F2342"/>
    <w:rsid w:val="002F256A"/>
    <w:rsid w:val="002F2B00"/>
    <w:rsid w:val="002F300B"/>
    <w:rsid w:val="002F3C81"/>
    <w:rsid w:val="002F4338"/>
    <w:rsid w:val="002F4C10"/>
    <w:rsid w:val="002F53B4"/>
    <w:rsid w:val="002F56D9"/>
    <w:rsid w:val="002F5928"/>
    <w:rsid w:val="002F5B7A"/>
    <w:rsid w:val="002F5D46"/>
    <w:rsid w:val="002F6388"/>
    <w:rsid w:val="002F6582"/>
    <w:rsid w:val="002F6F63"/>
    <w:rsid w:val="002F704B"/>
    <w:rsid w:val="002F745E"/>
    <w:rsid w:val="002F78DE"/>
    <w:rsid w:val="002F7E15"/>
    <w:rsid w:val="003005BF"/>
    <w:rsid w:val="00300672"/>
    <w:rsid w:val="00300718"/>
    <w:rsid w:val="00300B72"/>
    <w:rsid w:val="003012BE"/>
    <w:rsid w:val="00301781"/>
    <w:rsid w:val="00301914"/>
    <w:rsid w:val="00301B7F"/>
    <w:rsid w:val="00301D59"/>
    <w:rsid w:val="003023D1"/>
    <w:rsid w:val="0030283C"/>
    <w:rsid w:val="00302BD4"/>
    <w:rsid w:val="0030341C"/>
    <w:rsid w:val="00303706"/>
    <w:rsid w:val="00303868"/>
    <w:rsid w:val="00303B60"/>
    <w:rsid w:val="0030436C"/>
    <w:rsid w:val="003047FE"/>
    <w:rsid w:val="00304CC1"/>
    <w:rsid w:val="00304CC9"/>
    <w:rsid w:val="00304D07"/>
    <w:rsid w:val="003056EC"/>
    <w:rsid w:val="0030570A"/>
    <w:rsid w:val="00305C5A"/>
    <w:rsid w:val="00305E78"/>
    <w:rsid w:val="00306353"/>
    <w:rsid w:val="00306BC3"/>
    <w:rsid w:val="00306F6E"/>
    <w:rsid w:val="0030707D"/>
    <w:rsid w:val="003071C3"/>
    <w:rsid w:val="0030733C"/>
    <w:rsid w:val="00307B88"/>
    <w:rsid w:val="00307DFA"/>
    <w:rsid w:val="00310016"/>
    <w:rsid w:val="003103F4"/>
    <w:rsid w:val="003104BA"/>
    <w:rsid w:val="00310818"/>
    <w:rsid w:val="00310926"/>
    <w:rsid w:val="00310A44"/>
    <w:rsid w:val="00310B0E"/>
    <w:rsid w:val="00310B79"/>
    <w:rsid w:val="00310F64"/>
    <w:rsid w:val="003114FB"/>
    <w:rsid w:val="003116BB"/>
    <w:rsid w:val="00311712"/>
    <w:rsid w:val="0031179E"/>
    <w:rsid w:val="003117C3"/>
    <w:rsid w:val="00311BFF"/>
    <w:rsid w:val="003126C6"/>
    <w:rsid w:val="00312CE5"/>
    <w:rsid w:val="00312CE6"/>
    <w:rsid w:val="00312DA7"/>
    <w:rsid w:val="00313541"/>
    <w:rsid w:val="003136B2"/>
    <w:rsid w:val="003140AA"/>
    <w:rsid w:val="00314211"/>
    <w:rsid w:val="00314368"/>
    <w:rsid w:val="003143C2"/>
    <w:rsid w:val="003146DB"/>
    <w:rsid w:val="00315286"/>
    <w:rsid w:val="0031576F"/>
    <w:rsid w:val="00316116"/>
    <w:rsid w:val="003163BE"/>
    <w:rsid w:val="003166FA"/>
    <w:rsid w:val="00316D28"/>
    <w:rsid w:val="00316D39"/>
    <w:rsid w:val="00317DF8"/>
    <w:rsid w:val="0032010B"/>
    <w:rsid w:val="003201C9"/>
    <w:rsid w:val="00320295"/>
    <w:rsid w:val="003206E7"/>
    <w:rsid w:val="00320E2A"/>
    <w:rsid w:val="00320E9B"/>
    <w:rsid w:val="00321105"/>
    <w:rsid w:val="0032222A"/>
    <w:rsid w:val="003226DC"/>
    <w:rsid w:val="00322C77"/>
    <w:rsid w:val="003231AF"/>
    <w:rsid w:val="003233EC"/>
    <w:rsid w:val="00323BE4"/>
    <w:rsid w:val="00323BF0"/>
    <w:rsid w:val="00323FE7"/>
    <w:rsid w:val="00324043"/>
    <w:rsid w:val="003240D1"/>
    <w:rsid w:val="00324350"/>
    <w:rsid w:val="00324883"/>
    <w:rsid w:val="00324B84"/>
    <w:rsid w:val="00324E4D"/>
    <w:rsid w:val="003254A1"/>
    <w:rsid w:val="003254AB"/>
    <w:rsid w:val="00325A55"/>
    <w:rsid w:val="00325AE4"/>
    <w:rsid w:val="00325FBB"/>
    <w:rsid w:val="00326283"/>
    <w:rsid w:val="0032746B"/>
    <w:rsid w:val="0032769C"/>
    <w:rsid w:val="00327873"/>
    <w:rsid w:val="00327A67"/>
    <w:rsid w:val="00327B72"/>
    <w:rsid w:val="003302EC"/>
    <w:rsid w:val="00330DAA"/>
    <w:rsid w:val="00330EAF"/>
    <w:rsid w:val="003314E3"/>
    <w:rsid w:val="00331A48"/>
    <w:rsid w:val="00331C90"/>
    <w:rsid w:val="003320DB"/>
    <w:rsid w:val="00332661"/>
    <w:rsid w:val="00332ACE"/>
    <w:rsid w:val="00332D27"/>
    <w:rsid w:val="00333076"/>
    <w:rsid w:val="00333398"/>
    <w:rsid w:val="003333D2"/>
    <w:rsid w:val="00333451"/>
    <w:rsid w:val="0033374A"/>
    <w:rsid w:val="00333941"/>
    <w:rsid w:val="00333A9F"/>
    <w:rsid w:val="00333AE0"/>
    <w:rsid w:val="00333B64"/>
    <w:rsid w:val="00333EE8"/>
    <w:rsid w:val="00333F2B"/>
    <w:rsid w:val="00333F44"/>
    <w:rsid w:val="00334308"/>
    <w:rsid w:val="003345F5"/>
    <w:rsid w:val="0033486B"/>
    <w:rsid w:val="003354B4"/>
    <w:rsid w:val="0033571A"/>
    <w:rsid w:val="0033574C"/>
    <w:rsid w:val="003357CF"/>
    <w:rsid w:val="0033582E"/>
    <w:rsid w:val="00336553"/>
    <w:rsid w:val="0033675C"/>
    <w:rsid w:val="003375EB"/>
    <w:rsid w:val="0033765D"/>
    <w:rsid w:val="003377C1"/>
    <w:rsid w:val="00337A54"/>
    <w:rsid w:val="00337B24"/>
    <w:rsid w:val="00337BE2"/>
    <w:rsid w:val="00337E7B"/>
    <w:rsid w:val="003400C9"/>
    <w:rsid w:val="003403BA"/>
    <w:rsid w:val="003406FC"/>
    <w:rsid w:val="0034097D"/>
    <w:rsid w:val="00340AC1"/>
    <w:rsid w:val="00340FC4"/>
    <w:rsid w:val="00341BD7"/>
    <w:rsid w:val="00341D81"/>
    <w:rsid w:val="00341E53"/>
    <w:rsid w:val="0034228B"/>
    <w:rsid w:val="0034296E"/>
    <w:rsid w:val="00342B4B"/>
    <w:rsid w:val="00342F2F"/>
    <w:rsid w:val="003435A5"/>
    <w:rsid w:val="00343E8A"/>
    <w:rsid w:val="00343FA4"/>
    <w:rsid w:val="003447EC"/>
    <w:rsid w:val="00344956"/>
    <w:rsid w:val="003452BF"/>
    <w:rsid w:val="0034549D"/>
    <w:rsid w:val="003459AB"/>
    <w:rsid w:val="003461CB"/>
    <w:rsid w:val="00346214"/>
    <w:rsid w:val="0034630B"/>
    <w:rsid w:val="00346520"/>
    <w:rsid w:val="00346A55"/>
    <w:rsid w:val="00346FDF"/>
    <w:rsid w:val="003470EE"/>
    <w:rsid w:val="00347173"/>
    <w:rsid w:val="00347A07"/>
    <w:rsid w:val="00347A30"/>
    <w:rsid w:val="00347A5A"/>
    <w:rsid w:val="00347FE2"/>
    <w:rsid w:val="00350DED"/>
    <w:rsid w:val="00351165"/>
    <w:rsid w:val="0035175D"/>
    <w:rsid w:val="00351816"/>
    <w:rsid w:val="00352388"/>
    <w:rsid w:val="00352524"/>
    <w:rsid w:val="003525C3"/>
    <w:rsid w:val="00353B7D"/>
    <w:rsid w:val="00353C0E"/>
    <w:rsid w:val="0035414C"/>
    <w:rsid w:val="0035418F"/>
    <w:rsid w:val="00354454"/>
    <w:rsid w:val="00354888"/>
    <w:rsid w:val="00354D29"/>
    <w:rsid w:val="00354D42"/>
    <w:rsid w:val="003551A1"/>
    <w:rsid w:val="0035574D"/>
    <w:rsid w:val="00355C52"/>
    <w:rsid w:val="00355D27"/>
    <w:rsid w:val="0035610E"/>
    <w:rsid w:val="00356139"/>
    <w:rsid w:val="003566B4"/>
    <w:rsid w:val="0035679C"/>
    <w:rsid w:val="00356825"/>
    <w:rsid w:val="00356933"/>
    <w:rsid w:val="0035704E"/>
    <w:rsid w:val="00357451"/>
    <w:rsid w:val="0035795A"/>
    <w:rsid w:val="00357DEA"/>
    <w:rsid w:val="003602FF"/>
    <w:rsid w:val="0036062A"/>
    <w:rsid w:val="00360B2C"/>
    <w:rsid w:val="00360EE0"/>
    <w:rsid w:val="00360FA5"/>
    <w:rsid w:val="0036112B"/>
    <w:rsid w:val="003612AC"/>
    <w:rsid w:val="003612D4"/>
    <w:rsid w:val="0036189E"/>
    <w:rsid w:val="00361D79"/>
    <w:rsid w:val="00362324"/>
    <w:rsid w:val="003623C8"/>
    <w:rsid w:val="0036242D"/>
    <w:rsid w:val="0036244A"/>
    <w:rsid w:val="0036283F"/>
    <w:rsid w:val="00362BB3"/>
    <w:rsid w:val="00363920"/>
    <w:rsid w:val="00363BC8"/>
    <w:rsid w:val="0036401B"/>
    <w:rsid w:val="00364C09"/>
    <w:rsid w:val="00364C21"/>
    <w:rsid w:val="00364FF4"/>
    <w:rsid w:val="00365667"/>
    <w:rsid w:val="00365C56"/>
    <w:rsid w:val="00366218"/>
    <w:rsid w:val="00366654"/>
    <w:rsid w:val="00366679"/>
    <w:rsid w:val="00366823"/>
    <w:rsid w:val="003669EF"/>
    <w:rsid w:val="00366EE1"/>
    <w:rsid w:val="00366F3B"/>
    <w:rsid w:val="003677BD"/>
    <w:rsid w:val="00367A10"/>
    <w:rsid w:val="00367C4F"/>
    <w:rsid w:val="00367C9B"/>
    <w:rsid w:val="00370605"/>
    <w:rsid w:val="00370647"/>
    <w:rsid w:val="00370A97"/>
    <w:rsid w:val="00370BFD"/>
    <w:rsid w:val="00371090"/>
    <w:rsid w:val="0037166B"/>
    <w:rsid w:val="00371872"/>
    <w:rsid w:val="003719AA"/>
    <w:rsid w:val="00371CAC"/>
    <w:rsid w:val="00371F53"/>
    <w:rsid w:val="00372632"/>
    <w:rsid w:val="00372878"/>
    <w:rsid w:val="00372C6B"/>
    <w:rsid w:val="00372ECB"/>
    <w:rsid w:val="003730EA"/>
    <w:rsid w:val="003739A2"/>
    <w:rsid w:val="00373AD8"/>
    <w:rsid w:val="00373BF5"/>
    <w:rsid w:val="003741AC"/>
    <w:rsid w:val="0037472F"/>
    <w:rsid w:val="00374ADF"/>
    <w:rsid w:val="00375F17"/>
    <w:rsid w:val="0037607D"/>
    <w:rsid w:val="00376195"/>
    <w:rsid w:val="00376EB7"/>
    <w:rsid w:val="0037741B"/>
    <w:rsid w:val="0037755C"/>
    <w:rsid w:val="00377A64"/>
    <w:rsid w:val="00377D17"/>
    <w:rsid w:val="00380076"/>
    <w:rsid w:val="003801A7"/>
    <w:rsid w:val="003804E4"/>
    <w:rsid w:val="00380501"/>
    <w:rsid w:val="003805B7"/>
    <w:rsid w:val="00380602"/>
    <w:rsid w:val="003806DA"/>
    <w:rsid w:val="0038075C"/>
    <w:rsid w:val="00380A72"/>
    <w:rsid w:val="003813D6"/>
    <w:rsid w:val="00381CA6"/>
    <w:rsid w:val="00382154"/>
    <w:rsid w:val="00382381"/>
    <w:rsid w:val="0038241F"/>
    <w:rsid w:val="003825C6"/>
    <w:rsid w:val="003832E8"/>
    <w:rsid w:val="003836A0"/>
    <w:rsid w:val="0038373F"/>
    <w:rsid w:val="00383845"/>
    <w:rsid w:val="003838DC"/>
    <w:rsid w:val="00383A2F"/>
    <w:rsid w:val="00384445"/>
    <w:rsid w:val="00385419"/>
    <w:rsid w:val="00385466"/>
    <w:rsid w:val="0038564D"/>
    <w:rsid w:val="00386683"/>
    <w:rsid w:val="0038748B"/>
    <w:rsid w:val="003875AA"/>
    <w:rsid w:val="003877BB"/>
    <w:rsid w:val="0038782E"/>
    <w:rsid w:val="00387F82"/>
    <w:rsid w:val="003904C6"/>
    <w:rsid w:val="00390A84"/>
    <w:rsid w:val="00391701"/>
    <w:rsid w:val="00391B18"/>
    <w:rsid w:val="00391D0D"/>
    <w:rsid w:val="00391FE2"/>
    <w:rsid w:val="0039218A"/>
    <w:rsid w:val="00392495"/>
    <w:rsid w:val="00392892"/>
    <w:rsid w:val="00392C0C"/>
    <w:rsid w:val="00392ED0"/>
    <w:rsid w:val="00393198"/>
    <w:rsid w:val="003938C6"/>
    <w:rsid w:val="00393E6F"/>
    <w:rsid w:val="00393EFC"/>
    <w:rsid w:val="003943DE"/>
    <w:rsid w:val="003946A1"/>
    <w:rsid w:val="00394896"/>
    <w:rsid w:val="00395514"/>
    <w:rsid w:val="003956BE"/>
    <w:rsid w:val="00395B85"/>
    <w:rsid w:val="00395EE2"/>
    <w:rsid w:val="003962D3"/>
    <w:rsid w:val="003974C5"/>
    <w:rsid w:val="0039771D"/>
    <w:rsid w:val="00397790"/>
    <w:rsid w:val="0039786D"/>
    <w:rsid w:val="00397905"/>
    <w:rsid w:val="003A0041"/>
    <w:rsid w:val="003A01F7"/>
    <w:rsid w:val="003A0394"/>
    <w:rsid w:val="003A0607"/>
    <w:rsid w:val="003A0745"/>
    <w:rsid w:val="003A09BF"/>
    <w:rsid w:val="003A0C37"/>
    <w:rsid w:val="003A1409"/>
    <w:rsid w:val="003A1660"/>
    <w:rsid w:val="003A218E"/>
    <w:rsid w:val="003A24BA"/>
    <w:rsid w:val="003A2CC3"/>
    <w:rsid w:val="003A3591"/>
    <w:rsid w:val="003A37C9"/>
    <w:rsid w:val="003A3992"/>
    <w:rsid w:val="003A3F62"/>
    <w:rsid w:val="003A412A"/>
    <w:rsid w:val="003A46F0"/>
    <w:rsid w:val="003A46F9"/>
    <w:rsid w:val="003A4CD4"/>
    <w:rsid w:val="003A5334"/>
    <w:rsid w:val="003A5482"/>
    <w:rsid w:val="003A58A7"/>
    <w:rsid w:val="003A5AF1"/>
    <w:rsid w:val="003A6880"/>
    <w:rsid w:val="003A6DC3"/>
    <w:rsid w:val="003A704C"/>
    <w:rsid w:val="003A734F"/>
    <w:rsid w:val="003A7751"/>
    <w:rsid w:val="003A7D14"/>
    <w:rsid w:val="003A7F49"/>
    <w:rsid w:val="003A7F64"/>
    <w:rsid w:val="003B0176"/>
    <w:rsid w:val="003B0237"/>
    <w:rsid w:val="003B0406"/>
    <w:rsid w:val="003B06CF"/>
    <w:rsid w:val="003B0801"/>
    <w:rsid w:val="003B0806"/>
    <w:rsid w:val="003B0F18"/>
    <w:rsid w:val="003B146C"/>
    <w:rsid w:val="003B1518"/>
    <w:rsid w:val="003B163C"/>
    <w:rsid w:val="003B1B5C"/>
    <w:rsid w:val="003B1F6C"/>
    <w:rsid w:val="003B1FDE"/>
    <w:rsid w:val="003B20A9"/>
    <w:rsid w:val="003B21C2"/>
    <w:rsid w:val="003B2B44"/>
    <w:rsid w:val="003B33F4"/>
    <w:rsid w:val="003B3433"/>
    <w:rsid w:val="003B3629"/>
    <w:rsid w:val="003B448E"/>
    <w:rsid w:val="003B460F"/>
    <w:rsid w:val="003B46B5"/>
    <w:rsid w:val="003B46CA"/>
    <w:rsid w:val="003B4744"/>
    <w:rsid w:val="003B4AA9"/>
    <w:rsid w:val="003B523C"/>
    <w:rsid w:val="003B5242"/>
    <w:rsid w:val="003B5284"/>
    <w:rsid w:val="003B5BEB"/>
    <w:rsid w:val="003B6376"/>
    <w:rsid w:val="003B63D2"/>
    <w:rsid w:val="003B6D2C"/>
    <w:rsid w:val="003B6DC4"/>
    <w:rsid w:val="003B6E07"/>
    <w:rsid w:val="003B7671"/>
    <w:rsid w:val="003B7A39"/>
    <w:rsid w:val="003C02E1"/>
    <w:rsid w:val="003C0333"/>
    <w:rsid w:val="003C063D"/>
    <w:rsid w:val="003C0832"/>
    <w:rsid w:val="003C0CD1"/>
    <w:rsid w:val="003C0E9E"/>
    <w:rsid w:val="003C117B"/>
    <w:rsid w:val="003C192F"/>
    <w:rsid w:val="003C1DB0"/>
    <w:rsid w:val="003C2151"/>
    <w:rsid w:val="003C23AC"/>
    <w:rsid w:val="003C28C4"/>
    <w:rsid w:val="003C3627"/>
    <w:rsid w:val="003C3715"/>
    <w:rsid w:val="003C3BA5"/>
    <w:rsid w:val="003C3DC3"/>
    <w:rsid w:val="003C3EE7"/>
    <w:rsid w:val="003C3EFB"/>
    <w:rsid w:val="003C4228"/>
    <w:rsid w:val="003C46D8"/>
    <w:rsid w:val="003C498E"/>
    <w:rsid w:val="003C517D"/>
    <w:rsid w:val="003C56D8"/>
    <w:rsid w:val="003C577E"/>
    <w:rsid w:val="003C5941"/>
    <w:rsid w:val="003C5987"/>
    <w:rsid w:val="003C5F6B"/>
    <w:rsid w:val="003C60E5"/>
    <w:rsid w:val="003C655E"/>
    <w:rsid w:val="003C6F39"/>
    <w:rsid w:val="003C72B6"/>
    <w:rsid w:val="003C73B6"/>
    <w:rsid w:val="003C7A19"/>
    <w:rsid w:val="003C7A2D"/>
    <w:rsid w:val="003D03F3"/>
    <w:rsid w:val="003D05E5"/>
    <w:rsid w:val="003D0672"/>
    <w:rsid w:val="003D0889"/>
    <w:rsid w:val="003D0AD3"/>
    <w:rsid w:val="003D119B"/>
    <w:rsid w:val="003D14FA"/>
    <w:rsid w:val="003D1B42"/>
    <w:rsid w:val="003D1B96"/>
    <w:rsid w:val="003D2069"/>
    <w:rsid w:val="003D227C"/>
    <w:rsid w:val="003D2333"/>
    <w:rsid w:val="003D24D6"/>
    <w:rsid w:val="003D2504"/>
    <w:rsid w:val="003D25FD"/>
    <w:rsid w:val="003D2819"/>
    <w:rsid w:val="003D2970"/>
    <w:rsid w:val="003D2ED6"/>
    <w:rsid w:val="003D4B12"/>
    <w:rsid w:val="003D4D98"/>
    <w:rsid w:val="003D5B93"/>
    <w:rsid w:val="003D5D93"/>
    <w:rsid w:val="003D5FDC"/>
    <w:rsid w:val="003D6B9B"/>
    <w:rsid w:val="003D6DE9"/>
    <w:rsid w:val="003D73C9"/>
    <w:rsid w:val="003D73E6"/>
    <w:rsid w:val="003D767D"/>
    <w:rsid w:val="003D7945"/>
    <w:rsid w:val="003D7D19"/>
    <w:rsid w:val="003E0192"/>
    <w:rsid w:val="003E02BD"/>
    <w:rsid w:val="003E06A6"/>
    <w:rsid w:val="003E0CAE"/>
    <w:rsid w:val="003E0DBE"/>
    <w:rsid w:val="003E1460"/>
    <w:rsid w:val="003E1BD7"/>
    <w:rsid w:val="003E1FF2"/>
    <w:rsid w:val="003E23DC"/>
    <w:rsid w:val="003E2C8D"/>
    <w:rsid w:val="003E33BD"/>
    <w:rsid w:val="003E3786"/>
    <w:rsid w:val="003E3B6E"/>
    <w:rsid w:val="003E3BCD"/>
    <w:rsid w:val="003E41ED"/>
    <w:rsid w:val="003E42C2"/>
    <w:rsid w:val="003E4500"/>
    <w:rsid w:val="003E48BB"/>
    <w:rsid w:val="003E4BD3"/>
    <w:rsid w:val="003E5349"/>
    <w:rsid w:val="003E5F34"/>
    <w:rsid w:val="003E6124"/>
    <w:rsid w:val="003E6594"/>
    <w:rsid w:val="003E723E"/>
    <w:rsid w:val="003E7389"/>
    <w:rsid w:val="003E7412"/>
    <w:rsid w:val="003F032D"/>
    <w:rsid w:val="003F0508"/>
    <w:rsid w:val="003F058B"/>
    <w:rsid w:val="003F088C"/>
    <w:rsid w:val="003F0C5B"/>
    <w:rsid w:val="003F0F03"/>
    <w:rsid w:val="003F0F9D"/>
    <w:rsid w:val="003F1347"/>
    <w:rsid w:val="003F139E"/>
    <w:rsid w:val="003F13D6"/>
    <w:rsid w:val="003F164B"/>
    <w:rsid w:val="003F1724"/>
    <w:rsid w:val="003F1C46"/>
    <w:rsid w:val="003F2DE2"/>
    <w:rsid w:val="003F33C9"/>
    <w:rsid w:val="003F3417"/>
    <w:rsid w:val="003F34B0"/>
    <w:rsid w:val="003F357D"/>
    <w:rsid w:val="003F38E1"/>
    <w:rsid w:val="003F3CA3"/>
    <w:rsid w:val="003F3CF1"/>
    <w:rsid w:val="003F3D23"/>
    <w:rsid w:val="003F3D73"/>
    <w:rsid w:val="003F4374"/>
    <w:rsid w:val="003F4611"/>
    <w:rsid w:val="003F4804"/>
    <w:rsid w:val="003F4FD9"/>
    <w:rsid w:val="003F5285"/>
    <w:rsid w:val="003F5359"/>
    <w:rsid w:val="003F5728"/>
    <w:rsid w:val="003F5A15"/>
    <w:rsid w:val="003F5E88"/>
    <w:rsid w:val="003F5F00"/>
    <w:rsid w:val="003F6184"/>
    <w:rsid w:val="003F6583"/>
    <w:rsid w:val="003F724D"/>
    <w:rsid w:val="003F7819"/>
    <w:rsid w:val="003F791A"/>
    <w:rsid w:val="003F7C28"/>
    <w:rsid w:val="0040039A"/>
    <w:rsid w:val="0040055C"/>
    <w:rsid w:val="00400610"/>
    <w:rsid w:val="0040099D"/>
    <w:rsid w:val="00400F20"/>
    <w:rsid w:val="004018CD"/>
    <w:rsid w:val="0040198F"/>
    <w:rsid w:val="004019B8"/>
    <w:rsid w:val="00401A33"/>
    <w:rsid w:val="00401C9B"/>
    <w:rsid w:val="00401D33"/>
    <w:rsid w:val="00401FE4"/>
    <w:rsid w:val="0040217B"/>
    <w:rsid w:val="004023DC"/>
    <w:rsid w:val="004026B5"/>
    <w:rsid w:val="00402990"/>
    <w:rsid w:val="00402C8D"/>
    <w:rsid w:val="00402DC4"/>
    <w:rsid w:val="00403215"/>
    <w:rsid w:val="00403291"/>
    <w:rsid w:val="00403CD7"/>
    <w:rsid w:val="0040419E"/>
    <w:rsid w:val="0040450F"/>
    <w:rsid w:val="004046B9"/>
    <w:rsid w:val="00404A4D"/>
    <w:rsid w:val="00404F4F"/>
    <w:rsid w:val="00405193"/>
    <w:rsid w:val="0040524C"/>
    <w:rsid w:val="00405797"/>
    <w:rsid w:val="00406CF9"/>
    <w:rsid w:val="0040747C"/>
    <w:rsid w:val="00407B25"/>
    <w:rsid w:val="00410950"/>
    <w:rsid w:val="004109FB"/>
    <w:rsid w:val="00410A9F"/>
    <w:rsid w:val="004113BC"/>
    <w:rsid w:val="004115A0"/>
    <w:rsid w:val="004115C6"/>
    <w:rsid w:val="0041167E"/>
    <w:rsid w:val="004119EB"/>
    <w:rsid w:val="00411C5D"/>
    <w:rsid w:val="0041289F"/>
    <w:rsid w:val="00412F85"/>
    <w:rsid w:val="004131C2"/>
    <w:rsid w:val="0041332F"/>
    <w:rsid w:val="00413773"/>
    <w:rsid w:val="004138A9"/>
    <w:rsid w:val="00413A12"/>
    <w:rsid w:val="00413F59"/>
    <w:rsid w:val="0041604B"/>
    <w:rsid w:val="00416239"/>
    <w:rsid w:val="004167BD"/>
    <w:rsid w:val="00416C1D"/>
    <w:rsid w:val="00416CE9"/>
    <w:rsid w:val="00416D4D"/>
    <w:rsid w:val="00416FFA"/>
    <w:rsid w:val="0041765E"/>
    <w:rsid w:val="0041794E"/>
    <w:rsid w:val="00417CBE"/>
    <w:rsid w:val="00417F0F"/>
    <w:rsid w:val="0042002A"/>
    <w:rsid w:val="004204E9"/>
    <w:rsid w:val="004206B9"/>
    <w:rsid w:val="00420971"/>
    <w:rsid w:val="00420A9F"/>
    <w:rsid w:val="00421303"/>
    <w:rsid w:val="004213EE"/>
    <w:rsid w:val="00421675"/>
    <w:rsid w:val="00421E82"/>
    <w:rsid w:val="00422119"/>
    <w:rsid w:val="00422449"/>
    <w:rsid w:val="00422C59"/>
    <w:rsid w:val="00423CDF"/>
    <w:rsid w:val="0042410D"/>
    <w:rsid w:val="00424663"/>
    <w:rsid w:val="004247A9"/>
    <w:rsid w:val="004255E1"/>
    <w:rsid w:val="00425703"/>
    <w:rsid w:val="00425CCC"/>
    <w:rsid w:val="0042613F"/>
    <w:rsid w:val="0042618B"/>
    <w:rsid w:val="004266F6"/>
    <w:rsid w:val="0042674D"/>
    <w:rsid w:val="0042696A"/>
    <w:rsid w:val="00426B2C"/>
    <w:rsid w:val="00426BC0"/>
    <w:rsid w:val="00426C19"/>
    <w:rsid w:val="00426DD7"/>
    <w:rsid w:val="00427165"/>
    <w:rsid w:val="0042779C"/>
    <w:rsid w:val="004278E2"/>
    <w:rsid w:val="00427943"/>
    <w:rsid w:val="00427B5E"/>
    <w:rsid w:val="00427D8A"/>
    <w:rsid w:val="00427E2F"/>
    <w:rsid w:val="00427EC0"/>
    <w:rsid w:val="00427EFB"/>
    <w:rsid w:val="0043008A"/>
    <w:rsid w:val="00430247"/>
    <w:rsid w:val="00430550"/>
    <w:rsid w:val="0043074C"/>
    <w:rsid w:val="004309B2"/>
    <w:rsid w:val="00431048"/>
    <w:rsid w:val="00431057"/>
    <w:rsid w:val="0043107A"/>
    <w:rsid w:val="0043108A"/>
    <w:rsid w:val="0043129A"/>
    <w:rsid w:val="004317A8"/>
    <w:rsid w:val="00431C11"/>
    <w:rsid w:val="00431D94"/>
    <w:rsid w:val="004320C1"/>
    <w:rsid w:val="00432861"/>
    <w:rsid w:val="00433B3E"/>
    <w:rsid w:val="00433F11"/>
    <w:rsid w:val="004341DC"/>
    <w:rsid w:val="0043420D"/>
    <w:rsid w:val="00434374"/>
    <w:rsid w:val="004345D4"/>
    <w:rsid w:val="00434776"/>
    <w:rsid w:val="00434890"/>
    <w:rsid w:val="00434A1D"/>
    <w:rsid w:val="00434AFA"/>
    <w:rsid w:val="004352E6"/>
    <w:rsid w:val="00435588"/>
    <w:rsid w:val="004358FB"/>
    <w:rsid w:val="004367E2"/>
    <w:rsid w:val="00436949"/>
    <w:rsid w:val="00436B8E"/>
    <w:rsid w:val="00436FB5"/>
    <w:rsid w:val="00437384"/>
    <w:rsid w:val="00437A4D"/>
    <w:rsid w:val="00440199"/>
    <w:rsid w:val="00440788"/>
    <w:rsid w:val="00440AA4"/>
    <w:rsid w:val="00441933"/>
    <w:rsid w:val="00441C07"/>
    <w:rsid w:val="00441E90"/>
    <w:rsid w:val="00441FEE"/>
    <w:rsid w:val="00442094"/>
    <w:rsid w:val="00442764"/>
    <w:rsid w:val="00442C5F"/>
    <w:rsid w:val="00443550"/>
    <w:rsid w:val="00443A18"/>
    <w:rsid w:val="00443E48"/>
    <w:rsid w:val="00443F42"/>
    <w:rsid w:val="0044417C"/>
    <w:rsid w:val="0044452A"/>
    <w:rsid w:val="00444696"/>
    <w:rsid w:val="00444FB6"/>
    <w:rsid w:val="004455D2"/>
    <w:rsid w:val="004461E7"/>
    <w:rsid w:val="004463D6"/>
    <w:rsid w:val="004468EA"/>
    <w:rsid w:val="00446D23"/>
    <w:rsid w:val="00446E82"/>
    <w:rsid w:val="00447BC4"/>
    <w:rsid w:val="0045026F"/>
    <w:rsid w:val="00450BC0"/>
    <w:rsid w:val="00451937"/>
    <w:rsid w:val="00451E1C"/>
    <w:rsid w:val="00451E53"/>
    <w:rsid w:val="00452169"/>
    <w:rsid w:val="00452298"/>
    <w:rsid w:val="00452454"/>
    <w:rsid w:val="00452DB2"/>
    <w:rsid w:val="00452F95"/>
    <w:rsid w:val="00453422"/>
    <w:rsid w:val="00453471"/>
    <w:rsid w:val="00453519"/>
    <w:rsid w:val="00453B3F"/>
    <w:rsid w:val="00453BA0"/>
    <w:rsid w:val="00453E5B"/>
    <w:rsid w:val="00453ECE"/>
    <w:rsid w:val="004544ED"/>
    <w:rsid w:val="004547B5"/>
    <w:rsid w:val="00454FE9"/>
    <w:rsid w:val="00455048"/>
    <w:rsid w:val="004553C2"/>
    <w:rsid w:val="00455600"/>
    <w:rsid w:val="0045564E"/>
    <w:rsid w:val="00455CB3"/>
    <w:rsid w:val="00455E8B"/>
    <w:rsid w:val="00456657"/>
    <w:rsid w:val="00456A77"/>
    <w:rsid w:val="00456E2B"/>
    <w:rsid w:val="004572D3"/>
    <w:rsid w:val="004572ED"/>
    <w:rsid w:val="00460358"/>
    <w:rsid w:val="0046050F"/>
    <w:rsid w:val="0046087F"/>
    <w:rsid w:val="00460E39"/>
    <w:rsid w:val="00461443"/>
    <w:rsid w:val="004615AC"/>
    <w:rsid w:val="004621CA"/>
    <w:rsid w:val="004622DA"/>
    <w:rsid w:val="00462345"/>
    <w:rsid w:val="00462575"/>
    <w:rsid w:val="00463077"/>
    <w:rsid w:val="004632FF"/>
    <w:rsid w:val="004633CF"/>
    <w:rsid w:val="00463CD6"/>
    <w:rsid w:val="00463E27"/>
    <w:rsid w:val="00464353"/>
    <w:rsid w:val="004644AC"/>
    <w:rsid w:val="00464916"/>
    <w:rsid w:val="00464BD8"/>
    <w:rsid w:val="004652D4"/>
    <w:rsid w:val="004654DF"/>
    <w:rsid w:val="00465747"/>
    <w:rsid w:val="00465BFC"/>
    <w:rsid w:val="00465FCA"/>
    <w:rsid w:val="004665C9"/>
    <w:rsid w:val="00466C4D"/>
    <w:rsid w:val="00466E9F"/>
    <w:rsid w:val="00466F46"/>
    <w:rsid w:val="00467161"/>
    <w:rsid w:val="004672EA"/>
    <w:rsid w:val="00467BA5"/>
    <w:rsid w:val="00467BDD"/>
    <w:rsid w:val="00467BEC"/>
    <w:rsid w:val="00467EF3"/>
    <w:rsid w:val="0047039D"/>
    <w:rsid w:val="00470DA6"/>
    <w:rsid w:val="004717E9"/>
    <w:rsid w:val="004724BF"/>
    <w:rsid w:val="00472901"/>
    <w:rsid w:val="00472DBD"/>
    <w:rsid w:val="00472FE4"/>
    <w:rsid w:val="00473D36"/>
    <w:rsid w:val="00473F5C"/>
    <w:rsid w:val="00473FB7"/>
    <w:rsid w:val="004748D5"/>
    <w:rsid w:val="00474CBA"/>
    <w:rsid w:val="00474DA8"/>
    <w:rsid w:val="004756E9"/>
    <w:rsid w:val="00475AE5"/>
    <w:rsid w:val="00475B33"/>
    <w:rsid w:val="00476403"/>
    <w:rsid w:val="00476446"/>
    <w:rsid w:val="00476BE2"/>
    <w:rsid w:val="00477291"/>
    <w:rsid w:val="00477B0C"/>
    <w:rsid w:val="00477BAB"/>
    <w:rsid w:val="00477F35"/>
    <w:rsid w:val="00477F74"/>
    <w:rsid w:val="0048111C"/>
    <w:rsid w:val="00481764"/>
    <w:rsid w:val="004818D5"/>
    <w:rsid w:val="00481AB8"/>
    <w:rsid w:val="0048215F"/>
    <w:rsid w:val="00482199"/>
    <w:rsid w:val="00482481"/>
    <w:rsid w:val="00482735"/>
    <w:rsid w:val="0048290D"/>
    <w:rsid w:val="00482BAB"/>
    <w:rsid w:val="00482E94"/>
    <w:rsid w:val="00483621"/>
    <w:rsid w:val="004837EB"/>
    <w:rsid w:val="00483F93"/>
    <w:rsid w:val="00484131"/>
    <w:rsid w:val="00484E58"/>
    <w:rsid w:val="004853F3"/>
    <w:rsid w:val="00486227"/>
    <w:rsid w:val="00486499"/>
    <w:rsid w:val="004869A0"/>
    <w:rsid w:val="00486BF8"/>
    <w:rsid w:val="00486E85"/>
    <w:rsid w:val="00487B5B"/>
    <w:rsid w:val="00487D90"/>
    <w:rsid w:val="004902B2"/>
    <w:rsid w:val="00490B46"/>
    <w:rsid w:val="004913FE"/>
    <w:rsid w:val="0049155E"/>
    <w:rsid w:val="004915B8"/>
    <w:rsid w:val="004918C5"/>
    <w:rsid w:val="00491FFE"/>
    <w:rsid w:val="0049208A"/>
    <w:rsid w:val="004924C5"/>
    <w:rsid w:val="00492E90"/>
    <w:rsid w:val="00492F46"/>
    <w:rsid w:val="0049316C"/>
    <w:rsid w:val="00493467"/>
    <w:rsid w:val="00493539"/>
    <w:rsid w:val="0049411E"/>
    <w:rsid w:val="00494136"/>
    <w:rsid w:val="00494645"/>
    <w:rsid w:val="004949BB"/>
    <w:rsid w:val="00494BC5"/>
    <w:rsid w:val="00494D6C"/>
    <w:rsid w:val="00495083"/>
    <w:rsid w:val="004956A8"/>
    <w:rsid w:val="00495B1F"/>
    <w:rsid w:val="00495C91"/>
    <w:rsid w:val="004960BE"/>
    <w:rsid w:val="00496B04"/>
    <w:rsid w:val="00496F20"/>
    <w:rsid w:val="004970E4"/>
    <w:rsid w:val="00497391"/>
    <w:rsid w:val="00497409"/>
    <w:rsid w:val="004978D2"/>
    <w:rsid w:val="004978E2"/>
    <w:rsid w:val="00497AFE"/>
    <w:rsid w:val="004A07C4"/>
    <w:rsid w:val="004A0865"/>
    <w:rsid w:val="004A0888"/>
    <w:rsid w:val="004A0F56"/>
    <w:rsid w:val="004A20C3"/>
    <w:rsid w:val="004A21D1"/>
    <w:rsid w:val="004A2DA4"/>
    <w:rsid w:val="004A367C"/>
    <w:rsid w:val="004A3715"/>
    <w:rsid w:val="004A397C"/>
    <w:rsid w:val="004A3CE4"/>
    <w:rsid w:val="004A416A"/>
    <w:rsid w:val="004A491F"/>
    <w:rsid w:val="004A4F7B"/>
    <w:rsid w:val="004A5103"/>
    <w:rsid w:val="004A514D"/>
    <w:rsid w:val="004A526A"/>
    <w:rsid w:val="004A5B95"/>
    <w:rsid w:val="004A5DEF"/>
    <w:rsid w:val="004A61DB"/>
    <w:rsid w:val="004A62BA"/>
    <w:rsid w:val="004A65F2"/>
    <w:rsid w:val="004A68D5"/>
    <w:rsid w:val="004A6B7D"/>
    <w:rsid w:val="004A7002"/>
    <w:rsid w:val="004A716C"/>
    <w:rsid w:val="004A7297"/>
    <w:rsid w:val="004A72C1"/>
    <w:rsid w:val="004A75BF"/>
    <w:rsid w:val="004A77FC"/>
    <w:rsid w:val="004A7840"/>
    <w:rsid w:val="004A78B0"/>
    <w:rsid w:val="004A7C3B"/>
    <w:rsid w:val="004B0AD6"/>
    <w:rsid w:val="004B0B9B"/>
    <w:rsid w:val="004B129D"/>
    <w:rsid w:val="004B140B"/>
    <w:rsid w:val="004B1458"/>
    <w:rsid w:val="004B2232"/>
    <w:rsid w:val="004B2269"/>
    <w:rsid w:val="004B2A8B"/>
    <w:rsid w:val="004B2B57"/>
    <w:rsid w:val="004B2C6A"/>
    <w:rsid w:val="004B2F30"/>
    <w:rsid w:val="004B320A"/>
    <w:rsid w:val="004B376A"/>
    <w:rsid w:val="004B3A0E"/>
    <w:rsid w:val="004B3E85"/>
    <w:rsid w:val="004B479B"/>
    <w:rsid w:val="004B482C"/>
    <w:rsid w:val="004B4C90"/>
    <w:rsid w:val="004B5171"/>
    <w:rsid w:val="004B51FA"/>
    <w:rsid w:val="004B55C3"/>
    <w:rsid w:val="004B5790"/>
    <w:rsid w:val="004B5D87"/>
    <w:rsid w:val="004B6248"/>
    <w:rsid w:val="004B6A36"/>
    <w:rsid w:val="004B6A7F"/>
    <w:rsid w:val="004B6EBB"/>
    <w:rsid w:val="004B7752"/>
    <w:rsid w:val="004B7A09"/>
    <w:rsid w:val="004B7EB6"/>
    <w:rsid w:val="004B7FB0"/>
    <w:rsid w:val="004C09BE"/>
    <w:rsid w:val="004C0DFE"/>
    <w:rsid w:val="004C1238"/>
    <w:rsid w:val="004C1683"/>
    <w:rsid w:val="004C3031"/>
    <w:rsid w:val="004C3275"/>
    <w:rsid w:val="004C3680"/>
    <w:rsid w:val="004C381F"/>
    <w:rsid w:val="004C3A00"/>
    <w:rsid w:val="004C3A75"/>
    <w:rsid w:val="004C3B21"/>
    <w:rsid w:val="004C3BEC"/>
    <w:rsid w:val="004C3F3E"/>
    <w:rsid w:val="004C4287"/>
    <w:rsid w:val="004C4704"/>
    <w:rsid w:val="004C47C0"/>
    <w:rsid w:val="004C4A3A"/>
    <w:rsid w:val="004C4A51"/>
    <w:rsid w:val="004C4F7F"/>
    <w:rsid w:val="004C5072"/>
    <w:rsid w:val="004C5261"/>
    <w:rsid w:val="004C54D3"/>
    <w:rsid w:val="004C582C"/>
    <w:rsid w:val="004C593C"/>
    <w:rsid w:val="004C6241"/>
    <w:rsid w:val="004C6B78"/>
    <w:rsid w:val="004C7343"/>
    <w:rsid w:val="004C75C5"/>
    <w:rsid w:val="004C7697"/>
    <w:rsid w:val="004C77A5"/>
    <w:rsid w:val="004C79EE"/>
    <w:rsid w:val="004D001C"/>
    <w:rsid w:val="004D032D"/>
    <w:rsid w:val="004D045B"/>
    <w:rsid w:val="004D0615"/>
    <w:rsid w:val="004D0D7B"/>
    <w:rsid w:val="004D1029"/>
    <w:rsid w:val="004D10F4"/>
    <w:rsid w:val="004D1243"/>
    <w:rsid w:val="004D135C"/>
    <w:rsid w:val="004D142A"/>
    <w:rsid w:val="004D1ACA"/>
    <w:rsid w:val="004D1B49"/>
    <w:rsid w:val="004D1DFA"/>
    <w:rsid w:val="004D1EBA"/>
    <w:rsid w:val="004D1F50"/>
    <w:rsid w:val="004D20B8"/>
    <w:rsid w:val="004D2506"/>
    <w:rsid w:val="004D2845"/>
    <w:rsid w:val="004D32F4"/>
    <w:rsid w:val="004D344B"/>
    <w:rsid w:val="004D490F"/>
    <w:rsid w:val="004D4B58"/>
    <w:rsid w:val="004D510C"/>
    <w:rsid w:val="004D54F6"/>
    <w:rsid w:val="004D59AB"/>
    <w:rsid w:val="004D5A60"/>
    <w:rsid w:val="004D610A"/>
    <w:rsid w:val="004D620A"/>
    <w:rsid w:val="004D631B"/>
    <w:rsid w:val="004D665D"/>
    <w:rsid w:val="004D68BE"/>
    <w:rsid w:val="004D68EC"/>
    <w:rsid w:val="004D69B0"/>
    <w:rsid w:val="004D6CEB"/>
    <w:rsid w:val="004D799D"/>
    <w:rsid w:val="004D7E58"/>
    <w:rsid w:val="004E0084"/>
    <w:rsid w:val="004E009A"/>
    <w:rsid w:val="004E0139"/>
    <w:rsid w:val="004E0309"/>
    <w:rsid w:val="004E056A"/>
    <w:rsid w:val="004E0D83"/>
    <w:rsid w:val="004E0E69"/>
    <w:rsid w:val="004E1623"/>
    <w:rsid w:val="004E1B5A"/>
    <w:rsid w:val="004E1BA1"/>
    <w:rsid w:val="004E1F14"/>
    <w:rsid w:val="004E218A"/>
    <w:rsid w:val="004E26CB"/>
    <w:rsid w:val="004E2E01"/>
    <w:rsid w:val="004E300F"/>
    <w:rsid w:val="004E3080"/>
    <w:rsid w:val="004E31FB"/>
    <w:rsid w:val="004E4030"/>
    <w:rsid w:val="004E4315"/>
    <w:rsid w:val="004E43DA"/>
    <w:rsid w:val="004E470B"/>
    <w:rsid w:val="004E47F4"/>
    <w:rsid w:val="004E4D55"/>
    <w:rsid w:val="004E598D"/>
    <w:rsid w:val="004E5D17"/>
    <w:rsid w:val="004E5EF6"/>
    <w:rsid w:val="004E656F"/>
    <w:rsid w:val="004E6753"/>
    <w:rsid w:val="004E6765"/>
    <w:rsid w:val="004E74D9"/>
    <w:rsid w:val="004E74EB"/>
    <w:rsid w:val="004E76F4"/>
    <w:rsid w:val="004E792E"/>
    <w:rsid w:val="004E7D59"/>
    <w:rsid w:val="004F0365"/>
    <w:rsid w:val="004F0CD6"/>
    <w:rsid w:val="004F0EB8"/>
    <w:rsid w:val="004F11C9"/>
    <w:rsid w:val="004F1302"/>
    <w:rsid w:val="004F179D"/>
    <w:rsid w:val="004F2CAC"/>
    <w:rsid w:val="004F2CFF"/>
    <w:rsid w:val="004F32D2"/>
    <w:rsid w:val="004F334E"/>
    <w:rsid w:val="004F3374"/>
    <w:rsid w:val="004F37CE"/>
    <w:rsid w:val="004F3E08"/>
    <w:rsid w:val="004F413C"/>
    <w:rsid w:val="004F434F"/>
    <w:rsid w:val="004F44A5"/>
    <w:rsid w:val="004F463B"/>
    <w:rsid w:val="004F48F4"/>
    <w:rsid w:val="004F5743"/>
    <w:rsid w:val="004F5DB2"/>
    <w:rsid w:val="004F6377"/>
    <w:rsid w:val="004F63AC"/>
    <w:rsid w:val="004F69B6"/>
    <w:rsid w:val="004F6D18"/>
    <w:rsid w:val="004F736F"/>
    <w:rsid w:val="004F771A"/>
    <w:rsid w:val="005002BF"/>
    <w:rsid w:val="005009E1"/>
    <w:rsid w:val="00500B9A"/>
    <w:rsid w:val="00500E42"/>
    <w:rsid w:val="00501092"/>
    <w:rsid w:val="00501DA2"/>
    <w:rsid w:val="0050223A"/>
    <w:rsid w:val="0050273A"/>
    <w:rsid w:val="00502805"/>
    <w:rsid w:val="00502CE5"/>
    <w:rsid w:val="00502D34"/>
    <w:rsid w:val="00502FB4"/>
    <w:rsid w:val="005033C5"/>
    <w:rsid w:val="00503916"/>
    <w:rsid w:val="0050396F"/>
    <w:rsid w:val="00503A1D"/>
    <w:rsid w:val="0050450B"/>
    <w:rsid w:val="0050484E"/>
    <w:rsid w:val="005048E8"/>
    <w:rsid w:val="005049A0"/>
    <w:rsid w:val="00504E2F"/>
    <w:rsid w:val="00504EF9"/>
    <w:rsid w:val="005057AE"/>
    <w:rsid w:val="00505818"/>
    <w:rsid w:val="005065C1"/>
    <w:rsid w:val="00506C6F"/>
    <w:rsid w:val="00506EAF"/>
    <w:rsid w:val="005076DF"/>
    <w:rsid w:val="00507A10"/>
    <w:rsid w:val="00507AB3"/>
    <w:rsid w:val="00507E78"/>
    <w:rsid w:val="00507E96"/>
    <w:rsid w:val="00507FCD"/>
    <w:rsid w:val="00510276"/>
    <w:rsid w:val="005114BB"/>
    <w:rsid w:val="005115DB"/>
    <w:rsid w:val="00511732"/>
    <w:rsid w:val="00511942"/>
    <w:rsid w:val="00511EF8"/>
    <w:rsid w:val="0051202C"/>
    <w:rsid w:val="00512600"/>
    <w:rsid w:val="005128DA"/>
    <w:rsid w:val="00512A3E"/>
    <w:rsid w:val="00512FC3"/>
    <w:rsid w:val="00513084"/>
    <w:rsid w:val="005131B2"/>
    <w:rsid w:val="0051340B"/>
    <w:rsid w:val="00513412"/>
    <w:rsid w:val="00513AD5"/>
    <w:rsid w:val="0051417B"/>
    <w:rsid w:val="005142E2"/>
    <w:rsid w:val="00514827"/>
    <w:rsid w:val="005149E7"/>
    <w:rsid w:val="00515040"/>
    <w:rsid w:val="005150F0"/>
    <w:rsid w:val="00515202"/>
    <w:rsid w:val="00515842"/>
    <w:rsid w:val="0051584F"/>
    <w:rsid w:val="00515933"/>
    <w:rsid w:val="00515F10"/>
    <w:rsid w:val="00516528"/>
    <w:rsid w:val="005167FE"/>
    <w:rsid w:val="00516DF4"/>
    <w:rsid w:val="00516E41"/>
    <w:rsid w:val="0051705D"/>
    <w:rsid w:val="005177E1"/>
    <w:rsid w:val="00517EDE"/>
    <w:rsid w:val="00517F81"/>
    <w:rsid w:val="00520277"/>
    <w:rsid w:val="00520359"/>
    <w:rsid w:val="00520406"/>
    <w:rsid w:val="00520473"/>
    <w:rsid w:val="0052092B"/>
    <w:rsid w:val="00521221"/>
    <w:rsid w:val="00521986"/>
    <w:rsid w:val="00522737"/>
    <w:rsid w:val="00522CA2"/>
    <w:rsid w:val="00522D75"/>
    <w:rsid w:val="00522E77"/>
    <w:rsid w:val="00523919"/>
    <w:rsid w:val="0052426D"/>
    <w:rsid w:val="00524D1E"/>
    <w:rsid w:val="00524F50"/>
    <w:rsid w:val="0052523D"/>
    <w:rsid w:val="005252BE"/>
    <w:rsid w:val="00525D36"/>
    <w:rsid w:val="00525D8B"/>
    <w:rsid w:val="0052685C"/>
    <w:rsid w:val="00526A7D"/>
    <w:rsid w:val="00526C85"/>
    <w:rsid w:val="00526E92"/>
    <w:rsid w:val="0052743E"/>
    <w:rsid w:val="00527AF3"/>
    <w:rsid w:val="00527BA2"/>
    <w:rsid w:val="00527EE4"/>
    <w:rsid w:val="005302A9"/>
    <w:rsid w:val="00530964"/>
    <w:rsid w:val="00530E34"/>
    <w:rsid w:val="0053102E"/>
    <w:rsid w:val="005318A5"/>
    <w:rsid w:val="00531DAD"/>
    <w:rsid w:val="00532172"/>
    <w:rsid w:val="005321E1"/>
    <w:rsid w:val="00532BD6"/>
    <w:rsid w:val="00532CFC"/>
    <w:rsid w:val="00532D53"/>
    <w:rsid w:val="00532F01"/>
    <w:rsid w:val="00532F03"/>
    <w:rsid w:val="0053352C"/>
    <w:rsid w:val="0053382C"/>
    <w:rsid w:val="00533989"/>
    <w:rsid w:val="00533CFE"/>
    <w:rsid w:val="00533E54"/>
    <w:rsid w:val="005342FB"/>
    <w:rsid w:val="00534555"/>
    <w:rsid w:val="005347BD"/>
    <w:rsid w:val="00534979"/>
    <w:rsid w:val="00534DDF"/>
    <w:rsid w:val="00535458"/>
    <w:rsid w:val="00535B4B"/>
    <w:rsid w:val="00536A98"/>
    <w:rsid w:val="00536D47"/>
    <w:rsid w:val="00537DC4"/>
    <w:rsid w:val="00540ACE"/>
    <w:rsid w:val="00540B01"/>
    <w:rsid w:val="00540C10"/>
    <w:rsid w:val="005410BA"/>
    <w:rsid w:val="00541B64"/>
    <w:rsid w:val="00541E1C"/>
    <w:rsid w:val="00541E8D"/>
    <w:rsid w:val="0054210C"/>
    <w:rsid w:val="005423DB"/>
    <w:rsid w:val="0054277F"/>
    <w:rsid w:val="00542869"/>
    <w:rsid w:val="005429E2"/>
    <w:rsid w:val="00543703"/>
    <w:rsid w:val="00543764"/>
    <w:rsid w:val="00543B41"/>
    <w:rsid w:val="00543CA4"/>
    <w:rsid w:val="00544472"/>
    <w:rsid w:val="0054494E"/>
    <w:rsid w:val="00544B9B"/>
    <w:rsid w:val="00544BAA"/>
    <w:rsid w:val="005451B0"/>
    <w:rsid w:val="005455DE"/>
    <w:rsid w:val="0054595C"/>
    <w:rsid w:val="005459E8"/>
    <w:rsid w:val="00545AA6"/>
    <w:rsid w:val="00545E1F"/>
    <w:rsid w:val="00546871"/>
    <w:rsid w:val="00546B70"/>
    <w:rsid w:val="00546B7E"/>
    <w:rsid w:val="00546E79"/>
    <w:rsid w:val="005477AF"/>
    <w:rsid w:val="00547802"/>
    <w:rsid w:val="00547BBF"/>
    <w:rsid w:val="005507D0"/>
    <w:rsid w:val="00550FB3"/>
    <w:rsid w:val="0055110E"/>
    <w:rsid w:val="005511D6"/>
    <w:rsid w:val="0055255F"/>
    <w:rsid w:val="00552708"/>
    <w:rsid w:val="00552A82"/>
    <w:rsid w:val="00552B74"/>
    <w:rsid w:val="00552DD4"/>
    <w:rsid w:val="005536E3"/>
    <w:rsid w:val="00553D2F"/>
    <w:rsid w:val="005555DC"/>
    <w:rsid w:val="005555EE"/>
    <w:rsid w:val="0055587D"/>
    <w:rsid w:val="00555A0E"/>
    <w:rsid w:val="00555B5B"/>
    <w:rsid w:val="00555B66"/>
    <w:rsid w:val="00555D08"/>
    <w:rsid w:val="005564A7"/>
    <w:rsid w:val="00556557"/>
    <w:rsid w:val="00556E14"/>
    <w:rsid w:val="005571A8"/>
    <w:rsid w:val="0055737F"/>
    <w:rsid w:val="00557383"/>
    <w:rsid w:val="00557384"/>
    <w:rsid w:val="00557617"/>
    <w:rsid w:val="005577E4"/>
    <w:rsid w:val="0056005A"/>
    <w:rsid w:val="0056009F"/>
    <w:rsid w:val="005606E5"/>
    <w:rsid w:val="00560715"/>
    <w:rsid w:val="00560C36"/>
    <w:rsid w:val="00561409"/>
    <w:rsid w:val="005614EA"/>
    <w:rsid w:val="005617D7"/>
    <w:rsid w:val="00561944"/>
    <w:rsid w:val="0056229C"/>
    <w:rsid w:val="00562671"/>
    <w:rsid w:val="0056286D"/>
    <w:rsid w:val="00562AF0"/>
    <w:rsid w:val="005630CF"/>
    <w:rsid w:val="00563332"/>
    <w:rsid w:val="00564134"/>
    <w:rsid w:val="00565200"/>
    <w:rsid w:val="00565271"/>
    <w:rsid w:val="0056546E"/>
    <w:rsid w:val="00565933"/>
    <w:rsid w:val="00565D77"/>
    <w:rsid w:val="00565EC8"/>
    <w:rsid w:val="00566724"/>
    <w:rsid w:val="00566FD2"/>
    <w:rsid w:val="00567426"/>
    <w:rsid w:val="00567948"/>
    <w:rsid w:val="0057025C"/>
    <w:rsid w:val="00570AFD"/>
    <w:rsid w:val="00570E31"/>
    <w:rsid w:val="00570E37"/>
    <w:rsid w:val="00571739"/>
    <w:rsid w:val="00571884"/>
    <w:rsid w:val="00571CFA"/>
    <w:rsid w:val="00571D4C"/>
    <w:rsid w:val="005720BC"/>
    <w:rsid w:val="005723C3"/>
    <w:rsid w:val="0057254C"/>
    <w:rsid w:val="005729EA"/>
    <w:rsid w:val="00573493"/>
    <w:rsid w:val="005736FB"/>
    <w:rsid w:val="00573BB1"/>
    <w:rsid w:val="00574255"/>
    <w:rsid w:val="00574271"/>
    <w:rsid w:val="005742AC"/>
    <w:rsid w:val="00574620"/>
    <w:rsid w:val="00574860"/>
    <w:rsid w:val="00574D81"/>
    <w:rsid w:val="0057512D"/>
    <w:rsid w:val="00575448"/>
    <w:rsid w:val="00575661"/>
    <w:rsid w:val="005757FF"/>
    <w:rsid w:val="0057596A"/>
    <w:rsid w:val="00575CEC"/>
    <w:rsid w:val="00575D13"/>
    <w:rsid w:val="00576020"/>
    <w:rsid w:val="00576435"/>
    <w:rsid w:val="00577BE2"/>
    <w:rsid w:val="00577D45"/>
    <w:rsid w:val="00577D9E"/>
    <w:rsid w:val="005804B6"/>
    <w:rsid w:val="00580FED"/>
    <w:rsid w:val="0058184F"/>
    <w:rsid w:val="00581D07"/>
    <w:rsid w:val="00582496"/>
    <w:rsid w:val="0058262A"/>
    <w:rsid w:val="0058284D"/>
    <w:rsid w:val="00582B36"/>
    <w:rsid w:val="00583196"/>
    <w:rsid w:val="00583F5F"/>
    <w:rsid w:val="00584553"/>
    <w:rsid w:val="00584B43"/>
    <w:rsid w:val="00584BD5"/>
    <w:rsid w:val="00585C92"/>
    <w:rsid w:val="00585D52"/>
    <w:rsid w:val="005870F7"/>
    <w:rsid w:val="00590031"/>
    <w:rsid w:val="005901CD"/>
    <w:rsid w:val="005905F8"/>
    <w:rsid w:val="00590736"/>
    <w:rsid w:val="00590B9B"/>
    <w:rsid w:val="00591368"/>
    <w:rsid w:val="005918EF"/>
    <w:rsid w:val="00591B74"/>
    <w:rsid w:val="00592212"/>
    <w:rsid w:val="0059221F"/>
    <w:rsid w:val="0059241E"/>
    <w:rsid w:val="00592642"/>
    <w:rsid w:val="00592833"/>
    <w:rsid w:val="00592BAC"/>
    <w:rsid w:val="00592BC0"/>
    <w:rsid w:val="00592BEC"/>
    <w:rsid w:val="005937F3"/>
    <w:rsid w:val="00593967"/>
    <w:rsid w:val="00593DBC"/>
    <w:rsid w:val="00593E69"/>
    <w:rsid w:val="005944B0"/>
    <w:rsid w:val="005948E0"/>
    <w:rsid w:val="00594901"/>
    <w:rsid w:val="00594CC0"/>
    <w:rsid w:val="005954A6"/>
    <w:rsid w:val="0059581C"/>
    <w:rsid w:val="00596684"/>
    <w:rsid w:val="00596738"/>
    <w:rsid w:val="00596D9A"/>
    <w:rsid w:val="00597150"/>
    <w:rsid w:val="005974A6"/>
    <w:rsid w:val="0059765C"/>
    <w:rsid w:val="00597969"/>
    <w:rsid w:val="005A0333"/>
    <w:rsid w:val="005A043E"/>
    <w:rsid w:val="005A0C4E"/>
    <w:rsid w:val="005A0C88"/>
    <w:rsid w:val="005A0EB0"/>
    <w:rsid w:val="005A16E5"/>
    <w:rsid w:val="005A18E1"/>
    <w:rsid w:val="005A19B6"/>
    <w:rsid w:val="005A1A9A"/>
    <w:rsid w:val="005A228D"/>
    <w:rsid w:val="005A2A75"/>
    <w:rsid w:val="005A2D3F"/>
    <w:rsid w:val="005A2D7E"/>
    <w:rsid w:val="005A2E38"/>
    <w:rsid w:val="005A3109"/>
    <w:rsid w:val="005A31E0"/>
    <w:rsid w:val="005A329D"/>
    <w:rsid w:val="005A37BF"/>
    <w:rsid w:val="005A39F4"/>
    <w:rsid w:val="005A3EC5"/>
    <w:rsid w:val="005A4215"/>
    <w:rsid w:val="005A48EE"/>
    <w:rsid w:val="005A4960"/>
    <w:rsid w:val="005A4DDC"/>
    <w:rsid w:val="005A4F14"/>
    <w:rsid w:val="005A54FE"/>
    <w:rsid w:val="005A5B75"/>
    <w:rsid w:val="005A5D0B"/>
    <w:rsid w:val="005A68F4"/>
    <w:rsid w:val="005A7185"/>
    <w:rsid w:val="005A7B7D"/>
    <w:rsid w:val="005A7E2B"/>
    <w:rsid w:val="005B016F"/>
    <w:rsid w:val="005B039A"/>
    <w:rsid w:val="005B05F6"/>
    <w:rsid w:val="005B073C"/>
    <w:rsid w:val="005B08F5"/>
    <w:rsid w:val="005B0DA4"/>
    <w:rsid w:val="005B0F9C"/>
    <w:rsid w:val="005B12C6"/>
    <w:rsid w:val="005B18F9"/>
    <w:rsid w:val="005B1FC5"/>
    <w:rsid w:val="005B318C"/>
    <w:rsid w:val="005B3D2F"/>
    <w:rsid w:val="005B3D38"/>
    <w:rsid w:val="005B4179"/>
    <w:rsid w:val="005B45AC"/>
    <w:rsid w:val="005B46C3"/>
    <w:rsid w:val="005B4817"/>
    <w:rsid w:val="005B48B8"/>
    <w:rsid w:val="005B4FF0"/>
    <w:rsid w:val="005B5171"/>
    <w:rsid w:val="005B5190"/>
    <w:rsid w:val="005B5998"/>
    <w:rsid w:val="005B5A3A"/>
    <w:rsid w:val="005B5AFE"/>
    <w:rsid w:val="005B605F"/>
    <w:rsid w:val="005B7508"/>
    <w:rsid w:val="005C0075"/>
    <w:rsid w:val="005C0214"/>
    <w:rsid w:val="005C031B"/>
    <w:rsid w:val="005C0519"/>
    <w:rsid w:val="005C079A"/>
    <w:rsid w:val="005C0E93"/>
    <w:rsid w:val="005C1579"/>
    <w:rsid w:val="005C1FEA"/>
    <w:rsid w:val="005C24AD"/>
    <w:rsid w:val="005C2917"/>
    <w:rsid w:val="005C2A2A"/>
    <w:rsid w:val="005C2BF2"/>
    <w:rsid w:val="005C2C16"/>
    <w:rsid w:val="005C2EDB"/>
    <w:rsid w:val="005C315D"/>
    <w:rsid w:val="005C3470"/>
    <w:rsid w:val="005C36B5"/>
    <w:rsid w:val="005C391F"/>
    <w:rsid w:val="005C3955"/>
    <w:rsid w:val="005C3995"/>
    <w:rsid w:val="005C3C72"/>
    <w:rsid w:val="005C3E4B"/>
    <w:rsid w:val="005C4112"/>
    <w:rsid w:val="005C4302"/>
    <w:rsid w:val="005C43E6"/>
    <w:rsid w:val="005C462D"/>
    <w:rsid w:val="005C468F"/>
    <w:rsid w:val="005C4A08"/>
    <w:rsid w:val="005C5516"/>
    <w:rsid w:val="005C58C0"/>
    <w:rsid w:val="005C62FF"/>
    <w:rsid w:val="005C63F8"/>
    <w:rsid w:val="005C6C15"/>
    <w:rsid w:val="005C6DEC"/>
    <w:rsid w:val="005C6EB9"/>
    <w:rsid w:val="005C7018"/>
    <w:rsid w:val="005C76F2"/>
    <w:rsid w:val="005C7AF4"/>
    <w:rsid w:val="005D06CA"/>
    <w:rsid w:val="005D08D0"/>
    <w:rsid w:val="005D11EA"/>
    <w:rsid w:val="005D1776"/>
    <w:rsid w:val="005D1E5B"/>
    <w:rsid w:val="005D20AC"/>
    <w:rsid w:val="005D255B"/>
    <w:rsid w:val="005D29A8"/>
    <w:rsid w:val="005D2D9A"/>
    <w:rsid w:val="005D2EDD"/>
    <w:rsid w:val="005D2F32"/>
    <w:rsid w:val="005D3060"/>
    <w:rsid w:val="005D32F3"/>
    <w:rsid w:val="005D335B"/>
    <w:rsid w:val="005D3396"/>
    <w:rsid w:val="005D368D"/>
    <w:rsid w:val="005D37BB"/>
    <w:rsid w:val="005D37C7"/>
    <w:rsid w:val="005D383B"/>
    <w:rsid w:val="005D4161"/>
    <w:rsid w:val="005D4CFA"/>
    <w:rsid w:val="005D5248"/>
    <w:rsid w:val="005D538B"/>
    <w:rsid w:val="005D53A4"/>
    <w:rsid w:val="005D5AB7"/>
    <w:rsid w:val="005D5C4B"/>
    <w:rsid w:val="005D5D90"/>
    <w:rsid w:val="005D5E8E"/>
    <w:rsid w:val="005D6664"/>
    <w:rsid w:val="005D6714"/>
    <w:rsid w:val="005D79E5"/>
    <w:rsid w:val="005D7C6B"/>
    <w:rsid w:val="005E0096"/>
    <w:rsid w:val="005E05DA"/>
    <w:rsid w:val="005E09BD"/>
    <w:rsid w:val="005E1130"/>
    <w:rsid w:val="005E1632"/>
    <w:rsid w:val="005E1867"/>
    <w:rsid w:val="005E1B42"/>
    <w:rsid w:val="005E1D33"/>
    <w:rsid w:val="005E1F8E"/>
    <w:rsid w:val="005E1FB0"/>
    <w:rsid w:val="005E22FC"/>
    <w:rsid w:val="005E28A3"/>
    <w:rsid w:val="005E2976"/>
    <w:rsid w:val="005E2AF2"/>
    <w:rsid w:val="005E2ED1"/>
    <w:rsid w:val="005E30C5"/>
    <w:rsid w:val="005E334C"/>
    <w:rsid w:val="005E3C7D"/>
    <w:rsid w:val="005E3D78"/>
    <w:rsid w:val="005E3F4A"/>
    <w:rsid w:val="005E40BF"/>
    <w:rsid w:val="005E4688"/>
    <w:rsid w:val="005E4930"/>
    <w:rsid w:val="005E4B3E"/>
    <w:rsid w:val="005E4BCB"/>
    <w:rsid w:val="005E4BDE"/>
    <w:rsid w:val="005E4EF7"/>
    <w:rsid w:val="005E5522"/>
    <w:rsid w:val="005E5F54"/>
    <w:rsid w:val="005E6043"/>
    <w:rsid w:val="005E6586"/>
    <w:rsid w:val="005E680B"/>
    <w:rsid w:val="005E683C"/>
    <w:rsid w:val="005E6A33"/>
    <w:rsid w:val="005E6DAE"/>
    <w:rsid w:val="005E6DE5"/>
    <w:rsid w:val="005E6FA4"/>
    <w:rsid w:val="005E735A"/>
    <w:rsid w:val="005E7B9F"/>
    <w:rsid w:val="005F077F"/>
    <w:rsid w:val="005F0A79"/>
    <w:rsid w:val="005F1071"/>
    <w:rsid w:val="005F1081"/>
    <w:rsid w:val="005F1A69"/>
    <w:rsid w:val="005F1D1F"/>
    <w:rsid w:val="005F20BC"/>
    <w:rsid w:val="005F2477"/>
    <w:rsid w:val="005F250A"/>
    <w:rsid w:val="005F278F"/>
    <w:rsid w:val="005F2991"/>
    <w:rsid w:val="005F2B1B"/>
    <w:rsid w:val="005F2DEA"/>
    <w:rsid w:val="005F3086"/>
    <w:rsid w:val="005F30FF"/>
    <w:rsid w:val="005F3677"/>
    <w:rsid w:val="005F393D"/>
    <w:rsid w:val="005F398D"/>
    <w:rsid w:val="005F39E2"/>
    <w:rsid w:val="005F3BD1"/>
    <w:rsid w:val="005F3CFA"/>
    <w:rsid w:val="005F4D2D"/>
    <w:rsid w:val="005F54A9"/>
    <w:rsid w:val="005F579A"/>
    <w:rsid w:val="005F58F7"/>
    <w:rsid w:val="005F5B16"/>
    <w:rsid w:val="005F5FD4"/>
    <w:rsid w:val="005F637B"/>
    <w:rsid w:val="005F65DE"/>
    <w:rsid w:val="005F6E29"/>
    <w:rsid w:val="005F71B2"/>
    <w:rsid w:val="005F7204"/>
    <w:rsid w:val="005F764C"/>
    <w:rsid w:val="005F7779"/>
    <w:rsid w:val="005F7A1A"/>
    <w:rsid w:val="005F7C28"/>
    <w:rsid w:val="005F7D97"/>
    <w:rsid w:val="00600604"/>
    <w:rsid w:val="006008A7"/>
    <w:rsid w:val="00600CCA"/>
    <w:rsid w:val="006012DD"/>
    <w:rsid w:val="00601375"/>
    <w:rsid w:val="00601E1A"/>
    <w:rsid w:val="00602052"/>
    <w:rsid w:val="0060233A"/>
    <w:rsid w:val="006027D0"/>
    <w:rsid w:val="00602AC7"/>
    <w:rsid w:val="006030CE"/>
    <w:rsid w:val="0060314D"/>
    <w:rsid w:val="006033D8"/>
    <w:rsid w:val="006034F6"/>
    <w:rsid w:val="00603D6D"/>
    <w:rsid w:val="00603DA5"/>
    <w:rsid w:val="006041A0"/>
    <w:rsid w:val="00604416"/>
    <w:rsid w:val="0060477C"/>
    <w:rsid w:val="00604864"/>
    <w:rsid w:val="00605196"/>
    <w:rsid w:val="006051E6"/>
    <w:rsid w:val="006057AD"/>
    <w:rsid w:val="00605A3B"/>
    <w:rsid w:val="00605B10"/>
    <w:rsid w:val="00605C2B"/>
    <w:rsid w:val="00605CF1"/>
    <w:rsid w:val="0060611D"/>
    <w:rsid w:val="00606199"/>
    <w:rsid w:val="006062C8"/>
    <w:rsid w:val="00606536"/>
    <w:rsid w:val="00606693"/>
    <w:rsid w:val="00606952"/>
    <w:rsid w:val="00606CA9"/>
    <w:rsid w:val="00606D21"/>
    <w:rsid w:val="00606DF8"/>
    <w:rsid w:val="00606E46"/>
    <w:rsid w:val="006071DC"/>
    <w:rsid w:val="00607366"/>
    <w:rsid w:val="00607900"/>
    <w:rsid w:val="006079E2"/>
    <w:rsid w:val="00607D8C"/>
    <w:rsid w:val="00607DFC"/>
    <w:rsid w:val="00607ED9"/>
    <w:rsid w:val="00607F04"/>
    <w:rsid w:val="00607F0A"/>
    <w:rsid w:val="00610144"/>
    <w:rsid w:val="00610264"/>
    <w:rsid w:val="0061077E"/>
    <w:rsid w:val="006108B3"/>
    <w:rsid w:val="006109DF"/>
    <w:rsid w:val="00611047"/>
    <w:rsid w:val="006117B8"/>
    <w:rsid w:val="00611BA4"/>
    <w:rsid w:val="00611DBB"/>
    <w:rsid w:val="00612166"/>
    <w:rsid w:val="006121F3"/>
    <w:rsid w:val="006122B0"/>
    <w:rsid w:val="00612493"/>
    <w:rsid w:val="006127C7"/>
    <w:rsid w:val="00612870"/>
    <w:rsid w:val="006134C6"/>
    <w:rsid w:val="0061377D"/>
    <w:rsid w:val="00613835"/>
    <w:rsid w:val="00613881"/>
    <w:rsid w:val="006138D3"/>
    <w:rsid w:val="00613E1C"/>
    <w:rsid w:val="00614F7B"/>
    <w:rsid w:val="0061521F"/>
    <w:rsid w:val="0061543F"/>
    <w:rsid w:val="0061549C"/>
    <w:rsid w:val="00615B6C"/>
    <w:rsid w:val="006166FC"/>
    <w:rsid w:val="00616BF1"/>
    <w:rsid w:val="006170FC"/>
    <w:rsid w:val="0061746A"/>
    <w:rsid w:val="006174E9"/>
    <w:rsid w:val="00617636"/>
    <w:rsid w:val="00617872"/>
    <w:rsid w:val="00617A06"/>
    <w:rsid w:val="00617D72"/>
    <w:rsid w:val="006201A4"/>
    <w:rsid w:val="0062061F"/>
    <w:rsid w:val="0062086D"/>
    <w:rsid w:val="006208B7"/>
    <w:rsid w:val="00620F2B"/>
    <w:rsid w:val="00621267"/>
    <w:rsid w:val="006213DE"/>
    <w:rsid w:val="00621704"/>
    <w:rsid w:val="0062233E"/>
    <w:rsid w:val="00622943"/>
    <w:rsid w:val="006229F6"/>
    <w:rsid w:val="00622D1E"/>
    <w:rsid w:val="00622DF5"/>
    <w:rsid w:val="00622F71"/>
    <w:rsid w:val="006240D2"/>
    <w:rsid w:val="006243BA"/>
    <w:rsid w:val="00624C65"/>
    <w:rsid w:val="00624D3D"/>
    <w:rsid w:val="00624EA8"/>
    <w:rsid w:val="006255A0"/>
    <w:rsid w:val="00625901"/>
    <w:rsid w:val="00626997"/>
    <w:rsid w:val="006272F2"/>
    <w:rsid w:val="006308B8"/>
    <w:rsid w:val="00630AB7"/>
    <w:rsid w:val="00630B5D"/>
    <w:rsid w:val="0063173D"/>
    <w:rsid w:val="00631FCF"/>
    <w:rsid w:val="00632205"/>
    <w:rsid w:val="00632416"/>
    <w:rsid w:val="006325B4"/>
    <w:rsid w:val="006326AD"/>
    <w:rsid w:val="00632759"/>
    <w:rsid w:val="00632856"/>
    <w:rsid w:val="006328F9"/>
    <w:rsid w:val="00632B23"/>
    <w:rsid w:val="00632D82"/>
    <w:rsid w:val="00632F4C"/>
    <w:rsid w:val="00632FF0"/>
    <w:rsid w:val="00633884"/>
    <w:rsid w:val="00633A54"/>
    <w:rsid w:val="00633B09"/>
    <w:rsid w:val="00633BF6"/>
    <w:rsid w:val="00633CEE"/>
    <w:rsid w:val="00633EA3"/>
    <w:rsid w:val="00634284"/>
    <w:rsid w:val="006342DD"/>
    <w:rsid w:val="006342E6"/>
    <w:rsid w:val="0063446A"/>
    <w:rsid w:val="00634E48"/>
    <w:rsid w:val="0063562F"/>
    <w:rsid w:val="00635CD7"/>
    <w:rsid w:val="00635F89"/>
    <w:rsid w:val="00635FD9"/>
    <w:rsid w:val="006363CE"/>
    <w:rsid w:val="006369F0"/>
    <w:rsid w:val="006370C8"/>
    <w:rsid w:val="006379E0"/>
    <w:rsid w:val="006379F4"/>
    <w:rsid w:val="00637AB3"/>
    <w:rsid w:val="00637B71"/>
    <w:rsid w:val="00637B89"/>
    <w:rsid w:val="00637CAD"/>
    <w:rsid w:val="00637EE8"/>
    <w:rsid w:val="00640456"/>
    <w:rsid w:val="00641157"/>
    <w:rsid w:val="00642343"/>
    <w:rsid w:val="00642392"/>
    <w:rsid w:val="006433B9"/>
    <w:rsid w:val="00643506"/>
    <w:rsid w:val="006437A6"/>
    <w:rsid w:val="006437A7"/>
    <w:rsid w:val="00643B41"/>
    <w:rsid w:val="00643E84"/>
    <w:rsid w:val="00644AC6"/>
    <w:rsid w:val="00644DB1"/>
    <w:rsid w:val="00645440"/>
    <w:rsid w:val="00645951"/>
    <w:rsid w:val="00645AD7"/>
    <w:rsid w:val="00645EE9"/>
    <w:rsid w:val="00646204"/>
    <w:rsid w:val="006462E7"/>
    <w:rsid w:val="006465DD"/>
    <w:rsid w:val="00647770"/>
    <w:rsid w:val="00647EBC"/>
    <w:rsid w:val="006502D1"/>
    <w:rsid w:val="0065090B"/>
    <w:rsid w:val="00650E53"/>
    <w:rsid w:val="00651ABF"/>
    <w:rsid w:val="006520F2"/>
    <w:rsid w:val="0065216B"/>
    <w:rsid w:val="00652298"/>
    <w:rsid w:val="006522DB"/>
    <w:rsid w:val="0065281C"/>
    <w:rsid w:val="0065299A"/>
    <w:rsid w:val="006529A2"/>
    <w:rsid w:val="00652A4F"/>
    <w:rsid w:val="00653333"/>
    <w:rsid w:val="00653364"/>
    <w:rsid w:val="0065366C"/>
    <w:rsid w:val="00653AE4"/>
    <w:rsid w:val="00653D1C"/>
    <w:rsid w:val="006542F1"/>
    <w:rsid w:val="006545C0"/>
    <w:rsid w:val="006545ED"/>
    <w:rsid w:val="00654610"/>
    <w:rsid w:val="00654EA5"/>
    <w:rsid w:val="0065502B"/>
    <w:rsid w:val="00655664"/>
    <w:rsid w:val="0065597C"/>
    <w:rsid w:val="00656208"/>
    <w:rsid w:val="0065623E"/>
    <w:rsid w:val="006565E4"/>
    <w:rsid w:val="006565E7"/>
    <w:rsid w:val="006571C5"/>
    <w:rsid w:val="006576BB"/>
    <w:rsid w:val="006576D1"/>
    <w:rsid w:val="00657C68"/>
    <w:rsid w:val="006600CF"/>
    <w:rsid w:val="006602CB"/>
    <w:rsid w:val="0066058E"/>
    <w:rsid w:val="006609E8"/>
    <w:rsid w:val="00660C96"/>
    <w:rsid w:val="00660E10"/>
    <w:rsid w:val="006618BE"/>
    <w:rsid w:val="00661963"/>
    <w:rsid w:val="00661BE0"/>
    <w:rsid w:val="00662299"/>
    <w:rsid w:val="006623C1"/>
    <w:rsid w:val="006628E5"/>
    <w:rsid w:val="00662A07"/>
    <w:rsid w:val="00662B12"/>
    <w:rsid w:val="00662B24"/>
    <w:rsid w:val="0066363A"/>
    <w:rsid w:val="00663981"/>
    <w:rsid w:val="00663A26"/>
    <w:rsid w:val="00663DAA"/>
    <w:rsid w:val="006647F6"/>
    <w:rsid w:val="00664E74"/>
    <w:rsid w:val="00665076"/>
    <w:rsid w:val="006652A8"/>
    <w:rsid w:val="0066537E"/>
    <w:rsid w:val="006653FA"/>
    <w:rsid w:val="006654CF"/>
    <w:rsid w:val="00665692"/>
    <w:rsid w:val="00665ADD"/>
    <w:rsid w:val="006664C8"/>
    <w:rsid w:val="00666CAD"/>
    <w:rsid w:val="006670B4"/>
    <w:rsid w:val="00667150"/>
    <w:rsid w:val="0066732C"/>
    <w:rsid w:val="00667376"/>
    <w:rsid w:val="00667408"/>
    <w:rsid w:val="0066793A"/>
    <w:rsid w:val="00667F5C"/>
    <w:rsid w:val="0067015D"/>
    <w:rsid w:val="00670444"/>
    <w:rsid w:val="0067072E"/>
    <w:rsid w:val="0067196A"/>
    <w:rsid w:val="0067202D"/>
    <w:rsid w:val="006721FB"/>
    <w:rsid w:val="00672275"/>
    <w:rsid w:val="00672728"/>
    <w:rsid w:val="00672DCC"/>
    <w:rsid w:val="006732BC"/>
    <w:rsid w:val="0067410B"/>
    <w:rsid w:val="0067430B"/>
    <w:rsid w:val="00674658"/>
    <w:rsid w:val="00674AB9"/>
    <w:rsid w:val="0067528D"/>
    <w:rsid w:val="0067590A"/>
    <w:rsid w:val="00675D9F"/>
    <w:rsid w:val="00676138"/>
    <w:rsid w:val="00676C6F"/>
    <w:rsid w:val="00676E1F"/>
    <w:rsid w:val="006779AC"/>
    <w:rsid w:val="00677C02"/>
    <w:rsid w:val="00677FD7"/>
    <w:rsid w:val="006804F3"/>
    <w:rsid w:val="006806D0"/>
    <w:rsid w:val="00680770"/>
    <w:rsid w:val="006807F5"/>
    <w:rsid w:val="00680B6E"/>
    <w:rsid w:val="00681155"/>
    <w:rsid w:val="00681B7B"/>
    <w:rsid w:val="00681BFD"/>
    <w:rsid w:val="00681DBC"/>
    <w:rsid w:val="00681FF5"/>
    <w:rsid w:val="00681FF6"/>
    <w:rsid w:val="006822C7"/>
    <w:rsid w:val="0068241D"/>
    <w:rsid w:val="00682D75"/>
    <w:rsid w:val="00682E32"/>
    <w:rsid w:val="00683226"/>
    <w:rsid w:val="006833E9"/>
    <w:rsid w:val="00683661"/>
    <w:rsid w:val="0068380B"/>
    <w:rsid w:val="00683903"/>
    <w:rsid w:val="00683C67"/>
    <w:rsid w:val="00683D2A"/>
    <w:rsid w:val="00683D53"/>
    <w:rsid w:val="00683DB3"/>
    <w:rsid w:val="006849C3"/>
    <w:rsid w:val="00684B02"/>
    <w:rsid w:val="006851DA"/>
    <w:rsid w:val="00685390"/>
    <w:rsid w:val="006866BF"/>
    <w:rsid w:val="0068674A"/>
    <w:rsid w:val="00686ADD"/>
    <w:rsid w:val="00686D78"/>
    <w:rsid w:val="00686DE4"/>
    <w:rsid w:val="006877FF"/>
    <w:rsid w:val="00687A1B"/>
    <w:rsid w:val="0069031F"/>
    <w:rsid w:val="00690636"/>
    <w:rsid w:val="00690D53"/>
    <w:rsid w:val="00691636"/>
    <w:rsid w:val="00691991"/>
    <w:rsid w:val="006922CE"/>
    <w:rsid w:val="00692443"/>
    <w:rsid w:val="006927D8"/>
    <w:rsid w:val="006937DB"/>
    <w:rsid w:val="00693895"/>
    <w:rsid w:val="00693CD5"/>
    <w:rsid w:val="006945CA"/>
    <w:rsid w:val="006946C3"/>
    <w:rsid w:val="006948F4"/>
    <w:rsid w:val="006953CD"/>
    <w:rsid w:val="00695454"/>
    <w:rsid w:val="006955F4"/>
    <w:rsid w:val="006956E4"/>
    <w:rsid w:val="006964DE"/>
    <w:rsid w:val="00696A84"/>
    <w:rsid w:val="00697DE5"/>
    <w:rsid w:val="006A0829"/>
    <w:rsid w:val="006A0F64"/>
    <w:rsid w:val="006A1047"/>
    <w:rsid w:val="006A1185"/>
    <w:rsid w:val="006A13B7"/>
    <w:rsid w:val="006A169C"/>
    <w:rsid w:val="006A17B5"/>
    <w:rsid w:val="006A1824"/>
    <w:rsid w:val="006A251C"/>
    <w:rsid w:val="006A2B1A"/>
    <w:rsid w:val="006A2BDF"/>
    <w:rsid w:val="006A37D6"/>
    <w:rsid w:val="006A3A29"/>
    <w:rsid w:val="006A3A8B"/>
    <w:rsid w:val="006A3BF0"/>
    <w:rsid w:val="006A4046"/>
    <w:rsid w:val="006A47EA"/>
    <w:rsid w:val="006A5379"/>
    <w:rsid w:val="006A555D"/>
    <w:rsid w:val="006A5696"/>
    <w:rsid w:val="006A56B2"/>
    <w:rsid w:val="006A5996"/>
    <w:rsid w:val="006A5E19"/>
    <w:rsid w:val="006A762C"/>
    <w:rsid w:val="006B07B1"/>
    <w:rsid w:val="006B07C5"/>
    <w:rsid w:val="006B097E"/>
    <w:rsid w:val="006B0B50"/>
    <w:rsid w:val="006B0CDD"/>
    <w:rsid w:val="006B0DAA"/>
    <w:rsid w:val="006B12CC"/>
    <w:rsid w:val="006B1C45"/>
    <w:rsid w:val="006B2CC2"/>
    <w:rsid w:val="006B2EFA"/>
    <w:rsid w:val="006B327A"/>
    <w:rsid w:val="006B35BF"/>
    <w:rsid w:val="006B3B0D"/>
    <w:rsid w:val="006B3DDA"/>
    <w:rsid w:val="006B462E"/>
    <w:rsid w:val="006B4AE2"/>
    <w:rsid w:val="006B4C0C"/>
    <w:rsid w:val="006B536E"/>
    <w:rsid w:val="006B53C8"/>
    <w:rsid w:val="006B5524"/>
    <w:rsid w:val="006B56B3"/>
    <w:rsid w:val="006B594F"/>
    <w:rsid w:val="006B5B15"/>
    <w:rsid w:val="006B5B61"/>
    <w:rsid w:val="006B5D31"/>
    <w:rsid w:val="006B5D55"/>
    <w:rsid w:val="006B6040"/>
    <w:rsid w:val="006B60C8"/>
    <w:rsid w:val="006B683F"/>
    <w:rsid w:val="006B6BC3"/>
    <w:rsid w:val="006B6D34"/>
    <w:rsid w:val="006B70F9"/>
    <w:rsid w:val="006B760D"/>
    <w:rsid w:val="006C073F"/>
    <w:rsid w:val="006C1945"/>
    <w:rsid w:val="006C1A18"/>
    <w:rsid w:val="006C2B06"/>
    <w:rsid w:val="006C31BB"/>
    <w:rsid w:val="006C3A12"/>
    <w:rsid w:val="006C3AD0"/>
    <w:rsid w:val="006C3C5F"/>
    <w:rsid w:val="006C3F67"/>
    <w:rsid w:val="006C401F"/>
    <w:rsid w:val="006C461D"/>
    <w:rsid w:val="006C462C"/>
    <w:rsid w:val="006C46E7"/>
    <w:rsid w:val="006C498C"/>
    <w:rsid w:val="006C4FC9"/>
    <w:rsid w:val="006C5178"/>
    <w:rsid w:val="006C58DA"/>
    <w:rsid w:val="006C6033"/>
    <w:rsid w:val="006C67FF"/>
    <w:rsid w:val="006C68C7"/>
    <w:rsid w:val="006C6BA1"/>
    <w:rsid w:val="006C7210"/>
    <w:rsid w:val="006C7ADB"/>
    <w:rsid w:val="006C7E4C"/>
    <w:rsid w:val="006C7FEC"/>
    <w:rsid w:val="006D0009"/>
    <w:rsid w:val="006D076E"/>
    <w:rsid w:val="006D14A5"/>
    <w:rsid w:val="006D2131"/>
    <w:rsid w:val="006D232C"/>
    <w:rsid w:val="006D23F5"/>
    <w:rsid w:val="006D262F"/>
    <w:rsid w:val="006D270B"/>
    <w:rsid w:val="006D2876"/>
    <w:rsid w:val="006D2D06"/>
    <w:rsid w:val="006D3E55"/>
    <w:rsid w:val="006D4036"/>
    <w:rsid w:val="006D4384"/>
    <w:rsid w:val="006D4461"/>
    <w:rsid w:val="006D4CE4"/>
    <w:rsid w:val="006D5454"/>
    <w:rsid w:val="006D5577"/>
    <w:rsid w:val="006D5607"/>
    <w:rsid w:val="006D57FC"/>
    <w:rsid w:val="006D5EF0"/>
    <w:rsid w:val="006D63E1"/>
    <w:rsid w:val="006D6687"/>
    <w:rsid w:val="006D6801"/>
    <w:rsid w:val="006D6896"/>
    <w:rsid w:val="006D6DD2"/>
    <w:rsid w:val="006D6E6C"/>
    <w:rsid w:val="006D7E41"/>
    <w:rsid w:val="006E00EC"/>
    <w:rsid w:val="006E022B"/>
    <w:rsid w:val="006E0452"/>
    <w:rsid w:val="006E04F5"/>
    <w:rsid w:val="006E058F"/>
    <w:rsid w:val="006E088C"/>
    <w:rsid w:val="006E0B19"/>
    <w:rsid w:val="006E0E27"/>
    <w:rsid w:val="006E1087"/>
    <w:rsid w:val="006E1158"/>
    <w:rsid w:val="006E1C86"/>
    <w:rsid w:val="006E1FFA"/>
    <w:rsid w:val="006E2069"/>
    <w:rsid w:val="006E22B3"/>
    <w:rsid w:val="006E234A"/>
    <w:rsid w:val="006E24D5"/>
    <w:rsid w:val="006E2583"/>
    <w:rsid w:val="006E2B11"/>
    <w:rsid w:val="006E300B"/>
    <w:rsid w:val="006E3035"/>
    <w:rsid w:val="006E3AF1"/>
    <w:rsid w:val="006E4388"/>
    <w:rsid w:val="006E4643"/>
    <w:rsid w:val="006E4B90"/>
    <w:rsid w:val="006E4C98"/>
    <w:rsid w:val="006E5357"/>
    <w:rsid w:val="006E5564"/>
    <w:rsid w:val="006E5A46"/>
    <w:rsid w:val="006E5F7C"/>
    <w:rsid w:val="006E62E7"/>
    <w:rsid w:val="006F131B"/>
    <w:rsid w:val="006F1ABA"/>
    <w:rsid w:val="006F1DC2"/>
    <w:rsid w:val="006F1E03"/>
    <w:rsid w:val="006F2676"/>
    <w:rsid w:val="006F2E02"/>
    <w:rsid w:val="006F2EAD"/>
    <w:rsid w:val="006F3231"/>
    <w:rsid w:val="006F33CB"/>
    <w:rsid w:val="006F3592"/>
    <w:rsid w:val="006F3ABB"/>
    <w:rsid w:val="006F3F45"/>
    <w:rsid w:val="006F44AC"/>
    <w:rsid w:val="006F5185"/>
    <w:rsid w:val="006F52E9"/>
    <w:rsid w:val="006F5436"/>
    <w:rsid w:val="006F5597"/>
    <w:rsid w:val="006F595B"/>
    <w:rsid w:val="006F5E81"/>
    <w:rsid w:val="006F5F1E"/>
    <w:rsid w:val="006F635A"/>
    <w:rsid w:val="006F6583"/>
    <w:rsid w:val="006F684D"/>
    <w:rsid w:val="006F6C91"/>
    <w:rsid w:val="006F7B5E"/>
    <w:rsid w:val="006F7D35"/>
    <w:rsid w:val="006F7F8D"/>
    <w:rsid w:val="007009DC"/>
    <w:rsid w:val="00700B11"/>
    <w:rsid w:val="00700D4E"/>
    <w:rsid w:val="00700DAA"/>
    <w:rsid w:val="00701276"/>
    <w:rsid w:val="00701473"/>
    <w:rsid w:val="00701B49"/>
    <w:rsid w:val="007021E7"/>
    <w:rsid w:val="00702287"/>
    <w:rsid w:val="007024A6"/>
    <w:rsid w:val="00702A1E"/>
    <w:rsid w:val="00702CE8"/>
    <w:rsid w:val="00702F15"/>
    <w:rsid w:val="00702FDC"/>
    <w:rsid w:val="00703CB6"/>
    <w:rsid w:val="00704032"/>
    <w:rsid w:val="0070423D"/>
    <w:rsid w:val="007042AB"/>
    <w:rsid w:val="007042B8"/>
    <w:rsid w:val="00704874"/>
    <w:rsid w:val="00704D17"/>
    <w:rsid w:val="00704FB3"/>
    <w:rsid w:val="00705557"/>
    <w:rsid w:val="00705BFA"/>
    <w:rsid w:val="0070613C"/>
    <w:rsid w:val="00706AD0"/>
    <w:rsid w:val="00706E9D"/>
    <w:rsid w:val="007070E1"/>
    <w:rsid w:val="007075FF"/>
    <w:rsid w:val="007076E3"/>
    <w:rsid w:val="007079AA"/>
    <w:rsid w:val="0071020D"/>
    <w:rsid w:val="007102D1"/>
    <w:rsid w:val="007106E8"/>
    <w:rsid w:val="00710CEA"/>
    <w:rsid w:val="00710CF4"/>
    <w:rsid w:val="007114F8"/>
    <w:rsid w:val="00711B35"/>
    <w:rsid w:val="00711C85"/>
    <w:rsid w:val="00711F19"/>
    <w:rsid w:val="00711F1D"/>
    <w:rsid w:val="007123E1"/>
    <w:rsid w:val="00712861"/>
    <w:rsid w:val="00712AFA"/>
    <w:rsid w:val="00712BC4"/>
    <w:rsid w:val="00713076"/>
    <w:rsid w:val="0071331A"/>
    <w:rsid w:val="007138AE"/>
    <w:rsid w:val="0071396E"/>
    <w:rsid w:val="00713C58"/>
    <w:rsid w:val="00713D1C"/>
    <w:rsid w:val="007147D8"/>
    <w:rsid w:val="007149B7"/>
    <w:rsid w:val="00714CC3"/>
    <w:rsid w:val="00714D84"/>
    <w:rsid w:val="007151CC"/>
    <w:rsid w:val="0071579B"/>
    <w:rsid w:val="00715B3F"/>
    <w:rsid w:val="00715D90"/>
    <w:rsid w:val="00715E90"/>
    <w:rsid w:val="0071646A"/>
    <w:rsid w:val="007164C3"/>
    <w:rsid w:val="00716642"/>
    <w:rsid w:val="007167E6"/>
    <w:rsid w:val="007168C7"/>
    <w:rsid w:val="007169E9"/>
    <w:rsid w:val="00716E76"/>
    <w:rsid w:val="00717A49"/>
    <w:rsid w:val="00720DFD"/>
    <w:rsid w:val="00721498"/>
    <w:rsid w:val="0072177F"/>
    <w:rsid w:val="007218DC"/>
    <w:rsid w:val="00721B4B"/>
    <w:rsid w:val="00721D7D"/>
    <w:rsid w:val="00721F2A"/>
    <w:rsid w:val="00721F81"/>
    <w:rsid w:val="00722640"/>
    <w:rsid w:val="00722777"/>
    <w:rsid w:val="00722941"/>
    <w:rsid w:val="00722A0C"/>
    <w:rsid w:val="00722D96"/>
    <w:rsid w:val="007233DD"/>
    <w:rsid w:val="007233E7"/>
    <w:rsid w:val="0072362B"/>
    <w:rsid w:val="00723953"/>
    <w:rsid w:val="00723AFA"/>
    <w:rsid w:val="007242E8"/>
    <w:rsid w:val="00724895"/>
    <w:rsid w:val="00724B00"/>
    <w:rsid w:val="00724CE1"/>
    <w:rsid w:val="00725158"/>
    <w:rsid w:val="00725204"/>
    <w:rsid w:val="00725982"/>
    <w:rsid w:val="00725E0C"/>
    <w:rsid w:val="00725ED6"/>
    <w:rsid w:val="00726218"/>
    <w:rsid w:val="00726509"/>
    <w:rsid w:val="00726C6E"/>
    <w:rsid w:val="00726DAA"/>
    <w:rsid w:val="00727641"/>
    <w:rsid w:val="00727A28"/>
    <w:rsid w:val="00727AEC"/>
    <w:rsid w:val="00727ED5"/>
    <w:rsid w:val="00731252"/>
    <w:rsid w:val="00731B26"/>
    <w:rsid w:val="007321E1"/>
    <w:rsid w:val="007321E9"/>
    <w:rsid w:val="007325B7"/>
    <w:rsid w:val="007327C0"/>
    <w:rsid w:val="00732D55"/>
    <w:rsid w:val="00732F4A"/>
    <w:rsid w:val="0073300C"/>
    <w:rsid w:val="00733284"/>
    <w:rsid w:val="0073336D"/>
    <w:rsid w:val="007335BC"/>
    <w:rsid w:val="007336E2"/>
    <w:rsid w:val="00733E86"/>
    <w:rsid w:val="007348E9"/>
    <w:rsid w:val="00734C7F"/>
    <w:rsid w:val="00736079"/>
    <w:rsid w:val="0073644A"/>
    <w:rsid w:val="00736686"/>
    <w:rsid w:val="0073684D"/>
    <w:rsid w:val="0073690A"/>
    <w:rsid w:val="00736945"/>
    <w:rsid w:val="00736A81"/>
    <w:rsid w:val="00736AD9"/>
    <w:rsid w:val="00736CA1"/>
    <w:rsid w:val="00740324"/>
    <w:rsid w:val="0074041B"/>
    <w:rsid w:val="00740A17"/>
    <w:rsid w:val="007412FE"/>
    <w:rsid w:val="00741304"/>
    <w:rsid w:val="00741917"/>
    <w:rsid w:val="00742198"/>
    <w:rsid w:val="00742796"/>
    <w:rsid w:val="00742801"/>
    <w:rsid w:val="00742970"/>
    <w:rsid w:val="00742B88"/>
    <w:rsid w:val="00742D74"/>
    <w:rsid w:val="00742F84"/>
    <w:rsid w:val="00743086"/>
    <w:rsid w:val="00743242"/>
    <w:rsid w:val="0074363F"/>
    <w:rsid w:val="00743831"/>
    <w:rsid w:val="00743993"/>
    <w:rsid w:val="00743A00"/>
    <w:rsid w:val="00744BA8"/>
    <w:rsid w:val="00744EF8"/>
    <w:rsid w:val="0074506F"/>
    <w:rsid w:val="00745091"/>
    <w:rsid w:val="00745A2B"/>
    <w:rsid w:val="00745B7D"/>
    <w:rsid w:val="00745DF2"/>
    <w:rsid w:val="00745E3A"/>
    <w:rsid w:val="00746487"/>
    <w:rsid w:val="00746874"/>
    <w:rsid w:val="00746A30"/>
    <w:rsid w:val="00746D68"/>
    <w:rsid w:val="00747AEF"/>
    <w:rsid w:val="00747CD4"/>
    <w:rsid w:val="00747F29"/>
    <w:rsid w:val="0075014B"/>
    <w:rsid w:val="00750483"/>
    <w:rsid w:val="0075125C"/>
    <w:rsid w:val="00751FD5"/>
    <w:rsid w:val="00752027"/>
    <w:rsid w:val="00752A08"/>
    <w:rsid w:val="00752D99"/>
    <w:rsid w:val="00752E8C"/>
    <w:rsid w:val="00753510"/>
    <w:rsid w:val="00753B1D"/>
    <w:rsid w:val="00753BFE"/>
    <w:rsid w:val="00753C87"/>
    <w:rsid w:val="007540A7"/>
    <w:rsid w:val="00754346"/>
    <w:rsid w:val="00754A64"/>
    <w:rsid w:val="00755627"/>
    <w:rsid w:val="00755D53"/>
    <w:rsid w:val="00756183"/>
    <w:rsid w:val="007570DE"/>
    <w:rsid w:val="00757702"/>
    <w:rsid w:val="00757AA0"/>
    <w:rsid w:val="007600FA"/>
    <w:rsid w:val="0076011A"/>
    <w:rsid w:val="007608DE"/>
    <w:rsid w:val="00760902"/>
    <w:rsid w:val="0076109C"/>
    <w:rsid w:val="00761200"/>
    <w:rsid w:val="00761524"/>
    <w:rsid w:val="007616D1"/>
    <w:rsid w:val="00761752"/>
    <w:rsid w:val="007619B4"/>
    <w:rsid w:val="00761A7C"/>
    <w:rsid w:val="00761BFB"/>
    <w:rsid w:val="00761DC4"/>
    <w:rsid w:val="00762124"/>
    <w:rsid w:val="0076233F"/>
    <w:rsid w:val="00762749"/>
    <w:rsid w:val="00763B98"/>
    <w:rsid w:val="007641AD"/>
    <w:rsid w:val="007649C4"/>
    <w:rsid w:val="007649FC"/>
    <w:rsid w:val="00764BCF"/>
    <w:rsid w:val="007650A2"/>
    <w:rsid w:val="007651F0"/>
    <w:rsid w:val="00765378"/>
    <w:rsid w:val="0076593A"/>
    <w:rsid w:val="00765CEA"/>
    <w:rsid w:val="00765E41"/>
    <w:rsid w:val="00766696"/>
    <w:rsid w:val="00766E8D"/>
    <w:rsid w:val="00766E9F"/>
    <w:rsid w:val="0076720A"/>
    <w:rsid w:val="00767A7E"/>
    <w:rsid w:val="00767B8A"/>
    <w:rsid w:val="00767D76"/>
    <w:rsid w:val="007701FB"/>
    <w:rsid w:val="0077089B"/>
    <w:rsid w:val="00770B39"/>
    <w:rsid w:val="00770F35"/>
    <w:rsid w:val="007712F5"/>
    <w:rsid w:val="007714F0"/>
    <w:rsid w:val="007717A4"/>
    <w:rsid w:val="0077214F"/>
    <w:rsid w:val="00772E47"/>
    <w:rsid w:val="00772EB4"/>
    <w:rsid w:val="007730A9"/>
    <w:rsid w:val="00773412"/>
    <w:rsid w:val="007738E1"/>
    <w:rsid w:val="00773962"/>
    <w:rsid w:val="00773EE8"/>
    <w:rsid w:val="007743B8"/>
    <w:rsid w:val="0077449C"/>
    <w:rsid w:val="007746BF"/>
    <w:rsid w:val="00774BD0"/>
    <w:rsid w:val="00775546"/>
    <w:rsid w:val="0077558C"/>
    <w:rsid w:val="0077569F"/>
    <w:rsid w:val="00775879"/>
    <w:rsid w:val="00775970"/>
    <w:rsid w:val="00775F98"/>
    <w:rsid w:val="00776606"/>
    <w:rsid w:val="007767C0"/>
    <w:rsid w:val="00776A5A"/>
    <w:rsid w:val="00776A5B"/>
    <w:rsid w:val="00776C1A"/>
    <w:rsid w:val="00776E10"/>
    <w:rsid w:val="00776FBF"/>
    <w:rsid w:val="0077705D"/>
    <w:rsid w:val="007773A2"/>
    <w:rsid w:val="00777E80"/>
    <w:rsid w:val="007803A5"/>
    <w:rsid w:val="00780676"/>
    <w:rsid w:val="0078085C"/>
    <w:rsid w:val="00780921"/>
    <w:rsid w:val="0078140E"/>
    <w:rsid w:val="007815BC"/>
    <w:rsid w:val="00781BF9"/>
    <w:rsid w:val="00781D66"/>
    <w:rsid w:val="00781D6D"/>
    <w:rsid w:val="00782236"/>
    <w:rsid w:val="007823BB"/>
    <w:rsid w:val="00782828"/>
    <w:rsid w:val="0078323F"/>
    <w:rsid w:val="00783A5F"/>
    <w:rsid w:val="00784008"/>
    <w:rsid w:val="007840C5"/>
    <w:rsid w:val="00784354"/>
    <w:rsid w:val="0078437D"/>
    <w:rsid w:val="007845BD"/>
    <w:rsid w:val="00784CDF"/>
    <w:rsid w:val="00785519"/>
    <w:rsid w:val="0078569B"/>
    <w:rsid w:val="00785818"/>
    <w:rsid w:val="00785C82"/>
    <w:rsid w:val="007861E9"/>
    <w:rsid w:val="007864F1"/>
    <w:rsid w:val="0078794A"/>
    <w:rsid w:val="00787B87"/>
    <w:rsid w:val="00787D08"/>
    <w:rsid w:val="00787F5A"/>
    <w:rsid w:val="00790978"/>
    <w:rsid w:val="00790EC6"/>
    <w:rsid w:val="0079102F"/>
    <w:rsid w:val="0079108A"/>
    <w:rsid w:val="007913A0"/>
    <w:rsid w:val="00791840"/>
    <w:rsid w:val="007919CD"/>
    <w:rsid w:val="00791EB1"/>
    <w:rsid w:val="007921A0"/>
    <w:rsid w:val="00792326"/>
    <w:rsid w:val="0079278F"/>
    <w:rsid w:val="00792D1F"/>
    <w:rsid w:val="00793052"/>
    <w:rsid w:val="00793B6C"/>
    <w:rsid w:val="00793C28"/>
    <w:rsid w:val="00793D50"/>
    <w:rsid w:val="00794921"/>
    <w:rsid w:val="00795EAD"/>
    <w:rsid w:val="00795F40"/>
    <w:rsid w:val="00796199"/>
    <w:rsid w:val="0079658A"/>
    <w:rsid w:val="0079688A"/>
    <w:rsid w:val="0079752C"/>
    <w:rsid w:val="00797611"/>
    <w:rsid w:val="00797777"/>
    <w:rsid w:val="007A0172"/>
    <w:rsid w:val="007A05F9"/>
    <w:rsid w:val="007A0694"/>
    <w:rsid w:val="007A08F6"/>
    <w:rsid w:val="007A0BC9"/>
    <w:rsid w:val="007A0F5A"/>
    <w:rsid w:val="007A12F1"/>
    <w:rsid w:val="007A17D2"/>
    <w:rsid w:val="007A18D8"/>
    <w:rsid w:val="007A1C57"/>
    <w:rsid w:val="007A2216"/>
    <w:rsid w:val="007A233D"/>
    <w:rsid w:val="007A2375"/>
    <w:rsid w:val="007A2902"/>
    <w:rsid w:val="007A2A94"/>
    <w:rsid w:val="007A336D"/>
    <w:rsid w:val="007A3FA0"/>
    <w:rsid w:val="007A4339"/>
    <w:rsid w:val="007A48A5"/>
    <w:rsid w:val="007A4D68"/>
    <w:rsid w:val="007A52C7"/>
    <w:rsid w:val="007A54FF"/>
    <w:rsid w:val="007A5A72"/>
    <w:rsid w:val="007A5C03"/>
    <w:rsid w:val="007A623D"/>
    <w:rsid w:val="007A66C7"/>
    <w:rsid w:val="007A6B16"/>
    <w:rsid w:val="007A6B7F"/>
    <w:rsid w:val="007A6E5C"/>
    <w:rsid w:val="007A72BC"/>
    <w:rsid w:val="007A753F"/>
    <w:rsid w:val="007A7903"/>
    <w:rsid w:val="007A7BC7"/>
    <w:rsid w:val="007A7E62"/>
    <w:rsid w:val="007B00F9"/>
    <w:rsid w:val="007B0206"/>
    <w:rsid w:val="007B0C25"/>
    <w:rsid w:val="007B107E"/>
    <w:rsid w:val="007B124E"/>
    <w:rsid w:val="007B1480"/>
    <w:rsid w:val="007B193D"/>
    <w:rsid w:val="007B1FC7"/>
    <w:rsid w:val="007B2282"/>
    <w:rsid w:val="007B28BD"/>
    <w:rsid w:val="007B2D1B"/>
    <w:rsid w:val="007B2D72"/>
    <w:rsid w:val="007B3257"/>
    <w:rsid w:val="007B34A8"/>
    <w:rsid w:val="007B3A84"/>
    <w:rsid w:val="007B3CC7"/>
    <w:rsid w:val="007B3E06"/>
    <w:rsid w:val="007B414F"/>
    <w:rsid w:val="007B428A"/>
    <w:rsid w:val="007B4D55"/>
    <w:rsid w:val="007B5A08"/>
    <w:rsid w:val="007B5D61"/>
    <w:rsid w:val="007B5DEF"/>
    <w:rsid w:val="007B6189"/>
    <w:rsid w:val="007B624A"/>
    <w:rsid w:val="007B66FE"/>
    <w:rsid w:val="007B67BB"/>
    <w:rsid w:val="007B6B8F"/>
    <w:rsid w:val="007B6DDF"/>
    <w:rsid w:val="007B70F9"/>
    <w:rsid w:val="007B747B"/>
    <w:rsid w:val="007B7735"/>
    <w:rsid w:val="007B78BB"/>
    <w:rsid w:val="007B79DA"/>
    <w:rsid w:val="007B7E8A"/>
    <w:rsid w:val="007C0844"/>
    <w:rsid w:val="007C0C44"/>
    <w:rsid w:val="007C0EFC"/>
    <w:rsid w:val="007C181A"/>
    <w:rsid w:val="007C18B5"/>
    <w:rsid w:val="007C1A3E"/>
    <w:rsid w:val="007C23AF"/>
    <w:rsid w:val="007C2408"/>
    <w:rsid w:val="007C25A0"/>
    <w:rsid w:val="007C27D0"/>
    <w:rsid w:val="007C294A"/>
    <w:rsid w:val="007C2B0B"/>
    <w:rsid w:val="007C2C36"/>
    <w:rsid w:val="007C2E1B"/>
    <w:rsid w:val="007C3CBA"/>
    <w:rsid w:val="007C49B2"/>
    <w:rsid w:val="007C4ABE"/>
    <w:rsid w:val="007C4D80"/>
    <w:rsid w:val="007C5276"/>
    <w:rsid w:val="007C5326"/>
    <w:rsid w:val="007C56F6"/>
    <w:rsid w:val="007C57AF"/>
    <w:rsid w:val="007C5B09"/>
    <w:rsid w:val="007C5FAD"/>
    <w:rsid w:val="007C6235"/>
    <w:rsid w:val="007C642E"/>
    <w:rsid w:val="007C6440"/>
    <w:rsid w:val="007C65D6"/>
    <w:rsid w:val="007C6626"/>
    <w:rsid w:val="007C664E"/>
    <w:rsid w:val="007C6763"/>
    <w:rsid w:val="007C6A2B"/>
    <w:rsid w:val="007C73EC"/>
    <w:rsid w:val="007C7683"/>
    <w:rsid w:val="007C789F"/>
    <w:rsid w:val="007D040E"/>
    <w:rsid w:val="007D0636"/>
    <w:rsid w:val="007D07D0"/>
    <w:rsid w:val="007D0CB9"/>
    <w:rsid w:val="007D0E07"/>
    <w:rsid w:val="007D1249"/>
    <w:rsid w:val="007D12B6"/>
    <w:rsid w:val="007D1420"/>
    <w:rsid w:val="007D1795"/>
    <w:rsid w:val="007D17BF"/>
    <w:rsid w:val="007D246F"/>
    <w:rsid w:val="007D2888"/>
    <w:rsid w:val="007D2B33"/>
    <w:rsid w:val="007D2CE0"/>
    <w:rsid w:val="007D2CEC"/>
    <w:rsid w:val="007D2D62"/>
    <w:rsid w:val="007D2FAA"/>
    <w:rsid w:val="007D31DF"/>
    <w:rsid w:val="007D4098"/>
    <w:rsid w:val="007D42B6"/>
    <w:rsid w:val="007D4E28"/>
    <w:rsid w:val="007D4E33"/>
    <w:rsid w:val="007D5210"/>
    <w:rsid w:val="007D532E"/>
    <w:rsid w:val="007D5718"/>
    <w:rsid w:val="007D5F99"/>
    <w:rsid w:val="007D6645"/>
    <w:rsid w:val="007D68DF"/>
    <w:rsid w:val="007D6AB3"/>
    <w:rsid w:val="007D6D0B"/>
    <w:rsid w:val="007D7356"/>
    <w:rsid w:val="007D78AA"/>
    <w:rsid w:val="007E0F7B"/>
    <w:rsid w:val="007E17D3"/>
    <w:rsid w:val="007E190D"/>
    <w:rsid w:val="007E1BA2"/>
    <w:rsid w:val="007E1F77"/>
    <w:rsid w:val="007E24E3"/>
    <w:rsid w:val="007E2558"/>
    <w:rsid w:val="007E26DD"/>
    <w:rsid w:val="007E28FD"/>
    <w:rsid w:val="007E2A64"/>
    <w:rsid w:val="007E2B61"/>
    <w:rsid w:val="007E2BB2"/>
    <w:rsid w:val="007E2ED6"/>
    <w:rsid w:val="007E3357"/>
    <w:rsid w:val="007E4767"/>
    <w:rsid w:val="007E4AEC"/>
    <w:rsid w:val="007E4DE8"/>
    <w:rsid w:val="007E4EA9"/>
    <w:rsid w:val="007E5696"/>
    <w:rsid w:val="007E5833"/>
    <w:rsid w:val="007E5AD9"/>
    <w:rsid w:val="007E5B8A"/>
    <w:rsid w:val="007E5C9B"/>
    <w:rsid w:val="007E5DF1"/>
    <w:rsid w:val="007E619C"/>
    <w:rsid w:val="007E65EF"/>
    <w:rsid w:val="007E6AF1"/>
    <w:rsid w:val="007E6C32"/>
    <w:rsid w:val="007E6C88"/>
    <w:rsid w:val="007E6D31"/>
    <w:rsid w:val="007E6F91"/>
    <w:rsid w:val="007E7131"/>
    <w:rsid w:val="007E7445"/>
    <w:rsid w:val="007E76D9"/>
    <w:rsid w:val="007E773B"/>
    <w:rsid w:val="007E7FE4"/>
    <w:rsid w:val="007F0767"/>
    <w:rsid w:val="007F1F2A"/>
    <w:rsid w:val="007F21F3"/>
    <w:rsid w:val="007F2269"/>
    <w:rsid w:val="007F2446"/>
    <w:rsid w:val="007F2676"/>
    <w:rsid w:val="007F26CB"/>
    <w:rsid w:val="007F2917"/>
    <w:rsid w:val="007F2ED1"/>
    <w:rsid w:val="007F37B2"/>
    <w:rsid w:val="007F3901"/>
    <w:rsid w:val="007F392F"/>
    <w:rsid w:val="007F3A08"/>
    <w:rsid w:val="007F410D"/>
    <w:rsid w:val="007F5206"/>
    <w:rsid w:val="007F523A"/>
    <w:rsid w:val="007F52FD"/>
    <w:rsid w:val="007F5830"/>
    <w:rsid w:val="007F5F69"/>
    <w:rsid w:val="007F5FDE"/>
    <w:rsid w:val="007F6143"/>
    <w:rsid w:val="007F62E9"/>
    <w:rsid w:val="007F658F"/>
    <w:rsid w:val="007F672E"/>
    <w:rsid w:val="007F6A84"/>
    <w:rsid w:val="007F6AC5"/>
    <w:rsid w:val="008004FB"/>
    <w:rsid w:val="00800C62"/>
    <w:rsid w:val="00800C6A"/>
    <w:rsid w:val="00800D07"/>
    <w:rsid w:val="00800D3D"/>
    <w:rsid w:val="008010F4"/>
    <w:rsid w:val="00801197"/>
    <w:rsid w:val="008012BB"/>
    <w:rsid w:val="008016B1"/>
    <w:rsid w:val="008025DC"/>
    <w:rsid w:val="008029B9"/>
    <w:rsid w:val="00802D41"/>
    <w:rsid w:val="0080326F"/>
    <w:rsid w:val="00803430"/>
    <w:rsid w:val="008038E8"/>
    <w:rsid w:val="008039A0"/>
    <w:rsid w:val="00803AFE"/>
    <w:rsid w:val="00803E8E"/>
    <w:rsid w:val="008043F9"/>
    <w:rsid w:val="0080464B"/>
    <w:rsid w:val="0080471B"/>
    <w:rsid w:val="008049DF"/>
    <w:rsid w:val="00804A0F"/>
    <w:rsid w:val="00804A1A"/>
    <w:rsid w:val="00804C6F"/>
    <w:rsid w:val="00804D6A"/>
    <w:rsid w:val="00805042"/>
    <w:rsid w:val="00806DFC"/>
    <w:rsid w:val="00806DFE"/>
    <w:rsid w:val="00806FEF"/>
    <w:rsid w:val="00807345"/>
    <w:rsid w:val="00807404"/>
    <w:rsid w:val="008079F4"/>
    <w:rsid w:val="008079FC"/>
    <w:rsid w:val="00807B61"/>
    <w:rsid w:val="008104BD"/>
    <w:rsid w:val="008108BD"/>
    <w:rsid w:val="00810D26"/>
    <w:rsid w:val="00810D29"/>
    <w:rsid w:val="00811016"/>
    <w:rsid w:val="0081141B"/>
    <w:rsid w:val="008115F3"/>
    <w:rsid w:val="00811F71"/>
    <w:rsid w:val="00812485"/>
    <w:rsid w:val="00812901"/>
    <w:rsid w:val="00812A71"/>
    <w:rsid w:val="00812BBC"/>
    <w:rsid w:val="00812C9E"/>
    <w:rsid w:val="00812F3B"/>
    <w:rsid w:val="00812F77"/>
    <w:rsid w:val="00813108"/>
    <w:rsid w:val="00813BAC"/>
    <w:rsid w:val="00813BD6"/>
    <w:rsid w:val="00813E96"/>
    <w:rsid w:val="008146D4"/>
    <w:rsid w:val="00814ECE"/>
    <w:rsid w:val="008156D3"/>
    <w:rsid w:val="00815A62"/>
    <w:rsid w:val="00815BE8"/>
    <w:rsid w:val="008168B7"/>
    <w:rsid w:val="00816A38"/>
    <w:rsid w:val="00817032"/>
    <w:rsid w:val="00817C12"/>
    <w:rsid w:val="00817CCE"/>
    <w:rsid w:val="00820789"/>
    <w:rsid w:val="00820900"/>
    <w:rsid w:val="00820AB0"/>
    <w:rsid w:val="00820BBA"/>
    <w:rsid w:val="00820C38"/>
    <w:rsid w:val="00820D9D"/>
    <w:rsid w:val="00820F83"/>
    <w:rsid w:val="0082148A"/>
    <w:rsid w:val="0082155D"/>
    <w:rsid w:val="00821728"/>
    <w:rsid w:val="00821B8B"/>
    <w:rsid w:val="00821E55"/>
    <w:rsid w:val="008228A7"/>
    <w:rsid w:val="00822914"/>
    <w:rsid w:val="00822FFC"/>
    <w:rsid w:val="008230CA"/>
    <w:rsid w:val="00823356"/>
    <w:rsid w:val="00823491"/>
    <w:rsid w:val="00823900"/>
    <w:rsid w:val="00824051"/>
    <w:rsid w:val="00824715"/>
    <w:rsid w:val="008249B2"/>
    <w:rsid w:val="00825312"/>
    <w:rsid w:val="0082557F"/>
    <w:rsid w:val="00825973"/>
    <w:rsid w:val="00825E86"/>
    <w:rsid w:val="008265D8"/>
    <w:rsid w:val="00826884"/>
    <w:rsid w:val="00826AF0"/>
    <w:rsid w:val="00826D57"/>
    <w:rsid w:val="00826EC9"/>
    <w:rsid w:val="00826F24"/>
    <w:rsid w:val="00827001"/>
    <w:rsid w:val="00827204"/>
    <w:rsid w:val="00827235"/>
    <w:rsid w:val="008278D1"/>
    <w:rsid w:val="00830701"/>
    <w:rsid w:val="0083079D"/>
    <w:rsid w:val="00830C84"/>
    <w:rsid w:val="00831231"/>
    <w:rsid w:val="00831E28"/>
    <w:rsid w:val="00832D92"/>
    <w:rsid w:val="00832E36"/>
    <w:rsid w:val="008331C3"/>
    <w:rsid w:val="00833B47"/>
    <w:rsid w:val="00833C2A"/>
    <w:rsid w:val="00833CC8"/>
    <w:rsid w:val="00833D61"/>
    <w:rsid w:val="00833E77"/>
    <w:rsid w:val="00833F61"/>
    <w:rsid w:val="008340B4"/>
    <w:rsid w:val="00834719"/>
    <w:rsid w:val="00834732"/>
    <w:rsid w:val="00834B00"/>
    <w:rsid w:val="00835369"/>
    <w:rsid w:val="008355F7"/>
    <w:rsid w:val="008357EF"/>
    <w:rsid w:val="00835B5A"/>
    <w:rsid w:val="00835D76"/>
    <w:rsid w:val="008362E4"/>
    <w:rsid w:val="008367E2"/>
    <w:rsid w:val="00836818"/>
    <w:rsid w:val="0083692A"/>
    <w:rsid w:val="00837048"/>
    <w:rsid w:val="0083767E"/>
    <w:rsid w:val="00837D8A"/>
    <w:rsid w:val="00837ED7"/>
    <w:rsid w:val="00840077"/>
    <w:rsid w:val="008407F8"/>
    <w:rsid w:val="008416A4"/>
    <w:rsid w:val="00841891"/>
    <w:rsid w:val="00841918"/>
    <w:rsid w:val="00842135"/>
    <w:rsid w:val="008422D4"/>
    <w:rsid w:val="00842BD0"/>
    <w:rsid w:val="0084336E"/>
    <w:rsid w:val="0084341C"/>
    <w:rsid w:val="00843A61"/>
    <w:rsid w:val="00843B35"/>
    <w:rsid w:val="00843D20"/>
    <w:rsid w:val="00843D21"/>
    <w:rsid w:val="0084501C"/>
    <w:rsid w:val="00845149"/>
    <w:rsid w:val="00845343"/>
    <w:rsid w:val="008463B6"/>
    <w:rsid w:val="00846488"/>
    <w:rsid w:val="008465A1"/>
    <w:rsid w:val="00846CC9"/>
    <w:rsid w:val="00846DA4"/>
    <w:rsid w:val="008473E2"/>
    <w:rsid w:val="00847710"/>
    <w:rsid w:val="00847E5D"/>
    <w:rsid w:val="0085007F"/>
    <w:rsid w:val="00850ABF"/>
    <w:rsid w:val="00850CDC"/>
    <w:rsid w:val="00850F03"/>
    <w:rsid w:val="00851097"/>
    <w:rsid w:val="00851243"/>
    <w:rsid w:val="008512A5"/>
    <w:rsid w:val="0085137B"/>
    <w:rsid w:val="00851402"/>
    <w:rsid w:val="00851458"/>
    <w:rsid w:val="00852348"/>
    <w:rsid w:val="0085238C"/>
    <w:rsid w:val="008523D8"/>
    <w:rsid w:val="00852948"/>
    <w:rsid w:val="00852DCC"/>
    <w:rsid w:val="0085339A"/>
    <w:rsid w:val="00853B4B"/>
    <w:rsid w:val="00853DA3"/>
    <w:rsid w:val="00853F12"/>
    <w:rsid w:val="008543CA"/>
    <w:rsid w:val="00854698"/>
    <w:rsid w:val="00854878"/>
    <w:rsid w:val="008548F1"/>
    <w:rsid w:val="008549EA"/>
    <w:rsid w:val="00854C6D"/>
    <w:rsid w:val="00855047"/>
    <w:rsid w:val="008555D6"/>
    <w:rsid w:val="00855B4C"/>
    <w:rsid w:val="00855D07"/>
    <w:rsid w:val="00855FEA"/>
    <w:rsid w:val="00856315"/>
    <w:rsid w:val="00856BA7"/>
    <w:rsid w:val="00857EF7"/>
    <w:rsid w:val="00857EFE"/>
    <w:rsid w:val="00860177"/>
    <w:rsid w:val="008603A3"/>
    <w:rsid w:val="00860976"/>
    <w:rsid w:val="00860A96"/>
    <w:rsid w:val="00861057"/>
    <w:rsid w:val="00861507"/>
    <w:rsid w:val="00861960"/>
    <w:rsid w:val="00861EC1"/>
    <w:rsid w:val="0086258C"/>
    <w:rsid w:val="008629AF"/>
    <w:rsid w:val="00862ABB"/>
    <w:rsid w:val="00862EF2"/>
    <w:rsid w:val="00862F26"/>
    <w:rsid w:val="00862F37"/>
    <w:rsid w:val="008630F4"/>
    <w:rsid w:val="008632AB"/>
    <w:rsid w:val="008634CB"/>
    <w:rsid w:val="008638F7"/>
    <w:rsid w:val="00863BE7"/>
    <w:rsid w:val="0086454A"/>
    <w:rsid w:val="0086477B"/>
    <w:rsid w:val="00864C27"/>
    <w:rsid w:val="00865058"/>
    <w:rsid w:val="008654DE"/>
    <w:rsid w:val="00865C5D"/>
    <w:rsid w:val="00865C62"/>
    <w:rsid w:val="00865EB2"/>
    <w:rsid w:val="0086632D"/>
    <w:rsid w:val="00866456"/>
    <w:rsid w:val="0086718D"/>
    <w:rsid w:val="00870082"/>
    <w:rsid w:val="008701CE"/>
    <w:rsid w:val="008702B8"/>
    <w:rsid w:val="008702D0"/>
    <w:rsid w:val="008707A5"/>
    <w:rsid w:val="00870928"/>
    <w:rsid w:val="00870A3B"/>
    <w:rsid w:val="00870ACD"/>
    <w:rsid w:val="00870E69"/>
    <w:rsid w:val="00871285"/>
    <w:rsid w:val="00871523"/>
    <w:rsid w:val="00871B88"/>
    <w:rsid w:val="008724B8"/>
    <w:rsid w:val="008727E2"/>
    <w:rsid w:val="00872ED6"/>
    <w:rsid w:val="00873068"/>
    <w:rsid w:val="0087312D"/>
    <w:rsid w:val="00873B3D"/>
    <w:rsid w:val="00874855"/>
    <w:rsid w:val="008749F9"/>
    <w:rsid w:val="00874E22"/>
    <w:rsid w:val="00875074"/>
    <w:rsid w:val="00875176"/>
    <w:rsid w:val="00875CBD"/>
    <w:rsid w:val="00875EF7"/>
    <w:rsid w:val="00876164"/>
    <w:rsid w:val="00876252"/>
    <w:rsid w:val="008767F9"/>
    <w:rsid w:val="008771BF"/>
    <w:rsid w:val="0087743E"/>
    <w:rsid w:val="0087748C"/>
    <w:rsid w:val="00880545"/>
    <w:rsid w:val="008808E0"/>
    <w:rsid w:val="00880DC1"/>
    <w:rsid w:val="00880EC0"/>
    <w:rsid w:val="0088180E"/>
    <w:rsid w:val="0088246C"/>
    <w:rsid w:val="00882536"/>
    <w:rsid w:val="008829DA"/>
    <w:rsid w:val="00882D18"/>
    <w:rsid w:val="00882F96"/>
    <w:rsid w:val="0088339D"/>
    <w:rsid w:val="00883921"/>
    <w:rsid w:val="00883B9B"/>
    <w:rsid w:val="0088420A"/>
    <w:rsid w:val="0088429E"/>
    <w:rsid w:val="00884CDA"/>
    <w:rsid w:val="00884D9E"/>
    <w:rsid w:val="0088544E"/>
    <w:rsid w:val="00885789"/>
    <w:rsid w:val="00885AB9"/>
    <w:rsid w:val="0088609F"/>
    <w:rsid w:val="008866C4"/>
    <w:rsid w:val="00886715"/>
    <w:rsid w:val="00886879"/>
    <w:rsid w:val="00886A9A"/>
    <w:rsid w:val="00886B81"/>
    <w:rsid w:val="00886FB7"/>
    <w:rsid w:val="00887289"/>
    <w:rsid w:val="00887313"/>
    <w:rsid w:val="008875B1"/>
    <w:rsid w:val="00887D4D"/>
    <w:rsid w:val="00887E0A"/>
    <w:rsid w:val="00890002"/>
    <w:rsid w:val="00890093"/>
    <w:rsid w:val="00890961"/>
    <w:rsid w:val="00890CE1"/>
    <w:rsid w:val="00890F7E"/>
    <w:rsid w:val="0089171E"/>
    <w:rsid w:val="00891832"/>
    <w:rsid w:val="0089189F"/>
    <w:rsid w:val="00891986"/>
    <w:rsid w:val="00891CB0"/>
    <w:rsid w:val="00891EA4"/>
    <w:rsid w:val="008921BD"/>
    <w:rsid w:val="008924C4"/>
    <w:rsid w:val="00892B43"/>
    <w:rsid w:val="00893095"/>
    <w:rsid w:val="008931A3"/>
    <w:rsid w:val="0089363B"/>
    <w:rsid w:val="0089372F"/>
    <w:rsid w:val="0089375E"/>
    <w:rsid w:val="00893C03"/>
    <w:rsid w:val="00893C29"/>
    <w:rsid w:val="00894808"/>
    <w:rsid w:val="00894E2F"/>
    <w:rsid w:val="00894EFF"/>
    <w:rsid w:val="00895808"/>
    <w:rsid w:val="00895EE3"/>
    <w:rsid w:val="008967B9"/>
    <w:rsid w:val="00896D9F"/>
    <w:rsid w:val="008A0017"/>
    <w:rsid w:val="008A00DF"/>
    <w:rsid w:val="008A0635"/>
    <w:rsid w:val="008A0682"/>
    <w:rsid w:val="008A0E37"/>
    <w:rsid w:val="008A12D9"/>
    <w:rsid w:val="008A1384"/>
    <w:rsid w:val="008A1AD9"/>
    <w:rsid w:val="008A2681"/>
    <w:rsid w:val="008A280B"/>
    <w:rsid w:val="008A298A"/>
    <w:rsid w:val="008A2999"/>
    <w:rsid w:val="008A2C61"/>
    <w:rsid w:val="008A2CCD"/>
    <w:rsid w:val="008A2D08"/>
    <w:rsid w:val="008A2E40"/>
    <w:rsid w:val="008A336A"/>
    <w:rsid w:val="008A36E7"/>
    <w:rsid w:val="008A3937"/>
    <w:rsid w:val="008A3C65"/>
    <w:rsid w:val="008A3CC0"/>
    <w:rsid w:val="008A41C2"/>
    <w:rsid w:val="008A441A"/>
    <w:rsid w:val="008A4E22"/>
    <w:rsid w:val="008A4EF4"/>
    <w:rsid w:val="008A4F74"/>
    <w:rsid w:val="008A546A"/>
    <w:rsid w:val="008A5482"/>
    <w:rsid w:val="008A57C4"/>
    <w:rsid w:val="008A5A06"/>
    <w:rsid w:val="008A5BBD"/>
    <w:rsid w:val="008A69AA"/>
    <w:rsid w:val="008A6CE3"/>
    <w:rsid w:val="008A6DE7"/>
    <w:rsid w:val="008A7127"/>
    <w:rsid w:val="008A7228"/>
    <w:rsid w:val="008A7A9D"/>
    <w:rsid w:val="008B00E9"/>
    <w:rsid w:val="008B038C"/>
    <w:rsid w:val="008B05C3"/>
    <w:rsid w:val="008B067D"/>
    <w:rsid w:val="008B08AA"/>
    <w:rsid w:val="008B0F70"/>
    <w:rsid w:val="008B0F8F"/>
    <w:rsid w:val="008B1087"/>
    <w:rsid w:val="008B11BB"/>
    <w:rsid w:val="008B1A11"/>
    <w:rsid w:val="008B2424"/>
    <w:rsid w:val="008B266F"/>
    <w:rsid w:val="008B26B8"/>
    <w:rsid w:val="008B2E16"/>
    <w:rsid w:val="008B2F87"/>
    <w:rsid w:val="008B30EC"/>
    <w:rsid w:val="008B45C7"/>
    <w:rsid w:val="008B4BDF"/>
    <w:rsid w:val="008B522F"/>
    <w:rsid w:val="008B592D"/>
    <w:rsid w:val="008B59DC"/>
    <w:rsid w:val="008B5C1F"/>
    <w:rsid w:val="008B6491"/>
    <w:rsid w:val="008B6576"/>
    <w:rsid w:val="008B66C4"/>
    <w:rsid w:val="008B689A"/>
    <w:rsid w:val="008B7588"/>
    <w:rsid w:val="008B79D2"/>
    <w:rsid w:val="008B7EA8"/>
    <w:rsid w:val="008C03A0"/>
    <w:rsid w:val="008C0517"/>
    <w:rsid w:val="008C1293"/>
    <w:rsid w:val="008C2021"/>
    <w:rsid w:val="008C20AA"/>
    <w:rsid w:val="008C20BA"/>
    <w:rsid w:val="008C2A48"/>
    <w:rsid w:val="008C2ABD"/>
    <w:rsid w:val="008C2D06"/>
    <w:rsid w:val="008C2DF8"/>
    <w:rsid w:val="008C369D"/>
    <w:rsid w:val="008C392C"/>
    <w:rsid w:val="008C3D4F"/>
    <w:rsid w:val="008C418F"/>
    <w:rsid w:val="008C42F2"/>
    <w:rsid w:val="008C481D"/>
    <w:rsid w:val="008C49EF"/>
    <w:rsid w:val="008C4E0C"/>
    <w:rsid w:val="008C522E"/>
    <w:rsid w:val="008C523E"/>
    <w:rsid w:val="008C5785"/>
    <w:rsid w:val="008C5997"/>
    <w:rsid w:val="008C5B6C"/>
    <w:rsid w:val="008C5D88"/>
    <w:rsid w:val="008C63CD"/>
    <w:rsid w:val="008C6BCD"/>
    <w:rsid w:val="008C7026"/>
    <w:rsid w:val="008C76A8"/>
    <w:rsid w:val="008C7A9C"/>
    <w:rsid w:val="008D17BE"/>
    <w:rsid w:val="008D17BF"/>
    <w:rsid w:val="008D1CB2"/>
    <w:rsid w:val="008D24E3"/>
    <w:rsid w:val="008D27DA"/>
    <w:rsid w:val="008D2D14"/>
    <w:rsid w:val="008D370E"/>
    <w:rsid w:val="008D3F6D"/>
    <w:rsid w:val="008D3FB5"/>
    <w:rsid w:val="008D42F0"/>
    <w:rsid w:val="008D4345"/>
    <w:rsid w:val="008D45A2"/>
    <w:rsid w:val="008D49B0"/>
    <w:rsid w:val="008D4C07"/>
    <w:rsid w:val="008D4EFB"/>
    <w:rsid w:val="008D5925"/>
    <w:rsid w:val="008D5D90"/>
    <w:rsid w:val="008D6006"/>
    <w:rsid w:val="008D6211"/>
    <w:rsid w:val="008D68F5"/>
    <w:rsid w:val="008D6F08"/>
    <w:rsid w:val="008D753E"/>
    <w:rsid w:val="008E0189"/>
    <w:rsid w:val="008E0B7B"/>
    <w:rsid w:val="008E0C0F"/>
    <w:rsid w:val="008E0DF6"/>
    <w:rsid w:val="008E1411"/>
    <w:rsid w:val="008E1A1F"/>
    <w:rsid w:val="008E1EA6"/>
    <w:rsid w:val="008E1F21"/>
    <w:rsid w:val="008E3730"/>
    <w:rsid w:val="008E374D"/>
    <w:rsid w:val="008E3857"/>
    <w:rsid w:val="008E3A83"/>
    <w:rsid w:val="008E49A4"/>
    <w:rsid w:val="008E5730"/>
    <w:rsid w:val="008E5EDC"/>
    <w:rsid w:val="008E62D4"/>
    <w:rsid w:val="008E63B0"/>
    <w:rsid w:val="008E6406"/>
    <w:rsid w:val="008E64F7"/>
    <w:rsid w:val="008E6745"/>
    <w:rsid w:val="008E67DD"/>
    <w:rsid w:val="008E6BAF"/>
    <w:rsid w:val="008E70E4"/>
    <w:rsid w:val="008E71DC"/>
    <w:rsid w:val="008E7252"/>
    <w:rsid w:val="008E7421"/>
    <w:rsid w:val="008E7E1A"/>
    <w:rsid w:val="008F03DA"/>
    <w:rsid w:val="008F0BE6"/>
    <w:rsid w:val="008F0E99"/>
    <w:rsid w:val="008F10E3"/>
    <w:rsid w:val="008F1502"/>
    <w:rsid w:val="008F1508"/>
    <w:rsid w:val="008F1B1E"/>
    <w:rsid w:val="008F215E"/>
    <w:rsid w:val="008F22BC"/>
    <w:rsid w:val="008F2839"/>
    <w:rsid w:val="008F2D32"/>
    <w:rsid w:val="008F2F63"/>
    <w:rsid w:val="008F3100"/>
    <w:rsid w:val="008F31A8"/>
    <w:rsid w:val="008F32B2"/>
    <w:rsid w:val="008F3549"/>
    <w:rsid w:val="008F3558"/>
    <w:rsid w:val="008F391A"/>
    <w:rsid w:val="008F3B3C"/>
    <w:rsid w:val="008F3C15"/>
    <w:rsid w:val="008F4394"/>
    <w:rsid w:val="008F4619"/>
    <w:rsid w:val="008F5169"/>
    <w:rsid w:val="008F58B5"/>
    <w:rsid w:val="008F5B22"/>
    <w:rsid w:val="008F5EAE"/>
    <w:rsid w:val="008F6433"/>
    <w:rsid w:val="008F66FF"/>
    <w:rsid w:val="008F67CC"/>
    <w:rsid w:val="008F6821"/>
    <w:rsid w:val="008F6972"/>
    <w:rsid w:val="008F6DE4"/>
    <w:rsid w:val="008F6F53"/>
    <w:rsid w:val="008F7052"/>
    <w:rsid w:val="008F76CF"/>
    <w:rsid w:val="008F79F7"/>
    <w:rsid w:val="008F7A45"/>
    <w:rsid w:val="00900545"/>
    <w:rsid w:val="00900549"/>
    <w:rsid w:val="0090055F"/>
    <w:rsid w:val="00900613"/>
    <w:rsid w:val="009007B9"/>
    <w:rsid w:val="00900951"/>
    <w:rsid w:val="00900988"/>
    <w:rsid w:val="00900BE0"/>
    <w:rsid w:val="009011B7"/>
    <w:rsid w:val="009016D5"/>
    <w:rsid w:val="009018C3"/>
    <w:rsid w:val="00901A56"/>
    <w:rsid w:val="00901A9F"/>
    <w:rsid w:val="00901C09"/>
    <w:rsid w:val="00901CEF"/>
    <w:rsid w:val="00901D7E"/>
    <w:rsid w:val="00902013"/>
    <w:rsid w:val="00902333"/>
    <w:rsid w:val="009023F0"/>
    <w:rsid w:val="00902668"/>
    <w:rsid w:val="00903283"/>
    <w:rsid w:val="00903853"/>
    <w:rsid w:val="0090427A"/>
    <w:rsid w:val="009044FE"/>
    <w:rsid w:val="009048A6"/>
    <w:rsid w:val="00904D11"/>
    <w:rsid w:val="00904EB4"/>
    <w:rsid w:val="00904F80"/>
    <w:rsid w:val="0090538F"/>
    <w:rsid w:val="009054AD"/>
    <w:rsid w:val="00905817"/>
    <w:rsid w:val="0090601E"/>
    <w:rsid w:val="0090646F"/>
    <w:rsid w:val="00906826"/>
    <w:rsid w:val="009068C2"/>
    <w:rsid w:val="00906A97"/>
    <w:rsid w:val="00906F5B"/>
    <w:rsid w:val="009074A6"/>
    <w:rsid w:val="009075A3"/>
    <w:rsid w:val="009075AF"/>
    <w:rsid w:val="00907B15"/>
    <w:rsid w:val="00907D0B"/>
    <w:rsid w:val="00910001"/>
    <w:rsid w:val="0091021C"/>
    <w:rsid w:val="00910443"/>
    <w:rsid w:val="00910EE6"/>
    <w:rsid w:val="0091204F"/>
    <w:rsid w:val="00912088"/>
    <w:rsid w:val="00912C0D"/>
    <w:rsid w:val="00913516"/>
    <w:rsid w:val="0091373C"/>
    <w:rsid w:val="009146BD"/>
    <w:rsid w:val="0091471E"/>
    <w:rsid w:val="00914832"/>
    <w:rsid w:val="00915043"/>
    <w:rsid w:val="00915640"/>
    <w:rsid w:val="00915F55"/>
    <w:rsid w:val="00916086"/>
    <w:rsid w:val="009160CC"/>
    <w:rsid w:val="00916523"/>
    <w:rsid w:val="009166F6"/>
    <w:rsid w:val="00916BB8"/>
    <w:rsid w:val="00916D57"/>
    <w:rsid w:val="00917A6F"/>
    <w:rsid w:val="00920415"/>
    <w:rsid w:val="00920E4D"/>
    <w:rsid w:val="00921153"/>
    <w:rsid w:val="00921B16"/>
    <w:rsid w:val="00921C55"/>
    <w:rsid w:val="00922111"/>
    <w:rsid w:val="0092286C"/>
    <w:rsid w:val="00922C41"/>
    <w:rsid w:val="00922D42"/>
    <w:rsid w:val="00922EBE"/>
    <w:rsid w:val="0092305E"/>
    <w:rsid w:val="00923892"/>
    <w:rsid w:val="0092468B"/>
    <w:rsid w:val="00924AEC"/>
    <w:rsid w:val="00924B39"/>
    <w:rsid w:val="00924C5A"/>
    <w:rsid w:val="00924E5A"/>
    <w:rsid w:val="0092509A"/>
    <w:rsid w:val="009253F5"/>
    <w:rsid w:val="009256F0"/>
    <w:rsid w:val="00925BA9"/>
    <w:rsid w:val="00926218"/>
    <w:rsid w:val="0092650A"/>
    <w:rsid w:val="0092667A"/>
    <w:rsid w:val="009267AC"/>
    <w:rsid w:val="009268C2"/>
    <w:rsid w:val="00926A2D"/>
    <w:rsid w:val="009270CF"/>
    <w:rsid w:val="009274E2"/>
    <w:rsid w:val="0092778D"/>
    <w:rsid w:val="009304DA"/>
    <w:rsid w:val="00930645"/>
    <w:rsid w:val="0093090B"/>
    <w:rsid w:val="00930C3E"/>
    <w:rsid w:val="009314E1"/>
    <w:rsid w:val="009317E3"/>
    <w:rsid w:val="0093220A"/>
    <w:rsid w:val="009328FC"/>
    <w:rsid w:val="009329AB"/>
    <w:rsid w:val="00932BC8"/>
    <w:rsid w:val="00932C76"/>
    <w:rsid w:val="00932F0B"/>
    <w:rsid w:val="00932F75"/>
    <w:rsid w:val="00932FC7"/>
    <w:rsid w:val="009335F3"/>
    <w:rsid w:val="00933978"/>
    <w:rsid w:val="00934089"/>
    <w:rsid w:val="009347FE"/>
    <w:rsid w:val="009348E7"/>
    <w:rsid w:val="00935126"/>
    <w:rsid w:val="00935228"/>
    <w:rsid w:val="009354EE"/>
    <w:rsid w:val="009355CE"/>
    <w:rsid w:val="00935650"/>
    <w:rsid w:val="0093588C"/>
    <w:rsid w:val="00935CB7"/>
    <w:rsid w:val="00935EE3"/>
    <w:rsid w:val="00935FF0"/>
    <w:rsid w:val="00936956"/>
    <w:rsid w:val="00937641"/>
    <w:rsid w:val="00937D3B"/>
    <w:rsid w:val="00940960"/>
    <w:rsid w:val="0094098B"/>
    <w:rsid w:val="00940D29"/>
    <w:rsid w:val="00941F3F"/>
    <w:rsid w:val="009424F3"/>
    <w:rsid w:val="00942754"/>
    <w:rsid w:val="009427C6"/>
    <w:rsid w:val="00942DE1"/>
    <w:rsid w:val="00943450"/>
    <w:rsid w:val="00944118"/>
    <w:rsid w:val="00944414"/>
    <w:rsid w:val="00945071"/>
    <w:rsid w:val="009451B6"/>
    <w:rsid w:val="009460BE"/>
    <w:rsid w:val="0094624B"/>
    <w:rsid w:val="0094626C"/>
    <w:rsid w:val="00946433"/>
    <w:rsid w:val="00946E21"/>
    <w:rsid w:val="00947250"/>
    <w:rsid w:val="00947530"/>
    <w:rsid w:val="00947D3D"/>
    <w:rsid w:val="00950236"/>
    <w:rsid w:val="00950426"/>
    <w:rsid w:val="0095069A"/>
    <w:rsid w:val="009507A7"/>
    <w:rsid w:val="0095083E"/>
    <w:rsid w:val="00950AC7"/>
    <w:rsid w:val="00950B5E"/>
    <w:rsid w:val="00950CD9"/>
    <w:rsid w:val="009515EA"/>
    <w:rsid w:val="00951846"/>
    <w:rsid w:val="00951A97"/>
    <w:rsid w:val="00951ADD"/>
    <w:rsid w:val="00952214"/>
    <w:rsid w:val="009529E3"/>
    <w:rsid w:val="009529E6"/>
    <w:rsid w:val="009531C7"/>
    <w:rsid w:val="00953301"/>
    <w:rsid w:val="00953420"/>
    <w:rsid w:val="0095350A"/>
    <w:rsid w:val="009536D4"/>
    <w:rsid w:val="0095378C"/>
    <w:rsid w:val="00953931"/>
    <w:rsid w:val="0095430E"/>
    <w:rsid w:val="00954CA6"/>
    <w:rsid w:val="00954ECA"/>
    <w:rsid w:val="009553C8"/>
    <w:rsid w:val="0095573B"/>
    <w:rsid w:val="00955BDE"/>
    <w:rsid w:val="00955D86"/>
    <w:rsid w:val="00955DCC"/>
    <w:rsid w:val="0095650E"/>
    <w:rsid w:val="009565FE"/>
    <w:rsid w:val="00956798"/>
    <w:rsid w:val="00956839"/>
    <w:rsid w:val="00956F1E"/>
    <w:rsid w:val="00957715"/>
    <w:rsid w:val="009579A2"/>
    <w:rsid w:val="00957AF7"/>
    <w:rsid w:val="00957BCF"/>
    <w:rsid w:val="00957F37"/>
    <w:rsid w:val="00957F87"/>
    <w:rsid w:val="00957FD3"/>
    <w:rsid w:val="00960034"/>
    <w:rsid w:val="00960045"/>
    <w:rsid w:val="0096028F"/>
    <w:rsid w:val="00960354"/>
    <w:rsid w:val="009603FC"/>
    <w:rsid w:val="00960B8C"/>
    <w:rsid w:val="00960DF3"/>
    <w:rsid w:val="00961079"/>
    <w:rsid w:val="0096113C"/>
    <w:rsid w:val="00961A20"/>
    <w:rsid w:val="0096202A"/>
    <w:rsid w:val="009622C6"/>
    <w:rsid w:val="00962FD2"/>
    <w:rsid w:val="0096308C"/>
    <w:rsid w:val="0096327D"/>
    <w:rsid w:val="00963E53"/>
    <w:rsid w:val="00964180"/>
    <w:rsid w:val="00964412"/>
    <w:rsid w:val="00964465"/>
    <w:rsid w:val="0096452D"/>
    <w:rsid w:val="00964549"/>
    <w:rsid w:val="00964847"/>
    <w:rsid w:val="00964BC2"/>
    <w:rsid w:val="00964BD6"/>
    <w:rsid w:val="00964E40"/>
    <w:rsid w:val="00964EC8"/>
    <w:rsid w:val="00965054"/>
    <w:rsid w:val="0096586C"/>
    <w:rsid w:val="00965B23"/>
    <w:rsid w:val="0096627B"/>
    <w:rsid w:val="00966749"/>
    <w:rsid w:val="00966811"/>
    <w:rsid w:val="0096688B"/>
    <w:rsid w:val="00966D00"/>
    <w:rsid w:val="00966DE0"/>
    <w:rsid w:val="00967C02"/>
    <w:rsid w:val="00967C8A"/>
    <w:rsid w:val="00970158"/>
    <w:rsid w:val="009704BB"/>
    <w:rsid w:val="009715DB"/>
    <w:rsid w:val="00971705"/>
    <w:rsid w:val="009719A5"/>
    <w:rsid w:val="00971CA2"/>
    <w:rsid w:val="00971F3A"/>
    <w:rsid w:val="00972062"/>
    <w:rsid w:val="00972391"/>
    <w:rsid w:val="00972729"/>
    <w:rsid w:val="009728FC"/>
    <w:rsid w:val="00972B28"/>
    <w:rsid w:val="00973056"/>
    <w:rsid w:val="0097328C"/>
    <w:rsid w:val="0097380F"/>
    <w:rsid w:val="009738D4"/>
    <w:rsid w:val="00974101"/>
    <w:rsid w:val="00974358"/>
    <w:rsid w:val="00974794"/>
    <w:rsid w:val="00974854"/>
    <w:rsid w:val="009748F4"/>
    <w:rsid w:val="00974974"/>
    <w:rsid w:val="009749EF"/>
    <w:rsid w:val="00974D53"/>
    <w:rsid w:val="00974E52"/>
    <w:rsid w:val="00974F00"/>
    <w:rsid w:val="00975764"/>
    <w:rsid w:val="00975F25"/>
    <w:rsid w:val="00975FF6"/>
    <w:rsid w:val="009763F1"/>
    <w:rsid w:val="009765A5"/>
    <w:rsid w:val="00976F06"/>
    <w:rsid w:val="009778E6"/>
    <w:rsid w:val="00977C31"/>
    <w:rsid w:val="00977C62"/>
    <w:rsid w:val="00980976"/>
    <w:rsid w:val="00980C47"/>
    <w:rsid w:val="00980E83"/>
    <w:rsid w:val="009815C5"/>
    <w:rsid w:val="009816A7"/>
    <w:rsid w:val="0098231C"/>
    <w:rsid w:val="009824BD"/>
    <w:rsid w:val="00982B3C"/>
    <w:rsid w:val="00982C25"/>
    <w:rsid w:val="009832CC"/>
    <w:rsid w:val="00983606"/>
    <w:rsid w:val="00983A53"/>
    <w:rsid w:val="00983AEB"/>
    <w:rsid w:val="00983D97"/>
    <w:rsid w:val="0098416B"/>
    <w:rsid w:val="009847E2"/>
    <w:rsid w:val="00984C41"/>
    <w:rsid w:val="00984DBA"/>
    <w:rsid w:val="00984DC4"/>
    <w:rsid w:val="00984F32"/>
    <w:rsid w:val="00984FF6"/>
    <w:rsid w:val="00985100"/>
    <w:rsid w:val="00985146"/>
    <w:rsid w:val="00985267"/>
    <w:rsid w:val="009852F4"/>
    <w:rsid w:val="009858AE"/>
    <w:rsid w:val="00985DF5"/>
    <w:rsid w:val="00985FC9"/>
    <w:rsid w:val="00985FD1"/>
    <w:rsid w:val="009862E0"/>
    <w:rsid w:val="009868AE"/>
    <w:rsid w:val="00986C83"/>
    <w:rsid w:val="00986CBA"/>
    <w:rsid w:val="00986D4A"/>
    <w:rsid w:val="0098738C"/>
    <w:rsid w:val="0098750D"/>
    <w:rsid w:val="00990068"/>
    <w:rsid w:val="00990362"/>
    <w:rsid w:val="00990524"/>
    <w:rsid w:val="0099103B"/>
    <w:rsid w:val="009910E1"/>
    <w:rsid w:val="00992055"/>
    <w:rsid w:val="00992114"/>
    <w:rsid w:val="00992242"/>
    <w:rsid w:val="0099243C"/>
    <w:rsid w:val="00992948"/>
    <w:rsid w:val="00992C9F"/>
    <w:rsid w:val="00992DEF"/>
    <w:rsid w:val="00992F1A"/>
    <w:rsid w:val="00993086"/>
    <w:rsid w:val="0099326E"/>
    <w:rsid w:val="00993449"/>
    <w:rsid w:val="0099353C"/>
    <w:rsid w:val="00993659"/>
    <w:rsid w:val="0099388D"/>
    <w:rsid w:val="00993C9C"/>
    <w:rsid w:val="00993CCD"/>
    <w:rsid w:val="009940BF"/>
    <w:rsid w:val="0099415D"/>
    <w:rsid w:val="00994193"/>
    <w:rsid w:val="00994244"/>
    <w:rsid w:val="0099470A"/>
    <w:rsid w:val="0099514E"/>
    <w:rsid w:val="00995331"/>
    <w:rsid w:val="0099534D"/>
    <w:rsid w:val="009954BF"/>
    <w:rsid w:val="00995AD6"/>
    <w:rsid w:val="009977C7"/>
    <w:rsid w:val="00997D2C"/>
    <w:rsid w:val="00997D89"/>
    <w:rsid w:val="009A01F7"/>
    <w:rsid w:val="009A062A"/>
    <w:rsid w:val="009A090F"/>
    <w:rsid w:val="009A0B5A"/>
    <w:rsid w:val="009A0C5E"/>
    <w:rsid w:val="009A119A"/>
    <w:rsid w:val="009A12D1"/>
    <w:rsid w:val="009A1708"/>
    <w:rsid w:val="009A2214"/>
    <w:rsid w:val="009A2604"/>
    <w:rsid w:val="009A2716"/>
    <w:rsid w:val="009A3595"/>
    <w:rsid w:val="009A3A51"/>
    <w:rsid w:val="009A3B35"/>
    <w:rsid w:val="009A3EF6"/>
    <w:rsid w:val="009A43E6"/>
    <w:rsid w:val="009A4A89"/>
    <w:rsid w:val="009A4C2D"/>
    <w:rsid w:val="009A4EB8"/>
    <w:rsid w:val="009A51B0"/>
    <w:rsid w:val="009A5526"/>
    <w:rsid w:val="009A5D85"/>
    <w:rsid w:val="009A5E63"/>
    <w:rsid w:val="009A5F3F"/>
    <w:rsid w:val="009A62D2"/>
    <w:rsid w:val="009A662B"/>
    <w:rsid w:val="009A6A2B"/>
    <w:rsid w:val="009A6CD2"/>
    <w:rsid w:val="009A6F23"/>
    <w:rsid w:val="009A73E3"/>
    <w:rsid w:val="009A753C"/>
    <w:rsid w:val="009A78FE"/>
    <w:rsid w:val="009A7D7B"/>
    <w:rsid w:val="009A7F4C"/>
    <w:rsid w:val="009A7F62"/>
    <w:rsid w:val="009B000D"/>
    <w:rsid w:val="009B075D"/>
    <w:rsid w:val="009B0D12"/>
    <w:rsid w:val="009B0D1D"/>
    <w:rsid w:val="009B0D80"/>
    <w:rsid w:val="009B156C"/>
    <w:rsid w:val="009B16DF"/>
    <w:rsid w:val="009B193F"/>
    <w:rsid w:val="009B1ABE"/>
    <w:rsid w:val="009B1AF0"/>
    <w:rsid w:val="009B1C41"/>
    <w:rsid w:val="009B1C6D"/>
    <w:rsid w:val="009B1CA9"/>
    <w:rsid w:val="009B201B"/>
    <w:rsid w:val="009B20D0"/>
    <w:rsid w:val="009B20F4"/>
    <w:rsid w:val="009B21F4"/>
    <w:rsid w:val="009B2C05"/>
    <w:rsid w:val="009B304C"/>
    <w:rsid w:val="009B3166"/>
    <w:rsid w:val="009B397C"/>
    <w:rsid w:val="009B3E11"/>
    <w:rsid w:val="009B4BBD"/>
    <w:rsid w:val="009B4C16"/>
    <w:rsid w:val="009B4DEB"/>
    <w:rsid w:val="009B4FC3"/>
    <w:rsid w:val="009B503F"/>
    <w:rsid w:val="009B50B7"/>
    <w:rsid w:val="009B53CB"/>
    <w:rsid w:val="009B6321"/>
    <w:rsid w:val="009B64AD"/>
    <w:rsid w:val="009B6C00"/>
    <w:rsid w:val="009B6E32"/>
    <w:rsid w:val="009B6F2E"/>
    <w:rsid w:val="009B79EE"/>
    <w:rsid w:val="009B7AD9"/>
    <w:rsid w:val="009C012D"/>
    <w:rsid w:val="009C09EA"/>
    <w:rsid w:val="009C0CF5"/>
    <w:rsid w:val="009C10D1"/>
    <w:rsid w:val="009C16B2"/>
    <w:rsid w:val="009C1FE7"/>
    <w:rsid w:val="009C242E"/>
    <w:rsid w:val="009C282B"/>
    <w:rsid w:val="009C2D65"/>
    <w:rsid w:val="009C365E"/>
    <w:rsid w:val="009C36DA"/>
    <w:rsid w:val="009C386D"/>
    <w:rsid w:val="009C3EB7"/>
    <w:rsid w:val="009C40B1"/>
    <w:rsid w:val="009C4B66"/>
    <w:rsid w:val="009C4F1D"/>
    <w:rsid w:val="009C51D6"/>
    <w:rsid w:val="009C5278"/>
    <w:rsid w:val="009C5329"/>
    <w:rsid w:val="009C545B"/>
    <w:rsid w:val="009C5783"/>
    <w:rsid w:val="009C5D07"/>
    <w:rsid w:val="009C5E0F"/>
    <w:rsid w:val="009C5E39"/>
    <w:rsid w:val="009C6254"/>
    <w:rsid w:val="009C6C2E"/>
    <w:rsid w:val="009C7046"/>
    <w:rsid w:val="009C736B"/>
    <w:rsid w:val="009C7372"/>
    <w:rsid w:val="009C758B"/>
    <w:rsid w:val="009C769D"/>
    <w:rsid w:val="009C786C"/>
    <w:rsid w:val="009D01AC"/>
    <w:rsid w:val="009D0289"/>
    <w:rsid w:val="009D0B51"/>
    <w:rsid w:val="009D10FE"/>
    <w:rsid w:val="009D159A"/>
    <w:rsid w:val="009D17CE"/>
    <w:rsid w:val="009D2021"/>
    <w:rsid w:val="009D216F"/>
    <w:rsid w:val="009D2311"/>
    <w:rsid w:val="009D26EB"/>
    <w:rsid w:val="009D2B9F"/>
    <w:rsid w:val="009D2ECF"/>
    <w:rsid w:val="009D2F3E"/>
    <w:rsid w:val="009D35E2"/>
    <w:rsid w:val="009D3A3F"/>
    <w:rsid w:val="009D3BE6"/>
    <w:rsid w:val="009D3D6F"/>
    <w:rsid w:val="009D3E10"/>
    <w:rsid w:val="009D4A9A"/>
    <w:rsid w:val="009D5484"/>
    <w:rsid w:val="009D626E"/>
    <w:rsid w:val="009D6C56"/>
    <w:rsid w:val="009D750D"/>
    <w:rsid w:val="009D7892"/>
    <w:rsid w:val="009D78A8"/>
    <w:rsid w:val="009E0050"/>
    <w:rsid w:val="009E031B"/>
    <w:rsid w:val="009E054E"/>
    <w:rsid w:val="009E0D80"/>
    <w:rsid w:val="009E0E6C"/>
    <w:rsid w:val="009E109E"/>
    <w:rsid w:val="009E1220"/>
    <w:rsid w:val="009E1401"/>
    <w:rsid w:val="009E1575"/>
    <w:rsid w:val="009E1F08"/>
    <w:rsid w:val="009E1FDB"/>
    <w:rsid w:val="009E2101"/>
    <w:rsid w:val="009E2322"/>
    <w:rsid w:val="009E2B9A"/>
    <w:rsid w:val="009E2BE1"/>
    <w:rsid w:val="009E35D3"/>
    <w:rsid w:val="009E3A1D"/>
    <w:rsid w:val="009E3A22"/>
    <w:rsid w:val="009E4C98"/>
    <w:rsid w:val="009E51FA"/>
    <w:rsid w:val="009E5A31"/>
    <w:rsid w:val="009E614C"/>
    <w:rsid w:val="009E61F2"/>
    <w:rsid w:val="009E62EB"/>
    <w:rsid w:val="009E6390"/>
    <w:rsid w:val="009E66AD"/>
    <w:rsid w:val="009E66EF"/>
    <w:rsid w:val="009E6C30"/>
    <w:rsid w:val="009E6CA0"/>
    <w:rsid w:val="009E6CBB"/>
    <w:rsid w:val="009E7913"/>
    <w:rsid w:val="009E7D7B"/>
    <w:rsid w:val="009E7DCD"/>
    <w:rsid w:val="009F0022"/>
    <w:rsid w:val="009F003B"/>
    <w:rsid w:val="009F059C"/>
    <w:rsid w:val="009F080E"/>
    <w:rsid w:val="009F0CA6"/>
    <w:rsid w:val="009F0CEF"/>
    <w:rsid w:val="009F1205"/>
    <w:rsid w:val="009F133C"/>
    <w:rsid w:val="009F19C9"/>
    <w:rsid w:val="009F1BA0"/>
    <w:rsid w:val="009F1C10"/>
    <w:rsid w:val="009F2662"/>
    <w:rsid w:val="009F2BDF"/>
    <w:rsid w:val="009F3011"/>
    <w:rsid w:val="009F3484"/>
    <w:rsid w:val="009F350E"/>
    <w:rsid w:val="009F3712"/>
    <w:rsid w:val="009F3719"/>
    <w:rsid w:val="009F3B7B"/>
    <w:rsid w:val="009F45FB"/>
    <w:rsid w:val="009F462A"/>
    <w:rsid w:val="009F471A"/>
    <w:rsid w:val="009F4CE2"/>
    <w:rsid w:val="009F66DD"/>
    <w:rsid w:val="009F7218"/>
    <w:rsid w:val="009F73A7"/>
    <w:rsid w:val="00A00655"/>
    <w:rsid w:val="00A00827"/>
    <w:rsid w:val="00A00E52"/>
    <w:rsid w:val="00A00F29"/>
    <w:rsid w:val="00A0142C"/>
    <w:rsid w:val="00A016E0"/>
    <w:rsid w:val="00A01C05"/>
    <w:rsid w:val="00A01C4F"/>
    <w:rsid w:val="00A01E3E"/>
    <w:rsid w:val="00A01E9D"/>
    <w:rsid w:val="00A020C2"/>
    <w:rsid w:val="00A023B1"/>
    <w:rsid w:val="00A02AAF"/>
    <w:rsid w:val="00A02D3F"/>
    <w:rsid w:val="00A02E38"/>
    <w:rsid w:val="00A0350A"/>
    <w:rsid w:val="00A03E23"/>
    <w:rsid w:val="00A04229"/>
    <w:rsid w:val="00A0494D"/>
    <w:rsid w:val="00A0553D"/>
    <w:rsid w:val="00A056F9"/>
    <w:rsid w:val="00A05B47"/>
    <w:rsid w:val="00A05C19"/>
    <w:rsid w:val="00A05C69"/>
    <w:rsid w:val="00A05DFE"/>
    <w:rsid w:val="00A06A93"/>
    <w:rsid w:val="00A06AC1"/>
    <w:rsid w:val="00A06B43"/>
    <w:rsid w:val="00A07308"/>
    <w:rsid w:val="00A07737"/>
    <w:rsid w:val="00A07774"/>
    <w:rsid w:val="00A07829"/>
    <w:rsid w:val="00A07A06"/>
    <w:rsid w:val="00A105A9"/>
    <w:rsid w:val="00A106EE"/>
    <w:rsid w:val="00A108E8"/>
    <w:rsid w:val="00A11AF7"/>
    <w:rsid w:val="00A11CC5"/>
    <w:rsid w:val="00A1203E"/>
    <w:rsid w:val="00A12105"/>
    <w:rsid w:val="00A12285"/>
    <w:rsid w:val="00A1268C"/>
    <w:rsid w:val="00A1288B"/>
    <w:rsid w:val="00A12ADA"/>
    <w:rsid w:val="00A13071"/>
    <w:rsid w:val="00A13426"/>
    <w:rsid w:val="00A134D4"/>
    <w:rsid w:val="00A138D3"/>
    <w:rsid w:val="00A13A51"/>
    <w:rsid w:val="00A1575C"/>
    <w:rsid w:val="00A1598D"/>
    <w:rsid w:val="00A15D12"/>
    <w:rsid w:val="00A16BFB"/>
    <w:rsid w:val="00A16DD9"/>
    <w:rsid w:val="00A16DE0"/>
    <w:rsid w:val="00A17755"/>
    <w:rsid w:val="00A17EEC"/>
    <w:rsid w:val="00A2014C"/>
    <w:rsid w:val="00A20AFD"/>
    <w:rsid w:val="00A210D7"/>
    <w:rsid w:val="00A2162A"/>
    <w:rsid w:val="00A2173B"/>
    <w:rsid w:val="00A21D66"/>
    <w:rsid w:val="00A21EFB"/>
    <w:rsid w:val="00A22059"/>
    <w:rsid w:val="00A222A3"/>
    <w:rsid w:val="00A2263F"/>
    <w:rsid w:val="00A22B70"/>
    <w:rsid w:val="00A23321"/>
    <w:rsid w:val="00A233E9"/>
    <w:rsid w:val="00A238BA"/>
    <w:rsid w:val="00A246AF"/>
    <w:rsid w:val="00A24C7A"/>
    <w:rsid w:val="00A25232"/>
    <w:rsid w:val="00A25248"/>
    <w:rsid w:val="00A2569C"/>
    <w:rsid w:val="00A25ED5"/>
    <w:rsid w:val="00A26047"/>
    <w:rsid w:val="00A26B08"/>
    <w:rsid w:val="00A26C35"/>
    <w:rsid w:val="00A26C46"/>
    <w:rsid w:val="00A26CA3"/>
    <w:rsid w:val="00A26FAD"/>
    <w:rsid w:val="00A275F5"/>
    <w:rsid w:val="00A27643"/>
    <w:rsid w:val="00A27709"/>
    <w:rsid w:val="00A27D09"/>
    <w:rsid w:val="00A30451"/>
    <w:rsid w:val="00A30DC6"/>
    <w:rsid w:val="00A31E26"/>
    <w:rsid w:val="00A320D4"/>
    <w:rsid w:val="00A321F6"/>
    <w:rsid w:val="00A32232"/>
    <w:rsid w:val="00A323F2"/>
    <w:rsid w:val="00A32429"/>
    <w:rsid w:val="00A3319E"/>
    <w:rsid w:val="00A33AD1"/>
    <w:rsid w:val="00A33DE9"/>
    <w:rsid w:val="00A34237"/>
    <w:rsid w:val="00A349FD"/>
    <w:rsid w:val="00A34EE8"/>
    <w:rsid w:val="00A35DEF"/>
    <w:rsid w:val="00A35DFC"/>
    <w:rsid w:val="00A35EC1"/>
    <w:rsid w:val="00A36349"/>
    <w:rsid w:val="00A36357"/>
    <w:rsid w:val="00A36A05"/>
    <w:rsid w:val="00A36FE4"/>
    <w:rsid w:val="00A378EC"/>
    <w:rsid w:val="00A379D0"/>
    <w:rsid w:val="00A37A10"/>
    <w:rsid w:val="00A400FB"/>
    <w:rsid w:val="00A401E0"/>
    <w:rsid w:val="00A404D4"/>
    <w:rsid w:val="00A406EF"/>
    <w:rsid w:val="00A40B98"/>
    <w:rsid w:val="00A41026"/>
    <w:rsid w:val="00A410EA"/>
    <w:rsid w:val="00A411C6"/>
    <w:rsid w:val="00A4123F"/>
    <w:rsid w:val="00A4191D"/>
    <w:rsid w:val="00A41BE4"/>
    <w:rsid w:val="00A4242C"/>
    <w:rsid w:val="00A42D33"/>
    <w:rsid w:val="00A42D49"/>
    <w:rsid w:val="00A43393"/>
    <w:rsid w:val="00A43A5F"/>
    <w:rsid w:val="00A43E00"/>
    <w:rsid w:val="00A4462D"/>
    <w:rsid w:val="00A44D6F"/>
    <w:rsid w:val="00A45E4E"/>
    <w:rsid w:val="00A45EA4"/>
    <w:rsid w:val="00A45EF5"/>
    <w:rsid w:val="00A4683F"/>
    <w:rsid w:val="00A47177"/>
    <w:rsid w:val="00A47451"/>
    <w:rsid w:val="00A47700"/>
    <w:rsid w:val="00A47779"/>
    <w:rsid w:val="00A4798C"/>
    <w:rsid w:val="00A50A70"/>
    <w:rsid w:val="00A50AD4"/>
    <w:rsid w:val="00A51A9F"/>
    <w:rsid w:val="00A51E64"/>
    <w:rsid w:val="00A52214"/>
    <w:rsid w:val="00A5372A"/>
    <w:rsid w:val="00A53A5E"/>
    <w:rsid w:val="00A54174"/>
    <w:rsid w:val="00A54223"/>
    <w:rsid w:val="00A5570A"/>
    <w:rsid w:val="00A557BA"/>
    <w:rsid w:val="00A55BE3"/>
    <w:rsid w:val="00A56104"/>
    <w:rsid w:val="00A56223"/>
    <w:rsid w:val="00A56226"/>
    <w:rsid w:val="00A562DE"/>
    <w:rsid w:val="00A569FD"/>
    <w:rsid w:val="00A56A0F"/>
    <w:rsid w:val="00A5735F"/>
    <w:rsid w:val="00A57A26"/>
    <w:rsid w:val="00A57CF1"/>
    <w:rsid w:val="00A602C0"/>
    <w:rsid w:val="00A6067F"/>
    <w:rsid w:val="00A609AB"/>
    <w:rsid w:val="00A60E82"/>
    <w:rsid w:val="00A61FE7"/>
    <w:rsid w:val="00A62063"/>
    <w:rsid w:val="00A62BA5"/>
    <w:rsid w:val="00A62C56"/>
    <w:rsid w:val="00A62D31"/>
    <w:rsid w:val="00A63168"/>
    <w:rsid w:val="00A631F6"/>
    <w:rsid w:val="00A632F6"/>
    <w:rsid w:val="00A637C7"/>
    <w:rsid w:val="00A63DC8"/>
    <w:rsid w:val="00A63E98"/>
    <w:rsid w:val="00A6445C"/>
    <w:rsid w:val="00A6464B"/>
    <w:rsid w:val="00A6490A"/>
    <w:rsid w:val="00A64E52"/>
    <w:rsid w:val="00A65841"/>
    <w:rsid w:val="00A65C8C"/>
    <w:rsid w:val="00A65D31"/>
    <w:rsid w:val="00A65DAF"/>
    <w:rsid w:val="00A6606B"/>
    <w:rsid w:val="00A6639A"/>
    <w:rsid w:val="00A667D4"/>
    <w:rsid w:val="00A66A58"/>
    <w:rsid w:val="00A66AEE"/>
    <w:rsid w:val="00A67089"/>
    <w:rsid w:val="00A67C7C"/>
    <w:rsid w:val="00A67DC0"/>
    <w:rsid w:val="00A70445"/>
    <w:rsid w:val="00A7072C"/>
    <w:rsid w:val="00A70C50"/>
    <w:rsid w:val="00A70D09"/>
    <w:rsid w:val="00A71851"/>
    <w:rsid w:val="00A71A0D"/>
    <w:rsid w:val="00A7201C"/>
    <w:rsid w:val="00A7214B"/>
    <w:rsid w:val="00A7215D"/>
    <w:rsid w:val="00A7260E"/>
    <w:rsid w:val="00A72827"/>
    <w:rsid w:val="00A728BB"/>
    <w:rsid w:val="00A72CEC"/>
    <w:rsid w:val="00A7366F"/>
    <w:rsid w:val="00A7385A"/>
    <w:rsid w:val="00A74083"/>
    <w:rsid w:val="00A7425A"/>
    <w:rsid w:val="00A746E7"/>
    <w:rsid w:val="00A74987"/>
    <w:rsid w:val="00A75144"/>
    <w:rsid w:val="00A75180"/>
    <w:rsid w:val="00A75A00"/>
    <w:rsid w:val="00A75AEA"/>
    <w:rsid w:val="00A75C55"/>
    <w:rsid w:val="00A75EB0"/>
    <w:rsid w:val="00A76184"/>
    <w:rsid w:val="00A76403"/>
    <w:rsid w:val="00A76490"/>
    <w:rsid w:val="00A765D4"/>
    <w:rsid w:val="00A766B6"/>
    <w:rsid w:val="00A76AD4"/>
    <w:rsid w:val="00A76E5D"/>
    <w:rsid w:val="00A77024"/>
    <w:rsid w:val="00A773E8"/>
    <w:rsid w:val="00A777BF"/>
    <w:rsid w:val="00A77DCA"/>
    <w:rsid w:val="00A77DD4"/>
    <w:rsid w:val="00A80952"/>
    <w:rsid w:val="00A80B54"/>
    <w:rsid w:val="00A80C77"/>
    <w:rsid w:val="00A81148"/>
    <w:rsid w:val="00A811D1"/>
    <w:rsid w:val="00A81563"/>
    <w:rsid w:val="00A81E84"/>
    <w:rsid w:val="00A82339"/>
    <w:rsid w:val="00A82849"/>
    <w:rsid w:val="00A82F65"/>
    <w:rsid w:val="00A836E4"/>
    <w:rsid w:val="00A83950"/>
    <w:rsid w:val="00A83A3F"/>
    <w:rsid w:val="00A83DA6"/>
    <w:rsid w:val="00A842CF"/>
    <w:rsid w:val="00A84A28"/>
    <w:rsid w:val="00A84A77"/>
    <w:rsid w:val="00A84E8A"/>
    <w:rsid w:val="00A853FD"/>
    <w:rsid w:val="00A86179"/>
    <w:rsid w:val="00A862A2"/>
    <w:rsid w:val="00A86595"/>
    <w:rsid w:val="00A86888"/>
    <w:rsid w:val="00A86FE4"/>
    <w:rsid w:val="00A871B7"/>
    <w:rsid w:val="00A87442"/>
    <w:rsid w:val="00A87A7C"/>
    <w:rsid w:val="00A902DE"/>
    <w:rsid w:val="00A90647"/>
    <w:rsid w:val="00A908F6"/>
    <w:rsid w:val="00A90CC7"/>
    <w:rsid w:val="00A90D6F"/>
    <w:rsid w:val="00A91C23"/>
    <w:rsid w:val="00A91E57"/>
    <w:rsid w:val="00A91F6B"/>
    <w:rsid w:val="00A9258E"/>
    <w:rsid w:val="00A92985"/>
    <w:rsid w:val="00A92B8E"/>
    <w:rsid w:val="00A930C5"/>
    <w:rsid w:val="00A93328"/>
    <w:rsid w:val="00A937D8"/>
    <w:rsid w:val="00A93EF8"/>
    <w:rsid w:val="00A94435"/>
    <w:rsid w:val="00A949D4"/>
    <w:rsid w:val="00A94A67"/>
    <w:rsid w:val="00A94E9D"/>
    <w:rsid w:val="00A951D3"/>
    <w:rsid w:val="00A9585C"/>
    <w:rsid w:val="00A95B1F"/>
    <w:rsid w:val="00A96034"/>
    <w:rsid w:val="00A966D7"/>
    <w:rsid w:val="00A96A39"/>
    <w:rsid w:val="00A96AAC"/>
    <w:rsid w:val="00A96E3E"/>
    <w:rsid w:val="00A974E8"/>
    <w:rsid w:val="00A978D5"/>
    <w:rsid w:val="00A97D28"/>
    <w:rsid w:val="00AA0668"/>
    <w:rsid w:val="00AA06FB"/>
    <w:rsid w:val="00AA11CE"/>
    <w:rsid w:val="00AA12DC"/>
    <w:rsid w:val="00AA157F"/>
    <w:rsid w:val="00AA2C47"/>
    <w:rsid w:val="00AA2C64"/>
    <w:rsid w:val="00AA2DBF"/>
    <w:rsid w:val="00AA325B"/>
    <w:rsid w:val="00AA377A"/>
    <w:rsid w:val="00AA3B1A"/>
    <w:rsid w:val="00AA3D70"/>
    <w:rsid w:val="00AA4138"/>
    <w:rsid w:val="00AA4C17"/>
    <w:rsid w:val="00AA4CDC"/>
    <w:rsid w:val="00AA51B5"/>
    <w:rsid w:val="00AA5B59"/>
    <w:rsid w:val="00AA5E60"/>
    <w:rsid w:val="00AA624B"/>
    <w:rsid w:val="00AA6AF1"/>
    <w:rsid w:val="00AA6BDD"/>
    <w:rsid w:val="00AA6CE2"/>
    <w:rsid w:val="00AA6D86"/>
    <w:rsid w:val="00AA6DDC"/>
    <w:rsid w:val="00AA7C49"/>
    <w:rsid w:val="00AA7E40"/>
    <w:rsid w:val="00AB1125"/>
    <w:rsid w:val="00AB13CC"/>
    <w:rsid w:val="00AB1896"/>
    <w:rsid w:val="00AB1CF9"/>
    <w:rsid w:val="00AB2395"/>
    <w:rsid w:val="00AB29FF"/>
    <w:rsid w:val="00AB2DD4"/>
    <w:rsid w:val="00AB3941"/>
    <w:rsid w:val="00AB3CCE"/>
    <w:rsid w:val="00AB3CFE"/>
    <w:rsid w:val="00AB3E95"/>
    <w:rsid w:val="00AB473F"/>
    <w:rsid w:val="00AB4743"/>
    <w:rsid w:val="00AB4A24"/>
    <w:rsid w:val="00AB4ACD"/>
    <w:rsid w:val="00AB517B"/>
    <w:rsid w:val="00AB5291"/>
    <w:rsid w:val="00AB58D8"/>
    <w:rsid w:val="00AB5A6B"/>
    <w:rsid w:val="00AB5C93"/>
    <w:rsid w:val="00AB5E82"/>
    <w:rsid w:val="00AB68E7"/>
    <w:rsid w:val="00AB6A87"/>
    <w:rsid w:val="00AB6B2C"/>
    <w:rsid w:val="00AB7018"/>
    <w:rsid w:val="00AB740E"/>
    <w:rsid w:val="00AB761B"/>
    <w:rsid w:val="00AB7A47"/>
    <w:rsid w:val="00AB7C24"/>
    <w:rsid w:val="00AB7E0E"/>
    <w:rsid w:val="00AC00EA"/>
    <w:rsid w:val="00AC1616"/>
    <w:rsid w:val="00AC171D"/>
    <w:rsid w:val="00AC1A03"/>
    <w:rsid w:val="00AC1B42"/>
    <w:rsid w:val="00AC1CCC"/>
    <w:rsid w:val="00AC21A4"/>
    <w:rsid w:val="00AC281A"/>
    <w:rsid w:val="00AC28F0"/>
    <w:rsid w:val="00AC3C6A"/>
    <w:rsid w:val="00AC454A"/>
    <w:rsid w:val="00AC4BD8"/>
    <w:rsid w:val="00AC4D0C"/>
    <w:rsid w:val="00AC4D65"/>
    <w:rsid w:val="00AC4E15"/>
    <w:rsid w:val="00AC59FC"/>
    <w:rsid w:val="00AC620C"/>
    <w:rsid w:val="00AC6420"/>
    <w:rsid w:val="00AC6E54"/>
    <w:rsid w:val="00AC7713"/>
    <w:rsid w:val="00AC7CF2"/>
    <w:rsid w:val="00AC7E6A"/>
    <w:rsid w:val="00AD006D"/>
    <w:rsid w:val="00AD00AE"/>
    <w:rsid w:val="00AD02B2"/>
    <w:rsid w:val="00AD0485"/>
    <w:rsid w:val="00AD04F8"/>
    <w:rsid w:val="00AD051D"/>
    <w:rsid w:val="00AD0693"/>
    <w:rsid w:val="00AD06AB"/>
    <w:rsid w:val="00AD0A31"/>
    <w:rsid w:val="00AD0E3C"/>
    <w:rsid w:val="00AD0F46"/>
    <w:rsid w:val="00AD136B"/>
    <w:rsid w:val="00AD14B4"/>
    <w:rsid w:val="00AD17AD"/>
    <w:rsid w:val="00AD18B6"/>
    <w:rsid w:val="00AD210A"/>
    <w:rsid w:val="00AD2943"/>
    <w:rsid w:val="00AD2E4B"/>
    <w:rsid w:val="00AD306B"/>
    <w:rsid w:val="00AD318E"/>
    <w:rsid w:val="00AD32B2"/>
    <w:rsid w:val="00AD348B"/>
    <w:rsid w:val="00AD36D4"/>
    <w:rsid w:val="00AD3930"/>
    <w:rsid w:val="00AD3BCB"/>
    <w:rsid w:val="00AD3C45"/>
    <w:rsid w:val="00AD3DF1"/>
    <w:rsid w:val="00AD40E4"/>
    <w:rsid w:val="00AD40F5"/>
    <w:rsid w:val="00AD4621"/>
    <w:rsid w:val="00AD473A"/>
    <w:rsid w:val="00AD4ADD"/>
    <w:rsid w:val="00AD4C0D"/>
    <w:rsid w:val="00AD4F67"/>
    <w:rsid w:val="00AD5028"/>
    <w:rsid w:val="00AD5166"/>
    <w:rsid w:val="00AD5311"/>
    <w:rsid w:val="00AD5754"/>
    <w:rsid w:val="00AD5E58"/>
    <w:rsid w:val="00AD6166"/>
    <w:rsid w:val="00AD61B6"/>
    <w:rsid w:val="00AD65BB"/>
    <w:rsid w:val="00AD65E4"/>
    <w:rsid w:val="00AD69DC"/>
    <w:rsid w:val="00AD6E85"/>
    <w:rsid w:val="00AD74D0"/>
    <w:rsid w:val="00AD79BD"/>
    <w:rsid w:val="00AE040C"/>
    <w:rsid w:val="00AE0975"/>
    <w:rsid w:val="00AE0E68"/>
    <w:rsid w:val="00AE0EBB"/>
    <w:rsid w:val="00AE139B"/>
    <w:rsid w:val="00AE14CE"/>
    <w:rsid w:val="00AE14DD"/>
    <w:rsid w:val="00AE208B"/>
    <w:rsid w:val="00AE2171"/>
    <w:rsid w:val="00AE2763"/>
    <w:rsid w:val="00AE2F57"/>
    <w:rsid w:val="00AE3965"/>
    <w:rsid w:val="00AE3EC2"/>
    <w:rsid w:val="00AE3EF2"/>
    <w:rsid w:val="00AE4086"/>
    <w:rsid w:val="00AE40C1"/>
    <w:rsid w:val="00AE413D"/>
    <w:rsid w:val="00AE4C46"/>
    <w:rsid w:val="00AE4D12"/>
    <w:rsid w:val="00AE5499"/>
    <w:rsid w:val="00AE55AC"/>
    <w:rsid w:val="00AE58B2"/>
    <w:rsid w:val="00AE5DD6"/>
    <w:rsid w:val="00AE64D6"/>
    <w:rsid w:val="00AE6690"/>
    <w:rsid w:val="00AE68A0"/>
    <w:rsid w:val="00AE69A3"/>
    <w:rsid w:val="00AE69F1"/>
    <w:rsid w:val="00AE736A"/>
    <w:rsid w:val="00AE762E"/>
    <w:rsid w:val="00AE76B0"/>
    <w:rsid w:val="00AF00F4"/>
    <w:rsid w:val="00AF055C"/>
    <w:rsid w:val="00AF07FB"/>
    <w:rsid w:val="00AF08F0"/>
    <w:rsid w:val="00AF0FBC"/>
    <w:rsid w:val="00AF121B"/>
    <w:rsid w:val="00AF2486"/>
    <w:rsid w:val="00AF24A3"/>
    <w:rsid w:val="00AF2B79"/>
    <w:rsid w:val="00AF3141"/>
    <w:rsid w:val="00AF3598"/>
    <w:rsid w:val="00AF3603"/>
    <w:rsid w:val="00AF3861"/>
    <w:rsid w:val="00AF39BA"/>
    <w:rsid w:val="00AF3D6C"/>
    <w:rsid w:val="00AF3DD4"/>
    <w:rsid w:val="00AF3F81"/>
    <w:rsid w:val="00AF41EC"/>
    <w:rsid w:val="00AF4272"/>
    <w:rsid w:val="00AF48F3"/>
    <w:rsid w:val="00AF49FD"/>
    <w:rsid w:val="00AF4A86"/>
    <w:rsid w:val="00AF4D5A"/>
    <w:rsid w:val="00AF530A"/>
    <w:rsid w:val="00AF56CC"/>
    <w:rsid w:val="00AF64D9"/>
    <w:rsid w:val="00AF688C"/>
    <w:rsid w:val="00AF697D"/>
    <w:rsid w:val="00AF6AB4"/>
    <w:rsid w:val="00AF6CBC"/>
    <w:rsid w:val="00AF6DC4"/>
    <w:rsid w:val="00AF6EF1"/>
    <w:rsid w:val="00AF7BC0"/>
    <w:rsid w:val="00AF7CD3"/>
    <w:rsid w:val="00AF7E0C"/>
    <w:rsid w:val="00B00565"/>
    <w:rsid w:val="00B00E63"/>
    <w:rsid w:val="00B00EDF"/>
    <w:rsid w:val="00B0135C"/>
    <w:rsid w:val="00B016E0"/>
    <w:rsid w:val="00B020C4"/>
    <w:rsid w:val="00B025E1"/>
    <w:rsid w:val="00B02965"/>
    <w:rsid w:val="00B029A2"/>
    <w:rsid w:val="00B02A31"/>
    <w:rsid w:val="00B03059"/>
    <w:rsid w:val="00B03485"/>
    <w:rsid w:val="00B03815"/>
    <w:rsid w:val="00B03C3C"/>
    <w:rsid w:val="00B03E08"/>
    <w:rsid w:val="00B042B6"/>
    <w:rsid w:val="00B0439A"/>
    <w:rsid w:val="00B0449C"/>
    <w:rsid w:val="00B04518"/>
    <w:rsid w:val="00B046B8"/>
    <w:rsid w:val="00B04B00"/>
    <w:rsid w:val="00B04CD5"/>
    <w:rsid w:val="00B050F2"/>
    <w:rsid w:val="00B0543D"/>
    <w:rsid w:val="00B056BA"/>
    <w:rsid w:val="00B05827"/>
    <w:rsid w:val="00B059F6"/>
    <w:rsid w:val="00B05B8E"/>
    <w:rsid w:val="00B05EA6"/>
    <w:rsid w:val="00B06279"/>
    <w:rsid w:val="00B062F8"/>
    <w:rsid w:val="00B06598"/>
    <w:rsid w:val="00B065FC"/>
    <w:rsid w:val="00B066B7"/>
    <w:rsid w:val="00B06B43"/>
    <w:rsid w:val="00B06BD7"/>
    <w:rsid w:val="00B06E32"/>
    <w:rsid w:val="00B07038"/>
    <w:rsid w:val="00B0730E"/>
    <w:rsid w:val="00B07B2E"/>
    <w:rsid w:val="00B07D89"/>
    <w:rsid w:val="00B1004B"/>
    <w:rsid w:val="00B10150"/>
    <w:rsid w:val="00B10363"/>
    <w:rsid w:val="00B109A1"/>
    <w:rsid w:val="00B109DB"/>
    <w:rsid w:val="00B10DAF"/>
    <w:rsid w:val="00B10FC3"/>
    <w:rsid w:val="00B1185E"/>
    <w:rsid w:val="00B12653"/>
    <w:rsid w:val="00B13261"/>
    <w:rsid w:val="00B132AB"/>
    <w:rsid w:val="00B13A04"/>
    <w:rsid w:val="00B13B14"/>
    <w:rsid w:val="00B13E67"/>
    <w:rsid w:val="00B14066"/>
    <w:rsid w:val="00B14BDF"/>
    <w:rsid w:val="00B14D0D"/>
    <w:rsid w:val="00B14E8E"/>
    <w:rsid w:val="00B15286"/>
    <w:rsid w:val="00B1547C"/>
    <w:rsid w:val="00B15507"/>
    <w:rsid w:val="00B15C03"/>
    <w:rsid w:val="00B1613E"/>
    <w:rsid w:val="00B165D5"/>
    <w:rsid w:val="00B16719"/>
    <w:rsid w:val="00B1685C"/>
    <w:rsid w:val="00B17626"/>
    <w:rsid w:val="00B20275"/>
    <w:rsid w:val="00B209FD"/>
    <w:rsid w:val="00B20B6D"/>
    <w:rsid w:val="00B212FA"/>
    <w:rsid w:val="00B2130A"/>
    <w:rsid w:val="00B213EB"/>
    <w:rsid w:val="00B216A2"/>
    <w:rsid w:val="00B2170E"/>
    <w:rsid w:val="00B217D7"/>
    <w:rsid w:val="00B21EC6"/>
    <w:rsid w:val="00B2238F"/>
    <w:rsid w:val="00B2277F"/>
    <w:rsid w:val="00B22835"/>
    <w:rsid w:val="00B229F5"/>
    <w:rsid w:val="00B22C38"/>
    <w:rsid w:val="00B22E35"/>
    <w:rsid w:val="00B22E7D"/>
    <w:rsid w:val="00B22F53"/>
    <w:rsid w:val="00B23A68"/>
    <w:rsid w:val="00B23C82"/>
    <w:rsid w:val="00B23EEF"/>
    <w:rsid w:val="00B23FCA"/>
    <w:rsid w:val="00B24429"/>
    <w:rsid w:val="00B24449"/>
    <w:rsid w:val="00B24E2A"/>
    <w:rsid w:val="00B2511D"/>
    <w:rsid w:val="00B25446"/>
    <w:rsid w:val="00B25893"/>
    <w:rsid w:val="00B267A5"/>
    <w:rsid w:val="00B26800"/>
    <w:rsid w:val="00B27B30"/>
    <w:rsid w:val="00B27BB0"/>
    <w:rsid w:val="00B27D46"/>
    <w:rsid w:val="00B27E0F"/>
    <w:rsid w:val="00B309D2"/>
    <w:rsid w:val="00B30E39"/>
    <w:rsid w:val="00B30E72"/>
    <w:rsid w:val="00B31967"/>
    <w:rsid w:val="00B32760"/>
    <w:rsid w:val="00B33790"/>
    <w:rsid w:val="00B33893"/>
    <w:rsid w:val="00B33929"/>
    <w:rsid w:val="00B33D7B"/>
    <w:rsid w:val="00B33EAC"/>
    <w:rsid w:val="00B3460B"/>
    <w:rsid w:val="00B34933"/>
    <w:rsid w:val="00B34F72"/>
    <w:rsid w:val="00B35352"/>
    <w:rsid w:val="00B35AC9"/>
    <w:rsid w:val="00B36013"/>
    <w:rsid w:val="00B36162"/>
    <w:rsid w:val="00B361B1"/>
    <w:rsid w:val="00B36324"/>
    <w:rsid w:val="00B36B3A"/>
    <w:rsid w:val="00B36E9A"/>
    <w:rsid w:val="00B37523"/>
    <w:rsid w:val="00B37AAC"/>
    <w:rsid w:val="00B37DF2"/>
    <w:rsid w:val="00B37EBD"/>
    <w:rsid w:val="00B37EE0"/>
    <w:rsid w:val="00B4051A"/>
    <w:rsid w:val="00B40BB9"/>
    <w:rsid w:val="00B40CC2"/>
    <w:rsid w:val="00B40CF1"/>
    <w:rsid w:val="00B40F9C"/>
    <w:rsid w:val="00B416EA"/>
    <w:rsid w:val="00B41C4A"/>
    <w:rsid w:val="00B41FF4"/>
    <w:rsid w:val="00B42042"/>
    <w:rsid w:val="00B42399"/>
    <w:rsid w:val="00B4240F"/>
    <w:rsid w:val="00B427B8"/>
    <w:rsid w:val="00B42926"/>
    <w:rsid w:val="00B432F1"/>
    <w:rsid w:val="00B433A7"/>
    <w:rsid w:val="00B433E2"/>
    <w:rsid w:val="00B43488"/>
    <w:rsid w:val="00B435BE"/>
    <w:rsid w:val="00B43C13"/>
    <w:rsid w:val="00B43C61"/>
    <w:rsid w:val="00B44BCD"/>
    <w:rsid w:val="00B44F27"/>
    <w:rsid w:val="00B45666"/>
    <w:rsid w:val="00B45E7B"/>
    <w:rsid w:val="00B461D0"/>
    <w:rsid w:val="00B470EB"/>
    <w:rsid w:val="00B473E3"/>
    <w:rsid w:val="00B475FA"/>
    <w:rsid w:val="00B478A7"/>
    <w:rsid w:val="00B479C9"/>
    <w:rsid w:val="00B50354"/>
    <w:rsid w:val="00B503D0"/>
    <w:rsid w:val="00B503E2"/>
    <w:rsid w:val="00B504C5"/>
    <w:rsid w:val="00B50B12"/>
    <w:rsid w:val="00B51BB8"/>
    <w:rsid w:val="00B5217B"/>
    <w:rsid w:val="00B5305F"/>
    <w:rsid w:val="00B530FC"/>
    <w:rsid w:val="00B5319D"/>
    <w:rsid w:val="00B53E62"/>
    <w:rsid w:val="00B53E68"/>
    <w:rsid w:val="00B5403F"/>
    <w:rsid w:val="00B541BF"/>
    <w:rsid w:val="00B54246"/>
    <w:rsid w:val="00B54866"/>
    <w:rsid w:val="00B54876"/>
    <w:rsid w:val="00B5487C"/>
    <w:rsid w:val="00B549CE"/>
    <w:rsid w:val="00B54F14"/>
    <w:rsid w:val="00B5509A"/>
    <w:rsid w:val="00B554B6"/>
    <w:rsid w:val="00B55C3E"/>
    <w:rsid w:val="00B55D67"/>
    <w:rsid w:val="00B56DBF"/>
    <w:rsid w:val="00B578C1"/>
    <w:rsid w:val="00B57C62"/>
    <w:rsid w:val="00B57E0B"/>
    <w:rsid w:val="00B57F59"/>
    <w:rsid w:val="00B57FEE"/>
    <w:rsid w:val="00B6035E"/>
    <w:rsid w:val="00B60867"/>
    <w:rsid w:val="00B615BE"/>
    <w:rsid w:val="00B61BFC"/>
    <w:rsid w:val="00B61E4A"/>
    <w:rsid w:val="00B61FB2"/>
    <w:rsid w:val="00B62023"/>
    <w:rsid w:val="00B62038"/>
    <w:rsid w:val="00B622A9"/>
    <w:rsid w:val="00B629E3"/>
    <w:rsid w:val="00B63F16"/>
    <w:rsid w:val="00B64255"/>
    <w:rsid w:val="00B6457F"/>
    <w:rsid w:val="00B6475E"/>
    <w:rsid w:val="00B648DB"/>
    <w:rsid w:val="00B64E63"/>
    <w:rsid w:val="00B65523"/>
    <w:rsid w:val="00B65C7D"/>
    <w:rsid w:val="00B667A2"/>
    <w:rsid w:val="00B66A9A"/>
    <w:rsid w:val="00B66F2A"/>
    <w:rsid w:val="00B67D30"/>
    <w:rsid w:val="00B67D62"/>
    <w:rsid w:val="00B67FB6"/>
    <w:rsid w:val="00B70269"/>
    <w:rsid w:val="00B7047A"/>
    <w:rsid w:val="00B70A40"/>
    <w:rsid w:val="00B718BA"/>
    <w:rsid w:val="00B7191D"/>
    <w:rsid w:val="00B71B67"/>
    <w:rsid w:val="00B72032"/>
    <w:rsid w:val="00B72196"/>
    <w:rsid w:val="00B72424"/>
    <w:rsid w:val="00B727A7"/>
    <w:rsid w:val="00B72F07"/>
    <w:rsid w:val="00B73022"/>
    <w:rsid w:val="00B7398B"/>
    <w:rsid w:val="00B741D8"/>
    <w:rsid w:val="00B74B13"/>
    <w:rsid w:val="00B74EFE"/>
    <w:rsid w:val="00B75D2E"/>
    <w:rsid w:val="00B75E51"/>
    <w:rsid w:val="00B769EB"/>
    <w:rsid w:val="00B7772E"/>
    <w:rsid w:val="00B80A14"/>
    <w:rsid w:val="00B80BA1"/>
    <w:rsid w:val="00B81052"/>
    <w:rsid w:val="00B811EB"/>
    <w:rsid w:val="00B813A5"/>
    <w:rsid w:val="00B816FE"/>
    <w:rsid w:val="00B818E4"/>
    <w:rsid w:val="00B82336"/>
    <w:rsid w:val="00B830BD"/>
    <w:rsid w:val="00B833DE"/>
    <w:rsid w:val="00B83946"/>
    <w:rsid w:val="00B83D76"/>
    <w:rsid w:val="00B83DF4"/>
    <w:rsid w:val="00B8499D"/>
    <w:rsid w:val="00B84CFC"/>
    <w:rsid w:val="00B85125"/>
    <w:rsid w:val="00B851FF"/>
    <w:rsid w:val="00B854BC"/>
    <w:rsid w:val="00B854FE"/>
    <w:rsid w:val="00B8551A"/>
    <w:rsid w:val="00B8597F"/>
    <w:rsid w:val="00B85BDB"/>
    <w:rsid w:val="00B85EA9"/>
    <w:rsid w:val="00B85F98"/>
    <w:rsid w:val="00B86031"/>
    <w:rsid w:val="00B86033"/>
    <w:rsid w:val="00B86309"/>
    <w:rsid w:val="00B863F5"/>
    <w:rsid w:val="00B86537"/>
    <w:rsid w:val="00B86C8F"/>
    <w:rsid w:val="00B86F9F"/>
    <w:rsid w:val="00B873A8"/>
    <w:rsid w:val="00B87639"/>
    <w:rsid w:val="00B87E12"/>
    <w:rsid w:val="00B87E14"/>
    <w:rsid w:val="00B90211"/>
    <w:rsid w:val="00B90565"/>
    <w:rsid w:val="00B905BE"/>
    <w:rsid w:val="00B90691"/>
    <w:rsid w:val="00B91159"/>
    <w:rsid w:val="00B91342"/>
    <w:rsid w:val="00B917C4"/>
    <w:rsid w:val="00B91891"/>
    <w:rsid w:val="00B91C2A"/>
    <w:rsid w:val="00B93490"/>
    <w:rsid w:val="00B93956"/>
    <w:rsid w:val="00B939FF"/>
    <w:rsid w:val="00B949EE"/>
    <w:rsid w:val="00B94A73"/>
    <w:rsid w:val="00B94EFC"/>
    <w:rsid w:val="00B94F99"/>
    <w:rsid w:val="00B9510E"/>
    <w:rsid w:val="00B952E2"/>
    <w:rsid w:val="00B95678"/>
    <w:rsid w:val="00B95DA2"/>
    <w:rsid w:val="00B95DF0"/>
    <w:rsid w:val="00B95E66"/>
    <w:rsid w:val="00B96378"/>
    <w:rsid w:val="00B968A2"/>
    <w:rsid w:val="00B96A23"/>
    <w:rsid w:val="00B96BA6"/>
    <w:rsid w:val="00B96CDA"/>
    <w:rsid w:val="00B96F31"/>
    <w:rsid w:val="00BA0264"/>
    <w:rsid w:val="00BA028F"/>
    <w:rsid w:val="00BA03E4"/>
    <w:rsid w:val="00BA09DB"/>
    <w:rsid w:val="00BA0C19"/>
    <w:rsid w:val="00BA0D21"/>
    <w:rsid w:val="00BA14CB"/>
    <w:rsid w:val="00BA1D9F"/>
    <w:rsid w:val="00BA2D35"/>
    <w:rsid w:val="00BA3AD3"/>
    <w:rsid w:val="00BA45E4"/>
    <w:rsid w:val="00BA4BF8"/>
    <w:rsid w:val="00BA5002"/>
    <w:rsid w:val="00BA511B"/>
    <w:rsid w:val="00BA6075"/>
    <w:rsid w:val="00BA63E3"/>
    <w:rsid w:val="00BA6772"/>
    <w:rsid w:val="00BA678E"/>
    <w:rsid w:val="00BA6C41"/>
    <w:rsid w:val="00BA6F98"/>
    <w:rsid w:val="00BA709A"/>
    <w:rsid w:val="00BA749E"/>
    <w:rsid w:val="00BA76AB"/>
    <w:rsid w:val="00BB0196"/>
    <w:rsid w:val="00BB04AE"/>
    <w:rsid w:val="00BB0FD7"/>
    <w:rsid w:val="00BB110C"/>
    <w:rsid w:val="00BB1354"/>
    <w:rsid w:val="00BB215C"/>
    <w:rsid w:val="00BB2E99"/>
    <w:rsid w:val="00BB2F0D"/>
    <w:rsid w:val="00BB38CA"/>
    <w:rsid w:val="00BB3BBA"/>
    <w:rsid w:val="00BB4113"/>
    <w:rsid w:val="00BB41DD"/>
    <w:rsid w:val="00BB4714"/>
    <w:rsid w:val="00BB49CB"/>
    <w:rsid w:val="00BB4D7D"/>
    <w:rsid w:val="00BB4D88"/>
    <w:rsid w:val="00BB5657"/>
    <w:rsid w:val="00BB5DF8"/>
    <w:rsid w:val="00BB5E79"/>
    <w:rsid w:val="00BB67CF"/>
    <w:rsid w:val="00BB67D8"/>
    <w:rsid w:val="00BB6B53"/>
    <w:rsid w:val="00BB77E5"/>
    <w:rsid w:val="00BB796A"/>
    <w:rsid w:val="00BB7B08"/>
    <w:rsid w:val="00BB7B14"/>
    <w:rsid w:val="00BB7C9A"/>
    <w:rsid w:val="00BB7CEA"/>
    <w:rsid w:val="00BB7F6B"/>
    <w:rsid w:val="00BC020F"/>
    <w:rsid w:val="00BC038F"/>
    <w:rsid w:val="00BC056C"/>
    <w:rsid w:val="00BC0571"/>
    <w:rsid w:val="00BC11A6"/>
    <w:rsid w:val="00BC11E8"/>
    <w:rsid w:val="00BC1687"/>
    <w:rsid w:val="00BC177E"/>
    <w:rsid w:val="00BC2160"/>
    <w:rsid w:val="00BC228E"/>
    <w:rsid w:val="00BC241E"/>
    <w:rsid w:val="00BC24B9"/>
    <w:rsid w:val="00BC2923"/>
    <w:rsid w:val="00BC2B9E"/>
    <w:rsid w:val="00BC2EC4"/>
    <w:rsid w:val="00BC34A2"/>
    <w:rsid w:val="00BC3AAA"/>
    <w:rsid w:val="00BC431E"/>
    <w:rsid w:val="00BC47C0"/>
    <w:rsid w:val="00BC4BBC"/>
    <w:rsid w:val="00BC4D5F"/>
    <w:rsid w:val="00BC4FD0"/>
    <w:rsid w:val="00BC4FF6"/>
    <w:rsid w:val="00BC538C"/>
    <w:rsid w:val="00BC6285"/>
    <w:rsid w:val="00BC65AF"/>
    <w:rsid w:val="00BC6B8D"/>
    <w:rsid w:val="00BC6C5D"/>
    <w:rsid w:val="00BC70FB"/>
    <w:rsid w:val="00BC77AE"/>
    <w:rsid w:val="00BC7CE7"/>
    <w:rsid w:val="00BC7D61"/>
    <w:rsid w:val="00BD0AAB"/>
    <w:rsid w:val="00BD156A"/>
    <w:rsid w:val="00BD15E3"/>
    <w:rsid w:val="00BD17C7"/>
    <w:rsid w:val="00BD1828"/>
    <w:rsid w:val="00BD1903"/>
    <w:rsid w:val="00BD22D3"/>
    <w:rsid w:val="00BD33A5"/>
    <w:rsid w:val="00BD35B1"/>
    <w:rsid w:val="00BD420E"/>
    <w:rsid w:val="00BD4296"/>
    <w:rsid w:val="00BD4E18"/>
    <w:rsid w:val="00BD4FD9"/>
    <w:rsid w:val="00BD510D"/>
    <w:rsid w:val="00BD532C"/>
    <w:rsid w:val="00BD53C3"/>
    <w:rsid w:val="00BD53DE"/>
    <w:rsid w:val="00BD5D01"/>
    <w:rsid w:val="00BD5FE2"/>
    <w:rsid w:val="00BD6BEC"/>
    <w:rsid w:val="00BD73D7"/>
    <w:rsid w:val="00BD769E"/>
    <w:rsid w:val="00BD7921"/>
    <w:rsid w:val="00BD7A46"/>
    <w:rsid w:val="00BD7B63"/>
    <w:rsid w:val="00BE0485"/>
    <w:rsid w:val="00BE0613"/>
    <w:rsid w:val="00BE0759"/>
    <w:rsid w:val="00BE0B84"/>
    <w:rsid w:val="00BE132B"/>
    <w:rsid w:val="00BE13B4"/>
    <w:rsid w:val="00BE146D"/>
    <w:rsid w:val="00BE1A9D"/>
    <w:rsid w:val="00BE1DAE"/>
    <w:rsid w:val="00BE1DFE"/>
    <w:rsid w:val="00BE1F7C"/>
    <w:rsid w:val="00BE2B78"/>
    <w:rsid w:val="00BE2F17"/>
    <w:rsid w:val="00BE328A"/>
    <w:rsid w:val="00BE3951"/>
    <w:rsid w:val="00BE4423"/>
    <w:rsid w:val="00BE45EF"/>
    <w:rsid w:val="00BE4BB1"/>
    <w:rsid w:val="00BE4C99"/>
    <w:rsid w:val="00BE4DFD"/>
    <w:rsid w:val="00BE4FC6"/>
    <w:rsid w:val="00BE574E"/>
    <w:rsid w:val="00BE5B7B"/>
    <w:rsid w:val="00BE5E76"/>
    <w:rsid w:val="00BE6168"/>
    <w:rsid w:val="00BE69A2"/>
    <w:rsid w:val="00BE6DA8"/>
    <w:rsid w:val="00BE6F25"/>
    <w:rsid w:val="00BE7619"/>
    <w:rsid w:val="00BE761F"/>
    <w:rsid w:val="00BE784C"/>
    <w:rsid w:val="00BE7897"/>
    <w:rsid w:val="00BE793C"/>
    <w:rsid w:val="00BE7B57"/>
    <w:rsid w:val="00BF070D"/>
    <w:rsid w:val="00BF0AE1"/>
    <w:rsid w:val="00BF15F3"/>
    <w:rsid w:val="00BF16C4"/>
    <w:rsid w:val="00BF1F32"/>
    <w:rsid w:val="00BF2046"/>
    <w:rsid w:val="00BF2128"/>
    <w:rsid w:val="00BF245F"/>
    <w:rsid w:val="00BF2983"/>
    <w:rsid w:val="00BF2BB6"/>
    <w:rsid w:val="00BF2CA1"/>
    <w:rsid w:val="00BF3268"/>
    <w:rsid w:val="00BF33A9"/>
    <w:rsid w:val="00BF3C71"/>
    <w:rsid w:val="00BF3D03"/>
    <w:rsid w:val="00BF3E35"/>
    <w:rsid w:val="00BF41B9"/>
    <w:rsid w:val="00BF45B5"/>
    <w:rsid w:val="00BF5649"/>
    <w:rsid w:val="00BF5880"/>
    <w:rsid w:val="00BF5910"/>
    <w:rsid w:val="00BF6409"/>
    <w:rsid w:val="00BF7355"/>
    <w:rsid w:val="00BF75DE"/>
    <w:rsid w:val="00BF7CF8"/>
    <w:rsid w:val="00C002BE"/>
    <w:rsid w:val="00C00B3C"/>
    <w:rsid w:val="00C00D33"/>
    <w:rsid w:val="00C00FCE"/>
    <w:rsid w:val="00C0102E"/>
    <w:rsid w:val="00C010DF"/>
    <w:rsid w:val="00C011CF"/>
    <w:rsid w:val="00C01384"/>
    <w:rsid w:val="00C013F5"/>
    <w:rsid w:val="00C014B5"/>
    <w:rsid w:val="00C01BB5"/>
    <w:rsid w:val="00C01CB1"/>
    <w:rsid w:val="00C01ED4"/>
    <w:rsid w:val="00C01F1E"/>
    <w:rsid w:val="00C02190"/>
    <w:rsid w:val="00C021DA"/>
    <w:rsid w:val="00C02E75"/>
    <w:rsid w:val="00C031A2"/>
    <w:rsid w:val="00C03710"/>
    <w:rsid w:val="00C03A7C"/>
    <w:rsid w:val="00C03CF5"/>
    <w:rsid w:val="00C040F7"/>
    <w:rsid w:val="00C047AB"/>
    <w:rsid w:val="00C04B2F"/>
    <w:rsid w:val="00C04FC2"/>
    <w:rsid w:val="00C05166"/>
    <w:rsid w:val="00C0594C"/>
    <w:rsid w:val="00C06728"/>
    <w:rsid w:val="00C06933"/>
    <w:rsid w:val="00C06A0E"/>
    <w:rsid w:val="00C06C9E"/>
    <w:rsid w:val="00C06D43"/>
    <w:rsid w:val="00C0740D"/>
    <w:rsid w:val="00C07913"/>
    <w:rsid w:val="00C104AE"/>
    <w:rsid w:val="00C104C1"/>
    <w:rsid w:val="00C10EF2"/>
    <w:rsid w:val="00C111BF"/>
    <w:rsid w:val="00C111F2"/>
    <w:rsid w:val="00C11FC8"/>
    <w:rsid w:val="00C120B5"/>
    <w:rsid w:val="00C1214D"/>
    <w:rsid w:val="00C12AB8"/>
    <w:rsid w:val="00C12AC9"/>
    <w:rsid w:val="00C12F2E"/>
    <w:rsid w:val="00C13376"/>
    <w:rsid w:val="00C14400"/>
    <w:rsid w:val="00C14920"/>
    <w:rsid w:val="00C14B26"/>
    <w:rsid w:val="00C14CAD"/>
    <w:rsid w:val="00C14D30"/>
    <w:rsid w:val="00C14EC0"/>
    <w:rsid w:val="00C15151"/>
    <w:rsid w:val="00C155BC"/>
    <w:rsid w:val="00C157F9"/>
    <w:rsid w:val="00C159B9"/>
    <w:rsid w:val="00C15AC1"/>
    <w:rsid w:val="00C16159"/>
    <w:rsid w:val="00C169EE"/>
    <w:rsid w:val="00C16BFB"/>
    <w:rsid w:val="00C17089"/>
    <w:rsid w:val="00C17292"/>
    <w:rsid w:val="00C17903"/>
    <w:rsid w:val="00C17A96"/>
    <w:rsid w:val="00C17F80"/>
    <w:rsid w:val="00C201FD"/>
    <w:rsid w:val="00C20325"/>
    <w:rsid w:val="00C205E7"/>
    <w:rsid w:val="00C205F3"/>
    <w:rsid w:val="00C20CAB"/>
    <w:rsid w:val="00C2120B"/>
    <w:rsid w:val="00C21C14"/>
    <w:rsid w:val="00C2229F"/>
    <w:rsid w:val="00C22FE1"/>
    <w:rsid w:val="00C235D2"/>
    <w:rsid w:val="00C23A90"/>
    <w:rsid w:val="00C23A96"/>
    <w:rsid w:val="00C244C1"/>
    <w:rsid w:val="00C2453C"/>
    <w:rsid w:val="00C2479F"/>
    <w:rsid w:val="00C24C96"/>
    <w:rsid w:val="00C24DE4"/>
    <w:rsid w:val="00C2622C"/>
    <w:rsid w:val="00C26D1C"/>
    <w:rsid w:val="00C26F51"/>
    <w:rsid w:val="00C27A7D"/>
    <w:rsid w:val="00C27E21"/>
    <w:rsid w:val="00C27FD7"/>
    <w:rsid w:val="00C3032D"/>
    <w:rsid w:val="00C307BC"/>
    <w:rsid w:val="00C30A7A"/>
    <w:rsid w:val="00C30BDD"/>
    <w:rsid w:val="00C30D9C"/>
    <w:rsid w:val="00C31428"/>
    <w:rsid w:val="00C31EC8"/>
    <w:rsid w:val="00C3213C"/>
    <w:rsid w:val="00C32611"/>
    <w:rsid w:val="00C32A54"/>
    <w:rsid w:val="00C32D73"/>
    <w:rsid w:val="00C32E70"/>
    <w:rsid w:val="00C33865"/>
    <w:rsid w:val="00C33AA3"/>
    <w:rsid w:val="00C33DB3"/>
    <w:rsid w:val="00C33F4A"/>
    <w:rsid w:val="00C33F8B"/>
    <w:rsid w:val="00C34F4F"/>
    <w:rsid w:val="00C35158"/>
    <w:rsid w:val="00C352B0"/>
    <w:rsid w:val="00C35C67"/>
    <w:rsid w:val="00C35EFA"/>
    <w:rsid w:val="00C35F98"/>
    <w:rsid w:val="00C36479"/>
    <w:rsid w:val="00C36493"/>
    <w:rsid w:val="00C36AAF"/>
    <w:rsid w:val="00C36B39"/>
    <w:rsid w:val="00C372A0"/>
    <w:rsid w:val="00C373F1"/>
    <w:rsid w:val="00C3778A"/>
    <w:rsid w:val="00C37968"/>
    <w:rsid w:val="00C40327"/>
    <w:rsid w:val="00C4086F"/>
    <w:rsid w:val="00C40C31"/>
    <w:rsid w:val="00C40C5D"/>
    <w:rsid w:val="00C41337"/>
    <w:rsid w:val="00C41464"/>
    <w:rsid w:val="00C4164B"/>
    <w:rsid w:val="00C417CB"/>
    <w:rsid w:val="00C41B58"/>
    <w:rsid w:val="00C41E11"/>
    <w:rsid w:val="00C4284B"/>
    <w:rsid w:val="00C42CA2"/>
    <w:rsid w:val="00C432E5"/>
    <w:rsid w:val="00C43571"/>
    <w:rsid w:val="00C43C16"/>
    <w:rsid w:val="00C443DF"/>
    <w:rsid w:val="00C44A12"/>
    <w:rsid w:val="00C44C8B"/>
    <w:rsid w:val="00C44EB9"/>
    <w:rsid w:val="00C44FFA"/>
    <w:rsid w:val="00C45A42"/>
    <w:rsid w:val="00C461DD"/>
    <w:rsid w:val="00C463E3"/>
    <w:rsid w:val="00C46801"/>
    <w:rsid w:val="00C46E28"/>
    <w:rsid w:val="00C474D3"/>
    <w:rsid w:val="00C476D8"/>
    <w:rsid w:val="00C47B7A"/>
    <w:rsid w:val="00C503EC"/>
    <w:rsid w:val="00C50463"/>
    <w:rsid w:val="00C50AAB"/>
    <w:rsid w:val="00C50D2F"/>
    <w:rsid w:val="00C50D78"/>
    <w:rsid w:val="00C516C9"/>
    <w:rsid w:val="00C51B47"/>
    <w:rsid w:val="00C51D09"/>
    <w:rsid w:val="00C52E94"/>
    <w:rsid w:val="00C53191"/>
    <w:rsid w:val="00C5473E"/>
    <w:rsid w:val="00C549D0"/>
    <w:rsid w:val="00C54C18"/>
    <w:rsid w:val="00C54E7C"/>
    <w:rsid w:val="00C54ECF"/>
    <w:rsid w:val="00C54F9E"/>
    <w:rsid w:val="00C55833"/>
    <w:rsid w:val="00C55AE1"/>
    <w:rsid w:val="00C55BC3"/>
    <w:rsid w:val="00C56384"/>
    <w:rsid w:val="00C5644C"/>
    <w:rsid w:val="00C565B5"/>
    <w:rsid w:val="00C571C6"/>
    <w:rsid w:val="00C575E8"/>
    <w:rsid w:val="00C579E0"/>
    <w:rsid w:val="00C57D90"/>
    <w:rsid w:val="00C57E2F"/>
    <w:rsid w:val="00C606E8"/>
    <w:rsid w:val="00C60994"/>
    <w:rsid w:val="00C61152"/>
    <w:rsid w:val="00C61432"/>
    <w:rsid w:val="00C61642"/>
    <w:rsid w:val="00C61700"/>
    <w:rsid w:val="00C62689"/>
    <w:rsid w:val="00C62A48"/>
    <w:rsid w:val="00C62B35"/>
    <w:rsid w:val="00C62B37"/>
    <w:rsid w:val="00C62C42"/>
    <w:rsid w:val="00C62DD0"/>
    <w:rsid w:val="00C632EF"/>
    <w:rsid w:val="00C63697"/>
    <w:rsid w:val="00C63B8F"/>
    <w:rsid w:val="00C63CA1"/>
    <w:rsid w:val="00C641EA"/>
    <w:rsid w:val="00C642B2"/>
    <w:rsid w:val="00C64BE8"/>
    <w:rsid w:val="00C65664"/>
    <w:rsid w:val="00C6583C"/>
    <w:rsid w:val="00C65CF6"/>
    <w:rsid w:val="00C65D3E"/>
    <w:rsid w:val="00C667AC"/>
    <w:rsid w:val="00C66EF2"/>
    <w:rsid w:val="00C67031"/>
    <w:rsid w:val="00C67279"/>
    <w:rsid w:val="00C674D3"/>
    <w:rsid w:val="00C67C15"/>
    <w:rsid w:val="00C67CBF"/>
    <w:rsid w:val="00C7003C"/>
    <w:rsid w:val="00C70D34"/>
    <w:rsid w:val="00C70ECE"/>
    <w:rsid w:val="00C7165D"/>
    <w:rsid w:val="00C7187B"/>
    <w:rsid w:val="00C71951"/>
    <w:rsid w:val="00C71CEF"/>
    <w:rsid w:val="00C722FF"/>
    <w:rsid w:val="00C72532"/>
    <w:rsid w:val="00C727C1"/>
    <w:rsid w:val="00C72F4A"/>
    <w:rsid w:val="00C734B0"/>
    <w:rsid w:val="00C737CC"/>
    <w:rsid w:val="00C7415D"/>
    <w:rsid w:val="00C7460F"/>
    <w:rsid w:val="00C746C2"/>
    <w:rsid w:val="00C753C0"/>
    <w:rsid w:val="00C75A7F"/>
    <w:rsid w:val="00C75B8F"/>
    <w:rsid w:val="00C75E36"/>
    <w:rsid w:val="00C75F5E"/>
    <w:rsid w:val="00C76167"/>
    <w:rsid w:val="00C76291"/>
    <w:rsid w:val="00C763A5"/>
    <w:rsid w:val="00C76782"/>
    <w:rsid w:val="00C76818"/>
    <w:rsid w:val="00C7691B"/>
    <w:rsid w:val="00C76D14"/>
    <w:rsid w:val="00C76F5D"/>
    <w:rsid w:val="00C77297"/>
    <w:rsid w:val="00C774A0"/>
    <w:rsid w:val="00C77521"/>
    <w:rsid w:val="00C77B52"/>
    <w:rsid w:val="00C77E43"/>
    <w:rsid w:val="00C80D62"/>
    <w:rsid w:val="00C80F13"/>
    <w:rsid w:val="00C81046"/>
    <w:rsid w:val="00C813A5"/>
    <w:rsid w:val="00C81C7E"/>
    <w:rsid w:val="00C81CD4"/>
    <w:rsid w:val="00C81EFB"/>
    <w:rsid w:val="00C82029"/>
    <w:rsid w:val="00C82B72"/>
    <w:rsid w:val="00C82DFB"/>
    <w:rsid w:val="00C82E67"/>
    <w:rsid w:val="00C83AB6"/>
    <w:rsid w:val="00C84450"/>
    <w:rsid w:val="00C84582"/>
    <w:rsid w:val="00C84C38"/>
    <w:rsid w:val="00C84E6D"/>
    <w:rsid w:val="00C859C5"/>
    <w:rsid w:val="00C86312"/>
    <w:rsid w:val="00C86570"/>
    <w:rsid w:val="00C865F4"/>
    <w:rsid w:val="00C86BE9"/>
    <w:rsid w:val="00C876AE"/>
    <w:rsid w:val="00C87ACD"/>
    <w:rsid w:val="00C87C75"/>
    <w:rsid w:val="00C9082D"/>
    <w:rsid w:val="00C90834"/>
    <w:rsid w:val="00C90AD6"/>
    <w:rsid w:val="00C90FED"/>
    <w:rsid w:val="00C910D0"/>
    <w:rsid w:val="00C919AA"/>
    <w:rsid w:val="00C91EB9"/>
    <w:rsid w:val="00C92433"/>
    <w:rsid w:val="00C935C6"/>
    <w:rsid w:val="00C9363D"/>
    <w:rsid w:val="00C9365B"/>
    <w:rsid w:val="00C9382B"/>
    <w:rsid w:val="00C93B02"/>
    <w:rsid w:val="00C93BBE"/>
    <w:rsid w:val="00C93C30"/>
    <w:rsid w:val="00C940C9"/>
    <w:rsid w:val="00C94E7B"/>
    <w:rsid w:val="00C94F00"/>
    <w:rsid w:val="00C94F47"/>
    <w:rsid w:val="00C95079"/>
    <w:rsid w:val="00C95176"/>
    <w:rsid w:val="00C9535C"/>
    <w:rsid w:val="00C953D8"/>
    <w:rsid w:val="00C95D4A"/>
    <w:rsid w:val="00C95E24"/>
    <w:rsid w:val="00C9625F"/>
    <w:rsid w:val="00C9655B"/>
    <w:rsid w:val="00C96761"/>
    <w:rsid w:val="00C96B46"/>
    <w:rsid w:val="00C96C3D"/>
    <w:rsid w:val="00C96F35"/>
    <w:rsid w:val="00C97318"/>
    <w:rsid w:val="00C9763E"/>
    <w:rsid w:val="00C97FAD"/>
    <w:rsid w:val="00CA0635"/>
    <w:rsid w:val="00CA0B6B"/>
    <w:rsid w:val="00CA10EE"/>
    <w:rsid w:val="00CA1B4B"/>
    <w:rsid w:val="00CA1B5E"/>
    <w:rsid w:val="00CA2533"/>
    <w:rsid w:val="00CA2965"/>
    <w:rsid w:val="00CA2A28"/>
    <w:rsid w:val="00CA2DB7"/>
    <w:rsid w:val="00CA2DC8"/>
    <w:rsid w:val="00CA2EF8"/>
    <w:rsid w:val="00CA32FD"/>
    <w:rsid w:val="00CA3647"/>
    <w:rsid w:val="00CA3A7B"/>
    <w:rsid w:val="00CA3F6F"/>
    <w:rsid w:val="00CA466B"/>
    <w:rsid w:val="00CA472B"/>
    <w:rsid w:val="00CA49CC"/>
    <w:rsid w:val="00CA4C05"/>
    <w:rsid w:val="00CA4C62"/>
    <w:rsid w:val="00CA5076"/>
    <w:rsid w:val="00CA51EC"/>
    <w:rsid w:val="00CA5831"/>
    <w:rsid w:val="00CA5CDB"/>
    <w:rsid w:val="00CA5CF7"/>
    <w:rsid w:val="00CA6088"/>
    <w:rsid w:val="00CA61D5"/>
    <w:rsid w:val="00CA710C"/>
    <w:rsid w:val="00CA75BD"/>
    <w:rsid w:val="00CA7C6F"/>
    <w:rsid w:val="00CA7CD4"/>
    <w:rsid w:val="00CA7E0F"/>
    <w:rsid w:val="00CA7E42"/>
    <w:rsid w:val="00CB0002"/>
    <w:rsid w:val="00CB01C1"/>
    <w:rsid w:val="00CB02DC"/>
    <w:rsid w:val="00CB0424"/>
    <w:rsid w:val="00CB0541"/>
    <w:rsid w:val="00CB074D"/>
    <w:rsid w:val="00CB0AA6"/>
    <w:rsid w:val="00CB0EB0"/>
    <w:rsid w:val="00CB0EB3"/>
    <w:rsid w:val="00CB0FC4"/>
    <w:rsid w:val="00CB16C7"/>
    <w:rsid w:val="00CB1E36"/>
    <w:rsid w:val="00CB1F24"/>
    <w:rsid w:val="00CB24E5"/>
    <w:rsid w:val="00CB29F4"/>
    <w:rsid w:val="00CB36E9"/>
    <w:rsid w:val="00CB395C"/>
    <w:rsid w:val="00CB3FE4"/>
    <w:rsid w:val="00CB41F2"/>
    <w:rsid w:val="00CB4395"/>
    <w:rsid w:val="00CB4485"/>
    <w:rsid w:val="00CB4538"/>
    <w:rsid w:val="00CB473B"/>
    <w:rsid w:val="00CB4B3F"/>
    <w:rsid w:val="00CB4CBC"/>
    <w:rsid w:val="00CB4F41"/>
    <w:rsid w:val="00CB5593"/>
    <w:rsid w:val="00CB5749"/>
    <w:rsid w:val="00CB63C7"/>
    <w:rsid w:val="00CB6FC3"/>
    <w:rsid w:val="00CB7148"/>
    <w:rsid w:val="00CB7391"/>
    <w:rsid w:val="00CB751B"/>
    <w:rsid w:val="00CB78E4"/>
    <w:rsid w:val="00CC0828"/>
    <w:rsid w:val="00CC0E3B"/>
    <w:rsid w:val="00CC103A"/>
    <w:rsid w:val="00CC1487"/>
    <w:rsid w:val="00CC1CE0"/>
    <w:rsid w:val="00CC214A"/>
    <w:rsid w:val="00CC2294"/>
    <w:rsid w:val="00CC2383"/>
    <w:rsid w:val="00CC2669"/>
    <w:rsid w:val="00CC2CA8"/>
    <w:rsid w:val="00CC2F3F"/>
    <w:rsid w:val="00CC319B"/>
    <w:rsid w:val="00CC3E70"/>
    <w:rsid w:val="00CC42A3"/>
    <w:rsid w:val="00CC46F9"/>
    <w:rsid w:val="00CC5013"/>
    <w:rsid w:val="00CC52EA"/>
    <w:rsid w:val="00CC5355"/>
    <w:rsid w:val="00CC5567"/>
    <w:rsid w:val="00CC565E"/>
    <w:rsid w:val="00CC63A7"/>
    <w:rsid w:val="00CC64B7"/>
    <w:rsid w:val="00CC663D"/>
    <w:rsid w:val="00CC682F"/>
    <w:rsid w:val="00CC6958"/>
    <w:rsid w:val="00CC6AF9"/>
    <w:rsid w:val="00CC6BF6"/>
    <w:rsid w:val="00CC7515"/>
    <w:rsid w:val="00CC7B03"/>
    <w:rsid w:val="00CD02B0"/>
    <w:rsid w:val="00CD0431"/>
    <w:rsid w:val="00CD0464"/>
    <w:rsid w:val="00CD099B"/>
    <w:rsid w:val="00CD0C02"/>
    <w:rsid w:val="00CD0FD4"/>
    <w:rsid w:val="00CD135E"/>
    <w:rsid w:val="00CD16D8"/>
    <w:rsid w:val="00CD1B9F"/>
    <w:rsid w:val="00CD1D69"/>
    <w:rsid w:val="00CD1DF7"/>
    <w:rsid w:val="00CD206A"/>
    <w:rsid w:val="00CD2322"/>
    <w:rsid w:val="00CD38A9"/>
    <w:rsid w:val="00CD3A5D"/>
    <w:rsid w:val="00CD3B8F"/>
    <w:rsid w:val="00CD3D41"/>
    <w:rsid w:val="00CD3DDF"/>
    <w:rsid w:val="00CD4320"/>
    <w:rsid w:val="00CD460C"/>
    <w:rsid w:val="00CD4DA9"/>
    <w:rsid w:val="00CD4E64"/>
    <w:rsid w:val="00CD4F3E"/>
    <w:rsid w:val="00CD5538"/>
    <w:rsid w:val="00CD591B"/>
    <w:rsid w:val="00CD5D08"/>
    <w:rsid w:val="00CD5DBE"/>
    <w:rsid w:val="00CD68FF"/>
    <w:rsid w:val="00CD71A2"/>
    <w:rsid w:val="00CE0677"/>
    <w:rsid w:val="00CE0ABE"/>
    <w:rsid w:val="00CE0D91"/>
    <w:rsid w:val="00CE14D9"/>
    <w:rsid w:val="00CE1AEE"/>
    <w:rsid w:val="00CE1E27"/>
    <w:rsid w:val="00CE299A"/>
    <w:rsid w:val="00CE2F70"/>
    <w:rsid w:val="00CE42DE"/>
    <w:rsid w:val="00CE42F4"/>
    <w:rsid w:val="00CE4EA1"/>
    <w:rsid w:val="00CE5367"/>
    <w:rsid w:val="00CE53E2"/>
    <w:rsid w:val="00CE5702"/>
    <w:rsid w:val="00CE571C"/>
    <w:rsid w:val="00CE57CD"/>
    <w:rsid w:val="00CE57DC"/>
    <w:rsid w:val="00CE5AC9"/>
    <w:rsid w:val="00CE5E7C"/>
    <w:rsid w:val="00CE60D8"/>
    <w:rsid w:val="00CE6264"/>
    <w:rsid w:val="00CE626A"/>
    <w:rsid w:val="00CE6283"/>
    <w:rsid w:val="00CE635D"/>
    <w:rsid w:val="00CE6423"/>
    <w:rsid w:val="00CE68F4"/>
    <w:rsid w:val="00CE6A18"/>
    <w:rsid w:val="00CE729E"/>
    <w:rsid w:val="00CE767D"/>
    <w:rsid w:val="00CE7D2F"/>
    <w:rsid w:val="00CE7E89"/>
    <w:rsid w:val="00CF02A5"/>
    <w:rsid w:val="00CF070D"/>
    <w:rsid w:val="00CF0744"/>
    <w:rsid w:val="00CF0768"/>
    <w:rsid w:val="00CF0A9C"/>
    <w:rsid w:val="00CF0F3D"/>
    <w:rsid w:val="00CF186C"/>
    <w:rsid w:val="00CF19D9"/>
    <w:rsid w:val="00CF1B26"/>
    <w:rsid w:val="00CF1EC8"/>
    <w:rsid w:val="00CF2D2F"/>
    <w:rsid w:val="00CF32DE"/>
    <w:rsid w:val="00CF3813"/>
    <w:rsid w:val="00CF3C22"/>
    <w:rsid w:val="00CF410A"/>
    <w:rsid w:val="00CF4432"/>
    <w:rsid w:val="00CF44B4"/>
    <w:rsid w:val="00CF516B"/>
    <w:rsid w:val="00CF5363"/>
    <w:rsid w:val="00CF54AE"/>
    <w:rsid w:val="00CF5D1C"/>
    <w:rsid w:val="00CF6025"/>
    <w:rsid w:val="00CF61A2"/>
    <w:rsid w:val="00CF6636"/>
    <w:rsid w:val="00CF6C64"/>
    <w:rsid w:val="00CF73A6"/>
    <w:rsid w:val="00CF75FF"/>
    <w:rsid w:val="00CF764D"/>
    <w:rsid w:val="00CF7D0C"/>
    <w:rsid w:val="00D0038B"/>
    <w:rsid w:val="00D00740"/>
    <w:rsid w:val="00D00BCB"/>
    <w:rsid w:val="00D00C17"/>
    <w:rsid w:val="00D00F4C"/>
    <w:rsid w:val="00D0100E"/>
    <w:rsid w:val="00D0116D"/>
    <w:rsid w:val="00D011BC"/>
    <w:rsid w:val="00D01377"/>
    <w:rsid w:val="00D020A2"/>
    <w:rsid w:val="00D02BF8"/>
    <w:rsid w:val="00D0316B"/>
    <w:rsid w:val="00D03600"/>
    <w:rsid w:val="00D03B99"/>
    <w:rsid w:val="00D03CC4"/>
    <w:rsid w:val="00D03CDE"/>
    <w:rsid w:val="00D03D4C"/>
    <w:rsid w:val="00D04808"/>
    <w:rsid w:val="00D048D7"/>
    <w:rsid w:val="00D0496D"/>
    <w:rsid w:val="00D04C43"/>
    <w:rsid w:val="00D0506B"/>
    <w:rsid w:val="00D05901"/>
    <w:rsid w:val="00D05E0C"/>
    <w:rsid w:val="00D06235"/>
    <w:rsid w:val="00D0633A"/>
    <w:rsid w:val="00D06A63"/>
    <w:rsid w:val="00D071CB"/>
    <w:rsid w:val="00D07242"/>
    <w:rsid w:val="00D07823"/>
    <w:rsid w:val="00D07B90"/>
    <w:rsid w:val="00D07FF2"/>
    <w:rsid w:val="00D1022D"/>
    <w:rsid w:val="00D10269"/>
    <w:rsid w:val="00D1112C"/>
    <w:rsid w:val="00D11171"/>
    <w:rsid w:val="00D11480"/>
    <w:rsid w:val="00D11BF2"/>
    <w:rsid w:val="00D11FC8"/>
    <w:rsid w:val="00D120BE"/>
    <w:rsid w:val="00D122B7"/>
    <w:rsid w:val="00D123F3"/>
    <w:rsid w:val="00D1261D"/>
    <w:rsid w:val="00D127E3"/>
    <w:rsid w:val="00D128A7"/>
    <w:rsid w:val="00D1321B"/>
    <w:rsid w:val="00D135BB"/>
    <w:rsid w:val="00D13C6A"/>
    <w:rsid w:val="00D13DA7"/>
    <w:rsid w:val="00D1445F"/>
    <w:rsid w:val="00D14505"/>
    <w:rsid w:val="00D14718"/>
    <w:rsid w:val="00D148CE"/>
    <w:rsid w:val="00D148D3"/>
    <w:rsid w:val="00D14AA5"/>
    <w:rsid w:val="00D14F2E"/>
    <w:rsid w:val="00D15EE5"/>
    <w:rsid w:val="00D160C2"/>
    <w:rsid w:val="00D16CAF"/>
    <w:rsid w:val="00D16D61"/>
    <w:rsid w:val="00D16E66"/>
    <w:rsid w:val="00D173DC"/>
    <w:rsid w:val="00D1749E"/>
    <w:rsid w:val="00D176AC"/>
    <w:rsid w:val="00D17861"/>
    <w:rsid w:val="00D17A02"/>
    <w:rsid w:val="00D20424"/>
    <w:rsid w:val="00D2044A"/>
    <w:rsid w:val="00D20EEF"/>
    <w:rsid w:val="00D215A7"/>
    <w:rsid w:val="00D21740"/>
    <w:rsid w:val="00D218C5"/>
    <w:rsid w:val="00D22157"/>
    <w:rsid w:val="00D226ED"/>
    <w:rsid w:val="00D22762"/>
    <w:rsid w:val="00D22862"/>
    <w:rsid w:val="00D229E9"/>
    <w:rsid w:val="00D22CAF"/>
    <w:rsid w:val="00D22E5E"/>
    <w:rsid w:val="00D22EA8"/>
    <w:rsid w:val="00D234A0"/>
    <w:rsid w:val="00D23A75"/>
    <w:rsid w:val="00D23D59"/>
    <w:rsid w:val="00D241E6"/>
    <w:rsid w:val="00D24566"/>
    <w:rsid w:val="00D248D4"/>
    <w:rsid w:val="00D24A2B"/>
    <w:rsid w:val="00D24A40"/>
    <w:rsid w:val="00D252B6"/>
    <w:rsid w:val="00D25DAD"/>
    <w:rsid w:val="00D261EC"/>
    <w:rsid w:val="00D263B3"/>
    <w:rsid w:val="00D2641C"/>
    <w:rsid w:val="00D265D7"/>
    <w:rsid w:val="00D2668F"/>
    <w:rsid w:val="00D271CF"/>
    <w:rsid w:val="00D27339"/>
    <w:rsid w:val="00D27C1A"/>
    <w:rsid w:val="00D27E4C"/>
    <w:rsid w:val="00D305D5"/>
    <w:rsid w:val="00D3071B"/>
    <w:rsid w:val="00D30991"/>
    <w:rsid w:val="00D30B12"/>
    <w:rsid w:val="00D30C6B"/>
    <w:rsid w:val="00D31A94"/>
    <w:rsid w:val="00D31B9C"/>
    <w:rsid w:val="00D31C70"/>
    <w:rsid w:val="00D31F3B"/>
    <w:rsid w:val="00D31F6B"/>
    <w:rsid w:val="00D3200D"/>
    <w:rsid w:val="00D320AB"/>
    <w:rsid w:val="00D32D01"/>
    <w:rsid w:val="00D3336D"/>
    <w:rsid w:val="00D33711"/>
    <w:rsid w:val="00D337DA"/>
    <w:rsid w:val="00D3460B"/>
    <w:rsid w:val="00D346A7"/>
    <w:rsid w:val="00D347DE"/>
    <w:rsid w:val="00D34A6B"/>
    <w:rsid w:val="00D34A8A"/>
    <w:rsid w:val="00D35150"/>
    <w:rsid w:val="00D35702"/>
    <w:rsid w:val="00D35805"/>
    <w:rsid w:val="00D35B6A"/>
    <w:rsid w:val="00D35E5F"/>
    <w:rsid w:val="00D362F4"/>
    <w:rsid w:val="00D36543"/>
    <w:rsid w:val="00D3667E"/>
    <w:rsid w:val="00D367E4"/>
    <w:rsid w:val="00D369B9"/>
    <w:rsid w:val="00D36B81"/>
    <w:rsid w:val="00D36F30"/>
    <w:rsid w:val="00D37056"/>
    <w:rsid w:val="00D3706F"/>
    <w:rsid w:val="00D37078"/>
    <w:rsid w:val="00D372BF"/>
    <w:rsid w:val="00D372CA"/>
    <w:rsid w:val="00D378F0"/>
    <w:rsid w:val="00D4097D"/>
    <w:rsid w:val="00D4186C"/>
    <w:rsid w:val="00D41DD1"/>
    <w:rsid w:val="00D41E92"/>
    <w:rsid w:val="00D41FFF"/>
    <w:rsid w:val="00D42102"/>
    <w:rsid w:val="00D42296"/>
    <w:rsid w:val="00D424B4"/>
    <w:rsid w:val="00D42A58"/>
    <w:rsid w:val="00D42D17"/>
    <w:rsid w:val="00D42E95"/>
    <w:rsid w:val="00D43A3B"/>
    <w:rsid w:val="00D43BCD"/>
    <w:rsid w:val="00D44291"/>
    <w:rsid w:val="00D44803"/>
    <w:rsid w:val="00D44C7E"/>
    <w:rsid w:val="00D45115"/>
    <w:rsid w:val="00D45122"/>
    <w:rsid w:val="00D452B9"/>
    <w:rsid w:val="00D45321"/>
    <w:rsid w:val="00D4560A"/>
    <w:rsid w:val="00D45645"/>
    <w:rsid w:val="00D45D96"/>
    <w:rsid w:val="00D45E89"/>
    <w:rsid w:val="00D45FB5"/>
    <w:rsid w:val="00D4609B"/>
    <w:rsid w:val="00D46164"/>
    <w:rsid w:val="00D46212"/>
    <w:rsid w:val="00D46321"/>
    <w:rsid w:val="00D464AC"/>
    <w:rsid w:val="00D47770"/>
    <w:rsid w:val="00D47C2D"/>
    <w:rsid w:val="00D501C4"/>
    <w:rsid w:val="00D502FC"/>
    <w:rsid w:val="00D50C90"/>
    <w:rsid w:val="00D51183"/>
    <w:rsid w:val="00D512C9"/>
    <w:rsid w:val="00D51D25"/>
    <w:rsid w:val="00D51DD4"/>
    <w:rsid w:val="00D51E07"/>
    <w:rsid w:val="00D51EA0"/>
    <w:rsid w:val="00D52232"/>
    <w:rsid w:val="00D5228E"/>
    <w:rsid w:val="00D52AA4"/>
    <w:rsid w:val="00D52C36"/>
    <w:rsid w:val="00D52DCF"/>
    <w:rsid w:val="00D52EF8"/>
    <w:rsid w:val="00D5382C"/>
    <w:rsid w:val="00D53A76"/>
    <w:rsid w:val="00D53FD6"/>
    <w:rsid w:val="00D54E0D"/>
    <w:rsid w:val="00D5520B"/>
    <w:rsid w:val="00D55481"/>
    <w:rsid w:val="00D5566D"/>
    <w:rsid w:val="00D557FD"/>
    <w:rsid w:val="00D55EFB"/>
    <w:rsid w:val="00D56226"/>
    <w:rsid w:val="00D567A9"/>
    <w:rsid w:val="00D5681C"/>
    <w:rsid w:val="00D56CE8"/>
    <w:rsid w:val="00D56D8A"/>
    <w:rsid w:val="00D576B1"/>
    <w:rsid w:val="00D60D1A"/>
    <w:rsid w:val="00D60FF0"/>
    <w:rsid w:val="00D61351"/>
    <w:rsid w:val="00D6165D"/>
    <w:rsid w:val="00D6203A"/>
    <w:rsid w:val="00D6220E"/>
    <w:rsid w:val="00D625FE"/>
    <w:rsid w:val="00D629E6"/>
    <w:rsid w:val="00D62BF6"/>
    <w:rsid w:val="00D62C4A"/>
    <w:rsid w:val="00D6339E"/>
    <w:rsid w:val="00D63888"/>
    <w:rsid w:val="00D63B05"/>
    <w:rsid w:val="00D6429B"/>
    <w:rsid w:val="00D645B4"/>
    <w:rsid w:val="00D6494F"/>
    <w:rsid w:val="00D649FA"/>
    <w:rsid w:val="00D64D54"/>
    <w:rsid w:val="00D65071"/>
    <w:rsid w:val="00D652C8"/>
    <w:rsid w:val="00D65532"/>
    <w:rsid w:val="00D6610C"/>
    <w:rsid w:val="00D66167"/>
    <w:rsid w:val="00D66220"/>
    <w:rsid w:val="00D66247"/>
    <w:rsid w:val="00D6663B"/>
    <w:rsid w:val="00D66ADC"/>
    <w:rsid w:val="00D66B12"/>
    <w:rsid w:val="00D66C80"/>
    <w:rsid w:val="00D66C84"/>
    <w:rsid w:val="00D67A5F"/>
    <w:rsid w:val="00D67B7D"/>
    <w:rsid w:val="00D67C7B"/>
    <w:rsid w:val="00D67DAB"/>
    <w:rsid w:val="00D67DC3"/>
    <w:rsid w:val="00D7041F"/>
    <w:rsid w:val="00D70A14"/>
    <w:rsid w:val="00D70FD0"/>
    <w:rsid w:val="00D71855"/>
    <w:rsid w:val="00D71BEB"/>
    <w:rsid w:val="00D71F47"/>
    <w:rsid w:val="00D722B3"/>
    <w:rsid w:val="00D724BA"/>
    <w:rsid w:val="00D728F7"/>
    <w:rsid w:val="00D73098"/>
    <w:rsid w:val="00D73219"/>
    <w:rsid w:val="00D734D1"/>
    <w:rsid w:val="00D744DD"/>
    <w:rsid w:val="00D74F3A"/>
    <w:rsid w:val="00D759E8"/>
    <w:rsid w:val="00D75CC3"/>
    <w:rsid w:val="00D75EAB"/>
    <w:rsid w:val="00D76538"/>
    <w:rsid w:val="00D765A5"/>
    <w:rsid w:val="00D76DF3"/>
    <w:rsid w:val="00D77295"/>
    <w:rsid w:val="00D80889"/>
    <w:rsid w:val="00D80EE7"/>
    <w:rsid w:val="00D80F98"/>
    <w:rsid w:val="00D8173A"/>
    <w:rsid w:val="00D81B6B"/>
    <w:rsid w:val="00D82070"/>
    <w:rsid w:val="00D8271B"/>
    <w:rsid w:val="00D82893"/>
    <w:rsid w:val="00D82937"/>
    <w:rsid w:val="00D82ADC"/>
    <w:rsid w:val="00D82D5F"/>
    <w:rsid w:val="00D83841"/>
    <w:rsid w:val="00D8391F"/>
    <w:rsid w:val="00D83C94"/>
    <w:rsid w:val="00D84413"/>
    <w:rsid w:val="00D84704"/>
    <w:rsid w:val="00D8493D"/>
    <w:rsid w:val="00D849A9"/>
    <w:rsid w:val="00D8500F"/>
    <w:rsid w:val="00D85426"/>
    <w:rsid w:val="00D85887"/>
    <w:rsid w:val="00D85D0E"/>
    <w:rsid w:val="00D8645C"/>
    <w:rsid w:val="00D869FC"/>
    <w:rsid w:val="00D86F74"/>
    <w:rsid w:val="00D876F5"/>
    <w:rsid w:val="00D87C37"/>
    <w:rsid w:val="00D87D7A"/>
    <w:rsid w:val="00D87FAE"/>
    <w:rsid w:val="00D9000B"/>
    <w:rsid w:val="00D908D6"/>
    <w:rsid w:val="00D912D4"/>
    <w:rsid w:val="00D91423"/>
    <w:rsid w:val="00D915C9"/>
    <w:rsid w:val="00D91862"/>
    <w:rsid w:val="00D91A88"/>
    <w:rsid w:val="00D91D58"/>
    <w:rsid w:val="00D920A3"/>
    <w:rsid w:val="00D9213F"/>
    <w:rsid w:val="00D92CBB"/>
    <w:rsid w:val="00D92CCC"/>
    <w:rsid w:val="00D92F97"/>
    <w:rsid w:val="00D930C7"/>
    <w:rsid w:val="00D9310C"/>
    <w:rsid w:val="00D939AC"/>
    <w:rsid w:val="00D94009"/>
    <w:rsid w:val="00D94106"/>
    <w:rsid w:val="00D9534E"/>
    <w:rsid w:val="00D954E0"/>
    <w:rsid w:val="00D95C27"/>
    <w:rsid w:val="00D95C8E"/>
    <w:rsid w:val="00D95E41"/>
    <w:rsid w:val="00D9648B"/>
    <w:rsid w:val="00D96532"/>
    <w:rsid w:val="00D96897"/>
    <w:rsid w:val="00D969C3"/>
    <w:rsid w:val="00D96B01"/>
    <w:rsid w:val="00D96C67"/>
    <w:rsid w:val="00D96DBE"/>
    <w:rsid w:val="00D9713E"/>
    <w:rsid w:val="00D97452"/>
    <w:rsid w:val="00D97BAA"/>
    <w:rsid w:val="00DA0A3D"/>
    <w:rsid w:val="00DA104C"/>
    <w:rsid w:val="00DA10C0"/>
    <w:rsid w:val="00DA13A6"/>
    <w:rsid w:val="00DA146B"/>
    <w:rsid w:val="00DA156B"/>
    <w:rsid w:val="00DA198C"/>
    <w:rsid w:val="00DA1A54"/>
    <w:rsid w:val="00DA1A65"/>
    <w:rsid w:val="00DA1AFB"/>
    <w:rsid w:val="00DA1CBD"/>
    <w:rsid w:val="00DA2096"/>
    <w:rsid w:val="00DA24DD"/>
    <w:rsid w:val="00DA25AF"/>
    <w:rsid w:val="00DA2AD2"/>
    <w:rsid w:val="00DA2E28"/>
    <w:rsid w:val="00DA2EA0"/>
    <w:rsid w:val="00DA3071"/>
    <w:rsid w:val="00DA35E1"/>
    <w:rsid w:val="00DA3751"/>
    <w:rsid w:val="00DA3A33"/>
    <w:rsid w:val="00DA4169"/>
    <w:rsid w:val="00DA4A2F"/>
    <w:rsid w:val="00DA4FC9"/>
    <w:rsid w:val="00DA50B1"/>
    <w:rsid w:val="00DA5811"/>
    <w:rsid w:val="00DA687D"/>
    <w:rsid w:val="00DA6C49"/>
    <w:rsid w:val="00DA704E"/>
    <w:rsid w:val="00DA743B"/>
    <w:rsid w:val="00DA76DC"/>
    <w:rsid w:val="00DA7D14"/>
    <w:rsid w:val="00DA7F4E"/>
    <w:rsid w:val="00DB0086"/>
    <w:rsid w:val="00DB01CF"/>
    <w:rsid w:val="00DB05BA"/>
    <w:rsid w:val="00DB0635"/>
    <w:rsid w:val="00DB06C1"/>
    <w:rsid w:val="00DB0BDC"/>
    <w:rsid w:val="00DB0DD4"/>
    <w:rsid w:val="00DB13CD"/>
    <w:rsid w:val="00DB155E"/>
    <w:rsid w:val="00DB1C00"/>
    <w:rsid w:val="00DB1E43"/>
    <w:rsid w:val="00DB2CDB"/>
    <w:rsid w:val="00DB330E"/>
    <w:rsid w:val="00DB3448"/>
    <w:rsid w:val="00DB3644"/>
    <w:rsid w:val="00DB3AAB"/>
    <w:rsid w:val="00DB3BCC"/>
    <w:rsid w:val="00DB4288"/>
    <w:rsid w:val="00DB4412"/>
    <w:rsid w:val="00DB5320"/>
    <w:rsid w:val="00DB5452"/>
    <w:rsid w:val="00DB5531"/>
    <w:rsid w:val="00DB633F"/>
    <w:rsid w:val="00DB6AFC"/>
    <w:rsid w:val="00DB6B10"/>
    <w:rsid w:val="00DB6E4B"/>
    <w:rsid w:val="00DB73D6"/>
    <w:rsid w:val="00DB79C3"/>
    <w:rsid w:val="00DB7A65"/>
    <w:rsid w:val="00DB7E95"/>
    <w:rsid w:val="00DC03D6"/>
    <w:rsid w:val="00DC0805"/>
    <w:rsid w:val="00DC08EA"/>
    <w:rsid w:val="00DC1E55"/>
    <w:rsid w:val="00DC1F76"/>
    <w:rsid w:val="00DC2093"/>
    <w:rsid w:val="00DC2224"/>
    <w:rsid w:val="00DC2448"/>
    <w:rsid w:val="00DC2BF2"/>
    <w:rsid w:val="00DC2CD0"/>
    <w:rsid w:val="00DC31FC"/>
    <w:rsid w:val="00DC337B"/>
    <w:rsid w:val="00DC36B2"/>
    <w:rsid w:val="00DC3845"/>
    <w:rsid w:val="00DC3900"/>
    <w:rsid w:val="00DC3A91"/>
    <w:rsid w:val="00DC50A5"/>
    <w:rsid w:val="00DC5512"/>
    <w:rsid w:val="00DC5896"/>
    <w:rsid w:val="00DC5D31"/>
    <w:rsid w:val="00DC5F26"/>
    <w:rsid w:val="00DC5F49"/>
    <w:rsid w:val="00DC69C8"/>
    <w:rsid w:val="00DC7466"/>
    <w:rsid w:val="00DC7641"/>
    <w:rsid w:val="00DC7C3F"/>
    <w:rsid w:val="00DC7DB4"/>
    <w:rsid w:val="00DD0254"/>
    <w:rsid w:val="00DD02E6"/>
    <w:rsid w:val="00DD0465"/>
    <w:rsid w:val="00DD059A"/>
    <w:rsid w:val="00DD075F"/>
    <w:rsid w:val="00DD0B05"/>
    <w:rsid w:val="00DD0BD7"/>
    <w:rsid w:val="00DD0ED0"/>
    <w:rsid w:val="00DD0FDB"/>
    <w:rsid w:val="00DD12DB"/>
    <w:rsid w:val="00DD12FE"/>
    <w:rsid w:val="00DD14CD"/>
    <w:rsid w:val="00DD1628"/>
    <w:rsid w:val="00DD16F8"/>
    <w:rsid w:val="00DD19DD"/>
    <w:rsid w:val="00DD2628"/>
    <w:rsid w:val="00DD272E"/>
    <w:rsid w:val="00DD2962"/>
    <w:rsid w:val="00DD2FB2"/>
    <w:rsid w:val="00DD3DEB"/>
    <w:rsid w:val="00DD3F70"/>
    <w:rsid w:val="00DD419F"/>
    <w:rsid w:val="00DD467D"/>
    <w:rsid w:val="00DD4C77"/>
    <w:rsid w:val="00DD4CAB"/>
    <w:rsid w:val="00DD4CE1"/>
    <w:rsid w:val="00DD51D8"/>
    <w:rsid w:val="00DD51F5"/>
    <w:rsid w:val="00DD54E1"/>
    <w:rsid w:val="00DD6132"/>
    <w:rsid w:val="00DD61AE"/>
    <w:rsid w:val="00DD69AE"/>
    <w:rsid w:val="00DD78B5"/>
    <w:rsid w:val="00DE0331"/>
    <w:rsid w:val="00DE0F79"/>
    <w:rsid w:val="00DE14BB"/>
    <w:rsid w:val="00DE1570"/>
    <w:rsid w:val="00DE1BD8"/>
    <w:rsid w:val="00DE1F8F"/>
    <w:rsid w:val="00DE2747"/>
    <w:rsid w:val="00DE276C"/>
    <w:rsid w:val="00DE2A07"/>
    <w:rsid w:val="00DE2D72"/>
    <w:rsid w:val="00DE2E8A"/>
    <w:rsid w:val="00DE3129"/>
    <w:rsid w:val="00DE36B6"/>
    <w:rsid w:val="00DE3BD6"/>
    <w:rsid w:val="00DE3C94"/>
    <w:rsid w:val="00DE3F07"/>
    <w:rsid w:val="00DE494B"/>
    <w:rsid w:val="00DE4DFD"/>
    <w:rsid w:val="00DE5381"/>
    <w:rsid w:val="00DE5471"/>
    <w:rsid w:val="00DE56E4"/>
    <w:rsid w:val="00DE572C"/>
    <w:rsid w:val="00DE5AEF"/>
    <w:rsid w:val="00DE5B2C"/>
    <w:rsid w:val="00DE5C32"/>
    <w:rsid w:val="00DE69A3"/>
    <w:rsid w:val="00DE6B9A"/>
    <w:rsid w:val="00DE6F6A"/>
    <w:rsid w:val="00DE7431"/>
    <w:rsid w:val="00DE79E3"/>
    <w:rsid w:val="00DE7A7B"/>
    <w:rsid w:val="00DE7CB4"/>
    <w:rsid w:val="00DE7EB9"/>
    <w:rsid w:val="00DF046F"/>
    <w:rsid w:val="00DF082F"/>
    <w:rsid w:val="00DF0854"/>
    <w:rsid w:val="00DF0904"/>
    <w:rsid w:val="00DF1234"/>
    <w:rsid w:val="00DF1BD8"/>
    <w:rsid w:val="00DF2211"/>
    <w:rsid w:val="00DF2282"/>
    <w:rsid w:val="00DF2294"/>
    <w:rsid w:val="00DF24A2"/>
    <w:rsid w:val="00DF28A1"/>
    <w:rsid w:val="00DF2926"/>
    <w:rsid w:val="00DF3F08"/>
    <w:rsid w:val="00DF551A"/>
    <w:rsid w:val="00DF56D4"/>
    <w:rsid w:val="00DF57C6"/>
    <w:rsid w:val="00DF5DBB"/>
    <w:rsid w:val="00DF5E80"/>
    <w:rsid w:val="00DF60A8"/>
    <w:rsid w:val="00DF6333"/>
    <w:rsid w:val="00DF67C7"/>
    <w:rsid w:val="00DF6B71"/>
    <w:rsid w:val="00DF7C74"/>
    <w:rsid w:val="00DF7CEC"/>
    <w:rsid w:val="00E0013F"/>
    <w:rsid w:val="00E004DA"/>
    <w:rsid w:val="00E005CF"/>
    <w:rsid w:val="00E0069C"/>
    <w:rsid w:val="00E008CE"/>
    <w:rsid w:val="00E00914"/>
    <w:rsid w:val="00E00975"/>
    <w:rsid w:val="00E00BB0"/>
    <w:rsid w:val="00E011CF"/>
    <w:rsid w:val="00E011D1"/>
    <w:rsid w:val="00E01643"/>
    <w:rsid w:val="00E01854"/>
    <w:rsid w:val="00E0230B"/>
    <w:rsid w:val="00E024F5"/>
    <w:rsid w:val="00E02925"/>
    <w:rsid w:val="00E02EEC"/>
    <w:rsid w:val="00E03441"/>
    <w:rsid w:val="00E03D22"/>
    <w:rsid w:val="00E03DBD"/>
    <w:rsid w:val="00E0415F"/>
    <w:rsid w:val="00E041B9"/>
    <w:rsid w:val="00E045C2"/>
    <w:rsid w:val="00E0488D"/>
    <w:rsid w:val="00E04A8F"/>
    <w:rsid w:val="00E04AAF"/>
    <w:rsid w:val="00E0581E"/>
    <w:rsid w:val="00E062FF"/>
    <w:rsid w:val="00E0734B"/>
    <w:rsid w:val="00E07AB7"/>
    <w:rsid w:val="00E07D3C"/>
    <w:rsid w:val="00E07DCA"/>
    <w:rsid w:val="00E07E5C"/>
    <w:rsid w:val="00E07F50"/>
    <w:rsid w:val="00E10476"/>
    <w:rsid w:val="00E1067B"/>
    <w:rsid w:val="00E11034"/>
    <w:rsid w:val="00E118ED"/>
    <w:rsid w:val="00E11AFF"/>
    <w:rsid w:val="00E11C2B"/>
    <w:rsid w:val="00E12084"/>
    <w:rsid w:val="00E122E6"/>
    <w:rsid w:val="00E1247E"/>
    <w:rsid w:val="00E12709"/>
    <w:rsid w:val="00E12849"/>
    <w:rsid w:val="00E12A0C"/>
    <w:rsid w:val="00E12FC9"/>
    <w:rsid w:val="00E130C0"/>
    <w:rsid w:val="00E1327D"/>
    <w:rsid w:val="00E13EA2"/>
    <w:rsid w:val="00E13F05"/>
    <w:rsid w:val="00E14207"/>
    <w:rsid w:val="00E14251"/>
    <w:rsid w:val="00E14659"/>
    <w:rsid w:val="00E1472B"/>
    <w:rsid w:val="00E14824"/>
    <w:rsid w:val="00E1490E"/>
    <w:rsid w:val="00E14D52"/>
    <w:rsid w:val="00E14FA6"/>
    <w:rsid w:val="00E15148"/>
    <w:rsid w:val="00E1523D"/>
    <w:rsid w:val="00E153A7"/>
    <w:rsid w:val="00E1600B"/>
    <w:rsid w:val="00E160C8"/>
    <w:rsid w:val="00E1616C"/>
    <w:rsid w:val="00E16275"/>
    <w:rsid w:val="00E1647F"/>
    <w:rsid w:val="00E16559"/>
    <w:rsid w:val="00E1655F"/>
    <w:rsid w:val="00E169D2"/>
    <w:rsid w:val="00E16C6D"/>
    <w:rsid w:val="00E16C8C"/>
    <w:rsid w:val="00E1703E"/>
    <w:rsid w:val="00E17347"/>
    <w:rsid w:val="00E173F5"/>
    <w:rsid w:val="00E17517"/>
    <w:rsid w:val="00E175C3"/>
    <w:rsid w:val="00E200AB"/>
    <w:rsid w:val="00E2065F"/>
    <w:rsid w:val="00E20A98"/>
    <w:rsid w:val="00E20AE2"/>
    <w:rsid w:val="00E211F4"/>
    <w:rsid w:val="00E2169E"/>
    <w:rsid w:val="00E21B01"/>
    <w:rsid w:val="00E21B31"/>
    <w:rsid w:val="00E21CE4"/>
    <w:rsid w:val="00E2202E"/>
    <w:rsid w:val="00E22252"/>
    <w:rsid w:val="00E2265E"/>
    <w:rsid w:val="00E22795"/>
    <w:rsid w:val="00E229E5"/>
    <w:rsid w:val="00E22BFF"/>
    <w:rsid w:val="00E22E77"/>
    <w:rsid w:val="00E22F86"/>
    <w:rsid w:val="00E2311A"/>
    <w:rsid w:val="00E24021"/>
    <w:rsid w:val="00E2434A"/>
    <w:rsid w:val="00E24B00"/>
    <w:rsid w:val="00E24BA5"/>
    <w:rsid w:val="00E24E0D"/>
    <w:rsid w:val="00E264F6"/>
    <w:rsid w:val="00E26B12"/>
    <w:rsid w:val="00E26E5B"/>
    <w:rsid w:val="00E27164"/>
    <w:rsid w:val="00E27350"/>
    <w:rsid w:val="00E2767D"/>
    <w:rsid w:val="00E27A06"/>
    <w:rsid w:val="00E27D21"/>
    <w:rsid w:val="00E27F16"/>
    <w:rsid w:val="00E30BAE"/>
    <w:rsid w:val="00E31158"/>
    <w:rsid w:val="00E31C1D"/>
    <w:rsid w:val="00E32066"/>
    <w:rsid w:val="00E320D5"/>
    <w:rsid w:val="00E323A9"/>
    <w:rsid w:val="00E32646"/>
    <w:rsid w:val="00E32D07"/>
    <w:rsid w:val="00E32F20"/>
    <w:rsid w:val="00E33130"/>
    <w:rsid w:val="00E3340B"/>
    <w:rsid w:val="00E33AF2"/>
    <w:rsid w:val="00E33AF5"/>
    <w:rsid w:val="00E351C0"/>
    <w:rsid w:val="00E355AD"/>
    <w:rsid w:val="00E355BA"/>
    <w:rsid w:val="00E356C4"/>
    <w:rsid w:val="00E3626E"/>
    <w:rsid w:val="00E36604"/>
    <w:rsid w:val="00E368D8"/>
    <w:rsid w:val="00E369B7"/>
    <w:rsid w:val="00E372AD"/>
    <w:rsid w:val="00E3742E"/>
    <w:rsid w:val="00E37BCC"/>
    <w:rsid w:val="00E37D25"/>
    <w:rsid w:val="00E37EA1"/>
    <w:rsid w:val="00E37EEB"/>
    <w:rsid w:val="00E40559"/>
    <w:rsid w:val="00E40B5F"/>
    <w:rsid w:val="00E40C7D"/>
    <w:rsid w:val="00E413EF"/>
    <w:rsid w:val="00E42260"/>
    <w:rsid w:val="00E42920"/>
    <w:rsid w:val="00E42A83"/>
    <w:rsid w:val="00E42CB9"/>
    <w:rsid w:val="00E42D7C"/>
    <w:rsid w:val="00E42EAE"/>
    <w:rsid w:val="00E431D5"/>
    <w:rsid w:val="00E4359E"/>
    <w:rsid w:val="00E43708"/>
    <w:rsid w:val="00E43E0A"/>
    <w:rsid w:val="00E44156"/>
    <w:rsid w:val="00E45512"/>
    <w:rsid w:val="00E45858"/>
    <w:rsid w:val="00E458C2"/>
    <w:rsid w:val="00E45A36"/>
    <w:rsid w:val="00E469B4"/>
    <w:rsid w:val="00E478C0"/>
    <w:rsid w:val="00E47F19"/>
    <w:rsid w:val="00E50D0E"/>
    <w:rsid w:val="00E50E75"/>
    <w:rsid w:val="00E51458"/>
    <w:rsid w:val="00E51873"/>
    <w:rsid w:val="00E51976"/>
    <w:rsid w:val="00E51B6D"/>
    <w:rsid w:val="00E51BC1"/>
    <w:rsid w:val="00E51C43"/>
    <w:rsid w:val="00E520B7"/>
    <w:rsid w:val="00E522DE"/>
    <w:rsid w:val="00E5233D"/>
    <w:rsid w:val="00E52341"/>
    <w:rsid w:val="00E5283F"/>
    <w:rsid w:val="00E5291E"/>
    <w:rsid w:val="00E5297F"/>
    <w:rsid w:val="00E52B4A"/>
    <w:rsid w:val="00E52E2A"/>
    <w:rsid w:val="00E52E9A"/>
    <w:rsid w:val="00E53425"/>
    <w:rsid w:val="00E5351B"/>
    <w:rsid w:val="00E53751"/>
    <w:rsid w:val="00E5378F"/>
    <w:rsid w:val="00E53867"/>
    <w:rsid w:val="00E53C90"/>
    <w:rsid w:val="00E54347"/>
    <w:rsid w:val="00E5477F"/>
    <w:rsid w:val="00E54D8B"/>
    <w:rsid w:val="00E54E92"/>
    <w:rsid w:val="00E555BE"/>
    <w:rsid w:val="00E55BA5"/>
    <w:rsid w:val="00E56340"/>
    <w:rsid w:val="00E56575"/>
    <w:rsid w:val="00E56FEC"/>
    <w:rsid w:val="00E5798F"/>
    <w:rsid w:val="00E60057"/>
    <w:rsid w:val="00E60342"/>
    <w:rsid w:val="00E60428"/>
    <w:rsid w:val="00E6070F"/>
    <w:rsid w:val="00E60CF0"/>
    <w:rsid w:val="00E60F39"/>
    <w:rsid w:val="00E617E6"/>
    <w:rsid w:val="00E61E4A"/>
    <w:rsid w:val="00E61E9C"/>
    <w:rsid w:val="00E62820"/>
    <w:rsid w:val="00E63F25"/>
    <w:rsid w:val="00E63FB9"/>
    <w:rsid w:val="00E64162"/>
    <w:rsid w:val="00E6418B"/>
    <w:rsid w:val="00E64403"/>
    <w:rsid w:val="00E64717"/>
    <w:rsid w:val="00E659E8"/>
    <w:rsid w:val="00E65FA2"/>
    <w:rsid w:val="00E6651A"/>
    <w:rsid w:val="00E670EF"/>
    <w:rsid w:val="00E674EE"/>
    <w:rsid w:val="00E67C42"/>
    <w:rsid w:val="00E7030C"/>
    <w:rsid w:val="00E70310"/>
    <w:rsid w:val="00E7037A"/>
    <w:rsid w:val="00E70395"/>
    <w:rsid w:val="00E7056C"/>
    <w:rsid w:val="00E709F7"/>
    <w:rsid w:val="00E70B5D"/>
    <w:rsid w:val="00E70D2D"/>
    <w:rsid w:val="00E70ECE"/>
    <w:rsid w:val="00E712DF"/>
    <w:rsid w:val="00E712EC"/>
    <w:rsid w:val="00E7160C"/>
    <w:rsid w:val="00E719E7"/>
    <w:rsid w:val="00E71A97"/>
    <w:rsid w:val="00E71F30"/>
    <w:rsid w:val="00E72066"/>
    <w:rsid w:val="00E727F7"/>
    <w:rsid w:val="00E730EE"/>
    <w:rsid w:val="00E73234"/>
    <w:rsid w:val="00E73E56"/>
    <w:rsid w:val="00E740D6"/>
    <w:rsid w:val="00E7455C"/>
    <w:rsid w:val="00E7461C"/>
    <w:rsid w:val="00E748E1"/>
    <w:rsid w:val="00E749FC"/>
    <w:rsid w:val="00E74A08"/>
    <w:rsid w:val="00E74B80"/>
    <w:rsid w:val="00E74EC0"/>
    <w:rsid w:val="00E74FE5"/>
    <w:rsid w:val="00E751BB"/>
    <w:rsid w:val="00E75503"/>
    <w:rsid w:val="00E75875"/>
    <w:rsid w:val="00E7677A"/>
    <w:rsid w:val="00E76BD0"/>
    <w:rsid w:val="00E7759F"/>
    <w:rsid w:val="00E77AAF"/>
    <w:rsid w:val="00E77AE2"/>
    <w:rsid w:val="00E77D39"/>
    <w:rsid w:val="00E77DDE"/>
    <w:rsid w:val="00E77E24"/>
    <w:rsid w:val="00E802E8"/>
    <w:rsid w:val="00E80AD7"/>
    <w:rsid w:val="00E80F28"/>
    <w:rsid w:val="00E815E0"/>
    <w:rsid w:val="00E816E2"/>
    <w:rsid w:val="00E81800"/>
    <w:rsid w:val="00E81EE7"/>
    <w:rsid w:val="00E81FA7"/>
    <w:rsid w:val="00E824AB"/>
    <w:rsid w:val="00E82730"/>
    <w:rsid w:val="00E828CE"/>
    <w:rsid w:val="00E8345E"/>
    <w:rsid w:val="00E834B0"/>
    <w:rsid w:val="00E837EE"/>
    <w:rsid w:val="00E839A7"/>
    <w:rsid w:val="00E83B0D"/>
    <w:rsid w:val="00E84347"/>
    <w:rsid w:val="00E848F1"/>
    <w:rsid w:val="00E84A31"/>
    <w:rsid w:val="00E84E2A"/>
    <w:rsid w:val="00E8524B"/>
    <w:rsid w:val="00E8548B"/>
    <w:rsid w:val="00E85C8A"/>
    <w:rsid w:val="00E85CDA"/>
    <w:rsid w:val="00E86385"/>
    <w:rsid w:val="00E863BE"/>
    <w:rsid w:val="00E86658"/>
    <w:rsid w:val="00E86842"/>
    <w:rsid w:val="00E86A5E"/>
    <w:rsid w:val="00E86AEE"/>
    <w:rsid w:val="00E8764D"/>
    <w:rsid w:val="00E87C01"/>
    <w:rsid w:val="00E90D1D"/>
    <w:rsid w:val="00E918CD"/>
    <w:rsid w:val="00E91BDA"/>
    <w:rsid w:val="00E91E74"/>
    <w:rsid w:val="00E92141"/>
    <w:rsid w:val="00E92303"/>
    <w:rsid w:val="00E924C1"/>
    <w:rsid w:val="00E92757"/>
    <w:rsid w:val="00E929D3"/>
    <w:rsid w:val="00E92A64"/>
    <w:rsid w:val="00E92EB4"/>
    <w:rsid w:val="00E92ED5"/>
    <w:rsid w:val="00E9304E"/>
    <w:rsid w:val="00E93259"/>
    <w:rsid w:val="00E932D2"/>
    <w:rsid w:val="00E9331D"/>
    <w:rsid w:val="00E93DC4"/>
    <w:rsid w:val="00E9404B"/>
    <w:rsid w:val="00E950EE"/>
    <w:rsid w:val="00E95ECC"/>
    <w:rsid w:val="00E96106"/>
    <w:rsid w:val="00E96B74"/>
    <w:rsid w:val="00E96BFC"/>
    <w:rsid w:val="00E96F81"/>
    <w:rsid w:val="00E96FAC"/>
    <w:rsid w:val="00E971CE"/>
    <w:rsid w:val="00E97468"/>
    <w:rsid w:val="00EA0445"/>
    <w:rsid w:val="00EA075D"/>
    <w:rsid w:val="00EA0B25"/>
    <w:rsid w:val="00EA0B40"/>
    <w:rsid w:val="00EA169C"/>
    <w:rsid w:val="00EA1B0D"/>
    <w:rsid w:val="00EA1CE4"/>
    <w:rsid w:val="00EA1EBD"/>
    <w:rsid w:val="00EA210E"/>
    <w:rsid w:val="00EA2B59"/>
    <w:rsid w:val="00EA2C29"/>
    <w:rsid w:val="00EA3995"/>
    <w:rsid w:val="00EA3B7C"/>
    <w:rsid w:val="00EA3DC5"/>
    <w:rsid w:val="00EA3F63"/>
    <w:rsid w:val="00EA3FB8"/>
    <w:rsid w:val="00EA445A"/>
    <w:rsid w:val="00EA457E"/>
    <w:rsid w:val="00EA4B29"/>
    <w:rsid w:val="00EA5187"/>
    <w:rsid w:val="00EA5298"/>
    <w:rsid w:val="00EA53CC"/>
    <w:rsid w:val="00EA5615"/>
    <w:rsid w:val="00EA57FE"/>
    <w:rsid w:val="00EA5B32"/>
    <w:rsid w:val="00EA6306"/>
    <w:rsid w:val="00EA67E1"/>
    <w:rsid w:val="00EA6FB5"/>
    <w:rsid w:val="00EA7B04"/>
    <w:rsid w:val="00EA7C7F"/>
    <w:rsid w:val="00EB01AE"/>
    <w:rsid w:val="00EB0C91"/>
    <w:rsid w:val="00EB0D21"/>
    <w:rsid w:val="00EB0FFF"/>
    <w:rsid w:val="00EB1489"/>
    <w:rsid w:val="00EB1FE5"/>
    <w:rsid w:val="00EB2015"/>
    <w:rsid w:val="00EB2335"/>
    <w:rsid w:val="00EB2DE3"/>
    <w:rsid w:val="00EB2E09"/>
    <w:rsid w:val="00EB3029"/>
    <w:rsid w:val="00EB32C9"/>
    <w:rsid w:val="00EB3CE5"/>
    <w:rsid w:val="00EB4483"/>
    <w:rsid w:val="00EB45FD"/>
    <w:rsid w:val="00EB53ED"/>
    <w:rsid w:val="00EB5653"/>
    <w:rsid w:val="00EB5691"/>
    <w:rsid w:val="00EB5EF4"/>
    <w:rsid w:val="00EB5FC4"/>
    <w:rsid w:val="00EB61FF"/>
    <w:rsid w:val="00EB68D7"/>
    <w:rsid w:val="00EB6B27"/>
    <w:rsid w:val="00EB766F"/>
    <w:rsid w:val="00EB7861"/>
    <w:rsid w:val="00EC0217"/>
    <w:rsid w:val="00EC04F5"/>
    <w:rsid w:val="00EC0899"/>
    <w:rsid w:val="00EC0AC6"/>
    <w:rsid w:val="00EC0F60"/>
    <w:rsid w:val="00EC1165"/>
    <w:rsid w:val="00EC1200"/>
    <w:rsid w:val="00EC1771"/>
    <w:rsid w:val="00EC1BD2"/>
    <w:rsid w:val="00EC1CFB"/>
    <w:rsid w:val="00EC1DB2"/>
    <w:rsid w:val="00EC2098"/>
    <w:rsid w:val="00EC2110"/>
    <w:rsid w:val="00EC2481"/>
    <w:rsid w:val="00EC2A9D"/>
    <w:rsid w:val="00EC2FC1"/>
    <w:rsid w:val="00EC33EC"/>
    <w:rsid w:val="00EC39D2"/>
    <w:rsid w:val="00EC4207"/>
    <w:rsid w:val="00EC450D"/>
    <w:rsid w:val="00EC5675"/>
    <w:rsid w:val="00EC58CD"/>
    <w:rsid w:val="00EC5913"/>
    <w:rsid w:val="00EC5F5C"/>
    <w:rsid w:val="00EC604F"/>
    <w:rsid w:val="00EC6306"/>
    <w:rsid w:val="00EC6E7E"/>
    <w:rsid w:val="00EC70F3"/>
    <w:rsid w:val="00EC7274"/>
    <w:rsid w:val="00EC753C"/>
    <w:rsid w:val="00EC7908"/>
    <w:rsid w:val="00EC7B01"/>
    <w:rsid w:val="00EC7F1B"/>
    <w:rsid w:val="00ED01F9"/>
    <w:rsid w:val="00ED04CC"/>
    <w:rsid w:val="00ED067C"/>
    <w:rsid w:val="00ED0829"/>
    <w:rsid w:val="00ED12DE"/>
    <w:rsid w:val="00ED133B"/>
    <w:rsid w:val="00ED1862"/>
    <w:rsid w:val="00ED1A4B"/>
    <w:rsid w:val="00ED2403"/>
    <w:rsid w:val="00ED248D"/>
    <w:rsid w:val="00ED27FE"/>
    <w:rsid w:val="00ED2824"/>
    <w:rsid w:val="00ED2E2F"/>
    <w:rsid w:val="00ED3331"/>
    <w:rsid w:val="00ED33F6"/>
    <w:rsid w:val="00ED34F8"/>
    <w:rsid w:val="00ED376A"/>
    <w:rsid w:val="00ED3AF1"/>
    <w:rsid w:val="00ED3DA1"/>
    <w:rsid w:val="00ED3DC4"/>
    <w:rsid w:val="00ED3FC5"/>
    <w:rsid w:val="00ED424B"/>
    <w:rsid w:val="00ED4619"/>
    <w:rsid w:val="00ED4E6E"/>
    <w:rsid w:val="00ED51CA"/>
    <w:rsid w:val="00ED521E"/>
    <w:rsid w:val="00ED5E7D"/>
    <w:rsid w:val="00ED6300"/>
    <w:rsid w:val="00ED653E"/>
    <w:rsid w:val="00ED657D"/>
    <w:rsid w:val="00ED68EB"/>
    <w:rsid w:val="00ED69A6"/>
    <w:rsid w:val="00ED6AB1"/>
    <w:rsid w:val="00ED6BAF"/>
    <w:rsid w:val="00ED6D91"/>
    <w:rsid w:val="00ED6DB4"/>
    <w:rsid w:val="00ED74D4"/>
    <w:rsid w:val="00ED74F7"/>
    <w:rsid w:val="00ED7890"/>
    <w:rsid w:val="00ED7D68"/>
    <w:rsid w:val="00ED7ECB"/>
    <w:rsid w:val="00EE0058"/>
    <w:rsid w:val="00EE009B"/>
    <w:rsid w:val="00EE00E3"/>
    <w:rsid w:val="00EE086E"/>
    <w:rsid w:val="00EE09E3"/>
    <w:rsid w:val="00EE101A"/>
    <w:rsid w:val="00EE102D"/>
    <w:rsid w:val="00EE135C"/>
    <w:rsid w:val="00EE1A8B"/>
    <w:rsid w:val="00EE2542"/>
    <w:rsid w:val="00EE2D43"/>
    <w:rsid w:val="00EE36BA"/>
    <w:rsid w:val="00EE379D"/>
    <w:rsid w:val="00EE37EF"/>
    <w:rsid w:val="00EE3DB9"/>
    <w:rsid w:val="00EE4194"/>
    <w:rsid w:val="00EE4CEE"/>
    <w:rsid w:val="00EE4FAB"/>
    <w:rsid w:val="00EE50F5"/>
    <w:rsid w:val="00EE5799"/>
    <w:rsid w:val="00EE5C3E"/>
    <w:rsid w:val="00EE5F59"/>
    <w:rsid w:val="00EE5FEC"/>
    <w:rsid w:val="00EE60B4"/>
    <w:rsid w:val="00EE62EC"/>
    <w:rsid w:val="00EE63D0"/>
    <w:rsid w:val="00EE6583"/>
    <w:rsid w:val="00EE65FC"/>
    <w:rsid w:val="00EE68B6"/>
    <w:rsid w:val="00EE713C"/>
    <w:rsid w:val="00EE71F4"/>
    <w:rsid w:val="00EE7D8B"/>
    <w:rsid w:val="00EE7FBD"/>
    <w:rsid w:val="00EF0C88"/>
    <w:rsid w:val="00EF0DED"/>
    <w:rsid w:val="00EF12C3"/>
    <w:rsid w:val="00EF1644"/>
    <w:rsid w:val="00EF188C"/>
    <w:rsid w:val="00EF1CF9"/>
    <w:rsid w:val="00EF1D98"/>
    <w:rsid w:val="00EF2013"/>
    <w:rsid w:val="00EF2020"/>
    <w:rsid w:val="00EF2550"/>
    <w:rsid w:val="00EF2AC1"/>
    <w:rsid w:val="00EF2BBC"/>
    <w:rsid w:val="00EF31CE"/>
    <w:rsid w:val="00EF3495"/>
    <w:rsid w:val="00EF36E2"/>
    <w:rsid w:val="00EF392E"/>
    <w:rsid w:val="00EF39BC"/>
    <w:rsid w:val="00EF47C0"/>
    <w:rsid w:val="00EF5117"/>
    <w:rsid w:val="00EF51C4"/>
    <w:rsid w:val="00EF5320"/>
    <w:rsid w:val="00EF5479"/>
    <w:rsid w:val="00EF5A7B"/>
    <w:rsid w:val="00EF5C65"/>
    <w:rsid w:val="00EF671F"/>
    <w:rsid w:val="00EF709B"/>
    <w:rsid w:val="00EF7158"/>
    <w:rsid w:val="00EF715A"/>
    <w:rsid w:val="00EF766E"/>
    <w:rsid w:val="00EF7888"/>
    <w:rsid w:val="00EF7AE4"/>
    <w:rsid w:val="00EF7BC1"/>
    <w:rsid w:val="00EF7D36"/>
    <w:rsid w:val="00F00728"/>
    <w:rsid w:val="00F0099C"/>
    <w:rsid w:val="00F00F45"/>
    <w:rsid w:val="00F00F55"/>
    <w:rsid w:val="00F0169E"/>
    <w:rsid w:val="00F016BA"/>
    <w:rsid w:val="00F01784"/>
    <w:rsid w:val="00F0234E"/>
    <w:rsid w:val="00F02503"/>
    <w:rsid w:val="00F026E0"/>
    <w:rsid w:val="00F02A33"/>
    <w:rsid w:val="00F02D56"/>
    <w:rsid w:val="00F02E70"/>
    <w:rsid w:val="00F03575"/>
    <w:rsid w:val="00F03958"/>
    <w:rsid w:val="00F03BCB"/>
    <w:rsid w:val="00F04156"/>
    <w:rsid w:val="00F047AE"/>
    <w:rsid w:val="00F04D7B"/>
    <w:rsid w:val="00F055AE"/>
    <w:rsid w:val="00F058E8"/>
    <w:rsid w:val="00F05C17"/>
    <w:rsid w:val="00F06009"/>
    <w:rsid w:val="00F066A5"/>
    <w:rsid w:val="00F0694D"/>
    <w:rsid w:val="00F070F2"/>
    <w:rsid w:val="00F07731"/>
    <w:rsid w:val="00F079C1"/>
    <w:rsid w:val="00F07A58"/>
    <w:rsid w:val="00F07B00"/>
    <w:rsid w:val="00F07EA7"/>
    <w:rsid w:val="00F10418"/>
    <w:rsid w:val="00F10638"/>
    <w:rsid w:val="00F10C6C"/>
    <w:rsid w:val="00F111E9"/>
    <w:rsid w:val="00F117C6"/>
    <w:rsid w:val="00F11D78"/>
    <w:rsid w:val="00F11F21"/>
    <w:rsid w:val="00F12137"/>
    <w:rsid w:val="00F124A7"/>
    <w:rsid w:val="00F125EC"/>
    <w:rsid w:val="00F13081"/>
    <w:rsid w:val="00F133E7"/>
    <w:rsid w:val="00F13640"/>
    <w:rsid w:val="00F13E0B"/>
    <w:rsid w:val="00F14481"/>
    <w:rsid w:val="00F14752"/>
    <w:rsid w:val="00F1486C"/>
    <w:rsid w:val="00F149BF"/>
    <w:rsid w:val="00F1511A"/>
    <w:rsid w:val="00F1536C"/>
    <w:rsid w:val="00F15E63"/>
    <w:rsid w:val="00F15EA9"/>
    <w:rsid w:val="00F163DA"/>
    <w:rsid w:val="00F1677C"/>
    <w:rsid w:val="00F16A9D"/>
    <w:rsid w:val="00F16F47"/>
    <w:rsid w:val="00F17D6C"/>
    <w:rsid w:val="00F201F1"/>
    <w:rsid w:val="00F20393"/>
    <w:rsid w:val="00F204DF"/>
    <w:rsid w:val="00F20DEE"/>
    <w:rsid w:val="00F20EC9"/>
    <w:rsid w:val="00F20F78"/>
    <w:rsid w:val="00F2103D"/>
    <w:rsid w:val="00F21BDD"/>
    <w:rsid w:val="00F21F83"/>
    <w:rsid w:val="00F22611"/>
    <w:rsid w:val="00F23381"/>
    <w:rsid w:val="00F23E59"/>
    <w:rsid w:val="00F24059"/>
    <w:rsid w:val="00F24472"/>
    <w:rsid w:val="00F24D87"/>
    <w:rsid w:val="00F251AE"/>
    <w:rsid w:val="00F25398"/>
    <w:rsid w:val="00F2558B"/>
    <w:rsid w:val="00F25738"/>
    <w:rsid w:val="00F25DE1"/>
    <w:rsid w:val="00F2634F"/>
    <w:rsid w:val="00F2636A"/>
    <w:rsid w:val="00F26930"/>
    <w:rsid w:val="00F26AAC"/>
    <w:rsid w:val="00F2728F"/>
    <w:rsid w:val="00F279D3"/>
    <w:rsid w:val="00F27E6B"/>
    <w:rsid w:val="00F30523"/>
    <w:rsid w:val="00F3087A"/>
    <w:rsid w:val="00F30E8C"/>
    <w:rsid w:val="00F310C2"/>
    <w:rsid w:val="00F31456"/>
    <w:rsid w:val="00F31A99"/>
    <w:rsid w:val="00F32B89"/>
    <w:rsid w:val="00F3376B"/>
    <w:rsid w:val="00F33843"/>
    <w:rsid w:val="00F338FC"/>
    <w:rsid w:val="00F33F76"/>
    <w:rsid w:val="00F34018"/>
    <w:rsid w:val="00F340C4"/>
    <w:rsid w:val="00F34185"/>
    <w:rsid w:val="00F341E8"/>
    <w:rsid w:val="00F3444E"/>
    <w:rsid w:val="00F346C5"/>
    <w:rsid w:val="00F346FC"/>
    <w:rsid w:val="00F3479B"/>
    <w:rsid w:val="00F34D67"/>
    <w:rsid w:val="00F34E4B"/>
    <w:rsid w:val="00F34F5F"/>
    <w:rsid w:val="00F3524D"/>
    <w:rsid w:val="00F35994"/>
    <w:rsid w:val="00F35A2A"/>
    <w:rsid w:val="00F35A99"/>
    <w:rsid w:val="00F35E97"/>
    <w:rsid w:val="00F35EB5"/>
    <w:rsid w:val="00F35F64"/>
    <w:rsid w:val="00F36009"/>
    <w:rsid w:val="00F36124"/>
    <w:rsid w:val="00F3672F"/>
    <w:rsid w:val="00F369DC"/>
    <w:rsid w:val="00F36A9C"/>
    <w:rsid w:val="00F36ADB"/>
    <w:rsid w:val="00F36C52"/>
    <w:rsid w:val="00F36D23"/>
    <w:rsid w:val="00F370AB"/>
    <w:rsid w:val="00F378C0"/>
    <w:rsid w:val="00F378F7"/>
    <w:rsid w:val="00F37DD3"/>
    <w:rsid w:val="00F40045"/>
    <w:rsid w:val="00F40109"/>
    <w:rsid w:val="00F40803"/>
    <w:rsid w:val="00F40872"/>
    <w:rsid w:val="00F40B5F"/>
    <w:rsid w:val="00F413C0"/>
    <w:rsid w:val="00F41B60"/>
    <w:rsid w:val="00F4200E"/>
    <w:rsid w:val="00F42442"/>
    <w:rsid w:val="00F4260B"/>
    <w:rsid w:val="00F42A70"/>
    <w:rsid w:val="00F42B5E"/>
    <w:rsid w:val="00F42E48"/>
    <w:rsid w:val="00F43208"/>
    <w:rsid w:val="00F43229"/>
    <w:rsid w:val="00F43A27"/>
    <w:rsid w:val="00F4410D"/>
    <w:rsid w:val="00F44542"/>
    <w:rsid w:val="00F449F8"/>
    <w:rsid w:val="00F44BD1"/>
    <w:rsid w:val="00F44F63"/>
    <w:rsid w:val="00F45032"/>
    <w:rsid w:val="00F457D5"/>
    <w:rsid w:val="00F4600A"/>
    <w:rsid w:val="00F461DF"/>
    <w:rsid w:val="00F46247"/>
    <w:rsid w:val="00F46497"/>
    <w:rsid w:val="00F465B4"/>
    <w:rsid w:val="00F465CA"/>
    <w:rsid w:val="00F4661D"/>
    <w:rsid w:val="00F46B03"/>
    <w:rsid w:val="00F46DFD"/>
    <w:rsid w:val="00F4709A"/>
    <w:rsid w:val="00F476D2"/>
    <w:rsid w:val="00F50309"/>
    <w:rsid w:val="00F50702"/>
    <w:rsid w:val="00F50D6C"/>
    <w:rsid w:val="00F50ED4"/>
    <w:rsid w:val="00F512EF"/>
    <w:rsid w:val="00F51A60"/>
    <w:rsid w:val="00F51E7C"/>
    <w:rsid w:val="00F51EED"/>
    <w:rsid w:val="00F521C4"/>
    <w:rsid w:val="00F524DB"/>
    <w:rsid w:val="00F52C98"/>
    <w:rsid w:val="00F52F7C"/>
    <w:rsid w:val="00F5356B"/>
    <w:rsid w:val="00F538A8"/>
    <w:rsid w:val="00F538E2"/>
    <w:rsid w:val="00F5395D"/>
    <w:rsid w:val="00F53AFF"/>
    <w:rsid w:val="00F53BBC"/>
    <w:rsid w:val="00F53F59"/>
    <w:rsid w:val="00F5448D"/>
    <w:rsid w:val="00F546E3"/>
    <w:rsid w:val="00F55171"/>
    <w:rsid w:val="00F55185"/>
    <w:rsid w:val="00F553AD"/>
    <w:rsid w:val="00F554B1"/>
    <w:rsid w:val="00F55747"/>
    <w:rsid w:val="00F55EDC"/>
    <w:rsid w:val="00F560C9"/>
    <w:rsid w:val="00F562D2"/>
    <w:rsid w:val="00F56A99"/>
    <w:rsid w:val="00F56AEC"/>
    <w:rsid w:val="00F56B25"/>
    <w:rsid w:val="00F56DA4"/>
    <w:rsid w:val="00F573C8"/>
    <w:rsid w:val="00F57674"/>
    <w:rsid w:val="00F5779C"/>
    <w:rsid w:val="00F57D24"/>
    <w:rsid w:val="00F57FB6"/>
    <w:rsid w:val="00F60662"/>
    <w:rsid w:val="00F60978"/>
    <w:rsid w:val="00F61022"/>
    <w:rsid w:val="00F615C8"/>
    <w:rsid w:val="00F616B3"/>
    <w:rsid w:val="00F6179B"/>
    <w:rsid w:val="00F61921"/>
    <w:rsid w:val="00F61CBF"/>
    <w:rsid w:val="00F61D39"/>
    <w:rsid w:val="00F62376"/>
    <w:rsid w:val="00F62AD3"/>
    <w:rsid w:val="00F62D1D"/>
    <w:rsid w:val="00F631AA"/>
    <w:rsid w:val="00F6328D"/>
    <w:rsid w:val="00F634E5"/>
    <w:rsid w:val="00F6378B"/>
    <w:rsid w:val="00F63D43"/>
    <w:rsid w:val="00F63FA5"/>
    <w:rsid w:val="00F64670"/>
    <w:rsid w:val="00F65280"/>
    <w:rsid w:val="00F6547B"/>
    <w:rsid w:val="00F654A2"/>
    <w:rsid w:val="00F6557B"/>
    <w:rsid w:val="00F66B5B"/>
    <w:rsid w:val="00F6762B"/>
    <w:rsid w:val="00F6792B"/>
    <w:rsid w:val="00F67AD8"/>
    <w:rsid w:val="00F67EA4"/>
    <w:rsid w:val="00F70116"/>
    <w:rsid w:val="00F702A9"/>
    <w:rsid w:val="00F70D42"/>
    <w:rsid w:val="00F717C3"/>
    <w:rsid w:val="00F717FE"/>
    <w:rsid w:val="00F71CD3"/>
    <w:rsid w:val="00F71FB0"/>
    <w:rsid w:val="00F72018"/>
    <w:rsid w:val="00F72057"/>
    <w:rsid w:val="00F7241A"/>
    <w:rsid w:val="00F72647"/>
    <w:rsid w:val="00F72764"/>
    <w:rsid w:val="00F72933"/>
    <w:rsid w:val="00F72B98"/>
    <w:rsid w:val="00F72CA5"/>
    <w:rsid w:val="00F731C2"/>
    <w:rsid w:val="00F733D8"/>
    <w:rsid w:val="00F73847"/>
    <w:rsid w:val="00F7393C"/>
    <w:rsid w:val="00F7398D"/>
    <w:rsid w:val="00F740C7"/>
    <w:rsid w:val="00F7422A"/>
    <w:rsid w:val="00F750A2"/>
    <w:rsid w:val="00F75298"/>
    <w:rsid w:val="00F75408"/>
    <w:rsid w:val="00F75425"/>
    <w:rsid w:val="00F754B5"/>
    <w:rsid w:val="00F75525"/>
    <w:rsid w:val="00F75635"/>
    <w:rsid w:val="00F75690"/>
    <w:rsid w:val="00F756A5"/>
    <w:rsid w:val="00F76D47"/>
    <w:rsid w:val="00F77541"/>
    <w:rsid w:val="00F77EC6"/>
    <w:rsid w:val="00F77EF2"/>
    <w:rsid w:val="00F80484"/>
    <w:rsid w:val="00F80998"/>
    <w:rsid w:val="00F80C28"/>
    <w:rsid w:val="00F80C9F"/>
    <w:rsid w:val="00F825A0"/>
    <w:rsid w:val="00F825C8"/>
    <w:rsid w:val="00F82640"/>
    <w:rsid w:val="00F828C5"/>
    <w:rsid w:val="00F829E2"/>
    <w:rsid w:val="00F83219"/>
    <w:rsid w:val="00F83668"/>
    <w:rsid w:val="00F83CEE"/>
    <w:rsid w:val="00F83D9D"/>
    <w:rsid w:val="00F8447C"/>
    <w:rsid w:val="00F84AC6"/>
    <w:rsid w:val="00F852B6"/>
    <w:rsid w:val="00F858DF"/>
    <w:rsid w:val="00F85EC3"/>
    <w:rsid w:val="00F86021"/>
    <w:rsid w:val="00F860CC"/>
    <w:rsid w:val="00F861BD"/>
    <w:rsid w:val="00F86447"/>
    <w:rsid w:val="00F86C72"/>
    <w:rsid w:val="00F87393"/>
    <w:rsid w:val="00F8744D"/>
    <w:rsid w:val="00F87793"/>
    <w:rsid w:val="00F87A35"/>
    <w:rsid w:val="00F87E2E"/>
    <w:rsid w:val="00F90444"/>
    <w:rsid w:val="00F909F0"/>
    <w:rsid w:val="00F90B4D"/>
    <w:rsid w:val="00F90E31"/>
    <w:rsid w:val="00F91251"/>
    <w:rsid w:val="00F91701"/>
    <w:rsid w:val="00F9178C"/>
    <w:rsid w:val="00F9188E"/>
    <w:rsid w:val="00F91D00"/>
    <w:rsid w:val="00F91FC2"/>
    <w:rsid w:val="00F920F0"/>
    <w:rsid w:val="00F932B7"/>
    <w:rsid w:val="00F93648"/>
    <w:rsid w:val="00F938E1"/>
    <w:rsid w:val="00F93D77"/>
    <w:rsid w:val="00F943A1"/>
    <w:rsid w:val="00F95129"/>
    <w:rsid w:val="00F95177"/>
    <w:rsid w:val="00F952C3"/>
    <w:rsid w:val="00F952D8"/>
    <w:rsid w:val="00F956C3"/>
    <w:rsid w:val="00F95B38"/>
    <w:rsid w:val="00F95F1F"/>
    <w:rsid w:val="00F95FFE"/>
    <w:rsid w:val="00F96171"/>
    <w:rsid w:val="00F963E8"/>
    <w:rsid w:val="00F96533"/>
    <w:rsid w:val="00F965EA"/>
    <w:rsid w:val="00F96A1E"/>
    <w:rsid w:val="00F97281"/>
    <w:rsid w:val="00F973E9"/>
    <w:rsid w:val="00F978DF"/>
    <w:rsid w:val="00F97C3C"/>
    <w:rsid w:val="00F97D3A"/>
    <w:rsid w:val="00F97E21"/>
    <w:rsid w:val="00F97F7F"/>
    <w:rsid w:val="00FA06D6"/>
    <w:rsid w:val="00FA1B51"/>
    <w:rsid w:val="00FA1D26"/>
    <w:rsid w:val="00FA247B"/>
    <w:rsid w:val="00FA29FC"/>
    <w:rsid w:val="00FA2A06"/>
    <w:rsid w:val="00FA2F2F"/>
    <w:rsid w:val="00FA302E"/>
    <w:rsid w:val="00FA34B0"/>
    <w:rsid w:val="00FA372F"/>
    <w:rsid w:val="00FA37E8"/>
    <w:rsid w:val="00FA3910"/>
    <w:rsid w:val="00FA3918"/>
    <w:rsid w:val="00FA3B58"/>
    <w:rsid w:val="00FA3D33"/>
    <w:rsid w:val="00FA3F3C"/>
    <w:rsid w:val="00FA3F5C"/>
    <w:rsid w:val="00FA43B3"/>
    <w:rsid w:val="00FA4A73"/>
    <w:rsid w:val="00FA4FE2"/>
    <w:rsid w:val="00FA5740"/>
    <w:rsid w:val="00FA5781"/>
    <w:rsid w:val="00FA5885"/>
    <w:rsid w:val="00FA5CF4"/>
    <w:rsid w:val="00FA6259"/>
    <w:rsid w:val="00FA6424"/>
    <w:rsid w:val="00FA6571"/>
    <w:rsid w:val="00FA6BE6"/>
    <w:rsid w:val="00FA7054"/>
    <w:rsid w:val="00FA77F8"/>
    <w:rsid w:val="00FA7950"/>
    <w:rsid w:val="00FA7A0E"/>
    <w:rsid w:val="00FA7CDC"/>
    <w:rsid w:val="00FA7D70"/>
    <w:rsid w:val="00FA7FD1"/>
    <w:rsid w:val="00FB0095"/>
    <w:rsid w:val="00FB010E"/>
    <w:rsid w:val="00FB02D7"/>
    <w:rsid w:val="00FB04BF"/>
    <w:rsid w:val="00FB0627"/>
    <w:rsid w:val="00FB0871"/>
    <w:rsid w:val="00FB0ADF"/>
    <w:rsid w:val="00FB0B05"/>
    <w:rsid w:val="00FB0D8A"/>
    <w:rsid w:val="00FB1762"/>
    <w:rsid w:val="00FB1992"/>
    <w:rsid w:val="00FB1FFD"/>
    <w:rsid w:val="00FB2615"/>
    <w:rsid w:val="00FB2675"/>
    <w:rsid w:val="00FB2B9B"/>
    <w:rsid w:val="00FB2C10"/>
    <w:rsid w:val="00FB2FE0"/>
    <w:rsid w:val="00FB304F"/>
    <w:rsid w:val="00FB3088"/>
    <w:rsid w:val="00FB37C8"/>
    <w:rsid w:val="00FB3A13"/>
    <w:rsid w:val="00FB3E82"/>
    <w:rsid w:val="00FB3F35"/>
    <w:rsid w:val="00FB3FDC"/>
    <w:rsid w:val="00FB4114"/>
    <w:rsid w:val="00FB42B8"/>
    <w:rsid w:val="00FB460C"/>
    <w:rsid w:val="00FB466F"/>
    <w:rsid w:val="00FB4B07"/>
    <w:rsid w:val="00FB4CAD"/>
    <w:rsid w:val="00FB4E61"/>
    <w:rsid w:val="00FB5046"/>
    <w:rsid w:val="00FB5265"/>
    <w:rsid w:val="00FB52B2"/>
    <w:rsid w:val="00FB6020"/>
    <w:rsid w:val="00FB604A"/>
    <w:rsid w:val="00FB647F"/>
    <w:rsid w:val="00FB6BED"/>
    <w:rsid w:val="00FB6C80"/>
    <w:rsid w:val="00FC053C"/>
    <w:rsid w:val="00FC0864"/>
    <w:rsid w:val="00FC08EC"/>
    <w:rsid w:val="00FC0908"/>
    <w:rsid w:val="00FC0A75"/>
    <w:rsid w:val="00FC0B2A"/>
    <w:rsid w:val="00FC0B57"/>
    <w:rsid w:val="00FC1059"/>
    <w:rsid w:val="00FC128D"/>
    <w:rsid w:val="00FC1982"/>
    <w:rsid w:val="00FC1A61"/>
    <w:rsid w:val="00FC1C84"/>
    <w:rsid w:val="00FC235A"/>
    <w:rsid w:val="00FC273D"/>
    <w:rsid w:val="00FC2E6C"/>
    <w:rsid w:val="00FC368E"/>
    <w:rsid w:val="00FC36EE"/>
    <w:rsid w:val="00FC40BF"/>
    <w:rsid w:val="00FC49F2"/>
    <w:rsid w:val="00FC4DD4"/>
    <w:rsid w:val="00FC506D"/>
    <w:rsid w:val="00FC51ED"/>
    <w:rsid w:val="00FC5371"/>
    <w:rsid w:val="00FC5431"/>
    <w:rsid w:val="00FC54A2"/>
    <w:rsid w:val="00FC5757"/>
    <w:rsid w:val="00FC5940"/>
    <w:rsid w:val="00FC61A9"/>
    <w:rsid w:val="00FC6DD3"/>
    <w:rsid w:val="00FC6E7A"/>
    <w:rsid w:val="00FC7075"/>
    <w:rsid w:val="00FC73CF"/>
    <w:rsid w:val="00FC79D5"/>
    <w:rsid w:val="00FC7CAD"/>
    <w:rsid w:val="00FC7D94"/>
    <w:rsid w:val="00FD002E"/>
    <w:rsid w:val="00FD0087"/>
    <w:rsid w:val="00FD01DA"/>
    <w:rsid w:val="00FD01EE"/>
    <w:rsid w:val="00FD04E4"/>
    <w:rsid w:val="00FD0712"/>
    <w:rsid w:val="00FD0797"/>
    <w:rsid w:val="00FD0A2B"/>
    <w:rsid w:val="00FD136B"/>
    <w:rsid w:val="00FD1D13"/>
    <w:rsid w:val="00FD1FA1"/>
    <w:rsid w:val="00FD2400"/>
    <w:rsid w:val="00FD2430"/>
    <w:rsid w:val="00FD2E99"/>
    <w:rsid w:val="00FD30B9"/>
    <w:rsid w:val="00FD360F"/>
    <w:rsid w:val="00FD3627"/>
    <w:rsid w:val="00FD3F38"/>
    <w:rsid w:val="00FD4021"/>
    <w:rsid w:val="00FD4247"/>
    <w:rsid w:val="00FD44C1"/>
    <w:rsid w:val="00FD459A"/>
    <w:rsid w:val="00FD4838"/>
    <w:rsid w:val="00FD4C12"/>
    <w:rsid w:val="00FD4C60"/>
    <w:rsid w:val="00FD4EC7"/>
    <w:rsid w:val="00FD4F9A"/>
    <w:rsid w:val="00FD5697"/>
    <w:rsid w:val="00FD573D"/>
    <w:rsid w:val="00FD5CE6"/>
    <w:rsid w:val="00FD5E49"/>
    <w:rsid w:val="00FD6166"/>
    <w:rsid w:val="00FD7006"/>
    <w:rsid w:val="00FD70CE"/>
    <w:rsid w:val="00FD72F1"/>
    <w:rsid w:val="00FD7A96"/>
    <w:rsid w:val="00FD7B70"/>
    <w:rsid w:val="00FD7EF5"/>
    <w:rsid w:val="00FE0558"/>
    <w:rsid w:val="00FE19C5"/>
    <w:rsid w:val="00FE1DF8"/>
    <w:rsid w:val="00FE3110"/>
    <w:rsid w:val="00FE3CD5"/>
    <w:rsid w:val="00FE400C"/>
    <w:rsid w:val="00FE4211"/>
    <w:rsid w:val="00FE4859"/>
    <w:rsid w:val="00FE4DAC"/>
    <w:rsid w:val="00FE4F35"/>
    <w:rsid w:val="00FE5123"/>
    <w:rsid w:val="00FE512D"/>
    <w:rsid w:val="00FE51F9"/>
    <w:rsid w:val="00FE5428"/>
    <w:rsid w:val="00FE542A"/>
    <w:rsid w:val="00FE5F7F"/>
    <w:rsid w:val="00FE60F7"/>
    <w:rsid w:val="00FE6739"/>
    <w:rsid w:val="00FE6D58"/>
    <w:rsid w:val="00FE6F82"/>
    <w:rsid w:val="00FE7002"/>
    <w:rsid w:val="00FE7856"/>
    <w:rsid w:val="00FE7B2D"/>
    <w:rsid w:val="00FE7DAA"/>
    <w:rsid w:val="00FF02DA"/>
    <w:rsid w:val="00FF0C32"/>
    <w:rsid w:val="00FF0F0F"/>
    <w:rsid w:val="00FF14EA"/>
    <w:rsid w:val="00FF1CB2"/>
    <w:rsid w:val="00FF1E2C"/>
    <w:rsid w:val="00FF1FF7"/>
    <w:rsid w:val="00FF2030"/>
    <w:rsid w:val="00FF269E"/>
    <w:rsid w:val="00FF2ABB"/>
    <w:rsid w:val="00FF2D0B"/>
    <w:rsid w:val="00FF3078"/>
    <w:rsid w:val="00FF364D"/>
    <w:rsid w:val="00FF367A"/>
    <w:rsid w:val="00FF383C"/>
    <w:rsid w:val="00FF3AE1"/>
    <w:rsid w:val="00FF4216"/>
    <w:rsid w:val="00FF4261"/>
    <w:rsid w:val="00FF44B5"/>
    <w:rsid w:val="00FF46A9"/>
    <w:rsid w:val="00FF4B38"/>
    <w:rsid w:val="00FF4D3B"/>
    <w:rsid w:val="00FF53B8"/>
    <w:rsid w:val="00FF636C"/>
    <w:rsid w:val="00FF642D"/>
    <w:rsid w:val="00FF64EC"/>
    <w:rsid w:val="00FF65BF"/>
    <w:rsid w:val="00FF6CF7"/>
    <w:rsid w:val="00FF7654"/>
    <w:rsid w:val="00FF78AB"/>
    <w:rsid w:val="014CF95E"/>
    <w:rsid w:val="01B23054"/>
    <w:rsid w:val="025C042A"/>
    <w:rsid w:val="03C69E5A"/>
    <w:rsid w:val="03F31F4B"/>
    <w:rsid w:val="04D4971F"/>
    <w:rsid w:val="05A54FFD"/>
    <w:rsid w:val="06F26051"/>
    <w:rsid w:val="07709A92"/>
    <w:rsid w:val="0796AF19"/>
    <w:rsid w:val="081EAB34"/>
    <w:rsid w:val="087DD2DF"/>
    <w:rsid w:val="0A8FEC27"/>
    <w:rsid w:val="0B40444C"/>
    <w:rsid w:val="0B5A6F43"/>
    <w:rsid w:val="0C4F73A1"/>
    <w:rsid w:val="0CEFC58E"/>
    <w:rsid w:val="0D4DD748"/>
    <w:rsid w:val="0DDF57A2"/>
    <w:rsid w:val="0E1E1578"/>
    <w:rsid w:val="0E394FF1"/>
    <w:rsid w:val="0E597BA5"/>
    <w:rsid w:val="0EB27452"/>
    <w:rsid w:val="0F232837"/>
    <w:rsid w:val="0FD2F7F8"/>
    <w:rsid w:val="0FF1CEA0"/>
    <w:rsid w:val="100E607D"/>
    <w:rsid w:val="102B3827"/>
    <w:rsid w:val="10BF5A45"/>
    <w:rsid w:val="10D2B1E3"/>
    <w:rsid w:val="11CFECBE"/>
    <w:rsid w:val="12841B06"/>
    <w:rsid w:val="12893A72"/>
    <w:rsid w:val="12DB8654"/>
    <w:rsid w:val="1329DCA2"/>
    <w:rsid w:val="1467952D"/>
    <w:rsid w:val="1492C317"/>
    <w:rsid w:val="1536CDFB"/>
    <w:rsid w:val="16F4C4EF"/>
    <w:rsid w:val="18AD9735"/>
    <w:rsid w:val="18B9305D"/>
    <w:rsid w:val="19799723"/>
    <w:rsid w:val="1A2345D6"/>
    <w:rsid w:val="1A30D0D5"/>
    <w:rsid w:val="1B1BF8FB"/>
    <w:rsid w:val="1B37EE77"/>
    <w:rsid w:val="1B4B6A88"/>
    <w:rsid w:val="1BE33FB9"/>
    <w:rsid w:val="1D3FFF30"/>
    <w:rsid w:val="1D938010"/>
    <w:rsid w:val="1DD91301"/>
    <w:rsid w:val="1EAC3D9D"/>
    <w:rsid w:val="1FAF9A7E"/>
    <w:rsid w:val="21D9C7BB"/>
    <w:rsid w:val="220B80FD"/>
    <w:rsid w:val="242EFA52"/>
    <w:rsid w:val="24BB286F"/>
    <w:rsid w:val="25020689"/>
    <w:rsid w:val="25CEDFA2"/>
    <w:rsid w:val="26166EDA"/>
    <w:rsid w:val="2749705C"/>
    <w:rsid w:val="27C43BC8"/>
    <w:rsid w:val="280FC1E6"/>
    <w:rsid w:val="282EE5BE"/>
    <w:rsid w:val="2905AB83"/>
    <w:rsid w:val="29B85AB6"/>
    <w:rsid w:val="2A68FA6F"/>
    <w:rsid w:val="2AD4B6AF"/>
    <w:rsid w:val="2B448E6F"/>
    <w:rsid w:val="2B6847D0"/>
    <w:rsid w:val="2B94589D"/>
    <w:rsid w:val="2C8BEF66"/>
    <w:rsid w:val="2D4420AD"/>
    <w:rsid w:val="2DB93291"/>
    <w:rsid w:val="2E2BC297"/>
    <w:rsid w:val="2E839652"/>
    <w:rsid w:val="313BCE3F"/>
    <w:rsid w:val="331A37C2"/>
    <w:rsid w:val="33EBA09F"/>
    <w:rsid w:val="3422C677"/>
    <w:rsid w:val="35756CDB"/>
    <w:rsid w:val="3584ECDD"/>
    <w:rsid w:val="35B3888E"/>
    <w:rsid w:val="36C703EA"/>
    <w:rsid w:val="36D2B56C"/>
    <w:rsid w:val="374C2729"/>
    <w:rsid w:val="3792040C"/>
    <w:rsid w:val="3840C1C8"/>
    <w:rsid w:val="38860733"/>
    <w:rsid w:val="39245716"/>
    <w:rsid w:val="3940D45A"/>
    <w:rsid w:val="39B2280D"/>
    <w:rsid w:val="39C169AB"/>
    <w:rsid w:val="3A13ACF4"/>
    <w:rsid w:val="3A43347D"/>
    <w:rsid w:val="3AC8A380"/>
    <w:rsid w:val="3ACA226B"/>
    <w:rsid w:val="3AD1B5E2"/>
    <w:rsid w:val="3AF9296D"/>
    <w:rsid w:val="3B54C884"/>
    <w:rsid w:val="3B808C7E"/>
    <w:rsid w:val="3BB8B794"/>
    <w:rsid w:val="3BB9CCA9"/>
    <w:rsid w:val="3BCFA19B"/>
    <w:rsid w:val="3BD2E139"/>
    <w:rsid w:val="3C3A9A23"/>
    <w:rsid w:val="3C932AEC"/>
    <w:rsid w:val="3CB09B49"/>
    <w:rsid w:val="3CD44DA9"/>
    <w:rsid w:val="3D2AD62A"/>
    <w:rsid w:val="3D673708"/>
    <w:rsid w:val="3DF2C1AD"/>
    <w:rsid w:val="3E97E651"/>
    <w:rsid w:val="3EB6908D"/>
    <w:rsid w:val="3F1D4D58"/>
    <w:rsid w:val="3F576A31"/>
    <w:rsid w:val="3FD832AF"/>
    <w:rsid w:val="40EA2FE7"/>
    <w:rsid w:val="4113A385"/>
    <w:rsid w:val="41CC50A2"/>
    <w:rsid w:val="4221E825"/>
    <w:rsid w:val="42507AA6"/>
    <w:rsid w:val="42B27E6E"/>
    <w:rsid w:val="43218F95"/>
    <w:rsid w:val="4399428A"/>
    <w:rsid w:val="439FFD9D"/>
    <w:rsid w:val="4405FDE1"/>
    <w:rsid w:val="4421C08C"/>
    <w:rsid w:val="4522A7FF"/>
    <w:rsid w:val="46B1C6E5"/>
    <w:rsid w:val="46B3B1C0"/>
    <w:rsid w:val="46BE1521"/>
    <w:rsid w:val="470FD816"/>
    <w:rsid w:val="480F1326"/>
    <w:rsid w:val="489E001A"/>
    <w:rsid w:val="48CC145F"/>
    <w:rsid w:val="491BA4D4"/>
    <w:rsid w:val="4A1F80A4"/>
    <w:rsid w:val="4A4D1815"/>
    <w:rsid w:val="4ADD3330"/>
    <w:rsid w:val="4AE948BA"/>
    <w:rsid w:val="4B157022"/>
    <w:rsid w:val="4B43A80E"/>
    <w:rsid w:val="4B62E998"/>
    <w:rsid w:val="4BE75DFB"/>
    <w:rsid w:val="4C3DC197"/>
    <w:rsid w:val="4C5F1E13"/>
    <w:rsid w:val="4CB39BEC"/>
    <w:rsid w:val="4CC006CE"/>
    <w:rsid w:val="4ECA7551"/>
    <w:rsid w:val="4F280142"/>
    <w:rsid w:val="4F54785F"/>
    <w:rsid w:val="5065C0B5"/>
    <w:rsid w:val="50A53646"/>
    <w:rsid w:val="50AD312F"/>
    <w:rsid w:val="50E309F8"/>
    <w:rsid w:val="511D963F"/>
    <w:rsid w:val="51B2209B"/>
    <w:rsid w:val="51BE7FEA"/>
    <w:rsid w:val="51F36477"/>
    <w:rsid w:val="5275E916"/>
    <w:rsid w:val="52780018"/>
    <w:rsid w:val="527FCBE0"/>
    <w:rsid w:val="5299D3B6"/>
    <w:rsid w:val="52B20BA9"/>
    <w:rsid w:val="52E9389E"/>
    <w:rsid w:val="5331C5FA"/>
    <w:rsid w:val="53DE05F8"/>
    <w:rsid w:val="540902A3"/>
    <w:rsid w:val="548A2C1B"/>
    <w:rsid w:val="54FD3951"/>
    <w:rsid w:val="553C4E6E"/>
    <w:rsid w:val="5541E0C9"/>
    <w:rsid w:val="55AFD92B"/>
    <w:rsid w:val="56A359A2"/>
    <w:rsid w:val="57326167"/>
    <w:rsid w:val="579697C2"/>
    <w:rsid w:val="57D43AC1"/>
    <w:rsid w:val="58318FD7"/>
    <w:rsid w:val="58D4DAB9"/>
    <w:rsid w:val="59382F83"/>
    <w:rsid w:val="5A068AEE"/>
    <w:rsid w:val="5ACC2889"/>
    <w:rsid w:val="5DD2C7D7"/>
    <w:rsid w:val="5F236F93"/>
    <w:rsid w:val="5F67F743"/>
    <w:rsid w:val="5FB0EE5E"/>
    <w:rsid w:val="602B865C"/>
    <w:rsid w:val="603284F7"/>
    <w:rsid w:val="606321C4"/>
    <w:rsid w:val="60E64A91"/>
    <w:rsid w:val="61194539"/>
    <w:rsid w:val="61695417"/>
    <w:rsid w:val="623BB0C2"/>
    <w:rsid w:val="62A7FB45"/>
    <w:rsid w:val="6368CE52"/>
    <w:rsid w:val="63A67FC5"/>
    <w:rsid w:val="64319C8E"/>
    <w:rsid w:val="644048D4"/>
    <w:rsid w:val="6494A521"/>
    <w:rsid w:val="64A95A4D"/>
    <w:rsid w:val="64AB90BD"/>
    <w:rsid w:val="64B9498E"/>
    <w:rsid w:val="64BA6CEB"/>
    <w:rsid w:val="64EE45A9"/>
    <w:rsid w:val="64EF2522"/>
    <w:rsid w:val="6592D1ED"/>
    <w:rsid w:val="665BF4CF"/>
    <w:rsid w:val="67120381"/>
    <w:rsid w:val="6747AA42"/>
    <w:rsid w:val="67BAA248"/>
    <w:rsid w:val="67FB8FD6"/>
    <w:rsid w:val="6812B80F"/>
    <w:rsid w:val="6A5AF1DB"/>
    <w:rsid w:val="6AF3BCB0"/>
    <w:rsid w:val="6B8611FE"/>
    <w:rsid w:val="6C3F0F37"/>
    <w:rsid w:val="6C65616A"/>
    <w:rsid w:val="6D848D52"/>
    <w:rsid w:val="6EED12CB"/>
    <w:rsid w:val="6F38FE43"/>
    <w:rsid w:val="700FB45D"/>
    <w:rsid w:val="704497EF"/>
    <w:rsid w:val="704995BB"/>
    <w:rsid w:val="710B67F8"/>
    <w:rsid w:val="71307882"/>
    <w:rsid w:val="71D18E0E"/>
    <w:rsid w:val="722010F5"/>
    <w:rsid w:val="723CB2D6"/>
    <w:rsid w:val="727A7158"/>
    <w:rsid w:val="739EA3C7"/>
    <w:rsid w:val="73C4D0D7"/>
    <w:rsid w:val="7485F1DF"/>
    <w:rsid w:val="75A1B26D"/>
    <w:rsid w:val="75F7064F"/>
    <w:rsid w:val="7672C071"/>
    <w:rsid w:val="7685B477"/>
    <w:rsid w:val="7725EEA7"/>
    <w:rsid w:val="7727D04D"/>
    <w:rsid w:val="77305291"/>
    <w:rsid w:val="77F410A1"/>
    <w:rsid w:val="780A8F57"/>
    <w:rsid w:val="7810E5C0"/>
    <w:rsid w:val="78874BD0"/>
    <w:rsid w:val="78E3BD94"/>
    <w:rsid w:val="79298964"/>
    <w:rsid w:val="79424C1F"/>
    <w:rsid w:val="7A0481CF"/>
    <w:rsid w:val="7A0F6A84"/>
    <w:rsid w:val="7AB6713B"/>
    <w:rsid w:val="7AC5D0E7"/>
    <w:rsid w:val="7AE53175"/>
    <w:rsid w:val="7AEA8762"/>
    <w:rsid w:val="7AF403D4"/>
    <w:rsid w:val="7B651614"/>
    <w:rsid w:val="7BBB3C34"/>
    <w:rsid w:val="7BE025ED"/>
    <w:rsid w:val="7C2DDA55"/>
    <w:rsid w:val="7C72A8E1"/>
    <w:rsid w:val="7CAE0DA0"/>
    <w:rsid w:val="7CC706F2"/>
    <w:rsid w:val="7D0DCEE1"/>
    <w:rsid w:val="7DC98A36"/>
    <w:rsid w:val="7E460A2B"/>
    <w:rsid w:val="7EC72F27"/>
    <w:rsid w:val="7F0E1E5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8A4D"/>
  <w15:docId w15:val="{9B000A89-445D-4FFE-8FBA-4AE0A76A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76"/>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aliases w:val=" Char,Char"/>
    <w:basedOn w:val="Normal"/>
    <w:link w:val="CommentTextChar"/>
    <w:uiPriority w:val="99"/>
    <w:unhideWhenUsed/>
    <w:rsid w:val="00291D09"/>
    <w:pPr>
      <w:spacing w:line="240" w:lineRule="auto"/>
    </w:pPr>
    <w:rPr>
      <w:sz w:val="20"/>
      <w:szCs w:val="20"/>
    </w:rPr>
  </w:style>
  <w:style w:type="character" w:customStyle="1" w:styleId="CommentTextChar">
    <w:name w:val="Comment Text Char"/>
    <w:aliases w:val=" Char Char,Char Char"/>
    <w:basedOn w:val="DefaultParagraphFont"/>
    <w:link w:val="CommentText"/>
    <w:uiPriority w:val="99"/>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1"/>
      </w:numPr>
    </w:pPr>
  </w:style>
  <w:style w:type="paragraph" w:customStyle="1" w:styleId="2pakapesvirsraksts">
    <w:name w:val="2. pakapes virsraksts"/>
    <w:basedOn w:val="Normal"/>
    <w:rsid w:val="00BD53DE"/>
    <w:pPr>
      <w:numPr>
        <w:ilvl w:val="1"/>
        <w:numId w:val="1"/>
      </w:numPr>
      <w:ind w:left="547"/>
    </w:pPr>
  </w:style>
  <w:style w:type="paragraph" w:customStyle="1" w:styleId="3pakapesvirsraksts">
    <w:name w:val="3. pakapes virsraksts"/>
    <w:basedOn w:val="Normal"/>
    <w:rsid w:val="00BD53DE"/>
    <w:pPr>
      <w:numPr>
        <w:ilvl w:val="2"/>
        <w:numId w:val="1"/>
      </w:numPr>
    </w:pPr>
  </w:style>
  <w:style w:type="paragraph" w:customStyle="1" w:styleId="4pakapesvirsraksts">
    <w:name w:val="4. pakapes virsraksts"/>
    <w:basedOn w:val="Normal"/>
    <w:rsid w:val="00BD53DE"/>
    <w:pPr>
      <w:numPr>
        <w:ilvl w:val="3"/>
        <w:numId w:val="1"/>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character" w:styleId="FollowedHyperlink">
    <w:name w:val="FollowedHyperlink"/>
    <w:basedOn w:val="DefaultParagraphFont"/>
    <w:uiPriority w:val="99"/>
    <w:semiHidden/>
    <w:unhideWhenUsed/>
    <w:rsid w:val="00E37BCC"/>
    <w:rPr>
      <w:color w:val="800080" w:themeColor="followedHyperlink"/>
      <w:u w:val="single"/>
    </w:rPr>
  </w:style>
  <w:style w:type="table" w:customStyle="1" w:styleId="TableGrid0">
    <w:name w:val="Table Grid0"/>
    <w:rsid w:val="00231C73"/>
    <w:pPr>
      <w:spacing w:after="0" w:line="240" w:lineRule="auto"/>
    </w:pPr>
    <w:rPr>
      <w:rFonts w:eastAsiaTheme="minorEastAsia"/>
      <w:lang w:val="lv-LV" w:eastAsia="lv-LV"/>
    </w:rPr>
    <w:tblPr>
      <w:tblCellMar>
        <w:top w:w="0" w:type="dxa"/>
        <w:left w:w="0" w:type="dxa"/>
        <w:bottom w:w="0" w:type="dxa"/>
        <w:right w:w="0" w:type="dxa"/>
      </w:tblCellMar>
    </w:tblPr>
  </w:style>
  <w:style w:type="table" w:styleId="GridTable1Light-Accent1">
    <w:name w:val="Grid Table 1 Light Accent 1"/>
    <w:basedOn w:val="TableNormal"/>
    <w:uiPriority w:val="46"/>
    <w:rsid w:val="008937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justifyfull">
    <w:name w:val="justifyfull"/>
    <w:basedOn w:val="Normal"/>
    <w:rsid w:val="00E932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17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qFormat/>
    <w:rsid w:val="00CD38A9"/>
    <w:rPr>
      <w:i/>
      <w:iCs/>
    </w:rPr>
  </w:style>
  <w:style w:type="paragraph" w:customStyle="1" w:styleId="naiskr">
    <w:name w:val="naiskr"/>
    <w:basedOn w:val="Normal"/>
    <w:rsid w:val="0088246C"/>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tvhtml">
    <w:name w:val="tv_html"/>
    <w:basedOn w:val="Normal"/>
    <w:rsid w:val="00122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A121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05B47"/>
  </w:style>
  <w:style w:type="character" w:customStyle="1" w:styleId="spellingerror">
    <w:name w:val="spellingerror"/>
    <w:basedOn w:val="DefaultParagraphFont"/>
    <w:rsid w:val="00A05B47"/>
  </w:style>
  <w:style w:type="paragraph" w:customStyle="1" w:styleId="paragraph">
    <w:name w:val="paragraph"/>
    <w:basedOn w:val="Normal"/>
    <w:rsid w:val="001949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194958"/>
  </w:style>
  <w:style w:type="paragraph" w:styleId="PlainText">
    <w:name w:val="Plain Text"/>
    <w:basedOn w:val="Normal"/>
    <w:link w:val="PlainTextChar"/>
    <w:uiPriority w:val="99"/>
    <w:unhideWhenUsed/>
    <w:rsid w:val="00F62D1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62D1D"/>
    <w:rPr>
      <w:rFonts w:ascii="Calibri" w:hAnsi="Calibri"/>
      <w:szCs w:val="21"/>
    </w:rPr>
  </w:style>
  <w:style w:type="paragraph" w:customStyle="1" w:styleId="Default">
    <w:name w:val="Default"/>
    <w:rsid w:val="00301781"/>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odyText3">
    <w:name w:val="Body Text 3"/>
    <w:basedOn w:val="Normal"/>
    <w:link w:val="BodyText3Char"/>
    <w:uiPriority w:val="99"/>
    <w:unhideWhenUsed/>
    <w:rsid w:val="00306F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06F6E"/>
    <w:rPr>
      <w:rFonts w:ascii="Times New Roman" w:eastAsia="Times New Roman" w:hAnsi="Times New Roman" w:cs="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978">
      <w:bodyDiv w:val="1"/>
      <w:marLeft w:val="0"/>
      <w:marRight w:val="0"/>
      <w:marTop w:val="0"/>
      <w:marBottom w:val="0"/>
      <w:divBdr>
        <w:top w:val="none" w:sz="0" w:space="0" w:color="auto"/>
        <w:left w:val="none" w:sz="0" w:space="0" w:color="auto"/>
        <w:bottom w:val="none" w:sz="0" w:space="0" w:color="auto"/>
        <w:right w:val="none" w:sz="0" w:space="0" w:color="auto"/>
      </w:divBdr>
    </w:div>
    <w:div w:id="55976686">
      <w:bodyDiv w:val="1"/>
      <w:marLeft w:val="0"/>
      <w:marRight w:val="0"/>
      <w:marTop w:val="0"/>
      <w:marBottom w:val="0"/>
      <w:divBdr>
        <w:top w:val="none" w:sz="0" w:space="0" w:color="auto"/>
        <w:left w:val="none" w:sz="0" w:space="0" w:color="auto"/>
        <w:bottom w:val="none" w:sz="0" w:space="0" w:color="auto"/>
        <w:right w:val="none" w:sz="0" w:space="0" w:color="auto"/>
      </w:divBdr>
    </w:div>
    <w:div w:id="66926384">
      <w:bodyDiv w:val="1"/>
      <w:marLeft w:val="0"/>
      <w:marRight w:val="0"/>
      <w:marTop w:val="0"/>
      <w:marBottom w:val="0"/>
      <w:divBdr>
        <w:top w:val="none" w:sz="0" w:space="0" w:color="auto"/>
        <w:left w:val="none" w:sz="0" w:space="0" w:color="auto"/>
        <w:bottom w:val="none" w:sz="0" w:space="0" w:color="auto"/>
        <w:right w:val="none" w:sz="0" w:space="0" w:color="auto"/>
      </w:divBdr>
      <w:divsChild>
        <w:div w:id="1105728960">
          <w:marLeft w:val="0"/>
          <w:marRight w:val="0"/>
          <w:marTop w:val="0"/>
          <w:marBottom w:val="0"/>
          <w:divBdr>
            <w:top w:val="none" w:sz="0" w:space="0" w:color="auto"/>
            <w:left w:val="none" w:sz="0" w:space="0" w:color="auto"/>
            <w:bottom w:val="none" w:sz="0" w:space="0" w:color="auto"/>
            <w:right w:val="none" w:sz="0" w:space="0" w:color="auto"/>
          </w:divBdr>
        </w:div>
        <w:div w:id="1428885110">
          <w:marLeft w:val="0"/>
          <w:marRight w:val="0"/>
          <w:marTop w:val="0"/>
          <w:marBottom w:val="0"/>
          <w:divBdr>
            <w:top w:val="none" w:sz="0" w:space="0" w:color="auto"/>
            <w:left w:val="none" w:sz="0" w:space="0" w:color="auto"/>
            <w:bottom w:val="none" w:sz="0" w:space="0" w:color="auto"/>
            <w:right w:val="none" w:sz="0" w:space="0" w:color="auto"/>
          </w:divBdr>
        </w:div>
        <w:div w:id="1507867432">
          <w:marLeft w:val="0"/>
          <w:marRight w:val="0"/>
          <w:marTop w:val="0"/>
          <w:marBottom w:val="0"/>
          <w:divBdr>
            <w:top w:val="none" w:sz="0" w:space="0" w:color="auto"/>
            <w:left w:val="none" w:sz="0" w:space="0" w:color="auto"/>
            <w:bottom w:val="none" w:sz="0" w:space="0" w:color="auto"/>
            <w:right w:val="none" w:sz="0" w:space="0" w:color="auto"/>
          </w:divBdr>
        </w:div>
        <w:div w:id="2077624833">
          <w:marLeft w:val="0"/>
          <w:marRight w:val="0"/>
          <w:marTop w:val="0"/>
          <w:marBottom w:val="0"/>
          <w:divBdr>
            <w:top w:val="none" w:sz="0" w:space="0" w:color="auto"/>
            <w:left w:val="none" w:sz="0" w:space="0" w:color="auto"/>
            <w:bottom w:val="none" w:sz="0" w:space="0" w:color="auto"/>
            <w:right w:val="none" w:sz="0" w:space="0" w:color="auto"/>
          </w:divBdr>
        </w:div>
      </w:divsChild>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639845">
      <w:bodyDiv w:val="1"/>
      <w:marLeft w:val="0"/>
      <w:marRight w:val="0"/>
      <w:marTop w:val="0"/>
      <w:marBottom w:val="0"/>
      <w:divBdr>
        <w:top w:val="none" w:sz="0" w:space="0" w:color="auto"/>
        <w:left w:val="none" w:sz="0" w:space="0" w:color="auto"/>
        <w:bottom w:val="none" w:sz="0" w:space="0" w:color="auto"/>
        <w:right w:val="none" w:sz="0" w:space="0" w:color="auto"/>
      </w:divBdr>
    </w:div>
    <w:div w:id="114717431">
      <w:bodyDiv w:val="1"/>
      <w:marLeft w:val="0"/>
      <w:marRight w:val="0"/>
      <w:marTop w:val="0"/>
      <w:marBottom w:val="0"/>
      <w:divBdr>
        <w:top w:val="none" w:sz="0" w:space="0" w:color="auto"/>
        <w:left w:val="none" w:sz="0" w:space="0" w:color="auto"/>
        <w:bottom w:val="none" w:sz="0" w:space="0" w:color="auto"/>
        <w:right w:val="none" w:sz="0" w:space="0" w:color="auto"/>
      </w:divBdr>
    </w:div>
    <w:div w:id="158084079">
      <w:bodyDiv w:val="1"/>
      <w:marLeft w:val="0"/>
      <w:marRight w:val="0"/>
      <w:marTop w:val="0"/>
      <w:marBottom w:val="0"/>
      <w:divBdr>
        <w:top w:val="none" w:sz="0" w:space="0" w:color="auto"/>
        <w:left w:val="none" w:sz="0" w:space="0" w:color="auto"/>
        <w:bottom w:val="none" w:sz="0" w:space="0" w:color="auto"/>
        <w:right w:val="none" w:sz="0" w:space="0" w:color="auto"/>
      </w:divBdr>
      <w:divsChild>
        <w:div w:id="244191716">
          <w:marLeft w:val="0"/>
          <w:marRight w:val="0"/>
          <w:marTop w:val="0"/>
          <w:marBottom w:val="0"/>
          <w:divBdr>
            <w:top w:val="none" w:sz="0" w:space="0" w:color="auto"/>
            <w:left w:val="none" w:sz="0" w:space="0" w:color="auto"/>
            <w:bottom w:val="none" w:sz="0" w:space="0" w:color="auto"/>
            <w:right w:val="none" w:sz="0" w:space="0" w:color="auto"/>
          </w:divBdr>
          <w:divsChild>
            <w:div w:id="334116668">
              <w:marLeft w:val="0"/>
              <w:marRight w:val="0"/>
              <w:marTop w:val="0"/>
              <w:marBottom w:val="0"/>
              <w:divBdr>
                <w:top w:val="none" w:sz="0" w:space="0" w:color="auto"/>
                <w:left w:val="none" w:sz="0" w:space="0" w:color="auto"/>
                <w:bottom w:val="none" w:sz="0" w:space="0" w:color="auto"/>
                <w:right w:val="none" w:sz="0" w:space="0" w:color="auto"/>
              </w:divBdr>
            </w:div>
          </w:divsChild>
        </w:div>
        <w:div w:id="1482430380">
          <w:marLeft w:val="0"/>
          <w:marRight w:val="0"/>
          <w:marTop w:val="0"/>
          <w:marBottom w:val="0"/>
          <w:divBdr>
            <w:top w:val="none" w:sz="0" w:space="0" w:color="auto"/>
            <w:left w:val="none" w:sz="0" w:space="0" w:color="auto"/>
            <w:bottom w:val="none" w:sz="0" w:space="0" w:color="auto"/>
            <w:right w:val="none" w:sz="0" w:space="0" w:color="auto"/>
          </w:divBdr>
          <w:divsChild>
            <w:div w:id="1975787179">
              <w:marLeft w:val="0"/>
              <w:marRight w:val="0"/>
              <w:marTop w:val="0"/>
              <w:marBottom w:val="0"/>
              <w:divBdr>
                <w:top w:val="none" w:sz="0" w:space="0" w:color="auto"/>
                <w:left w:val="none" w:sz="0" w:space="0" w:color="auto"/>
                <w:bottom w:val="none" w:sz="0" w:space="0" w:color="auto"/>
                <w:right w:val="none" w:sz="0" w:space="0" w:color="auto"/>
              </w:divBdr>
            </w:div>
            <w:div w:id="642740230">
              <w:marLeft w:val="0"/>
              <w:marRight w:val="0"/>
              <w:marTop w:val="0"/>
              <w:marBottom w:val="0"/>
              <w:divBdr>
                <w:top w:val="none" w:sz="0" w:space="0" w:color="auto"/>
                <w:left w:val="none" w:sz="0" w:space="0" w:color="auto"/>
                <w:bottom w:val="none" w:sz="0" w:space="0" w:color="auto"/>
                <w:right w:val="none" w:sz="0" w:space="0" w:color="auto"/>
              </w:divBdr>
            </w:div>
            <w:div w:id="830559464">
              <w:marLeft w:val="0"/>
              <w:marRight w:val="0"/>
              <w:marTop w:val="0"/>
              <w:marBottom w:val="0"/>
              <w:divBdr>
                <w:top w:val="none" w:sz="0" w:space="0" w:color="auto"/>
                <w:left w:val="none" w:sz="0" w:space="0" w:color="auto"/>
                <w:bottom w:val="none" w:sz="0" w:space="0" w:color="auto"/>
                <w:right w:val="none" w:sz="0" w:space="0" w:color="auto"/>
              </w:divBdr>
            </w:div>
          </w:divsChild>
        </w:div>
        <w:div w:id="1424451851">
          <w:marLeft w:val="0"/>
          <w:marRight w:val="0"/>
          <w:marTop w:val="0"/>
          <w:marBottom w:val="0"/>
          <w:divBdr>
            <w:top w:val="none" w:sz="0" w:space="0" w:color="auto"/>
            <w:left w:val="none" w:sz="0" w:space="0" w:color="auto"/>
            <w:bottom w:val="none" w:sz="0" w:space="0" w:color="auto"/>
            <w:right w:val="none" w:sz="0" w:space="0" w:color="auto"/>
          </w:divBdr>
          <w:divsChild>
            <w:div w:id="626468562">
              <w:marLeft w:val="0"/>
              <w:marRight w:val="0"/>
              <w:marTop w:val="0"/>
              <w:marBottom w:val="0"/>
              <w:divBdr>
                <w:top w:val="none" w:sz="0" w:space="0" w:color="auto"/>
                <w:left w:val="none" w:sz="0" w:space="0" w:color="auto"/>
                <w:bottom w:val="none" w:sz="0" w:space="0" w:color="auto"/>
                <w:right w:val="none" w:sz="0" w:space="0" w:color="auto"/>
              </w:divBdr>
            </w:div>
          </w:divsChild>
        </w:div>
        <w:div w:id="2083019448">
          <w:marLeft w:val="0"/>
          <w:marRight w:val="0"/>
          <w:marTop w:val="0"/>
          <w:marBottom w:val="0"/>
          <w:divBdr>
            <w:top w:val="none" w:sz="0" w:space="0" w:color="auto"/>
            <w:left w:val="none" w:sz="0" w:space="0" w:color="auto"/>
            <w:bottom w:val="none" w:sz="0" w:space="0" w:color="auto"/>
            <w:right w:val="none" w:sz="0" w:space="0" w:color="auto"/>
          </w:divBdr>
          <w:divsChild>
            <w:div w:id="1598753712">
              <w:marLeft w:val="0"/>
              <w:marRight w:val="0"/>
              <w:marTop w:val="0"/>
              <w:marBottom w:val="0"/>
              <w:divBdr>
                <w:top w:val="none" w:sz="0" w:space="0" w:color="auto"/>
                <w:left w:val="none" w:sz="0" w:space="0" w:color="auto"/>
                <w:bottom w:val="none" w:sz="0" w:space="0" w:color="auto"/>
                <w:right w:val="none" w:sz="0" w:space="0" w:color="auto"/>
              </w:divBdr>
            </w:div>
          </w:divsChild>
        </w:div>
        <w:div w:id="1361590619">
          <w:marLeft w:val="0"/>
          <w:marRight w:val="0"/>
          <w:marTop w:val="0"/>
          <w:marBottom w:val="0"/>
          <w:divBdr>
            <w:top w:val="none" w:sz="0" w:space="0" w:color="auto"/>
            <w:left w:val="none" w:sz="0" w:space="0" w:color="auto"/>
            <w:bottom w:val="none" w:sz="0" w:space="0" w:color="auto"/>
            <w:right w:val="none" w:sz="0" w:space="0" w:color="auto"/>
          </w:divBdr>
          <w:divsChild>
            <w:div w:id="1878930680">
              <w:marLeft w:val="0"/>
              <w:marRight w:val="0"/>
              <w:marTop w:val="0"/>
              <w:marBottom w:val="0"/>
              <w:divBdr>
                <w:top w:val="none" w:sz="0" w:space="0" w:color="auto"/>
                <w:left w:val="none" w:sz="0" w:space="0" w:color="auto"/>
                <w:bottom w:val="none" w:sz="0" w:space="0" w:color="auto"/>
                <w:right w:val="none" w:sz="0" w:space="0" w:color="auto"/>
              </w:divBdr>
            </w:div>
            <w:div w:id="740253451">
              <w:marLeft w:val="0"/>
              <w:marRight w:val="0"/>
              <w:marTop w:val="0"/>
              <w:marBottom w:val="0"/>
              <w:divBdr>
                <w:top w:val="none" w:sz="0" w:space="0" w:color="auto"/>
                <w:left w:val="none" w:sz="0" w:space="0" w:color="auto"/>
                <w:bottom w:val="none" w:sz="0" w:space="0" w:color="auto"/>
                <w:right w:val="none" w:sz="0" w:space="0" w:color="auto"/>
              </w:divBdr>
            </w:div>
          </w:divsChild>
        </w:div>
        <w:div w:id="706174766">
          <w:marLeft w:val="0"/>
          <w:marRight w:val="0"/>
          <w:marTop w:val="0"/>
          <w:marBottom w:val="0"/>
          <w:divBdr>
            <w:top w:val="none" w:sz="0" w:space="0" w:color="auto"/>
            <w:left w:val="none" w:sz="0" w:space="0" w:color="auto"/>
            <w:bottom w:val="none" w:sz="0" w:space="0" w:color="auto"/>
            <w:right w:val="none" w:sz="0" w:space="0" w:color="auto"/>
          </w:divBdr>
          <w:divsChild>
            <w:div w:id="2020084848">
              <w:marLeft w:val="0"/>
              <w:marRight w:val="0"/>
              <w:marTop w:val="0"/>
              <w:marBottom w:val="0"/>
              <w:divBdr>
                <w:top w:val="none" w:sz="0" w:space="0" w:color="auto"/>
                <w:left w:val="none" w:sz="0" w:space="0" w:color="auto"/>
                <w:bottom w:val="none" w:sz="0" w:space="0" w:color="auto"/>
                <w:right w:val="none" w:sz="0" w:space="0" w:color="auto"/>
              </w:divBdr>
            </w:div>
            <w:div w:id="504056735">
              <w:marLeft w:val="0"/>
              <w:marRight w:val="0"/>
              <w:marTop w:val="0"/>
              <w:marBottom w:val="0"/>
              <w:divBdr>
                <w:top w:val="none" w:sz="0" w:space="0" w:color="auto"/>
                <w:left w:val="none" w:sz="0" w:space="0" w:color="auto"/>
                <w:bottom w:val="none" w:sz="0" w:space="0" w:color="auto"/>
                <w:right w:val="none" w:sz="0" w:space="0" w:color="auto"/>
              </w:divBdr>
            </w:div>
          </w:divsChild>
        </w:div>
        <w:div w:id="1889292915">
          <w:marLeft w:val="0"/>
          <w:marRight w:val="0"/>
          <w:marTop w:val="0"/>
          <w:marBottom w:val="0"/>
          <w:divBdr>
            <w:top w:val="none" w:sz="0" w:space="0" w:color="auto"/>
            <w:left w:val="none" w:sz="0" w:space="0" w:color="auto"/>
            <w:bottom w:val="none" w:sz="0" w:space="0" w:color="auto"/>
            <w:right w:val="none" w:sz="0" w:space="0" w:color="auto"/>
          </w:divBdr>
          <w:divsChild>
            <w:div w:id="63533708">
              <w:marLeft w:val="0"/>
              <w:marRight w:val="0"/>
              <w:marTop w:val="0"/>
              <w:marBottom w:val="0"/>
              <w:divBdr>
                <w:top w:val="none" w:sz="0" w:space="0" w:color="auto"/>
                <w:left w:val="none" w:sz="0" w:space="0" w:color="auto"/>
                <w:bottom w:val="none" w:sz="0" w:space="0" w:color="auto"/>
                <w:right w:val="none" w:sz="0" w:space="0" w:color="auto"/>
              </w:divBdr>
            </w:div>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 w:id="143396115">
          <w:marLeft w:val="0"/>
          <w:marRight w:val="0"/>
          <w:marTop w:val="0"/>
          <w:marBottom w:val="0"/>
          <w:divBdr>
            <w:top w:val="none" w:sz="0" w:space="0" w:color="auto"/>
            <w:left w:val="none" w:sz="0" w:space="0" w:color="auto"/>
            <w:bottom w:val="none" w:sz="0" w:space="0" w:color="auto"/>
            <w:right w:val="none" w:sz="0" w:space="0" w:color="auto"/>
          </w:divBdr>
          <w:divsChild>
            <w:div w:id="758676328">
              <w:marLeft w:val="0"/>
              <w:marRight w:val="0"/>
              <w:marTop w:val="0"/>
              <w:marBottom w:val="0"/>
              <w:divBdr>
                <w:top w:val="none" w:sz="0" w:space="0" w:color="auto"/>
                <w:left w:val="none" w:sz="0" w:space="0" w:color="auto"/>
                <w:bottom w:val="none" w:sz="0" w:space="0" w:color="auto"/>
                <w:right w:val="none" w:sz="0" w:space="0" w:color="auto"/>
              </w:divBdr>
            </w:div>
            <w:div w:id="2045670095">
              <w:marLeft w:val="0"/>
              <w:marRight w:val="0"/>
              <w:marTop w:val="0"/>
              <w:marBottom w:val="0"/>
              <w:divBdr>
                <w:top w:val="none" w:sz="0" w:space="0" w:color="auto"/>
                <w:left w:val="none" w:sz="0" w:space="0" w:color="auto"/>
                <w:bottom w:val="none" w:sz="0" w:space="0" w:color="auto"/>
                <w:right w:val="none" w:sz="0" w:space="0" w:color="auto"/>
              </w:divBdr>
            </w:div>
          </w:divsChild>
        </w:div>
        <w:div w:id="1833134295">
          <w:marLeft w:val="0"/>
          <w:marRight w:val="0"/>
          <w:marTop w:val="0"/>
          <w:marBottom w:val="0"/>
          <w:divBdr>
            <w:top w:val="none" w:sz="0" w:space="0" w:color="auto"/>
            <w:left w:val="none" w:sz="0" w:space="0" w:color="auto"/>
            <w:bottom w:val="none" w:sz="0" w:space="0" w:color="auto"/>
            <w:right w:val="none" w:sz="0" w:space="0" w:color="auto"/>
          </w:divBdr>
          <w:divsChild>
            <w:div w:id="570696515">
              <w:marLeft w:val="0"/>
              <w:marRight w:val="0"/>
              <w:marTop w:val="0"/>
              <w:marBottom w:val="0"/>
              <w:divBdr>
                <w:top w:val="none" w:sz="0" w:space="0" w:color="auto"/>
                <w:left w:val="none" w:sz="0" w:space="0" w:color="auto"/>
                <w:bottom w:val="none" w:sz="0" w:space="0" w:color="auto"/>
                <w:right w:val="none" w:sz="0" w:space="0" w:color="auto"/>
              </w:divBdr>
            </w:div>
            <w:div w:id="1447582405">
              <w:marLeft w:val="0"/>
              <w:marRight w:val="0"/>
              <w:marTop w:val="0"/>
              <w:marBottom w:val="0"/>
              <w:divBdr>
                <w:top w:val="none" w:sz="0" w:space="0" w:color="auto"/>
                <w:left w:val="none" w:sz="0" w:space="0" w:color="auto"/>
                <w:bottom w:val="none" w:sz="0" w:space="0" w:color="auto"/>
                <w:right w:val="none" w:sz="0" w:space="0" w:color="auto"/>
              </w:divBdr>
            </w:div>
          </w:divsChild>
        </w:div>
        <w:div w:id="1892493556">
          <w:marLeft w:val="0"/>
          <w:marRight w:val="0"/>
          <w:marTop w:val="0"/>
          <w:marBottom w:val="0"/>
          <w:divBdr>
            <w:top w:val="none" w:sz="0" w:space="0" w:color="auto"/>
            <w:left w:val="none" w:sz="0" w:space="0" w:color="auto"/>
            <w:bottom w:val="none" w:sz="0" w:space="0" w:color="auto"/>
            <w:right w:val="none" w:sz="0" w:space="0" w:color="auto"/>
          </w:divBdr>
          <w:divsChild>
            <w:div w:id="818502138">
              <w:marLeft w:val="0"/>
              <w:marRight w:val="0"/>
              <w:marTop w:val="0"/>
              <w:marBottom w:val="0"/>
              <w:divBdr>
                <w:top w:val="none" w:sz="0" w:space="0" w:color="auto"/>
                <w:left w:val="none" w:sz="0" w:space="0" w:color="auto"/>
                <w:bottom w:val="none" w:sz="0" w:space="0" w:color="auto"/>
                <w:right w:val="none" w:sz="0" w:space="0" w:color="auto"/>
              </w:divBdr>
            </w:div>
            <w:div w:id="1804032116">
              <w:marLeft w:val="0"/>
              <w:marRight w:val="0"/>
              <w:marTop w:val="0"/>
              <w:marBottom w:val="0"/>
              <w:divBdr>
                <w:top w:val="none" w:sz="0" w:space="0" w:color="auto"/>
                <w:left w:val="none" w:sz="0" w:space="0" w:color="auto"/>
                <w:bottom w:val="none" w:sz="0" w:space="0" w:color="auto"/>
                <w:right w:val="none" w:sz="0" w:space="0" w:color="auto"/>
              </w:divBdr>
            </w:div>
          </w:divsChild>
        </w:div>
        <w:div w:id="541597862">
          <w:marLeft w:val="0"/>
          <w:marRight w:val="0"/>
          <w:marTop w:val="0"/>
          <w:marBottom w:val="0"/>
          <w:divBdr>
            <w:top w:val="none" w:sz="0" w:space="0" w:color="auto"/>
            <w:left w:val="none" w:sz="0" w:space="0" w:color="auto"/>
            <w:bottom w:val="none" w:sz="0" w:space="0" w:color="auto"/>
            <w:right w:val="none" w:sz="0" w:space="0" w:color="auto"/>
          </w:divBdr>
          <w:divsChild>
            <w:div w:id="833493902">
              <w:marLeft w:val="0"/>
              <w:marRight w:val="0"/>
              <w:marTop w:val="0"/>
              <w:marBottom w:val="0"/>
              <w:divBdr>
                <w:top w:val="none" w:sz="0" w:space="0" w:color="auto"/>
                <w:left w:val="none" w:sz="0" w:space="0" w:color="auto"/>
                <w:bottom w:val="none" w:sz="0" w:space="0" w:color="auto"/>
                <w:right w:val="none" w:sz="0" w:space="0" w:color="auto"/>
              </w:divBdr>
            </w:div>
          </w:divsChild>
        </w:div>
        <w:div w:id="1884441376">
          <w:marLeft w:val="0"/>
          <w:marRight w:val="0"/>
          <w:marTop w:val="0"/>
          <w:marBottom w:val="0"/>
          <w:divBdr>
            <w:top w:val="none" w:sz="0" w:space="0" w:color="auto"/>
            <w:left w:val="none" w:sz="0" w:space="0" w:color="auto"/>
            <w:bottom w:val="none" w:sz="0" w:space="0" w:color="auto"/>
            <w:right w:val="none" w:sz="0" w:space="0" w:color="auto"/>
          </w:divBdr>
          <w:divsChild>
            <w:div w:id="604001462">
              <w:marLeft w:val="0"/>
              <w:marRight w:val="0"/>
              <w:marTop w:val="0"/>
              <w:marBottom w:val="0"/>
              <w:divBdr>
                <w:top w:val="none" w:sz="0" w:space="0" w:color="auto"/>
                <w:left w:val="none" w:sz="0" w:space="0" w:color="auto"/>
                <w:bottom w:val="none" w:sz="0" w:space="0" w:color="auto"/>
                <w:right w:val="none" w:sz="0" w:space="0" w:color="auto"/>
              </w:divBdr>
            </w:div>
          </w:divsChild>
        </w:div>
        <w:div w:id="1706518163">
          <w:marLeft w:val="0"/>
          <w:marRight w:val="0"/>
          <w:marTop w:val="0"/>
          <w:marBottom w:val="0"/>
          <w:divBdr>
            <w:top w:val="none" w:sz="0" w:space="0" w:color="auto"/>
            <w:left w:val="none" w:sz="0" w:space="0" w:color="auto"/>
            <w:bottom w:val="none" w:sz="0" w:space="0" w:color="auto"/>
            <w:right w:val="none" w:sz="0" w:space="0" w:color="auto"/>
          </w:divBdr>
          <w:divsChild>
            <w:div w:id="763301521">
              <w:marLeft w:val="0"/>
              <w:marRight w:val="0"/>
              <w:marTop w:val="0"/>
              <w:marBottom w:val="0"/>
              <w:divBdr>
                <w:top w:val="none" w:sz="0" w:space="0" w:color="auto"/>
                <w:left w:val="none" w:sz="0" w:space="0" w:color="auto"/>
                <w:bottom w:val="none" w:sz="0" w:space="0" w:color="auto"/>
                <w:right w:val="none" w:sz="0" w:space="0" w:color="auto"/>
              </w:divBdr>
            </w:div>
          </w:divsChild>
        </w:div>
        <w:div w:id="1716003221">
          <w:marLeft w:val="0"/>
          <w:marRight w:val="0"/>
          <w:marTop w:val="0"/>
          <w:marBottom w:val="0"/>
          <w:divBdr>
            <w:top w:val="none" w:sz="0" w:space="0" w:color="auto"/>
            <w:left w:val="none" w:sz="0" w:space="0" w:color="auto"/>
            <w:bottom w:val="none" w:sz="0" w:space="0" w:color="auto"/>
            <w:right w:val="none" w:sz="0" w:space="0" w:color="auto"/>
          </w:divBdr>
          <w:divsChild>
            <w:div w:id="876045271">
              <w:marLeft w:val="0"/>
              <w:marRight w:val="0"/>
              <w:marTop w:val="0"/>
              <w:marBottom w:val="0"/>
              <w:divBdr>
                <w:top w:val="none" w:sz="0" w:space="0" w:color="auto"/>
                <w:left w:val="none" w:sz="0" w:space="0" w:color="auto"/>
                <w:bottom w:val="none" w:sz="0" w:space="0" w:color="auto"/>
                <w:right w:val="none" w:sz="0" w:space="0" w:color="auto"/>
              </w:divBdr>
            </w:div>
          </w:divsChild>
        </w:div>
        <w:div w:id="655258328">
          <w:marLeft w:val="0"/>
          <w:marRight w:val="0"/>
          <w:marTop w:val="0"/>
          <w:marBottom w:val="0"/>
          <w:divBdr>
            <w:top w:val="none" w:sz="0" w:space="0" w:color="auto"/>
            <w:left w:val="none" w:sz="0" w:space="0" w:color="auto"/>
            <w:bottom w:val="none" w:sz="0" w:space="0" w:color="auto"/>
            <w:right w:val="none" w:sz="0" w:space="0" w:color="auto"/>
          </w:divBdr>
          <w:divsChild>
            <w:div w:id="1885755506">
              <w:marLeft w:val="0"/>
              <w:marRight w:val="0"/>
              <w:marTop w:val="0"/>
              <w:marBottom w:val="0"/>
              <w:divBdr>
                <w:top w:val="none" w:sz="0" w:space="0" w:color="auto"/>
                <w:left w:val="none" w:sz="0" w:space="0" w:color="auto"/>
                <w:bottom w:val="none" w:sz="0" w:space="0" w:color="auto"/>
                <w:right w:val="none" w:sz="0" w:space="0" w:color="auto"/>
              </w:divBdr>
            </w:div>
          </w:divsChild>
        </w:div>
        <w:div w:id="1016227926">
          <w:marLeft w:val="0"/>
          <w:marRight w:val="0"/>
          <w:marTop w:val="0"/>
          <w:marBottom w:val="0"/>
          <w:divBdr>
            <w:top w:val="none" w:sz="0" w:space="0" w:color="auto"/>
            <w:left w:val="none" w:sz="0" w:space="0" w:color="auto"/>
            <w:bottom w:val="none" w:sz="0" w:space="0" w:color="auto"/>
            <w:right w:val="none" w:sz="0" w:space="0" w:color="auto"/>
          </w:divBdr>
          <w:divsChild>
            <w:div w:id="43793694">
              <w:marLeft w:val="0"/>
              <w:marRight w:val="0"/>
              <w:marTop w:val="0"/>
              <w:marBottom w:val="0"/>
              <w:divBdr>
                <w:top w:val="none" w:sz="0" w:space="0" w:color="auto"/>
                <w:left w:val="none" w:sz="0" w:space="0" w:color="auto"/>
                <w:bottom w:val="none" w:sz="0" w:space="0" w:color="auto"/>
                <w:right w:val="none" w:sz="0" w:space="0" w:color="auto"/>
              </w:divBdr>
            </w:div>
          </w:divsChild>
        </w:div>
        <w:div w:id="1220557629">
          <w:marLeft w:val="0"/>
          <w:marRight w:val="0"/>
          <w:marTop w:val="0"/>
          <w:marBottom w:val="0"/>
          <w:divBdr>
            <w:top w:val="none" w:sz="0" w:space="0" w:color="auto"/>
            <w:left w:val="none" w:sz="0" w:space="0" w:color="auto"/>
            <w:bottom w:val="none" w:sz="0" w:space="0" w:color="auto"/>
            <w:right w:val="none" w:sz="0" w:space="0" w:color="auto"/>
          </w:divBdr>
          <w:divsChild>
            <w:div w:id="1615165343">
              <w:marLeft w:val="0"/>
              <w:marRight w:val="0"/>
              <w:marTop w:val="0"/>
              <w:marBottom w:val="0"/>
              <w:divBdr>
                <w:top w:val="none" w:sz="0" w:space="0" w:color="auto"/>
                <w:left w:val="none" w:sz="0" w:space="0" w:color="auto"/>
                <w:bottom w:val="none" w:sz="0" w:space="0" w:color="auto"/>
                <w:right w:val="none" w:sz="0" w:space="0" w:color="auto"/>
              </w:divBdr>
            </w:div>
          </w:divsChild>
        </w:div>
        <w:div w:id="738476315">
          <w:marLeft w:val="0"/>
          <w:marRight w:val="0"/>
          <w:marTop w:val="0"/>
          <w:marBottom w:val="0"/>
          <w:divBdr>
            <w:top w:val="none" w:sz="0" w:space="0" w:color="auto"/>
            <w:left w:val="none" w:sz="0" w:space="0" w:color="auto"/>
            <w:bottom w:val="none" w:sz="0" w:space="0" w:color="auto"/>
            <w:right w:val="none" w:sz="0" w:space="0" w:color="auto"/>
          </w:divBdr>
          <w:divsChild>
            <w:div w:id="750197669">
              <w:marLeft w:val="0"/>
              <w:marRight w:val="0"/>
              <w:marTop w:val="0"/>
              <w:marBottom w:val="0"/>
              <w:divBdr>
                <w:top w:val="none" w:sz="0" w:space="0" w:color="auto"/>
                <w:left w:val="none" w:sz="0" w:space="0" w:color="auto"/>
                <w:bottom w:val="none" w:sz="0" w:space="0" w:color="auto"/>
                <w:right w:val="none" w:sz="0" w:space="0" w:color="auto"/>
              </w:divBdr>
            </w:div>
          </w:divsChild>
        </w:div>
        <w:div w:id="1431048883">
          <w:marLeft w:val="0"/>
          <w:marRight w:val="0"/>
          <w:marTop w:val="0"/>
          <w:marBottom w:val="0"/>
          <w:divBdr>
            <w:top w:val="none" w:sz="0" w:space="0" w:color="auto"/>
            <w:left w:val="none" w:sz="0" w:space="0" w:color="auto"/>
            <w:bottom w:val="none" w:sz="0" w:space="0" w:color="auto"/>
            <w:right w:val="none" w:sz="0" w:space="0" w:color="auto"/>
          </w:divBdr>
          <w:divsChild>
            <w:div w:id="1168472879">
              <w:marLeft w:val="0"/>
              <w:marRight w:val="0"/>
              <w:marTop w:val="0"/>
              <w:marBottom w:val="0"/>
              <w:divBdr>
                <w:top w:val="none" w:sz="0" w:space="0" w:color="auto"/>
                <w:left w:val="none" w:sz="0" w:space="0" w:color="auto"/>
                <w:bottom w:val="none" w:sz="0" w:space="0" w:color="auto"/>
                <w:right w:val="none" w:sz="0" w:space="0" w:color="auto"/>
              </w:divBdr>
            </w:div>
          </w:divsChild>
        </w:div>
        <w:div w:id="1855730893">
          <w:marLeft w:val="0"/>
          <w:marRight w:val="0"/>
          <w:marTop w:val="0"/>
          <w:marBottom w:val="0"/>
          <w:divBdr>
            <w:top w:val="none" w:sz="0" w:space="0" w:color="auto"/>
            <w:left w:val="none" w:sz="0" w:space="0" w:color="auto"/>
            <w:bottom w:val="none" w:sz="0" w:space="0" w:color="auto"/>
            <w:right w:val="none" w:sz="0" w:space="0" w:color="auto"/>
          </w:divBdr>
          <w:divsChild>
            <w:div w:id="1530486086">
              <w:marLeft w:val="0"/>
              <w:marRight w:val="0"/>
              <w:marTop w:val="0"/>
              <w:marBottom w:val="0"/>
              <w:divBdr>
                <w:top w:val="none" w:sz="0" w:space="0" w:color="auto"/>
                <w:left w:val="none" w:sz="0" w:space="0" w:color="auto"/>
                <w:bottom w:val="none" w:sz="0" w:space="0" w:color="auto"/>
                <w:right w:val="none" w:sz="0" w:space="0" w:color="auto"/>
              </w:divBdr>
            </w:div>
          </w:divsChild>
        </w:div>
        <w:div w:id="607811230">
          <w:marLeft w:val="0"/>
          <w:marRight w:val="0"/>
          <w:marTop w:val="0"/>
          <w:marBottom w:val="0"/>
          <w:divBdr>
            <w:top w:val="none" w:sz="0" w:space="0" w:color="auto"/>
            <w:left w:val="none" w:sz="0" w:space="0" w:color="auto"/>
            <w:bottom w:val="none" w:sz="0" w:space="0" w:color="auto"/>
            <w:right w:val="none" w:sz="0" w:space="0" w:color="auto"/>
          </w:divBdr>
          <w:divsChild>
            <w:div w:id="866984416">
              <w:marLeft w:val="0"/>
              <w:marRight w:val="0"/>
              <w:marTop w:val="0"/>
              <w:marBottom w:val="0"/>
              <w:divBdr>
                <w:top w:val="none" w:sz="0" w:space="0" w:color="auto"/>
                <w:left w:val="none" w:sz="0" w:space="0" w:color="auto"/>
                <w:bottom w:val="none" w:sz="0" w:space="0" w:color="auto"/>
                <w:right w:val="none" w:sz="0" w:space="0" w:color="auto"/>
              </w:divBdr>
            </w:div>
          </w:divsChild>
        </w:div>
        <w:div w:id="175120698">
          <w:marLeft w:val="0"/>
          <w:marRight w:val="0"/>
          <w:marTop w:val="0"/>
          <w:marBottom w:val="0"/>
          <w:divBdr>
            <w:top w:val="none" w:sz="0" w:space="0" w:color="auto"/>
            <w:left w:val="none" w:sz="0" w:space="0" w:color="auto"/>
            <w:bottom w:val="none" w:sz="0" w:space="0" w:color="auto"/>
            <w:right w:val="none" w:sz="0" w:space="0" w:color="auto"/>
          </w:divBdr>
          <w:divsChild>
            <w:div w:id="1063675911">
              <w:marLeft w:val="0"/>
              <w:marRight w:val="0"/>
              <w:marTop w:val="0"/>
              <w:marBottom w:val="0"/>
              <w:divBdr>
                <w:top w:val="none" w:sz="0" w:space="0" w:color="auto"/>
                <w:left w:val="none" w:sz="0" w:space="0" w:color="auto"/>
                <w:bottom w:val="none" w:sz="0" w:space="0" w:color="auto"/>
                <w:right w:val="none" w:sz="0" w:space="0" w:color="auto"/>
              </w:divBdr>
            </w:div>
          </w:divsChild>
        </w:div>
        <w:div w:id="1188569229">
          <w:marLeft w:val="0"/>
          <w:marRight w:val="0"/>
          <w:marTop w:val="0"/>
          <w:marBottom w:val="0"/>
          <w:divBdr>
            <w:top w:val="none" w:sz="0" w:space="0" w:color="auto"/>
            <w:left w:val="none" w:sz="0" w:space="0" w:color="auto"/>
            <w:bottom w:val="none" w:sz="0" w:space="0" w:color="auto"/>
            <w:right w:val="none" w:sz="0" w:space="0" w:color="auto"/>
          </w:divBdr>
          <w:divsChild>
            <w:div w:id="1201891917">
              <w:marLeft w:val="0"/>
              <w:marRight w:val="0"/>
              <w:marTop w:val="0"/>
              <w:marBottom w:val="0"/>
              <w:divBdr>
                <w:top w:val="none" w:sz="0" w:space="0" w:color="auto"/>
                <w:left w:val="none" w:sz="0" w:space="0" w:color="auto"/>
                <w:bottom w:val="none" w:sz="0" w:space="0" w:color="auto"/>
                <w:right w:val="none" w:sz="0" w:space="0" w:color="auto"/>
              </w:divBdr>
            </w:div>
          </w:divsChild>
        </w:div>
        <w:div w:id="723217040">
          <w:marLeft w:val="0"/>
          <w:marRight w:val="0"/>
          <w:marTop w:val="0"/>
          <w:marBottom w:val="0"/>
          <w:divBdr>
            <w:top w:val="none" w:sz="0" w:space="0" w:color="auto"/>
            <w:left w:val="none" w:sz="0" w:space="0" w:color="auto"/>
            <w:bottom w:val="none" w:sz="0" w:space="0" w:color="auto"/>
            <w:right w:val="none" w:sz="0" w:space="0" w:color="auto"/>
          </w:divBdr>
          <w:divsChild>
            <w:div w:id="16858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0522">
      <w:bodyDiv w:val="1"/>
      <w:marLeft w:val="0"/>
      <w:marRight w:val="0"/>
      <w:marTop w:val="0"/>
      <w:marBottom w:val="0"/>
      <w:divBdr>
        <w:top w:val="none" w:sz="0" w:space="0" w:color="auto"/>
        <w:left w:val="none" w:sz="0" w:space="0" w:color="auto"/>
        <w:bottom w:val="none" w:sz="0" w:space="0" w:color="auto"/>
        <w:right w:val="none" w:sz="0" w:space="0" w:color="auto"/>
      </w:divBdr>
    </w:div>
    <w:div w:id="186989669">
      <w:bodyDiv w:val="1"/>
      <w:marLeft w:val="0"/>
      <w:marRight w:val="0"/>
      <w:marTop w:val="0"/>
      <w:marBottom w:val="0"/>
      <w:divBdr>
        <w:top w:val="none" w:sz="0" w:space="0" w:color="auto"/>
        <w:left w:val="none" w:sz="0" w:space="0" w:color="auto"/>
        <w:bottom w:val="none" w:sz="0" w:space="0" w:color="auto"/>
        <w:right w:val="none" w:sz="0" w:space="0" w:color="auto"/>
      </w:divBdr>
    </w:div>
    <w:div w:id="222957902">
      <w:bodyDiv w:val="1"/>
      <w:marLeft w:val="0"/>
      <w:marRight w:val="0"/>
      <w:marTop w:val="0"/>
      <w:marBottom w:val="0"/>
      <w:divBdr>
        <w:top w:val="none" w:sz="0" w:space="0" w:color="auto"/>
        <w:left w:val="none" w:sz="0" w:space="0" w:color="auto"/>
        <w:bottom w:val="none" w:sz="0" w:space="0" w:color="auto"/>
        <w:right w:val="none" w:sz="0" w:space="0" w:color="auto"/>
      </w:divBdr>
    </w:div>
    <w:div w:id="232813486">
      <w:bodyDiv w:val="1"/>
      <w:marLeft w:val="0"/>
      <w:marRight w:val="0"/>
      <w:marTop w:val="0"/>
      <w:marBottom w:val="0"/>
      <w:divBdr>
        <w:top w:val="none" w:sz="0" w:space="0" w:color="auto"/>
        <w:left w:val="none" w:sz="0" w:space="0" w:color="auto"/>
        <w:bottom w:val="none" w:sz="0" w:space="0" w:color="auto"/>
        <w:right w:val="none" w:sz="0" w:space="0" w:color="auto"/>
      </w:divBdr>
    </w:div>
    <w:div w:id="248930243">
      <w:bodyDiv w:val="1"/>
      <w:marLeft w:val="0"/>
      <w:marRight w:val="0"/>
      <w:marTop w:val="0"/>
      <w:marBottom w:val="0"/>
      <w:divBdr>
        <w:top w:val="none" w:sz="0" w:space="0" w:color="auto"/>
        <w:left w:val="none" w:sz="0" w:space="0" w:color="auto"/>
        <w:bottom w:val="none" w:sz="0" w:space="0" w:color="auto"/>
        <w:right w:val="none" w:sz="0" w:space="0" w:color="auto"/>
      </w:divBdr>
    </w:div>
    <w:div w:id="249393591">
      <w:bodyDiv w:val="1"/>
      <w:marLeft w:val="0"/>
      <w:marRight w:val="0"/>
      <w:marTop w:val="0"/>
      <w:marBottom w:val="0"/>
      <w:divBdr>
        <w:top w:val="none" w:sz="0" w:space="0" w:color="auto"/>
        <w:left w:val="none" w:sz="0" w:space="0" w:color="auto"/>
        <w:bottom w:val="none" w:sz="0" w:space="0" w:color="auto"/>
        <w:right w:val="none" w:sz="0" w:space="0" w:color="auto"/>
      </w:divBdr>
    </w:div>
    <w:div w:id="257107397">
      <w:bodyDiv w:val="1"/>
      <w:marLeft w:val="0"/>
      <w:marRight w:val="0"/>
      <w:marTop w:val="0"/>
      <w:marBottom w:val="0"/>
      <w:divBdr>
        <w:top w:val="none" w:sz="0" w:space="0" w:color="auto"/>
        <w:left w:val="none" w:sz="0" w:space="0" w:color="auto"/>
        <w:bottom w:val="none" w:sz="0" w:space="0" w:color="auto"/>
        <w:right w:val="none" w:sz="0" w:space="0" w:color="auto"/>
      </w:divBdr>
    </w:div>
    <w:div w:id="267398735">
      <w:bodyDiv w:val="1"/>
      <w:marLeft w:val="0"/>
      <w:marRight w:val="0"/>
      <w:marTop w:val="0"/>
      <w:marBottom w:val="0"/>
      <w:divBdr>
        <w:top w:val="none" w:sz="0" w:space="0" w:color="auto"/>
        <w:left w:val="none" w:sz="0" w:space="0" w:color="auto"/>
        <w:bottom w:val="none" w:sz="0" w:space="0" w:color="auto"/>
        <w:right w:val="none" w:sz="0" w:space="0" w:color="auto"/>
      </w:divBdr>
    </w:div>
    <w:div w:id="271743392">
      <w:bodyDiv w:val="1"/>
      <w:marLeft w:val="0"/>
      <w:marRight w:val="0"/>
      <w:marTop w:val="0"/>
      <w:marBottom w:val="0"/>
      <w:divBdr>
        <w:top w:val="none" w:sz="0" w:space="0" w:color="auto"/>
        <w:left w:val="none" w:sz="0" w:space="0" w:color="auto"/>
        <w:bottom w:val="none" w:sz="0" w:space="0" w:color="auto"/>
        <w:right w:val="none" w:sz="0" w:space="0" w:color="auto"/>
      </w:divBdr>
    </w:div>
    <w:div w:id="301153933">
      <w:bodyDiv w:val="1"/>
      <w:marLeft w:val="0"/>
      <w:marRight w:val="0"/>
      <w:marTop w:val="0"/>
      <w:marBottom w:val="0"/>
      <w:divBdr>
        <w:top w:val="none" w:sz="0" w:space="0" w:color="auto"/>
        <w:left w:val="none" w:sz="0" w:space="0" w:color="auto"/>
        <w:bottom w:val="none" w:sz="0" w:space="0" w:color="auto"/>
        <w:right w:val="none" w:sz="0" w:space="0" w:color="auto"/>
      </w:divBdr>
    </w:div>
    <w:div w:id="320933162">
      <w:bodyDiv w:val="1"/>
      <w:marLeft w:val="0"/>
      <w:marRight w:val="0"/>
      <w:marTop w:val="0"/>
      <w:marBottom w:val="0"/>
      <w:divBdr>
        <w:top w:val="none" w:sz="0" w:space="0" w:color="auto"/>
        <w:left w:val="none" w:sz="0" w:space="0" w:color="auto"/>
        <w:bottom w:val="none" w:sz="0" w:space="0" w:color="auto"/>
        <w:right w:val="none" w:sz="0" w:space="0" w:color="auto"/>
      </w:divBdr>
    </w:div>
    <w:div w:id="320934806">
      <w:bodyDiv w:val="1"/>
      <w:marLeft w:val="0"/>
      <w:marRight w:val="0"/>
      <w:marTop w:val="0"/>
      <w:marBottom w:val="0"/>
      <w:divBdr>
        <w:top w:val="none" w:sz="0" w:space="0" w:color="auto"/>
        <w:left w:val="none" w:sz="0" w:space="0" w:color="auto"/>
        <w:bottom w:val="none" w:sz="0" w:space="0" w:color="auto"/>
        <w:right w:val="none" w:sz="0" w:space="0" w:color="auto"/>
      </w:divBdr>
    </w:div>
    <w:div w:id="426853447">
      <w:bodyDiv w:val="1"/>
      <w:marLeft w:val="0"/>
      <w:marRight w:val="0"/>
      <w:marTop w:val="0"/>
      <w:marBottom w:val="0"/>
      <w:divBdr>
        <w:top w:val="none" w:sz="0" w:space="0" w:color="auto"/>
        <w:left w:val="none" w:sz="0" w:space="0" w:color="auto"/>
        <w:bottom w:val="none" w:sz="0" w:space="0" w:color="auto"/>
        <w:right w:val="none" w:sz="0" w:space="0" w:color="auto"/>
      </w:divBdr>
    </w:div>
    <w:div w:id="475609812">
      <w:bodyDiv w:val="1"/>
      <w:marLeft w:val="0"/>
      <w:marRight w:val="0"/>
      <w:marTop w:val="0"/>
      <w:marBottom w:val="0"/>
      <w:divBdr>
        <w:top w:val="none" w:sz="0" w:space="0" w:color="auto"/>
        <w:left w:val="none" w:sz="0" w:space="0" w:color="auto"/>
        <w:bottom w:val="none" w:sz="0" w:space="0" w:color="auto"/>
        <w:right w:val="none" w:sz="0" w:space="0" w:color="auto"/>
      </w:divBdr>
      <w:divsChild>
        <w:div w:id="67657136">
          <w:marLeft w:val="1440"/>
          <w:marRight w:val="0"/>
          <w:marTop w:val="0"/>
          <w:marBottom w:val="0"/>
          <w:divBdr>
            <w:top w:val="none" w:sz="0" w:space="0" w:color="auto"/>
            <w:left w:val="none" w:sz="0" w:space="0" w:color="auto"/>
            <w:bottom w:val="none" w:sz="0" w:space="0" w:color="auto"/>
            <w:right w:val="none" w:sz="0" w:space="0" w:color="auto"/>
          </w:divBdr>
        </w:div>
        <w:div w:id="224683657">
          <w:marLeft w:val="1440"/>
          <w:marRight w:val="0"/>
          <w:marTop w:val="0"/>
          <w:marBottom w:val="0"/>
          <w:divBdr>
            <w:top w:val="none" w:sz="0" w:space="0" w:color="auto"/>
            <w:left w:val="none" w:sz="0" w:space="0" w:color="auto"/>
            <w:bottom w:val="none" w:sz="0" w:space="0" w:color="auto"/>
            <w:right w:val="none" w:sz="0" w:space="0" w:color="auto"/>
          </w:divBdr>
        </w:div>
        <w:div w:id="600574407">
          <w:marLeft w:val="1440"/>
          <w:marRight w:val="0"/>
          <w:marTop w:val="0"/>
          <w:marBottom w:val="0"/>
          <w:divBdr>
            <w:top w:val="none" w:sz="0" w:space="0" w:color="auto"/>
            <w:left w:val="none" w:sz="0" w:space="0" w:color="auto"/>
            <w:bottom w:val="none" w:sz="0" w:space="0" w:color="auto"/>
            <w:right w:val="none" w:sz="0" w:space="0" w:color="auto"/>
          </w:divBdr>
        </w:div>
        <w:div w:id="911236416">
          <w:marLeft w:val="1440"/>
          <w:marRight w:val="0"/>
          <w:marTop w:val="0"/>
          <w:marBottom w:val="0"/>
          <w:divBdr>
            <w:top w:val="none" w:sz="0" w:space="0" w:color="auto"/>
            <w:left w:val="none" w:sz="0" w:space="0" w:color="auto"/>
            <w:bottom w:val="none" w:sz="0" w:space="0" w:color="auto"/>
            <w:right w:val="none" w:sz="0" w:space="0" w:color="auto"/>
          </w:divBdr>
        </w:div>
        <w:div w:id="1355767100">
          <w:marLeft w:val="0"/>
          <w:marRight w:val="0"/>
          <w:marTop w:val="0"/>
          <w:marBottom w:val="0"/>
          <w:divBdr>
            <w:top w:val="none" w:sz="0" w:space="0" w:color="auto"/>
            <w:left w:val="none" w:sz="0" w:space="0" w:color="auto"/>
            <w:bottom w:val="none" w:sz="0" w:space="0" w:color="auto"/>
            <w:right w:val="none" w:sz="0" w:space="0" w:color="auto"/>
          </w:divBdr>
        </w:div>
        <w:div w:id="1552889070">
          <w:marLeft w:val="1440"/>
          <w:marRight w:val="0"/>
          <w:marTop w:val="0"/>
          <w:marBottom w:val="0"/>
          <w:divBdr>
            <w:top w:val="none" w:sz="0" w:space="0" w:color="auto"/>
            <w:left w:val="none" w:sz="0" w:space="0" w:color="auto"/>
            <w:bottom w:val="none" w:sz="0" w:space="0" w:color="auto"/>
            <w:right w:val="none" w:sz="0" w:space="0" w:color="auto"/>
          </w:divBdr>
        </w:div>
        <w:div w:id="1596551139">
          <w:marLeft w:val="1440"/>
          <w:marRight w:val="0"/>
          <w:marTop w:val="0"/>
          <w:marBottom w:val="0"/>
          <w:divBdr>
            <w:top w:val="none" w:sz="0" w:space="0" w:color="auto"/>
            <w:left w:val="none" w:sz="0" w:space="0" w:color="auto"/>
            <w:bottom w:val="none" w:sz="0" w:space="0" w:color="auto"/>
            <w:right w:val="none" w:sz="0" w:space="0" w:color="auto"/>
          </w:divBdr>
        </w:div>
        <w:div w:id="2080013283">
          <w:marLeft w:val="720"/>
          <w:marRight w:val="0"/>
          <w:marTop w:val="0"/>
          <w:marBottom w:val="0"/>
          <w:divBdr>
            <w:top w:val="none" w:sz="0" w:space="0" w:color="auto"/>
            <w:left w:val="none" w:sz="0" w:space="0" w:color="auto"/>
            <w:bottom w:val="none" w:sz="0" w:space="0" w:color="auto"/>
            <w:right w:val="none" w:sz="0" w:space="0" w:color="auto"/>
          </w:divBdr>
        </w:div>
      </w:divsChild>
    </w:div>
    <w:div w:id="490413142">
      <w:bodyDiv w:val="1"/>
      <w:marLeft w:val="0"/>
      <w:marRight w:val="0"/>
      <w:marTop w:val="0"/>
      <w:marBottom w:val="0"/>
      <w:divBdr>
        <w:top w:val="none" w:sz="0" w:space="0" w:color="auto"/>
        <w:left w:val="none" w:sz="0" w:space="0" w:color="auto"/>
        <w:bottom w:val="none" w:sz="0" w:space="0" w:color="auto"/>
        <w:right w:val="none" w:sz="0" w:space="0" w:color="auto"/>
      </w:divBdr>
    </w:div>
    <w:div w:id="513106331">
      <w:bodyDiv w:val="1"/>
      <w:marLeft w:val="0"/>
      <w:marRight w:val="0"/>
      <w:marTop w:val="0"/>
      <w:marBottom w:val="0"/>
      <w:divBdr>
        <w:top w:val="none" w:sz="0" w:space="0" w:color="auto"/>
        <w:left w:val="none" w:sz="0" w:space="0" w:color="auto"/>
        <w:bottom w:val="none" w:sz="0" w:space="0" w:color="auto"/>
        <w:right w:val="none" w:sz="0" w:space="0" w:color="auto"/>
      </w:divBdr>
    </w:div>
    <w:div w:id="517810962">
      <w:bodyDiv w:val="1"/>
      <w:marLeft w:val="0"/>
      <w:marRight w:val="0"/>
      <w:marTop w:val="0"/>
      <w:marBottom w:val="0"/>
      <w:divBdr>
        <w:top w:val="none" w:sz="0" w:space="0" w:color="auto"/>
        <w:left w:val="none" w:sz="0" w:space="0" w:color="auto"/>
        <w:bottom w:val="none" w:sz="0" w:space="0" w:color="auto"/>
        <w:right w:val="none" w:sz="0" w:space="0" w:color="auto"/>
      </w:divBdr>
      <w:divsChild>
        <w:div w:id="682589121">
          <w:marLeft w:val="0"/>
          <w:marRight w:val="0"/>
          <w:marTop w:val="0"/>
          <w:marBottom w:val="0"/>
          <w:divBdr>
            <w:top w:val="none" w:sz="0" w:space="0" w:color="auto"/>
            <w:left w:val="none" w:sz="0" w:space="0" w:color="auto"/>
            <w:bottom w:val="none" w:sz="0" w:space="0" w:color="auto"/>
            <w:right w:val="none" w:sz="0" w:space="0" w:color="auto"/>
          </w:divBdr>
        </w:div>
        <w:div w:id="930624039">
          <w:marLeft w:val="0"/>
          <w:marRight w:val="0"/>
          <w:marTop w:val="0"/>
          <w:marBottom w:val="0"/>
          <w:divBdr>
            <w:top w:val="none" w:sz="0" w:space="0" w:color="auto"/>
            <w:left w:val="none" w:sz="0" w:space="0" w:color="auto"/>
            <w:bottom w:val="none" w:sz="0" w:space="0" w:color="auto"/>
            <w:right w:val="none" w:sz="0" w:space="0" w:color="auto"/>
          </w:divBdr>
        </w:div>
        <w:div w:id="1318802822">
          <w:marLeft w:val="0"/>
          <w:marRight w:val="0"/>
          <w:marTop w:val="0"/>
          <w:marBottom w:val="0"/>
          <w:divBdr>
            <w:top w:val="none" w:sz="0" w:space="0" w:color="auto"/>
            <w:left w:val="none" w:sz="0" w:space="0" w:color="auto"/>
            <w:bottom w:val="none" w:sz="0" w:space="0" w:color="auto"/>
            <w:right w:val="none" w:sz="0" w:space="0" w:color="auto"/>
          </w:divBdr>
        </w:div>
        <w:div w:id="1924530455">
          <w:marLeft w:val="0"/>
          <w:marRight w:val="0"/>
          <w:marTop w:val="0"/>
          <w:marBottom w:val="0"/>
          <w:divBdr>
            <w:top w:val="none" w:sz="0" w:space="0" w:color="auto"/>
            <w:left w:val="none" w:sz="0" w:space="0" w:color="auto"/>
            <w:bottom w:val="none" w:sz="0" w:space="0" w:color="auto"/>
            <w:right w:val="none" w:sz="0" w:space="0" w:color="auto"/>
          </w:divBdr>
        </w:div>
      </w:divsChild>
    </w:div>
    <w:div w:id="590352700">
      <w:bodyDiv w:val="1"/>
      <w:marLeft w:val="0"/>
      <w:marRight w:val="0"/>
      <w:marTop w:val="0"/>
      <w:marBottom w:val="0"/>
      <w:divBdr>
        <w:top w:val="none" w:sz="0" w:space="0" w:color="auto"/>
        <w:left w:val="none" w:sz="0" w:space="0" w:color="auto"/>
        <w:bottom w:val="none" w:sz="0" w:space="0" w:color="auto"/>
        <w:right w:val="none" w:sz="0" w:space="0" w:color="auto"/>
      </w:divBdr>
    </w:div>
    <w:div w:id="605500302">
      <w:bodyDiv w:val="1"/>
      <w:marLeft w:val="0"/>
      <w:marRight w:val="0"/>
      <w:marTop w:val="0"/>
      <w:marBottom w:val="0"/>
      <w:divBdr>
        <w:top w:val="none" w:sz="0" w:space="0" w:color="auto"/>
        <w:left w:val="none" w:sz="0" w:space="0" w:color="auto"/>
        <w:bottom w:val="none" w:sz="0" w:space="0" w:color="auto"/>
        <w:right w:val="none" w:sz="0" w:space="0" w:color="auto"/>
      </w:divBdr>
      <w:divsChild>
        <w:div w:id="256452348">
          <w:marLeft w:val="0"/>
          <w:marRight w:val="0"/>
          <w:marTop w:val="280"/>
          <w:marBottom w:val="280"/>
          <w:divBdr>
            <w:top w:val="none" w:sz="0" w:space="0" w:color="auto"/>
            <w:left w:val="none" w:sz="0" w:space="0" w:color="auto"/>
            <w:bottom w:val="none" w:sz="0" w:space="0" w:color="auto"/>
            <w:right w:val="none" w:sz="0" w:space="0" w:color="auto"/>
          </w:divBdr>
        </w:div>
        <w:div w:id="717171642">
          <w:marLeft w:val="0"/>
          <w:marRight w:val="0"/>
          <w:marTop w:val="280"/>
          <w:marBottom w:val="280"/>
          <w:divBdr>
            <w:top w:val="none" w:sz="0" w:space="0" w:color="auto"/>
            <w:left w:val="none" w:sz="0" w:space="0" w:color="auto"/>
            <w:bottom w:val="none" w:sz="0" w:space="0" w:color="auto"/>
            <w:right w:val="none" w:sz="0" w:space="0" w:color="auto"/>
          </w:divBdr>
        </w:div>
      </w:divsChild>
    </w:div>
    <w:div w:id="618415632">
      <w:bodyDiv w:val="1"/>
      <w:marLeft w:val="0"/>
      <w:marRight w:val="0"/>
      <w:marTop w:val="0"/>
      <w:marBottom w:val="0"/>
      <w:divBdr>
        <w:top w:val="none" w:sz="0" w:space="0" w:color="auto"/>
        <w:left w:val="none" w:sz="0" w:space="0" w:color="auto"/>
        <w:bottom w:val="none" w:sz="0" w:space="0" w:color="auto"/>
        <w:right w:val="none" w:sz="0" w:space="0" w:color="auto"/>
      </w:divBdr>
    </w:div>
    <w:div w:id="628782881">
      <w:bodyDiv w:val="1"/>
      <w:marLeft w:val="0"/>
      <w:marRight w:val="0"/>
      <w:marTop w:val="0"/>
      <w:marBottom w:val="0"/>
      <w:divBdr>
        <w:top w:val="none" w:sz="0" w:space="0" w:color="auto"/>
        <w:left w:val="none" w:sz="0" w:space="0" w:color="auto"/>
        <w:bottom w:val="none" w:sz="0" w:space="0" w:color="auto"/>
        <w:right w:val="none" w:sz="0" w:space="0" w:color="auto"/>
      </w:divBdr>
    </w:div>
    <w:div w:id="702219363">
      <w:bodyDiv w:val="1"/>
      <w:marLeft w:val="0"/>
      <w:marRight w:val="0"/>
      <w:marTop w:val="0"/>
      <w:marBottom w:val="0"/>
      <w:divBdr>
        <w:top w:val="none" w:sz="0" w:space="0" w:color="auto"/>
        <w:left w:val="none" w:sz="0" w:space="0" w:color="auto"/>
        <w:bottom w:val="none" w:sz="0" w:space="0" w:color="auto"/>
        <w:right w:val="none" w:sz="0" w:space="0" w:color="auto"/>
      </w:divBdr>
    </w:div>
    <w:div w:id="708922125">
      <w:bodyDiv w:val="1"/>
      <w:marLeft w:val="0"/>
      <w:marRight w:val="0"/>
      <w:marTop w:val="0"/>
      <w:marBottom w:val="0"/>
      <w:divBdr>
        <w:top w:val="none" w:sz="0" w:space="0" w:color="auto"/>
        <w:left w:val="none" w:sz="0" w:space="0" w:color="auto"/>
        <w:bottom w:val="none" w:sz="0" w:space="0" w:color="auto"/>
        <w:right w:val="none" w:sz="0" w:space="0" w:color="auto"/>
      </w:divBdr>
    </w:div>
    <w:div w:id="729579404">
      <w:bodyDiv w:val="1"/>
      <w:marLeft w:val="0"/>
      <w:marRight w:val="0"/>
      <w:marTop w:val="0"/>
      <w:marBottom w:val="0"/>
      <w:divBdr>
        <w:top w:val="none" w:sz="0" w:space="0" w:color="auto"/>
        <w:left w:val="none" w:sz="0" w:space="0" w:color="auto"/>
        <w:bottom w:val="none" w:sz="0" w:space="0" w:color="auto"/>
        <w:right w:val="none" w:sz="0" w:space="0" w:color="auto"/>
      </w:divBdr>
    </w:div>
    <w:div w:id="764544105">
      <w:bodyDiv w:val="1"/>
      <w:marLeft w:val="0"/>
      <w:marRight w:val="0"/>
      <w:marTop w:val="0"/>
      <w:marBottom w:val="0"/>
      <w:divBdr>
        <w:top w:val="none" w:sz="0" w:space="0" w:color="auto"/>
        <w:left w:val="none" w:sz="0" w:space="0" w:color="auto"/>
        <w:bottom w:val="none" w:sz="0" w:space="0" w:color="auto"/>
        <w:right w:val="none" w:sz="0" w:space="0" w:color="auto"/>
      </w:divBdr>
    </w:div>
    <w:div w:id="818813297">
      <w:bodyDiv w:val="1"/>
      <w:marLeft w:val="0"/>
      <w:marRight w:val="0"/>
      <w:marTop w:val="0"/>
      <w:marBottom w:val="0"/>
      <w:divBdr>
        <w:top w:val="none" w:sz="0" w:space="0" w:color="auto"/>
        <w:left w:val="none" w:sz="0" w:space="0" w:color="auto"/>
        <w:bottom w:val="none" w:sz="0" w:space="0" w:color="auto"/>
        <w:right w:val="none" w:sz="0" w:space="0" w:color="auto"/>
      </w:divBdr>
    </w:div>
    <w:div w:id="823667752">
      <w:bodyDiv w:val="1"/>
      <w:marLeft w:val="0"/>
      <w:marRight w:val="0"/>
      <w:marTop w:val="0"/>
      <w:marBottom w:val="0"/>
      <w:divBdr>
        <w:top w:val="none" w:sz="0" w:space="0" w:color="auto"/>
        <w:left w:val="none" w:sz="0" w:space="0" w:color="auto"/>
        <w:bottom w:val="none" w:sz="0" w:space="0" w:color="auto"/>
        <w:right w:val="none" w:sz="0" w:space="0" w:color="auto"/>
      </w:divBdr>
    </w:div>
    <w:div w:id="855267192">
      <w:bodyDiv w:val="1"/>
      <w:marLeft w:val="0"/>
      <w:marRight w:val="0"/>
      <w:marTop w:val="0"/>
      <w:marBottom w:val="0"/>
      <w:divBdr>
        <w:top w:val="none" w:sz="0" w:space="0" w:color="auto"/>
        <w:left w:val="none" w:sz="0" w:space="0" w:color="auto"/>
        <w:bottom w:val="none" w:sz="0" w:space="0" w:color="auto"/>
        <w:right w:val="none" w:sz="0" w:space="0" w:color="auto"/>
      </w:divBdr>
      <w:divsChild>
        <w:div w:id="1006176523">
          <w:marLeft w:val="0"/>
          <w:marRight w:val="0"/>
          <w:marTop w:val="280"/>
          <w:marBottom w:val="280"/>
          <w:divBdr>
            <w:top w:val="none" w:sz="0" w:space="0" w:color="auto"/>
            <w:left w:val="none" w:sz="0" w:space="0" w:color="auto"/>
            <w:bottom w:val="none" w:sz="0" w:space="0" w:color="auto"/>
            <w:right w:val="none" w:sz="0" w:space="0" w:color="auto"/>
          </w:divBdr>
        </w:div>
        <w:div w:id="1978871499">
          <w:marLeft w:val="0"/>
          <w:marRight w:val="0"/>
          <w:marTop w:val="280"/>
          <w:marBottom w:val="280"/>
          <w:divBdr>
            <w:top w:val="none" w:sz="0" w:space="0" w:color="auto"/>
            <w:left w:val="none" w:sz="0" w:space="0" w:color="auto"/>
            <w:bottom w:val="none" w:sz="0" w:space="0" w:color="auto"/>
            <w:right w:val="none" w:sz="0" w:space="0" w:color="auto"/>
          </w:divBdr>
        </w:div>
      </w:divsChild>
    </w:div>
    <w:div w:id="906303394">
      <w:bodyDiv w:val="1"/>
      <w:marLeft w:val="0"/>
      <w:marRight w:val="0"/>
      <w:marTop w:val="0"/>
      <w:marBottom w:val="0"/>
      <w:divBdr>
        <w:top w:val="none" w:sz="0" w:space="0" w:color="auto"/>
        <w:left w:val="none" w:sz="0" w:space="0" w:color="auto"/>
        <w:bottom w:val="none" w:sz="0" w:space="0" w:color="auto"/>
        <w:right w:val="none" w:sz="0" w:space="0" w:color="auto"/>
      </w:divBdr>
    </w:div>
    <w:div w:id="925528718">
      <w:bodyDiv w:val="1"/>
      <w:marLeft w:val="0"/>
      <w:marRight w:val="0"/>
      <w:marTop w:val="0"/>
      <w:marBottom w:val="0"/>
      <w:divBdr>
        <w:top w:val="none" w:sz="0" w:space="0" w:color="auto"/>
        <w:left w:val="none" w:sz="0" w:space="0" w:color="auto"/>
        <w:bottom w:val="none" w:sz="0" w:space="0" w:color="auto"/>
        <w:right w:val="none" w:sz="0" w:space="0" w:color="auto"/>
      </w:divBdr>
    </w:div>
    <w:div w:id="953512272">
      <w:bodyDiv w:val="1"/>
      <w:marLeft w:val="0"/>
      <w:marRight w:val="0"/>
      <w:marTop w:val="0"/>
      <w:marBottom w:val="0"/>
      <w:divBdr>
        <w:top w:val="none" w:sz="0" w:space="0" w:color="auto"/>
        <w:left w:val="none" w:sz="0" w:space="0" w:color="auto"/>
        <w:bottom w:val="none" w:sz="0" w:space="0" w:color="auto"/>
        <w:right w:val="none" w:sz="0" w:space="0" w:color="auto"/>
      </w:divBdr>
    </w:div>
    <w:div w:id="970399789">
      <w:bodyDiv w:val="1"/>
      <w:marLeft w:val="0"/>
      <w:marRight w:val="0"/>
      <w:marTop w:val="0"/>
      <w:marBottom w:val="0"/>
      <w:divBdr>
        <w:top w:val="none" w:sz="0" w:space="0" w:color="auto"/>
        <w:left w:val="none" w:sz="0" w:space="0" w:color="auto"/>
        <w:bottom w:val="none" w:sz="0" w:space="0" w:color="auto"/>
        <w:right w:val="none" w:sz="0" w:space="0" w:color="auto"/>
      </w:divBdr>
    </w:div>
    <w:div w:id="974943406">
      <w:bodyDiv w:val="1"/>
      <w:marLeft w:val="0"/>
      <w:marRight w:val="0"/>
      <w:marTop w:val="0"/>
      <w:marBottom w:val="0"/>
      <w:divBdr>
        <w:top w:val="none" w:sz="0" w:space="0" w:color="auto"/>
        <w:left w:val="none" w:sz="0" w:space="0" w:color="auto"/>
        <w:bottom w:val="none" w:sz="0" w:space="0" w:color="auto"/>
        <w:right w:val="none" w:sz="0" w:space="0" w:color="auto"/>
      </w:divBdr>
    </w:div>
    <w:div w:id="999699747">
      <w:bodyDiv w:val="1"/>
      <w:marLeft w:val="0"/>
      <w:marRight w:val="0"/>
      <w:marTop w:val="0"/>
      <w:marBottom w:val="0"/>
      <w:divBdr>
        <w:top w:val="none" w:sz="0" w:space="0" w:color="auto"/>
        <w:left w:val="none" w:sz="0" w:space="0" w:color="auto"/>
        <w:bottom w:val="none" w:sz="0" w:space="0" w:color="auto"/>
        <w:right w:val="none" w:sz="0" w:space="0" w:color="auto"/>
      </w:divBdr>
    </w:div>
    <w:div w:id="1036735560">
      <w:bodyDiv w:val="1"/>
      <w:marLeft w:val="0"/>
      <w:marRight w:val="0"/>
      <w:marTop w:val="0"/>
      <w:marBottom w:val="0"/>
      <w:divBdr>
        <w:top w:val="none" w:sz="0" w:space="0" w:color="auto"/>
        <w:left w:val="none" w:sz="0" w:space="0" w:color="auto"/>
        <w:bottom w:val="none" w:sz="0" w:space="0" w:color="auto"/>
        <w:right w:val="none" w:sz="0" w:space="0" w:color="auto"/>
      </w:divBdr>
    </w:div>
    <w:div w:id="1073814927">
      <w:bodyDiv w:val="1"/>
      <w:marLeft w:val="0"/>
      <w:marRight w:val="0"/>
      <w:marTop w:val="0"/>
      <w:marBottom w:val="0"/>
      <w:divBdr>
        <w:top w:val="none" w:sz="0" w:space="0" w:color="auto"/>
        <w:left w:val="none" w:sz="0" w:space="0" w:color="auto"/>
        <w:bottom w:val="none" w:sz="0" w:space="0" w:color="auto"/>
        <w:right w:val="none" w:sz="0" w:space="0" w:color="auto"/>
      </w:divBdr>
    </w:div>
    <w:div w:id="1106923990">
      <w:bodyDiv w:val="1"/>
      <w:marLeft w:val="0"/>
      <w:marRight w:val="0"/>
      <w:marTop w:val="0"/>
      <w:marBottom w:val="0"/>
      <w:divBdr>
        <w:top w:val="none" w:sz="0" w:space="0" w:color="auto"/>
        <w:left w:val="none" w:sz="0" w:space="0" w:color="auto"/>
        <w:bottom w:val="none" w:sz="0" w:space="0" w:color="auto"/>
        <w:right w:val="none" w:sz="0" w:space="0" w:color="auto"/>
      </w:divBdr>
    </w:div>
    <w:div w:id="1144539586">
      <w:bodyDiv w:val="1"/>
      <w:marLeft w:val="0"/>
      <w:marRight w:val="0"/>
      <w:marTop w:val="0"/>
      <w:marBottom w:val="0"/>
      <w:divBdr>
        <w:top w:val="none" w:sz="0" w:space="0" w:color="auto"/>
        <w:left w:val="none" w:sz="0" w:space="0" w:color="auto"/>
        <w:bottom w:val="none" w:sz="0" w:space="0" w:color="auto"/>
        <w:right w:val="none" w:sz="0" w:space="0" w:color="auto"/>
      </w:divBdr>
    </w:div>
    <w:div w:id="1148060749">
      <w:bodyDiv w:val="1"/>
      <w:marLeft w:val="0"/>
      <w:marRight w:val="0"/>
      <w:marTop w:val="0"/>
      <w:marBottom w:val="0"/>
      <w:divBdr>
        <w:top w:val="none" w:sz="0" w:space="0" w:color="auto"/>
        <w:left w:val="none" w:sz="0" w:space="0" w:color="auto"/>
        <w:bottom w:val="none" w:sz="0" w:space="0" w:color="auto"/>
        <w:right w:val="none" w:sz="0" w:space="0" w:color="auto"/>
      </w:divBdr>
    </w:div>
    <w:div w:id="1213496711">
      <w:bodyDiv w:val="1"/>
      <w:marLeft w:val="0"/>
      <w:marRight w:val="0"/>
      <w:marTop w:val="0"/>
      <w:marBottom w:val="0"/>
      <w:divBdr>
        <w:top w:val="none" w:sz="0" w:space="0" w:color="auto"/>
        <w:left w:val="none" w:sz="0" w:space="0" w:color="auto"/>
        <w:bottom w:val="none" w:sz="0" w:space="0" w:color="auto"/>
        <w:right w:val="none" w:sz="0" w:space="0" w:color="auto"/>
      </w:divBdr>
    </w:div>
    <w:div w:id="1220942688">
      <w:bodyDiv w:val="1"/>
      <w:marLeft w:val="0"/>
      <w:marRight w:val="0"/>
      <w:marTop w:val="0"/>
      <w:marBottom w:val="0"/>
      <w:divBdr>
        <w:top w:val="none" w:sz="0" w:space="0" w:color="auto"/>
        <w:left w:val="none" w:sz="0" w:space="0" w:color="auto"/>
        <w:bottom w:val="none" w:sz="0" w:space="0" w:color="auto"/>
        <w:right w:val="none" w:sz="0" w:space="0" w:color="auto"/>
      </w:divBdr>
    </w:div>
    <w:div w:id="1228956084">
      <w:bodyDiv w:val="1"/>
      <w:marLeft w:val="0"/>
      <w:marRight w:val="0"/>
      <w:marTop w:val="0"/>
      <w:marBottom w:val="0"/>
      <w:divBdr>
        <w:top w:val="none" w:sz="0" w:space="0" w:color="auto"/>
        <w:left w:val="none" w:sz="0" w:space="0" w:color="auto"/>
        <w:bottom w:val="none" w:sz="0" w:space="0" w:color="auto"/>
        <w:right w:val="none" w:sz="0" w:space="0" w:color="auto"/>
      </w:divBdr>
    </w:div>
    <w:div w:id="1240409640">
      <w:bodyDiv w:val="1"/>
      <w:marLeft w:val="0"/>
      <w:marRight w:val="0"/>
      <w:marTop w:val="0"/>
      <w:marBottom w:val="0"/>
      <w:divBdr>
        <w:top w:val="none" w:sz="0" w:space="0" w:color="auto"/>
        <w:left w:val="none" w:sz="0" w:space="0" w:color="auto"/>
        <w:bottom w:val="none" w:sz="0" w:space="0" w:color="auto"/>
        <w:right w:val="none" w:sz="0" w:space="0" w:color="auto"/>
      </w:divBdr>
    </w:div>
    <w:div w:id="1261596762">
      <w:bodyDiv w:val="1"/>
      <w:marLeft w:val="0"/>
      <w:marRight w:val="0"/>
      <w:marTop w:val="0"/>
      <w:marBottom w:val="0"/>
      <w:divBdr>
        <w:top w:val="none" w:sz="0" w:space="0" w:color="auto"/>
        <w:left w:val="none" w:sz="0" w:space="0" w:color="auto"/>
        <w:bottom w:val="none" w:sz="0" w:space="0" w:color="auto"/>
        <w:right w:val="none" w:sz="0" w:space="0" w:color="auto"/>
      </w:divBdr>
      <w:divsChild>
        <w:div w:id="1928999882">
          <w:marLeft w:val="0"/>
          <w:marRight w:val="0"/>
          <w:marTop w:val="0"/>
          <w:marBottom w:val="0"/>
          <w:divBdr>
            <w:top w:val="none" w:sz="0" w:space="0" w:color="auto"/>
            <w:left w:val="none" w:sz="0" w:space="0" w:color="auto"/>
            <w:bottom w:val="none" w:sz="0" w:space="0" w:color="auto"/>
            <w:right w:val="none" w:sz="0" w:space="0" w:color="auto"/>
          </w:divBdr>
        </w:div>
        <w:div w:id="1599018388">
          <w:marLeft w:val="0"/>
          <w:marRight w:val="0"/>
          <w:marTop w:val="0"/>
          <w:marBottom w:val="0"/>
          <w:divBdr>
            <w:top w:val="none" w:sz="0" w:space="0" w:color="auto"/>
            <w:left w:val="none" w:sz="0" w:space="0" w:color="auto"/>
            <w:bottom w:val="none" w:sz="0" w:space="0" w:color="auto"/>
            <w:right w:val="none" w:sz="0" w:space="0" w:color="auto"/>
          </w:divBdr>
        </w:div>
        <w:div w:id="1264418140">
          <w:marLeft w:val="0"/>
          <w:marRight w:val="0"/>
          <w:marTop w:val="0"/>
          <w:marBottom w:val="0"/>
          <w:divBdr>
            <w:top w:val="none" w:sz="0" w:space="0" w:color="auto"/>
            <w:left w:val="none" w:sz="0" w:space="0" w:color="auto"/>
            <w:bottom w:val="none" w:sz="0" w:space="0" w:color="auto"/>
            <w:right w:val="none" w:sz="0" w:space="0" w:color="auto"/>
          </w:divBdr>
        </w:div>
        <w:div w:id="1881628326">
          <w:marLeft w:val="0"/>
          <w:marRight w:val="0"/>
          <w:marTop w:val="0"/>
          <w:marBottom w:val="0"/>
          <w:divBdr>
            <w:top w:val="none" w:sz="0" w:space="0" w:color="auto"/>
            <w:left w:val="none" w:sz="0" w:space="0" w:color="auto"/>
            <w:bottom w:val="none" w:sz="0" w:space="0" w:color="auto"/>
            <w:right w:val="none" w:sz="0" w:space="0" w:color="auto"/>
          </w:divBdr>
        </w:div>
        <w:div w:id="593637581">
          <w:marLeft w:val="0"/>
          <w:marRight w:val="0"/>
          <w:marTop w:val="0"/>
          <w:marBottom w:val="0"/>
          <w:divBdr>
            <w:top w:val="none" w:sz="0" w:space="0" w:color="auto"/>
            <w:left w:val="none" w:sz="0" w:space="0" w:color="auto"/>
            <w:bottom w:val="none" w:sz="0" w:space="0" w:color="auto"/>
            <w:right w:val="none" w:sz="0" w:space="0" w:color="auto"/>
          </w:divBdr>
        </w:div>
      </w:divsChild>
    </w:div>
    <w:div w:id="1323661234">
      <w:bodyDiv w:val="1"/>
      <w:marLeft w:val="0"/>
      <w:marRight w:val="0"/>
      <w:marTop w:val="0"/>
      <w:marBottom w:val="0"/>
      <w:divBdr>
        <w:top w:val="none" w:sz="0" w:space="0" w:color="auto"/>
        <w:left w:val="none" w:sz="0" w:space="0" w:color="auto"/>
        <w:bottom w:val="none" w:sz="0" w:space="0" w:color="auto"/>
        <w:right w:val="none" w:sz="0" w:space="0" w:color="auto"/>
      </w:divBdr>
    </w:div>
    <w:div w:id="1392577439">
      <w:bodyDiv w:val="1"/>
      <w:marLeft w:val="0"/>
      <w:marRight w:val="0"/>
      <w:marTop w:val="0"/>
      <w:marBottom w:val="0"/>
      <w:divBdr>
        <w:top w:val="none" w:sz="0" w:space="0" w:color="auto"/>
        <w:left w:val="none" w:sz="0" w:space="0" w:color="auto"/>
        <w:bottom w:val="none" w:sz="0" w:space="0" w:color="auto"/>
        <w:right w:val="none" w:sz="0" w:space="0" w:color="auto"/>
      </w:divBdr>
    </w:div>
    <w:div w:id="1445465602">
      <w:bodyDiv w:val="1"/>
      <w:marLeft w:val="0"/>
      <w:marRight w:val="0"/>
      <w:marTop w:val="0"/>
      <w:marBottom w:val="0"/>
      <w:divBdr>
        <w:top w:val="none" w:sz="0" w:space="0" w:color="auto"/>
        <w:left w:val="none" w:sz="0" w:space="0" w:color="auto"/>
        <w:bottom w:val="none" w:sz="0" w:space="0" w:color="auto"/>
        <w:right w:val="none" w:sz="0" w:space="0" w:color="auto"/>
      </w:divBdr>
    </w:div>
    <w:div w:id="1481459969">
      <w:bodyDiv w:val="1"/>
      <w:marLeft w:val="0"/>
      <w:marRight w:val="0"/>
      <w:marTop w:val="0"/>
      <w:marBottom w:val="0"/>
      <w:divBdr>
        <w:top w:val="none" w:sz="0" w:space="0" w:color="auto"/>
        <w:left w:val="none" w:sz="0" w:space="0" w:color="auto"/>
        <w:bottom w:val="none" w:sz="0" w:space="0" w:color="auto"/>
        <w:right w:val="none" w:sz="0" w:space="0" w:color="auto"/>
      </w:divBdr>
    </w:div>
    <w:div w:id="1482842579">
      <w:bodyDiv w:val="1"/>
      <w:marLeft w:val="0"/>
      <w:marRight w:val="0"/>
      <w:marTop w:val="0"/>
      <w:marBottom w:val="0"/>
      <w:divBdr>
        <w:top w:val="none" w:sz="0" w:space="0" w:color="auto"/>
        <w:left w:val="none" w:sz="0" w:space="0" w:color="auto"/>
        <w:bottom w:val="none" w:sz="0" w:space="0" w:color="auto"/>
        <w:right w:val="none" w:sz="0" w:space="0" w:color="auto"/>
      </w:divBdr>
    </w:div>
    <w:div w:id="1495611285">
      <w:bodyDiv w:val="1"/>
      <w:marLeft w:val="0"/>
      <w:marRight w:val="0"/>
      <w:marTop w:val="0"/>
      <w:marBottom w:val="0"/>
      <w:divBdr>
        <w:top w:val="none" w:sz="0" w:space="0" w:color="auto"/>
        <w:left w:val="none" w:sz="0" w:space="0" w:color="auto"/>
        <w:bottom w:val="none" w:sz="0" w:space="0" w:color="auto"/>
        <w:right w:val="none" w:sz="0" w:space="0" w:color="auto"/>
      </w:divBdr>
    </w:div>
    <w:div w:id="1505196161">
      <w:bodyDiv w:val="1"/>
      <w:marLeft w:val="0"/>
      <w:marRight w:val="0"/>
      <w:marTop w:val="0"/>
      <w:marBottom w:val="0"/>
      <w:divBdr>
        <w:top w:val="none" w:sz="0" w:space="0" w:color="auto"/>
        <w:left w:val="none" w:sz="0" w:space="0" w:color="auto"/>
        <w:bottom w:val="none" w:sz="0" w:space="0" w:color="auto"/>
        <w:right w:val="none" w:sz="0" w:space="0" w:color="auto"/>
      </w:divBdr>
    </w:div>
    <w:div w:id="1554543140">
      <w:bodyDiv w:val="1"/>
      <w:marLeft w:val="0"/>
      <w:marRight w:val="0"/>
      <w:marTop w:val="0"/>
      <w:marBottom w:val="0"/>
      <w:divBdr>
        <w:top w:val="none" w:sz="0" w:space="0" w:color="auto"/>
        <w:left w:val="none" w:sz="0" w:space="0" w:color="auto"/>
        <w:bottom w:val="none" w:sz="0" w:space="0" w:color="auto"/>
        <w:right w:val="none" w:sz="0" w:space="0" w:color="auto"/>
      </w:divBdr>
    </w:div>
    <w:div w:id="1566336422">
      <w:bodyDiv w:val="1"/>
      <w:marLeft w:val="0"/>
      <w:marRight w:val="0"/>
      <w:marTop w:val="0"/>
      <w:marBottom w:val="0"/>
      <w:divBdr>
        <w:top w:val="none" w:sz="0" w:space="0" w:color="auto"/>
        <w:left w:val="none" w:sz="0" w:space="0" w:color="auto"/>
        <w:bottom w:val="none" w:sz="0" w:space="0" w:color="auto"/>
        <w:right w:val="none" w:sz="0" w:space="0" w:color="auto"/>
      </w:divBdr>
    </w:div>
    <w:div w:id="1584953086">
      <w:bodyDiv w:val="1"/>
      <w:marLeft w:val="0"/>
      <w:marRight w:val="0"/>
      <w:marTop w:val="0"/>
      <w:marBottom w:val="0"/>
      <w:divBdr>
        <w:top w:val="none" w:sz="0" w:space="0" w:color="auto"/>
        <w:left w:val="none" w:sz="0" w:space="0" w:color="auto"/>
        <w:bottom w:val="none" w:sz="0" w:space="0" w:color="auto"/>
        <w:right w:val="none" w:sz="0" w:space="0" w:color="auto"/>
      </w:divBdr>
    </w:div>
    <w:div w:id="1592737576">
      <w:bodyDiv w:val="1"/>
      <w:marLeft w:val="0"/>
      <w:marRight w:val="0"/>
      <w:marTop w:val="0"/>
      <w:marBottom w:val="0"/>
      <w:divBdr>
        <w:top w:val="none" w:sz="0" w:space="0" w:color="auto"/>
        <w:left w:val="none" w:sz="0" w:space="0" w:color="auto"/>
        <w:bottom w:val="none" w:sz="0" w:space="0" w:color="auto"/>
        <w:right w:val="none" w:sz="0" w:space="0" w:color="auto"/>
      </w:divBdr>
    </w:div>
    <w:div w:id="1636175976">
      <w:bodyDiv w:val="1"/>
      <w:marLeft w:val="0"/>
      <w:marRight w:val="0"/>
      <w:marTop w:val="0"/>
      <w:marBottom w:val="0"/>
      <w:divBdr>
        <w:top w:val="none" w:sz="0" w:space="0" w:color="auto"/>
        <w:left w:val="none" w:sz="0" w:space="0" w:color="auto"/>
        <w:bottom w:val="none" w:sz="0" w:space="0" w:color="auto"/>
        <w:right w:val="none" w:sz="0" w:space="0" w:color="auto"/>
      </w:divBdr>
    </w:div>
    <w:div w:id="1640840132">
      <w:bodyDiv w:val="1"/>
      <w:marLeft w:val="0"/>
      <w:marRight w:val="0"/>
      <w:marTop w:val="0"/>
      <w:marBottom w:val="0"/>
      <w:divBdr>
        <w:top w:val="none" w:sz="0" w:space="0" w:color="auto"/>
        <w:left w:val="none" w:sz="0" w:space="0" w:color="auto"/>
        <w:bottom w:val="none" w:sz="0" w:space="0" w:color="auto"/>
        <w:right w:val="none" w:sz="0" w:space="0" w:color="auto"/>
      </w:divBdr>
    </w:div>
    <w:div w:id="1657343321">
      <w:bodyDiv w:val="1"/>
      <w:marLeft w:val="0"/>
      <w:marRight w:val="0"/>
      <w:marTop w:val="0"/>
      <w:marBottom w:val="0"/>
      <w:divBdr>
        <w:top w:val="none" w:sz="0" w:space="0" w:color="auto"/>
        <w:left w:val="none" w:sz="0" w:space="0" w:color="auto"/>
        <w:bottom w:val="none" w:sz="0" w:space="0" w:color="auto"/>
        <w:right w:val="none" w:sz="0" w:space="0" w:color="auto"/>
      </w:divBdr>
    </w:div>
    <w:div w:id="1679193600">
      <w:bodyDiv w:val="1"/>
      <w:marLeft w:val="0"/>
      <w:marRight w:val="0"/>
      <w:marTop w:val="0"/>
      <w:marBottom w:val="0"/>
      <w:divBdr>
        <w:top w:val="none" w:sz="0" w:space="0" w:color="auto"/>
        <w:left w:val="none" w:sz="0" w:space="0" w:color="auto"/>
        <w:bottom w:val="none" w:sz="0" w:space="0" w:color="auto"/>
        <w:right w:val="none" w:sz="0" w:space="0" w:color="auto"/>
      </w:divBdr>
    </w:div>
    <w:div w:id="1714111849">
      <w:bodyDiv w:val="1"/>
      <w:marLeft w:val="0"/>
      <w:marRight w:val="0"/>
      <w:marTop w:val="0"/>
      <w:marBottom w:val="0"/>
      <w:divBdr>
        <w:top w:val="none" w:sz="0" w:space="0" w:color="auto"/>
        <w:left w:val="none" w:sz="0" w:space="0" w:color="auto"/>
        <w:bottom w:val="none" w:sz="0" w:space="0" w:color="auto"/>
        <w:right w:val="none" w:sz="0" w:space="0" w:color="auto"/>
      </w:divBdr>
    </w:div>
    <w:div w:id="1733118638">
      <w:bodyDiv w:val="1"/>
      <w:marLeft w:val="0"/>
      <w:marRight w:val="0"/>
      <w:marTop w:val="0"/>
      <w:marBottom w:val="0"/>
      <w:divBdr>
        <w:top w:val="none" w:sz="0" w:space="0" w:color="auto"/>
        <w:left w:val="none" w:sz="0" w:space="0" w:color="auto"/>
        <w:bottom w:val="none" w:sz="0" w:space="0" w:color="auto"/>
        <w:right w:val="none" w:sz="0" w:space="0" w:color="auto"/>
      </w:divBdr>
    </w:div>
    <w:div w:id="1743066679">
      <w:bodyDiv w:val="1"/>
      <w:marLeft w:val="0"/>
      <w:marRight w:val="0"/>
      <w:marTop w:val="0"/>
      <w:marBottom w:val="0"/>
      <w:divBdr>
        <w:top w:val="none" w:sz="0" w:space="0" w:color="auto"/>
        <w:left w:val="none" w:sz="0" w:space="0" w:color="auto"/>
        <w:bottom w:val="none" w:sz="0" w:space="0" w:color="auto"/>
        <w:right w:val="none" w:sz="0" w:space="0" w:color="auto"/>
      </w:divBdr>
    </w:div>
    <w:div w:id="1767074535">
      <w:bodyDiv w:val="1"/>
      <w:marLeft w:val="0"/>
      <w:marRight w:val="0"/>
      <w:marTop w:val="0"/>
      <w:marBottom w:val="0"/>
      <w:divBdr>
        <w:top w:val="none" w:sz="0" w:space="0" w:color="auto"/>
        <w:left w:val="none" w:sz="0" w:space="0" w:color="auto"/>
        <w:bottom w:val="none" w:sz="0" w:space="0" w:color="auto"/>
        <w:right w:val="none" w:sz="0" w:space="0" w:color="auto"/>
      </w:divBdr>
    </w:div>
    <w:div w:id="1812166483">
      <w:bodyDiv w:val="1"/>
      <w:marLeft w:val="0"/>
      <w:marRight w:val="0"/>
      <w:marTop w:val="0"/>
      <w:marBottom w:val="0"/>
      <w:divBdr>
        <w:top w:val="none" w:sz="0" w:space="0" w:color="auto"/>
        <w:left w:val="none" w:sz="0" w:space="0" w:color="auto"/>
        <w:bottom w:val="none" w:sz="0" w:space="0" w:color="auto"/>
        <w:right w:val="none" w:sz="0" w:space="0" w:color="auto"/>
      </w:divBdr>
    </w:div>
    <w:div w:id="1834561843">
      <w:bodyDiv w:val="1"/>
      <w:marLeft w:val="0"/>
      <w:marRight w:val="0"/>
      <w:marTop w:val="0"/>
      <w:marBottom w:val="0"/>
      <w:divBdr>
        <w:top w:val="none" w:sz="0" w:space="0" w:color="auto"/>
        <w:left w:val="none" w:sz="0" w:space="0" w:color="auto"/>
        <w:bottom w:val="none" w:sz="0" w:space="0" w:color="auto"/>
        <w:right w:val="none" w:sz="0" w:space="0" w:color="auto"/>
      </w:divBdr>
    </w:div>
    <w:div w:id="1865823000">
      <w:bodyDiv w:val="1"/>
      <w:marLeft w:val="0"/>
      <w:marRight w:val="0"/>
      <w:marTop w:val="0"/>
      <w:marBottom w:val="0"/>
      <w:divBdr>
        <w:top w:val="none" w:sz="0" w:space="0" w:color="auto"/>
        <w:left w:val="none" w:sz="0" w:space="0" w:color="auto"/>
        <w:bottom w:val="none" w:sz="0" w:space="0" w:color="auto"/>
        <w:right w:val="none" w:sz="0" w:space="0" w:color="auto"/>
      </w:divBdr>
    </w:div>
    <w:div w:id="1894462370">
      <w:bodyDiv w:val="1"/>
      <w:marLeft w:val="0"/>
      <w:marRight w:val="0"/>
      <w:marTop w:val="0"/>
      <w:marBottom w:val="0"/>
      <w:divBdr>
        <w:top w:val="none" w:sz="0" w:space="0" w:color="auto"/>
        <w:left w:val="none" w:sz="0" w:space="0" w:color="auto"/>
        <w:bottom w:val="none" w:sz="0" w:space="0" w:color="auto"/>
        <w:right w:val="none" w:sz="0" w:space="0" w:color="auto"/>
      </w:divBdr>
    </w:div>
    <w:div w:id="1899582841">
      <w:bodyDiv w:val="1"/>
      <w:marLeft w:val="0"/>
      <w:marRight w:val="0"/>
      <w:marTop w:val="0"/>
      <w:marBottom w:val="0"/>
      <w:divBdr>
        <w:top w:val="none" w:sz="0" w:space="0" w:color="auto"/>
        <w:left w:val="none" w:sz="0" w:space="0" w:color="auto"/>
        <w:bottom w:val="none" w:sz="0" w:space="0" w:color="auto"/>
        <w:right w:val="none" w:sz="0" w:space="0" w:color="auto"/>
      </w:divBdr>
    </w:div>
    <w:div w:id="1924994013">
      <w:bodyDiv w:val="1"/>
      <w:marLeft w:val="0"/>
      <w:marRight w:val="0"/>
      <w:marTop w:val="0"/>
      <w:marBottom w:val="0"/>
      <w:divBdr>
        <w:top w:val="none" w:sz="0" w:space="0" w:color="auto"/>
        <w:left w:val="none" w:sz="0" w:space="0" w:color="auto"/>
        <w:bottom w:val="none" w:sz="0" w:space="0" w:color="auto"/>
        <w:right w:val="none" w:sz="0" w:space="0" w:color="auto"/>
      </w:divBdr>
    </w:div>
    <w:div w:id="1930235271">
      <w:bodyDiv w:val="1"/>
      <w:marLeft w:val="0"/>
      <w:marRight w:val="0"/>
      <w:marTop w:val="0"/>
      <w:marBottom w:val="0"/>
      <w:divBdr>
        <w:top w:val="none" w:sz="0" w:space="0" w:color="auto"/>
        <w:left w:val="none" w:sz="0" w:space="0" w:color="auto"/>
        <w:bottom w:val="none" w:sz="0" w:space="0" w:color="auto"/>
        <w:right w:val="none" w:sz="0" w:space="0" w:color="auto"/>
      </w:divBdr>
    </w:div>
    <w:div w:id="1945916040">
      <w:bodyDiv w:val="1"/>
      <w:marLeft w:val="0"/>
      <w:marRight w:val="0"/>
      <w:marTop w:val="0"/>
      <w:marBottom w:val="0"/>
      <w:divBdr>
        <w:top w:val="none" w:sz="0" w:space="0" w:color="auto"/>
        <w:left w:val="none" w:sz="0" w:space="0" w:color="auto"/>
        <w:bottom w:val="none" w:sz="0" w:space="0" w:color="auto"/>
        <w:right w:val="none" w:sz="0" w:space="0" w:color="auto"/>
      </w:divBdr>
    </w:div>
    <w:div w:id="2008440635">
      <w:bodyDiv w:val="1"/>
      <w:marLeft w:val="0"/>
      <w:marRight w:val="0"/>
      <w:marTop w:val="0"/>
      <w:marBottom w:val="0"/>
      <w:divBdr>
        <w:top w:val="none" w:sz="0" w:space="0" w:color="auto"/>
        <w:left w:val="none" w:sz="0" w:space="0" w:color="auto"/>
        <w:bottom w:val="none" w:sz="0" w:space="0" w:color="auto"/>
        <w:right w:val="none" w:sz="0" w:space="0" w:color="auto"/>
      </w:divBdr>
    </w:div>
    <w:div w:id="2024087599">
      <w:bodyDiv w:val="1"/>
      <w:marLeft w:val="0"/>
      <w:marRight w:val="0"/>
      <w:marTop w:val="0"/>
      <w:marBottom w:val="0"/>
      <w:divBdr>
        <w:top w:val="none" w:sz="0" w:space="0" w:color="auto"/>
        <w:left w:val="none" w:sz="0" w:space="0" w:color="auto"/>
        <w:bottom w:val="none" w:sz="0" w:space="0" w:color="auto"/>
        <w:right w:val="none" w:sz="0" w:space="0" w:color="auto"/>
      </w:divBdr>
    </w:div>
    <w:div w:id="2059081738">
      <w:bodyDiv w:val="1"/>
      <w:marLeft w:val="0"/>
      <w:marRight w:val="0"/>
      <w:marTop w:val="0"/>
      <w:marBottom w:val="0"/>
      <w:divBdr>
        <w:top w:val="none" w:sz="0" w:space="0" w:color="auto"/>
        <w:left w:val="none" w:sz="0" w:space="0" w:color="auto"/>
        <w:bottom w:val="none" w:sz="0" w:space="0" w:color="auto"/>
        <w:right w:val="none" w:sz="0" w:space="0" w:color="auto"/>
      </w:divBdr>
    </w:div>
    <w:div w:id="2082435930">
      <w:bodyDiv w:val="1"/>
      <w:marLeft w:val="0"/>
      <w:marRight w:val="0"/>
      <w:marTop w:val="0"/>
      <w:marBottom w:val="0"/>
      <w:divBdr>
        <w:top w:val="none" w:sz="0" w:space="0" w:color="auto"/>
        <w:left w:val="none" w:sz="0" w:space="0" w:color="auto"/>
        <w:bottom w:val="none" w:sz="0" w:space="0" w:color="auto"/>
        <w:right w:val="none" w:sz="0" w:space="0" w:color="auto"/>
      </w:divBdr>
    </w:div>
    <w:div w:id="2101364057">
      <w:bodyDiv w:val="1"/>
      <w:marLeft w:val="0"/>
      <w:marRight w:val="0"/>
      <w:marTop w:val="0"/>
      <w:marBottom w:val="0"/>
      <w:divBdr>
        <w:top w:val="none" w:sz="0" w:space="0" w:color="auto"/>
        <w:left w:val="none" w:sz="0" w:space="0" w:color="auto"/>
        <w:bottom w:val="none" w:sz="0" w:space="0" w:color="auto"/>
        <w:right w:val="none" w:sz="0" w:space="0" w:color="auto"/>
      </w:divBdr>
    </w:div>
    <w:div w:id="21301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image" Target="media/image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pkc.gov.lv/upload/Psihiska_veseliba_faili/tz_pvl_2016_final.pdf" TargetMode="External"/><Relationship Id="rId3" Type="http://schemas.openxmlformats.org/officeDocument/2006/relationships/hyperlink" Target="http://www.who.int/news-room/fact-sheets/detail/mental-health-strengthening-our-response" TargetMode="External"/><Relationship Id="rId7" Type="http://schemas.openxmlformats.org/officeDocument/2006/relationships/hyperlink" Target="https://www.spkc.gov.lv/upload/Psihiska_veseliba_faili/tz_pvl_2016_final.pdf" TargetMode="External"/><Relationship Id="rId2" Type="http://schemas.openxmlformats.org/officeDocument/2006/relationships/hyperlink" Target="http://balthiv.com/noderiga-informacija/vadlinijas-rekomendacijas" TargetMode="External"/><Relationship Id="rId1" Type="http://schemas.openxmlformats.org/officeDocument/2006/relationships/hyperlink" Target="http://dx.doi.org/10.1371/journal.pmed.1000422" TargetMode="External"/><Relationship Id="rId6" Type="http://schemas.openxmlformats.org/officeDocument/2006/relationships/hyperlink" Target="https://www.spkc.gov.lv/upload/Psihiska_veseliba_faili/tz_pvl_2016_final.pdf" TargetMode="External"/><Relationship Id="rId5" Type="http://schemas.openxmlformats.org/officeDocument/2006/relationships/hyperlink" Target="https://www.spkc.gov.lv/upload/Psihiska_veseliba_faili/tz_pvl_2016_final.pdf" TargetMode="External"/><Relationship Id="rId4" Type="http://schemas.openxmlformats.org/officeDocument/2006/relationships/hyperlink" Target="http://www.arstubiedriba.lv/images/12_ieteikumi_web.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ristine.sica\Desktop\21.11\Psihiska_veseliba_LV_2015_GALA_pilns_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ina.Dimina\Documents\v&#275;jbakas\Copy%20of%20Vejbakas_apreki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ina.Dimina\Documents\v&#275;jbakas\Copy%20of%20Vejbakas_apreki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ina.Dimina\Documents\v&#275;jbakas\Copy%20of%20Vejbakas_aprekin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aili.stat.ciems.visiem\DEPART$\Veselibas%20veicinasanas%20nodala\PSIHISK&#256;S_V_V_NODA&#315;A\Tematiskie%20zi&#326;ojumi%20-%20Psihisk&#257;%20vesel&#299;ba%20Latvij&#257;\Zi&#326;ojums_2016\Psihisk&#257;%20vesel&#299;ba%20Latvij&#257;%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tons\Desktop\New%20folder_20_11\Psihiska_veseliba_LV_2015_GALA_pilns_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tons\Desktop\New%20folder_20_11\Psihiska_veseliba_LV_2015_GALA_pilns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c:f>
              <c:strCache>
                <c:ptCount val="1"/>
                <c:pt idx="0">
                  <c:v>Jauno HIV gadījumu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Sheet1!$B$5:$B$9</c:f>
              <c:numCache>
                <c:formatCode>General</c:formatCode>
                <c:ptCount val="5"/>
                <c:pt idx="0">
                  <c:v>2013</c:v>
                </c:pt>
                <c:pt idx="1">
                  <c:v>2014</c:v>
                </c:pt>
                <c:pt idx="2">
                  <c:v>2015</c:v>
                </c:pt>
                <c:pt idx="3">
                  <c:v>2016</c:v>
                </c:pt>
                <c:pt idx="4">
                  <c:v>2017</c:v>
                </c:pt>
              </c:numCache>
            </c:numRef>
          </c:cat>
          <c:val>
            <c:numRef>
              <c:f>Sheet1!$C$5:$C$9</c:f>
              <c:numCache>
                <c:formatCode>General</c:formatCode>
                <c:ptCount val="5"/>
                <c:pt idx="0">
                  <c:v>340</c:v>
                </c:pt>
                <c:pt idx="1">
                  <c:v>347</c:v>
                </c:pt>
                <c:pt idx="2">
                  <c:v>393</c:v>
                </c:pt>
                <c:pt idx="3">
                  <c:v>365</c:v>
                </c:pt>
                <c:pt idx="4">
                  <c:v>371</c:v>
                </c:pt>
              </c:numCache>
            </c:numRef>
          </c:val>
          <c:extLst>
            <c:ext xmlns:c16="http://schemas.microsoft.com/office/drawing/2014/chart" uri="{C3380CC4-5D6E-409C-BE32-E72D297353CC}">
              <c16:uniqueId val="{00000000-EE16-41D4-9D6A-275095A5DDB7}"/>
            </c:ext>
          </c:extLst>
        </c:ser>
        <c:ser>
          <c:idx val="1"/>
          <c:order val="1"/>
          <c:tx>
            <c:strRef>
              <c:f>Sheet1!$D$4</c:f>
              <c:strCache>
                <c:ptCount val="1"/>
                <c:pt idx="0">
                  <c:v>Jaunie AIDS  gadījumi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Sheet1!$B$5:$B$9</c:f>
              <c:numCache>
                <c:formatCode>General</c:formatCode>
                <c:ptCount val="5"/>
                <c:pt idx="0">
                  <c:v>2013</c:v>
                </c:pt>
                <c:pt idx="1">
                  <c:v>2014</c:v>
                </c:pt>
                <c:pt idx="2">
                  <c:v>2015</c:v>
                </c:pt>
                <c:pt idx="3">
                  <c:v>2016</c:v>
                </c:pt>
                <c:pt idx="4">
                  <c:v>2017</c:v>
                </c:pt>
              </c:numCache>
            </c:numRef>
          </c:cat>
          <c:val>
            <c:numRef>
              <c:f>Sheet1!$D$5:$D$9</c:f>
              <c:numCache>
                <c:formatCode>General</c:formatCode>
                <c:ptCount val="5"/>
                <c:pt idx="0">
                  <c:v>141</c:v>
                </c:pt>
                <c:pt idx="1">
                  <c:v>176</c:v>
                </c:pt>
                <c:pt idx="2">
                  <c:v>133</c:v>
                </c:pt>
                <c:pt idx="3">
                  <c:v>103</c:v>
                </c:pt>
                <c:pt idx="4">
                  <c:v>118</c:v>
                </c:pt>
              </c:numCache>
            </c:numRef>
          </c:val>
          <c:extLst>
            <c:ext xmlns:c16="http://schemas.microsoft.com/office/drawing/2014/chart" uri="{C3380CC4-5D6E-409C-BE32-E72D297353CC}">
              <c16:uniqueId val="{00000001-EE16-41D4-9D6A-275095A5DDB7}"/>
            </c:ext>
          </c:extLst>
        </c:ser>
        <c:ser>
          <c:idx val="2"/>
          <c:order val="2"/>
          <c:tx>
            <c:strRef>
              <c:f>Sheet1!$E$4</c:f>
              <c:strCache>
                <c:ptCount val="1"/>
                <c:pt idx="0">
                  <c:v>Nāves gadījumi AIDS stadijā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Sheet1!$B$5:$B$9</c:f>
              <c:numCache>
                <c:formatCode>General</c:formatCode>
                <c:ptCount val="5"/>
                <c:pt idx="0">
                  <c:v>2013</c:v>
                </c:pt>
                <c:pt idx="1">
                  <c:v>2014</c:v>
                </c:pt>
                <c:pt idx="2">
                  <c:v>2015</c:v>
                </c:pt>
                <c:pt idx="3">
                  <c:v>2016</c:v>
                </c:pt>
                <c:pt idx="4">
                  <c:v>2017</c:v>
                </c:pt>
              </c:numCache>
            </c:numRef>
          </c:cat>
          <c:val>
            <c:numRef>
              <c:f>Sheet1!$E$5:$E$9</c:f>
              <c:numCache>
                <c:formatCode>General</c:formatCode>
                <c:ptCount val="5"/>
                <c:pt idx="0">
                  <c:v>109</c:v>
                </c:pt>
                <c:pt idx="1">
                  <c:v>107</c:v>
                </c:pt>
                <c:pt idx="2">
                  <c:v>100</c:v>
                </c:pt>
                <c:pt idx="3">
                  <c:v>76</c:v>
                </c:pt>
                <c:pt idx="4">
                  <c:v>100</c:v>
                </c:pt>
              </c:numCache>
            </c:numRef>
          </c:val>
          <c:extLst>
            <c:ext xmlns:c16="http://schemas.microsoft.com/office/drawing/2014/chart" uri="{C3380CC4-5D6E-409C-BE32-E72D297353CC}">
              <c16:uniqueId val="{00000002-EE16-41D4-9D6A-275095A5DDB7}"/>
            </c:ext>
          </c:extLst>
        </c:ser>
        <c:dLbls>
          <c:showLegendKey val="0"/>
          <c:showVal val="0"/>
          <c:showCatName val="0"/>
          <c:showSerName val="0"/>
          <c:showPercent val="0"/>
          <c:showBubbleSize val="0"/>
        </c:dLbls>
        <c:gapWidth val="219"/>
        <c:overlap val="-27"/>
        <c:axId val="424934264"/>
        <c:axId val="424930984"/>
      </c:barChart>
      <c:catAx>
        <c:axId val="42493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4930984"/>
        <c:crosses val="autoZero"/>
        <c:auto val="1"/>
        <c:lblAlgn val="ctr"/>
        <c:lblOffset val="100"/>
        <c:noMultiLvlLbl val="0"/>
      </c:catAx>
      <c:valAx>
        <c:axId val="42493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4934264"/>
        <c:crosses val="autoZero"/>
        <c:crossBetween val="between"/>
      </c:valAx>
      <c:spPr>
        <a:noFill/>
        <a:ln>
          <a:noFill/>
        </a:ln>
        <a:effectLst/>
      </c:spPr>
    </c:plotArea>
    <c:legend>
      <c:legendPos val="b"/>
      <c:layout>
        <c:manualLayout>
          <c:xMode val="edge"/>
          <c:yMode val="edge"/>
          <c:x val="2.3340207474065743E-2"/>
          <c:y val="0.80827840230143522"/>
          <c:w val="0.95067408240636586"/>
          <c:h val="0.16339967180760417"/>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0"/>
    <c:plotArea>
      <c:layout/>
      <c:barChart>
        <c:barDir val="bar"/>
        <c:grouping val="clustered"/>
        <c:varyColors val="0"/>
        <c:ser>
          <c:idx val="2"/>
          <c:order val="0"/>
          <c:tx>
            <c:strRef>
              <c:f>Invaliditāte!$G$23</c:f>
              <c:strCache>
                <c:ptCount val="1"/>
                <c:pt idx="0">
                  <c:v>2016.</c:v>
                </c:pt>
              </c:strCache>
            </c:strRef>
          </c:tx>
          <c:spPr>
            <a:solidFill>
              <a:schemeClr val="accent6">
                <a:lumMod val="50000"/>
              </a:schemeClr>
            </a:solidFill>
          </c:spPr>
          <c:invertIfNegative val="0"/>
          <c:dLbls>
            <c:dLbl>
              <c:idx val="1"/>
              <c:tx>
                <c:rich>
                  <a:bodyPr/>
                  <a:lstStyle/>
                  <a:p>
                    <a:r>
                      <a:rPr lang="en-US"/>
                      <a:t>8,9%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68-4A9A-A559-3DF4B8947802}"/>
                </c:ext>
              </c:extLst>
            </c:dLbl>
            <c:dLbl>
              <c:idx val="2"/>
              <c:tx>
                <c:rich>
                  <a:bodyPr/>
                  <a:lstStyle/>
                  <a:p>
                    <a:r>
                      <a:rPr lang="en-US"/>
                      <a:t>12,1%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68-4A9A-A559-3DF4B8947802}"/>
                </c:ext>
              </c:extLst>
            </c:dLbl>
            <c:dLbl>
              <c:idx val="3"/>
              <c:tx>
                <c:rich>
                  <a:bodyPr/>
                  <a:lstStyle/>
                  <a:p>
                    <a:r>
                      <a:rPr lang="en-US"/>
                      <a:t>20,2%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68-4A9A-A559-3DF4B8947802}"/>
                </c:ext>
              </c:extLst>
            </c:dLbl>
            <c:dLbl>
              <c:idx val="4"/>
              <c:tx>
                <c:rich>
                  <a:bodyPr/>
                  <a:lstStyle/>
                  <a:p>
                    <a:r>
                      <a:rPr lang="en-US"/>
                      <a:t>23,6%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68-4A9A-A559-3DF4B8947802}"/>
                </c:ext>
              </c:extLst>
            </c:dLbl>
            <c:dLbl>
              <c:idx val="5"/>
              <c:tx>
                <c:rich>
                  <a:bodyPr/>
                  <a:lstStyle/>
                  <a:p>
                    <a:r>
                      <a:rPr lang="en-US"/>
                      <a:t>27,0%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68-4A9A-A559-3DF4B8947802}"/>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Invaliditāte!$A$24:$A$29</c:f>
              <c:strCache>
                <c:ptCount val="6"/>
                <c:pt idx="0">
                  <c:v>Endokrīnās, uztura un vielmaiņas slimības</c:v>
                </c:pt>
                <c:pt idx="1">
                  <c:v>Muskuļu, skeleta un saistaudu slimības</c:v>
                </c:pt>
                <c:pt idx="2">
                  <c:v>Nervu sistēmas slimības</c:v>
                </c:pt>
                <c:pt idx="3">
                  <c:v>Iedzimtas kroplības, deformācijas un anomālijas</c:v>
                </c:pt>
                <c:pt idx="4">
                  <c:v>Citi</c:v>
                </c:pt>
                <c:pt idx="5">
                  <c:v>Psihiski un uzvedības traucējumi</c:v>
                </c:pt>
              </c:strCache>
            </c:strRef>
          </c:cat>
          <c:val>
            <c:numRef>
              <c:f>Invaliditāte!$G$24:$G$29</c:f>
              <c:numCache>
                <c:formatCode>0.00%</c:formatCode>
                <c:ptCount val="6"/>
                <c:pt idx="0" formatCode="0.0%">
                  <c:v>8.2000000000000003E-2</c:v>
                </c:pt>
                <c:pt idx="1">
                  <c:v>8.8999999999999996E-2</c:v>
                </c:pt>
                <c:pt idx="2">
                  <c:v>0.121</c:v>
                </c:pt>
                <c:pt idx="3">
                  <c:v>0.20200000000000001</c:v>
                </c:pt>
                <c:pt idx="4">
                  <c:v>0.23599999999999999</c:v>
                </c:pt>
                <c:pt idx="5" formatCode="0%">
                  <c:v>0.27</c:v>
                </c:pt>
              </c:numCache>
            </c:numRef>
          </c:val>
          <c:extLst>
            <c:ext xmlns:c16="http://schemas.microsoft.com/office/drawing/2014/chart" uri="{C3380CC4-5D6E-409C-BE32-E72D297353CC}">
              <c16:uniqueId val="{00000005-4F68-4A9A-A559-3DF4B8947802}"/>
            </c:ext>
          </c:extLst>
        </c:ser>
        <c:ser>
          <c:idx val="0"/>
          <c:order val="1"/>
          <c:tx>
            <c:strRef>
              <c:f>Invaliditāte!$B$23</c:f>
              <c:strCache>
                <c:ptCount val="1"/>
                <c:pt idx="0">
                  <c:v>2015.</c:v>
                </c:pt>
              </c:strCache>
            </c:strRef>
          </c:tx>
          <c:spPr>
            <a:solidFill>
              <a:schemeClr val="accent6">
                <a:lumMod val="75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Invaliditāte!$A$24:$A$29</c:f>
              <c:strCache>
                <c:ptCount val="6"/>
                <c:pt idx="0">
                  <c:v>Endokrīnās, uztura un vielmaiņas slimības</c:v>
                </c:pt>
                <c:pt idx="1">
                  <c:v>Muskuļu, skeleta un saistaudu slimības</c:v>
                </c:pt>
                <c:pt idx="2">
                  <c:v>Nervu sistēmas slimības</c:v>
                </c:pt>
                <c:pt idx="3">
                  <c:v>Iedzimtas kroplības, deformācijas un anomālijas</c:v>
                </c:pt>
                <c:pt idx="4">
                  <c:v>Citi</c:v>
                </c:pt>
                <c:pt idx="5">
                  <c:v>Psihiski un uzvedības traucējumi</c:v>
                </c:pt>
              </c:strCache>
            </c:strRef>
          </c:cat>
          <c:val>
            <c:numRef>
              <c:f>Invaliditāte!$B$24:$B$29</c:f>
              <c:numCache>
                <c:formatCode>0.0%</c:formatCode>
                <c:ptCount val="6"/>
                <c:pt idx="0">
                  <c:v>0.1</c:v>
                </c:pt>
                <c:pt idx="1">
                  <c:v>0.124</c:v>
                </c:pt>
                <c:pt idx="2">
                  <c:v>0.107</c:v>
                </c:pt>
                <c:pt idx="3">
                  <c:v>0.21</c:v>
                </c:pt>
                <c:pt idx="4">
                  <c:v>0.20300000000000001</c:v>
                </c:pt>
                <c:pt idx="5">
                  <c:v>0.25600000000000001</c:v>
                </c:pt>
              </c:numCache>
            </c:numRef>
          </c:val>
          <c:extLst>
            <c:ext xmlns:c16="http://schemas.microsoft.com/office/drawing/2014/chart" uri="{C3380CC4-5D6E-409C-BE32-E72D297353CC}">
              <c16:uniqueId val="{00000006-4F68-4A9A-A559-3DF4B8947802}"/>
            </c:ext>
          </c:extLst>
        </c:ser>
        <c:ser>
          <c:idx val="1"/>
          <c:order val="2"/>
          <c:tx>
            <c:strRef>
              <c:f>Invaliditāte!$C$23</c:f>
              <c:strCache>
                <c:ptCount val="1"/>
                <c:pt idx="0">
                  <c:v>2014.</c:v>
                </c:pt>
              </c:strCache>
            </c:strRef>
          </c:tx>
          <c:spPr>
            <a:solidFill>
              <a:schemeClr val="accent6">
                <a:lumMod val="60000"/>
                <a:lumOff val="4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Invaliditāte!$A$24:$A$29</c:f>
              <c:strCache>
                <c:ptCount val="6"/>
                <c:pt idx="0">
                  <c:v>Endokrīnās, uztura un vielmaiņas slimības</c:v>
                </c:pt>
                <c:pt idx="1">
                  <c:v>Muskuļu, skeleta un saistaudu slimības</c:v>
                </c:pt>
                <c:pt idx="2">
                  <c:v>Nervu sistēmas slimības</c:v>
                </c:pt>
                <c:pt idx="3">
                  <c:v>Iedzimtas kroplības, deformācijas un anomālijas</c:v>
                </c:pt>
                <c:pt idx="4">
                  <c:v>Citi</c:v>
                </c:pt>
                <c:pt idx="5">
                  <c:v>Psihiski un uzvedības traucējumi</c:v>
                </c:pt>
              </c:strCache>
            </c:strRef>
          </c:cat>
          <c:val>
            <c:numRef>
              <c:f>Invaliditāte!$C$24:$C$29</c:f>
              <c:numCache>
                <c:formatCode>0.0%</c:formatCode>
                <c:ptCount val="6"/>
                <c:pt idx="0">
                  <c:v>0.09</c:v>
                </c:pt>
                <c:pt idx="1">
                  <c:v>0.14799999999999999</c:v>
                </c:pt>
                <c:pt idx="2">
                  <c:v>0.11700000000000001</c:v>
                </c:pt>
                <c:pt idx="3">
                  <c:v>0.184</c:v>
                </c:pt>
                <c:pt idx="4">
                  <c:v>0.24299999999999999</c:v>
                </c:pt>
                <c:pt idx="5">
                  <c:v>0.218</c:v>
                </c:pt>
              </c:numCache>
            </c:numRef>
          </c:val>
          <c:extLst>
            <c:ext xmlns:c16="http://schemas.microsoft.com/office/drawing/2014/chart" uri="{C3380CC4-5D6E-409C-BE32-E72D297353CC}">
              <c16:uniqueId val="{00000007-4F68-4A9A-A559-3DF4B8947802}"/>
            </c:ext>
          </c:extLst>
        </c:ser>
        <c:dLbls>
          <c:showLegendKey val="0"/>
          <c:showVal val="0"/>
          <c:showCatName val="0"/>
          <c:showSerName val="0"/>
          <c:showPercent val="0"/>
          <c:showBubbleSize val="0"/>
        </c:dLbls>
        <c:gapWidth val="150"/>
        <c:axId val="113875584"/>
        <c:axId val="113934720"/>
      </c:barChart>
      <c:catAx>
        <c:axId val="113875584"/>
        <c:scaling>
          <c:orientation val="minMax"/>
        </c:scaling>
        <c:delete val="0"/>
        <c:axPos val="l"/>
        <c:numFmt formatCode="General" sourceLinked="0"/>
        <c:majorTickMark val="out"/>
        <c:minorTickMark val="none"/>
        <c:tickLblPos val="nextTo"/>
        <c:crossAx val="113934720"/>
        <c:crossesAt val="0"/>
        <c:auto val="1"/>
        <c:lblAlgn val="ctr"/>
        <c:lblOffset val="100"/>
        <c:noMultiLvlLbl val="0"/>
      </c:catAx>
      <c:valAx>
        <c:axId val="113934720"/>
        <c:scaling>
          <c:orientation val="minMax"/>
          <c:max val="0.3"/>
          <c:min val="0"/>
        </c:scaling>
        <c:delete val="0"/>
        <c:axPos val="b"/>
        <c:majorGridlines/>
        <c:numFmt formatCode="0%" sourceLinked="0"/>
        <c:majorTickMark val="out"/>
        <c:minorTickMark val="none"/>
        <c:tickLblPos val="nextTo"/>
        <c:crossAx val="113875584"/>
        <c:crosses val="autoZero"/>
        <c:crossBetween val="between"/>
        <c:majorUnit val="0.05"/>
        <c:minorUnit val="0.01"/>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Sheet1!$C$17</c:f>
              <c:strCache>
                <c:ptCount val="1"/>
                <c:pt idx="0">
                  <c:v>ART saņēmušo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Sheet1!$B$18:$B$22</c:f>
              <c:numCache>
                <c:formatCode>General</c:formatCode>
                <c:ptCount val="5"/>
                <c:pt idx="0">
                  <c:v>2013</c:v>
                </c:pt>
                <c:pt idx="1">
                  <c:v>2014</c:v>
                </c:pt>
                <c:pt idx="2">
                  <c:v>2015</c:v>
                </c:pt>
                <c:pt idx="3">
                  <c:v>2016</c:v>
                </c:pt>
                <c:pt idx="4">
                  <c:v>2017</c:v>
                </c:pt>
              </c:numCache>
            </c:numRef>
          </c:cat>
          <c:val>
            <c:numRef>
              <c:f>Sheet1!$C$18:$C$22</c:f>
              <c:numCache>
                <c:formatCode>General</c:formatCode>
                <c:ptCount val="5"/>
                <c:pt idx="0">
                  <c:v>1114</c:v>
                </c:pt>
                <c:pt idx="1">
                  <c:v>1337</c:v>
                </c:pt>
                <c:pt idx="2">
                  <c:v>1640</c:v>
                </c:pt>
                <c:pt idx="3">
                  <c:v>1926</c:v>
                </c:pt>
                <c:pt idx="4">
                  <c:v>2271</c:v>
                </c:pt>
              </c:numCache>
            </c:numRef>
          </c:val>
          <c:extLst>
            <c:ext xmlns:c16="http://schemas.microsoft.com/office/drawing/2014/chart" uri="{C3380CC4-5D6E-409C-BE32-E72D297353CC}">
              <c16:uniqueId val="{00000000-F33C-4FCE-8C14-485062453A80}"/>
            </c:ext>
          </c:extLst>
        </c:ser>
        <c:dLbls>
          <c:showLegendKey val="0"/>
          <c:showVal val="0"/>
          <c:showCatName val="0"/>
          <c:showSerName val="0"/>
          <c:showPercent val="0"/>
          <c:showBubbleSize val="0"/>
        </c:dLbls>
        <c:gapWidth val="219"/>
        <c:overlap val="-27"/>
        <c:axId val="535340432"/>
        <c:axId val="535341088"/>
      </c:barChart>
      <c:catAx>
        <c:axId val="53534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35341088"/>
        <c:crosses val="autoZero"/>
        <c:auto val="1"/>
        <c:lblAlgn val="ctr"/>
        <c:lblOffset val="100"/>
        <c:noMultiLvlLbl val="0"/>
      </c:catAx>
      <c:valAx>
        <c:axId val="53534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3534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3286984830508"/>
          <c:y val="5.72655690765927E-2"/>
          <c:w val="0.72565157480314957"/>
          <c:h val="0.69552866742097119"/>
        </c:manualLayout>
      </c:layout>
      <c:barChart>
        <c:barDir val="col"/>
        <c:grouping val="percentStacked"/>
        <c:varyColors val="0"/>
        <c:ser>
          <c:idx val="0"/>
          <c:order val="0"/>
          <c:tx>
            <c:strRef>
              <c:f>Sheet1!$Q$38</c:f>
              <c:strCache>
                <c:ptCount val="1"/>
                <c:pt idx="0">
                  <c:v>0 gadi</c:v>
                </c:pt>
              </c:strCache>
            </c:strRef>
          </c:tx>
          <c:invertIfNegative val="0"/>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Sheet1!$R$38:$AF$38</c:f>
              <c:numCache>
                <c:formatCode>General</c:formatCode>
                <c:ptCount val="15"/>
                <c:pt idx="0">
                  <c:v>214</c:v>
                </c:pt>
                <c:pt idx="1">
                  <c:v>243</c:v>
                </c:pt>
                <c:pt idx="2">
                  <c:v>162</c:v>
                </c:pt>
                <c:pt idx="3">
                  <c:v>173</c:v>
                </c:pt>
                <c:pt idx="4">
                  <c:v>221</c:v>
                </c:pt>
                <c:pt idx="5">
                  <c:v>240</c:v>
                </c:pt>
                <c:pt idx="6">
                  <c:v>177</c:v>
                </c:pt>
                <c:pt idx="7">
                  <c:v>129</c:v>
                </c:pt>
                <c:pt idx="8">
                  <c:v>93</c:v>
                </c:pt>
                <c:pt idx="9">
                  <c:v>123</c:v>
                </c:pt>
                <c:pt idx="10">
                  <c:v>99</c:v>
                </c:pt>
                <c:pt idx="11">
                  <c:v>95</c:v>
                </c:pt>
                <c:pt idx="12">
                  <c:v>75</c:v>
                </c:pt>
                <c:pt idx="13">
                  <c:v>82</c:v>
                </c:pt>
                <c:pt idx="14">
                  <c:v>64</c:v>
                </c:pt>
              </c:numCache>
            </c:numRef>
          </c:val>
          <c:extLst>
            <c:ext xmlns:c16="http://schemas.microsoft.com/office/drawing/2014/chart" uri="{C3380CC4-5D6E-409C-BE32-E72D297353CC}">
              <c16:uniqueId val="{00000000-7542-4D91-96AC-9068F8B547E2}"/>
            </c:ext>
          </c:extLst>
        </c:ser>
        <c:ser>
          <c:idx val="1"/>
          <c:order val="1"/>
          <c:tx>
            <c:strRef>
              <c:f>Sheet1!$Q$39</c:f>
              <c:strCache>
                <c:ptCount val="1"/>
                <c:pt idx="0">
                  <c:v>1-6 gadi</c:v>
                </c:pt>
              </c:strCache>
            </c:strRef>
          </c:tx>
          <c:invertIfNegative val="0"/>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Sheet1!$R$39:$AF$39</c:f>
              <c:numCache>
                <c:formatCode>General</c:formatCode>
                <c:ptCount val="15"/>
                <c:pt idx="0">
                  <c:v>4194</c:v>
                </c:pt>
                <c:pt idx="1">
                  <c:v>6054</c:v>
                </c:pt>
                <c:pt idx="2">
                  <c:v>4202</c:v>
                </c:pt>
                <c:pt idx="3">
                  <c:v>4856</c:v>
                </c:pt>
                <c:pt idx="4">
                  <c:v>4480</c:v>
                </c:pt>
                <c:pt idx="5">
                  <c:v>4982</c:v>
                </c:pt>
                <c:pt idx="6">
                  <c:v>3672</c:v>
                </c:pt>
                <c:pt idx="7">
                  <c:v>2589</c:v>
                </c:pt>
                <c:pt idx="8">
                  <c:v>2186</c:v>
                </c:pt>
                <c:pt idx="9">
                  <c:v>2489</c:v>
                </c:pt>
                <c:pt idx="10">
                  <c:v>1728</c:v>
                </c:pt>
                <c:pt idx="11">
                  <c:v>1437</c:v>
                </c:pt>
                <c:pt idx="12">
                  <c:v>1111</c:v>
                </c:pt>
                <c:pt idx="13">
                  <c:v>937</c:v>
                </c:pt>
                <c:pt idx="14">
                  <c:v>837</c:v>
                </c:pt>
              </c:numCache>
            </c:numRef>
          </c:val>
          <c:extLst>
            <c:ext xmlns:c16="http://schemas.microsoft.com/office/drawing/2014/chart" uri="{C3380CC4-5D6E-409C-BE32-E72D297353CC}">
              <c16:uniqueId val="{00000001-7542-4D91-96AC-9068F8B547E2}"/>
            </c:ext>
          </c:extLst>
        </c:ser>
        <c:ser>
          <c:idx val="2"/>
          <c:order val="2"/>
          <c:tx>
            <c:strRef>
              <c:f>Sheet1!$Q$40</c:f>
              <c:strCache>
                <c:ptCount val="1"/>
                <c:pt idx="0">
                  <c:v>7-14 gadi</c:v>
                </c:pt>
              </c:strCache>
            </c:strRef>
          </c:tx>
          <c:invertIfNegative val="0"/>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Sheet1!$R$40:$AF$40</c:f>
              <c:numCache>
                <c:formatCode>General</c:formatCode>
                <c:ptCount val="15"/>
                <c:pt idx="0">
                  <c:v>2142</c:v>
                </c:pt>
                <c:pt idx="1">
                  <c:v>2483</c:v>
                </c:pt>
                <c:pt idx="2">
                  <c:v>1453</c:v>
                </c:pt>
                <c:pt idx="3">
                  <c:v>1431</c:v>
                </c:pt>
                <c:pt idx="4">
                  <c:v>1232</c:v>
                </c:pt>
                <c:pt idx="5">
                  <c:v>1288</c:v>
                </c:pt>
                <c:pt idx="6">
                  <c:v>882</c:v>
                </c:pt>
                <c:pt idx="7">
                  <c:v>711</c:v>
                </c:pt>
                <c:pt idx="8">
                  <c:v>778</c:v>
                </c:pt>
                <c:pt idx="9">
                  <c:v>990</c:v>
                </c:pt>
                <c:pt idx="10">
                  <c:v>815</c:v>
                </c:pt>
                <c:pt idx="11">
                  <c:v>880</c:v>
                </c:pt>
                <c:pt idx="12">
                  <c:v>704</c:v>
                </c:pt>
                <c:pt idx="13">
                  <c:v>537</c:v>
                </c:pt>
                <c:pt idx="14">
                  <c:v>512</c:v>
                </c:pt>
              </c:numCache>
            </c:numRef>
          </c:val>
          <c:extLst>
            <c:ext xmlns:c16="http://schemas.microsoft.com/office/drawing/2014/chart" uri="{C3380CC4-5D6E-409C-BE32-E72D297353CC}">
              <c16:uniqueId val="{00000002-7542-4D91-96AC-9068F8B547E2}"/>
            </c:ext>
          </c:extLst>
        </c:ser>
        <c:ser>
          <c:idx val="3"/>
          <c:order val="3"/>
          <c:tx>
            <c:strRef>
              <c:f>Sheet1!$Q$41</c:f>
              <c:strCache>
                <c:ptCount val="1"/>
                <c:pt idx="0">
                  <c:v>15-17 gadi</c:v>
                </c:pt>
              </c:strCache>
            </c:strRef>
          </c:tx>
          <c:invertIfNegative val="0"/>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Sheet1!$R$41:$AF$41</c:f>
              <c:numCache>
                <c:formatCode>General</c:formatCode>
                <c:ptCount val="15"/>
                <c:pt idx="0">
                  <c:v>237</c:v>
                </c:pt>
                <c:pt idx="1">
                  <c:v>307</c:v>
                </c:pt>
                <c:pt idx="2">
                  <c:v>233</c:v>
                </c:pt>
                <c:pt idx="3">
                  <c:v>203</c:v>
                </c:pt>
                <c:pt idx="4">
                  <c:v>180</c:v>
                </c:pt>
                <c:pt idx="5">
                  <c:v>207</c:v>
                </c:pt>
                <c:pt idx="6">
                  <c:v>127</c:v>
                </c:pt>
                <c:pt idx="7">
                  <c:v>81</c:v>
                </c:pt>
                <c:pt idx="8">
                  <c:v>91</c:v>
                </c:pt>
                <c:pt idx="9">
                  <c:v>107</c:v>
                </c:pt>
                <c:pt idx="10">
                  <c:v>75</c:v>
                </c:pt>
                <c:pt idx="11">
                  <c:v>69</c:v>
                </c:pt>
                <c:pt idx="12">
                  <c:v>69</c:v>
                </c:pt>
                <c:pt idx="13">
                  <c:v>31</c:v>
                </c:pt>
                <c:pt idx="14">
                  <c:v>49</c:v>
                </c:pt>
              </c:numCache>
            </c:numRef>
          </c:val>
          <c:extLst>
            <c:ext xmlns:c16="http://schemas.microsoft.com/office/drawing/2014/chart" uri="{C3380CC4-5D6E-409C-BE32-E72D297353CC}">
              <c16:uniqueId val="{00000003-7542-4D91-96AC-9068F8B547E2}"/>
            </c:ext>
          </c:extLst>
        </c:ser>
        <c:ser>
          <c:idx val="4"/>
          <c:order val="4"/>
          <c:tx>
            <c:strRef>
              <c:f>Sheet1!$Q$42</c:f>
              <c:strCache>
                <c:ptCount val="1"/>
                <c:pt idx="0">
                  <c:v>&gt;18</c:v>
                </c:pt>
              </c:strCache>
            </c:strRef>
          </c:tx>
          <c:invertIfNegative val="0"/>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Sheet1!$R$42:$AF$42</c:f>
              <c:numCache>
                <c:formatCode>General</c:formatCode>
                <c:ptCount val="15"/>
                <c:pt idx="0">
                  <c:v>166</c:v>
                </c:pt>
                <c:pt idx="1">
                  <c:v>268</c:v>
                </c:pt>
                <c:pt idx="2">
                  <c:v>216</c:v>
                </c:pt>
                <c:pt idx="3">
                  <c:v>224</c:v>
                </c:pt>
                <c:pt idx="4">
                  <c:v>227</c:v>
                </c:pt>
                <c:pt idx="5">
                  <c:v>238</c:v>
                </c:pt>
                <c:pt idx="6">
                  <c:v>161</c:v>
                </c:pt>
                <c:pt idx="7">
                  <c:v>187</c:v>
                </c:pt>
                <c:pt idx="8">
                  <c:v>149</c:v>
                </c:pt>
                <c:pt idx="9">
                  <c:v>187</c:v>
                </c:pt>
                <c:pt idx="10">
                  <c:v>139</c:v>
                </c:pt>
                <c:pt idx="11">
                  <c:v>130</c:v>
                </c:pt>
                <c:pt idx="12">
                  <c:v>99</c:v>
                </c:pt>
                <c:pt idx="13">
                  <c:v>118</c:v>
                </c:pt>
                <c:pt idx="14">
                  <c:v>102</c:v>
                </c:pt>
              </c:numCache>
            </c:numRef>
          </c:val>
          <c:extLst>
            <c:ext xmlns:c16="http://schemas.microsoft.com/office/drawing/2014/chart" uri="{C3380CC4-5D6E-409C-BE32-E72D297353CC}">
              <c16:uniqueId val="{00000004-7542-4D91-96AC-9068F8B547E2}"/>
            </c:ext>
          </c:extLst>
        </c:ser>
        <c:dLbls>
          <c:showLegendKey val="0"/>
          <c:showVal val="0"/>
          <c:showCatName val="0"/>
          <c:showSerName val="0"/>
          <c:showPercent val="0"/>
          <c:showBubbleSize val="0"/>
        </c:dLbls>
        <c:gapWidth val="150"/>
        <c:overlap val="100"/>
        <c:axId val="281550208"/>
        <c:axId val="281580672"/>
      </c:barChart>
      <c:catAx>
        <c:axId val="281550208"/>
        <c:scaling>
          <c:orientation val="minMax"/>
        </c:scaling>
        <c:delete val="0"/>
        <c:axPos val="b"/>
        <c:numFmt formatCode="General" sourceLinked="1"/>
        <c:majorTickMark val="out"/>
        <c:minorTickMark val="none"/>
        <c:tickLblPos val="nextTo"/>
        <c:crossAx val="281580672"/>
        <c:crosses val="autoZero"/>
        <c:auto val="1"/>
        <c:lblAlgn val="ctr"/>
        <c:lblOffset val="100"/>
        <c:noMultiLvlLbl val="0"/>
      </c:catAx>
      <c:valAx>
        <c:axId val="281580672"/>
        <c:scaling>
          <c:orientation val="minMax"/>
        </c:scaling>
        <c:delete val="0"/>
        <c:axPos val="l"/>
        <c:majorGridlines/>
        <c:numFmt formatCode="0%" sourceLinked="1"/>
        <c:majorTickMark val="out"/>
        <c:minorTickMark val="none"/>
        <c:tickLblPos val="nextTo"/>
        <c:crossAx val="281550208"/>
        <c:crosses val="autoZero"/>
        <c:crossBetween val="between"/>
      </c:valAx>
    </c:plotArea>
    <c:legend>
      <c:legendPos val="r"/>
      <c:layout>
        <c:manualLayout>
          <c:xMode val="edge"/>
          <c:yMode val="edge"/>
          <c:x val="0.83436220472440947"/>
          <c:y val="0.28607720909886264"/>
          <c:w val="0.16563779527559055"/>
          <c:h val="0.4185859580052493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87926509186352"/>
          <c:y val="7.4548702245552628E-2"/>
          <c:w val="0.84546959755030626"/>
          <c:h val="0.79523549139690874"/>
        </c:manualLayout>
      </c:layout>
      <c:lineChart>
        <c:grouping val="standard"/>
        <c:varyColors val="0"/>
        <c:ser>
          <c:idx val="0"/>
          <c:order val="0"/>
          <c:tx>
            <c:strRef>
              <c:f>Sheet1!$Q$41</c:f>
              <c:strCache>
                <c:ptCount val="1"/>
                <c:pt idx="0">
                  <c:v>15-17 gadi</c:v>
                </c:pt>
              </c:strCache>
            </c:strRef>
          </c:tx>
          <c:marker>
            <c:symbol val="none"/>
          </c:marker>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Sheet1!$R$41:$AF$41</c:f>
              <c:numCache>
                <c:formatCode>General</c:formatCode>
                <c:ptCount val="15"/>
                <c:pt idx="0">
                  <c:v>237</c:v>
                </c:pt>
                <c:pt idx="1">
                  <c:v>307</c:v>
                </c:pt>
                <c:pt idx="2">
                  <c:v>233</c:v>
                </c:pt>
                <c:pt idx="3">
                  <c:v>203</c:v>
                </c:pt>
                <c:pt idx="4">
                  <c:v>180</c:v>
                </c:pt>
                <c:pt idx="5">
                  <c:v>207</c:v>
                </c:pt>
                <c:pt idx="6">
                  <c:v>127</c:v>
                </c:pt>
                <c:pt idx="7">
                  <c:v>81</c:v>
                </c:pt>
                <c:pt idx="8">
                  <c:v>91</c:v>
                </c:pt>
                <c:pt idx="9">
                  <c:v>107</c:v>
                </c:pt>
                <c:pt idx="10">
                  <c:v>75</c:v>
                </c:pt>
                <c:pt idx="11">
                  <c:v>69</c:v>
                </c:pt>
                <c:pt idx="12">
                  <c:v>69</c:v>
                </c:pt>
                <c:pt idx="13">
                  <c:v>31</c:v>
                </c:pt>
                <c:pt idx="14">
                  <c:v>49</c:v>
                </c:pt>
              </c:numCache>
            </c:numRef>
          </c:val>
          <c:smooth val="0"/>
          <c:extLst>
            <c:ext xmlns:c16="http://schemas.microsoft.com/office/drawing/2014/chart" uri="{C3380CC4-5D6E-409C-BE32-E72D297353CC}">
              <c16:uniqueId val="{00000000-2B91-4352-9AD6-F9F9958DBA73}"/>
            </c:ext>
          </c:extLst>
        </c:ser>
        <c:ser>
          <c:idx val="1"/>
          <c:order val="1"/>
          <c:tx>
            <c:strRef>
              <c:f>Sheet1!$Q$42</c:f>
              <c:strCache>
                <c:ptCount val="1"/>
                <c:pt idx="0">
                  <c:v>&gt;18</c:v>
                </c:pt>
              </c:strCache>
            </c:strRef>
          </c:tx>
          <c:marker>
            <c:symbol val="none"/>
          </c:marker>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Sheet1!$R$42:$AF$42</c:f>
              <c:numCache>
                <c:formatCode>General</c:formatCode>
                <c:ptCount val="15"/>
                <c:pt idx="0">
                  <c:v>166</c:v>
                </c:pt>
                <c:pt idx="1">
                  <c:v>268</c:v>
                </c:pt>
                <c:pt idx="2">
                  <c:v>216</c:v>
                </c:pt>
                <c:pt idx="3">
                  <c:v>224</c:v>
                </c:pt>
                <c:pt idx="4">
                  <c:v>227</c:v>
                </c:pt>
                <c:pt idx="5">
                  <c:v>238</c:v>
                </c:pt>
                <c:pt idx="6">
                  <c:v>161</c:v>
                </c:pt>
                <c:pt idx="7">
                  <c:v>187</c:v>
                </c:pt>
                <c:pt idx="8">
                  <c:v>149</c:v>
                </c:pt>
                <c:pt idx="9">
                  <c:v>187</c:v>
                </c:pt>
                <c:pt idx="10">
                  <c:v>139</c:v>
                </c:pt>
                <c:pt idx="11">
                  <c:v>130</c:v>
                </c:pt>
                <c:pt idx="12">
                  <c:v>99</c:v>
                </c:pt>
                <c:pt idx="13">
                  <c:v>118</c:v>
                </c:pt>
                <c:pt idx="14">
                  <c:v>102</c:v>
                </c:pt>
              </c:numCache>
            </c:numRef>
          </c:val>
          <c:smooth val="0"/>
          <c:extLst>
            <c:ext xmlns:c16="http://schemas.microsoft.com/office/drawing/2014/chart" uri="{C3380CC4-5D6E-409C-BE32-E72D297353CC}">
              <c16:uniqueId val="{00000001-2B91-4352-9AD6-F9F9958DBA73}"/>
            </c:ext>
          </c:extLst>
        </c:ser>
        <c:dLbls>
          <c:showLegendKey val="0"/>
          <c:showVal val="0"/>
          <c:showCatName val="0"/>
          <c:showSerName val="0"/>
          <c:showPercent val="0"/>
          <c:showBubbleSize val="0"/>
        </c:dLbls>
        <c:smooth val="0"/>
        <c:axId val="281609728"/>
        <c:axId val="281611264"/>
      </c:lineChart>
      <c:catAx>
        <c:axId val="281609728"/>
        <c:scaling>
          <c:orientation val="minMax"/>
        </c:scaling>
        <c:delete val="0"/>
        <c:axPos val="b"/>
        <c:numFmt formatCode="General" sourceLinked="1"/>
        <c:majorTickMark val="out"/>
        <c:minorTickMark val="none"/>
        <c:tickLblPos val="nextTo"/>
        <c:crossAx val="281611264"/>
        <c:crosses val="autoZero"/>
        <c:auto val="1"/>
        <c:lblAlgn val="ctr"/>
        <c:lblOffset val="100"/>
        <c:noMultiLvlLbl val="0"/>
      </c:catAx>
      <c:valAx>
        <c:axId val="281611264"/>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lv-LV">
                    <a:latin typeface="Times New Roman" panose="02020603050405020304" pitchFamily="18" charset="0"/>
                    <a:cs typeface="Times New Roman" panose="02020603050405020304" pitchFamily="18" charset="0"/>
                  </a:rPr>
                  <a:t>Gadījumu</a:t>
                </a:r>
                <a:r>
                  <a:rPr lang="lv-LV" baseline="0">
                    <a:latin typeface="Times New Roman" panose="02020603050405020304" pitchFamily="18" charset="0"/>
                    <a:cs typeface="Times New Roman" panose="02020603050405020304" pitchFamily="18" charset="0"/>
                  </a:rPr>
                  <a:t> skaits</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281609728"/>
        <c:crosses val="autoZero"/>
        <c:crossBetween val="between"/>
      </c:valAx>
    </c:plotArea>
    <c:legend>
      <c:legendPos val="r"/>
      <c:layout>
        <c:manualLayout>
          <c:xMode val="edge"/>
          <c:yMode val="edge"/>
          <c:x val="0.72598578302712147"/>
          <c:y val="0.23109762321376495"/>
          <c:w val="0.20179199475065618"/>
          <c:h val="0.1674343832020997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a:effectLst/>
                <a:latin typeface="Times New Roman" panose="02020603050405020304" pitchFamily="18" charset="0"/>
                <a:cs typeface="Times New Roman" panose="02020603050405020304" pitchFamily="18" charset="0"/>
              </a:rPr>
              <a:t>Saslimšanas gadījumu skaits ar vējbakām, 2008.-2017. gads</a:t>
            </a:r>
            <a:endParaRPr lang="en-US" sz="14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Sheet1!$B$5:$K$5</c:f>
              <c:numCache>
                <c:formatCode>General</c:formatCode>
                <c:ptCount val="10"/>
                <c:pt idx="0">
                  <c:v>6955</c:v>
                </c:pt>
                <c:pt idx="1">
                  <c:v>5019</c:v>
                </c:pt>
                <c:pt idx="2">
                  <c:v>3697</c:v>
                </c:pt>
                <c:pt idx="3">
                  <c:v>3297</c:v>
                </c:pt>
                <c:pt idx="4">
                  <c:v>3896</c:v>
                </c:pt>
                <c:pt idx="5">
                  <c:v>2856</c:v>
                </c:pt>
                <c:pt idx="6">
                  <c:v>2611</c:v>
                </c:pt>
                <c:pt idx="7">
                  <c:v>2058</c:v>
                </c:pt>
                <c:pt idx="8">
                  <c:v>1705</c:v>
                </c:pt>
                <c:pt idx="9">
                  <c:v>1564</c:v>
                </c:pt>
              </c:numCache>
            </c:numRef>
          </c:val>
          <c:smooth val="0"/>
          <c:extLst>
            <c:ext xmlns:c16="http://schemas.microsoft.com/office/drawing/2014/chart" uri="{C3380CC4-5D6E-409C-BE32-E72D297353CC}">
              <c16:uniqueId val="{00000000-9A42-4208-9C39-4459A188F186}"/>
            </c:ext>
          </c:extLst>
        </c:ser>
        <c:dLbls>
          <c:showLegendKey val="0"/>
          <c:showVal val="0"/>
          <c:showCatName val="0"/>
          <c:showSerName val="0"/>
          <c:showPercent val="0"/>
          <c:showBubbleSize val="0"/>
        </c:dLbls>
        <c:smooth val="0"/>
        <c:axId val="66798336"/>
        <c:axId val="66799872"/>
      </c:lineChart>
      <c:catAx>
        <c:axId val="6679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6799872"/>
        <c:crosses val="autoZero"/>
        <c:auto val="1"/>
        <c:lblAlgn val="ctr"/>
        <c:lblOffset val="100"/>
        <c:noMultiLvlLbl val="0"/>
      </c:catAx>
      <c:valAx>
        <c:axId val="6679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679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10588898005167"/>
          <c:y val="6.272609991547666E-2"/>
          <c:w val="0.82902193213406639"/>
          <c:h val="0.7501178878063971"/>
        </c:manualLayout>
      </c:layout>
      <c:lineChart>
        <c:grouping val="standard"/>
        <c:varyColors val="0"/>
        <c:ser>
          <c:idx val="0"/>
          <c:order val="0"/>
          <c:tx>
            <c:strRef>
              <c:f>Sheet1!$Q$38</c:f>
              <c:strCache>
                <c:ptCount val="1"/>
                <c:pt idx="0">
                  <c:v>0 gadi</c:v>
                </c:pt>
              </c:strCache>
            </c:strRef>
          </c:tx>
          <c:marker>
            <c:symbol val="none"/>
          </c:marker>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Sheet1!$R$38:$AF$38</c:f>
              <c:numCache>
                <c:formatCode>General</c:formatCode>
                <c:ptCount val="15"/>
                <c:pt idx="0">
                  <c:v>214</c:v>
                </c:pt>
                <c:pt idx="1">
                  <c:v>243</c:v>
                </c:pt>
                <c:pt idx="2">
                  <c:v>162</c:v>
                </c:pt>
                <c:pt idx="3">
                  <c:v>173</c:v>
                </c:pt>
                <c:pt idx="4">
                  <c:v>221</c:v>
                </c:pt>
                <c:pt idx="5">
                  <c:v>240</c:v>
                </c:pt>
                <c:pt idx="6">
                  <c:v>177</c:v>
                </c:pt>
                <c:pt idx="7">
                  <c:v>129</c:v>
                </c:pt>
                <c:pt idx="8">
                  <c:v>93</c:v>
                </c:pt>
                <c:pt idx="9">
                  <c:v>123</c:v>
                </c:pt>
                <c:pt idx="10">
                  <c:v>99</c:v>
                </c:pt>
                <c:pt idx="11">
                  <c:v>95</c:v>
                </c:pt>
                <c:pt idx="12">
                  <c:v>75</c:v>
                </c:pt>
                <c:pt idx="13">
                  <c:v>82</c:v>
                </c:pt>
                <c:pt idx="14">
                  <c:v>64</c:v>
                </c:pt>
              </c:numCache>
            </c:numRef>
          </c:val>
          <c:smooth val="0"/>
          <c:extLst>
            <c:ext xmlns:c16="http://schemas.microsoft.com/office/drawing/2014/chart" uri="{C3380CC4-5D6E-409C-BE32-E72D297353CC}">
              <c16:uniqueId val="{00000000-89C7-44B5-9F5C-361A03AC1878}"/>
            </c:ext>
          </c:extLst>
        </c:ser>
        <c:ser>
          <c:idx val="1"/>
          <c:order val="1"/>
          <c:tx>
            <c:strRef>
              <c:f>Sheet1!$Q$39</c:f>
              <c:strCache>
                <c:ptCount val="1"/>
                <c:pt idx="0">
                  <c:v>1-6 gadi</c:v>
                </c:pt>
              </c:strCache>
            </c:strRef>
          </c:tx>
          <c:marker>
            <c:symbol val="none"/>
          </c:marker>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Sheet1!$R$39:$AF$39</c:f>
              <c:numCache>
                <c:formatCode>General</c:formatCode>
                <c:ptCount val="15"/>
                <c:pt idx="0">
                  <c:v>4194</c:v>
                </c:pt>
                <c:pt idx="1">
                  <c:v>6054</c:v>
                </c:pt>
                <c:pt idx="2">
                  <c:v>4202</c:v>
                </c:pt>
                <c:pt idx="3">
                  <c:v>4856</c:v>
                </c:pt>
                <c:pt idx="4">
                  <c:v>4480</c:v>
                </c:pt>
                <c:pt idx="5">
                  <c:v>4982</c:v>
                </c:pt>
                <c:pt idx="6">
                  <c:v>3672</c:v>
                </c:pt>
                <c:pt idx="7">
                  <c:v>2589</c:v>
                </c:pt>
                <c:pt idx="8">
                  <c:v>2186</c:v>
                </c:pt>
                <c:pt idx="9">
                  <c:v>2489</c:v>
                </c:pt>
                <c:pt idx="10">
                  <c:v>1728</c:v>
                </c:pt>
                <c:pt idx="11">
                  <c:v>1437</c:v>
                </c:pt>
                <c:pt idx="12">
                  <c:v>1111</c:v>
                </c:pt>
                <c:pt idx="13">
                  <c:v>937</c:v>
                </c:pt>
                <c:pt idx="14">
                  <c:v>837</c:v>
                </c:pt>
              </c:numCache>
            </c:numRef>
          </c:val>
          <c:smooth val="0"/>
          <c:extLst>
            <c:ext xmlns:c16="http://schemas.microsoft.com/office/drawing/2014/chart" uri="{C3380CC4-5D6E-409C-BE32-E72D297353CC}">
              <c16:uniqueId val="{00000001-89C7-44B5-9F5C-361A03AC1878}"/>
            </c:ext>
          </c:extLst>
        </c:ser>
        <c:ser>
          <c:idx val="2"/>
          <c:order val="2"/>
          <c:tx>
            <c:strRef>
              <c:f>Sheet1!$Q$40</c:f>
              <c:strCache>
                <c:ptCount val="1"/>
                <c:pt idx="0">
                  <c:v>7-14 gadi</c:v>
                </c:pt>
              </c:strCache>
            </c:strRef>
          </c:tx>
          <c:marker>
            <c:symbol val="none"/>
          </c:marker>
          <c:cat>
            <c:numRef>
              <c:f>Sheet1!$R$37:$AF$37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Sheet1!$R$40:$AF$40</c:f>
              <c:numCache>
                <c:formatCode>General</c:formatCode>
                <c:ptCount val="15"/>
                <c:pt idx="0">
                  <c:v>2142</c:v>
                </c:pt>
                <c:pt idx="1">
                  <c:v>2483</c:v>
                </c:pt>
                <c:pt idx="2">
                  <c:v>1453</c:v>
                </c:pt>
                <c:pt idx="3">
                  <c:v>1431</c:v>
                </c:pt>
                <c:pt idx="4">
                  <c:v>1232</c:v>
                </c:pt>
                <c:pt idx="5">
                  <c:v>1288</c:v>
                </c:pt>
                <c:pt idx="6">
                  <c:v>882</c:v>
                </c:pt>
                <c:pt idx="7">
                  <c:v>711</c:v>
                </c:pt>
                <c:pt idx="8">
                  <c:v>778</c:v>
                </c:pt>
                <c:pt idx="9">
                  <c:v>990</c:v>
                </c:pt>
                <c:pt idx="10">
                  <c:v>815</c:v>
                </c:pt>
                <c:pt idx="11">
                  <c:v>880</c:v>
                </c:pt>
                <c:pt idx="12">
                  <c:v>704</c:v>
                </c:pt>
                <c:pt idx="13">
                  <c:v>537</c:v>
                </c:pt>
                <c:pt idx="14">
                  <c:v>512</c:v>
                </c:pt>
              </c:numCache>
            </c:numRef>
          </c:val>
          <c:smooth val="0"/>
          <c:extLst>
            <c:ext xmlns:c16="http://schemas.microsoft.com/office/drawing/2014/chart" uri="{C3380CC4-5D6E-409C-BE32-E72D297353CC}">
              <c16:uniqueId val="{00000002-89C7-44B5-9F5C-361A03AC1878}"/>
            </c:ext>
          </c:extLst>
        </c:ser>
        <c:dLbls>
          <c:showLegendKey val="0"/>
          <c:showVal val="0"/>
          <c:showCatName val="0"/>
          <c:showSerName val="0"/>
          <c:showPercent val="0"/>
          <c:showBubbleSize val="0"/>
        </c:dLbls>
        <c:smooth val="0"/>
        <c:axId val="281649920"/>
        <c:axId val="281651456"/>
      </c:lineChart>
      <c:catAx>
        <c:axId val="281649920"/>
        <c:scaling>
          <c:orientation val="minMax"/>
        </c:scaling>
        <c:delete val="0"/>
        <c:axPos val="b"/>
        <c:numFmt formatCode="General" sourceLinked="1"/>
        <c:majorTickMark val="out"/>
        <c:minorTickMark val="none"/>
        <c:tickLblPos val="nextTo"/>
        <c:crossAx val="281651456"/>
        <c:crosses val="autoZero"/>
        <c:auto val="1"/>
        <c:lblAlgn val="ctr"/>
        <c:lblOffset val="100"/>
        <c:noMultiLvlLbl val="0"/>
      </c:catAx>
      <c:valAx>
        <c:axId val="281651456"/>
        <c:scaling>
          <c:orientation val="minMax"/>
        </c:scaling>
        <c:delete val="0"/>
        <c:axPos val="l"/>
        <c:majorGridlines/>
        <c:title>
          <c:tx>
            <c:rich>
              <a:bodyPr rot="-5400000" vert="horz"/>
              <a:lstStyle/>
              <a:p>
                <a:pPr>
                  <a:defRPr/>
                </a:pPr>
                <a:r>
                  <a:rPr lang="lv-LV"/>
                  <a:t>Gadījumu skaits</a:t>
                </a:r>
                <a:endParaRPr lang="en-US"/>
              </a:p>
            </c:rich>
          </c:tx>
          <c:overlay val="0"/>
        </c:title>
        <c:numFmt formatCode="General" sourceLinked="1"/>
        <c:majorTickMark val="out"/>
        <c:minorTickMark val="none"/>
        <c:tickLblPos val="nextTo"/>
        <c:crossAx val="281649920"/>
        <c:crosses val="autoZero"/>
        <c:crossBetween val="between"/>
      </c:valAx>
    </c:plotArea>
    <c:legend>
      <c:legendPos val="r"/>
      <c:layout>
        <c:manualLayout>
          <c:xMode val="edge"/>
          <c:yMode val="edge"/>
          <c:x val="0.73382544911279557"/>
          <c:y val="8.6867743227011879E-2"/>
          <c:w val="0.21018699256683115"/>
          <c:h val="0.30649005738689444"/>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0"/>
    <c:plotArea>
      <c:layout/>
      <c:barChart>
        <c:barDir val="bar"/>
        <c:grouping val="clustered"/>
        <c:varyColors val="0"/>
        <c:ser>
          <c:idx val="0"/>
          <c:order val="0"/>
          <c:spPr>
            <a:solidFill>
              <a:schemeClr val="accent6">
                <a:lumMod val="75000"/>
              </a:schemeClr>
            </a:solidFill>
          </c:spPr>
          <c:invertIfNegative val="0"/>
          <c:dPt>
            <c:idx val="5"/>
            <c:invertIfNegative val="0"/>
            <c:bubble3D val="0"/>
            <c:spPr>
              <a:solidFill>
                <a:srgbClr val="C00000"/>
              </a:solidFill>
            </c:spPr>
            <c:extLst>
              <c:ext xmlns:c16="http://schemas.microsoft.com/office/drawing/2014/chart" uri="{C3380CC4-5D6E-409C-BE32-E72D297353CC}">
                <c16:uniqueId val="{00000001-00EA-40E5-A504-DF2F398AB02E}"/>
              </c:ext>
            </c:extLst>
          </c:dPt>
          <c:dLbls>
            <c:dLbl>
              <c:idx val="1"/>
              <c:spPr/>
              <c:txPr>
                <a:bodyPr/>
                <a:lstStyle/>
                <a:p>
                  <a:pPr>
                    <a:defRPr/>
                  </a:pPr>
                  <a:endParaRPr lang="lv-L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EA-40E5-A504-DF2F398AB02E}"/>
                </c:ext>
              </c:extLst>
            </c:dLbl>
            <c:dLbl>
              <c:idx val="2"/>
              <c:spPr/>
              <c:txPr>
                <a:bodyPr/>
                <a:lstStyle/>
                <a:p>
                  <a:pPr>
                    <a:defRPr/>
                  </a:pPr>
                  <a:endParaRPr lang="lv-L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EA-40E5-A504-DF2F398AB02E}"/>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'Reģistra dati'!$A$76:$A$88</c:f>
              <c:strCache>
                <c:ptCount val="13"/>
                <c:pt idx="0">
                  <c:v>Bulgārija (2014.)</c:v>
                </c:pt>
                <c:pt idx="1">
                  <c:v>Somija (2015.)</c:v>
                </c:pt>
                <c:pt idx="2">
                  <c:v>Malta (2015.)</c:v>
                </c:pt>
                <c:pt idx="3">
                  <c:v>Ungārija (2014.)</c:v>
                </c:pt>
                <c:pt idx="4">
                  <c:v>Lietuva (2014.)</c:v>
                </c:pt>
                <c:pt idx="5">
                  <c:v>Latvija (2014.)</c:v>
                </c:pt>
                <c:pt idx="6">
                  <c:v>Dānija (2013.)</c:v>
                </c:pt>
                <c:pt idx="7">
                  <c:v>Beļģija (2004.)</c:v>
                </c:pt>
                <c:pt idx="8">
                  <c:v>Polija (2014.)</c:v>
                </c:pt>
                <c:pt idx="9">
                  <c:v>Rumānija (2014.)</c:v>
                </c:pt>
                <c:pt idx="10">
                  <c:v>Slovākija (2014.)</c:v>
                </c:pt>
                <c:pt idx="11">
                  <c:v>Čehija (2013.)</c:v>
                </c:pt>
                <c:pt idx="12">
                  <c:v>Igaunija (2014.)</c:v>
                </c:pt>
              </c:strCache>
            </c:strRef>
          </c:cat>
          <c:val>
            <c:numRef>
              <c:f>'Reģistra dati'!$B$76:$B$88</c:f>
              <c:numCache>
                <c:formatCode>0.0</c:formatCode>
                <c:ptCount val="13"/>
                <c:pt idx="0">
                  <c:v>15</c:v>
                </c:pt>
                <c:pt idx="1">
                  <c:v>68.099999999999994</c:v>
                </c:pt>
                <c:pt idx="2">
                  <c:v>100.8</c:v>
                </c:pt>
                <c:pt idx="3">
                  <c:v>237.4</c:v>
                </c:pt>
                <c:pt idx="4">
                  <c:v>298.3</c:v>
                </c:pt>
                <c:pt idx="5">
                  <c:v>432.1</c:v>
                </c:pt>
                <c:pt idx="6">
                  <c:v>590.70000000000005</c:v>
                </c:pt>
                <c:pt idx="7">
                  <c:v>629.78000000000054</c:v>
                </c:pt>
                <c:pt idx="8">
                  <c:v>1025.5</c:v>
                </c:pt>
                <c:pt idx="9">
                  <c:v>1057.8</c:v>
                </c:pt>
                <c:pt idx="10">
                  <c:v>1187.8</c:v>
                </c:pt>
                <c:pt idx="11">
                  <c:v>1196</c:v>
                </c:pt>
                <c:pt idx="12">
                  <c:v>1904.5</c:v>
                </c:pt>
              </c:numCache>
            </c:numRef>
          </c:val>
          <c:extLst>
            <c:ext xmlns:c16="http://schemas.microsoft.com/office/drawing/2014/chart" uri="{C3380CC4-5D6E-409C-BE32-E72D297353CC}">
              <c16:uniqueId val="{00000005-00EA-40E5-A504-DF2F398AB02E}"/>
            </c:ext>
          </c:extLst>
        </c:ser>
        <c:dLbls>
          <c:showLegendKey val="0"/>
          <c:showVal val="0"/>
          <c:showCatName val="0"/>
          <c:showSerName val="0"/>
          <c:showPercent val="0"/>
          <c:showBubbleSize val="0"/>
        </c:dLbls>
        <c:gapWidth val="70"/>
        <c:axId val="72674304"/>
        <c:axId val="73696384"/>
      </c:barChart>
      <c:catAx>
        <c:axId val="72674304"/>
        <c:scaling>
          <c:orientation val="minMax"/>
        </c:scaling>
        <c:delete val="0"/>
        <c:axPos val="l"/>
        <c:title>
          <c:tx>
            <c:rich>
              <a:bodyPr rot="-5400000" vert="horz"/>
              <a:lstStyle/>
              <a:p>
                <a:pPr>
                  <a:defRPr/>
                </a:pPr>
                <a:r>
                  <a:rPr lang="lv-LV"/>
                  <a:t>Valsts</a:t>
                </a:r>
              </a:p>
            </c:rich>
          </c:tx>
          <c:overlay val="0"/>
        </c:title>
        <c:numFmt formatCode="General" sourceLinked="0"/>
        <c:majorTickMark val="out"/>
        <c:minorTickMark val="none"/>
        <c:tickLblPos val="nextTo"/>
        <c:crossAx val="73696384"/>
        <c:crosses val="autoZero"/>
        <c:auto val="1"/>
        <c:lblAlgn val="ctr"/>
        <c:lblOffset val="100"/>
        <c:noMultiLvlLbl val="0"/>
      </c:catAx>
      <c:valAx>
        <c:axId val="73696384"/>
        <c:scaling>
          <c:orientation val="minMax"/>
        </c:scaling>
        <c:delete val="0"/>
        <c:axPos val="b"/>
        <c:majorGridlines/>
        <c:title>
          <c:tx>
            <c:rich>
              <a:bodyPr/>
              <a:lstStyle/>
              <a:p>
                <a:pPr>
                  <a:defRPr/>
                </a:pPr>
                <a:r>
                  <a:rPr lang="lv-LV"/>
                  <a:t>Pacientu skaits uz 100 000 iedzīvotāju</a:t>
                </a:r>
              </a:p>
            </c:rich>
          </c:tx>
          <c:overlay val="0"/>
        </c:title>
        <c:numFmt formatCode="0" sourceLinked="0"/>
        <c:majorTickMark val="out"/>
        <c:minorTickMark val="none"/>
        <c:tickLblPos val="nextTo"/>
        <c:crossAx val="7267430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0"/>
    <c:plotArea>
      <c:layout/>
      <c:lineChart>
        <c:grouping val="standard"/>
        <c:varyColors val="0"/>
        <c:ser>
          <c:idx val="0"/>
          <c:order val="0"/>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[Psihiska_veseliba_LV_2015_GALA_pilns_1.xlsx]Invaliditāte!$A$3:$A$11</c:f>
              <c:strCache>
                <c:ptCount val="9"/>
                <c:pt idx="0">
                  <c:v>2008.</c:v>
                </c:pt>
                <c:pt idx="1">
                  <c:v>2009.</c:v>
                </c:pt>
                <c:pt idx="2">
                  <c:v>2010.</c:v>
                </c:pt>
                <c:pt idx="3">
                  <c:v>2011.</c:v>
                </c:pt>
                <c:pt idx="4">
                  <c:v>2012.</c:v>
                </c:pt>
                <c:pt idx="5">
                  <c:v>2013.</c:v>
                </c:pt>
                <c:pt idx="6">
                  <c:v>2014.</c:v>
                </c:pt>
                <c:pt idx="7">
                  <c:v>2015.</c:v>
                </c:pt>
                <c:pt idx="8">
                  <c:v>2016.</c:v>
                </c:pt>
              </c:strCache>
            </c:strRef>
          </c:cat>
          <c:val>
            <c:numRef>
              <c:f>[Psihiska_veseliba_LV_2015_GALA_pilns_1.xlsx]Invaliditāte!$B$3:$B$11</c:f>
              <c:numCache>
                <c:formatCode>0.0</c:formatCode>
                <c:ptCount val="9"/>
                <c:pt idx="0">
                  <c:v>57.823326085898167</c:v>
                </c:pt>
                <c:pt idx="1">
                  <c:v>61.634174095063237</c:v>
                </c:pt>
                <c:pt idx="2">
                  <c:v>76.040932428692557</c:v>
                </c:pt>
                <c:pt idx="3">
                  <c:v>66.902654695396294</c:v>
                </c:pt>
                <c:pt idx="4">
                  <c:v>70.048011152626472</c:v>
                </c:pt>
                <c:pt idx="5">
                  <c:v>75.671491324608809</c:v>
                </c:pt>
                <c:pt idx="6">
                  <c:v>77</c:v>
                </c:pt>
                <c:pt idx="7" formatCode="General">
                  <c:v>75.2</c:v>
                </c:pt>
                <c:pt idx="8" formatCode="General">
                  <c:v>85.1</c:v>
                </c:pt>
              </c:numCache>
            </c:numRef>
          </c:val>
          <c:smooth val="0"/>
          <c:extLst>
            <c:ext xmlns:c16="http://schemas.microsoft.com/office/drawing/2014/chart" uri="{C3380CC4-5D6E-409C-BE32-E72D297353CC}">
              <c16:uniqueId val="{00000000-9041-4117-8535-CD8A5D07E70E}"/>
            </c:ext>
          </c:extLst>
        </c:ser>
        <c:dLbls>
          <c:showLegendKey val="0"/>
          <c:showVal val="0"/>
          <c:showCatName val="0"/>
          <c:showSerName val="0"/>
          <c:showPercent val="0"/>
          <c:showBubbleSize val="0"/>
        </c:dLbls>
        <c:marker val="1"/>
        <c:smooth val="0"/>
        <c:axId val="113072768"/>
        <c:axId val="113332608"/>
      </c:lineChart>
      <c:catAx>
        <c:axId val="113072768"/>
        <c:scaling>
          <c:orientation val="minMax"/>
        </c:scaling>
        <c:delete val="0"/>
        <c:axPos val="b"/>
        <c:numFmt formatCode="General" sourceLinked="0"/>
        <c:majorTickMark val="out"/>
        <c:minorTickMark val="none"/>
        <c:tickLblPos val="nextTo"/>
        <c:crossAx val="113332608"/>
        <c:crosses val="autoZero"/>
        <c:auto val="1"/>
        <c:lblAlgn val="ctr"/>
        <c:lblOffset val="100"/>
        <c:noMultiLvlLbl val="0"/>
      </c:catAx>
      <c:valAx>
        <c:axId val="113332608"/>
        <c:scaling>
          <c:orientation val="minMax"/>
        </c:scaling>
        <c:delete val="1"/>
        <c:axPos val="l"/>
        <c:majorGridlines/>
        <c:title>
          <c:tx>
            <c:rich>
              <a:bodyPr rot="-5400000" vert="horz"/>
              <a:lstStyle/>
              <a:p>
                <a:pPr>
                  <a:defRPr/>
                </a:pPr>
                <a:r>
                  <a:rPr lang="lv-LV"/>
                  <a:t>Pirmreizējo invalīdu ar psihiskiem un uzvedības traucējumiem skaits uz 100 000 iedzīvotāju</a:t>
                </a:r>
              </a:p>
            </c:rich>
          </c:tx>
          <c:overlay val="0"/>
        </c:title>
        <c:numFmt formatCode="0.0" sourceLinked="1"/>
        <c:majorTickMark val="out"/>
        <c:minorTickMark val="none"/>
        <c:tickLblPos val="none"/>
        <c:crossAx val="11307276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0"/>
    <c:plotArea>
      <c:layout/>
      <c:barChart>
        <c:barDir val="bar"/>
        <c:grouping val="clustered"/>
        <c:varyColors val="0"/>
        <c:ser>
          <c:idx val="2"/>
          <c:order val="0"/>
          <c:tx>
            <c:strRef>
              <c:f>[Psihiska_veseliba_LV_2015_GALA_pilns_1.xlsx]Invaliditāte!$G$14</c:f>
              <c:strCache>
                <c:ptCount val="1"/>
                <c:pt idx="0">
                  <c:v>2016.</c:v>
                </c:pt>
              </c:strCache>
            </c:strRef>
          </c:tx>
          <c:spPr>
            <a:solidFill>
              <a:schemeClr val="accent6">
                <a:lumMod val="50000"/>
              </a:schemeClr>
            </a:solidFill>
          </c:spPr>
          <c:invertIfNegative val="0"/>
          <c:dLbls>
            <c:dLbl>
              <c:idx val="0"/>
              <c:tx>
                <c:rich>
                  <a:bodyPr/>
                  <a:lstStyle/>
                  <a:p>
                    <a:r>
                      <a:rPr lang="en-US" sz="900" b="1">
                        <a:solidFill>
                          <a:schemeClr val="bg1"/>
                        </a:solidFill>
                      </a:rPr>
                      <a:t>3,8%</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C9-41C8-8726-FF08C94D648C}"/>
                </c:ext>
              </c:extLst>
            </c:dLbl>
            <c:dLbl>
              <c:idx val="1"/>
              <c:tx>
                <c:rich>
                  <a:bodyPr/>
                  <a:lstStyle/>
                  <a:p>
                    <a:r>
                      <a:rPr lang="en-US" sz="900" b="1">
                        <a:solidFill>
                          <a:schemeClr val="bg1"/>
                        </a:solidFill>
                      </a:rPr>
                      <a:t>8,3%</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C9-41C8-8726-FF08C94D648C}"/>
                </c:ext>
              </c:extLst>
            </c:dLbl>
            <c:dLbl>
              <c:idx val="2"/>
              <c:tx>
                <c:rich>
                  <a:bodyPr/>
                  <a:lstStyle/>
                  <a:p>
                    <a:r>
                      <a:rPr lang="en-US" sz="900" b="1">
                        <a:solidFill>
                          <a:schemeClr val="bg1"/>
                        </a:solidFill>
                      </a:rPr>
                      <a:t>17,4%</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C9-41C8-8726-FF08C94D648C}"/>
                </c:ext>
              </c:extLst>
            </c:dLbl>
            <c:dLbl>
              <c:idx val="3"/>
              <c:tx>
                <c:rich>
                  <a:bodyPr/>
                  <a:lstStyle/>
                  <a:p>
                    <a:r>
                      <a:rPr lang="en-US" sz="900" b="1">
                        <a:solidFill>
                          <a:schemeClr val="bg1"/>
                        </a:solidFill>
                      </a:rPr>
                      <a:t>21,3%</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C9-41C8-8726-FF08C94D648C}"/>
                </c:ext>
              </c:extLst>
            </c:dLbl>
            <c:dLbl>
              <c:idx val="4"/>
              <c:tx>
                <c:rich>
                  <a:bodyPr/>
                  <a:lstStyle/>
                  <a:p>
                    <a:r>
                      <a:rPr lang="en-US" sz="900" b="1">
                        <a:solidFill>
                          <a:schemeClr val="bg1"/>
                        </a:solidFill>
                      </a:rPr>
                      <a:t>23,1%</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C9-41C8-8726-FF08C94D648C}"/>
                </c:ext>
              </c:extLst>
            </c:dLbl>
            <c:dLbl>
              <c:idx val="5"/>
              <c:tx>
                <c:rich>
                  <a:bodyPr/>
                  <a:lstStyle/>
                  <a:p>
                    <a:r>
                      <a:rPr lang="en-US" sz="900" b="1">
                        <a:solidFill>
                          <a:schemeClr val="bg1"/>
                        </a:solidFill>
                      </a:rPr>
                      <a:t>26,1%</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C9-41C8-8726-FF08C94D648C}"/>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[Psihiska_veseliba_LV_2015_GALA_pilns_1.xlsx]Invaliditāte!$A$15:$A$20</c:f>
              <c:strCache>
                <c:ptCount val="6"/>
                <c:pt idx="0">
                  <c:v>Ievainojumi, saindēšanās un citas ārējās iedarbes sekas</c:v>
                </c:pt>
                <c:pt idx="1">
                  <c:v>Psihiski un uzvedības traucējumi</c:v>
                </c:pt>
                <c:pt idx="2">
                  <c:v>Muskuļu, skeleta un saistaudu slimības</c:v>
                </c:pt>
                <c:pt idx="3">
                  <c:v>Ļaundabīgie audzēji</c:v>
                </c:pt>
                <c:pt idx="4">
                  <c:v>Asinsrites sistēmas slimības</c:v>
                </c:pt>
                <c:pt idx="5">
                  <c:v>Citi</c:v>
                </c:pt>
              </c:strCache>
            </c:strRef>
          </c:cat>
          <c:val>
            <c:numRef>
              <c:f>[Psihiska_veseliba_LV_2015_GALA_pilns_1.xlsx]Invaliditāte!$G$15:$G$20</c:f>
              <c:numCache>
                <c:formatCode>0.00%</c:formatCode>
                <c:ptCount val="6"/>
                <c:pt idx="0">
                  <c:v>3.7999999999999999E-2</c:v>
                </c:pt>
                <c:pt idx="1">
                  <c:v>8.3000000000000004E-2</c:v>
                </c:pt>
                <c:pt idx="2">
                  <c:v>0.17399999999999999</c:v>
                </c:pt>
                <c:pt idx="3">
                  <c:v>0.21299999999999999</c:v>
                </c:pt>
                <c:pt idx="4">
                  <c:v>0.23100000000000001</c:v>
                </c:pt>
                <c:pt idx="5">
                  <c:v>0.26100000000000001</c:v>
                </c:pt>
              </c:numCache>
            </c:numRef>
          </c:val>
          <c:extLst>
            <c:ext xmlns:c16="http://schemas.microsoft.com/office/drawing/2014/chart" uri="{C3380CC4-5D6E-409C-BE32-E72D297353CC}">
              <c16:uniqueId val="{00000006-02C9-41C8-8726-FF08C94D648C}"/>
            </c:ext>
          </c:extLst>
        </c:ser>
        <c:ser>
          <c:idx val="0"/>
          <c:order val="1"/>
          <c:tx>
            <c:strRef>
              <c:f>[Psihiska_veseliba_LV_2015_GALA_pilns_1.xlsx]Invaliditāte!$B$14</c:f>
              <c:strCache>
                <c:ptCount val="1"/>
                <c:pt idx="0">
                  <c:v>2015.</c:v>
                </c:pt>
              </c:strCache>
            </c:strRef>
          </c:tx>
          <c:spPr>
            <a:solidFill>
              <a:schemeClr val="accent6">
                <a:lumMod val="75000"/>
              </a:schemeClr>
            </a:solidFill>
          </c:spPr>
          <c:invertIfNegative val="0"/>
          <c:dPt>
            <c:idx val="3"/>
            <c:invertIfNegative val="0"/>
            <c:bubble3D val="0"/>
            <c:extLst>
              <c:ext xmlns:c16="http://schemas.microsoft.com/office/drawing/2014/chart" uri="{C3380CC4-5D6E-409C-BE32-E72D297353CC}">
                <c16:uniqueId val="{00000007-02C9-41C8-8726-FF08C94D648C}"/>
              </c:ext>
            </c:extLst>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[Psihiska_veseliba_LV_2015_GALA_pilns_1.xlsx]Invaliditāte!$A$15:$A$20</c:f>
              <c:strCache>
                <c:ptCount val="6"/>
                <c:pt idx="0">
                  <c:v>Ievainojumi, saindēšanās un citas ārējās iedarbes sekas</c:v>
                </c:pt>
                <c:pt idx="1">
                  <c:v>Psihiski un uzvedības traucējumi</c:v>
                </c:pt>
                <c:pt idx="2">
                  <c:v>Muskuļu, skeleta un saistaudu slimības</c:v>
                </c:pt>
                <c:pt idx="3">
                  <c:v>Ļaundabīgie audzēji</c:v>
                </c:pt>
                <c:pt idx="4">
                  <c:v>Asinsrites sistēmas slimības</c:v>
                </c:pt>
                <c:pt idx="5">
                  <c:v>Citi</c:v>
                </c:pt>
              </c:strCache>
            </c:strRef>
          </c:cat>
          <c:val>
            <c:numRef>
              <c:f>[Psihiska_veseliba_LV_2015_GALA_pilns_1.xlsx]Invaliditāte!$B$15:$B$20</c:f>
              <c:numCache>
                <c:formatCode>0.0%</c:formatCode>
                <c:ptCount val="6"/>
                <c:pt idx="0">
                  <c:v>4.8000000000000001E-2</c:v>
                </c:pt>
                <c:pt idx="1">
                  <c:v>7.5999999999999998E-2</c:v>
                </c:pt>
                <c:pt idx="2">
                  <c:v>0.17499999999999999</c:v>
                </c:pt>
                <c:pt idx="3">
                  <c:v>0.22</c:v>
                </c:pt>
                <c:pt idx="4">
                  <c:v>0.23100000000000001</c:v>
                </c:pt>
                <c:pt idx="5">
                  <c:v>0.25</c:v>
                </c:pt>
              </c:numCache>
            </c:numRef>
          </c:val>
          <c:extLst>
            <c:ext xmlns:c16="http://schemas.microsoft.com/office/drawing/2014/chart" uri="{C3380CC4-5D6E-409C-BE32-E72D297353CC}">
              <c16:uniqueId val="{00000008-02C9-41C8-8726-FF08C94D648C}"/>
            </c:ext>
          </c:extLst>
        </c:ser>
        <c:ser>
          <c:idx val="1"/>
          <c:order val="2"/>
          <c:tx>
            <c:strRef>
              <c:f>[Psihiska_veseliba_LV_2015_GALA_pilns_1.xlsx]Invaliditāte!$C$14</c:f>
              <c:strCache>
                <c:ptCount val="1"/>
                <c:pt idx="0">
                  <c:v>2014.</c:v>
                </c:pt>
              </c:strCache>
            </c:strRef>
          </c:tx>
          <c:spPr>
            <a:solidFill>
              <a:schemeClr val="accent6">
                <a:lumMod val="60000"/>
                <a:lumOff val="4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[Psihiska_veseliba_LV_2015_GALA_pilns_1.xlsx]Invaliditāte!$A$15:$A$20</c:f>
              <c:strCache>
                <c:ptCount val="6"/>
                <c:pt idx="0">
                  <c:v>Ievainojumi, saindēšanās un citas ārējās iedarbes sekas</c:v>
                </c:pt>
                <c:pt idx="1">
                  <c:v>Psihiski un uzvedības traucējumi</c:v>
                </c:pt>
                <c:pt idx="2">
                  <c:v>Muskuļu, skeleta un saistaudu slimības</c:v>
                </c:pt>
                <c:pt idx="3">
                  <c:v>Ļaundabīgie audzēji</c:v>
                </c:pt>
                <c:pt idx="4">
                  <c:v>Asinsrites sistēmas slimības</c:v>
                </c:pt>
                <c:pt idx="5">
                  <c:v>Citi</c:v>
                </c:pt>
              </c:strCache>
            </c:strRef>
          </c:cat>
          <c:val>
            <c:numRef>
              <c:f>[Psihiska_veseliba_LV_2015_GALA_pilns_1.xlsx]Invaliditāte!$C$15:$C$20</c:f>
              <c:numCache>
                <c:formatCode>0.0%</c:formatCode>
                <c:ptCount val="6"/>
                <c:pt idx="0">
                  <c:v>5.0999999999999997E-2</c:v>
                </c:pt>
                <c:pt idx="1">
                  <c:v>8.1000000000000003E-2</c:v>
                </c:pt>
                <c:pt idx="2">
                  <c:v>0.16400000000000001</c:v>
                </c:pt>
                <c:pt idx="3">
                  <c:v>0.22800000000000001</c:v>
                </c:pt>
                <c:pt idx="4">
                  <c:v>0.224</c:v>
                </c:pt>
                <c:pt idx="5">
                  <c:v>0.252</c:v>
                </c:pt>
              </c:numCache>
            </c:numRef>
          </c:val>
          <c:extLst>
            <c:ext xmlns:c16="http://schemas.microsoft.com/office/drawing/2014/chart" uri="{C3380CC4-5D6E-409C-BE32-E72D297353CC}">
              <c16:uniqueId val="{00000009-02C9-41C8-8726-FF08C94D648C}"/>
            </c:ext>
          </c:extLst>
        </c:ser>
        <c:dLbls>
          <c:showLegendKey val="0"/>
          <c:showVal val="0"/>
          <c:showCatName val="0"/>
          <c:showSerName val="0"/>
          <c:showPercent val="0"/>
          <c:showBubbleSize val="0"/>
        </c:dLbls>
        <c:gapWidth val="150"/>
        <c:axId val="113719936"/>
        <c:axId val="113766784"/>
      </c:barChart>
      <c:catAx>
        <c:axId val="113719936"/>
        <c:scaling>
          <c:orientation val="minMax"/>
        </c:scaling>
        <c:delete val="0"/>
        <c:axPos val="l"/>
        <c:numFmt formatCode="General" sourceLinked="0"/>
        <c:majorTickMark val="out"/>
        <c:minorTickMark val="none"/>
        <c:tickLblPos val="nextTo"/>
        <c:crossAx val="113766784"/>
        <c:crosses val="autoZero"/>
        <c:auto val="1"/>
        <c:lblAlgn val="ctr"/>
        <c:lblOffset val="100"/>
        <c:noMultiLvlLbl val="0"/>
      </c:catAx>
      <c:valAx>
        <c:axId val="113766784"/>
        <c:scaling>
          <c:orientation val="minMax"/>
        </c:scaling>
        <c:delete val="0"/>
        <c:axPos val="b"/>
        <c:majorGridlines/>
        <c:numFmt formatCode="0%" sourceLinked="0"/>
        <c:majorTickMark val="out"/>
        <c:minorTickMark val="none"/>
        <c:tickLblPos val="nextTo"/>
        <c:crossAx val="11371993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8F72-FBFE-4D0D-A127-5ED5531D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184</Pages>
  <Words>218336</Words>
  <Characters>124452</Characters>
  <Application>Microsoft Office Word</Application>
  <DocSecurity>0</DocSecurity>
  <Lines>1037</Lines>
  <Paragraphs>684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veselības reformas pasākumu īstenošanas turpināšanu 2019.gadā”</vt:lpstr>
      <vt:lpstr>Informatīvais ziņojums “Par veselības reformas pasākumu īstenošanas turpināšanu 2019.gadā”</vt:lpstr>
    </vt:vector>
  </TitlesOfParts>
  <Company>Veselības ministrija</Company>
  <LinksUpToDate>false</LinksUpToDate>
  <CharactersWithSpaces>342104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turpināšanu 2019.gadā”</dc:title>
  <dc:subject>Informatīvais ziņojums</dc:subject>
  <dc:creator>Lāsma Zandberga</dc:creator>
  <cp:keywords/>
  <dc:description/>
  <cp:lastModifiedBy>Lāsma Zandberga</cp:lastModifiedBy>
  <cp:revision>12</cp:revision>
  <cp:lastPrinted>2019-01-07T06:52:00Z</cp:lastPrinted>
  <dcterms:created xsi:type="dcterms:W3CDTF">2019-01-07T06:45:00Z</dcterms:created>
  <dcterms:modified xsi:type="dcterms:W3CDTF">2019-01-07T08:30:00Z</dcterms:modified>
</cp:coreProperties>
</file>