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343D4" w14:textId="77777777" w:rsidR="00DC542A" w:rsidRPr="00CB33DF" w:rsidRDefault="00DC542A" w:rsidP="00DC542A">
      <w:pPr>
        <w:pStyle w:val="naislab"/>
        <w:spacing w:before="0" w:after="0"/>
        <w:jc w:val="center"/>
        <w:rPr>
          <w:b/>
          <w:sz w:val="28"/>
          <w:szCs w:val="28"/>
        </w:rPr>
      </w:pPr>
      <w:r w:rsidRPr="00CB33DF">
        <w:rPr>
          <w:b/>
          <w:sz w:val="28"/>
          <w:szCs w:val="28"/>
        </w:rPr>
        <w:t>Likumprojekta “</w:t>
      </w:r>
      <w:r w:rsidR="00BC78AF" w:rsidRPr="00CB33DF">
        <w:rPr>
          <w:b/>
          <w:sz w:val="28"/>
          <w:szCs w:val="28"/>
        </w:rPr>
        <w:t>Grozījumi Maksājumu pakalpojumu un elektroniskās naudas likumā</w:t>
      </w:r>
      <w:r w:rsidRPr="00CB33DF">
        <w:rPr>
          <w:b/>
          <w:sz w:val="28"/>
          <w:szCs w:val="28"/>
        </w:rPr>
        <w:t>” sākotnējās ietekmes novērtējuma ziņojums (anotācija)</w:t>
      </w:r>
    </w:p>
    <w:p w14:paraId="0DCE0405" w14:textId="77777777" w:rsidR="003A0997" w:rsidRPr="00CB33DF" w:rsidRDefault="003A0997" w:rsidP="003A0997">
      <w:pPr>
        <w:shd w:val="clear" w:color="auto" w:fill="FFFFFF"/>
        <w:spacing w:after="0" w:line="240" w:lineRule="auto"/>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53"/>
        <w:gridCol w:w="5802"/>
      </w:tblGrid>
      <w:tr w:rsidR="00CB33DF" w:rsidRPr="00CB33DF" w14:paraId="5C851A1A" w14:textId="77777777" w:rsidTr="00553F2A">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37CF9BA" w14:textId="77777777" w:rsidR="003A0997" w:rsidRPr="00CB33DF" w:rsidRDefault="003A0997" w:rsidP="00553F2A">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CB33DF">
              <w:rPr>
                <w:rFonts w:ascii="Times New Roman" w:eastAsia="Times New Roman" w:hAnsi="Times New Roman" w:cs="Times New Roman"/>
                <w:b/>
                <w:bCs/>
                <w:sz w:val="24"/>
                <w:szCs w:val="24"/>
                <w:lang w:eastAsia="lv-LV"/>
              </w:rPr>
              <w:t>Tiesību akta projekta anotācijas kopsavilkums</w:t>
            </w:r>
          </w:p>
        </w:tc>
      </w:tr>
      <w:tr w:rsidR="00CB33DF" w:rsidRPr="00CB33DF" w14:paraId="3F670859" w14:textId="77777777" w:rsidTr="00B35594">
        <w:trPr>
          <w:trHeight w:val="5771"/>
        </w:trPr>
        <w:tc>
          <w:tcPr>
            <w:tcW w:w="1796" w:type="pct"/>
            <w:tcBorders>
              <w:top w:val="outset" w:sz="6" w:space="0" w:color="414142"/>
              <w:left w:val="outset" w:sz="6" w:space="0" w:color="414142"/>
              <w:bottom w:val="outset" w:sz="6" w:space="0" w:color="414142"/>
              <w:right w:val="outset" w:sz="6" w:space="0" w:color="414142"/>
            </w:tcBorders>
            <w:hideMark/>
          </w:tcPr>
          <w:p w14:paraId="794746DC" w14:textId="77777777" w:rsidR="003A0997" w:rsidRPr="00CB33DF" w:rsidRDefault="003A0997" w:rsidP="00BF1419">
            <w:pPr>
              <w:spacing w:after="0" w:line="240" w:lineRule="auto"/>
              <w:jc w:val="both"/>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Mērķis, risinājums un projekta spēkā stāšanās laiks (500 zīmes bez atstarpēm)</w:t>
            </w:r>
            <w:r w:rsidR="00E00F36" w:rsidRPr="00CB33DF">
              <w:rPr>
                <w:rFonts w:ascii="Times New Roman" w:eastAsia="Times New Roman" w:hAnsi="Times New Roman" w:cs="Times New Roman"/>
                <w:sz w:val="24"/>
                <w:szCs w:val="24"/>
                <w:lang w:eastAsia="lv-LV"/>
              </w:rPr>
              <w:tab/>
            </w:r>
          </w:p>
        </w:tc>
        <w:tc>
          <w:tcPr>
            <w:tcW w:w="3204" w:type="pct"/>
            <w:tcBorders>
              <w:top w:val="outset" w:sz="6" w:space="0" w:color="414142"/>
              <w:left w:val="outset" w:sz="6" w:space="0" w:color="414142"/>
              <w:bottom w:val="outset" w:sz="6" w:space="0" w:color="414142"/>
              <w:right w:val="outset" w:sz="6" w:space="0" w:color="414142"/>
            </w:tcBorders>
            <w:hideMark/>
          </w:tcPr>
          <w:p w14:paraId="3E7669F2" w14:textId="77777777" w:rsidR="008A7CF3" w:rsidRPr="00CB33DF" w:rsidRDefault="00AD5CF7" w:rsidP="00AD5CF7">
            <w:pPr>
              <w:spacing w:after="0" w:line="240" w:lineRule="auto"/>
              <w:jc w:val="both"/>
              <w:rPr>
                <w:rFonts w:ascii="Times New Roman" w:hAnsi="Times New Roman" w:cs="Times New Roman"/>
                <w:sz w:val="24"/>
                <w:szCs w:val="24"/>
              </w:rPr>
            </w:pPr>
            <w:r w:rsidRPr="00CB33DF">
              <w:rPr>
                <w:rFonts w:ascii="Times New Roman" w:hAnsi="Times New Roman" w:cs="Times New Roman"/>
                <w:sz w:val="24"/>
                <w:szCs w:val="24"/>
              </w:rPr>
              <w:t>Likumprojekts “</w:t>
            </w:r>
            <w:r w:rsidR="008A7CF3" w:rsidRPr="00CB33DF">
              <w:rPr>
                <w:rFonts w:ascii="Times New Roman" w:hAnsi="Times New Roman" w:cs="Times New Roman"/>
                <w:sz w:val="24"/>
                <w:szCs w:val="24"/>
              </w:rPr>
              <w:t xml:space="preserve">Grozījumi </w:t>
            </w:r>
            <w:r w:rsidRPr="00CB33DF">
              <w:rPr>
                <w:rFonts w:ascii="Times New Roman" w:hAnsi="Times New Roman" w:cs="Times New Roman"/>
                <w:sz w:val="24"/>
                <w:szCs w:val="24"/>
              </w:rPr>
              <w:t xml:space="preserve">Maksājumu pakalpojumu un elektroniskās naudas likumā” (turpmāk – likumprojekts) tiek virzīts vienlaicīgi ar grozījumiem </w:t>
            </w:r>
            <w:r w:rsidR="006D4B6F" w:rsidRPr="00CB33DF">
              <w:rPr>
                <w:rFonts w:ascii="Times New Roman" w:hAnsi="Times New Roman" w:cs="Times New Roman"/>
                <w:sz w:val="24"/>
                <w:szCs w:val="24"/>
              </w:rPr>
              <w:t>Elektronisko sakaru likumā</w:t>
            </w:r>
            <w:r w:rsidRPr="00CB33DF">
              <w:rPr>
                <w:rFonts w:ascii="Times New Roman" w:hAnsi="Times New Roman" w:cs="Times New Roman"/>
                <w:sz w:val="24"/>
                <w:szCs w:val="24"/>
              </w:rPr>
              <w:t>,</w:t>
            </w:r>
            <w:r w:rsidR="006D4B6F" w:rsidRPr="00CB33DF">
              <w:rPr>
                <w:rFonts w:ascii="Times New Roman" w:hAnsi="Times New Roman" w:cs="Times New Roman"/>
                <w:sz w:val="24"/>
                <w:szCs w:val="24"/>
              </w:rPr>
              <w:t xml:space="preserve"> </w:t>
            </w:r>
            <w:r w:rsidR="00B35594" w:rsidRPr="00CB33DF">
              <w:rPr>
                <w:rFonts w:ascii="Times New Roman" w:hAnsi="Times New Roman" w:cs="Times New Roman"/>
                <w:sz w:val="24"/>
                <w:szCs w:val="24"/>
              </w:rPr>
              <w:t xml:space="preserve">grozījumiem </w:t>
            </w:r>
            <w:r w:rsidR="006D4B6F" w:rsidRPr="00CB33DF">
              <w:rPr>
                <w:rFonts w:ascii="Times New Roman" w:hAnsi="Times New Roman" w:cs="Times New Roman"/>
                <w:sz w:val="24"/>
                <w:szCs w:val="24"/>
              </w:rPr>
              <w:t>Azartspēļu un izložu likumā</w:t>
            </w:r>
            <w:r w:rsidR="00B35594" w:rsidRPr="00CB33DF">
              <w:rPr>
                <w:rFonts w:ascii="Times New Roman" w:hAnsi="Times New Roman" w:cs="Times New Roman"/>
                <w:sz w:val="24"/>
                <w:szCs w:val="24"/>
              </w:rPr>
              <w:t xml:space="preserve"> un grozījumiem</w:t>
            </w:r>
            <w:r w:rsidR="002A2D71" w:rsidRPr="00CB33DF">
              <w:rPr>
                <w:rFonts w:ascii="Times New Roman" w:hAnsi="Times New Roman" w:cs="Times New Roman"/>
                <w:sz w:val="24"/>
                <w:szCs w:val="24"/>
              </w:rPr>
              <w:t xml:space="preserve"> Latvijas </w:t>
            </w:r>
            <w:r w:rsidR="00224793" w:rsidRPr="00CB33DF">
              <w:rPr>
                <w:rFonts w:ascii="Times New Roman" w:hAnsi="Times New Roman" w:cs="Times New Roman"/>
                <w:sz w:val="24"/>
                <w:szCs w:val="24"/>
              </w:rPr>
              <w:t>A</w:t>
            </w:r>
            <w:r w:rsidR="002A2D71" w:rsidRPr="00CB33DF">
              <w:rPr>
                <w:rFonts w:ascii="Times New Roman" w:hAnsi="Times New Roman" w:cs="Times New Roman"/>
                <w:sz w:val="24"/>
                <w:szCs w:val="24"/>
              </w:rPr>
              <w:t xml:space="preserve">dministratīvo pārkāpumu </w:t>
            </w:r>
            <w:r w:rsidR="00224793" w:rsidRPr="00CB33DF">
              <w:rPr>
                <w:rFonts w:ascii="Times New Roman" w:hAnsi="Times New Roman" w:cs="Times New Roman"/>
                <w:sz w:val="24"/>
                <w:szCs w:val="24"/>
              </w:rPr>
              <w:t>kodeksā</w:t>
            </w:r>
            <w:r w:rsidR="00382E59" w:rsidRPr="00CB33DF">
              <w:rPr>
                <w:rFonts w:ascii="Times New Roman" w:hAnsi="Times New Roman" w:cs="Times New Roman"/>
                <w:sz w:val="24"/>
                <w:szCs w:val="24"/>
              </w:rPr>
              <w:t>.</w:t>
            </w:r>
          </w:p>
          <w:p w14:paraId="5FCB44D9" w14:textId="1B79D96D" w:rsidR="009D3860" w:rsidRPr="00CB33DF" w:rsidRDefault="009D3860" w:rsidP="00AD5CF7">
            <w:pPr>
              <w:spacing w:after="0" w:line="240" w:lineRule="auto"/>
              <w:jc w:val="both"/>
              <w:rPr>
                <w:rFonts w:ascii="Times New Roman" w:hAnsi="Times New Roman" w:cs="Times New Roman"/>
                <w:sz w:val="24"/>
                <w:szCs w:val="24"/>
              </w:rPr>
            </w:pPr>
            <w:r w:rsidRPr="00CB33DF">
              <w:rPr>
                <w:rFonts w:ascii="Times New Roman" w:hAnsi="Times New Roman" w:cs="Times New Roman"/>
                <w:sz w:val="24"/>
                <w:szCs w:val="24"/>
              </w:rPr>
              <w:t>Likumprojekt</w:t>
            </w:r>
            <w:r w:rsidR="002E3AB5" w:rsidRPr="00CB33DF">
              <w:rPr>
                <w:rFonts w:ascii="Times New Roman" w:hAnsi="Times New Roman" w:cs="Times New Roman"/>
                <w:sz w:val="24"/>
                <w:szCs w:val="24"/>
              </w:rPr>
              <w:t xml:space="preserve">a mērķis ir </w:t>
            </w:r>
            <w:r w:rsidR="00595044">
              <w:rPr>
                <w:rFonts w:ascii="Times New Roman" w:hAnsi="Times New Roman" w:cs="Times New Roman"/>
                <w:sz w:val="24"/>
                <w:szCs w:val="24"/>
              </w:rPr>
              <w:t xml:space="preserve">nodrošināt sabiedrības interešu aizstāvību un </w:t>
            </w:r>
            <w:r w:rsidR="002E3AB5" w:rsidRPr="00CB33DF">
              <w:rPr>
                <w:rFonts w:ascii="Times New Roman" w:hAnsi="Times New Roman" w:cs="Times New Roman"/>
                <w:sz w:val="24"/>
                <w:szCs w:val="24"/>
              </w:rPr>
              <w:t>uzlabot nodokļu administrēšanas procesa regulējumu cīņai pret izvairīšanos no nodokļu nomaksas digitālās ekonomikas jomā,</w:t>
            </w:r>
            <w:r w:rsidR="00AD5CF7" w:rsidRPr="00CB33DF">
              <w:rPr>
                <w:rFonts w:ascii="Times New Roman" w:hAnsi="Times New Roman" w:cs="Times New Roman"/>
                <w:sz w:val="24"/>
                <w:szCs w:val="24"/>
              </w:rPr>
              <w:t xml:space="preserve"> paredz</w:t>
            </w:r>
            <w:r w:rsidR="002E3AB5" w:rsidRPr="00CB33DF">
              <w:rPr>
                <w:rFonts w:ascii="Times New Roman" w:hAnsi="Times New Roman" w:cs="Times New Roman"/>
                <w:sz w:val="24"/>
                <w:szCs w:val="24"/>
              </w:rPr>
              <w:t>ot</w:t>
            </w:r>
            <w:r w:rsidR="00AD5CF7" w:rsidRPr="00CB33DF">
              <w:rPr>
                <w:rFonts w:ascii="Times New Roman" w:hAnsi="Times New Roman" w:cs="Times New Roman"/>
                <w:sz w:val="24"/>
                <w:szCs w:val="24"/>
              </w:rPr>
              <w:t xml:space="preserve"> </w:t>
            </w:r>
            <w:r w:rsidRPr="00CB33DF">
              <w:rPr>
                <w:rFonts w:ascii="Times New Roman" w:hAnsi="Times New Roman" w:cs="Times New Roman"/>
                <w:sz w:val="24"/>
                <w:szCs w:val="24"/>
              </w:rPr>
              <w:t xml:space="preserve">noteikt </w:t>
            </w:r>
            <w:r w:rsidR="00AD5CF7" w:rsidRPr="00CB33DF">
              <w:rPr>
                <w:rFonts w:ascii="Times New Roman" w:hAnsi="Times New Roman" w:cs="Times New Roman"/>
                <w:sz w:val="24"/>
                <w:szCs w:val="24"/>
              </w:rPr>
              <w:t xml:space="preserve">pienākumu kredītiestādēm un citiem maksājumu pakalpojumu sniedzējiem </w:t>
            </w:r>
            <w:r w:rsidR="009F7A72">
              <w:rPr>
                <w:rFonts w:ascii="Times New Roman" w:hAnsi="Times New Roman" w:cs="Times New Roman"/>
                <w:sz w:val="24"/>
                <w:szCs w:val="24"/>
              </w:rPr>
              <w:t xml:space="preserve">atteikt </w:t>
            </w:r>
            <w:r w:rsidR="009F7A72" w:rsidRPr="00371F29">
              <w:rPr>
                <w:rFonts w:ascii="Times New Roman" w:hAnsi="Times New Roman" w:cs="Times New Roman"/>
                <w:sz w:val="24"/>
                <w:szCs w:val="24"/>
              </w:rPr>
              <w:t>Latvijas Republikas</w:t>
            </w:r>
            <w:r w:rsidR="009F7A72">
              <w:rPr>
                <w:rFonts w:cs="Times New Roman"/>
                <w:bCs/>
                <w:szCs w:val="24"/>
              </w:rPr>
              <w:t xml:space="preserve"> </w:t>
            </w:r>
            <w:r w:rsidR="009F7A72" w:rsidRPr="00CB33DF">
              <w:rPr>
                <w:rFonts w:ascii="Times New Roman" w:hAnsi="Times New Roman" w:cs="Times New Roman"/>
                <w:sz w:val="24"/>
                <w:szCs w:val="24"/>
              </w:rPr>
              <w:t>rezidentu  attālināt</w:t>
            </w:r>
            <w:r w:rsidR="009F7A72">
              <w:rPr>
                <w:rFonts w:ascii="Times New Roman" w:hAnsi="Times New Roman" w:cs="Times New Roman"/>
                <w:sz w:val="24"/>
                <w:szCs w:val="24"/>
              </w:rPr>
              <w:t xml:space="preserve">o </w:t>
            </w:r>
            <w:r w:rsidR="009F7A72" w:rsidRPr="00CB33DF">
              <w:rPr>
                <w:rFonts w:ascii="Times New Roman" w:hAnsi="Times New Roman" w:cs="Times New Roman"/>
                <w:sz w:val="24"/>
                <w:szCs w:val="24"/>
              </w:rPr>
              <w:t xml:space="preserve"> maksājum</w:t>
            </w:r>
            <w:r w:rsidR="009F7A72">
              <w:rPr>
                <w:rFonts w:ascii="Times New Roman" w:hAnsi="Times New Roman" w:cs="Times New Roman"/>
                <w:sz w:val="24"/>
                <w:szCs w:val="24"/>
              </w:rPr>
              <w:t>u veikšanu</w:t>
            </w:r>
            <w:r w:rsidR="009F7A72" w:rsidRPr="00CB33DF">
              <w:rPr>
                <w:rFonts w:ascii="Times New Roman" w:hAnsi="Times New Roman" w:cs="Times New Roman"/>
                <w:sz w:val="24"/>
                <w:szCs w:val="24"/>
              </w:rPr>
              <w:t xml:space="preserve"> </w:t>
            </w:r>
            <w:r w:rsidR="009F7A72" w:rsidRPr="00371F29">
              <w:rPr>
                <w:rFonts w:ascii="Times New Roman" w:hAnsi="Times New Roman" w:cs="Times New Roman"/>
                <w:sz w:val="24"/>
                <w:szCs w:val="24"/>
              </w:rPr>
              <w:t>Latvijas Republikā</w:t>
            </w:r>
            <w:r w:rsidR="009F7A72">
              <w:rPr>
                <w:rFonts w:cs="Times New Roman"/>
                <w:bCs/>
                <w:szCs w:val="24"/>
              </w:rPr>
              <w:t xml:space="preserve"> </w:t>
            </w:r>
            <w:r w:rsidR="009F7A72" w:rsidRPr="00CB33DF">
              <w:rPr>
                <w:rFonts w:ascii="Times New Roman" w:hAnsi="Times New Roman" w:cs="Times New Roman"/>
                <w:sz w:val="24"/>
                <w:szCs w:val="24"/>
              </w:rPr>
              <w:t xml:space="preserve">nelicencētam interaktīvo azartspēļu vai interaktīvo izložu organizētājam </w:t>
            </w:r>
            <w:r w:rsidR="009F7A72">
              <w:rPr>
                <w:rFonts w:ascii="Times New Roman" w:hAnsi="Times New Roman" w:cs="Times New Roman"/>
                <w:sz w:val="24"/>
                <w:szCs w:val="24"/>
              </w:rPr>
              <w:t xml:space="preserve">un </w:t>
            </w:r>
            <w:r w:rsidR="00AD5CF7" w:rsidRPr="00CB33DF">
              <w:rPr>
                <w:rFonts w:ascii="Times New Roman" w:hAnsi="Times New Roman" w:cs="Times New Roman"/>
                <w:sz w:val="24"/>
                <w:szCs w:val="24"/>
              </w:rPr>
              <w:t xml:space="preserve">ziņot </w:t>
            </w:r>
            <w:r w:rsidR="009F7A72">
              <w:rPr>
                <w:rFonts w:ascii="Times New Roman" w:hAnsi="Times New Roman" w:cs="Times New Roman"/>
                <w:sz w:val="24"/>
                <w:szCs w:val="24"/>
              </w:rPr>
              <w:t xml:space="preserve">par to </w:t>
            </w:r>
            <w:r w:rsidR="00AD5CF7" w:rsidRPr="00CB33DF">
              <w:rPr>
                <w:rFonts w:ascii="Times New Roman" w:hAnsi="Times New Roman" w:cs="Times New Roman"/>
                <w:sz w:val="24"/>
                <w:szCs w:val="24"/>
              </w:rPr>
              <w:t xml:space="preserve">Valsts ieņēmumu dienestam . </w:t>
            </w:r>
            <w:r w:rsidR="004F5687" w:rsidRPr="00CB33DF">
              <w:rPr>
                <w:rFonts w:ascii="Times New Roman" w:hAnsi="Times New Roman" w:cs="Times New Roman"/>
                <w:sz w:val="24"/>
                <w:szCs w:val="24"/>
              </w:rPr>
              <w:t>S</w:t>
            </w:r>
            <w:r w:rsidRPr="00CB33DF">
              <w:rPr>
                <w:rFonts w:ascii="Times New Roman" w:hAnsi="Times New Roman" w:cs="Times New Roman"/>
                <w:sz w:val="24"/>
                <w:szCs w:val="24"/>
              </w:rPr>
              <w:t>avuk</w:t>
            </w:r>
            <w:r w:rsidR="004F5687" w:rsidRPr="00CB33DF">
              <w:rPr>
                <w:rFonts w:ascii="Times New Roman" w:hAnsi="Times New Roman" w:cs="Times New Roman"/>
                <w:sz w:val="24"/>
                <w:szCs w:val="24"/>
              </w:rPr>
              <w:t>ār</w:t>
            </w:r>
            <w:r w:rsidR="00FC04BD" w:rsidRPr="00CB33DF">
              <w:rPr>
                <w:rFonts w:ascii="Times New Roman" w:hAnsi="Times New Roman" w:cs="Times New Roman"/>
                <w:sz w:val="24"/>
                <w:szCs w:val="24"/>
              </w:rPr>
              <w:t>t</w:t>
            </w:r>
            <w:r w:rsidR="004F5687" w:rsidRPr="00CB33DF">
              <w:rPr>
                <w:rFonts w:ascii="Times New Roman" w:hAnsi="Times New Roman" w:cs="Times New Roman"/>
                <w:sz w:val="24"/>
                <w:szCs w:val="24"/>
              </w:rPr>
              <w:t xml:space="preserve"> </w:t>
            </w:r>
            <w:r w:rsidR="00FC04BD" w:rsidRPr="00CB33DF">
              <w:rPr>
                <w:rFonts w:ascii="Times New Roman" w:hAnsi="Times New Roman" w:cs="Times New Roman"/>
                <w:sz w:val="24"/>
                <w:szCs w:val="24"/>
              </w:rPr>
              <w:t>V</w:t>
            </w:r>
            <w:r w:rsidRPr="00CB33DF">
              <w:rPr>
                <w:rFonts w:ascii="Times New Roman" w:hAnsi="Times New Roman" w:cs="Times New Roman"/>
                <w:sz w:val="24"/>
                <w:szCs w:val="24"/>
              </w:rPr>
              <w:t xml:space="preserve">alsts ieņēmumu dienestam, iedarbinot informācijas apmaiņas mehānismu ar </w:t>
            </w:r>
            <w:r w:rsidR="004F5687" w:rsidRPr="00CB33DF">
              <w:rPr>
                <w:rFonts w:ascii="Times New Roman" w:hAnsi="Times New Roman" w:cs="Times New Roman"/>
                <w:sz w:val="24"/>
                <w:szCs w:val="24"/>
              </w:rPr>
              <w:t>kredītiestādēm un citiem maksājumu pakalpojumu sniedzējiem</w:t>
            </w:r>
            <w:r w:rsidRPr="00CB33DF">
              <w:rPr>
                <w:rFonts w:ascii="Times New Roman" w:hAnsi="Times New Roman" w:cs="Times New Roman"/>
                <w:sz w:val="24"/>
                <w:szCs w:val="24"/>
              </w:rPr>
              <w:t xml:space="preserve"> par konkrētās personas naudas plūsmu</w:t>
            </w:r>
            <w:r w:rsidR="007D1EA2" w:rsidRPr="00CB33DF">
              <w:rPr>
                <w:rFonts w:ascii="Times New Roman" w:hAnsi="Times New Roman" w:cs="Times New Roman"/>
                <w:sz w:val="24"/>
                <w:szCs w:val="24"/>
              </w:rPr>
              <w:t>,</w:t>
            </w:r>
            <w:r w:rsidRPr="00CB33DF">
              <w:rPr>
                <w:rFonts w:ascii="Times New Roman" w:hAnsi="Times New Roman" w:cs="Times New Roman"/>
                <w:sz w:val="24"/>
                <w:szCs w:val="24"/>
              </w:rPr>
              <w:t xml:space="preserve"> </w:t>
            </w:r>
            <w:r w:rsidR="00623E1E" w:rsidRPr="00CB33DF">
              <w:rPr>
                <w:rFonts w:ascii="Times New Roman" w:hAnsi="Times New Roman" w:cs="Times New Roman"/>
                <w:sz w:val="24"/>
                <w:szCs w:val="24"/>
              </w:rPr>
              <w:t xml:space="preserve">ir prognozējama spēlētāju “pāriešana” uz </w:t>
            </w:r>
            <w:r w:rsidR="00D97D8D" w:rsidRPr="006C3D5A">
              <w:rPr>
                <w:rFonts w:ascii="Times New Roman" w:hAnsi="Times New Roman" w:cs="Times New Roman"/>
                <w:sz w:val="24"/>
                <w:szCs w:val="24"/>
              </w:rPr>
              <w:t>Latvijas Republikā</w:t>
            </w:r>
            <w:r w:rsidR="00623E1E" w:rsidRPr="00CB33DF">
              <w:rPr>
                <w:rFonts w:ascii="Times New Roman" w:hAnsi="Times New Roman" w:cs="Times New Roman"/>
                <w:sz w:val="24"/>
                <w:szCs w:val="24"/>
              </w:rPr>
              <w:t xml:space="preserve"> licencētajām interaktīvajām azartspē</w:t>
            </w:r>
            <w:r w:rsidR="00B35594" w:rsidRPr="00CB33DF">
              <w:rPr>
                <w:rFonts w:ascii="Times New Roman" w:hAnsi="Times New Roman" w:cs="Times New Roman"/>
                <w:sz w:val="24"/>
                <w:szCs w:val="24"/>
              </w:rPr>
              <w:t>ļu</w:t>
            </w:r>
            <w:r w:rsidR="00623E1E" w:rsidRPr="00CB33DF">
              <w:rPr>
                <w:rFonts w:ascii="Times New Roman" w:hAnsi="Times New Roman" w:cs="Times New Roman"/>
                <w:sz w:val="24"/>
                <w:szCs w:val="24"/>
              </w:rPr>
              <w:t xml:space="preserve"> </w:t>
            </w:r>
            <w:r w:rsidR="00B35594" w:rsidRPr="00CB33DF">
              <w:rPr>
                <w:rFonts w:ascii="Times New Roman" w:hAnsi="Times New Roman" w:cs="Times New Roman"/>
                <w:sz w:val="24"/>
                <w:szCs w:val="24"/>
              </w:rPr>
              <w:t>vai</w:t>
            </w:r>
            <w:r w:rsidR="00623E1E" w:rsidRPr="00CB33DF">
              <w:rPr>
                <w:rFonts w:ascii="Times New Roman" w:hAnsi="Times New Roman" w:cs="Times New Roman"/>
                <w:sz w:val="24"/>
                <w:szCs w:val="24"/>
              </w:rPr>
              <w:t xml:space="preserve"> interaktīv</w:t>
            </w:r>
            <w:r w:rsidR="00B35594" w:rsidRPr="00CB33DF">
              <w:rPr>
                <w:rFonts w:ascii="Times New Roman" w:hAnsi="Times New Roman" w:cs="Times New Roman"/>
                <w:sz w:val="24"/>
                <w:szCs w:val="24"/>
              </w:rPr>
              <w:t>o</w:t>
            </w:r>
            <w:r w:rsidR="00623E1E" w:rsidRPr="00CB33DF">
              <w:rPr>
                <w:rFonts w:ascii="Times New Roman" w:hAnsi="Times New Roman" w:cs="Times New Roman"/>
                <w:sz w:val="24"/>
                <w:szCs w:val="24"/>
              </w:rPr>
              <w:t xml:space="preserve"> izlo</w:t>
            </w:r>
            <w:r w:rsidR="00B35594" w:rsidRPr="00CB33DF">
              <w:rPr>
                <w:rFonts w:ascii="Times New Roman" w:hAnsi="Times New Roman" w:cs="Times New Roman"/>
                <w:sz w:val="24"/>
                <w:szCs w:val="24"/>
              </w:rPr>
              <w:t>žu tīmekļa vietnēm</w:t>
            </w:r>
            <w:r w:rsidR="00623E1E" w:rsidRPr="00CB33DF">
              <w:rPr>
                <w:rFonts w:ascii="Times New Roman" w:hAnsi="Times New Roman" w:cs="Times New Roman"/>
                <w:sz w:val="24"/>
                <w:szCs w:val="24"/>
              </w:rPr>
              <w:t xml:space="preserve">, </w:t>
            </w:r>
            <w:r w:rsidR="00595044">
              <w:rPr>
                <w:rFonts w:ascii="Times New Roman" w:hAnsi="Times New Roman" w:cs="Times New Roman"/>
                <w:sz w:val="24"/>
                <w:szCs w:val="24"/>
              </w:rPr>
              <w:t>mazinot nelicencēto interaktīvo azartspēļu un izložu tirgus daļu</w:t>
            </w:r>
            <w:r w:rsidR="00FC04BD" w:rsidRPr="00CB33DF">
              <w:rPr>
                <w:rFonts w:ascii="Times New Roman" w:hAnsi="Times New Roman" w:cs="Times New Roman"/>
                <w:sz w:val="24"/>
                <w:szCs w:val="24"/>
              </w:rPr>
              <w:t>.</w:t>
            </w:r>
          </w:p>
          <w:p w14:paraId="141D342B" w14:textId="77777777" w:rsidR="008A7CF3" w:rsidRPr="00CB33DF" w:rsidRDefault="00B35594" w:rsidP="00B35594">
            <w:pPr>
              <w:spacing w:after="0" w:line="240" w:lineRule="auto"/>
              <w:jc w:val="both"/>
              <w:rPr>
                <w:rFonts w:ascii="Times New Roman" w:hAnsi="Times New Roman" w:cs="Times New Roman"/>
                <w:sz w:val="24"/>
                <w:szCs w:val="24"/>
              </w:rPr>
            </w:pPr>
            <w:r w:rsidRPr="00CB33DF">
              <w:rPr>
                <w:rFonts w:ascii="Times New Roman" w:hAnsi="Times New Roman" w:cs="Times New Roman"/>
                <w:sz w:val="24"/>
                <w:szCs w:val="24"/>
              </w:rPr>
              <w:t>Likumprojekts stāsies spēkā nākamajā dienā pēc tā izsludināšanas</w:t>
            </w:r>
            <w:r w:rsidR="00EB6EE8">
              <w:rPr>
                <w:rFonts w:ascii="Times New Roman" w:hAnsi="Times New Roman" w:cs="Times New Roman"/>
                <w:sz w:val="24"/>
                <w:szCs w:val="24"/>
              </w:rPr>
              <w:t>.</w:t>
            </w:r>
          </w:p>
        </w:tc>
      </w:tr>
    </w:tbl>
    <w:p w14:paraId="6EB8170B" w14:textId="77777777" w:rsidR="003A0997" w:rsidRPr="00CB33DF" w:rsidRDefault="003A0997" w:rsidP="003A0997">
      <w:pPr>
        <w:shd w:val="clear" w:color="auto" w:fill="FFFFFF"/>
        <w:spacing w:before="45" w:after="0" w:line="248" w:lineRule="atLeast"/>
        <w:ind w:firstLine="300"/>
        <w:jc w:val="center"/>
        <w:rPr>
          <w:rFonts w:ascii="Times New Roman" w:eastAsia="Times New Roman" w:hAnsi="Times New Roman" w:cs="Times New Roman"/>
          <w:iCs/>
          <w:sz w:val="25"/>
          <w:szCs w:val="25"/>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1"/>
        <w:gridCol w:w="2762"/>
        <w:gridCol w:w="5752"/>
      </w:tblGrid>
      <w:tr w:rsidR="00CB33DF" w:rsidRPr="00CB33DF" w14:paraId="1CEBCF23" w14:textId="77777777" w:rsidTr="00553F2A">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7590399" w14:textId="77777777" w:rsidR="003A0997" w:rsidRPr="00CB33DF" w:rsidRDefault="003A0997" w:rsidP="00553F2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B33DF">
              <w:rPr>
                <w:rFonts w:ascii="Times New Roman" w:eastAsia="Times New Roman" w:hAnsi="Times New Roman" w:cs="Times New Roman"/>
                <w:b/>
                <w:bCs/>
                <w:sz w:val="24"/>
                <w:szCs w:val="24"/>
                <w:lang w:eastAsia="lv-LV"/>
              </w:rPr>
              <w:t>I. Tiesību akta projekta izstrādes nepieciešamība</w:t>
            </w:r>
          </w:p>
        </w:tc>
      </w:tr>
      <w:tr w:rsidR="00CB33DF" w:rsidRPr="00CB33DF" w14:paraId="7EB6B997" w14:textId="77777777" w:rsidTr="00287E0E">
        <w:trPr>
          <w:trHeight w:val="324"/>
        </w:trPr>
        <w:tc>
          <w:tcPr>
            <w:tcW w:w="299" w:type="pct"/>
            <w:tcBorders>
              <w:top w:val="outset" w:sz="6" w:space="0" w:color="414142"/>
              <w:left w:val="outset" w:sz="6" w:space="0" w:color="414142"/>
              <w:bottom w:val="outset" w:sz="6" w:space="0" w:color="414142"/>
              <w:right w:val="outset" w:sz="6" w:space="0" w:color="414142"/>
            </w:tcBorders>
            <w:hideMark/>
          </w:tcPr>
          <w:p w14:paraId="1D76414B" w14:textId="77777777" w:rsidR="003A0997" w:rsidRPr="00CB33DF" w:rsidRDefault="003A0997" w:rsidP="00553F2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1.</w:t>
            </w:r>
          </w:p>
        </w:tc>
        <w:tc>
          <w:tcPr>
            <w:tcW w:w="1525" w:type="pct"/>
            <w:tcBorders>
              <w:top w:val="outset" w:sz="6" w:space="0" w:color="414142"/>
              <w:left w:val="outset" w:sz="6" w:space="0" w:color="414142"/>
              <w:bottom w:val="outset" w:sz="6" w:space="0" w:color="414142"/>
              <w:right w:val="outset" w:sz="6" w:space="0" w:color="414142"/>
            </w:tcBorders>
            <w:hideMark/>
          </w:tcPr>
          <w:p w14:paraId="5CB389F9" w14:textId="77777777" w:rsidR="003A0997" w:rsidRPr="00CB33DF" w:rsidRDefault="003A0997" w:rsidP="00553F2A">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Pamatojums</w:t>
            </w:r>
          </w:p>
        </w:tc>
        <w:tc>
          <w:tcPr>
            <w:tcW w:w="3176" w:type="pct"/>
            <w:tcBorders>
              <w:top w:val="outset" w:sz="6" w:space="0" w:color="414142"/>
              <w:left w:val="outset" w:sz="6" w:space="0" w:color="414142"/>
              <w:bottom w:val="outset" w:sz="6" w:space="0" w:color="414142"/>
              <w:right w:val="outset" w:sz="6" w:space="0" w:color="414142"/>
            </w:tcBorders>
          </w:tcPr>
          <w:p w14:paraId="6EC10A58" w14:textId="77777777" w:rsidR="00647717" w:rsidRPr="00CB33DF" w:rsidRDefault="00224793" w:rsidP="003B2A15">
            <w:pPr>
              <w:spacing w:after="0" w:line="240" w:lineRule="auto"/>
              <w:jc w:val="both"/>
              <w:rPr>
                <w:rFonts w:ascii="Times New Roman" w:hAnsi="Times New Roman" w:cs="Times New Roman"/>
                <w:bCs/>
                <w:sz w:val="24"/>
                <w:szCs w:val="24"/>
              </w:rPr>
            </w:pPr>
            <w:r w:rsidRPr="00CB33DF">
              <w:rPr>
                <w:rFonts w:ascii="Times New Roman" w:hAnsi="Times New Roman" w:cs="Times New Roman"/>
                <w:sz w:val="24"/>
                <w:szCs w:val="24"/>
              </w:rPr>
              <w:t>Likumprojekts izstrādāts, pamatojoties uz Ministru kabineta 2019.gada 5.februāra sēdes protokollēmuma (prot. Nr.5 30.§) “Informatīvais ziņojums “Par makroekonomisko rādītāju, ieņēmumu un vispārējās valdības budžeta bilances prognozēm 2019.-2021.gadā”” 8.4.apakšpunktā doto uzdevumu.</w:t>
            </w:r>
          </w:p>
        </w:tc>
      </w:tr>
      <w:tr w:rsidR="00CB33DF" w:rsidRPr="00CB33DF" w14:paraId="005F386A" w14:textId="77777777" w:rsidTr="00287E0E">
        <w:trPr>
          <w:trHeight w:val="372"/>
        </w:trPr>
        <w:tc>
          <w:tcPr>
            <w:tcW w:w="299" w:type="pct"/>
            <w:tcBorders>
              <w:top w:val="outset" w:sz="6" w:space="0" w:color="414142"/>
              <w:left w:val="outset" w:sz="6" w:space="0" w:color="414142"/>
              <w:bottom w:val="outset" w:sz="6" w:space="0" w:color="414142"/>
              <w:right w:val="outset" w:sz="6" w:space="0" w:color="414142"/>
            </w:tcBorders>
            <w:hideMark/>
          </w:tcPr>
          <w:p w14:paraId="42FADE26" w14:textId="77777777" w:rsidR="003A0997" w:rsidRPr="00CB33DF" w:rsidRDefault="003A0997" w:rsidP="00BF141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2.</w:t>
            </w:r>
          </w:p>
        </w:tc>
        <w:tc>
          <w:tcPr>
            <w:tcW w:w="1525" w:type="pct"/>
            <w:tcBorders>
              <w:top w:val="outset" w:sz="6" w:space="0" w:color="414142"/>
              <w:left w:val="outset" w:sz="6" w:space="0" w:color="414142"/>
              <w:bottom w:val="outset" w:sz="6" w:space="0" w:color="414142"/>
              <w:right w:val="outset" w:sz="6" w:space="0" w:color="414142"/>
            </w:tcBorders>
            <w:hideMark/>
          </w:tcPr>
          <w:p w14:paraId="2D29413B" w14:textId="77777777" w:rsidR="003A0997" w:rsidRPr="00CB33DF" w:rsidRDefault="003A0997" w:rsidP="00BF1419">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76" w:type="pct"/>
            <w:tcBorders>
              <w:top w:val="outset" w:sz="6" w:space="0" w:color="414142"/>
              <w:left w:val="outset" w:sz="6" w:space="0" w:color="414142"/>
              <w:bottom w:val="outset" w:sz="6" w:space="0" w:color="414142"/>
              <w:right w:val="outset" w:sz="6" w:space="0" w:color="414142"/>
            </w:tcBorders>
          </w:tcPr>
          <w:p w14:paraId="22B83DB7" w14:textId="096931B4" w:rsidR="00BF1419" w:rsidRPr="00CB33DF" w:rsidRDefault="00933477" w:rsidP="00BF1419">
            <w:pPr>
              <w:spacing w:after="0" w:line="240" w:lineRule="auto"/>
              <w:jc w:val="both"/>
              <w:rPr>
                <w:rFonts w:ascii="Times New Roman" w:hAnsi="Times New Roman" w:cs="Times New Roman"/>
                <w:b/>
                <w:i/>
                <w:sz w:val="24"/>
                <w:szCs w:val="24"/>
              </w:rPr>
            </w:pPr>
            <w:r w:rsidRPr="00CB33DF">
              <w:rPr>
                <w:rFonts w:ascii="Times New Roman" w:hAnsi="Times New Roman" w:cs="Times New Roman"/>
                <w:b/>
                <w:i/>
                <w:sz w:val="24"/>
                <w:szCs w:val="24"/>
              </w:rPr>
              <w:t>1.</w:t>
            </w:r>
            <w:r w:rsidR="00F93732" w:rsidRPr="00CB33DF">
              <w:rPr>
                <w:rFonts w:ascii="Times New Roman" w:hAnsi="Times New Roman" w:cs="Times New Roman"/>
                <w:b/>
                <w:i/>
                <w:sz w:val="24"/>
                <w:szCs w:val="24"/>
              </w:rPr>
              <w:t xml:space="preserve"> </w:t>
            </w:r>
            <w:r w:rsidR="00BF1419" w:rsidRPr="00CB33DF">
              <w:rPr>
                <w:rFonts w:ascii="Times New Roman" w:hAnsi="Times New Roman" w:cs="Times New Roman"/>
                <w:b/>
                <w:i/>
                <w:sz w:val="24"/>
                <w:szCs w:val="24"/>
              </w:rPr>
              <w:t xml:space="preserve">Pienākuma noteikšana kredītiestādēm un citiem maksājumu pakalpojumu sniedzējiem </w:t>
            </w:r>
            <w:r w:rsidR="00D761A8">
              <w:rPr>
                <w:rFonts w:ascii="Times New Roman" w:hAnsi="Times New Roman" w:cs="Times New Roman"/>
                <w:b/>
                <w:i/>
                <w:sz w:val="24"/>
                <w:szCs w:val="24"/>
              </w:rPr>
              <w:t xml:space="preserve">atteikt </w:t>
            </w:r>
            <w:r w:rsidR="00D97D8D" w:rsidRPr="0038322C">
              <w:rPr>
                <w:rFonts w:ascii="Times New Roman" w:hAnsi="Times New Roman" w:cs="Times New Roman"/>
                <w:b/>
                <w:i/>
                <w:sz w:val="24"/>
                <w:szCs w:val="24"/>
              </w:rPr>
              <w:t>Latvijas Republikas</w:t>
            </w:r>
            <w:r w:rsidR="00BF1419" w:rsidRPr="00D97D8D">
              <w:rPr>
                <w:rFonts w:ascii="Times New Roman" w:hAnsi="Times New Roman" w:cs="Times New Roman"/>
                <w:b/>
                <w:i/>
                <w:sz w:val="24"/>
                <w:szCs w:val="24"/>
              </w:rPr>
              <w:t xml:space="preserve"> rezidentu attālināt</w:t>
            </w:r>
            <w:r w:rsidR="00D761A8">
              <w:rPr>
                <w:rFonts w:ascii="Times New Roman" w:hAnsi="Times New Roman" w:cs="Times New Roman"/>
                <w:b/>
                <w:i/>
                <w:sz w:val="24"/>
                <w:szCs w:val="24"/>
              </w:rPr>
              <w:t xml:space="preserve">o </w:t>
            </w:r>
            <w:r w:rsidR="00D761A8" w:rsidRPr="00D97D8D">
              <w:rPr>
                <w:rFonts w:ascii="Times New Roman" w:hAnsi="Times New Roman" w:cs="Times New Roman"/>
                <w:b/>
                <w:i/>
                <w:sz w:val="24"/>
                <w:szCs w:val="24"/>
              </w:rPr>
              <w:t>maksājum</w:t>
            </w:r>
            <w:r w:rsidR="00D761A8">
              <w:rPr>
                <w:rFonts w:ascii="Times New Roman" w:hAnsi="Times New Roman" w:cs="Times New Roman"/>
                <w:b/>
                <w:i/>
                <w:sz w:val="24"/>
                <w:szCs w:val="24"/>
              </w:rPr>
              <w:t>u veikšanu</w:t>
            </w:r>
            <w:r w:rsidR="00D761A8" w:rsidRPr="00D97D8D">
              <w:rPr>
                <w:rFonts w:ascii="Times New Roman" w:hAnsi="Times New Roman" w:cs="Times New Roman"/>
                <w:b/>
                <w:i/>
                <w:sz w:val="24"/>
                <w:szCs w:val="24"/>
              </w:rPr>
              <w:t xml:space="preserve"> </w:t>
            </w:r>
            <w:r w:rsidR="00D97D8D" w:rsidRPr="0038322C">
              <w:rPr>
                <w:rFonts w:ascii="Times New Roman" w:hAnsi="Times New Roman" w:cs="Times New Roman"/>
                <w:b/>
                <w:i/>
                <w:sz w:val="24"/>
                <w:szCs w:val="24"/>
              </w:rPr>
              <w:t>Latvijas Republikā</w:t>
            </w:r>
            <w:r w:rsidR="00BF1419" w:rsidRPr="00D97D8D">
              <w:rPr>
                <w:rFonts w:ascii="Times New Roman" w:hAnsi="Times New Roman" w:cs="Times New Roman"/>
                <w:b/>
                <w:i/>
                <w:sz w:val="24"/>
                <w:szCs w:val="24"/>
              </w:rPr>
              <w:t xml:space="preserve"> nelicencētam </w:t>
            </w:r>
            <w:r w:rsidR="00B35594" w:rsidRPr="00D97D8D">
              <w:rPr>
                <w:rFonts w:ascii="Times New Roman" w:hAnsi="Times New Roman" w:cs="Times New Roman"/>
                <w:b/>
                <w:i/>
                <w:sz w:val="24"/>
                <w:szCs w:val="24"/>
              </w:rPr>
              <w:t xml:space="preserve">interaktīvo </w:t>
            </w:r>
            <w:r w:rsidR="00BF1419" w:rsidRPr="00D97D8D">
              <w:rPr>
                <w:rFonts w:ascii="Times New Roman" w:hAnsi="Times New Roman" w:cs="Times New Roman"/>
                <w:b/>
                <w:i/>
                <w:sz w:val="24"/>
                <w:szCs w:val="24"/>
              </w:rPr>
              <w:t>azartspēļ</w:t>
            </w:r>
            <w:r w:rsidR="00BF1419" w:rsidRPr="00CB33DF">
              <w:rPr>
                <w:rFonts w:ascii="Times New Roman" w:hAnsi="Times New Roman" w:cs="Times New Roman"/>
                <w:b/>
                <w:i/>
                <w:sz w:val="24"/>
                <w:szCs w:val="24"/>
              </w:rPr>
              <w:t xml:space="preserve">u </w:t>
            </w:r>
            <w:r w:rsidR="00B35594" w:rsidRPr="00CB33DF">
              <w:rPr>
                <w:rFonts w:ascii="Times New Roman" w:hAnsi="Times New Roman" w:cs="Times New Roman"/>
                <w:b/>
                <w:i/>
                <w:sz w:val="24"/>
                <w:szCs w:val="24"/>
              </w:rPr>
              <w:t xml:space="preserve">vai interaktīvo izložu </w:t>
            </w:r>
            <w:r w:rsidR="00BF1419" w:rsidRPr="00CB33DF">
              <w:rPr>
                <w:rFonts w:ascii="Times New Roman" w:hAnsi="Times New Roman" w:cs="Times New Roman"/>
                <w:b/>
                <w:i/>
                <w:sz w:val="24"/>
                <w:szCs w:val="24"/>
              </w:rPr>
              <w:t>organizētājam</w:t>
            </w:r>
            <w:r w:rsidR="00D761A8">
              <w:rPr>
                <w:rFonts w:ascii="Times New Roman" w:hAnsi="Times New Roman" w:cs="Times New Roman"/>
                <w:b/>
                <w:i/>
                <w:sz w:val="24"/>
                <w:szCs w:val="24"/>
              </w:rPr>
              <w:t xml:space="preserve">, </w:t>
            </w:r>
            <w:r w:rsidR="00D761A8" w:rsidRPr="00CB33DF">
              <w:rPr>
                <w:rFonts w:ascii="Times New Roman" w:hAnsi="Times New Roman" w:cs="Times New Roman"/>
                <w:b/>
                <w:i/>
                <w:sz w:val="24"/>
                <w:szCs w:val="24"/>
              </w:rPr>
              <w:t xml:space="preserve"> </w:t>
            </w:r>
            <w:r w:rsidR="00D761A8">
              <w:rPr>
                <w:rFonts w:ascii="Times New Roman" w:hAnsi="Times New Roman" w:cs="Times New Roman"/>
                <w:b/>
                <w:i/>
                <w:sz w:val="24"/>
                <w:szCs w:val="24"/>
              </w:rPr>
              <w:t>paziņojot par to</w:t>
            </w:r>
            <w:r w:rsidR="00D761A8" w:rsidRPr="00CB33DF">
              <w:rPr>
                <w:rFonts w:ascii="Times New Roman" w:hAnsi="Times New Roman" w:cs="Times New Roman"/>
                <w:b/>
                <w:i/>
                <w:sz w:val="24"/>
                <w:szCs w:val="24"/>
              </w:rPr>
              <w:t xml:space="preserve"> Valsts ieņēmumu dienestam</w:t>
            </w:r>
            <w:r w:rsidR="00BF1419" w:rsidRPr="00CB33DF">
              <w:rPr>
                <w:rFonts w:ascii="Times New Roman" w:hAnsi="Times New Roman" w:cs="Times New Roman"/>
                <w:b/>
                <w:i/>
                <w:sz w:val="24"/>
                <w:szCs w:val="24"/>
              </w:rPr>
              <w:t>.</w:t>
            </w:r>
          </w:p>
          <w:p w14:paraId="112461B0" w14:textId="4C1A0ADA" w:rsidR="00BF1419" w:rsidRPr="00CB33DF" w:rsidRDefault="00BF1419" w:rsidP="00BF1419">
            <w:pPr>
              <w:spacing w:after="0" w:line="240" w:lineRule="auto"/>
              <w:jc w:val="both"/>
              <w:rPr>
                <w:rFonts w:ascii="Times New Roman" w:hAnsi="Times New Roman" w:cs="Times New Roman"/>
                <w:sz w:val="24"/>
                <w:szCs w:val="24"/>
              </w:rPr>
            </w:pPr>
            <w:r w:rsidRPr="00CB33DF">
              <w:rPr>
                <w:rFonts w:ascii="Times New Roman" w:hAnsi="Times New Roman" w:cs="Times New Roman"/>
                <w:sz w:val="24"/>
                <w:szCs w:val="24"/>
              </w:rPr>
              <w:t xml:space="preserve">Atbilstoši azartspēļu nozares datu starptautiskā specializēta uzņēmuma H2 </w:t>
            </w:r>
            <w:proofErr w:type="spellStart"/>
            <w:r w:rsidRPr="00CB33DF">
              <w:rPr>
                <w:rFonts w:ascii="Times New Roman" w:hAnsi="Times New Roman" w:cs="Times New Roman"/>
                <w:sz w:val="24"/>
                <w:szCs w:val="24"/>
              </w:rPr>
              <w:t>Gambling</w:t>
            </w:r>
            <w:proofErr w:type="spellEnd"/>
            <w:r w:rsidRPr="00CB33DF">
              <w:rPr>
                <w:rFonts w:ascii="Times New Roman" w:hAnsi="Times New Roman" w:cs="Times New Roman"/>
                <w:sz w:val="24"/>
                <w:szCs w:val="24"/>
              </w:rPr>
              <w:t xml:space="preserve"> </w:t>
            </w:r>
            <w:proofErr w:type="spellStart"/>
            <w:r w:rsidRPr="00CB33DF">
              <w:rPr>
                <w:rFonts w:ascii="Times New Roman" w:hAnsi="Times New Roman" w:cs="Times New Roman"/>
                <w:sz w:val="24"/>
                <w:szCs w:val="24"/>
              </w:rPr>
              <w:t>Capital</w:t>
            </w:r>
            <w:proofErr w:type="spellEnd"/>
            <w:r w:rsidRPr="00CB33DF">
              <w:rPr>
                <w:rFonts w:ascii="Times New Roman" w:hAnsi="Times New Roman" w:cs="Times New Roman"/>
                <w:sz w:val="24"/>
                <w:szCs w:val="24"/>
              </w:rPr>
              <w:t xml:space="preserve"> 2018.gada pētījumam </w:t>
            </w:r>
            <w:r w:rsidR="00D97D8D" w:rsidRPr="006C3D5A">
              <w:rPr>
                <w:rFonts w:ascii="Times New Roman" w:hAnsi="Times New Roman" w:cs="Times New Roman"/>
                <w:sz w:val="24"/>
                <w:szCs w:val="24"/>
              </w:rPr>
              <w:t>Latvijas Republikā</w:t>
            </w:r>
            <w:r w:rsidRPr="00CB33DF">
              <w:rPr>
                <w:rFonts w:ascii="Times New Roman" w:hAnsi="Times New Roman" w:cs="Times New Roman"/>
                <w:sz w:val="24"/>
                <w:szCs w:val="24"/>
              </w:rPr>
              <w:t xml:space="preserve"> </w:t>
            </w:r>
            <w:r w:rsidR="00EE4346" w:rsidRPr="00CB33DF">
              <w:rPr>
                <w:rFonts w:ascii="Times New Roman" w:hAnsi="Times New Roman" w:cs="Times New Roman"/>
                <w:sz w:val="24"/>
                <w:szCs w:val="24"/>
              </w:rPr>
              <w:t>nelicencētā</w:t>
            </w:r>
            <w:r w:rsidRPr="00CB33DF">
              <w:rPr>
                <w:rFonts w:ascii="Times New Roman" w:hAnsi="Times New Roman" w:cs="Times New Roman"/>
                <w:sz w:val="24"/>
                <w:szCs w:val="24"/>
              </w:rPr>
              <w:t xml:space="preserve"> interaktīvo azartspēļu tirgus īpatsvars ir 6. lielākais Eiropā - 66% jeb 22,3 milj. </w:t>
            </w:r>
            <w:r w:rsidRPr="00CB33DF">
              <w:rPr>
                <w:rFonts w:ascii="Times New Roman" w:hAnsi="Times New Roman" w:cs="Times New Roman"/>
                <w:i/>
                <w:sz w:val="24"/>
                <w:szCs w:val="24"/>
              </w:rPr>
              <w:t>euro</w:t>
            </w:r>
            <w:r w:rsidRPr="00CB33DF">
              <w:rPr>
                <w:rFonts w:ascii="Times New Roman" w:hAnsi="Times New Roman" w:cs="Times New Roman"/>
                <w:sz w:val="24"/>
                <w:szCs w:val="24"/>
              </w:rPr>
              <w:t xml:space="preserve">. </w:t>
            </w:r>
          </w:p>
          <w:p w14:paraId="5B70BAA0" w14:textId="1C85D748" w:rsidR="00D761A8" w:rsidRDefault="00BF1419" w:rsidP="00BF1419">
            <w:pPr>
              <w:spacing w:after="0" w:line="240" w:lineRule="auto"/>
              <w:jc w:val="both"/>
              <w:rPr>
                <w:rFonts w:ascii="Times New Roman" w:hAnsi="Times New Roman" w:cs="Times New Roman"/>
                <w:sz w:val="24"/>
                <w:szCs w:val="24"/>
              </w:rPr>
            </w:pPr>
            <w:r w:rsidRPr="00CB33DF">
              <w:rPr>
                <w:rFonts w:ascii="Times New Roman" w:hAnsi="Times New Roman" w:cs="Times New Roman"/>
                <w:sz w:val="24"/>
                <w:szCs w:val="24"/>
              </w:rPr>
              <w:t xml:space="preserve">Turklāt ir konstatēti gadījumi, kad interaktīvo azartspēļu organizētāji, kas ir licencēti citā valstī, nav saņēmuši licences </w:t>
            </w:r>
            <w:r w:rsidR="00D97D8D" w:rsidRPr="006C3D5A">
              <w:rPr>
                <w:rFonts w:ascii="Times New Roman" w:hAnsi="Times New Roman" w:cs="Times New Roman"/>
                <w:sz w:val="24"/>
                <w:szCs w:val="24"/>
              </w:rPr>
              <w:t>Latvijas Republikā</w:t>
            </w:r>
            <w:r w:rsidRPr="00CB33DF">
              <w:rPr>
                <w:rFonts w:ascii="Times New Roman" w:hAnsi="Times New Roman" w:cs="Times New Roman"/>
                <w:sz w:val="24"/>
                <w:szCs w:val="24"/>
              </w:rPr>
              <w:t xml:space="preserve">, savukārt tīmekļa vietnes ir </w:t>
            </w:r>
            <w:r w:rsidR="00595044">
              <w:rPr>
                <w:rFonts w:ascii="Times New Roman" w:hAnsi="Times New Roman" w:cs="Times New Roman"/>
                <w:sz w:val="24"/>
                <w:szCs w:val="24"/>
              </w:rPr>
              <w:t xml:space="preserve">pieejamas </w:t>
            </w:r>
            <w:r w:rsidRPr="00CB33DF">
              <w:rPr>
                <w:rFonts w:ascii="Times New Roman" w:hAnsi="Times New Roman" w:cs="Times New Roman"/>
                <w:sz w:val="24"/>
                <w:szCs w:val="24"/>
              </w:rPr>
              <w:t xml:space="preserve">latviešu valodā. Tādejādi secināms, ka šādas tīmekļa vietnes darbojas Latvijas </w:t>
            </w:r>
            <w:r w:rsidR="00D97D8D">
              <w:rPr>
                <w:rFonts w:ascii="Times New Roman" w:hAnsi="Times New Roman" w:cs="Times New Roman"/>
                <w:sz w:val="24"/>
                <w:szCs w:val="24"/>
              </w:rPr>
              <w:t xml:space="preserve">Republikas </w:t>
            </w:r>
            <w:r w:rsidRPr="00CB33DF">
              <w:rPr>
                <w:rFonts w:ascii="Times New Roman" w:hAnsi="Times New Roman" w:cs="Times New Roman"/>
                <w:sz w:val="24"/>
                <w:szCs w:val="24"/>
              </w:rPr>
              <w:t xml:space="preserve">ekonomiskajā </w:t>
            </w:r>
            <w:r w:rsidR="00800A25">
              <w:rPr>
                <w:rFonts w:ascii="Times New Roman" w:hAnsi="Times New Roman" w:cs="Times New Roman"/>
                <w:sz w:val="24"/>
                <w:szCs w:val="24"/>
              </w:rPr>
              <w:lastRenderedPageBreak/>
              <w:t>vidē</w:t>
            </w:r>
            <w:r w:rsidRPr="00CB33DF">
              <w:rPr>
                <w:rFonts w:ascii="Times New Roman" w:hAnsi="Times New Roman" w:cs="Times New Roman"/>
                <w:sz w:val="24"/>
                <w:szCs w:val="24"/>
              </w:rPr>
              <w:t xml:space="preserve">, tomēr </w:t>
            </w:r>
            <w:r w:rsidR="00800A25">
              <w:rPr>
                <w:rFonts w:ascii="Times New Roman" w:hAnsi="Times New Roman" w:cs="Times New Roman"/>
                <w:sz w:val="24"/>
                <w:szCs w:val="24"/>
              </w:rPr>
              <w:t xml:space="preserve">organizētāji </w:t>
            </w:r>
            <w:r w:rsidRPr="00CB33DF">
              <w:rPr>
                <w:rFonts w:ascii="Times New Roman" w:hAnsi="Times New Roman" w:cs="Times New Roman"/>
                <w:sz w:val="24"/>
                <w:szCs w:val="24"/>
              </w:rPr>
              <w:t xml:space="preserve">izvairās no nodokļu nomaksas </w:t>
            </w:r>
            <w:r w:rsidR="00D97D8D" w:rsidRPr="006C3D5A">
              <w:rPr>
                <w:rFonts w:ascii="Times New Roman" w:hAnsi="Times New Roman" w:cs="Times New Roman"/>
                <w:sz w:val="24"/>
                <w:szCs w:val="24"/>
              </w:rPr>
              <w:t>Latvijas Republikā</w:t>
            </w:r>
            <w:r w:rsidRPr="00CB33DF">
              <w:rPr>
                <w:rFonts w:ascii="Times New Roman" w:hAnsi="Times New Roman" w:cs="Times New Roman"/>
                <w:sz w:val="24"/>
                <w:szCs w:val="24"/>
              </w:rPr>
              <w:t>.</w:t>
            </w:r>
            <w:r w:rsidR="00D761A8">
              <w:rPr>
                <w:rFonts w:ascii="Times New Roman" w:hAnsi="Times New Roman" w:cs="Times New Roman"/>
                <w:sz w:val="24"/>
                <w:szCs w:val="24"/>
              </w:rPr>
              <w:t xml:space="preserve"> </w:t>
            </w:r>
          </w:p>
          <w:p w14:paraId="60D273F7" w14:textId="29FFB06F" w:rsidR="00690B0F" w:rsidRDefault="00D761A8" w:rsidP="00BF14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Viens no efektīvākajiem veidiem, kā ierobežo</w:t>
            </w:r>
            <w:r w:rsidR="00690B0F">
              <w:rPr>
                <w:rFonts w:ascii="Times New Roman" w:hAnsi="Times New Roman" w:cs="Times New Roman"/>
                <w:sz w:val="24"/>
                <w:szCs w:val="24"/>
              </w:rPr>
              <w:t>t</w:t>
            </w:r>
            <w:r>
              <w:rPr>
                <w:rFonts w:ascii="Times New Roman" w:hAnsi="Times New Roman" w:cs="Times New Roman"/>
                <w:sz w:val="24"/>
                <w:szCs w:val="24"/>
              </w:rPr>
              <w:t xml:space="preserve"> </w:t>
            </w:r>
            <w:r w:rsidR="00800A25">
              <w:rPr>
                <w:rFonts w:ascii="Times New Roman" w:hAnsi="Times New Roman" w:cs="Times New Roman"/>
                <w:sz w:val="24"/>
                <w:szCs w:val="24"/>
              </w:rPr>
              <w:t>nelicencēt</w:t>
            </w:r>
            <w:r w:rsidR="00DA1795">
              <w:rPr>
                <w:rFonts w:ascii="Times New Roman" w:hAnsi="Times New Roman" w:cs="Times New Roman"/>
                <w:sz w:val="24"/>
                <w:szCs w:val="24"/>
              </w:rPr>
              <w:t>o</w:t>
            </w:r>
            <w:r>
              <w:rPr>
                <w:rFonts w:ascii="Times New Roman" w:hAnsi="Times New Roman" w:cs="Times New Roman"/>
                <w:sz w:val="24"/>
                <w:szCs w:val="24"/>
              </w:rPr>
              <w:t xml:space="preserve"> </w:t>
            </w:r>
            <w:r w:rsidR="00690B0F">
              <w:rPr>
                <w:rFonts w:ascii="Times New Roman" w:hAnsi="Times New Roman" w:cs="Times New Roman"/>
                <w:sz w:val="24"/>
                <w:szCs w:val="24"/>
              </w:rPr>
              <w:t xml:space="preserve">interaktīvā azartspēļu un izložu </w:t>
            </w:r>
            <w:r>
              <w:rPr>
                <w:rFonts w:ascii="Times New Roman" w:hAnsi="Times New Roman" w:cs="Times New Roman"/>
                <w:sz w:val="24"/>
                <w:szCs w:val="24"/>
              </w:rPr>
              <w:t xml:space="preserve">tirgus </w:t>
            </w:r>
            <w:r w:rsidR="00690B0F">
              <w:rPr>
                <w:rFonts w:ascii="Times New Roman" w:hAnsi="Times New Roman" w:cs="Times New Roman"/>
                <w:sz w:val="24"/>
                <w:szCs w:val="24"/>
              </w:rPr>
              <w:t>segmentu</w:t>
            </w:r>
            <w:r>
              <w:rPr>
                <w:rFonts w:ascii="Times New Roman" w:hAnsi="Times New Roman" w:cs="Times New Roman"/>
                <w:sz w:val="24"/>
                <w:szCs w:val="24"/>
              </w:rPr>
              <w:t xml:space="preserve">, kas tiek plaši piemērots Eiropas </w:t>
            </w:r>
            <w:r w:rsidR="00DA1795">
              <w:rPr>
                <w:rFonts w:ascii="Times New Roman" w:hAnsi="Times New Roman" w:cs="Times New Roman"/>
                <w:sz w:val="24"/>
                <w:szCs w:val="24"/>
              </w:rPr>
              <w:t>S</w:t>
            </w:r>
            <w:r>
              <w:rPr>
                <w:rFonts w:ascii="Times New Roman" w:hAnsi="Times New Roman" w:cs="Times New Roman"/>
                <w:sz w:val="24"/>
                <w:szCs w:val="24"/>
              </w:rPr>
              <w:t>avienības valstu starpā</w:t>
            </w:r>
            <w:r w:rsidR="00690B0F">
              <w:rPr>
                <w:rFonts w:ascii="Times New Roman" w:hAnsi="Times New Roman" w:cs="Times New Roman"/>
                <w:sz w:val="24"/>
                <w:szCs w:val="24"/>
              </w:rPr>
              <w:t>,</w:t>
            </w:r>
            <w:r>
              <w:rPr>
                <w:rFonts w:ascii="Times New Roman" w:hAnsi="Times New Roman" w:cs="Times New Roman"/>
                <w:sz w:val="24"/>
                <w:szCs w:val="24"/>
              </w:rPr>
              <w:t xml:space="preserve"> ir maksājumu aizliegums </w:t>
            </w:r>
            <w:r w:rsidRPr="0038322C">
              <w:rPr>
                <w:rFonts w:ascii="Times New Roman" w:hAnsi="Times New Roman" w:cs="Times New Roman"/>
                <w:sz w:val="24"/>
                <w:szCs w:val="24"/>
              </w:rPr>
              <w:t>nelicencētam interaktīvo azartspēļu vai interaktīvo izložu organizētājam</w:t>
            </w:r>
            <w:r w:rsidR="00690B0F">
              <w:rPr>
                <w:rFonts w:ascii="Times New Roman" w:hAnsi="Times New Roman" w:cs="Times New Roman"/>
                <w:sz w:val="24"/>
                <w:szCs w:val="24"/>
              </w:rPr>
              <w:t xml:space="preserve">. </w:t>
            </w:r>
          </w:p>
          <w:p w14:paraId="3D01D75D" w14:textId="6463FD45" w:rsidR="00690B0F" w:rsidRDefault="00DA1795" w:rsidP="00690B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Čehijā </w:t>
            </w:r>
            <w:r w:rsidR="00690B0F" w:rsidRPr="00361F0A">
              <w:rPr>
                <w:rFonts w:ascii="Times New Roman" w:hAnsi="Times New Roman" w:cs="Times New Roman"/>
                <w:sz w:val="24"/>
                <w:szCs w:val="24"/>
              </w:rPr>
              <w:t xml:space="preserve">azartspēļu organizētāji, kas nav saņēmuši licenci azartspēļu organizēšanai, tiek iekļauti melnajā sarakstā. Tiklīdz azartspēļu organizētājs ir iekļauts melnajā sarakstā, maksājumu operatoriem un interneta pakalpojumu sniedzējiem ir pienākums bloķēt visus maksājumus </w:t>
            </w:r>
            <w:r w:rsidR="00690B0F">
              <w:rPr>
                <w:rFonts w:ascii="Times New Roman" w:hAnsi="Times New Roman" w:cs="Times New Roman"/>
                <w:sz w:val="24"/>
                <w:szCs w:val="24"/>
              </w:rPr>
              <w:t>(</w:t>
            </w:r>
            <w:r w:rsidR="00690B0F" w:rsidRPr="00361F0A">
              <w:rPr>
                <w:rFonts w:ascii="Times New Roman" w:hAnsi="Times New Roman" w:cs="Times New Roman"/>
                <w:sz w:val="24"/>
                <w:szCs w:val="24"/>
              </w:rPr>
              <w:t>no un uz</w:t>
            </w:r>
            <w:r w:rsidR="00690B0F">
              <w:rPr>
                <w:rFonts w:ascii="Times New Roman" w:hAnsi="Times New Roman" w:cs="Times New Roman"/>
                <w:sz w:val="24"/>
                <w:szCs w:val="24"/>
              </w:rPr>
              <w:t>)</w:t>
            </w:r>
            <w:r w:rsidR="00690B0F" w:rsidRPr="00361F0A">
              <w:rPr>
                <w:rFonts w:ascii="Times New Roman" w:hAnsi="Times New Roman" w:cs="Times New Roman"/>
                <w:sz w:val="24"/>
                <w:szCs w:val="24"/>
              </w:rPr>
              <w:t>, kā arī bloķēt šo personu tīmekļa vietni.</w:t>
            </w:r>
            <w:r w:rsidR="00690B0F">
              <w:rPr>
                <w:rStyle w:val="FootnoteReference"/>
                <w:rFonts w:ascii="Times New Roman" w:hAnsi="Times New Roman" w:cs="Times New Roman"/>
                <w:sz w:val="24"/>
                <w:szCs w:val="24"/>
              </w:rPr>
              <w:footnoteReference w:id="1"/>
            </w:r>
          </w:p>
          <w:p w14:paraId="0AAFE261" w14:textId="2673522A" w:rsidR="00690B0F" w:rsidRDefault="00690B0F" w:rsidP="00690B0F">
            <w:pPr>
              <w:spacing w:after="0" w:line="240" w:lineRule="auto"/>
              <w:jc w:val="both"/>
              <w:rPr>
                <w:rFonts w:ascii="Times New Roman" w:hAnsi="Times New Roman" w:cs="Times New Roman"/>
                <w:sz w:val="24"/>
                <w:szCs w:val="24"/>
              </w:rPr>
            </w:pPr>
            <w:r w:rsidRPr="00361F0A">
              <w:rPr>
                <w:rFonts w:ascii="Times New Roman" w:hAnsi="Times New Roman" w:cs="Times New Roman"/>
                <w:sz w:val="24"/>
                <w:szCs w:val="24"/>
              </w:rPr>
              <w:t>Dānijas uzraugošajai institūcijai ir tiesības bloķēt maksājumu pakalpojumus azartspēļu organizētājam, kurš piedāvā azartspēļu pakalpojumus Dānijā bez licences.</w:t>
            </w:r>
            <w:r>
              <w:rPr>
                <w:rStyle w:val="FootnoteReference"/>
                <w:rFonts w:ascii="Times New Roman" w:hAnsi="Times New Roman" w:cs="Times New Roman"/>
                <w:sz w:val="24"/>
                <w:szCs w:val="24"/>
              </w:rPr>
              <w:footnoteReference w:id="2"/>
            </w:r>
          </w:p>
          <w:p w14:paraId="1817BF04" w14:textId="77ACDD20" w:rsidR="00690B0F" w:rsidRDefault="00690B0F" w:rsidP="00690B0F">
            <w:pPr>
              <w:spacing w:after="0" w:line="240" w:lineRule="auto"/>
              <w:jc w:val="both"/>
              <w:rPr>
                <w:rFonts w:ascii="Times New Roman" w:hAnsi="Times New Roman" w:cs="Times New Roman"/>
                <w:sz w:val="24"/>
                <w:szCs w:val="24"/>
              </w:rPr>
            </w:pPr>
            <w:r w:rsidRPr="00361F0A">
              <w:rPr>
                <w:rFonts w:ascii="Times New Roman" w:hAnsi="Times New Roman" w:cs="Times New Roman"/>
                <w:sz w:val="24"/>
                <w:szCs w:val="24"/>
              </w:rPr>
              <w:t>Vācijas uzraugošās institūcijas var piemērot maksājumu bloķēšanu tiem ārvalstu operatoriem, kas sniedza nelicencētus azartspēļu pakalpojumus Vācijas iedzīvotājiem.</w:t>
            </w:r>
            <w:r>
              <w:rPr>
                <w:rStyle w:val="FootnoteReference"/>
                <w:rFonts w:ascii="Times New Roman" w:hAnsi="Times New Roman" w:cs="Times New Roman"/>
                <w:sz w:val="24"/>
                <w:szCs w:val="24"/>
              </w:rPr>
              <w:footnoteReference w:id="3"/>
            </w:r>
          </w:p>
          <w:p w14:paraId="5BBA0EFE" w14:textId="5EE8BF62" w:rsidR="00690B0F" w:rsidRDefault="00690B0F" w:rsidP="00690B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Likumprojekts paredz noteikt pienākumu kredītiestādēm un maksājumu pakalpojumu sniedzējiem atteikt attālināto maksājumu </w:t>
            </w:r>
            <w:r w:rsidR="00670149">
              <w:rPr>
                <w:rFonts w:ascii="Times New Roman" w:hAnsi="Times New Roman" w:cs="Times New Roman"/>
                <w:sz w:val="24"/>
                <w:szCs w:val="24"/>
              </w:rPr>
              <w:t xml:space="preserve">veikšanu </w:t>
            </w:r>
            <w:r w:rsidR="00DA1795">
              <w:rPr>
                <w:rFonts w:ascii="Times New Roman" w:hAnsi="Times New Roman" w:cs="Times New Roman"/>
                <w:sz w:val="24"/>
                <w:szCs w:val="24"/>
              </w:rPr>
              <w:t>Latvijas R</w:t>
            </w:r>
            <w:r>
              <w:rPr>
                <w:rFonts w:ascii="Times New Roman" w:hAnsi="Times New Roman" w:cs="Times New Roman"/>
                <w:sz w:val="24"/>
                <w:szCs w:val="24"/>
              </w:rPr>
              <w:t xml:space="preserve">epublikas rezidentam </w:t>
            </w:r>
            <w:r w:rsidR="00670149">
              <w:rPr>
                <w:rFonts w:ascii="Times New Roman" w:hAnsi="Times New Roman" w:cs="Times New Roman"/>
                <w:sz w:val="24"/>
                <w:szCs w:val="24"/>
              </w:rPr>
              <w:t>ar izsniegto maksājumu karti Latvijas Republikā nelicencētam interaktīvo azartspēļu un interaktīvo izložu organizētājam.</w:t>
            </w:r>
          </w:p>
          <w:p w14:paraId="454111C9" w14:textId="28598565" w:rsidR="00D761A8" w:rsidRPr="00CB33DF" w:rsidRDefault="00690B0F" w:rsidP="00BF14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Vienlaikus </w:t>
            </w:r>
            <w:r w:rsidR="00670149">
              <w:rPr>
                <w:rFonts w:ascii="Times New Roman" w:hAnsi="Times New Roman" w:cs="Times New Roman"/>
                <w:sz w:val="24"/>
                <w:szCs w:val="24"/>
              </w:rPr>
              <w:t>V</w:t>
            </w:r>
            <w:r w:rsidRPr="00CB33DF">
              <w:rPr>
                <w:rFonts w:ascii="Times New Roman" w:hAnsi="Times New Roman" w:cs="Times New Roman"/>
                <w:sz w:val="24"/>
                <w:szCs w:val="24"/>
              </w:rPr>
              <w:t xml:space="preserve">alsts </w:t>
            </w:r>
            <w:r w:rsidR="00BF1419" w:rsidRPr="00CB33DF">
              <w:rPr>
                <w:rFonts w:ascii="Times New Roman" w:hAnsi="Times New Roman" w:cs="Times New Roman"/>
                <w:sz w:val="24"/>
                <w:szCs w:val="24"/>
              </w:rPr>
              <w:t>ieņēmumu dienests esošā regulējum</w:t>
            </w:r>
            <w:r w:rsidR="00DA1795">
              <w:rPr>
                <w:rFonts w:ascii="Times New Roman" w:hAnsi="Times New Roman" w:cs="Times New Roman"/>
                <w:sz w:val="24"/>
                <w:szCs w:val="24"/>
              </w:rPr>
              <w:t>a</w:t>
            </w:r>
            <w:r w:rsidR="00BF1419" w:rsidRPr="00CB33DF">
              <w:rPr>
                <w:rFonts w:ascii="Times New Roman" w:hAnsi="Times New Roman" w:cs="Times New Roman"/>
                <w:sz w:val="24"/>
                <w:szCs w:val="24"/>
              </w:rPr>
              <w:t xml:space="preserve"> ietvaros nevar iegūt informāciju par </w:t>
            </w:r>
            <w:r w:rsidRPr="00690B0F">
              <w:rPr>
                <w:rFonts w:ascii="Times New Roman" w:hAnsi="Times New Roman" w:cs="Times New Roman"/>
                <w:sz w:val="24"/>
                <w:szCs w:val="24"/>
              </w:rPr>
              <w:t xml:space="preserve">nelicencēto </w:t>
            </w:r>
            <w:r w:rsidRPr="0038322C">
              <w:rPr>
                <w:rFonts w:ascii="Times New Roman" w:hAnsi="Times New Roman" w:cs="Times New Roman"/>
                <w:sz w:val="24"/>
                <w:szCs w:val="24"/>
              </w:rPr>
              <w:t>interaktīvo azartspēļu vai interaktīvo izložu organizētāja tīmekļa</w:t>
            </w:r>
            <w:r w:rsidR="00BF1419" w:rsidRPr="00CB33DF">
              <w:rPr>
                <w:rFonts w:ascii="Times New Roman" w:hAnsi="Times New Roman" w:cs="Times New Roman"/>
                <w:sz w:val="24"/>
                <w:szCs w:val="24"/>
              </w:rPr>
              <w:t xml:space="preserve"> vietņu apgrozījumu Latvijas </w:t>
            </w:r>
            <w:r w:rsidR="00D97D8D">
              <w:rPr>
                <w:rFonts w:ascii="Times New Roman" w:hAnsi="Times New Roman" w:cs="Times New Roman"/>
                <w:sz w:val="24"/>
                <w:szCs w:val="24"/>
              </w:rPr>
              <w:t xml:space="preserve">Republikas </w:t>
            </w:r>
            <w:r w:rsidR="00BF1419" w:rsidRPr="00CB33DF">
              <w:rPr>
                <w:rFonts w:ascii="Times New Roman" w:hAnsi="Times New Roman" w:cs="Times New Roman"/>
                <w:sz w:val="24"/>
                <w:szCs w:val="24"/>
              </w:rPr>
              <w:t>ekonomiskajā vidē.</w:t>
            </w:r>
          </w:p>
          <w:p w14:paraId="73BE3627" w14:textId="67F75DC9" w:rsidR="00BF1419" w:rsidRPr="00CB33DF" w:rsidRDefault="00BF1419" w:rsidP="00BF1419">
            <w:pPr>
              <w:spacing w:after="0" w:line="240" w:lineRule="auto"/>
              <w:jc w:val="both"/>
              <w:rPr>
                <w:rFonts w:ascii="Times New Roman" w:hAnsi="Times New Roman" w:cs="Times New Roman"/>
                <w:sz w:val="24"/>
                <w:szCs w:val="24"/>
              </w:rPr>
            </w:pPr>
            <w:r w:rsidRPr="00CB33DF">
              <w:rPr>
                <w:rFonts w:ascii="Times New Roman" w:hAnsi="Times New Roman" w:cs="Times New Roman"/>
                <w:sz w:val="24"/>
                <w:szCs w:val="24"/>
              </w:rPr>
              <w:t xml:space="preserve">Ņemot vērā esošo starptautiskās administratīvās sadarbības sistēmu, lai Valsts ieņēmumu dienests varētu pieprasīt informāciju no ārvalsts nodokļu administrācijas par ārvalsts komersanta darījumu vērtību </w:t>
            </w:r>
            <w:r w:rsidR="00D97D8D" w:rsidRPr="006C3D5A">
              <w:rPr>
                <w:rFonts w:ascii="Times New Roman" w:hAnsi="Times New Roman" w:cs="Times New Roman"/>
                <w:sz w:val="24"/>
                <w:szCs w:val="24"/>
              </w:rPr>
              <w:t>Latvijas Republikā</w:t>
            </w:r>
            <w:r w:rsidRPr="00CB33DF">
              <w:rPr>
                <w:rFonts w:ascii="Times New Roman" w:hAnsi="Times New Roman" w:cs="Times New Roman"/>
                <w:sz w:val="24"/>
                <w:szCs w:val="24"/>
              </w:rPr>
              <w:t>, Valsts ieņēmumu dienestam ir pienākums nodrošināt pierādījumus par iespējamo nodokļu nemaksāšanu Latvij</w:t>
            </w:r>
            <w:r w:rsidR="00D97D8D">
              <w:rPr>
                <w:rFonts w:ascii="Times New Roman" w:hAnsi="Times New Roman" w:cs="Times New Roman"/>
                <w:sz w:val="24"/>
                <w:szCs w:val="24"/>
              </w:rPr>
              <w:t>as Republikā</w:t>
            </w:r>
            <w:r w:rsidRPr="00CB33DF">
              <w:rPr>
                <w:rFonts w:ascii="Times New Roman" w:hAnsi="Times New Roman" w:cs="Times New Roman"/>
                <w:sz w:val="24"/>
                <w:szCs w:val="24"/>
              </w:rPr>
              <w:t>. Savukārt vienīgais veids, kādā iegūt minētos pierādījumus, ir iegūt informāciju no kredītiestādēm</w:t>
            </w:r>
            <w:r w:rsidR="00F93732" w:rsidRPr="00CB33DF">
              <w:rPr>
                <w:rFonts w:ascii="Times New Roman" w:hAnsi="Times New Roman" w:cs="Times New Roman"/>
                <w:sz w:val="24"/>
                <w:szCs w:val="24"/>
              </w:rPr>
              <w:t xml:space="preserve"> un citiem maksājumu pakalpojumu sniedzējiem</w:t>
            </w:r>
            <w:r w:rsidRPr="00CB33DF">
              <w:rPr>
                <w:rFonts w:ascii="Times New Roman" w:hAnsi="Times New Roman" w:cs="Times New Roman"/>
                <w:sz w:val="24"/>
                <w:szCs w:val="24"/>
              </w:rPr>
              <w:t xml:space="preserve"> par </w:t>
            </w:r>
            <w:r w:rsidR="009F7A72">
              <w:rPr>
                <w:rFonts w:ascii="Times New Roman" w:hAnsi="Times New Roman" w:cs="Times New Roman"/>
                <w:sz w:val="24"/>
                <w:szCs w:val="24"/>
              </w:rPr>
              <w:t>kredītiestāžu un maksājumu iestāžu piemēroto atteikumu maksājumu veikšanai</w:t>
            </w:r>
            <w:r w:rsidR="00D761A8">
              <w:rPr>
                <w:rFonts w:ascii="Times New Roman" w:hAnsi="Times New Roman" w:cs="Times New Roman"/>
                <w:sz w:val="24"/>
                <w:szCs w:val="24"/>
              </w:rPr>
              <w:t xml:space="preserve"> </w:t>
            </w:r>
            <w:r w:rsidR="009F7A72">
              <w:rPr>
                <w:rFonts w:ascii="Times New Roman" w:hAnsi="Times New Roman" w:cs="Times New Roman"/>
                <w:sz w:val="24"/>
                <w:szCs w:val="24"/>
              </w:rPr>
              <w:t xml:space="preserve"> </w:t>
            </w:r>
            <w:r w:rsidR="00595044" w:rsidRPr="00CB33DF">
              <w:rPr>
                <w:rFonts w:ascii="Times New Roman" w:hAnsi="Times New Roman" w:cs="Times New Roman"/>
                <w:sz w:val="24"/>
                <w:szCs w:val="24"/>
              </w:rPr>
              <w:t xml:space="preserve">attiecīgajiem ārvalstu komersantiem </w:t>
            </w:r>
            <w:r w:rsidRPr="00CB33DF">
              <w:rPr>
                <w:rFonts w:ascii="Times New Roman" w:hAnsi="Times New Roman" w:cs="Times New Roman"/>
                <w:sz w:val="24"/>
                <w:szCs w:val="24"/>
              </w:rPr>
              <w:t>no Latvijas</w:t>
            </w:r>
            <w:r w:rsidR="00D97D8D">
              <w:rPr>
                <w:rFonts w:ascii="Times New Roman" w:hAnsi="Times New Roman" w:cs="Times New Roman"/>
                <w:sz w:val="24"/>
                <w:szCs w:val="24"/>
              </w:rPr>
              <w:t xml:space="preserve"> Republikas</w:t>
            </w:r>
            <w:r w:rsidRPr="00CB33DF">
              <w:rPr>
                <w:rFonts w:ascii="Times New Roman" w:hAnsi="Times New Roman" w:cs="Times New Roman"/>
                <w:sz w:val="24"/>
                <w:szCs w:val="24"/>
              </w:rPr>
              <w:t xml:space="preserve">. </w:t>
            </w:r>
          </w:p>
          <w:p w14:paraId="6330734C" w14:textId="47FE1064" w:rsidR="00BF1419" w:rsidRPr="00CB33DF" w:rsidRDefault="00BF1419" w:rsidP="00BF1419">
            <w:pPr>
              <w:spacing w:after="0" w:line="240" w:lineRule="auto"/>
              <w:jc w:val="both"/>
              <w:rPr>
                <w:rFonts w:ascii="Times New Roman" w:hAnsi="Times New Roman" w:cs="Times New Roman"/>
                <w:sz w:val="24"/>
                <w:szCs w:val="24"/>
              </w:rPr>
            </w:pPr>
            <w:r w:rsidRPr="00CB33DF">
              <w:rPr>
                <w:rFonts w:ascii="Times New Roman" w:hAnsi="Times New Roman" w:cs="Times New Roman"/>
                <w:sz w:val="24"/>
                <w:szCs w:val="24"/>
              </w:rPr>
              <w:t>Ievērojot likuma “Par nodokļiem un nodevām” 23.panta regulējumu, V</w:t>
            </w:r>
            <w:r w:rsidR="00C204FE" w:rsidRPr="00CB33DF">
              <w:rPr>
                <w:rFonts w:ascii="Times New Roman" w:hAnsi="Times New Roman" w:cs="Times New Roman"/>
                <w:sz w:val="24"/>
                <w:szCs w:val="24"/>
              </w:rPr>
              <w:t xml:space="preserve">alsts ieņēmumu </w:t>
            </w:r>
            <w:r w:rsidR="00C204FE" w:rsidRPr="00DA08FD">
              <w:rPr>
                <w:rFonts w:ascii="Times New Roman" w:hAnsi="Times New Roman" w:cs="Times New Roman"/>
                <w:sz w:val="24"/>
                <w:szCs w:val="24"/>
              </w:rPr>
              <w:t>dienestam</w:t>
            </w:r>
            <w:r w:rsidRPr="00DA08FD">
              <w:rPr>
                <w:rFonts w:ascii="Times New Roman" w:hAnsi="Times New Roman" w:cs="Times New Roman"/>
                <w:sz w:val="24"/>
                <w:szCs w:val="24"/>
              </w:rPr>
              <w:t xml:space="preserve"> ir tiesības nodokļu revīzijas (audita) rezultātā precizēt nodokļu apmēru</w:t>
            </w:r>
            <w:r w:rsidR="00B147DC">
              <w:rPr>
                <w:rFonts w:ascii="Times New Roman" w:hAnsi="Times New Roman" w:cs="Times New Roman"/>
                <w:sz w:val="24"/>
                <w:szCs w:val="24"/>
              </w:rPr>
              <w:t xml:space="preserve"> atbilstoši nodokļus reglamentējošiem normatīviem aktiem</w:t>
            </w:r>
            <w:r w:rsidRPr="00DA08FD">
              <w:rPr>
                <w:rFonts w:ascii="Times New Roman" w:hAnsi="Times New Roman" w:cs="Times New Roman"/>
                <w:sz w:val="24"/>
                <w:szCs w:val="24"/>
              </w:rPr>
              <w:t>.</w:t>
            </w:r>
            <w:r w:rsidRPr="00CB33DF">
              <w:rPr>
                <w:rFonts w:ascii="Times New Roman" w:hAnsi="Times New Roman" w:cs="Times New Roman"/>
                <w:sz w:val="24"/>
                <w:szCs w:val="24"/>
              </w:rPr>
              <w:t xml:space="preserve"> Pēc papildu noteikto maksājumu veikšanas V</w:t>
            </w:r>
            <w:r w:rsidR="00C204FE" w:rsidRPr="00CB33DF">
              <w:rPr>
                <w:rFonts w:ascii="Times New Roman" w:hAnsi="Times New Roman" w:cs="Times New Roman"/>
                <w:sz w:val="24"/>
                <w:szCs w:val="24"/>
              </w:rPr>
              <w:t>alsts ieņēmumu dienestam</w:t>
            </w:r>
            <w:r w:rsidRPr="00CB33DF">
              <w:rPr>
                <w:rFonts w:ascii="Times New Roman" w:hAnsi="Times New Roman" w:cs="Times New Roman"/>
                <w:sz w:val="24"/>
                <w:szCs w:val="24"/>
              </w:rPr>
              <w:t xml:space="preserve"> ir paredzētas tiesības iedarbināt starptautiskās piedziņas sistēmu atbilstoši likum</w:t>
            </w:r>
            <w:r w:rsidR="00F93732" w:rsidRPr="00CB33DF">
              <w:rPr>
                <w:rFonts w:ascii="Times New Roman" w:hAnsi="Times New Roman" w:cs="Times New Roman"/>
                <w:sz w:val="24"/>
                <w:szCs w:val="24"/>
              </w:rPr>
              <w:t>a</w:t>
            </w:r>
            <w:r w:rsidRPr="00CB33DF">
              <w:rPr>
                <w:rFonts w:ascii="Times New Roman" w:hAnsi="Times New Roman" w:cs="Times New Roman"/>
                <w:sz w:val="24"/>
                <w:szCs w:val="24"/>
              </w:rPr>
              <w:t xml:space="preserve"> “Par </w:t>
            </w:r>
            <w:r w:rsidRPr="00CB33DF">
              <w:rPr>
                <w:rFonts w:ascii="Times New Roman" w:hAnsi="Times New Roman" w:cs="Times New Roman"/>
                <w:sz w:val="24"/>
                <w:szCs w:val="24"/>
              </w:rPr>
              <w:lastRenderedPageBreak/>
              <w:t>nodokļiem un nodevām” 52.panta pirmajai daļai (ar ko pārņemtas</w:t>
            </w:r>
            <w:r w:rsidR="00C204FE" w:rsidRPr="00CB33DF">
              <w:rPr>
                <w:rFonts w:ascii="Times New Roman" w:hAnsi="Times New Roman" w:cs="Times New Roman"/>
                <w:sz w:val="24"/>
                <w:szCs w:val="24"/>
              </w:rPr>
              <w:t xml:space="preserve"> 2010.gada 16.</w:t>
            </w:r>
            <w:r w:rsidRPr="00CB33DF">
              <w:rPr>
                <w:rFonts w:ascii="Times New Roman" w:hAnsi="Times New Roman" w:cs="Times New Roman"/>
                <w:sz w:val="24"/>
                <w:szCs w:val="24"/>
              </w:rPr>
              <w:t xml:space="preserve">marta Padomes direktīvas 2010/24/ES par savstarpēju palīdzību prasījumu piedziņā saistībā ar noteiktiem maksājumiem, nodokļiem, un citiem pasākumiem prasības), proti, </w:t>
            </w:r>
            <w:r w:rsidR="00595044">
              <w:rPr>
                <w:rFonts w:ascii="Times New Roman" w:hAnsi="Times New Roman" w:cs="Times New Roman"/>
                <w:sz w:val="24"/>
                <w:szCs w:val="24"/>
              </w:rPr>
              <w:t>tas</w:t>
            </w:r>
            <w:r w:rsidRPr="00CB33DF">
              <w:rPr>
                <w:rFonts w:ascii="Times New Roman" w:hAnsi="Times New Roman" w:cs="Times New Roman"/>
                <w:sz w:val="24"/>
                <w:szCs w:val="24"/>
              </w:rPr>
              <w:t xml:space="preserve"> atļauj izpildi pieprasījuma saņēmējā dalībvalstī, un </w:t>
            </w:r>
            <w:r w:rsidR="00595044">
              <w:rPr>
                <w:rFonts w:ascii="Times New Roman" w:hAnsi="Times New Roman" w:cs="Times New Roman"/>
                <w:sz w:val="24"/>
                <w:szCs w:val="24"/>
              </w:rPr>
              <w:t xml:space="preserve">iespēju </w:t>
            </w:r>
            <w:r w:rsidRPr="00CB33DF">
              <w:rPr>
                <w:rFonts w:ascii="Times New Roman" w:hAnsi="Times New Roman" w:cs="Times New Roman"/>
                <w:sz w:val="24"/>
                <w:szCs w:val="24"/>
              </w:rPr>
              <w:t>vēr</w:t>
            </w:r>
            <w:r w:rsidR="00595044">
              <w:rPr>
                <w:rFonts w:ascii="Times New Roman" w:hAnsi="Times New Roman" w:cs="Times New Roman"/>
                <w:sz w:val="24"/>
                <w:szCs w:val="24"/>
              </w:rPr>
              <w:t>sties</w:t>
            </w:r>
            <w:r w:rsidRPr="00CB33DF">
              <w:rPr>
                <w:rFonts w:ascii="Times New Roman" w:hAnsi="Times New Roman" w:cs="Times New Roman"/>
                <w:sz w:val="24"/>
                <w:szCs w:val="24"/>
              </w:rPr>
              <w:t xml:space="preserve"> Eiropas Savienības dalībvalsts pieprasījuma saņēmēj</w:t>
            </w:r>
            <w:r w:rsidR="00595044">
              <w:rPr>
                <w:rFonts w:ascii="Times New Roman" w:hAnsi="Times New Roman" w:cs="Times New Roman"/>
                <w:sz w:val="24"/>
                <w:szCs w:val="24"/>
              </w:rPr>
              <w:t>a</w:t>
            </w:r>
            <w:r w:rsidRPr="00CB33DF">
              <w:rPr>
                <w:rFonts w:ascii="Times New Roman" w:hAnsi="Times New Roman" w:cs="Times New Roman"/>
                <w:sz w:val="24"/>
                <w:szCs w:val="24"/>
              </w:rPr>
              <w:t xml:space="preserve"> iestādē ar palīdzības pieprasījumu par piedziņu</w:t>
            </w:r>
            <w:r w:rsidR="00595044">
              <w:rPr>
                <w:rFonts w:ascii="Times New Roman" w:hAnsi="Times New Roman" w:cs="Times New Roman"/>
                <w:sz w:val="24"/>
                <w:szCs w:val="24"/>
              </w:rPr>
              <w:t>.</w:t>
            </w:r>
            <w:r w:rsidRPr="00CB33DF">
              <w:rPr>
                <w:rFonts w:ascii="Times New Roman" w:hAnsi="Times New Roman" w:cs="Times New Roman"/>
                <w:sz w:val="24"/>
                <w:szCs w:val="24"/>
              </w:rPr>
              <w:t xml:space="preserve"> </w:t>
            </w:r>
            <w:r w:rsidR="00595044">
              <w:rPr>
                <w:rFonts w:ascii="Times New Roman" w:hAnsi="Times New Roman" w:cs="Times New Roman"/>
                <w:sz w:val="24"/>
                <w:szCs w:val="24"/>
              </w:rPr>
              <w:t>J</w:t>
            </w:r>
            <w:r w:rsidRPr="00CB33DF">
              <w:rPr>
                <w:rFonts w:ascii="Times New Roman" w:hAnsi="Times New Roman" w:cs="Times New Roman"/>
                <w:sz w:val="24"/>
                <w:szCs w:val="24"/>
              </w:rPr>
              <w:t xml:space="preserve">a nodokļu prasījuma summa nav samaksāta nodokļu likumos vai citos normatīvajos aktos noteiktajā termiņā, nodokļu prasījums ir izpildāms un Latvijas Republikā ir veiktas darbības tā piedziņai. </w:t>
            </w:r>
          </w:p>
          <w:p w14:paraId="54C411A3" w14:textId="77777777" w:rsidR="00BF1419" w:rsidRPr="00CB33DF" w:rsidRDefault="00BF1419" w:rsidP="00BF1419">
            <w:pPr>
              <w:spacing w:after="0" w:line="240" w:lineRule="auto"/>
              <w:jc w:val="both"/>
              <w:rPr>
                <w:rFonts w:ascii="Times New Roman" w:hAnsi="Times New Roman" w:cs="Times New Roman"/>
                <w:sz w:val="24"/>
                <w:szCs w:val="24"/>
              </w:rPr>
            </w:pPr>
            <w:r w:rsidRPr="00CB33DF">
              <w:rPr>
                <w:rFonts w:ascii="Times New Roman" w:hAnsi="Times New Roman" w:cs="Times New Roman"/>
                <w:sz w:val="24"/>
                <w:szCs w:val="24"/>
              </w:rPr>
              <w:t>Attiecībā uz trešajās valstīs reģistrēto komersantu V</w:t>
            </w:r>
            <w:r w:rsidR="00C204FE" w:rsidRPr="00CB33DF">
              <w:rPr>
                <w:rFonts w:ascii="Times New Roman" w:hAnsi="Times New Roman" w:cs="Times New Roman"/>
                <w:sz w:val="24"/>
                <w:szCs w:val="24"/>
              </w:rPr>
              <w:t>alsts ieņēmumu dienest</w:t>
            </w:r>
            <w:r w:rsidR="003B2A15" w:rsidRPr="00CB33DF">
              <w:rPr>
                <w:rFonts w:ascii="Times New Roman" w:hAnsi="Times New Roman" w:cs="Times New Roman"/>
                <w:sz w:val="24"/>
                <w:szCs w:val="24"/>
              </w:rPr>
              <w:t>a</w:t>
            </w:r>
            <w:r w:rsidRPr="00CB33DF">
              <w:rPr>
                <w:rFonts w:ascii="Times New Roman" w:hAnsi="Times New Roman" w:cs="Times New Roman"/>
                <w:sz w:val="24"/>
                <w:szCs w:val="24"/>
              </w:rPr>
              <w:t xml:space="preserve"> papildu noteikto maksājumu piedziņ</w:t>
            </w:r>
            <w:r w:rsidR="00F93732" w:rsidRPr="00CB33DF">
              <w:rPr>
                <w:rFonts w:ascii="Times New Roman" w:hAnsi="Times New Roman" w:cs="Times New Roman"/>
                <w:sz w:val="24"/>
                <w:szCs w:val="24"/>
              </w:rPr>
              <w:t>ai</w:t>
            </w:r>
            <w:r w:rsidRPr="00CB33DF">
              <w:rPr>
                <w:rFonts w:ascii="Times New Roman" w:hAnsi="Times New Roman" w:cs="Times New Roman"/>
                <w:sz w:val="24"/>
                <w:szCs w:val="24"/>
              </w:rPr>
              <w:t xml:space="preserve"> tiks iedarbināta Konvencij</w:t>
            </w:r>
            <w:r w:rsidR="003B2A15" w:rsidRPr="00CB33DF">
              <w:rPr>
                <w:rFonts w:ascii="Times New Roman" w:hAnsi="Times New Roman" w:cs="Times New Roman"/>
                <w:sz w:val="24"/>
                <w:szCs w:val="24"/>
              </w:rPr>
              <w:t>a</w:t>
            </w:r>
            <w:r w:rsidRPr="00CB33DF">
              <w:rPr>
                <w:rFonts w:ascii="Times New Roman" w:hAnsi="Times New Roman" w:cs="Times New Roman"/>
                <w:sz w:val="24"/>
                <w:szCs w:val="24"/>
              </w:rPr>
              <w:t xml:space="preserve"> par savstarpējo administratīvo palīdzību nodokļu jomā</w:t>
            </w:r>
            <w:r w:rsidR="003B2A15" w:rsidRPr="00CB33DF">
              <w:rPr>
                <w:rFonts w:ascii="Times New Roman" w:hAnsi="Times New Roman" w:cs="Times New Roman"/>
                <w:sz w:val="24"/>
                <w:szCs w:val="24"/>
              </w:rPr>
              <w:t xml:space="preserve"> (stājās spēkā 2014.gada 1.novembrī)</w:t>
            </w:r>
            <w:r w:rsidRPr="00CB33DF">
              <w:rPr>
                <w:rFonts w:ascii="Times New Roman" w:hAnsi="Times New Roman" w:cs="Times New Roman"/>
                <w:sz w:val="24"/>
                <w:szCs w:val="24"/>
              </w:rPr>
              <w:t>, kas paredz visus iespējamos administratīvās sadarbības veidus starp līgumslēdzēj</w:t>
            </w:r>
            <w:r w:rsidR="00595044">
              <w:rPr>
                <w:rFonts w:ascii="Times New Roman" w:hAnsi="Times New Roman" w:cs="Times New Roman"/>
                <w:sz w:val="24"/>
                <w:szCs w:val="24"/>
              </w:rPr>
              <w:t>u</w:t>
            </w:r>
            <w:r w:rsidRPr="00CB33DF">
              <w:rPr>
                <w:rFonts w:ascii="Times New Roman" w:hAnsi="Times New Roman" w:cs="Times New Roman"/>
                <w:sz w:val="24"/>
                <w:szCs w:val="24"/>
              </w:rPr>
              <w:t xml:space="preserve"> pusēm attiecībā uz nodokļu uzlikšanu un iekasēšanu, ar mērķi cīnīties pret izvairīšanos no nodokļu </w:t>
            </w:r>
            <w:r w:rsidR="00595044">
              <w:rPr>
                <w:rFonts w:ascii="Times New Roman" w:hAnsi="Times New Roman" w:cs="Times New Roman"/>
                <w:sz w:val="24"/>
                <w:szCs w:val="24"/>
              </w:rPr>
              <w:t>nomaksas</w:t>
            </w:r>
            <w:r w:rsidR="00595044" w:rsidRPr="00CB33DF">
              <w:rPr>
                <w:rFonts w:ascii="Times New Roman" w:hAnsi="Times New Roman" w:cs="Times New Roman"/>
                <w:sz w:val="24"/>
                <w:szCs w:val="24"/>
              </w:rPr>
              <w:t xml:space="preserve"> </w:t>
            </w:r>
            <w:r w:rsidRPr="00CB33DF">
              <w:rPr>
                <w:rFonts w:ascii="Times New Roman" w:hAnsi="Times New Roman" w:cs="Times New Roman"/>
                <w:sz w:val="24"/>
                <w:szCs w:val="24"/>
              </w:rPr>
              <w:t>un nodokļu nemaksāšanu, tai skaitā nodrošināt nodokļu prasījumu piedziņu.</w:t>
            </w:r>
          </w:p>
          <w:p w14:paraId="00E56AB1" w14:textId="287A09DA" w:rsidR="00135D8F" w:rsidRPr="00CB33DF" w:rsidRDefault="00135D8F" w:rsidP="00135D8F">
            <w:pPr>
              <w:spacing w:after="0" w:line="240" w:lineRule="auto"/>
              <w:jc w:val="both"/>
              <w:rPr>
                <w:rFonts w:ascii="Times New Roman" w:hAnsi="Times New Roman" w:cs="Times New Roman"/>
                <w:sz w:val="24"/>
                <w:szCs w:val="24"/>
              </w:rPr>
            </w:pPr>
            <w:r w:rsidRPr="00CB33DF">
              <w:rPr>
                <w:rFonts w:ascii="Times New Roman" w:hAnsi="Times New Roman" w:cs="Times New Roman"/>
                <w:sz w:val="24"/>
                <w:szCs w:val="24"/>
              </w:rPr>
              <w:t>Ievērojot iepriekš</w:t>
            </w:r>
            <w:r w:rsidR="00975AD0" w:rsidRPr="00CB33DF">
              <w:rPr>
                <w:rFonts w:ascii="Times New Roman" w:hAnsi="Times New Roman" w:cs="Times New Roman"/>
                <w:sz w:val="24"/>
                <w:szCs w:val="24"/>
              </w:rPr>
              <w:t xml:space="preserve"> </w:t>
            </w:r>
            <w:r w:rsidRPr="00CB33DF">
              <w:rPr>
                <w:rFonts w:ascii="Times New Roman" w:hAnsi="Times New Roman" w:cs="Times New Roman"/>
                <w:sz w:val="24"/>
                <w:szCs w:val="24"/>
              </w:rPr>
              <w:t xml:space="preserve">minēto, nepieciešams veikt grozījumus Maksājumu pakalpojumu un elektroniskas naudas likumā, paredzot pienākumu kredītiestādēm un citiem maksājumu pakalpojumu sniedzējiem </w:t>
            </w:r>
            <w:r w:rsidR="00D761A8">
              <w:rPr>
                <w:rFonts w:ascii="Times New Roman" w:hAnsi="Times New Roman" w:cs="Times New Roman"/>
                <w:sz w:val="24"/>
                <w:szCs w:val="24"/>
              </w:rPr>
              <w:t>sniegt</w:t>
            </w:r>
            <w:r w:rsidR="00D761A8" w:rsidRPr="00CB33DF">
              <w:rPr>
                <w:rFonts w:ascii="Times New Roman" w:hAnsi="Times New Roman" w:cs="Times New Roman"/>
                <w:sz w:val="24"/>
                <w:szCs w:val="24"/>
              </w:rPr>
              <w:t xml:space="preserve"> </w:t>
            </w:r>
            <w:r w:rsidRPr="00CB33DF">
              <w:rPr>
                <w:rFonts w:ascii="Times New Roman" w:hAnsi="Times New Roman" w:cs="Times New Roman"/>
                <w:sz w:val="24"/>
                <w:szCs w:val="24"/>
              </w:rPr>
              <w:t xml:space="preserve">Valsts ieņēmumu dienestam </w:t>
            </w:r>
            <w:r w:rsidR="00D761A8">
              <w:rPr>
                <w:rFonts w:ascii="Times New Roman" w:hAnsi="Times New Roman" w:cs="Times New Roman"/>
                <w:sz w:val="24"/>
                <w:szCs w:val="24"/>
              </w:rPr>
              <w:t xml:space="preserve">atteikumu pārskatu </w:t>
            </w:r>
            <w:r w:rsidRPr="00CB33DF">
              <w:rPr>
                <w:rFonts w:ascii="Times New Roman" w:hAnsi="Times New Roman" w:cs="Times New Roman"/>
                <w:sz w:val="24"/>
                <w:szCs w:val="24"/>
              </w:rPr>
              <w:t xml:space="preserve">par </w:t>
            </w:r>
            <w:r w:rsidR="009F7A72">
              <w:rPr>
                <w:rFonts w:ascii="Times New Roman" w:hAnsi="Times New Roman" w:cs="Times New Roman"/>
                <w:sz w:val="24"/>
                <w:szCs w:val="24"/>
              </w:rPr>
              <w:t xml:space="preserve">kredītiestāžu un citu maksājumu pakalpojumu sniedzēju par </w:t>
            </w:r>
            <w:r w:rsidRPr="00CB33DF">
              <w:rPr>
                <w:rFonts w:ascii="Times New Roman" w:hAnsi="Times New Roman" w:cs="Times New Roman"/>
                <w:sz w:val="24"/>
                <w:szCs w:val="24"/>
              </w:rPr>
              <w:t>Latvijas</w:t>
            </w:r>
            <w:r w:rsidR="00D97D8D">
              <w:rPr>
                <w:rFonts w:ascii="Times New Roman" w:hAnsi="Times New Roman" w:cs="Times New Roman"/>
                <w:sz w:val="24"/>
                <w:szCs w:val="24"/>
              </w:rPr>
              <w:t xml:space="preserve"> Republikas</w:t>
            </w:r>
            <w:r w:rsidRPr="00CB33DF">
              <w:rPr>
                <w:rFonts w:ascii="Times New Roman" w:hAnsi="Times New Roman" w:cs="Times New Roman"/>
                <w:sz w:val="24"/>
                <w:szCs w:val="24"/>
              </w:rPr>
              <w:t xml:space="preserve"> rezidentu </w:t>
            </w:r>
            <w:r w:rsidR="009F7A72">
              <w:rPr>
                <w:rFonts w:ascii="Times New Roman" w:hAnsi="Times New Roman" w:cs="Times New Roman"/>
                <w:sz w:val="24"/>
                <w:szCs w:val="24"/>
              </w:rPr>
              <w:t xml:space="preserve">attālināto </w:t>
            </w:r>
            <w:r w:rsidR="009F7A72" w:rsidRPr="00CB33DF">
              <w:rPr>
                <w:rFonts w:ascii="Times New Roman" w:hAnsi="Times New Roman" w:cs="Times New Roman"/>
                <w:sz w:val="24"/>
                <w:szCs w:val="24"/>
              </w:rPr>
              <w:t>maksājum</w:t>
            </w:r>
            <w:r w:rsidR="009F7A72">
              <w:rPr>
                <w:rFonts w:ascii="Times New Roman" w:hAnsi="Times New Roman" w:cs="Times New Roman"/>
                <w:sz w:val="24"/>
                <w:szCs w:val="24"/>
              </w:rPr>
              <w:t>u pieteikumiem</w:t>
            </w:r>
            <w:r w:rsidR="009F7A72" w:rsidRPr="00CB33DF">
              <w:rPr>
                <w:rFonts w:ascii="Times New Roman" w:hAnsi="Times New Roman" w:cs="Times New Roman"/>
                <w:sz w:val="24"/>
                <w:szCs w:val="24"/>
              </w:rPr>
              <w:t xml:space="preserve"> </w:t>
            </w:r>
            <w:r w:rsidR="00D97D8D" w:rsidRPr="006C3D5A">
              <w:rPr>
                <w:rFonts w:ascii="Times New Roman" w:hAnsi="Times New Roman" w:cs="Times New Roman"/>
                <w:sz w:val="24"/>
                <w:szCs w:val="24"/>
              </w:rPr>
              <w:t>Latvijas Republikā</w:t>
            </w:r>
            <w:r w:rsidRPr="00CB33DF">
              <w:rPr>
                <w:rFonts w:ascii="Times New Roman" w:hAnsi="Times New Roman" w:cs="Times New Roman"/>
                <w:sz w:val="24"/>
                <w:szCs w:val="24"/>
              </w:rPr>
              <w:t xml:space="preserve"> nelicencētam </w:t>
            </w:r>
            <w:r w:rsidR="00CB33DF" w:rsidRPr="00CB33DF">
              <w:rPr>
                <w:rFonts w:ascii="Times New Roman" w:hAnsi="Times New Roman" w:cs="Times New Roman"/>
                <w:sz w:val="24"/>
                <w:szCs w:val="24"/>
              </w:rPr>
              <w:t xml:space="preserve">interaktīvo </w:t>
            </w:r>
            <w:r w:rsidRPr="00CB33DF">
              <w:rPr>
                <w:rFonts w:ascii="Times New Roman" w:hAnsi="Times New Roman" w:cs="Times New Roman"/>
                <w:sz w:val="24"/>
                <w:szCs w:val="24"/>
              </w:rPr>
              <w:t>azartspēļu</w:t>
            </w:r>
            <w:r w:rsidR="00CB33DF" w:rsidRPr="00CB33DF">
              <w:rPr>
                <w:rFonts w:ascii="Times New Roman" w:hAnsi="Times New Roman" w:cs="Times New Roman"/>
                <w:sz w:val="24"/>
                <w:szCs w:val="24"/>
              </w:rPr>
              <w:t xml:space="preserve"> un interaktīvo izložu</w:t>
            </w:r>
            <w:r w:rsidRPr="00CB33DF">
              <w:rPr>
                <w:rFonts w:ascii="Times New Roman" w:hAnsi="Times New Roman" w:cs="Times New Roman"/>
                <w:sz w:val="24"/>
                <w:szCs w:val="24"/>
              </w:rPr>
              <w:t xml:space="preserve"> organizētājam.</w:t>
            </w:r>
          </w:p>
          <w:p w14:paraId="7C3ABEEC" w14:textId="77777777" w:rsidR="00135D8F" w:rsidRDefault="00135D8F" w:rsidP="00135D8F">
            <w:pPr>
              <w:spacing w:after="0" w:line="240" w:lineRule="auto"/>
              <w:jc w:val="both"/>
              <w:rPr>
                <w:rFonts w:ascii="Times New Roman" w:hAnsi="Times New Roman" w:cs="Times New Roman"/>
                <w:sz w:val="24"/>
                <w:szCs w:val="24"/>
              </w:rPr>
            </w:pPr>
            <w:r w:rsidRPr="00CB33DF">
              <w:rPr>
                <w:rFonts w:ascii="Times New Roman" w:hAnsi="Times New Roman" w:cs="Times New Roman"/>
                <w:sz w:val="24"/>
                <w:szCs w:val="24"/>
              </w:rPr>
              <w:t>Minētais regulējums ļautu ne tikai noteikt tīmekļa vietņu apgrozījumu Latvijas ekonomiskajā vidē, bet arī konstatēt, veicot nodokļu administrēšanas pasākumus, fizisko personu laimestu apmēru, kas nav deklarēt</w:t>
            </w:r>
            <w:r w:rsidR="00931F0D" w:rsidRPr="00CB33DF">
              <w:rPr>
                <w:rFonts w:ascii="Times New Roman" w:hAnsi="Times New Roman" w:cs="Times New Roman"/>
                <w:sz w:val="24"/>
                <w:szCs w:val="24"/>
              </w:rPr>
              <w:t>s</w:t>
            </w:r>
            <w:r w:rsidRPr="00CB33DF">
              <w:rPr>
                <w:rFonts w:ascii="Times New Roman" w:hAnsi="Times New Roman" w:cs="Times New Roman"/>
                <w:sz w:val="24"/>
                <w:szCs w:val="24"/>
              </w:rPr>
              <w:t xml:space="preserve"> un par kur</w:t>
            </w:r>
            <w:r w:rsidR="00931F0D" w:rsidRPr="00CB33DF">
              <w:rPr>
                <w:rFonts w:ascii="Times New Roman" w:hAnsi="Times New Roman" w:cs="Times New Roman"/>
                <w:sz w:val="24"/>
                <w:szCs w:val="24"/>
              </w:rPr>
              <w:t>u</w:t>
            </w:r>
            <w:r w:rsidRPr="00CB33DF">
              <w:rPr>
                <w:rFonts w:ascii="Times New Roman" w:hAnsi="Times New Roman" w:cs="Times New Roman"/>
                <w:sz w:val="24"/>
                <w:szCs w:val="24"/>
              </w:rPr>
              <w:t xml:space="preserve"> nav veikti nodokļu maksājumi. No likuma “Par iedzīvotāju ienākuma nodokli” 24.panta izriet, ka vienreizēji izložu vai azartspēļu laimesti, kā arī laimestu summa</w:t>
            </w:r>
            <w:r w:rsidR="001C65F6" w:rsidRPr="00CB33DF">
              <w:rPr>
                <w:rFonts w:ascii="Times New Roman" w:hAnsi="Times New Roman" w:cs="Times New Roman"/>
                <w:sz w:val="24"/>
                <w:szCs w:val="24"/>
              </w:rPr>
              <w:t xml:space="preserve">s un laimestu daļas līdz </w:t>
            </w:r>
            <w:r w:rsidR="003A2E76" w:rsidRPr="00CB33DF">
              <w:rPr>
                <w:rFonts w:ascii="Times New Roman" w:hAnsi="Times New Roman" w:cs="Times New Roman"/>
                <w:sz w:val="24"/>
                <w:szCs w:val="24"/>
              </w:rPr>
              <w:t xml:space="preserve">         </w:t>
            </w:r>
            <w:r w:rsidR="001C65F6" w:rsidRPr="00CB33DF">
              <w:rPr>
                <w:rFonts w:ascii="Times New Roman" w:hAnsi="Times New Roman" w:cs="Times New Roman"/>
                <w:sz w:val="24"/>
                <w:szCs w:val="24"/>
              </w:rPr>
              <w:t>3</w:t>
            </w:r>
            <w:r w:rsidR="003A2E76" w:rsidRPr="00CB33DF">
              <w:rPr>
                <w:rFonts w:ascii="Times New Roman" w:hAnsi="Times New Roman" w:cs="Times New Roman"/>
                <w:sz w:val="24"/>
                <w:szCs w:val="24"/>
              </w:rPr>
              <w:t xml:space="preserve"> </w:t>
            </w:r>
            <w:r w:rsidR="001C65F6" w:rsidRPr="00CB33DF">
              <w:rPr>
                <w:rFonts w:ascii="Times New Roman" w:hAnsi="Times New Roman" w:cs="Times New Roman"/>
                <w:sz w:val="24"/>
                <w:szCs w:val="24"/>
              </w:rPr>
              <w:t xml:space="preserve">000 </w:t>
            </w:r>
            <w:r w:rsidR="001C65F6" w:rsidRPr="00CB33DF">
              <w:rPr>
                <w:rFonts w:ascii="Times New Roman" w:hAnsi="Times New Roman" w:cs="Times New Roman"/>
                <w:i/>
                <w:sz w:val="24"/>
                <w:szCs w:val="24"/>
              </w:rPr>
              <w:t>eu</w:t>
            </w:r>
            <w:r w:rsidRPr="00CB33DF">
              <w:rPr>
                <w:rFonts w:ascii="Times New Roman" w:hAnsi="Times New Roman" w:cs="Times New Roman"/>
                <w:i/>
                <w:sz w:val="24"/>
                <w:szCs w:val="24"/>
              </w:rPr>
              <w:t>ro</w:t>
            </w:r>
            <w:r w:rsidRPr="00CB33DF">
              <w:rPr>
                <w:rFonts w:ascii="Times New Roman" w:hAnsi="Times New Roman" w:cs="Times New Roman"/>
                <w:sz w:val="24"/>
                <w:szCs w:val="24"/>
              </w:rPr>
              <w:t xml:space="preserve"> (ieskaitot) ar iedzīvotāju ienākuma nodokli aplikti netiek, bet laimesta daļai virs 3</w:t>
            </w:r>
            <w:r w:rsidR="001C65F6" w:rsidRPr="00CB33DF">
              <w:rPr>
                <w:rFonts w:ascii="Times New Roman" w:hAnsi="Times New Roman" w:cs="Times New Roman"/>
                <w:sz w:val="24"/>
                <w:szCs w:val="24"/>
              </w:rPr>
              <w:t xml:space="preserve"> </w:t>
            </w:r>
            <w:r w:rsidRPr="00CB33DF">
              <w:rPr>
                <w:rFonts w:ascii="Times New Roman" w:hAnsi="Times New Roman" w:cs="Times New Roman"/>
                <w:sz w:val="24"/>
                <w:szCs w:val="24"/>
              </w:rPr>
              <w:t xml:space="preserve">000 līdz </w:t>
            </w:r>
            <w:r w:rsidR="008E61F2" w:rsidRPr="00CB33DF">
              <w:rPr>
                <w:rFonts w:ascii="Times New Roman" w:hAnsi="Times New Roman" w:cs="Times New Roman"/>
                <w:sz w:val="24"/>
                <w:szCs w:val="24"/>
              </w:rPr>
              <w:t>62 800</w:t>
            </w:r>
            <w:r w:rsidRPr="00CB33DF">
              <w:rPr>
                <w:rFonts w:ascii="Times New Roman" w:hAnsi="Times New Roman" w:cs="Times New Roman"/>
                <w:sz w:val="24"/>
                <w:szCs w:val="24"/>
              </w:rPr>
              <w:t xml:space="preserve"> </w:t>
            </w:r>
            <w:r w:rsidRPr="00CB33DF">
              <w:rPr>
                <w:rFonts w:ascii="Times New Roman" w:hAnsi="Times New Roman" w:cs="Times New Roman"/>
                <w:i/>
                <w:sz w:val="24"/>
                <w:szCs w:val="24"/>
              </w:rPr>
              <w:t>euro</w:t>
            </w:r>
            <w:r w:rsidRPr="00CB33DF">
              <w:rPr>
                <w:rFonts w:ascii="Times New Roman" w:hAnsi="Times New Roman" w:cs="Times New Roman"/>
                <w:sz w:val="24"/>
                <w:szCs w:val="24"/>
              </w:rPr>
              <w:t xml:space="preserve"> tiek piemērota iedzīvotāju ienākuma nodokļa likme 23 procentu apmērā, savukārt laimesta daļai virs </w:t>
            </w:r>
            <w:r w:rsidR="008E61F2" w:rsidRPr="00CB33DF">
              <w:rPr>
                <w:rFonts w:ascii="Times New Roman" w:hAnsi="Times New Roman" w:cs="Times New Roman"/>
                <w:sz w:val="24"/>
                <w:szCs w:val="24"/>
              </w:rPr>
              <w:t>62 800</w:t>
            </w:r>
            <w:r w:rsidRPr="00CB33DF">
              <w:rPr>
                <w:rFonts w:ascii="Times New Roman" w:hAnsi="Times New Roman" w:cs="Times New Roman"/>
                <w:sz w:val="24"/>
                <w:szCs w:val="24"/>
              </w:rPr>
              <w:t xml:space="preserve"> </w:t>
            </w:r>
            <w:r w:rsidRPr="00CB33DF">
              <w:rPr>
                <w:rFonts w:ascii="Times New Roman" w:hAnsi="Times New Roman" w:cs="Times New Roman"/>
                <w:i/>
                <w:sz w:val="24"/>
                <w:szCs w:val="24"/>
              </w:rPr>
              <w:t>euro</w:t>
            </w:r>
            <w:r w:rsidRPr="00CB33DF">
              <w:rPr>
                <w:rFonts w:ascii="Times New Roman" w:hAnsi="Times New Roman" w:cs="Times New Roman"/>
                <w:sz w:val="24"/>
                <w:szCs w:val="24"/>
              </w:rPr>
              <w:t xml:space="preserve"> iedzīvotāju ienākuma nodokļa likme ir 31,4 procenti. </w:t>
            </w:r>
          </w:p>
          <w:p w14:paraId="74BB4D88" w14:textId="77777777" w:rsidR="00424308" w:rsidRPr="00CB33DF" w:rsidRDefault="00424308" w:rsidP="00135D8F">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Savukārt, s</w:t>
            </w:r>
            <w:r w:rsidRPr="00CB33DF">
              <w:rPr>
                <w:rFonts w:ascii="Times New Roman" w:hAnsi="Times New Roman" w:cs="Times New Roman"/>
                <w:bCs/>
                <w:sz w:val="24"/>
                <w:szCs w:val="24"/>
              </w:rPr>
              <w:t xml:space="preserve">askaņā ar likumu “Par izložu un azartspēļu nodevu un nodokli”  </w:t>
            </w:r>
            <w:r w:rsidRPr="00CB33DF">
              <w:rPr>
                <w:rFonts w:ascii="Times New Roman" w:hAnsi="Times New Roman" w:cs="Times New Roman"/>
                <w:sz w:val="24"/>
                <w:szCs w:val="24"/>
                <w:lang w:eastAsia="lv-LV"/>
              </w:rPr>
              <w:t xml:space="preserve">azartspēļu </w:t>
            </w:r>
            <w:r>
              <w:rPr>
                <w:rFonts w:ascii="Times New Roman" w:hAnsi="Times New Roman" w:cs="Times New Roman"/>
                <w:sz w:val="24"/>
                <w:szCs w:val="24"/>
                <w:lang w:eastAsia="lv-LV"/>
              </w:rPr>
              <w:t xml:space="preserve">un izložu </w:t>
            </w:r>
            <w:r w:rsidRPr="00CB33DF">
              <w:rPr>
                <w:rFonts w:ascii="Times New Roman" w:hAnsi="Times New Roman" w:cs="Times New Roman"/>
                <w:sz w:val="24"/>
                <w:szCs w:val="24"/>
                <w:lang w:eastAsia="lv-LV"/>
              </w:rPr>
              <w:t xml:space="preserve">organizētāju gūtie ienākumi </w:t>
            </w:r>
            <w:r w:rsidRPr="00CB33DF">
              <w:rPr>
                <w:rFonts w:ascii="Times New Roman" w:hAnsi="Times New Roman" w:cs="Times New Roman"/>
                <w:bCs/>
                <w:sz w:val="24"/>
                <w:szCs w:val="24"/>
              </w:rPr>
              <w:t>būtu apliekami ar azartspēļu nodokli 10% no ieņēmumiem</w:t>
            </w:r>
            <w:r>
              <w:rPr>
                <w:rFonts w:ascii="Times New Roman" w:hAnsi="Times New Roman" w:cs="Times New Roman"/>
                <w:bCs/>
                <w:sz w:val="24"/>
                <w:szCs w:val="24"/>
              </w:rPr>
              <w:t>.</w:t>
            </w:r>
          </w:p>
          <w:p w14:paraId="509A5211" w14:textId="72EC82D1" w:rsidR="00135D8F" w:rsidRPr="00CB33DF" w:rsidRDefault="00135D8F" w:rsidP="00135D8F">
            <w:pPr>
              <w:spacing w:after="0" w:line="240" w:lineRule="auto"/>
              <w:jc w:val="both"/>
              <w:rPr>
                <w:rFonts w:ascii="Times New Roman" w:hAnsi="Times New Roman" w:cs="Times New Roman"/>
                <w:sz w:val="24"/>
                <w:szCs w:val="24"/>
              </w:rPr>
            </w:pPr>
            <w:r w:rsidRPr="00CB33DF">
              <w:rPr>
                <w:rFonts w:ascii="Times New Roman" w:hAnsi="Times New Roman" w:cs="Times New Roman"/>
                <w:sz w:val="24"/>
                <w:szCs w:val="24"/>
              </w:rPr>
              <w:t>Iedar</w:t>
            </w:r>
            <w:r w:rsidR="00F5358D" w:rsidRPr="00CB33DF">
              <w:rPr>
                <w:rFonts w:ascii="Times New Roman" w:hAnsi="Times New Roman" w:cs="Times New Roman"/>
                <w:sz w:val="24"/>
                <w:szCs w:val="24"/>
              </w:rPr>
              <w:t>b</w:t>
            </w:r>
            <w:r w:rsidRPr="00CB33DF">
              <w:rPr>
                <w:rFonts w:ascii="Times New Roman" w:hAnsi="Times New Roman" w:cs="Times New Roman"/>
                <w:sz w:val="24"/>
                <w:szCs w:val="24"/>
              </w:rPr>
              <w:t xml:space="preserve">inot informācijas </w:t>
            </w:r>
            <w:r w:rsidR="00595044">
              <w:rPr>
                <w:rFonts w:ascii="Times New Roman" w:hAnsi="Times New Roman" w:cs="Times New Roman"/>
                <w:sz w:val="24"/>
                <w:szCs w:val="24"/>
              </w:rPr>
              <w:t xml:space="preserve">apmaiņas </w:t>
            </w:r>
            <w:r w:rsidRPr="00CB33DF">
              <w:rPr>
                <w:rFonts w:ascii="Times New Roman" w:hAnsi="Times New Roman" w:cs="Times New Roman"/>
                <w:sz w:val="24"/>
                <w:szCs w:val="24"/>
              </w:rPr>
              <w:t>mehānismu starp Valsts ieņēmumu dienestu un Izložu un azartspēļu uzraudzības inspekciju par tīmekļa vietnēm, kuru darbība nav ierobežota, Izložu un azartspēļu uzraudzības inspekcij</w:t>
            </w:r>
            <w:r w:rsidR="00224793" w:rsidRPr="00CB33DF">
              <w:rPr>
                <w:rFonts w:ascii="Times New Roman" w:hAnsi="Times New Roman" w:cs="Times New Roman"/>
                <w:sz w:val="24"/>
                <w:szCs w:val="24"/>
              </w:rPr>
              <w:t>a</w:t>
            </w:r>
            <w:r w:rsidR="00931F0D" w:rsidRPr="00CB33DF">
              <w:rPr>
                <w:rFonts w:ascii="Times New Roman" w:hAnsi="Times New Roman" w:cs="Times New Roman"/>
                <w:sz w:val="24"/>
                <w:szCs w:val="24"/>
              </w:rPr>
              <w:t>i</w:t>
            </w:r>
            <w:r w:rsidRPr="00CB33DF">
              <w:rPr>
                <w:rFonts w:ascii="Times New Roman" w:hAnsi="Times New Roman" w:cs="Times New Roman"/>
                <w:sz w:val="24"/>
                <w:szCs w:val="24"/>
              </w:rPr>
              <w:t xml:space="preserve"> būs papildu informācijas avots, kas ļaus laicīgi pieņemt lēmumu par piekļuves ierobežošanu </w:t>
            </w:r>
            <w:r w:rsidR="00D97D8D" w:rsidRPr="006C3D5A">
              <w:rPr>
                <w:rFonts w:ascii="Times New Roman" w:hAnsi="Times New Roman" w:cs="Times New Roman"/>
                <w:sz w:val="24"/>
                <w:szCs w:val="24"/>
              </w:rPr>
              <w:t>Latvijas Republikā</w:t>
            </w:r>
            <w:r w:rsidRPr="00CB33DF">
              <w:rPr>
                <w:rFonts w:ascii="Times New Roman" w:hAnsi="Times New Roman" w:cs="Times New Roman"/>
                <w:sz w:val="24"/>
                <w:szCs w:val="24"/>
              </w:rPr>
              <w:t xml:space="preserve"> nelicencēta </w:t>
            </w:r>
            <w:r w:rsidRPr="00CB33DF">
              <w:rPr>
                <w:rFonts w:ascii="Times New Roman" w:hAnsi="Times New Roman" w:cs="Times New Roman"/>
                <w:sz w:val="24"/>
                <w:szCs w:val="24"/>
              </w:rPr>
              <w:lastRenderedPageBreak/>
              <w:t>interaktīvo azartspēļu</w:t>
            </w:r>
            <w:r w:rsidR="00DA1795">
              <w:rPr>
                <w:rFonts w:ascii="Times New Roman" w:hAnsi="Times New Roman" w:cs="Times New Roman"/>
                <w:sz w:val="24"/>
                <w:szCs w:val="24"/>
              </w:rPr>
              <w:t xml:space="preserve"> vai izložu</w:t>
            </w:r>
            <w:r w:rsidRPr="00CB33DF">
              <w:rPr>
                <w:rFonts w:ascii="Times New Roman" w:hAnsi="Times New Roman" w:cs="Times New Roman"/>
                <w:sz w:val="24"/>
                <w:szCs w:val="24"/>
              </w:rPr>
              <w:t xml:space="preserve"> organizētāja tīmekļa vietnei.</w:t>
            </w:r>
          </w:p>
          <w:p w14:paraId="4B4B3329" w14:textId="79B417E0" w:rsidR="000A185D" w:rsidRPr="00CB33DF" w:rsidRDefault="000A185D" w:rsidP="000A185D">
            <w:pPr>
              <w:spacing w:after="0" w:line="240" w:lineRule="auto"/>
              <w:jc w:val="both"/>
              <w:rPr>
                <w:rFonts w:ascii="Times New Roman" w:hAnsi="Times New Roman" w:cs="Times New Roman"/>
                <w:sz w:val="24"/>
                <w:szCs w:val="24"/>
              </w:rPr>
            </w:pPr>
            <w:r w:rsidRPr="00CB33DF">
              <w:rPr>
                <w:rFonts w:ascii="Times New Roman" w:hAnsi="Times New Roman" w:cs="Times New Roman"/>
                <w:sz w:val="24"/>
                <w:szCs w:val="24"/>
              </w:rPr>
              <w:t xml:space="preserve">Eiropas azartspēļu uzraudzības iestādēm tiks izsūtīta informācija par starptautiskās piedziņas aktivizēšanu attiecībā uz ārvalstu komersantiem, kas nav licencējušies </w:t>
            </w:r>
            <w:r w:rsidR="00D97D8D" w:rsidRPr="006C3D5A">
              <w:rPr>
                <w:rFonts w:ascii="Times New Roman" w:hAnsi="Times New Roman" w:cs="Times New Roman"/>
                <w:sz w:val="24"/>
                <w:szCs w:val="24"/>
              </w:rPr>
              <w:t>Latvijas Republikā</w:t>
            </w:r>
            <w:r w:rsidRPr="00CB33DF">
              <w:rPr>
                <w:rFonts w:ascii="Times New Roman" w:hAnsi="Times New Roman" w:cs="Times New Roman"/>
                <w:sz w:val="24"/>
                <w:szCs w:val="24"/>
              </w:rPr>
              <w:t xml:space="preserve">, bet gūst ar nodokli apliekamo ienākumu, darbojoties Latvijas ekonomiskajā </w:t>
            </w:r>
            <w:r w:rsidR="00DA1795">
              <w:rPr>
                <w:rFonts w:ascii="Times New Roman" w:hAnsi="Times New Roman" w:cs="Times New Roman"/>
                <w:sz w:val="24"/>
                <w:szCs w:val="24"/>
              </w:rPr>
              <w:t>vidē</w:t>
            </w:r>
            <w:r w:rsidRPr="00CB33DF">
              <w:rPr>
                <w:rFonts w:ascii="Times New Roman" w:hAnsi="Times New Roman" w:cs="Times New Roman"/>
                <w:sz w:val="24"/>
                <w:szCs w:val="24"/>
              </w:rPr>
              <w:t>.</w:t>
            </w:r>
          </w:p>
          <w:p w14:paraId="1EF695B2" w14:textId="4C74CE96" w:rsidR="000A185D" w:rsidRPr="00CB33DF" w:rsidRDefault="00595044" w:rsidP="000A18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Papildus</w:t>
            </w:r>
            <w:r w:rsidR="000A185D" w:rsidRPr="00CB33DF">
              <w:rPr>
                <w:rFonts w:ascii="Times New Roman" w:hAnsi="Times New Roman" w:cs="Times New Roman"/>
                <w:sz w:val="24"/>
                <w:szCs w:val="24"/>
              </w:rPr>
              <w:t xml:space="preserve"> ir paredzēts uzrunāt “elektronisko maku”</w:t>
            </w:r>
            <w:r>
              <w:rPr>
                <w:rFonts w:ascii="Times New Roman" w:hAnsi="Times New Roman" w:cs="Times New Roman"/>
                <w:sz w:val="24"/>
                <w:szCs w:val="24"/>
              </w:rPr>
              <w:t xml:space="preserve"> turētājus</w:t>
            </w:r>
            <w:r w:rsidR="000A185D" w:rsidRPr="00CB33DF">
              <w:rPr>
                <w:rFonts w:ascii="Times New Roman" w:hAnsi="Times New Roman" w:cs="Times New Roman"/>
                <w:sz w:val="24"/>
                <w:szCs w:val="24"/>
              </w:rPr>
              <w:t>, kas piedāvā pakalpojumu Latvijas</w:t>
            </w:r>
            <w:r w:rsidR="00D97D8D">
              <w:rPr>
                <w:rFonts w:ascii="Times New Roman" w:hAnsi="Times New Roman" w:cs="Times New Roman"/>
                <w:sz w:val="24"/>
                <w:szCs w:val="24"/>
              </w:rPr>
              <w:t xml:space="preserve"> Republikas</w:t>
            </w:r>
            <w:r w:rsidR="000A185D" w:rsidRPr="00CB33DF">
              <w:rPr>
                <w:rFonts w:ascii="Times New Roman" w:hAnsi="Times New Roman" w:cs="Times New Roman"/>
                <w:sz w:val="24"/>
                <w:szCs w:val="24"/>
              </w:rPr>
              <w:t xml:space="preserve"> rezidentiem (uz tiem attiecās arī noziedzīgi iegūto līdzekļu legalizēšanas un terorisma finansēšanas novēršanas sistēmā paredzētie klientu identificēšanas nosacījumi, kā arī citas Latvijas normatīvo aktu prasības, ko tie uzņemas, piedāvājot pakalpojumus Latvijas ekonomiskajā zonā), informējot, ka Latvijas </w:t>
            </w:r>
            <w:r w:rsidR="00D97D8D">
              <w:rPr>
                <w:rFonts w:ascii="Times New Roman" w:hAnsi="Times New Roman" w:cs="Times New Roman"/>
                <w:sz w:val="24"/>
                <w:szCs w:val="24"/>
              </w:rPr>
              <w:t xml:space="preserve">Republikas </w:t>
            </w:r>
            <w:r w:rsidR="000A185D" w:rsidRPr="00CB33DF">
              <w:rPr>
                <w:rFonts w:ascii="Times New Roman" w:hAnsi="Times New Roman" w:cs="Times New Roman"/>
                <w:sz w:val="24"/>
                <w:szCs w:val="24"/>
              </w:rPr>
              <w:t xml:space="preserve">rezidentu attālinātie maksājumi un </w:t>
            </w:r>
            <w:proofErr w:type="spellStart"/>
            <w:r w:rsidR="000A185D" w:rsidRPr="00CB33DF">
              <w:rPr>
                <w:rFonts w:ascii="Times New Roman" w:hAnsi="Times New Roman" w:cs="Times New Roman"/>
                <w:sz w:val="24"/>
                <w:szCs w:val="24"/>
              </w:rPr>
              <w:t>pārskaitījumi</w:t>
            </w:r>
            <w:proofErr w:type="spellEnd"/>
            <w:r w:rsidR="000A185D" w:rsidRPr="00CB33DF">
              <w:rPr>
                <w:rFonts w:ascii="Times New Roman" w:hAnsi="Times New Roman" w:cs="Times New Roman"/>
                <w:sz w:val="24"/>
                <w:szCs w:val="24"/>
              </w:rPr>
              <w:t xml:space="preserve"> uz </w:t>
            </w:r>
            <w:r w:rsidR="00D97D8D" w:rsidRPr="006C3D5A">
              <w:rPr>
                <w:rFonts w:ascii="Times New Roman" w:hAnsi="Times New Roman" w:cs="Times New Roman"/>
                <w:sz w:val="24"/>
                <w:szCs w:val="24"/>
              </w:rPr>
              <w:t>Latvijas Republikā</w:t>
            </w:r>
            <w:r w:rsidR="000A185D" w:rsidRPr="00CB33DF">
              <w:rPr>
                <w:rFonts w:ascii="Times New Roman" w:hAnsi="Times New Roman" w:cs="Times New Roman"/>
                <w:sz w:val="24"/>
                <w:szCs w:val="24"/>
              </w:rPr>
              <w:t xml:space="preserve"> nelicencēto interaktīvo azartspēļu </w:t>
            </w:r>
            <w:r w:rsidR="00CB33DF" w:rsidRPr="00CB33DF">
              <w:rPr>
                <w:rFonts w:ascii="Times New Roman" w:hAnsi="Times New Roman" w:cs="Times New Roman"/>
                <w:sz w:val="24"/>
                <w:szCs w:val="24"/>
              </w:rPr>
              <w:t xml:space="preserve">un interaktīvo izložu </w:t>
            </w:r>
            <w:r w:rsidR="000A185D" w:rsidRPr="00CB33DF">
              <w:rPr>
                <w:rFonts w:ascii="Times New Roman" w:hAnsi="Times New Roman" w:cs="Times New Roman"/>
                <w:sz w:val="24"/>
                <w:szCs w:val="24"/>
              </w:rPr>
              <w:t>organizētājiem ir aizliegti.</w:t>
            </w:r>
          </w:p>
          <w:p w14:paraId="74D9936B" w14:textId="7872EBB2" w:rsidR="00F5358D" w:rsidRPr="00CB33DF" w:rsidRDefault="00933477" w:rsidP="00135D8F">
            <w:pPr>
              <w:spacing w:after="0" w:line="240" w:lineRule="auto"/>
              <w:jc w:val="both"/>
              <w:rPr>
                <w:rFonts w:ascii="Times New Roman" w:hAnsi="Times New Roman" w:cs="Times New Roman"/>
                <w:b/>
                <w:i/>
                <w:sz w:val="24"/>
                <w:szCs w:val="24"/>
              </w:rPr>
            </w:pPr>
            <w:r w:rsidRPr="00CB33DF">
              <w:rPr>
                <w:rFonts w:ascii="Times New Roman" w:hAnsi="Times New Roman" w:cs="Times New Roman"/>
                <w:b/>
                <w:i/>
                <w:sz w:val="24"/>
                <w:szCs w:val="24"/>
              </w:rPr>
              <w:t>2.</w:t>
            </w:r>
            <w:r w:rsidR="00C62503" w:rsidRPr="00CB33DF">
              <w:rPr>
                <w:rFonts w:ascii="Times New Roman" w:hAnsi="Times New Roman" w:cs="Times New Roman"/>
                <w:b/>
                <w:i/>
                <w:sz w:val="24"/>
                <w:szCs w:val="24"/>
              </w:rPr>
              <w:t xml:space="preserve"> </w:t>
            </w:r>
            <w:r w:rsidR="00CF796A">
              <w:rPr>
                <w:rFonts w:ascii="Times New Roman" w:hAnsi="Times New Roman" w:cs="Times New Roman"/>
                <w:b/>
                <w:i/>
                <w:sz w:val="24"/>
                <w:szCs w:val="24"/>
              </w:rPr>
              <w:t>Informācijas sniegšana Valsts ieņēmumu dienestam</w:t>
            </w:r>
            <w:r w:rsidR="00287E0E" w:rsidRPr="00CB33DF">
              <w:rPr>
                <w:rFonts w:ascii="Times New Roman" w:hAnsi="Times New Roman" w:cs="Times New Roman"/>
                <w:b/>
                <w:i/>
                <w:sz w:val="24"/>
                <w:szCs w:val="24"/>
              </w:rPr>
              <w:t>.</w:t>
            </w:r>
          </w:p>
          <w:p w14:paraId="59F97431" w14:textId="77777777" w:rsidR="00287E0E" w:rsidRPr="00CB33DF" w:rsidRDefault="00287E0E" w:rsidP="00287E0E">
            <w:pPr>
              <w:spacing w:after="0" w:line="240" w:lineRule="auto"/>
              <w:jc w:val="both"/>
              <w:rPr>
                <w:rFonts w:ascii="Times New Roman" w:hAnsi="Times New Roman" w:cs="Times New Roman"/>
                <w:sz w:val="24"/>
                <w:szCs w:val="24"/>
              </w:rPr>
            </w:pPr>
            <w:r w:rsidRPr="00CB33DF">
              <w:rPr>
                <w:rFonts w:ascii="Times New Roman" w:hAnsi="Times New Roman" w:cs="Times New Roman"/>
                <w:sz w:val="24"/>
                <w:szCs w:val="24"/>
              </w:rPr>
              <w:t xml:space="preserve">Likumprojekts nebūtiski palielinās administratīvo slogu </w:t>
            </w:r>
            <w:r w:rsidR="003E1A69" w:rsidRPr="00CB33DF">
              <w:rPr>
                <w:rFonts w:ascii="Times New Roman" w:hAnsi="Times New Roman" w:cs="Times New Roman"/>
                <w:sz w:val="24"/>
                <w:szCs w:val="24"/>
              </w:rPr>
              <w:t>kredītiestādēm un citiem maksājumu pakalpojumu sniedzējiem</w:t>
            </w:r>
            <w:r w:rsidRPr="00CB33DF">
              <w:rPr>
                <w:rFonts w:ascii="Times New Roman" w:hAnsi="Times New Roman" w:cs="Times New Roman"/>
                <w:sz w:val="24"/>
                <w:szCs w:val="24"/>
              </w:rPr>
              <w:t xml:space="preserve"> (pienākums sniegt Valsts ieņēmumu dienestam to rīcībā esošu informāciju), taču sagaidāms, ka tas pozitīvi ietekmēs cīņu pret izvairīšanos no nodokļu nomaksas un veicinās labprātīgu nodokļu nomaksu. Turklāt informācijas, kas jau ir subjekta rīcībā, sniegšana Valsts ieņēmumu dienestam parasti nerada lielu administratīvo slogu subjektam.</w:t>
            </w:r>
          </w:p>
          <w:p w14:paraId="51EB739C" w14:textId="38262BFB" w:rsidR="00AD5CF7" w:rsidRPr="00CB33DF" w:rsidRDefault="00287E0E" w:rsidP="00287E0E">
            <w:pPr>
              <w:spacing w:after="0" w:line="240" w:lineRule="auto"/>
              <w:jc w:val="both"/>
              <w:rPr>
                <w:rFonts w:ascii="Times New Roman" w:hAnsi="Times New Roman" w:cs="Times New Roman"/>
                <w:sz w:val="24"/>
                <w:szCs w:val="24"/>
              </w:rPr>
            </w:pPr>
            <w:r w:rsidRPr="00CB33DF">
              <w:rPr>
                <w:rFonts w:ascii="Times New Roman" w:hAnsi="Times New Roman" w:cs="Times New Roman"/>
                <w:sz w:val="24"/>
                <w:szCs w:val="24"/>
              </w:rPr>
              <w:t>Rezultātā tiek labvēlīgi ietekmēta uzņēmējdarbības vide un tiks veicināta godīga konkurence</w:t>
            </w:r>
            <w:r w:rsidR="00595044">
              <w:rPr>
                <w:rFonts w:ascii="Times New Roman" w:hAnsi="Times New Roman" w:cs="Times New Roman"/>
                <w:sz w:val="24"/>
                <w:szCs w:val="24"/>
              </w:rPr>
              <w:t xml:space="preserve"> interaktīvo azartspēļu un izložu jomā </w:t>
            </w:r>
            <w:r w:rsidR="00D97D8D" w:rsidRPr="006C3D5A">
              <w:rPr>
                <w:rFonts w:ascii="Times New Roman" w:hAnsi="Times New Roman" w:cs="Times New Roman"/>
                <w:sz w:val="24"/>
                <w:szCs w:val="24"/>
              </w:rPr>
              <w:t>Latvijas Republikā</w:t>
            </w:r>
            <w:r w:rsidRPr="00CB33DF">
              <w:rPr>
                <w:rFonts w:ascii="Times New Roman" w:hAnsi="Times New Roman" w:cs="Times New Roman"/>
                <w:sz w:val="24"/>
                <w:szCs w:val="24"/>
              </w:rPr>
              <w:t>.</w:t>
            </w:r>
          </w:p>
          <w:p w14:paraId="50BF1285" w14:textId="77777777" w:rsidR="00AD5CF7" w:rsidRPr="00CB33DF" w:rsidRDefault="00933477" w:rsidP="00135D8F">
            <w:pPr>
              <w:spacing w:after="0" w:line="240" w:lineRule="auto"/>
              <w:jc w:val="both"/>
              <w:rPr>
                <w:rFonts w:ascii="Times New Roman" w:hAnsi="Times New Roman" w:cs="Times New Roman"/>
                <w:b/>
                <w:i/>
                <w:sz w:val="24"/>
                <w:szCs w:val="24"/>
              </w:rPr>
            </w:pPr>
            <w:r w:rsidRPr="00CB33DF">
              <w:rPr>
                <w:rFonts w:ascii="Times New Roman" w:hAnsi="Times New Roman" w:cs="Times New Roman"/>
                <w:b/>
                <w:i/>
                <w:sz w:val="24"/>
                <w:szCs w:val="24"/>
              </w:rPr>
              <w:t>3.</w:t>
            </w:r>
            <w:r w:rsidR="00C62503" w:rsidRPr="00CB33DF">
              <w:rPr>
                <w:rFonts w:ascii="Times New Roman" w:hAnsi="Times New Roman" w:cs="Times New Roman"/>
                <w:b/>
                <w:i/>
                <w:sz w:val="24"/>
                <w:szCs w:val="24"/>
              </w:rPr>
              <w:t xml:space="preserve"> </w:t>
            </w:r>
            <w:r w:rsidR="00AD5CF7" w:rsidRPr="00CB33DF">
              <w:rPr>
                <w:rFonts w:ascii="Times New Roman" w:hAnsi="Times New Roman" w:cs="Times New Roman"/>
                <w:b/>
                <w:i/>
                <w:sz w:val="24"/>
                <w:szCs w:val="24"/>
              </w:rPr>
              <w:t xml:space="preserve">Pamatojums privātpersonu </w:t>
            </w:r>
            <w:proofErr w:type="spellStart"/>
            <w:r w:rsidR="00AD5CF7" w:rsidRPr="00CB33DF">
              <w:rPr>
                <w:rFonts w:ascii="Times New Roman" w:hAnsi="Times New Roman" w:cs="Times New Roman"/>
                <w:b/>
                <w:i/>
                <w:sz w:val="24"/>
                <w:szCs w:val="24"/>
              </w:rPr>
              <w:t>pamattiesību</w:t>
            </w:r>
            <w:proofErr w:type="spellEnd"/>
            <w:r w:rsidR="00AD5CF7" w:rsidRPr="00CB33DF">
              <w:rPr>
                <w:rFonts w:ascii="Times New Roman" w:hAnsi="Times New Roman" w:cs="Times New Roman"/>
                <w:b/>
                <w:i/>
                <w:sz w:val="24"/>
                <w:szCs w:val="24"/>
              </w:rPr>
              <w:t xml:space="preserve"> ierobežojumam.</w:t>
            </w:r>
          </w:p>
          <w:p w14:paraId="4D3652E7" w14:textId="689C5BB8" w:rsidR="00AD5CF7" w:rsidRPr="00CB33DF" w:rsidRDefault="00AD5CF7" w:rsidP="00AD5CF7">
            <w:pPr>
              <w:spacing w:after="0" w:line="240" w:lineRule="auto"/>
              <w:jc w:val="both"/>
              <w:rPr>
                <w:rFonts w:ascii="Times New Roman" w:hAnsi="Times New Roman" w:cs="Times New Roman"/>
                <w:sz w:val="24"/>
                <w:szCs w:val="24"/>
              </w:rPr>
            </w:pPr>
            <w:r w:rsidRPr="00CB33DF">
              <w:rPr>
                <w:rFonts w:ascii="Times New Roman" w:hAnsi="Times New Roman" w:cs="Times New Roman"/>
                <w:sz w:val="24"/>
                <w:szCs w:val="24"/>
              </w:rPr>
              <w:t xml:space="preserve">Fizisko personu </w:t>
            </w:r>
            <w:proofErr w:type="spellStart"/>
            <w:r w:rsidRPr="00CB33DF">
              <w:rPr>
                <w:rFonts w:ascii="Times New Roman" w:hAnsi="Times New Roman" w:cs="Times New Roman"/>
                <w:sz w:val="24"/>
                <w:szCs w:val="24"/>
              </w:rPr>
              <w:t>pamattiesības</w:t>
            </w:r>
            <w:proofErr w:type="spellEnd"/>
            <w:r w:rsidRPr="00CB33DF">
              <w:rPr>
                <w:rFonts w:ascii="Times New Roman" w:hAnsi="Times New Roman" w:cs="Times New Roman"/>
                <w:sz w:val="24"/>
                <w:szCs w:val="24"/>
              </w:rPr>
              <w:t xml:space="preserve"> un brīvības, it īpaši uz privātās dzīves neaizskaramību, attiecībā uz fiziskās personas datu apstrādi aizsargā Latvijas Republikas Satversmes 96.</w:t>
            </w:r>
            <w:r w:rsidR="00887F3A" w:rsidRPr="00CB33DF">
              <w:rPr>
                <w:rFonts w:ascii="Times New Roman" w:hAnsi="Times New Roman" w:cs="Times New Roman"/>
                <w:sz w:val="24"/>
                <w:szCs w:val="24"/>
              </w:rPr>
              <w:t>pant</w:t>
            </w:r>
            <w:r w:rsidR="00887F3A">
              <w:rPr>
                <w:rFonts w:ascii="Times New Roman" w:hAnsi="Times New Roman" w:cs="Times New Roman"/>
                <w:sz w:val="24"/>
                <w:szCs w:val="24"/>
              </w:rPr>
              <w:t>s</w:t>
            </w:r>
            <w:r w:rsidRPr="00CB33DF">
              <w:rPr>
                <w:rFonts w:ascii="Times New Roman" w:hAnsi="Times New Roman" w:cs="Times New Roman"/>
                <w:sz w:val="24"/>
                <w:szCs w:val="24"/>
              </w:rPr>
              <w:t>, kas nosaka, ka ikvienai personai ir tiesības uz privātās dzīves, mājokļa un korespondences neaizskaramību.</w:t>
            </w:r>
          </w:p>
          <w:p w14:paraId="381758E9" w14:textId="77777777" w:rsidR="00AD5CF7" w:rsidRPr="00CB33DF" w:rsidRDefault="00AD5CF7" w:rsidP="00AD5CF7">
            <w:pPr>
              <w:spacing w:after="0" w:line="240" w:lineRule="auto"/>
              <w:jc w:val="both"/>
              <w:rPr>
                <w:rFonts w:ascii="Times New Roman" w:hAnsi="Times New Roman" w:cs="Times New Roman"/>
                <w:sz w:val="24"/>
                <w:szCs w:val="24"/>
              </w:rPr>
            </w:pPr>
            <w:r w:rsidRPr="00CB33DF">
              <w:rPr>
                <w:rFonts w:ascii="Times New Roman" w:hAnsi="Times New Roman" w:cs="Times New Roman"/>
                <w:sz w:val="24"/>
                <w:szCs w:val="24"/>
              </w:rPr>
              <w:t>Savukārt Satversmes 116.pants nosaka, ka šīs tiesības var ierobežot likumā paredzētajos gadījumos, lai aizsargātu citu cilvēku tiesības, demokrātisko valsts iekārtu, sabiedrības drošību, labklājību un tikumību.</w:t>
            </w:r>
          </w:p>
          <w:p w14:paraId="72BAB92F" w14:textId="040E1E02" w:rsidR="00361F0A" w:rsidRPr="00CB33DF" w:rsidRDefault="00AD5CF7" w:rsidP="000C67DE">
            <w:pPr>
              <w:spacing w:after="0" w:line="240" w:lineRule="auto"/>
              <w:jc w:val="both"/>
              <w:rPr>
                <w:rFonts w:ascii="Times New Roman" w:hAnsi="Times New Roman" w:cs="Times New Roman"/>
                <w:sz w:val="24"/>
                <w:szCs w:val="24"/>
              </w:rPr>
            </w:pPr>
            <w:r w:rsidRPr="00CB33DF">
              <w:rPr>
                <w:rFonts w:ascii="Times New Roman" w:hAnsi="Times New Roman" w:cs="Times New Roman"/>
                <w:sz w:val="24"/>
                <w:szCs w:val="24"/>
              </w:rPr>
              <w:t>Likumprojektā ietvertais regulējums ir vēr</w:t>
            </w:r>
            <w:r w:rsidR="00F5358D" w:rsidRPr="00CB33DF">
              <w:rPr>
                <w:rFonts w:ascii="Times New Roman" w:hAnsi="Times New Roman" w:cs="Times New Roman"/>
                <w:sz w:val="24"/>
                <w:szCs w:val="24"/>
              </w:rPr>
              <w:t>s</w:t>
            </w:r>
            <w:r w:rsidRPr="00CB33DF">
              <w:rPr>
                <w:rFonts w:ascii="Times New Roman" w:hAnsi="Times New Roman" w:cs="Times New Roman"/>
                <w:sz w:val="24"/>
                <w:szCs w:val="24"/>
              </w:rPr>
              <w:t>ts uz leģitīma mērķa – sabiedrības labklājības veicināšana – sasniegšanu. Cīņa pret izvairīšanos no nodokļu nomaksas palielina budžeta ieņēmumus, kā arī uzlabo uzņēmējdarbības vidi. Turklāt</w:t>
            </w:r>
            <w:r w:rsidR="00C62503" w:rsidRPr="00CB33DF">
              <w:rPr>
                <w:rFonts w:ascii="Times New Roman" w:hAnsi="Times New Roman" w:cs="Times New Roman"/>
                <w:sz w:val="24"/>
                <w:szCs w:val="24"/>
              </w:rPr>
              <w:t>,</w:t>
            </w:r>
            <w:r w:rsidRPr="00CB33DF">
              <w:rPr>
                <w:rFonts w:ascii="Times New Roman" w:hAnsi="Times New Roman" w:cs="Times New Roman"/>
                <w:sz w:val="24"/>
                <w:szCs w:val="24"/>
              </w:rPr>
              <w:t xml:space="preserve"> pieprasot informāciju no likumprojektā noteiktajiem subjektiem, Valsts ieņēmumu dienests varēs iegūt informāciju, kādu, ņemot vērā digitālās ekonomikas darbības principus, parasti nav iespējams iegūt, izmantojot citu, mazāk ierobežojošu līdzekli. Savukārt informācijas apjoms, ko saņems Valsts ieņēmumu dienests, nebūs </w:t>
            </w:r>
            <w:r w:rsidRPr="00CB33DF">
              <w:rPr>
                <w:rFonts w:ascii="Times New Roman" w:hAnsi="Times New Roman" w:cs="Times New Roman"/>
                <w:sz w:val="24"/>
                <w:szCs w:val="24"/>
              </w:rPr>
              <w:lastRenderedPageBreak/>
              <w:t xml:space="preserve">lielāks, kā nepieciešams leģitīma mērķa sasniegšanai. Informācija, kas tiks saņemta par privātpersonu no trešajām personām (kredītiestādēm, maksājumu pakalpojumu sniedzējiem) būs tāda, kas nepieciešama iespējamu nodokļu nemaksāšanas gadījumu identificēšanai un saturēs datus par </w:t>
            </w:r>
            <w:r w:rsidR="000C67DE">
              <w:rPr>
                <w:rFonts w:ascii="Times New Roman" w:hAnsi="Times New Roman" w:cs="Times New Roman"/>
                <w:sz w:val="24"/>
                <w:szCs w:val="24"/>
              </w:rPr>
              <w:t>darījumiem</w:t>
            </w:r>
            <w:r w:rsidRPr="00CB33DF">
              <w:rPr>
                <w:rFonts w:ascii="Times New Roman" w:hAnsi="Times New Roman" w:cs="Times New Roman"/>
                <w:sz w:val="24"/>
                <w:szCs w:val="24"/>
              </w:rPr>
              <w:t xml:space="preserve"> (darījumu skaitu un </w:t>
            </w:r>
            <w:r w:rsidR="000C67DE">
              <w:rPr>
                <w:rFonts w:ascii="Times New Roman" w:hAnsi="Times New Roman" w:cs="Times New Roman"/>
                <w:sz w:val="24"/>
                <w:szCs w:val="24"/>
              </w:rPr>
              <w:t xml:space="preserve">ar to saistīto </w:t>
            </w:r>
            <w:r w:rsidRPr="00CB33DF">
              <w:rPr>
                <w:rFonts w:ascii="Times New Roman" w:hAnsi="Times New Roman" w:cs="Times New Roman"/>
                <w:sz w:val="24"/>
                <w:szCs w:val="24"/>
              </w:rPr>
              <w:t xml:space="preserve">apgrozījumu). </w:t>
            </w:r>
            <w:r w:rsidR="00CB33DF" w:rsidRPr="00CB33DF">
              <w:rPr>
                <w:rFonts w:ascii="Times New Roman" w:hAnsi="Times New Roman" w:cs="Times New Roman"/>
                <w:sz w:val="24"/>
                <w:szCs w:val="24"/>
              </w:rPr>
              <w:t xml:space="preserve">Turklāt uzņēmējdarbības vidē tiks veidota vienlīdzīga un godīga konkurence starp komersantiem, kas skar arī godīgu nodokļu nomaksu visiem nozarē esošajiem dalībniekiem. </w:t>
            </w:r>
            <w:r w:rsidRPr="00CB33DF">
              <w:rPr>
                <w:rFonts w:ascii="Times New Roman" w:hAnsi="Times New Roman" w:cs="Times New Roman"/>
                <w:sz w:val="24"/>
                <w:szCs w:val="24"/>
              </w:rPr>
              <w:t>Ievērojot minēto, labums, ko gūs sabiedrība, būs lielāks kā privātpersonu tiesību ierobežojums, līdz ar to likumprojektā ietvertais regulējums ir samērīgs.</w:t>
            </w:r>
          </w:p>
        </w:tc>
      </w:tr>
      <w:tr w:rsidR="00CB33DF" w:rsidRPr="00CB33DF" w14:paraId="661C8B7E" w14:textId="77777777" w:rsidTr="00287E0E">
        <w:trPr>
          <w:trHeight w:val="372"/>
        </w:trPr>
        <w:tc>
          <w:tcPr>
            <w:tcW w:w="299" w:type="pct"/>
            <w:tcBorders>
              <w:top w:val="outset" w:sz="6" w:space="0" w:color="414142"/>
              <w:left w:val="outset" w:sz="6" w:space="0" w:color="414142"/>
              <w:bottom w:val="outset" w:sz="6" w:space="0" w:color="414142"/>
              <w:right w:val="outset" w:sz="6" w:space="0" w:color="414142"/>
            </w:tcBorders>
            <w:hideMark/>
          </w:tcPr>
          <w:p w14:paraId="6003E331" w14:textId="77777777" w:rsidR="003A0997" w:rsidRPr="00CB33DF" w:rsidRDefault="003A0997" w:rsidP="00553F2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lastRenderedPageBreak/>
              <w:t>3.</w:t>
            </w:r>
          </w:p>
        </w:tc>
        <w:tc>
          <w:tcPr>
            <w:tcW w:w="1525" w:type="pct"/>
            <w:tcBorders>
              <w:top w:val="outset" w:sz="6" w:space="0" w:color="414142"/>
              <w:left w:val="outset" w:sz="6" w:space="0" w:color="414142"/>
              <w:bottom w:val="outset" w:sz="6" w:space="0" w:color="414142"/>
              <w:right w:val="outset" w:sz="6" w:space="0" w:color="414142"/>
            </w:tcBorders>
            <w:hideMark/>
          </w:tcPr>
          <w:p w14:paraId="102FC0D9" w14:textId="77777777" w:rsidR="003A0997" w:rsidRPr="00CB33DF" w:rsidRDefault="003A0997" w:rsidP="00553F2A">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Projekta izstrādē iesaistītās institūcijas un publiskās personas kapitālsabiedrības</w:t>
            </w:r>
          </w:p>
        </w:tc>
        <w:tc>
          <w:tcPr>
            <w:tcW w:w="3176" w:type="pct"/>
            <w:tcBorders>
              <w:top w:val="outset" w:sz="6" w:space="0" w:color="414142"/>
              <w:left w:val="outset" w:sz="6" w:space="0" w:color="414142"/>
              <w:bottom w:val="outset" w:sz="6" w:space="0" w:color="414142"/>
              <w:right w:val="outset" w:sz="6" w:space="0" w:color="414142"/>
            </w:tcBorders>
            <w:hideMark/>
          </w:tcPr>
          <w:p w14:paraId="1305F1DE" w14:textId="77777777" w:rsidR="003A0997" w:rsidRPr="00CB33DF" w:rsidRDefault="00FE526F" w:rsidP="001D1610">
            <w:pPr>
              <w:spacing w:after="0" w:line="240" w:lineRule="auto"/>
              <w:jc w:val="both"/>
              <w:rPr>
                <w:rFonts w:ascii="Times New Roman" w:hAnsi="Times New Roman" w:cs="Times New Roman"/>
                <w:sz w:val="24"/>
                <w:szCs w:val="24"/>
              </w:rPr>
            </w:pPr>
            <w:r w:rsidRPr="00CB33DF">
              <w:rPr>
                <w:rFonts w:ascii="Times New Roman" w:eastAsia="Times New Roman" w:hAnsi="Times New Roman" w:cs="Times New Roman"/>
                <w:sz w:val="24"/>
                <w:szCs w:val="24"/>
                <w:lang w:eastAsia="lv-LV"/>
              </w:rPr>
              <w:t>Finanšu ministrija, Valsts ieņēmumu dienests.</w:t>
            </w:r>
          </w:p>
        </w:tc>
      </w:tr>
      <w:tr w:rsidR="00CB33DF" w:rsidRPr="00CB33DF" w14:paraId="5E9A1FED" w14:textId="77777777" w:rsidTr="00287E0E">
        <w:tc>
          <w:tcPr>
            <w:tcW w:w="299" w:type="pct"/>
            <w:tcBorders>
              <w:top w:val="outset" w:sz="6" w:space="0" w:color="414142"/>
              <w:left w:val="outset" w:sz="6" w:space="0" w:color="414142"/>
              <w:bottom w:val="outset" w:sz="6" w:space="0" w:color="414142"/>
              <w:right w:val="outset" w:sz="6" w:space="0" w:color="414142"/>
            </w:tcBorders>
            <w:hideMark/>
          </w:tcPr>
          <w:p w14:paraId="7020434D" w14:textId="77777777" w:rsidR="003A0997" w:rsidRPr="00CB33DF" w:rsidRDefault="003A0997" w:rsidP="00553F2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4.</w:t>
            </w:r>
          </w:p>
        </w:tc>
        <w:tc>
          <w:tcPr>
            <w:tcW w:w="1525" w:type="pct"/>
            <w:tcBorders>
              <w:top w:val="outset" w:sz="6" w:space="0" w:color="414142"/>
              <w:left w:val="outset" w:sz="6" w:space="0" w:color="414142"/>
              <w:bottom w:val="outset" w:sz="6" w:space="0" w:color="414142"/>
              <w:right w:val="outset" w:sz="6" w:space="0" w:color="414142"/>
            </w:tcBorders>
            <w:hideMark/>
          </w:tcPr>
          <w:p w14:paraId="20C2DBB5" w14:textId="77777777" w:rsidR="003A0997" w:rsidRPr="00CB33DF" w:rsidRDefault="003A0997" w:rsidP="00553F2A">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1C16FFE610C8459EB4205E5785F4F0A2"/>
            </w:placeholder>
            <w:text/>
          </w:sdtPr>
          <w:sdtEndPr/>
          <w:sdtContent>
            <w:tc>
              <w:tcPr>
                <w:tcW w:w="3176" w:type="pct"/>
                <w:tcBorders>
                  <w:top w:val="outset" w:sz="6" w:space="0" w:color="414142"/>
                  <w:left w:val="outset" w:sz="6" w:space="0" w:color="414142"/>
                  <w:bottom w:val="outset" w:sz="6" w:space="0" w:color="414142"/>
                  <w:right w:val="outset" w:sz="6" w:space="0" w:color="414142"/>
                </w:tcBorders>
                <w:hideMark/>
              </w:tcPr>
              <w:p w14:paraId="6E73769C" w14:textId="77777777" w:rsidR="003A0997" w:rsidRPr="00CB33DF" w:rsidRDefault="003A0997" w:rsidP="00553F2A">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Nav</w:t>
                </w:r>
                <w:r w:rsidR="00224793" w:rsidRPr="00CB33DF">
                  <w:rPr>
                    <w:rFonts w:ascii="Times New Roman" w:eastAsia="Times New Roman" w:hAnsi="Times New Roman" w:cs="Times New Roman"/>
                    <w:sz w:val="24"/>
                    <w:szCs w:val="24"/>
                    <w:lang w:eastAsia="lv-LV"/>
                  </w:rPr>
                  <w:t>.</w:t>
                </w:r>
              </w:p>
            </w:tc>
          </w:sdtContent>
        </w:sdt>
      </w:tr>
    </w:tbl>
    <w:p w14:paraId="59C7BE9B" w14:textId="77777777" w:rsidR="003A0997" w:rsidRPr="00CB33DF" w:rsidRDefault="003A0997" w:rsidP="003A0997">
      <w:pPr>
        <w:shd w:val="clear" w:color="auto" w:fill="FFFFFF"/>
        <w:spacing w:after="0" w:line="240" w:lineRule="auto"/>
        <w:ind w:firstLine="301"/>
        <w:rPr>
          <w:rFonts w:ascii="Times New Roman" w:eastAsia="Times New Roman" w:hAnsi="Times New Roman" w:cs="Times New Roman"/>
          <w:sz w:val="25"/>
          <w:szCs w:val="25"/>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453"/>
        <w:gridCol w:w="2809"/>
        <w:gridCol w:w="5799"/>
      </w:tblGrid>
      <w:tr w:rsidR="00CB33DF" w:rsidRPr="00CB33DF" w14:paraId="0D5EE604" w14:textId="77777777" w:rsidTr="00C3138D">
        <w:trPr>
          <w:trHeight w:val="444"/>
        </w:trPr>
        <w:tc>
          <w:tcPr>
            <w:tcW w:w="0" w:type="auto"/>
            <w:gridSpan w:val="3"/>
            <w:vAlign w:val="center"/>
            <w:hideMark/>
          </w:tcPr>
          <w:p w14:paraId="5EE835A5" w14:textId="77777777" w:rsidR="003A0997" w:rsidRPr="00CB33DF" w:rsidRDefault="003A0997" w:rsidP="00CB33D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B33DF">
              <w:rPr>
                <w:rFonts w:ascii="Times New Roman" w:eastAsia="Times New Roman" w:hAnsi="Times New Roman" w:cs="Times New Roman"/>
                <w:b/>
                <w:bCs/>
                <w:sz w:val="24"/>
                <w:szCs w:val="24"/>
                <w:lang w:eastAsia="lv-LV"/>
              </w:rPr>
              <w:t>II.</w:t>
            </w:r>
            <w:r w:rsidR="00CB33DF" w:rsidRPr="00CB33DF">
              <w:rPr>
                <w:rFonts w:ascii="Times New Roman" w:eastAsia="Times New Roman" w:hAnsi="Times New Roman" w:cs="Times New Roman"/>
                <w:b/>
                <w:bCs/>
                <w:sz w:val="24"/>
                <w:szCs w:val="24"/>
                <w:lang w:eastAsia="lv-LV"/>
              </w:rPr>
              <w:t xml:space="preserve"> </w:t>
            </w:r>
            <w:r w:rsidRPr="00CB33DF">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CB33DF" w:rsidRPr="00CB33DF" w14:paraId="63DDFCD9" w14:textId="77777777" w:rsidTr="00C3138D">
        <w:trPr>
          <w:trHeight w:val="372"/>
        </w:trPr>
        <w:tc>
          <w:tcPr>
            <w:tcW w:w="250" w:type="pct"/>
            <w:hideMark/>
          </w:tcPr>
          <w:p w14:paraId="0CAAF096" w14:textId="77777777" w:rsidR="003A0997" w:rsidRPr="00CB33DF" w:rsidRDefault="003A0997" w:rsidP="00553F2A">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1.</w:t>
            </w:r>
          </w:p>
        </w:tc>
        <w:tc>
          <w:tcPr>
            <w:tcW w:w="1550" w:type="pct"/>
            <w:hideMark/>
          </w:tcPr>
          <w:p w14:paraId="14DC68C3" w14:textId="77777777" w:rsidR="003A0997" w:rsidRPr="00CB33DF" w:rsidRDefault="003A0997" w:rsidP="00553F2A">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 xml:space="preserve">Sabiedrības </w:t>
            </w:r>
            <w:proofErr w:type="spellStart"/>
            <w:r w:rsidRPr="00CB33DF">
              <w:rPr>
                <w:rFonts w:ascii="Times New Roman" w:eastAsia="Times New Roman" w:hAnsi="Times New Roman" w:cs="Times New Roman"/>
                <w:sz w:val="24"/>
                <w:szCs w:val="24"/>
                <w:lang w:eastAsia="lv-LV"/>
              </w:rPr>
              <w:t>mērķgrupas</w:t>
            </w:r>
            <w:proofErr w:type="spellEnd"/>
            <w:r w:rsidRPr="00CB33DF">
              <w:rPr>
                <w:rFonts w:ascii="Times New Roman" w:eastAsia="Times New Roman" w:hAnsi="Times New Roman" w:cs="Times New Roman"/>
                <w:sz w:val="24"/>
                <w:szCs w:val="24"/>
                <w:lang w:eastAsia="lv-LV"/>
              </w:rPr>
              <w:t>, kuras tiesiskais regulējums ietekmē vai varētu ietekmēt</w:t>
            </w:r>
          </w:p>
        </w:tc>
        <w:tc>
          <w:tcPr>
            <w:tcW w:w="3200" w:type="pct"/>
            <w:hideMark/>
          </w:tcPr>
          <w:p w14:paraId="66ABB224" w14:textId="77777777" w:rsidR="001D3D76" w:rsidRPr="00CB33DF" w:rsidRDefault="00FE526F" w:rsidP="001A1ECF">
            <w:pPr>
              <w:spacing w:after="0" w:line="240" w:lineRule="auto"/>
              <w:jc w:val="both"/>
              <w:rPr>
                <w:rFonts w:ascii="Times New Roman" w:hAnsi="Times New Roman" w:cs="Times New Roman"/>
                <w:sz w:val="24"/>
                <w:szCs w:val="24"/>
              </w:rPr>
            </w:pPr>
            <w:r w:rsidRPr="00CB33DF">
              <w:rPr>
                <w:rFonts w:ascii="Times New Roman" w:hAnsi="Times New Roman" w:cs="Times New Roman"/>
                <w:sz w:val="24"/>
                <w:szCs w:val="24"/>
              </w:rPr>
              <w:t>Likumprojekts attieksies uz fizisk</w:t>
            </w:r>
            <w:r w:rsidR="002C7B52" w:rsidRPr="00CB33DF">
              <w:rPr>
                <w:rFonts w:ascii="Times New Roman" w:hAnsi="Times New Roman" w:cs="Times New Roman"/>
                <w:sz w:val="24"/>
                <w:szCs w:val="24"/>
              </w:rPr>
              <w:t>ām</w:t>
            </w:r>
            <w:r w:rsidRPr="00CB33DF">
              <w:rPr>
                <w:rFonts w:ascii="Times New Roman" w:hAnsi="Times New Roman" w:cs="Times New Roman"/>
                <w:sz w:val="24"/>
                <w:szCs w:val="24"/>
              </w:rPr>
              <w:t xml:space="preserve"> person</w:t>
            </w:r>
            <w:r w:rsidR="002C7B52" w:rsidRPr="00CB33DF">
              <w:rPr>
                <w:rFonts w:ascii="Times New Roman" w:hAnsi="Times New Roman" w:cs="Times New Roman"/>
                <w:sz w:val="24"/>
                <w:szCs w:val="24"/>
              </w:rPr>
              <w:t>ām,</w:t>
            </w:r>
            <w:r w:rsidR="002C7B52" w:rsidRPr="00CB33DF">
              <w:t xml:space="preserve"> </w:t>
            </w:r>
            <w:r w:rsidR="002C7B52" w:rsidRPr="00CB33DF">
              <w:rPr>
                <w:rFonts w:ascii="Times New Roman" w:hAnsi="Times New Roman" w:cs="Times New Roman"/>
                <w:sz w:val="24"/>
                <w:szCs w:val="24"/>
              </w:rPr>
              <w:t>kas ir Latvijas Republikas rezidenti</w:t>
            </w:r>
            <w:r w:rsidR="00C62503" w:rsidRPr="00CB33DF">
              <w:rPr>
                <w:rFonts w:ascii="Times New Roman" w:hAnsi="Times New Roman" w:cs="Times New Roman"/>
                <w:sz w:val="24"/>
                <w:szCs w:val="24"/>
              </w:rPr>
              <w:t>,</w:t>
            </w:r>
            <w:r w:rsidR="002C7B52" w:rsidRPr="00CB33DF">
              <w:rPr>
                <w:rFonts w:ascii="Times New Roman" w:hAnsi="Times New Roman" w:cs="Times New Roman"/>
                <w:sz w:val="24"/>
                <w:szCs w:val="24"/>
              </w:rPr>
              <w:t xml:space="preserve"> un maksājumu pakalpojumu sniedzējiem.</w:t>
            </w:r>
            <w:r w:rsidR="00FE3E2D" w:rsidRPr="00CB33DF">
              <w:rPr>
                <w:rFonts w:ascii="Times New Roman" w:hAnsi="Times New Roman" w:cs="Times New Roman"/>
                <w:sz w:val="24"/>
                <w:szCs w:val="24"/>
              </w:rPr>
              <w:t xml:space="preserve"> </w:t>
            </w:r>
          </w:p>
        </w:tc>
      </w:tr>
      <w:tr w:rsidR="00CB33DF" w:rsidRPr="00CB33DF" w14:paraId="6F35CBB4" w14:textId="77777777" w:rsidTr="00C3138D">
        <w:trPr>
          <w:trHeight w:val="408"/>
        </w:trPr>
        <w:tc>
          <w:tcPr>
            <w:tcW w:w="250" w:type="pct"/>
            <w:hideMark/>
          </w:tcPr>
          <w:p w14:paraId="5639EEA4" w14:textId="77777777" w:rsidR="003A0997" w:rsidRPr="00CB33DF" w:rsidRDefault="003A0997" w:rsidP="00553F2A">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2.</w:t>
            </w:r>
          </w:p>
        </w:tc>
        <w:tc>
          <w:tcPr>
            <w:tcW w:w="1550" w:type="pct"/>
            <w:hideMark/>
          </w:tcPr>
          <w:p w14:paraId="0784F34E" w14:textId="77777777" w:rsidR="003A0997" w:rsidRPr="00CB33DF" w:rsidRDefault="003A0997" w:rsidP="00553F2A">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Tiesiskā regulējuma ietekme uz tautsaimniecību un administratīvo slogu</w:t>
            </w:r>
          </w:p>
        </w:tc>
        <w:tc>
          <w:tcPr>
            <w:tcW w:w="3200" w:type="pct"/>
            <w:hideMark/>
          </w:tcPr>
          <w:p w14:paraId="1276B621" w14:textId="0E730EB0" w:rsidR="00103F88" w:rsidRPr="00CB33DF" w:rsidRDefault="003D76CC" w:rsidP="00FC3D5F">
            <w:pPr>
              <w:spacing w:after="0" w:line="240" w:lineRule="auto"/>
              <w:jc w:val="both"/>
              <w:rPr>
                <w:rFonts w:ascii="Times New Roman" w:hAnsi="Times New Roman" w:cs="Times New Roman"/>
                <w:sz w:val="24"/>
                <w:szCs w:val="24"/>
              </w:rPr>
            </w:pPr>
            <w:r w:rsidRPr="00CB33DF">
              <w:rPr>
                <w:rFonts w:ascii="Times New Roman" w:eastAsia="Times New Roman" w:hAnsi="Times New Roman" w:cs="Times New Roman"/>
                <w:sz w:val="24"/>
                <w:szCs w:val="24"/>
                <w:lang w:eastAsia="lv-LV"/>
              </w:rPr>
              <w:t xml:space="preserve">Likumprojekts nebūtiski palielinās administratīvo slogu </w:t>
            </w:r>
            <w:r w:rsidR="00FC3D5F">
              <w:rPr>
                <w:rFonts w:ascii="Times New Roman" w:eastAsia="Times New Roman" w:hAnsi="Times New Roman" w:cs="Times New Roman"/>
                <w:sz w:val="24"/>
                <w:szCs w:val="24"/>
                <w:lang w:eastAsia="lv-LV"/>
              </w:rPr>
              <w:t>maksājumu pakalpojumu sniedzējiem</w:t>
            </w:r>
            <w:r w:rsidRPr="00CB33DF">
              <w:rPr>
                <w:rFonts w:ascii="Times New Roman" w:eastAsia="Times New Roman" w:hAnsi="Times New Roman" w:cs="Times New Roman"/>
                <w:sz w:val="24"/>
                <w:szCs w:val="24"/>
                <w:lang w:eastAsia="lv-LV"/>
              </w:rPr>
              <w:t xml:space="preserve"> (pienākums sniegt Valsts ieņēmumu dienestam to rīcībā esošu informāciju), taču sagaidāms, ka tas pozitīvi ietekmēs cīņu pret izvairīšanos no nodokļu nomaksas un veici</w:t>
            </w:r>
            <w:r w:rsidR="00287E0E" w:rsidRPr="00CB33DF">
              <w:rPr>
                <w:rFonts w:ascii="Times New Roman" w:eastAsia="Times New Roman" w:hAnsi="Times New Roman" w:cs="Times New Roman"/>
                <w:sz w:val="24"/>
                <w:szCs w:val="24"/>
                <w:lang w:eastAsia="lv-LV"/>
              </w:rPr>
              <w:t>nās labprātīgu nodokļu nomaksu.</w:t>
            </w:r>
          </w:p>
        </w:tc>
      </w:tr>
      <w:tr w:rsidR="00CB33DF" w:rsidRPr="00CB33DF" w14:paraId="385D2E50" w14:textId="77777777" w:rsidTr="00C3138D">
        <w:trPr>
          <w:trHeight w:val="408"/>
        </w:trPr>
        <w:tc>
          <w:tcPr>
            <w:tcW w:w="250" w:type="pct"/>
            <w:hideMark/>
          </w:tcPr>
          <w:p w14:paraId="7DD4AFAC" w14:textId="77777777" w:rsidR="003A0997" w:rsidRPr="00CB33DF" w:rsidRDefault="003A0997" w:rsidP="00553F2A">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3.</w:t>
            </w:r>
          </w:p>
        </w:tc>
        <w:tc>
          <w:tcPr>
            <w:tcW w:w="1550" w:type="pct"/>
            <w:hideMark/>
          </w:tcPr>
          <w:p w14:paraId="63646047" w14:textId="77777777" w:rsidR="003A0997" w:rsidRPr="00CB33DF" w:rsidRDefault="003A0997" w:rsidP="00553F2A">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Administratīvo izmaksu monetārs novērtējums</w:t>
            </w:r>
          </w:p>
        </w:tc>
        <w:tc>
          <w:tcPr>
            <w:tcW w:w="3200" w:type="pct"/>
            <w:hideMark/>
          </w:tcPr>
          <w:p w14:paraId="1CCE7B4E" w14:textId="77777777" w:rsidR="003A0997" w:rsidRPr="00CB33DF" w:rsidRDefault="00B85CB7" w:rsidP="00553F2A">
            <w:pPr>
              <w:spacing w:after="0" w:line="240" w:lineRule="auto"/>
              <w:rPr>
                <w:rFonts w:ascii="Times New Roman" w:eastAsia="Times New Roman" w:hAnsi="Times New Roman" w:cs="Times New Roman"/>
                <w:sz w:val="24"/>
                <w:szCs w:val="24"/>
                <w:highlight w:val="yellow"/>
                <w:lang w:eastAsia="lv-LV"/>
              </w:rPr>
            </w:pPr>
            <w:r w:rsidRPr="00CB33DF">
              <w:rPr>
                <w:rFonts w:ascii="Times New Roman" w:hAnsi="Times New Roman" w:cs="Times New Roman"/>
                <w:iCs/>
                <w:sz w:val="24"/>
                <w:szCs w:val="24"/>
              </w:rPr>
              <w:t>Šobrīd nav iespējams precīzi noteikt.</w:t>
            </w:r>
          </w:p>
        </w:tc>
      </w:tr>
      <w:tr w:rsidR="00CB33DF" w:rsidRPr="00CB33DF" w14:paraId="59771B01" w14:textId="77777777" w:rsidTr="00C3138D">
        <w:trPr>
          <w:trHeight w:val="408"/>
        </w:trPr>
        <w:tc>
          <w:tcPr>
            <w:tcW w:w="250" w:type="pct"/>
          </w:tcPr>
          <w:p w14:paraId="69C677C5" w14:textId="77777777" w:rsidR="003A0997" w:rsidRPr="00CB33DF" w:rsidRDefault="003A0997" w:rsidP="00553F2A">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4.</w:t>
            </w:r>
          </w:p>
        </w:tc>
        <w:tc>
          <w:tcPr>
            <w:tcW w:w="1550" w:type="pct"/>
          </w:tcPr>
          <w:p w14:paraId="7DEDB00E" w14:textId="77777777" w:rsidR="003A0997" w:rsidRPr="00CB33DF" w:rsidRDefault="003A0997" w:rsidP="00553F2A">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Atbilstības izmaksu monetārs novērtējums</w:t>
            </w:r>
          </w:p>
        </w:tc>
        <w:tc>
          <w:tcPr>
            <w:tcW w:w="3200" w:type="pct"/>
          </w:tcPr>
          <w:p w14:paraId="22881414" w14:textId="77777777" w:rsidR="003A0997" w:rsidRPr="00CB33DF" w:rsidRDefault="00B85CB7" w:rsidP="00C62503">
            <w:pPr>
              <w:spacing w:after="0" w:line="240" w:lineRule="auto"/>
              <w:jc w:val="both"/>
              <w:rPr>
                <w:rFonts w:ascii="Times New Roman" w:hAnsi="Times New Roman" w:cs="Times New Roman"/>
                <w:iCs/>
                <w:sz w:val="24"/>
                <w:szCs w:val="24"/>
              </w:rPr>
            </w:pPr>
            <w:r w:rsidRPr="00CB33DF">
              <w:rPr>
                <w:rFonts w:ascii="Times New Roman" w:hAnsi="Times New Roman" w:cs="Times New Roman"/>
                <w:iCs/>
                <w:sz w:val="24"/>
                <w:szCs w:val="24"/>
              </w:rPr>
              <w:t xml:space="preserve">Likumprojekts neparedz radīt jaunu informāciju, bet gan sniegt </w:t>
            </w:r>
            <w:r w:rsidR="00C62503" w:rsidRPr="00CB33DF">
              <w:rPr>
                <w:rFonts w:ascii="Times New Roman" w:hAnsi="Times New Roman" w:cs="Times New Roman"/>
                <w:iCs/>
                <w:sz w:val="24"/>
                <w:szCs w:val="24"/>
              </w:rPr>
              <w:t>kredītiestāžu un citu maksājumu pakalpojumu sniedzēju</w:t>
            </w:r>
            <w:r w:rsidRPr="00CB33DF">
              <w:rPr>
                <w:rFonts w:ascii="Times New Roman" w:hAnsi="Times New Roman" w:cs="Times New Roman"/>
                <w:iCs/>
                <w:sz w:val="24"/>
                <w:szCs w:val="24"/>
              </w:rPr>
              <w:t xml:space="preserve"> rīcībā jau esošu informāciju. Precīzu monetāru </w:t>
            </w:r>
            <w:proofErr w:type="spellStart"/>
            <w:r w:rsidRPr="00CB33DF">
              <w:rPr>
                <w:rFonts w:ascii="Times New Roman" w:hAnsi="Times New Roman" w:cs="Times New Roman"/>
                <w:iCs/>
                <w:sz w:val="24"/>
                <w:szCs w:val="24"/>
              </w:rPr>
              <w:t>izvērtējumu</w:t>
            </w:r>
            <w:proofErr w:type="spellEnd"/>
            <w:r w:rsidR="000C67DE">
              <w:rPr>
                <w:rFonts w:ascii="Times New Roman" w:hAnsi="Times New Roman" w:cs="Times New Roman"/>
                <w:iCs/>
                <w:sz w:val="24"/>
                <w:szCs w:val="24"/>
              </w:rPr>
              <w:t xml:space="preserve"> administratīvajam slogam</w:t>
            </w:r>
            <w:r w:rsidRPr="00CB33DF">
              <w:rPr>
                <w:rFonts w:ascii="Times New Roman" w:hAnsi="Times New Roman" w:cs="Times New Roman"/>
                <w:iCs/>
                <w:sz w:val="24"/>
                <w:szCs w:val="24"/>
              </w:rPr>
              <w:t xml:space="preserve"> šobrīd nav iespējams noteikt</w:t>
            </w:r>
            <w:r w:rsidR="000C67DE">
              <w:rPr>
                <w:rFonts w:ascii="Times New Roman" w:hAnsi="Times New Roman" w:cs="Times New Roman"/>
                <w:iCs/>
                <w:sz w:val="24"/>
                <w:szCs w:val="24"/>
              </w:rPr>
              <w:t>, tomēr tas nav būtisks</w:t>
            </w:r>
            <w:r w:rsidRPr="00CB33DF">
              <w:rPr>
                <w:rFonts w:ascii="Times New Roman" w:hAnsi="Times New Roman" w:cs="Times New Roman"/>
                <w:iCs/>
                <w:sz w:val="24"/>
                <w:szCs w:val="24"/>
              </w:rPr>
              <w:t>.</w:t>
            </w:r>
          </w:p>
        </w:tc>
      </w:tr>
      <w:tr w:rsidR="003A0997" w:rsidRPr="00CB33DF" w14:paraId="16916069" w14:textId="77777777" w:rsidTr="00C3138D">
        <w:trPr>
          <w:trHeight w:val="276"/>
        </w:trPr>
        <w:tc>
          <w:tcPr>
            <w:tcW w:w="250" w:type="pct"/>
            <w:hideMark/>
          </w:tcPr>
          <w:p w14:paraId="4953EA1A" w14:textId="77777777" w:rsidR="003A0997" w:rsidRPr="00CB33DF" w:rsidRDefault="003A0997" w:rsidP="00553F2A">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5.</w:t>
            </w:r>
          </w:p>
        </w:tc>
        <w:tc>
          <w:tcPr>
            <w:tcW w:w="1550" w:type="pct"/>
            <w:hideMark/>
          </w:tcPr>
          <w:p w14:paraId="3348C123" w14:textId="77777777" w:rsidR="003A0997" w:rsidRPr="00CB33DF" w:rsidRDefault="003A0997" w:rsidP="00553F2A">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119677180"/>
            <w:placeholder>
              <w:docPart w:val="9C2C97F21C4A4BADB3B12CDCBA5C8B17"/>
            </w:placeholder>
            <w:text/>
          </w:sdtPr>
          <w:sdtEndPr/>
          <w:sdtContent>
            <w:tc>
              <w:tcPr>
                <w:tcW w:w="3200" w:type="pct"/>
                <w:hideMark/>
              </w:tcPr>
              <w:p w14:paraId="09261F74" w14:textId="77777777" w:rsidR="003A0997" w:rsidRPr="00CB33DF" w:rsidRDefault="003A0997" w:rsidP="00553F2A">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Nav</w:t>
                </w:r>
                <w:r w:rsidR="00224793" w:rsidRPr="00CB33DF">
                  <w:rPr>
                    <w:rFonts w:ascii="Times New Roman" w:eastAsia="Times New Roman" w:hAnsi="Times New Roman" w:cs="Times New Roman"/>
                    <w:sz w:val="24"/>
                    <w:szCs w:val="24"/>
                    <w:lang w:eastAsia="lv-LV"/>
                  </w:rPr>
                  <w:t>.</w:t>
                </w:r>
              </w:p>
            </w:tc>
          </w:sdtContent>
        </w:sdt>
      </w:tr>
    </w:tbl>
    <w:p w14:paraId="622C699E" w14:textId="77777777" w:rsidR="003A0997" w:rsidRPr="00CB33DF" w:rsidRDefault="003A0997" w:rsidP="003A0997">
      <w:pPr>
        <w:shd w:val="clear" w:color="auto" w:fill="FFFFFF"/>
        <w:spacing w:after="0" w:line="240" w:lineRule="auto"/>
        <w:ind w:firstLine="301"/>
        <w:rPr>
          <w:rFonts w:ascii="Times New Roman" w:eastAsia="Times New Roman" w:hAnsi="Times New Roman" w:cs="Times New Roman"/>
          <w:sz w:val="25"/>
          <w:szCs w:val="25"/>
          <w:lang w:eastAsia="lv-LV"/>
        </w:rPr>
      </w:pPr>
    </w:p>
    <w:tbl>
      <w:tblPr>
        <w:tblW w:w="5006"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55"/>
        <w:gridCol w:w="663"/>
        <w:gridCol w:w="1251"/>
        <w:gridCol w:w="749"/>
        <w:gridCol w:w="1361"/>
        <w:gridCol w:w="879"/>
        <w:gridCol w:w="1567"/>
        <w:gridCol w:w="2047"/>
      </w:tblGrid>
      <w:tr w:rsidR="00CB33DF" w:rsidRPr="00CB33DF" w14:paraId="1D79FBC7" w14:textId="77777777" w:rsidTr="008E7D28">
        <w:trPr>
          <w:tblCellSpacing w:w="15" w:type="dxa"/>
        </w:trPr>
        <w:tc>
          <w:tcPr>
            <w:tcW w:w="4967" w:type="pct"/>
            <w:gridSpan w:val="8"/>
            <w:vAlign w:val="center"/>
            <w:hideMark/>
          </w:tcPr>
          <w:p w14:paraId="5CDCCB8E" w14:textId="77777777" w:rsidR="008E7D28" w:rsidRPr="00CB33DF" w:rsidRDefault="008E7D28" w:rsidP="008E7D28">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CB33DF">
              <w:rPr>
                <w:rFonts w:ascii="Times New Roman" w:eastAsia="Times New Roman" w:hAnsi="Times New Roman" w:cs="Times New Roman"/>
                <w:b/>
                <w:bCs/>
                <w:sz w:val="24"/>
                <w:szCs w:val="24"/>
                <w:lang w:eastAsia="lv-LV"/>
              </w:rPr>
              <w:t>III. Tiesību akta projekta ietekme uz valsts budžetu un pašvaldību budžetiem</w:t>
            </w:r>
          </w:p>
        </w:tc>
      </w:tr>
      <w:tr w:rsidR="00CB33DF" w:rsidRPr="00CB33DF" w14:paraId="2999341D" w14:textId="77777777" w:rsidTr="006201F2">
        <w:trPr>
          <w:tblCellSpacing w:w="15" w:type="dxa"/>
        </w:trPr>
        <w:tc>
          <w:tcPr>
            <w:tcW w:w="288" w:type="pct"/>
            <w:vMerge w:val="restart"/>
            <w:vAlign w:val="center"/>
            <w:hideMark/>
          </w:tcPr>
          <w:p w14:paraId="6BBCB810" w14:textId="77777777" w:rsidR="008E7D28" w:rsidRPr="00CB33DF" w:rsidRDefault="008E7D28" w:rsidP="008E7D28">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Rādītāji</w:t>
            </w:r>
          </w:p>
        </w:tc>
        <w:tc>
          <w:tcPr>
            <w:tcW w:w="1047" w:type="pct"/>
            <w:gridSpan w:val="2"/>
            <w:vMerge w:val="restart"/>
            <w:vAlign w:val="center"/>
            <w:hideMark/>
          </w:tcPr>
          <w:p w14:paraId="41EE358C" w14:textId="77777777" w:rsidR="008E7D28" w:rsidRPr="00CB33DF" w:rsidRDefault="008E7D28" w:rsidP="008E7D28">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2019</w:t>
            </w:r>
          </w:p>
        </w:tc>
        <w:tc>
          <w:tcPr>
            <w:tcW w:w="3599" w:type="pct"/>
            <w:gridSpan w:val="5"/>
            <w:vAlign w:val="center"/>
            <w:hideMark/>
          </w:tcPr>
          <w:p w14:paraId="6A891FE3" w14:textId="77777777" w:rsidR="008E7D28" w:rsidRPr="00CB33DF" w:rsidRDefault="008E7D28" w:rsidP="008E7D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Turpmākie trīs gadi (</w:t>
            </w:r>
            <w:r w:rsidRPr="00CB33DF">
              <w:rPr>
                <w:rFonts w:ascii="Times New Roman" w:eastAsia="Times New Roman" w:hAnsi="Times New Roman" w:cs="Times New Roman"/>
                <w:i/>
                <w:iCs/>
                <w:sz w:val="24"/>
                <w:szCs w:val="24"/>
                <w:lang w:eastAsia="lv-LV"/>
              </w:rPr>
              <w:t>euro</w:t>
            </w:r>
            <w:r w:rsidRPr="00CB33DF">
              <w:rPr>
                <w:rFonts w:ascii="Times New Roman" w:eastAsia="Times New Roman" w:hAnsi="Times New Roman" w:cs="Times New Roman"/>
                <w:sz w:val="24"/>
                <w:szCs w:val="24"/>
                <w:lang w:eastAsia="lv-LV"/>
              </w:rPr>
              <w:t>)</w:t>
            </w:r>
          </w:p>
        </w:tc>
      </w:tr>
      <w:tr w:rsidR="00CB33DF" w:rsidRPr="00CB33DF" w14:paraId="49B50FA2" w14:textId="77777777" w:rsidTr="006201F2">
        <w:trPr>
          <w:tblCellSpacing w:w="15" w:type="dxa"/>
        </w:trPr>
        <w:tc>
          <w:tcPr>
            <w:tcW w:w="288" w:type="pct"/>
            <w:vMerge/>
            <w:vAlign w:val="center"/>
            <w:hideMark/>
          </w:tcPr>
          <w:p w14:paraId="7570FE8B" w14:textId="77777777" w:rsidR="008E7D28" w:rsidRPr="00CB33DF" w:rsidRDefault="008E7D28" w:rsidP="008E7D28">
            <w:pPr>
              <w:spacing w:after="0" w:line="240" w:lineRule="auto"/>
              <w:rPr>
                <w:rFonts w:ascii="Times New Roman" w:eastAsia="Times New Roman" w:hAnsi="Times New Roman" w:cs="Times New Roman"/>
                <w:sz w:val="24"/>
                <w:szCs w:val="24"/>
                <w:lang w:eastAsia="lv-LV"/>
              </w:rPr>
            </w:pPr>
          </w:p>
        </w:tc>
        <w:tc>
          <w:tcPr>
            <w:tcW w:w="1047" w:type="pct"/>
            <w:gridSpan w:val="2"/>
            <w:vMerge/>
            <w:vAlign w:val="center"/>
            <w:hideMark/>
          </w:tcPr>
          <w:p w14:paraId="0AE21BAD" w14:textId="77777777" w:rsidR="008E7D28" w:rsidRPr="00CB33DF" w:rsidRDefault="008E7D28" w:rsidP="008E7D28">
            <w:pPr>
              <w:spacing w:after="0" w:line="240" w:lineRule="auto"/>
              <w:rPr>
                <w:rFonts w:ascii="Times New Roman" w:eastAsia="Times New Roman" w:hAnsi="Times New Roman" w:cs="Times New Roman"/>
                <w:sz w:val="24"/>
                <w:szCs w:val="24"/>
                <w:lang w:eastAsia="lv-LV"/>
              </w:rPr>
            </w:pPr>
          </w:p>
        </w:tc>
        <w:tc>
          <w:tcPr>
            <w:tcW w:w="1157" w:type="pct"/>
            <w:gridSpan w:val="2"/>
            <w:vAlign w:val="center"/>
            <w:hideMark/>
          </w:tcPr>
          <w:p w14:paraId="1F4C7505" w14:textId="77777777" w:rsidR="008E7D28" w:rsidRPr="00CB33DF" w:rsidRDefault="008E7D28" w:rsidP="008E7D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2020</w:t>
            </w:r>
          </w:p>
        </w:tc>
        <w:tc>
          <w:tcPr>
            <w:tcW w:w="1346" w:type="pct"/>
            <w:gridSpan w:val="2"/>
            <w:vAlign w:val="center"/>
            <w:hideMark/>
          </w:tcPr>
          <w:p w14:paraId="53320AFF" w14:textId="77777777" w:rsidR="008E7D28" w:rsidRPr="00CB33DF" w:rsidRDefault="008E7D28" w:rsidP="008E7D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2021</w:t>
            </w:r>
          </w:p>
        </w:tc>
        <w:tc>
          <w:tcPr>
            <w:tcW w:w="1063" w:type="pct"/>
            <w:vAlign w:val="center"/>
            <w:hideMark/>
          </w:tcPr>
          <w:p w14:paraId="41DCABBB" w14:textId="77777777" w:rsidR="008E7D28" w:rsidRPr="00CB33DF" w:rsidRDefault="008E7D28" w:rsidP="008E7D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2022</w:t>
            </w:r>
          </w:p>
        </w:tc>
      </w:tr>
      <w:tr w:rsidR="00CB33DF" w:rsidRPr="00CB33DF" w14:paraId="43F50253" w14:textId="77777777" w:rsidTr="006201F2">
        <w:trPr>
          <w:tblCellSpacing w:w="15" w:type="dxa"/>
        </w:trPr>
        <w:tc>
          <w:tcPr>
            <w:tcW w:w="288" w:type="pct"/>
            <w:vMerge/>
            <w:vAlign w:val="center"/>
            <w:hideMark/>
          </w:tcPr>
          <w:p w14:paraId="42258681" w14:textId="77777777" w:rsidR="008E7D28" w:rsidRPr="00CB33DF" w:rsidRDefault="008E7D28" w:rsidP="008E7D28">
            <w:pPr>
              <w:spacing w:after="0" w:line="240" w:lineRule="auto"/>
              <w:rPr>
                <w:rFonts w:ascii="Times New Roman" w:eastAsia="Times New Roman" w:hAnsi="Times New Roman" w:cs="Times New Roman"/>
                <w:sz w:val="24"/>
                <w:szCs w:val="24"/>
                <w:lang w:eastAsia="lv-LV"/>
              </w:rPr>
            </w:pPr>
          </w:p>
        </w:tc>
        <w:tc>
          <w:tcPr>
            <w:tcW w:w="358" w:type="pct"/>
            <w:vAlign w:val="center"/>
            <w:hideMark/>
          </w:tcPr>
          <w:p w14:paraId="34A5D5BC" w14:textId="77777777" w:rsidR="008E7D28" w:rsidRPr="00CB33DF" w:rsidRDefault="008E7D28" w:rsidP="008E7D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 xml:space="preserve">saskaņā ar valsts </w:t>
            </w:r>
            <w:r w:rsidRPr="00CB33DF">
              <w:rPr>
                <w:rFonts w:ascii="Times New Roman" w:eastAsia="Times New Roman" w:hAnsi="Times New Roman" w:cs="Times New Roman"/>
                <w:sz w:val="24"/>
                <w:szCs w:val="24"/>
                <w:lang w:eastAsia="lv-LV"/>
              </w:rPr>
              <w:lastRenderedPageBreak/>
              <w:t>budžetu kārtējam gadam</w:t>
            </w:r>
          </w:p>
        </w:tc>
        <w:tc>
          <w:tcPr>
            <w:tcW w:w="672" w:type="pct"/>
            <w:vAlign w:val="center"/>
            <w:hideMark/>
          </w:tcPr>
          <w:p w14:paraId="59056317" w14:textId="77777777" w:rsidR="008E7D28" w:rsidRPr="00CB33DF" w:rsidRDefault="008E7D28" w:rsidP="008E7D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lastRenderedPageBreak/>
              <w:t xml:space="preserve">izmaiņas kārtējā gadā, salīdzinot </w:t>
            </w:r>
            <w:r w:rsidRPr="00CB33DF">
              <w:rPr>
                <w:rFonts w:ascii="Times New Roman" w:eastAsia="Times New Roman" w:hAnsi="Times New Roman" w:cs="Times New Roman"/>
                <w:sz w:val="24"/>
                <w:szCs w:val="24"/>
                <w:lang w:eastAsia="lv-LV"/>
              </w:rPr>
              <w:lastRenderedPageBreak/>
              <w:t>ar valsts budžetu kārtējam gadam</w:t>
            </w:r>
          </w:p>
        </w:tc>
        <w:tc>
          <w:tcPr>
            <w:tcW w:w="406" w:type="pct"/>
            <w:vAlign w:val="center"/>
            <w:hideMark/>
          </w:tcPr>
          <w:p w14:paraId="3EB7425F" w14:textId="77777777" w:rsidR="008E7D28" w:rsidRPr="00CB33DF" w:rsidRDefault="008E7D28" w:rsidP="008E7D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lastRenderedPageBreak/>
              <w:t xml:space="preserve">saskaņā ar vidēja </w:t>
            </w:r>
            <w:r w:rsidRPr="00CB33DF">
              <w:rPr>
                <w:rFonts w:ascii="Times New Roman" w:eastAsia="Times New Roman" w:hAnsi="Times New Roman" w:cs="Times New Roman"/>
                <w:sz w:val="24"/>
                <w:szCs w:val="24"/>
                <w:lang w:eastAsia="lv-LV"/>
              </w:rPr>
              <w:lastRenderedPageBreak/>
              <w:t>termiņa budžeta ietvaru</w:t>
            </w:r>
          </w:p>
        </w:tc>
        <w:tc>
          <w:tcPr>
            <w:tcW w:w="735" w:type="pct"/>
            <w:vAlign w:val="center"/>
            <w:hideMark/>
          </w:tcPr>
          <w:p w14:paraId="177A0843" w14:textId="77777777" w:rsidR="008E7D28" w:rsidRPr="00CB33DF" w:rsidRDefault="008E7D28" w:rsidP="008E7D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lastRenderedPageBreak/>
              <w:t xml:space="preserve">izmaiņas, salīdzinot ar vidēja termiņa </w:t>
            </w:r>
            <w:r w:rsidRPr="00CB33DF">
              <w:rPr>
                <w:rFonts w:ascii="Times New Roman" w:eastAsia="Times New Roman" w:hAnsi="Times New Roman" w:cs="Times New Roman"/>
                <w:sz w:val="24"/>
                <w:szCs w:val="24"/>
                <w:lang w:eastAsia="lv-LV"/>
              </w:rPr>
              <w:lastRenderedPageBreak/>
              <w:t>budžeta ietvaru 2019.gadam</w:t>
            </w:r>
          </w:p>
        </w:tc>
        <w:tc>
          <w:tcPr>
            <w:tcW w:w="479" w:type="pct"/>
            <w:vAlign w:val="center"/>
            <w:hideMark/>
          </w:tcPr>
          <w:p w14:paraId="3F9BAC56" w14:textId="77777777" w:rsidR="008E7D28" w:rsidRPr="00CB33DF" w:rsidRDefault="008E7D28" w:rsidP="008E7D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lastRenderedPageBreak/>
              <w:t xml:space="preserve">saskaņā ar vidēja termiņa </w:t>
            </w:r>
            <w:r w:rsidRPr="00CB33DF">
              <w:rPr>
                <w:rFonts w:ascii="Times New Roman" w:eastAsia="Times New Roman" w:hAnsi="Times New Roman" w:cs="Times New Roman"/>
                <w:sz w:val="24"/>
                <w:szCs w:val="24"/>
                <w:lang w:eastAsia="lv-LV"/>
              </w:rPr>
              <w:lastRenderedPageBreak/>
              <w:t>budžeta ietvaru</w:t>
            </w:r>
          </w:p>
        </w:tc>
        <w:tc>
          <w:tcPr>
            <w:tcW w:w="850" w:type="pct"/>
            <w:vAlign w:val="center"/>
            <w:hideMark/>
          </w:tcPr>
          <w:p w14:paraId="522F2958" w14:textId="77777777" w:rsidR="008E7D28" w:rsidRPr="00CB33DF" w:rsidRDefault="008E7D28" w:rsidP="008E7D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lastRenderedPageBreak/>
              <w:t xml:space="preserve">izmaiņas, salīdzinot ar vidēja termiņa budžeta </w:t>
            </w:r>
            <w:r w:rsidRPr="00CB33DF">
              <w:rPr>
                <w:rFonts w:ascii="Times New Roman" w:eastAsia="Times New Roman" w:hAnsi="Times New Roman" w:cs="Times New Roman"/>
                <w:sz w:val="24"/>
                <w:szCs w:val="24"/>
                <w:lang w:eastAsia="lv-LV"/>
              </w:rPr>
              <w:lastRenderedPageBreak/>
              <w:t>ietvaru 2020.gadam</w:t>
            </w:r>
          </w:p>
        </w:tc>
        <w:tc>
          <w:tcPr>
            <w:tcW w:w="1063" w:type="pct"/>
            <w:vAlign w:val="center"/>
            <w:hideMark/>
          </w:tcPr>
          <w:p w14:paraId="76520775" w14:textId="77777777" w:rsidR="008E7D28" w:rsidRPr="00CB33DF" w:rsidRDefault="008E7D28" w:rsidP="008E7D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lastRenderedPageBreak/>
              <w:t>izmaiņas, salīdzinot ar vidēja termiņa budžeta ietvaru 2021.gadam</w:t>
            </w:r>
          </w:p>
        </w:tc>
      </w:tr>
      <w:tr w:rsidR="00CB33DF" w:rsidRPr="00CB33DF" w14:paraId="47E98C13" w14:textId="77777777" w:rsidTr="006201F2">
        <w:trPr>
          <w:tblCellSpacing w:w="15" w:type="dxa"/>
        </w:trPr>
        <w:tc>
          <w:tcPr>
            <w:tcW w:w="288" w:type="pct"/>
            <w:vAlign w:val="center"/>
            <w:hideMark/>
          </w:tcPr>
          <w:p w14:paraId="2966F682" w14:textId="77777777" w:rsidR="008E7D28" w:rsidRPr="00CB33DF" w:rsidRDefault="008E7D28" w:rsidP="008E7D28">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1</w:t>
            </w:r>
          </w:p>
        </w:tc>
        <w:tc>
          <w:tcPr>
            <w:tcW w:w="358" w:type="pct"/>
            <w:vAlign w:val="center"/>
            <w:hideMark/>
          </w:tcPr>
          <w:p w14:paraId="6E0B9039" w14:textId="77777777" w:rsidR="008E7D28" w:rsidRPr="00CB33DF" w:rsidRDefault="008E7D28" w:rsidP="008E7D28">
            <w:pPr>
              <w:spacing w:before="100" w:beforeAutospacing="1" w:after="100" w:afterAutospacing="1" w:line="360" w:lineRule="auto"/>
              <w:ind w:firstLine="13"/>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2</w:t>
            </w:r>
          </w:p>
        </w:tc>
        <w:tc>
          <w:tcPr>
            <w:tcW w:w="672" w:type="pct"/>
            <w:vAlign w:val="center"/>
            <w:hideMark/>
          </w:tcPr>
          <w:p w14:paraId="4CA8C0FC" w14:textId="77777777" w:rsidR="008E7D28" w:rsidRPr="00CB33DF" w:rsidRDefault="008E7D28" w:rsidP="008E7D28">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3</w:t>
            </w:r>
          </w:p>
        </w:tc>
        <w:tc>
          <w:tcPr>
            <w:tcW w:w="406" w:type="pct"/>
            <w:vAlign w:val="center"/>
            <w:hideMark/>
          </w:tcPr>
          <w:p w14:paraId="01005B24" w14:textId="77777777" w:rsidR="008E7D28" w:rsidRPr="00CB33DF" w:rsidRDefault="008E7D28" w:rsidP="008E7D28">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4</w:t>
            </w:r>
          </w:p>
        </w:tc>
        <w:tc>
          <w:tcPr>
            <w:tcW w:w="735" w:type="pct"/>
            <w:vAlign w:val="center"/>
            <w:hideMark/>
          </w:tcPr>
          <w:p w14:paraId="05B53485" w14:textId="77777777" w:rsidR="008E7D28" w:rsidRPr="00CB33DF" w:rsidRDefault="008E7D28" w:rsidP="008E7D28">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5</w:t>
            </w:r>
          </w:p>
        </w:tc>
        <w:tc>
          <w:tcPr>
            <w:tcW w:w="479" w:type="pct"/>
            <w:vAlign w:val="center"/>
            <w:hideMark/>
          </w:tcPr>
          <w:p w14:paraId="13AC8DE3" w14:textId="77777777" w:rsidR="008E7D28" w:rsidRPr="00CB33DF" w:rsidRDefault="008E7D28" w:rsidP="008E7D28">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6</w:t>
            </w:r>
          </w:p>
        </w:tc>
        <w:tc>
          <w:tcPr>
            <w:tcW w:w="850" w:type="pct"/>
            <w:vAlign w:val="center"/>
            <w:hideMark/>
          </w:tcPr>
          <w:p w14:paraId="5DCC0BF2" w14:textId="77777777" w:rsidR="008E7D28" w:rsidRPr="00CB33DF" w:rsidRDefault="008E7D28" w:rsidP="008E7D28">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7</w:t>
            </w:r>
          </w:p>
        </w:tc>
        <w:tc>
          <w:tcPr>
            <w:tcW w:w="1063" w:type="pct"/>
            <w:vAlign w:val="center"/>
            <w:hideMark/>
          </w:tcPr>
          <w:p w14:paraId="77F3329C" w14:textId="77777777" w:rsidR="008E7D28" w:rsidRPr="00CB33DF" w:rsidRDefault="008E7D28" w:rsidP="008E7D28">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8</w:t>
            </w:r>
          </w:p>
        </w:tc>
      </w:tr>
      <w:tr w:rsidR="00CB33DF" w:rsidRPr="00CB33DF" w14:paraId="4B55D174" w14:textId="77777777" w:rsidTr="006201F2">
        <w:trPr>
          <w:tblCellSpacing w:w="15" w:type="dxa"/>
        </w:trPr>
        <w:tc>
          <w:tcPr>
            <w:tcW w:w="288" w:type="pct"/>
            <w:hideMark/>
          </w:tcPr>
          <w:p w14:paraId="65AF830D" w14:textId="77777777" w:rsidR="008E7D28" w:rsidRPr="00CB33DF" w:rsidRDefault="008E7D28" w:rsidP="008E7D28">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1. Budžeta ieņēmumi</w:t>
            </w:r>
          </w:p>
        </w:tc>
        <w:tc>
          <w:tcPr>
            <w:tcW w:w="358" w:type="pct"/>
            <w:vAlign w:val="center"/>
            <w:hideMark/>
          </w:tcPr>
          <w:p w14:paraId="194374DF" w14:textId="77777777" w:rsidR="008E7D28" w:rsidRPr="00CB33DF" w:rsidRDefault="008E7D28"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672" w:type="pct"/>
            <w:vAlign w:val="center"/>
            <w:hideMark/>
          </w:tcPr>
          <w:p w14:paraId="4BE75F1C" w14:textId="77777777" w:rsidR="008E7D28" w:rsidRPr="00CB33DF" w:rsidRDefault="006201F2"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3 400 000</w:t>
            </w:r>
          </w:p>
        </w:tc>
        <w:tc>
          <w:tcPr>
            <w:tcW w:w="406" w:type="pct"/>
            <w:vAlign w:val="center"/>
            <w:hideMark/>
          </w:tcPr>
          <w:p w14:paraId="063895AF" w14:textId="77777777" w:rsidR="008E7D28" w:rsidRPr="00CB33DF" w:rsidRDefault="008E7D28"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735" w:type="pct"/>
            <w:vAlign w:val="center"/>
            <w:hideMark/>
          </w:tcPr>
          <w:p w14:paraId="43D30C40" w14:textId="77777777" w:rsidR="008E7D28" w:rsidRPr="00CB33DF" w:rsidRDefault="006201F2"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3 400 000</w:t>
            </w:r>
          </w:p>
        </w:tc>
        <w:tc>
          <w:tcPr>
            <w:tcW w:w="479" w:type="pct"/>
            <w:vAlign w:val="center"/>
            <w:hideMark/>
          </w:tcPr>
          <w:p w14:paraId="1289DD80" w14:textId="77777777" w:rsidR="008E7D28" w:rsidRPr="00CB33DF" w:rsidRDefault="008E7D28"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850" w:type="pct"/>
            <w:vAlign w:val="center"/>
            <w:hideMark/>
          </w:tcPr>
          <w:p w14:paraId="4E0340B4" w14:textId="77777777" w:rsidR="008E7D28" w:rsidRPr="00CB33DF" w:rsidRDefault="006201F2"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3 400 000</w:t>
            </w:r>
          </w:p>
        </w:tc>
        <w:tc>
          <w:tcPr>
            <w:tcW w:w="1063" w:type="pct"/>
            <w:vAlign w:val="center"/>
            <w:hideMark/>
          </w:tcPr>
          <w:p w14:paraId="6DD624FC" w14:textId="77777777" w:rsidR="008E7D28" w:rsidRPr="00CB33DF" w:rsidRDefault="006201F2"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3 400 000</w:t>
            </w:r>
          </w:p>
        </w:tc>
      </w:tr>
      <w:tr w:rsidR="00CB33DF" w:rsidRPr="00CB33DF" w14:paraId="18A07B4B" w14:textId="77777777" w:rsidTr="006201F2">
        <w:trPr>
          <w:tblCellSpacing w:w="15" w:type="dxa"/>
        </w:trPr>
        <w:tc>
          <w:tcPr>
            <w:tcW w:w="288" w:type="pct"/>
            <w:hideMark/>
          </w:tcPr>
          <w:p w14:paraId="36513D5C" w14:textId="77777777" w:rsidR="008E7D28" w:rsidRPr="00CB33DF" w:rsidRDefault="008E7D28" w:rsidP="008E7D28">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1.1. valsts pamatbudžets, tai skaitā ieņēmumi no maksas pakalpojumiem un citi pašu ieņēmumi</w:t>
            </w:r>
          </w:p>
        </w:tc>
        <w:tc>
          <w:tcPr>
            <w:tcW w:w="358" w:type="pct"/>
            <w:vAlign w:val="center"/>
            <w:hideMark/>
          </w:tcPr>
          <w:p w14:paraId="65ABD3AD" w14:textId="77777777" w:rsidR="008E7D28" w:rsidRPr="00CB33DF" w:rsidRDefault="008E7D28"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672" w:type="pct"/>
            <w:vAlign w:val="center"/>
          </w:tcPr>
          <w:p w14:paraId="0BE48B36" w14:textId="77777777" w:rsidR="008E7D28" w:rsidRPr="00CB33DF" w:rsidRDefault="006201F2"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2 280 000</w:t>
            </w:r>
          </w:p>
        </w:tc>
        <w:tc>
          <w:tcPr>
            <w:tcW w:w="406" w:type="pct"/>
            <w:vAlign w:val="center"/>
          </w:tcPr>
          <w:p w14:paraId="59BD57A7" w14:textId="77777777" w:rsidR="008E7D28" w:rsidRPr="00CB33DF" w:rsidRDefault="008E7D28"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735" w:type="pct"/>
            <w:vAlign w:val="center"/>
            <w:hideMark/>
          </w:tcPr>
          <w:p w14:paraId="4FD894FB" w14:textId="77777777" w:rsidR="008E7D28" w:rsidRPr="00CB33DF" w:rsidRDefault="006201F2"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2 280 000</w:t>
            </w:r>
          </w:p>
        </w:tc>
        <w:tc>
          <w:tcPr>
            <w:tcW w:w="479" w:type="pct"/>
            <w:vAlign w:val="center"/>
            <w:hideMark/>
          </w:tcPr>
          <w:p w14:paraId="42D84FEE" w14:textId="77777777" w:rsidR="008E7D28" w:rsidRPr="00CB33DF" w:rsidRDefault="008E7D28"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850" w:type="pct"/>
            <w:vAlign w:val="center"/>
            <w:hideMark/>
          </w:tcPr>
          <w:p w14:paraId="7F7F22C4" w14:textId="77777777" w:rsidR="008E7D28" w:rsidRPr="00CB33DF" w:rsidRDefault="006201F2"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2 280 000</w:t>
            </w:r>
          </w:p>
        </w:tc>
        <w:tc>
          <w:tcPr>
            <w:tcW w:w="1063" w:type="pct"/>
            <w:vAlign w:val="center"/>
            <w:hideMark/>
          </w:tcPr>
          <w:p w14:paraId="4B65BA14" w14:textId="77777777" w:rsidR="008E7D28" w:rsidRPr="00CB33DF" w:rsidRDefault="006201F2"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2 280 000</w:t>
            </w:r>
          </w:p>
        </w:tc>
      </w:tr>
      <w:tr w:rsidR="00CB33DF" w:rsidRPr="00CB33DF" w14:paraId="2D8BE6CA" w14:textId="77777777" w:rsidTr="006201F2">
        <w:trPr>
          <w:tblCellSpacing w:w="15" w:type="dxa"/>
        </w:trPr>
        <w:tc>
          <w:tcPr>
            <w:tcW w:w="288" w:type="pct"/>
            <w:hideMark/>
          </w:tcPr>
          <w:p w14:paraId="5FA6A08B" w14:textId="77777777" w:rsidR="008E7D28" w:rsidRPr="00CB33DF" w:rsidRDefault="008E7D28" w:rsidP="008E7D28">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 xml:space="preserve">1.2. valsts speciālais </w:t>
            </w:r>
            <w:r w:rsidRPr="00CB33DF">
              <w:rPr>
                <w:rFonts w:ascii="Times New Roman" w:eastAsia="Times New Roman" w:hAnsi="Times New Roman" w:cs="Times New Roman"/>
                <w:sz w:val="24"/>
                <w:szCs w:val="24"/>
                <w:lang w:eastAsia="lv-LV"/>
              </w:rPr>
              <w:lastRenderedPageBreak/>
              <w:t>budžets</w:t>
            </w:r>
          </w:p>
        </w:tc>
        <w:tc>
          <w:tcPr>
            <w:tcW w:w="358" w:type="pct"/>
            <w:vAlign w:val="center"/>
            <w:hideMark/>
          </w:tcPr>
          <w:p w14:paraId="1669EC76" w14:textId="77777777" w:rsidR="008E7D28" w:rsidRPr="00CB33DF" w:rsidRDefault="008E7D28"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lastRenderedPageBreak/>
              <w:t>0</w:t>
            </w:r>
          </w:p>
        </w:tc>
        <w:tc>
          <w:tcPr>
            <w:tcW w:w="672" w:type="pct"/>
            <w:vAlign w:val="center"/>
            <w:hideMark/>
          </w:tcPr>
          <w:p w14:paraId="78A116EC" w14:textId="77777777" w:rsidR="008E7D28" w:rsidRPr="00CB33DF" w:rsidRDefault="008E7D28"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406" w:type="pct"/>
            <w:vAlign w:val="center"/>
            <w:hideMark/>
          </w:tcPr>
          <w:p w14:paraId="56F95471" w14:textId="77777777" w:rsidR="008E7D28" w:rsidRPr="00CB33DF" w:rsidRDefault="008E7D28"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735" w:type="pct"/>
            <w:vAlign w:val="center"/>
            <w:hideMark/>
          </w:tcPr>
          <w:p w14:paraId="362964DE" w14:textId="77777777" w:rsidR="008E7D28" w:rsidRPr="00CB33DF" w:rsidRDefault="008E7D28"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479" w:type="pct"/>
            <w:vAlign w:val="center"/>
            <w:hideMark/>
          </w:tcPr>
          <w:p w14:paraId="6D0F6F1D" w14:textId="77777777" w:rsidR="008E7D28" w:rsidRPr="00CB33DF" w:rsidRDefault="008E7D28"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850" w:type="pct"/>
            <w:vAlign w:val="center"/>
            <w:hideMark/>
          </w:tcPr>
          <w:p w14:paraId="04269CE8" w14:textId="77777777" w:rsidR="008E7D28" w:rsidRPr="00CB33DF" w:rsidRDefault="008E7D28"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1063" w:type="pct"/>
            <w:vAlign w:val="center"/>
            <w:hideMark/>
          </w:tcPr>
          <w:p w14:paraId="585E1D03" w14:textId="77777777" w:rsidR="008E7D28" w:rsidRPr="00CB33DF" w:rsidRDefault="008E7D28"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r>
      <w:tr w:rsidR="00CB33DF" w:rsidRPr="00CB33DF" w14:paraId="0E7D512B" w14:textId="77777777" w:rsidTr="006201F2">
        <w:trPr>
          <w:tblCellSpacing w:w="15" w:type="dxa"/>
        </w:trPr>
        <w:tc>
          <w:tcPr>
            <w:tcW w:w="288" w:type="pct"/>
            <w:hideMark/>
          </w:tcPr>
          <w:p w14:paraId="6B21A008" w14:textId="77777777" w:rsidR="008E7D28" w:rsidRPr="00CB33DF" w:rsidRDefault="008E7D28" w:rsidP="008E7D28">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1.3. pašvaldību budžets</w:t>
            </w:r>
          </w:p>
        </w:tc>
        <w:tc>
          <w:tcPr>
            <w:tcW w:w="358" w:type="pct"/>
            <w:vAlign w:val="center"/>
            <w:hideMark/>
          </w:tcPr>
          <w:p w14:paraId="04054C25" w14:textId="77777777" w:rsidR="008E7D28" w:rsidRPr="00CB33DF" w:rsidRDefault="008E7D28"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672" w:type="pct"/>
            <w:vAlign w:val="center"/>
            <w:hideMark/>
          </w:tcPr>
          <w:p w14:paraId="5A46D705" w14:textId="77777777" w:rsidR="008E7D28" w:rsidRPr="00CB33DF" w:rsidRDefault="00E66CED"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1 120 000</w:t>
            </w:r>
          </w:p>
        </w:tc>
        <w:tc>
          <w:tcPr>
            <w:tcW w:w="406" w:type="pct"/>
            <w:vAlign w:val="center"/>
            <w:hideMark/>
          </w:tcPr>
          <w:p w14:paraId="6AB3C1C4" w14:textId="77777777" w:rsidR="008E7D28" w:rsidRPr="00CB33DF" w:rsidRDefault="008E7D28"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735" w:type="pct"/>
            <w:vAlign w:val="center"/>
            <w:hideMark/>
          </w:tcPr>
          <w:p w14:paraId="0D1D6C13" w14:textId="77777777" w:rsidR="008E7D28" w:rsidRPr="00CB33DF" w:rsidRDefault="00E66CED"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1 120 000</w:t>
            </w:r>
          </w:p>
        </w:tc>
        <w:tc>
          <w:tcPr>
            <w:tcW w:w="479" w:type="pct"/>
            <w:vAlign w:val="center"/>
            <w:hideMark/>
          </w:tcPr>
          <w:p w14:paraId="3CC7CFA6" w14:textId="77777777" w:rsidR="008E7D28" w:rsidRPr="00CB33DF" w:rsidRDefault="008E7D28"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850" w:type="pct"/>
            <w:vAlign w:val="center"/>
            <w:hideMark/>
          </w:tcPr>
          <w:p w14:paraId="5875D65D" w14:textId="77777777" w:rsidR="008E7D28" w:rsidRPr="00CB33DF" w:rsidRDefault="00E66CED"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1 120 000</w:t>
            </w:r>
          </w:p>
        </w:tc>
        <w:tc>
          <w:tcPr>
            <w:tcW w:w="1063" w:type="pct"/>
            <w:vAlign w:val="center"/>
            <w:hideMark/>
          </w:tcPr>
          <w:p w14:paraId="3BAD9D6E" w14:textId="77777777" w:rsidR="008E7D28" w:rsidRPr="00CB33DF" w:rsidRDefault="00E66CED"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1 120 000</w:t>
            </w:r>
          </w:p>
        </w:tc>
      </w:tr>
      <w:tr w:rsidR="00CB33DF" w:rsidRPr="00CB33DF" w14:paraId="0D416725" w14:textId="77777777" w:rsidTr="006201F2">
        <w:trPr>
          <w:tblCellSpacing w:w="15" w:type="dxa"/>
        </w:trPr>
        <w:tc>
          <w:tcPr>
            <w:tcW w:w="288" w:type="pct"/>
            <w:hideMark/>
          </w:tcPr>
          <w:p w14:paraId="789F87AE" w14:textId="77777777" w:rsidR="008E7D28" w:rsidRPr="00CB33DF" w:rsidRDefault="008E7D28" w:rsidP="008E7D28">
            <w:pPr>
              <w:spacing w:after="0" w:line="240" w:lineRule="auto"/>
              <w:rPr>
                <w:rFonts w:ascii="Times New Roman" w:eastAsia="Times New Roman" w:hAnsi="Times New Roman" w:cs="Times New Roman"/>
                <w:szCs w:val="24"/>
                <w:lang w:eastAsia="lv-LV"/>
              </w:rPr>
            </w:pPr>
            <w:r w:rsidRPr="00CB33DF">
              <w:rPr>
                <w:rFonts w:ascii="Times New Roman" w:eastAsia="Times New Roman" w:hAnsi="Times New Roman" w:cs="Times New Roman"/>
                <w:szCs w:val="24"/>
                <w:lang w:eastAsia="lv-LV"/>
              </w:rPr>
              <w:t>2. Budžeta izdevumi</w:t>
            </w:r>
          </w:p>
        </w:tc>
        <w:tc>
          <w:tcPr>
            <w:tcW w:w="358" w:type="pct"/>
            <w:vAlign w:val="center"/>
            <w:hideMark/>
          </w:tcPr>
          <w:p w14:paraId="1B250CBC" w14:textId="77777777" w:rsidR="008E7D28" w:rsidRPr="00CB33DF" w:rsidRDefault="008E7D28" w:rsidP="008E7D28">
            <w:pPr>
              <w:spacing w:after="0" w:line="240" w:lineRule="auto"/>
              <w:jc w:val="center"/>
              <w:rPr>
                <w:rFonts w:ascii="Times New Roman" w:eastAsia="Times New Roman" w:hAnsi="Times New Roman" w:cs="Times New Roman"/>
                <w:szCs w:val="24"/>
                <w:lang w:eastAsia="lv-LV"/>
              </w:rPr>
            </w:pPr>
            <w:r w:rsidRPr="00CB33DF">
              <w:rPr>
                <w:rFonts w:ascii="Times New Roman" w:eastAsia="Times New Roman" w:hAnsi="Times New Roman" w:cs="Times New Roman"/>
                <w:szCs w:val="24"/>
                <w:lang w:eastAsia="lv-LV"/>
              </w:rPr>
              <w:t>0</w:t>
            </w:r>
          </w:p>
        </w:tc>
        <w:tc>
          <w:tcPr>
            <w:tcW w:w="672" w:type="pct"/>
            <w:vAlign w:val="center"/>
            <w:hideMark/>
          </w:tcPr>
          <w:p w14:paraId="776638C6" w14:textId="77777777" w:rsidR="008E7D28" w:rsidRPr="00CB33DF" w:rsidRDefault="008E7D28" w:rsidP="008E7D28">
            <w:pPr>
              <w:spacing w:after="0" w:line="240" w:lineRule="auto"/>
              <w:jc w:val="center"/>
              <w:rPr>
                <w:rFonts w:ascii="Times New Roman" w:eastAsia="Times New Roman" w:hAnsi="Times New Roman" w:cs="Times New Roman"/>
                <w:szCs w:val="24"/>
                <w:lang w:eastAsia="lv-LV"/>
              </w:rPr>
            </w:pPr>
            <w:r w:rsidRPr="00CB33DF">
              <w:rPr>
                <w:rFonts w:ascii="Times New Roman" w:eastAsia="Times New Roman" w:hAnsi="Times New Roman" w:cs="Times New Roman"/>
                <w:szCs w:val="24"/>
                <w:lang w:eastAsia="lv-LV"/>
              </w:rPr>
              <w:t>0</w:t>
            </w:r>
          </w:p>
        </w:tc>
        <w:tc>
          <w:tcPr>
            <w:tcW w:w="406" w:type="pct"/>
            <w:vAlign w:val="center"/>
            <w:hideMark/>
          </w:tcPr>
          <w:p w14:paraId="279CF1C7" w14:textId="77777777" w:rsidR="008E7D28" w:rsidRPr="00CB33DF" w:rsidRDefault="008E7D28" w:rsidP="008E7D28">
            <w:pPr>
              <w:spacing w:after="0" w:line="240" w:lineRule="auto"/>
              <w:jc w:val="center"/>
              <w:rPr>
                <w:rFonts w:ascii="Times New Roman" w:eastAsia="Times New Roman" w:hAnsi="Times New Roman" w:cs="Times New Roman"/>
                <w:szCs w:val="24"/>
                <w:lang w:eastAsia="lv-LV"/>
              </w:rPr>
            </w:pPr>
            <w:r w:rsidRPr="00CB33DF">
              <w:rPr>
                <w:rFonts w:ascii="Times New Roman" w:eastAsia="Times New Roman" w:hAnsi="Times New Roman" w:cs="Times New Roman"/>
                <w:szCs w:val="24"/>
                <w:lang w:eastAsia="lv-LV"/>
              </w:rPr>
              <w:t>0</w:t>
            </w:r>
          </w:p>
        </w:tc>
        <w:tc>
          <w:tcPr>
            <w:tcW w:w="735" w:type="pct"/>
            <w:vAlign w:val="center"/>
            <w:hideMark/>
          </w:tcPr>
          <w:p w14:paraId="4AF41DDC" w14:textId="77777777" w:rsidR="008E7D28" w:rsidRPr="00CB33DF" w:rsidRDefault="008E7D28" w:rsidP="008E7D28">
            <w:pPr>
              <w:spacing w:after="0" w:line="240" w:lineRule="auto"/>
              <w:jc w:val="center"/>
              <w:rPr>
                <w:rFonts w:ascii="Times New Roman" w:eastAsia="Times New Roman" w:hAnsi="Times New Roman" w:cs="Times New Roman"/>
                <w:szCs w:val="24"/>
                <w:lang w:eastAsia="lv-LV"/>
              </w:rPr>
            </w:pPr>
            <w:r w:rsidRPr="00CB33DF">
              <w:rPr>
                <w:rFonts w:ascii="Times New Roman" w:eastAsia="Times New Roman" w:hAnsi="Times New Roman" w:cs="Times New Roman"/>
                <w:szCs w:val="24"/>
                <w:lang w:eastAsia="lv-LV"/>
              </w:rPr>
              <w:t>0</w:t>
            </w:r>
          </w:p>
        </w:tc>
        <w:tc>
          <w:tcPr>
            <w:tcW w:w="479" w:type="pct"/>
            <w:vAlign w:val="center"/>
            <w:hideMark/>
          </w:tcPr>
          <w:p w14:paraId="122A4E1A" w14:textId="77777777" w:rsidR="008E7D28" w:rsidRPr="00CB33DF" w:rsidRDefault="008E7D28" w:rsidP="008E7D28">
            <w:pPr>
              <w:spacing w:after="0" w:line="240" w:lineRule="auto"/>
              <w:jc w:val="center"/>
              <w:rPr>
                <w:rFonts w:ascii="Times New Roman" w:eastAsia="Times New Roman" w:hAnsi="Times New Roman" w:cs="Times New Roman"/>
                <w:szCs w:val="24"/>
                <w:lang w:eastAsia="lv-LV"/>
              </w:rPr>
            </w:pPr>
          </w:p>
        </w:tc>
        <w:tc>
          <w:tcPr>
            <w:tcW w:w="850" w:type="pct"/>
            <w:vAlign w:val="center"/>
            <w:hideMark/>
          </w:tcPr>
          <w:p w14:paraId="7C02F25D" w14:textId="77777777" w:rsidR="008E7D28" w:rsidRPr="00CB33DF" w:rsidRDefault="008E7D28" w:rsidP="008E7D28">
            <w:pPr>
              <w:spacing w:after="0" w:line="240" w:lineRule="auto"/>
              <w:jc w:val="center"/>
              <w:rPr>
                <w:rFonts w:ascii="Times New Roman" w:eastAsia="Times New Roman" w:hAnsi="Times New Roman" w:cs="Times New Roman"/>
                <w:szCs w:val="24"/>
                <w:lang w:eastAsia="lv-LV"/>
              </w:rPr>
            </w:pPr>
            <w:r w:rsidRPr="00CB33DF">
              <w:rPr>
                <w:rFonts w:ascii="Times New Roman" w:eastAsia="Times New Roman" w:hAnsi="Times New Roman" w:cs="Times New Roman"/>
                <w:szCs w:val="24"/>
                <w:lang w:eastAsia="lv-LV"/>
              </w:rPr>
              <w:t>0</w:t>
            </w:r>
          </w:p>
        </w:tc>
        <w:tc>
          <w:tcPr>
            <w:tcW w:w="1063" w:type="pct"/>
            <w:vAlign w:val="center"/>
            <w:hideMark/>
          </w:tcPr>
          <w:p w14:paraId="1818DF76" w14:textId="77777777" w:rsidR="008E7D28" w:rsidRPr="00CB33DF" w:rsidRDefault="008E7D28" w:rsidP="008E7D28">
            <w:pPr>
              <w:spacing w:after="0" w:line="240" w:lineRule="auto"/>
              <w:jc w:val="center"/>
              <w:rPr>
                <w:rFonts w:ascii="Times New Roman" w:eastAsia="Times New Roman" w:hAnsi="Times New Roman" w:cs="Times New Roman"/>
                <w:szCs w:val="24"/>
                <w:lang w:eastAsia="lv-LV"/>
              </w:rPr>
            </w:pPr>
            <w:r w:rsidRPr="00CB33DF">
              <w:rPr>
                <w:rFonts w:ascii="Times New Roman" w:eastAsia="Times New Roman" w:hAnsi="Times New Roman" w:cs="Times New Roman"/>
                <w:szCs w:val="24"/>
                <w:lang w:eastAsia="lv-LV"/>
              </w:rPr>
              <w:t>0</w:t>
            </w:r>
          </w:p>
        </w:tc>
      </w:tr>
      <w:tr w:rsidR="00CB33DF" w:rsidRPr="00CB33DF" w14:paraId="5334DC89" w14:textId="77777777" w:rsidTr="006201F2">
        <w:trPr>
          <w:tblCellSpacing w:w="15" w:type="dxa"/>
        </w:trPr>
        <w:tc>
          <w:tcPr>
            <w:tcW w:w="288" w:type="pct"/>
            <w:hideMark/>
          </w:tcPr>
          <w:p w14:paraId="211EAF8A" w14:textId="77777777" w:rsidR="008E7D28" w:rsidRPr="00CB33DF" w:rsidRDefault="008E7D28" w:rsidP="008E7D28">
            <w:pPr>
              <w:spacing w:after="0" w:line="240" w:lineRule="auto"/>
              <w:rPr>
                <w:rFonts w:ascii="Times New Roman" w:eastAsia="Times New Roman" w:hAnsi="Times New Roman" w:cs="Times New Roman"/>
                <w:szCs w:val="24"/>
                <w:lang w:eastAsia="lv-LV"/>
              </w:rPr>
            </w:pPr>
            <w:r w:rsidRPr="00CB33DF">
              <w:rPr>
                <w:rFonts w:ascii="Times New Roman" w:eastAsia="Times New Roman" w:hAnsi="Times New Roman" w:cs="Times New Roman"/>
                <w:szCs w:val="24"/>
                <w:lang w:eastAsia="lv-LV"/>
              </w:rPr>
              <w:t>2.1. valsts pamatbudžets</w:t>
            </w:r>
          </w:p>
        </w:tc>
        <w:tc>
          <w:tcPr>
            <w:tcW w:w="358" w:type="pct"/>
            <w:vAlign w:val="center"/>
            <w:hideMark/>
          </w:tcPr>
          <w:p w14:paraId="31410458" w14:textId="77777777" w:rsidR="008E7D28" w:rsidRPr="00CB33DF" w:rsidRDefault="008E7D28" w:rsidP="008E7D28">
            <w:pPr>
              <w:spacing w:after="0" w:line="240" w:lineRule="auto"/>
              <w:jc w:val="center"/>
              <w:rPr>
                <w:rFonts w:ascii="Times New Roman" w:eastAsia="Times New Roman" w:hAnsi="Times New Roman" w:cs="Times New Roman"/>
                <w:szCs w:val="24"/>
                <w:lang w:eastAsia="lv-LV"/>
              </w:rPr>
            </w:pPr>
            <w:r w:rsidRPr="00CB33DF">
              <w:rPr>
                <w:rFonts w:ascii="Times New Roman" w:eastAsia="Times New Roman" w:hAnsi="Times New Roman" w:cs="Times New Roman"/>
                <w:szCs w:val="24"/>
                <w:lang w:eastAsia="lv-LV"/>
              </w:rPr>
              <w:t>0</w:t>
            </w:r>
          </w:p>
        </w:tc>
        <w:tc>
          <w:tcPr>
            <w:tcW w:w="672" w:type="pct"/>
            <w:vAlign w:val="center"/>
            <w:hideMark/>
          </w:tcPr>
          <w:p w14:paraId="26507B30" w14:textId="77777777" w:rsidR="008E7D28" w:rsidRPr="00CB33DF" w:rsidRDefault="008E7D28" w:rsidP="008E7D28">
            <w:pPr>
              <w:spacing w:after="0" w:line="240" w:lineRule="auto"/>
              <w:jc w:val="center"/>
              <w:rPr>
                <w:rFonts w:ascii="Times New Roman" w:eastAsia="Times New Roman" w:hAnsi="Times New Roman" w:cs="Times New Roman"/>
                <w:szCs w:val="24"/>
                <w:lang w:eastAsia="lv-LV"/>
              </w:rPr>
            </w:pPr>
            <w:r w:rsidRPr="00CB33DF">
              <w:rPr>
                <w:rFonts w:ascii="Times New Roman" w:eastAsia="Times New Roman" w:hAnsi="Times New Roman" w:cs="Times New Roman"/>
                <w:szCs w:val="24"/>
                <w:lang w:eastAsia="lv-LV"/>
              </w:rPr>
              <w:t>0</w:t>
            </w:r>
          </w:p>
        </w:tc>
        <w:tc>
          <w:tcPr>
            <w:tcW w:w="406" w:type="pct"/>
            <w:vAlign w:val="center"/>
            <w:hideMark/>
          </w:tcPr>
          <w:p w14:paraId="7892A465" w14:textId="77777777" w:rsidR="008E7D28" w:rsidRPr="00CB33DF" w:rsidRDefault="008E7D28" w:rsidP="008E7D28">
            <w:pPr>
              <w:spacing w:after="0" w:line="240" w:lineRule="auto"/>
              <w:jc w:val="center"/>
              <w:rPr>
                <w:rFonts w:ascii="Times New Roman" w:eastAsia="Times New Roman" w:hAnsi="Times New Roman" w:cs="Times New Roman"/>
                <w:szCs w:val="24"/>
                <w:lang w:eastAsia="lv-LV"/>
              </w:rPr>
            </w:pPr>
            <w:r w:rsidRPr="00CB33DF">
              <w:rPr>
                <w:rFonts w:ascii="Times New Roman" w:eastAsia="Times New Roman" w:hAnsi="Times New Roman" w:cs="Times New Roman"/>
                <w:szCs w:val="24"/>
                <w:lang w:eastAsia="lv-LV"/>
              </w:rPr>
              <w:t>0</w:t>
            </w:r>
          </w:p>
        </w:tc>
        <w:tc>
          <w:tcPr>
            <w:tcW w:w="735" w:type="pct"/>
            <w:vAlign w:val="center"/>
            <w:hideMark/>
          </w:tcPr>
          <w:p w14:paraId="2CB9AD3B" w14:textId="77777777" w:rsidR="008E7D28" w:rsidRPr="00CB33DF" w:rsidRDefault="008E7D28" w:rsidP="008E7D28">
            <w:pPr>
              <w:spacing w:after="0" w:line="240" w:lineRule="auto"/>
              <w:jc w:val="center"/>
              <w:rPr>
                <w:rFonts w:ascii="Times New Roman" w:eastAsia="Times New Roman" w:hAnsi="Times New Roman" w:cs="Times New Roman"/>
                <w:szCs w:val="24"/>
                <w:lang w:eastAsia="lv-LV"/>
              </w:rPr>
            </w:pPr>
            <w:r w:rsidRPr="00CB33DF">
              <w:rPr>
                <w:rFonts w:ascii="Times New Roman" w:eastAsia="Times New Roman" w:hAnsi="Times New Roman" w:cs="Times New Roman"/>
                <w:szCs w:val="24"/>
                <w:lang w:eastAsia="lv-LV"/>
              </w:rPr>
              <w:t>0</w:t>
            </w:r>
          </w:p>
        </w:tc>
        <w:tc>
          <w:tcPr>
            <w:tcW w:w="479" w:type="pct"/>
            <w:vAlign w:val="center"/>
            <w:hideMark/>
          </w:tcPr>
          <w:p w14:paraId="6A3771B2" w14:textId="77777777" w:rsidR="008E7D28" w:rsidRPr="00CB33DF" w:rsidRDefault="008E7D28" w:rsidP="008E7D28">
            <w:pPr>
              <w:spacing w:after="0" w:line="240" w:lineRule="auto"/>
              <w:jc w:val="center"/>
              <w:rPr>
                <w:rFonts w:ascii="Times New Roman" w:eastAsia="Times New Roman" w:hAnsi="Times New Roman" w:cs="Times New Roman"/>
                <w:szCs w:val="24"/>
                <w:lang w:eastAsia="lv-LV"/>
              </w:rPr>
            </w:pPr>
          </w:p>
        </w:tc>
        <w:tc>
          <w:tcPr>
            <w:tcW w:w="850" w:type="pct"/>
            <w:vAlign w:val="center"/>
            <w:hideMark/>
          </w:tcPr>
          <w:p w14:paraId="6C119B85" w14:textId="77777777" w:rsidR="008E7D28" w:rsidRPr="00CB33DF" w:rsidRDefault="008E7D28" w:rsidP="008E7D28">
            <w:pPr>
              <w:spacing w:after="0" w:line="240" w:lineRule="auto"/>
              <w:jc w:val="center"/>
              <w:rPr>
                <w:rFonts w:ascii="Times New Roman" w:eastAsia="Times New Roman" w:hAnsi="Times New Roman" w:cs="Times New Roman"/>
                <w:szCs w:val="24"/>
                <w:lang w:eastAsia="lv-LV"/>
              </w:rPr>
            </w:pPr>
            <w:r w:rsidRPr="00CB33DF">
              <w:rPr>
                <w:rFonts w:ascii="Times New Roman" w:eastAsia="Times New Roman" w:hAnsi="Times New Roman" w:cs="Times New Roman"/>
                <w:szCs w:val="24"/>
                <w:lang w:eastAsia="lv-LV"/>
              </w:rPr>
              <w:t>0</w:t>
            </w:r>
          </w:p>
        </w:tc>
        <w:tc>
          <w:tcPr>
            <w:tcW w:w="1063" w:type="pct"/>
            <w:vAlign w:val="center"/>
            <w:hideMark/>
          </w:tcPr>
          <w:p w14:paraId="7A881FB2" w14:textId="77777777" w:rsidR="008E7D28" w:rsidRPr="00CB33DF" w:rsidRDefault="008E7D28" w:rsidP="008E7D28">
            <w:pPr>
              <w:spacing w:after="0" w:line="240" w:lineRule="auto"/>
              <w:jc w:val="center"/>
              <w:rPr>
                <w:rFonts w:ascii="Times New Roman" w:eastAsia="Times New Roman" w:hAnsi="Times New Roman" w:cs="Times New Roman"/>
                <w:szCs w:val="24"/>
                <w:lang w:eastAsia="lv-LV"/>
              </w:rPr>
            </w:pPr>
            <w:r w:rsidRPr="00CB33DF">
              <w:rPr>
                <w:rFonts w:ascii="Times New Roman" w:eastAsia="Times New Roman" w:hAnsi="Times New Roman" w:cs="Times New Roman"/>
                <w:szCs w:val="24"/>
                <w:lang w:eastAsia="lv-LV"/>
              </w:rPr>
              <w:t>0</w:t>
            </w:r>
          </w:p>
        </w:tc>
      </w:tr>
      <w:tr w:rsidR="00CB33DF" w:rsidRPr="00CB33DF" w14:paraId="5892676B" w14:textId="77777777" w:rsidTr="006201F2">
        <w:trPr>
          <w:tblCellSpacing w:w="15" w:type="dxa"/>
        </w:trPr>
        <w:tc>
          <w:tcPr>
            <w:tcW w:w="288" w:type="pct"/>
            <w:hideMark/>
          </w:tcPr>
          <w:p w14:paraId="2DFD4AC3" w14:textId="77777777" w:rsidR="008E7D28" w:rsidRPr="00CB33DF" w:rsidRDefault="008E7D28" w:rsidP="008E7D28">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2.2. valsts speciālais budžets</w:t>
            </w:r>
          </w:p>
        </w:tc>
        <w:tc>
          <w:tcPr>
            <w:tcW w:w="358" w:type="pct"/>
            <w:vAlign w:val="center"/>
            <w:hideMark/>
          </w:tcPr>
          <w:p w14:paraId="6929F042" w14:textId="77777777" w:rsidR="008E7D28" w:rsidRPr="00CB33DF" w:rsidRDefault="008E7D28"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672" w:type="pct"/>
            <w:vAlign w:val="center"/>
            <w:hideMark/>
          </w:tcPr>
          <w:p w14:paraId="08F2F084" w14:textId="77777777" w:rsidR="008E7D28" w:rsidRPr="00CB33DF" w:rsidRDefault="008E7D28"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406" w:type="pct"/>
            <w:vAlign w:val="center"/>
            <w:hideMark/>
          </w:tcPr>
          <w:p w14:paraId="6B01B7F1" w14:textId="77777777" w:rsidR="008E7D28" w:rsidRPr="00CB33DF" w:rsidRDefault="008E7D28"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735" w:type="pct"/>
            <w:vAlign w:val="center"/>
            <w:hideMark/>
          </w:tcPr>
          <w:p w14:paraId="3BFA7709" w14:textId="77777777" w:rsidR="008E7D28" w:rsidRPr="00CB33DF" w:rsidRDefault="008E7D28"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479" w:type="pct"/>
            <w:vAlign w:val="center"/>
            <w:hideMark/>
          </w:tcPr>
          <w:p w14:paraId="12B5700F" w14:textId="77777777" w:rsidR="008E7D28" w:rsidRPr="00CB33DF" w:rsidRDefault="008E7D28"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850" w:type="pct"/>
            <w:vAlign w:val="center"/>
            <w:hideMark/>
          </w:tcPr>
          <w:p w14:paraId="5598B67B" w14:textId="77777777" w:rsidR="008E7D28" w:rsidRPr="00CB33DF" w:rsidRDefault="008E7D28"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1063" w:type="pct"/>
            <w:vAlign w:val="center"/>
            <w:hideMark/>
          </w:tcPr>
          <w:p w14:paraId="5E9D6E04" w14:textId="77777777" w:rsidR="008E7D28" w:rsidRPr="00CB33DF" w:rsidRDefault="008E7D28"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r>
      <w:tr w:rsidR="00CB33DF" w:rsidRPr="00CB33DF" w14:paraId="76F0D114" w14:textId="77777777" w:rsidTr="006201F2">
        <w:trPr>
          <w:tblCellSpacing w:w="15" w:type="dxa"/>
        </w:trPr>
        <w:tc>
          <w:tcPr>
            <w:tcW w:w="288" w:type="pct"/>
            <w:hideMark/>
          </w:tcPr>
          <w:p w14:paraId="03965728" w14:textId="77777777" w:rsidR="008E7D28" w:rsidRPr="00CB33DF" w:rsidRDefault="008E7D28" w:rsidP="008E7D28">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2.3. pašvaldību budžets</w:t>
            </w:r>
          </w:p>
        </w:tc>
        <w:tc>
          <w:tcPr>
            <w:tcW w:w="358" w:type="pct"/>
            <w:vAlign w:val="center"/>
            <w:hideMark/>
          </w:tcPr>
          <w:p w14:paraId="399A407F" w14:textId="77777777" w:rsidR="008E7D28" w:rsidRPr="00CB33DF" w:rsidRDefault="008E7D28"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672" w:type="pct"/>
            <w:vAlign w:val="center"/>
            <w:hideMark/>
          </w:tcPr>
          <w:p w14:paraId="6DA90CFE" w14:textId="77777777" w:rsidR="008E7D28" w:rsidRPr="00CB33DF" w:rsidRDefault="008E7D28"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406" w:type="pct"/>
            <w:vAlign w:val="center"/>
            <w:hideMark/>
          </w:tcPr>
          <w:p w14:paraId="096469B5" w14:textId="77777777" w:rsidR="008E7D28" w:rsidRPr="00CB33DF" w:rsidRDefault="008E7D28"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735" w:type="pct"/>
            <w:vAlign w:val="center"/>
            <w:hideMark/>
          </w:tcPr>
          <w:p w14:paraId="6C37FAED" w14:textId="77777777" w:rsidR="008E7D28" w:rsidRPr="00CB33DF" w:rsidRDefault="008E7D28"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479" w:type="pct"/>
            <w:vAlign w:val="center"/>
            <w:hideMark/>
          </w:tcPr>
          <w:p w14:paraId="3AA23C73" w14:textId="77777777" w:rsidR="008E7D28" w:rsidRPr="00CB33DF" w:rsidRDefault="008E7D28"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850" w:type="pct"/>
            <w:vAlign w:val="center"/>
            <w:hideMark/>
          </w:tcPr>
          <w:p w14:paraId="7CF5E669" w14:textId="77777777" w:rsidR="008E7D28" w:rsidRPr="00CB33DF" w:rsidRDefault="008E7D28"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1063" w:type="pct"/>
            <w:vAlign w:val="center"/>
            <w:hideMark/>
          </w:tcPr>
          <w:p w14:paraId="009533CC" w14:textId="77777777" w:rsidR="008E7D28" w:rsidRPr="00CB33DF" w:rsidRDefault="008E7D28"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r>
      <w:tr w:rsidR="00CB33DF" w:rsidRPr="00CB33DF" w14:paraId="6B0F3C99" w14:textId="77777777" w:rsidTr="006201F2">
        <w:trPr>
          <w:tblCellSpacing w:w="15" w:type="dxa"/>
        </w:trPr>
        <w:tc>
          <w:tcPr>
            <w:tcW w:w="288" w:type="pct"/>
            <w:hideMark/>
          </w:tcPr>
          <w:p w14:paraId="0F91E069" w14:textId="77777777" w:rsidR="008E7D28" w:rsidRPr="00CB33DF" w:rsidRDefault="008E7D28" w:rsidP="008E7D28">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3. Finansiālā ietekme</w:t>
            </w:r>
          </w:p>
        </w:tc>
        <w:tc>
          <w:tcPr>
            <w:tcW w:w="358" w:type="pct"/>
            <w:vAlign w:val="center"/>
            <w:hideMark/>
          </w:tcPr>
          <w:p w14:paraId="6A5AC9A0" w14:textId="77777777" w:rsidR="008E7D28" w:rsidRPr="00CB33DF" w:rsidRDefault="008E7D28"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672" w:type="pct"/>
            <w:vAlign w:val="center"/>
            <w:hideMark/>
          </w:tcPr>
          <w:p w14:paraId="37F5E2C8" w14:textId="77777777" w:rsidR="008E7D28" w:rsidRPr="00CB33DF" w:rsidRDefault="00E66CED"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3 400 000</w:t>
            </w:r>
          </w:p>
        </w:tc>
        <w:tc>
          <w:tcPr>
            <w:tcW w:w="406" w:type="pct"/>
            <w:vAlign w:val="center"/>
            <w:hideMark/>
          </w:tcPr>
          <w:p w14:paraId="6F09DC75" w14:textId="77777777" w:rsidR="008E7D28" w:rsidRPr="00CB33DF" w:rsidRDefault="008E7D28"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735" w:type="pct"/>
            <w:vAlign w:val="center"/>
            <w:hideMark/>
          </w:tcPr>
          <w:p w14:paraId="685B717B" w14:textId="77777777" w:rsidR="008E7D28" w:rsidRPr="00CB33DF" w:rsidRDefault="00E66CED"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3 400 000</w:t>
            </w:r>
          </w:p>
        </w:tc>
        <w:tc>
          <w:tcPr>
            <w:tcW w:w="479" w:type="pct"/>
            <w:vAlign w:val="center"/>
            <w:hideMark/>
          </w:tcPr>
          <w:p w14:paraId="171D7AFD" w14:textId="77777777" w:rsidR="008E7D28" w:rsidRPr="00CB33DF" w:rsidRDefault="008E7D28"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850" w:type="pct"/>
            <w:vAlign w:val="center"/>
            <w:hideMark/>
          </w:tcPr>
          <w:p w14:paraId="610406B0" w14:textId="77777777" w:rsidR="008E7D28" w:rsidRPr="00CB33DF" w:rsidRDefault="00E66CED"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3 400 000</w:t>
            </w:r>
          </w:p>
        </w:tc>
        <w:tc>
          <w:tcPr>
            <w:tcW w:w="1063" w:type="pct"/>
            <w:vAlign w:val="center"/>
            <w:hideMark/>
          </w:tcPr>
          <w:p w14:paraId="7281726A" w14:textId="77777777" w:rsidR="008E7D28" w:rsidRPr="00CB33DF" w:rsidRDefault="00E66CED"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3 400 000</w:t>
            </w:r>
          </w:p>
        </w:tc>
      </w:tr>
      <w:tr w:rsidR="00CB33DF" w:rsidRPr="00CB33DF" w14:paraId="11EBCC42" w14:textId="77777777" w:rsidTr="006201F2">
        <w:trPr>
          <w:tblCellSpacing w:w="15" w:type="dxa"/>
        </w:trPr>
        <w:tc>
          <w:tcPr>
            <w:tcW w:w="288" w:type="pct"/>
            <w:hideMark/>
          </w:tcPr>
          <w:p w14:paraId="4294AF98" w14:textId="77777777" w:rsidR="008E7D28" w:rsidRPr="00CB33DF" w:rsidRDefault="008E7D28" w:rsidP="008E7D28">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3.1. valsts pamatbudžets</w:t>
            </w:r>
          </w:p>
        </w:tc>
        <w:tc>
          <w:tcPr>
            <w:tcW w:w="358" w:type="pct"/>
            <w:vAlign w:val="center"/>
            <w:hideMark/>
          </w:tcPr>
          <w:p w14:paraId="5D21375A" w14:textId="77777777" w:rsidR="008E7D28" w:rsidRPr="00CB33DF" w:rsidRDefault="008E7D28"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672" w:type="pct"/>
            <w:vAlign w:val="center"/>
            <w:hideMark/>
          </w:tcPr>
          <w:p w14:paraId="5E556F6E" w14:textId="77777777" w:rsidR="008E7D28" w:rsidRPr="00CB33DF" w:rsidRDefault="00E66CED"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2 280 000</w:t>
            </w:r>
          </w:p>
        </w:tc>
        <w:tc>
          <w:tcPr>
            <w:tcW w:w="406" w:type="pct"/>
            <w:vAlign w:val="center"/>
            <w:hideMark/>
          </w:tcPr>
          <w:p w14:paraId="0EA0B2D8" w14:textId="77777777" w:rsidR="008E7D28" w:rsidRPr="00CB33DF" w:rsidRDefault="008E7D28"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735" w:type="pct"/>
            <w:vAlign w:val="center"/>
            <w:hideMark/>
          </w:tcPr>
          <w:p w14:paraId="45F9C0D1" w14:textId="77777777" w:rsidR="008E7D28" w:rsidRPr="00CB33DF" w:rsidRDefault="00E66CED"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2 280 000</w:t>
            </w:r>
          </w:p>
        </w:tc>
        <w:tc>
          <w:tcPr>
            <w:tcW w:w="479" w:type="pct"/>
            <w:vAlign w:val="center"/>
            <w:hideMark/>
          </w:tcPr>
          <w:p w14:paraId="1966DC2F" w14:textId="77777777" w:rsidR="008E7D28" w:rsidRPr="00CB33DF" w:rsidRDefault="008E7D28"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850" w:type="pct"/>
            <w:vAlign w:val="center"/>
            <w:hideMark/>
          </w:tcPr>
          <w:p w14:paraId="1A19AAC7" w14:textId="77777777" w:rsidR="008E7D28" w:rsidRPr="00CB33DF" w:rsidRDefault="00E66CED"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2 280 000</w:t>
            </w:r>
          </w:p>
        </w:tc>
        <w:tc>
          <w:tcPr>
            <w:tcW w:w="1063" w:type="pct"/>
            <w:vAlign w:val="center"/>
            <w:hideMark/>
          </w:tcPr>
          <w:p w14:paraId="65B95481" w14:textId="77777777" w:rsidR="008E7D28" w:rsidRPr="00CB33DF" w:rsidRDefault="00E66CED"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2 280 000</w:t>
            </w:r>
          </w:p>
        </w:tc>
      </w:tr>
      <w:tr w:rsidR="00CB33DF" w:rsidRPr="00CB33DF" w14:paraId="701F24E2" w14:textId="77777777" w:rsidTr="006201F2">
        <w:trPr>
          <w:tblCellSpacing w:w="15" w:type="dxa"/>
        </w:trPr>
        <w:tc>
          <w:tcPr>
            <w:tcW w:w="288" w:type="pct"/>
            <w:hideMark/>
          </w:tcPr>
          <w:p w14:paraId="1E07A8F7" w14:textId="77777777" w:rsidR="008E7D28" w:rsidRPr="00CB33DF" w:rsidRDefault="008E7D28" w:rsidP="008E7D28">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3.2. spec</w:t>
            </w:r>
            <w:r w:rsidRPr="00CB33DF">
              <w:rPr>
                <w:rFonts w:ascii="Times New Roman" w:eastAsia="Times New Roman" w:hAnsi="Times New Roman" w:cs="Times New Roman"/>
                <w:sz w:val="24"/>
                <w:szCs w:val="24"/>
                <w:lang w:eastAsia="lv-LV"/>
              </w:rPr>
              <w:lastRenderedPageBreak/>
              <w:t>iālais budžets</w:t>
            </w:r>
          </w:p>
        </w:tc>
        <w:tc>
          <w:tcPr>
            <w:tcW w:w="358" w:type="pct"/>
            <w:vAlign w:val="center"/>
            <w:hideMark/>
          </w:tcPr>
          <w:p w14:paraId="26E9CCEC" w14:textId="77777777" w:rsidR="008E7D28" w:rsidRPr="00CB33DF" w:rsidRDefault="008E7D28"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lastRenderedPageBreak/>
              <w:t>0</w:t>
            </w:r>
          </w:p>
        </w:tc>
        <w:tc>
          <w:tcPr>
            <w:tcW w:w="672" w:type="pct"/>
            <w:vAlign w:val="center"/>
            <w:hideMark/>
          </w:tcPr>
          <w:p w14:paraId="72672E42" w14:textId="77777777" w:rsidR="008E7D28" w:rsidRPr="00CB33DF" w:rsidRDefault="008E7D28"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406" w:type="pct"/>
            <w:vAlign w:val="center"/>
            <w:hideMark/>
          </w:tcPr>
          <w:p w14:paraId="7B66807A" w14:textId="77777777" w:rsidR="008E7D28" w:rsidRPr="00CB33DF" w:rsidRDefault="008E7D28"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735" w:type="pct"/>
            <w:vAlign w:val="center"/>
            <w:hideMark/>
          </w:tcPr>
          <w:p w14:paraId="265BB4BE" w14:textId="77777777" w:rsidR="008E7D28" w:rsidRPr="00CB33DF" w:rsidRDefault="008E7D28"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479" w:type="pct"/>
            <w:vAlign w:val="center"/>
            <w:hideMark/>
          </w:tcPr>
          <w:p w14:paraId="2731B092" w14:textId="77777777" w:rsidR="008E7D28" w:rsidRPr="00CB33DF" w:rsidRDefault="008E7D28"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850" w:type="pct"/>
            <w:vAlign w:val="center"/>
            <w:hideMark/>
          </w:tcPr>
          <w:p w14:paraId="384F98D2" w14:textId="77777777" w:rsidR="008E7D28" w:rsidRPr="00CB33DF" w:rsidRDefault="008E7D28"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1063" w:type="pct"/>
            <w:vAlign w:val="center"/>
            <w:hideMark/>
          </w:tcPr>
          <w:p w14:paraId="60A68A93" w14:textId="77777777" w:rsidR="008E7D28" w:rsidRPr="00CB33DF" w:rsidRDefault="008E7D28" w:rsidP="008E7D28">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r>
      <w:tr w:rsidR="00CB33DF" w:rsidRPr="00CB33DF" w14:paraId="61FFC87C" w14:textId="77777777" w:rsidTr="006201F2">
        <w:trPr>
          <w:tblCellSpacing w:w="15" w:type="dxa"/>
        </w:trPr>
        <w:tc>
          <w:tcPr>
            <w:tcW w:w="288" w:type="pct"/>
            <w:hideMark/>
          </w:tcPr>
          <w:p w14:paraId="75D6D920" w14:textId="77777777" w:rsidR="008E7D28" w:rsidRPr="00CB33DF" w:rsidRDefault="008E7D28" w:rsidP="008E7D28">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3.3. pašvaldību budžets</w:t>
            </w:r>
          </w:p>
        </w:tc>
        <w:tc>
          <w:tcPr>
            <w:tcW w:w="358" w:type="pct"/>
            <w:vAlign w:val="center"/>
            <w:hideMark/>
          </w:tcPr>
          <w:p w14:paraId="4E549789" w14:textId="77777777" w:rsidR="008E7D28" w:rsidRPr="00CB33DF" w:rsidRDefault="008E7D28" w:rsidP="00E265A1">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672" w:type="pct"/>
            <w:vAlign w:val="center"/>
            <w:hideMark/>
          </w:tcPr>
          <w:p w14:paraId="1E4646CD" w14:textId="77777777" w:rsidR="008E7D28" w:rsidRPr="00CB33DF" w:rsidRDefault="00E66CED" w:rsidP="00E265A1">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1 120 000</w:t>
            </w:r>
          </w:p>
        </w:tc>
        <w:tc>
          <w:tcPr>
            <w:tcW w:w="406" w:type="pct"/>
            <w:vAlign w:val="center"/>
            <w:hideMark/>
          </w:tcPr>
          <w:p w14:paraId="0916ECC2" w14:textId="77777777" w:rsidR="008E7D28" w:rsidRPr="00CB33DF" w:rsidRDefault="008E7D28" w:rsidP="00E265A1">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735" w:type="pct"/>
            <w:vAlign w:val="center"/>
            <w:hideMark/>
          </w:tcPr>
          <w:p w14:paraId="4F85907D" w14:textId="77777777" w:rsidR="008E7D28" w:rsidRPr="00CB33DF" w:rsidRDefault="00E66CED" w:rsidP="00E265A1">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1 120 000</w:t>
            </w:r>
          </w:p>
        </w:tc>
        <w:tc>
          <w:tcPr>
            <w:tcW w:w="479" w:type="pct"/>
            <w:vAlign w:val="center"/>
            <w:hideMark/>
          </w:tcPr>
          <w:p w14:paraId="5204E639" w14:textId="77777777" w:rsidR="008E7D28" w:rsidRPr="00CB33DF" w:rsidRDefault="008E7D28" w:rsidP="00E265A1">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850" w:type="pct"/>
            <w:vAlign w:val="center"/>
            <w:hideMark/>
          </w:tcPr>
          <w:p w14:paraId="2100F83E" w14:textId="77777777" w:rsidR="008E7D28" w:rsidRPr="00CB33DF" w:rsidRDefault="00E66CED" w:rsidP="00E265A1">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1 120 000</w:t>
            </w:r>
          </w:p>
        </w:tc>
        <w:tc>
          <w:tcPr>
            <w:tcW w:w="1063" w:type="pct"/>
            <w:vAlign w:val="center"/>
            <w:hideMark/>
          </w:tcPr>
          <w:p w14:paraId="3D402CB4" w14:textId="77777777" w:rsidR="008E7D28" w:rsidRPr="00CB33DF" w:rsidRDefault="00E66CED" w:rsidP="00E265A1">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1 120 000</w:t>
            </w:r>
          </w:p>
        </w:tc>
      </w:tr>
      <w:tr w:rsidR="00CB33DF" w:rsidRPr="00CB33DF" w14:paraId="3B1BB7D1" w14:textId="77777777" w:rsidTr="006201F2">
        <w:trPr>
          <w:tblCellSpacing w:w="15" w:type="dxa"/>
        </w:trPr>
        <w:tc>
          <w:tcPr>
            <w:tcW w:w="288" w:type="pct"/>
            <w:hideMark/>
          </w:tcPr>
          <w:p w14:paraId="2CBB27BF" w14:textId="77777777" w:rsidR="008E7D28" w:rsidRPr="00CB33DF" w:rsidRDefault="008E7D28" w:rsidP="008E7D28">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358" w:type="pct"/>
            <w:vAlign w:val="center"/>
            <w:hideMark/>
          </w:tcPr>
          <w:p w14:paraId="22F0970A" w14:textId="77777777" w:rsidR="008E7D28" w:rsidRPr="00CB33DF" w:rsidRDefault="008E7D28" w:rsidP="00E265A1">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672" w:type="pct"/>
            <w:vAlign w:val="center"/>
            <w:hideMark/>
          </w:tcPr>
          <w:p w14:paraId="02DF2D82" w14:textId="77777777" w:rsidR="008E7D28" w:rsidRPr="00CB33DF" w:rsidRDefault="008E7D28" w:rsidP="00E265A1">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406" w:type="pct"/>
            <w:vAlign w:val="center"/>
            <w:hideMark/>
          </w:tcPr>
          <w:p w14:paraId="46E183A8" w14:textId="77777777" w:rsidR="008E7D28" w:rsidRPr="00CB33DF" w:rsidRDefault="008E7D28" w:rsidP="00E265A1">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735" w:type="pct"/>
            <w:vAlign w:val="center"/>
            <w:hideMark/>
          </w:tcPr>
          <w:p w14:paraId="54849D0C" w14:textId="77777777" w:rsidR="008E7D28" w:rsidRPr="00CB33DF" w:rsidRDefault="008E7D28" w:rsidP="00E265A1">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479" w:type="pct"/>
            <w:vAlign w:val="center"/>
            <w:hideMark/>
          </w:tcPr>
          <w:p w14:paraId="7E89BE1B" w14:textId="77777777" w:rsidR="008E7D28" w:rsidRPr="00CB33DF" w:rsidRDefault="008E7D28" w:rsidP="00E265A1">
            <w:pPr>
              <w:spacing w:after="0" w:line="240" w:lineRule="auto"/>
              <w:jc w:val="center"/>
              <w:rPr>
                <w:rFonts w:ascii="Times New Roman" w:eastAsia="Times New Roman" w:hAnsi="Times New Roman" w:cs="Times New Roman"/>
                <w:sz w:val="24"/>
                <w:szCs w:val="24"/>
                <w:lang w:eastAsia="lv-LV"/>
              </w:rPr>
            </w:pPr>
          </w:p>
        </w:tc>
        <w:tc>
          <w:tcPr>
            <w:tcW w:w="850" w:type="pct"/>
            <w:vAlign w:val="center"/>
            <w:hideMark/>
          </w:tcPr>
          <w:p w14:paraId="054F0F78" w14:textId="77777777" w:rsidR="008E7D28" w:rsidRPr="00CB33DF" w:rsidRDefault="008E7D28" w:rsidP="00E265A1">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1063" w:type="pct"/>
            <w:vAlign w:val="center"/>
            <w:hideMark/>
          </w:tcPr>
          <w:p w14:paraId="4511133C" w14:textId="77777777" w:rsidR="008E7D28" w:rsidRPr="00CB33DF" w:rsidRDefault="008E7D28" w:rsidP="00E265A1">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r>
      <w:tr w:rsidR="00CB33DF" w:rsidRPr="00CB33DF" w14:paraId="0360C5EA" w14:textId="77777777" w:rsidTr="006201F2">
        <w:trPr>
          <w:tblCellSpacing w:w="15" w:type="dxa"/>
        </w:trPr>
        <w:tc>
          <w:tcPr>
            <w:tcW w:w="288" w:type="pct"/>
            <w:hideMark/>
          </w:tcPr>
          <w:p w14:paraId="3167B0A8" w14:textId="77777777" w:rsidR="008E7D28" w:rsidRPr="00CB33DF" w:rsidRDefault="008E7D28" w:rsidP="008E7D28">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5. Precizēta finansiālā ietekme</w:t>
            </w:r>
          </w:p>
        </w:tc>
        <w:tc>
          <w:tcPr>
            <w:tcW w:w="358" w:type="pct"/>
            <w:vMerge w:val="restart"/>
            <w:vAlign w:val="center"/>
            <w:hideMark/>
          </w:tcPr>
          <w:p w14:paraId="71F0EDCD" w14:textId="77777777" w:rsidR="008E7D28" w:rsidRPr="00CB33DF" w:rsidRDefault="008E7D28" w:rsidP="00E265A1">
            <w:pPr>
              <w:spacing w:after="0" w:line="240" w:lineRule="auto"/>
              <w:jc w:val="center"/>
              <w:rPr>
                <w:rFonts w:ascii="Times New Roman" w:eastAsia="Times New Roman" w:hAnsi="Times New Roman" w:cs="Times New Roman"/>
                <w:sz w:val="24"/>
                <w:szCs w:val="24"/>
                <w:lang w:eastAsia="lv-LV"/>
              </w:rPr>
            </w:pPr>
          </w:p>
        </w:tc>
        <w:tc>
          <w:tcPr>
            <w:tcW w:w="672" w:type="pct"/>
            <w:vAlign w:val="center"/>
            <w:hideMark/>
          </w:tcPr>
          <w:p w14:paraId="42DFCA55" w14:textId="77777777" w:rsidR="008E7D28" w:rsidRPr="00CB33DF" w:rsidRDefault="00FD1BE4" w:rsidP="00E265A1">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406" w:type="pct"/>
            <w:vMerge w:val="restart"/>
            <w:vAlign w:val="center"/>
            <w:hideMark/>
          </w:tcPr>
          <w:p w14:paraId="1E61F845" w14:textId="77777777" w:rsidR="008E7D28" w:rsidRPr="00CB33DF" w:rsidRDefault="008E7D28" w:rsidP="00E265A1">
            <w:pPr>
              <w:spacing w:after="0" w:line="240" w:lineRule="auto"/>
              <w:jc w:val="center"/>
              <w:rPr>
                <w:rFonts w:ascii="Times New Roman" w:eastAsia="Times New Roman" w:hAnsi="Times New Roman" w:cs="Times New Roman"/>
                <w:sz w:val="24"/>
                <w:szCs w:val="24"/>
                <w:lang w:eastAsia="lv-LV"/>
              </w:rPr>
            </w:pPr>
          </w:p>
        </w:tc>
        <w:tc>
          <w:tcPr>
            <w:tcW w:w="735" w:type="pct"/>
            <w:vAlign w:val="center"/>
            <w:hideMark/>
          </w:tcPr>
          <w:p w14:paraId="2F7E3D4B" w14:textId="77777777" w:rsidR="008E7D28" w:rsidRPr="00CB33DF" w:rsidRDefault="00FD1BE4" w:rsidP="00E265A1">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479" w:type="pct"/>
            <w:vMerge w:val="restart"/>
            <w:vAlign w:val="center"/>
            <w:hideMark/>
          </w:tcPr>
          <w:p w14:paraId="19023200" w14:textId="77777777" w:rsidR="008E7D28" w:rsidRPr="00CB33DF" w:rsidRDefault="008E7D28" w:rsidP="00E265A1">
            <w:pPr>
              <w:spacing w:after="0" w:line="240" w:lineRule="auto"/>
              <w:jc w:val="center"/>
              <w:rPr>
                <w:rFonts w:ascii="Times New Roman" w:eastAsia="Times New Roman" w:hAnsi="Times New Roman" w:cs="Times New Roman"/>
                <w:sz w:val="24"/>
                <w:szCs w:val="24"/>
                <w:lang w:eastAsia="lv-LV"/>
              </w:rPr>
            </w:pPr>
          </w:p>
        </w:tc>
        <w:tc>
          <w:tcPr>
            <w:tcW w:w="850" w:type="pct"/>
            <w:vAlign w:val="center"/>
            <w:hideMark/>
          </w:tcPr>
          <w:p w14:paraId="0444F5FB" w14:textId="77777777" w:rsidR="008E7D28" w:rsidRPr="00CB33DF" w:rsidRDefault="00FD1BE4" w:rsidP="00E265A1">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1063" w:type="pct"/>
            <w:vAlign w:val="center"/>
            <w:hideMark/>
          </w:tcPr>
          <w:p w14:paraId="649D58B3" w14:textId="77777777" w:rsidR="008E7D28" w:rsidRPr="00CB33DF" w:rsidRDefault="00FD1BE4" w:rsidP="00E265A1">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r>
      <w:tr w:rsidR="00CB33DF" w:rsidRPr="00CB33DF" w14:paraId="25DFE2BB" w14:textId="77777777" w:rsidTr="006201F2">
        <w:trPr>
          <w:tblCellSpacing w:w="15" w:type="dxa"/>
        </w:trPr>
        <w:tc>
          <w:tcPr>
            <w:tcW w:w="288" w:type="pct"/>
            <w:hideMark/>
          </w:tcPr>
          <w:p w14:paraId="3295514A" w14:textId="77777777" w:rsidR="008E7D28" w:rsidRPr="00CB33DF" w:rsidRDefault="008E7D28" w:rsidP="008E7D28">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lastRenderedPageBreak/>
              <w:t>5.1. valsts pamatbudžets</w:t>
            </w:r>
          </w:p>
        </w:tc>
        <w:tc>
          <w:tcPr>
            <w:tcW w:w="358" w:type="pct"/>
            <w:vMerge/>
            <w:vAlign w:val="center"/>
            <w:hideMark/>
          </w:tcPr>
          <w:p w14:paraId="255C4EF7" w14:textId="77777777" w:rsidR="008E7D28" w:rsidRPr="00CB33DF" w:rsidRDefault="008E7D28" w:rsidP="008E7D28">
            <w:pPr>
              <w:spacing w:after="0" w:line="240" w:lineRule="auto"/>
              <w:rPr>
                <w:rFonts w:ascii="Times New Roman" w:eastAsia="Times New Roman" w:hAnsi="Times New Roman" w:cs="Times New Roman"/>
                <w:sz w:val="24"/>
                <w:szCs w:val="24"/>
                <w:lang w:eastAsia="lv-LV"/>
              </w:rPr>
            </w:pPr>
          </w:p>
        </w:tc>
        <w:tc>
          <w:tcPr>
            <w:tcW w:w="672" w:type="pct"/>
            <w:vAlign w:val="center"/>
            <w:hideMark/>
          </w:tcPr>
          <w:p w14:paraId="614E0D5B" w14:textId="77777777" w:rsidR="008E7D28" w:rsidRPr="00CB33DF" w:rsidRDefault="00FD1BE4" w:rsidP="00E265A1">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406" w:type="pct"/>
            <w:vMerge/>
            <w:vAlign w:val="center"/>
            <w:hideMark/>
          </w:tcPr>
          <w:p w14:paraId="0A633BAC" w14:textId="77777777" w:rsidR="008E7D28" w:rsidRPr="00CB33DF" w:rsidRDefault="008E7D28" w:rsidP="00E265A1">
            <w:pPr>
              <w:spacing w:after="0" w:line="240" w:lineRule="auto"/>
              <w:jc w:val="center"/>
              <w:rPr>
                <w:rFonts w:ascii="Times New Roman" w:eastAsia="Times New Roman" w:hAnsi="Times New Roman" w:cs="Times New Roman"/>
                <w:sz w:val="24"/>
                <w:szCs w:val="24"/>
                <w:lang w:eastAsia="lv-LV"/>
              </w:rPr>
            </w:pPr>
          </w:p>
        </w:tc>
        <w:tc>
          <w:tcPr>
            <w:tcW w:w="735" w:type="pct"/>
            <w:vAlign w:val="center"/>
            <w:hideMark/>
          </w:tcPr>
          <w:p w14:paraId="1BF4E045" w14:textId="77777777" w:rsidR="008E7D28" w:rsidRPr="00CB33DF" w:rsidRDefault="00FD1BE4" w:rsidP="00E265A1">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479" w:type="pct"/>
            <w:vMerge/>
            <w:vAlign w:val="center"/>
            <w:hideMark/>
          </w:tcPr>
          <w:p w14:paraId="1C4C860B" w14:textId="77777777" w:rsidR="008E7D28" w:rsidRPr="00CB33DF" w:rsidRDefault="008E7D28" w:rsidP="00E265A1">
            <w:pPr>
              <w:spacing w:after="0" w:line="240" w:lineRule="auto"/>
              <w:jc w:val="center"/>
              <w:rPr>
                <w:rFonts w:ascii="Times New Roman" w:eastAsia="Times New Roman" w:hAnsi="Times New Roman" w:cs="Times New Roman"/>
                <w:sz w:val="24"/>
                <w:szCs w:val="24"/>
                <w:lang w:eastAsia="lv-LV"/>
              </w:rPr>
            </w:pPr>
          </w:p>
        </w:tc>
        <w:tc>
          <w:tcPr>
            <w:tcW w:w="850" w:type="pct"/>
            <w:vAlign w:val="center"/>
            <w:hideMark/>
          </w:tcPr>
          <w:p w14:paraId="3EBF18B5" w14:textId="77777777" w:rsidR="008E7D28" w:rsidRPr="00CB33DF" w:rsidRDefault="00FD1BE4" w:rsidP="00E265A1">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1063" w:type="pct"/>
            <w:vAlign w:val="center"/>
            <w:hideMark/>
          </w:tcPr>
          <w:p w14:paraId="4423A0E2" w14:textId="77777777" w:rsidR="008E7D28" w:rsidRPr="00CB33DF" w:rsidRDefault="00FD1BE4" w:rsidP="00E265A1">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r>
      <w:tr w:rsidR="00CB33DF" w:rsidRPr="00CB33DF" w14:paraId="2717AE07" w14:textId="77777777" w:rsidTr="006201F2">
        <w:trPr>
          <w:tblCellSpacing w:w="15" w:type="dxa"/>
        </w:trPr>
        <w:tc>
          <w:tcPr>
            <w:tcW w:w="288" w:type="pct"/>
            <w:hideMark/>
          </w:tcPr>
          <w:p w14:paraId="1909F79A" w14:textId="77777777" w:rsidR="008E7D28" w:rsidRPr="00CB33DF" w:rsidRDefault="008E7D28" w:rsidP="008E7D28">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5.2. speciālais budžets</w:t>
            </w:r>
          </w:p>
        </w:tc>
        <w:tc>
          <w:tcPr>
            <w:tcW w:w="358" w:type="pct"/>
            <w:vMerge/>
            <w:vAlign w:val="center"/>
            <w:hideMark/>
          </w:tcPr>
          <w:p w14:paraId="2E6C965A" w14:textId="77777777" w:rsidR="008E7D28" w:rsidRPr="00CB33DF" w:rsidRDefault="008E7D28" w:rsidP="008E7D28">
            <w:pPr>
              <w:spacing w:after="0" w:line="240" w:lineRule="auto"/>
              <w:rPr>
                <w:rFonts w:ascii="Times New Roman" w:eastAsia="Times New Roman" w:hAnsi="Times New Roman" w:cs="Times New Roman"/>
                <w:sz w:val="24"/>
                <w:szCs w:val="24"/>
                <w:lang w:eastAsia="lv-LV"/>
              </w:rPr>
            </w:pPr>
          </w:p>
        </w:tc>
        <w:tc>
          <w:tcPr>
            <w:tcW w:w="672" w:type="pct"/>
            <w:vAlign w:val="center"/>
            <w:hideMark/>
          </w:tcPr>
          <w:p w14:paraId="16D0D882" w14:textId="77777777" w:rsidR="008E7D28" w:rsidRPr="00CB33DF" w:rsidRDefault="008E7D28" w:rsidP="00E265A1">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406" w:type="pct"/>
            <w:vMerge/>
            <w:vAlign w:val="center"/>
            <w:hideMark/>
          </w:tcPr>
          <w:p w14:paraId="650EB696" w14:textId="77777777" w:rsidR="008E7D28" w:rsidRPr="00CB33DF" w:rsidRDefault="008E7D28" w:rsidP="00E265A1">
            <w:pPr>
              <w:spacing w:after="0" w:line="240" w:lineRule="auto"/>
              <w:jc w:val="center"/>
              <w:rPr>
                <w:rFonts w:ascii="Times New Roman" w:eastAsia="Times New Roman" w:hAnsi="Times New Roman" w:cs="Times New Roman"/>
                <w:sz w:val="24"/>
                <w:szCs w:val="24"/>
                <w:lang w:eastAsia="lv-LV"/>
              </w:rPr>
            </w:pPr>
          </w:p>
        </w:tc>
        <w:tc>
          <w:tcPr>
            <w:tcW w:w="735" w:type="pct"/>
            <w:vAlign w:val="center"/>
            <w:hideMark/>
          </w:tcPr>
          <w:p w14:paraId="007F7DA6" w14:textId="77777777" w:rsidR="008E7D28" w:rsidRPr="00CB33DF" w:rsidRDefault="008E7D28" w:rsidP="00E265A1">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479" w:type="pct"/>
            <w:vMerge/>
            <w:vAlign w:val="center"/>
            <w:hideMark/>
          </w:tcPr>
          <w:p w14:paraId="36040506" w14:textId="77777777" w:rsidR="008E7D28" w:rsidRPr="00CB33DF" w:rsidRDefault="008E7D28" w:rsidP="00E265A1">
            <w:pPr>
              <w:spacing w:after="0" w:line="240" w:lineRule="auto"/>
              <w:jc w:val="center"/>
              <w:rPr>
                <w:rFonts w:ascii="Times New Roman" w:eastAsia="Times New Roman" w:hAnsi="Times New Roman" w:cs="Times New Roman"/>
                <w:sz w:val="24"/>
                <w:szCs w:val="24"/>
                <w:lang w:eastAsia="lv-LV"/>
              </w:rPr>
            </w:pPr>
          </w:p>
        </w:tc>
        <w:tc>
          <w:tcPr>
            <w:tcW w:w="850" w:type="pct"/>
            <w:vAlign w:val="center"/>
            <w:hideMark/>
          </w:tcPr>
          <w:p w14:paraId="5341881A" w14:textId="77777777" w:rsidR="008E7D28" w:rsidRPr="00CB33DF" w:rsidRDefault="008E7D28" w:rsidP="00E265A1">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1063" w:type="pct"/>
            <w:vAlign w:val="center"/>
            <w:hideMark/>
          </w:tcPr>
          <w:p w14:paraId="140F3958" w14:textId="77777777" w:rsidR="008E7D28" w:rsidRPr="00CB33DF" w:rsidRDefault="008E7D28" w:rsidP="00E265A1">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r>
      <w:tr w:rsidR="00CB33DF" w:rsidRPr="00CB33DF" w14:paraId="696C1DA9" w14:textId="77777777" w:rsidTr="006201F2">
        <w:trPr>
          <w:tblCellSpacing w:w="15" w:type="dxa"/>
        </w:trPr>
        <w:tc>
          <w:tcPr>
            <w:tcW w:w="288" w:type="pct"/>
            <w:hideMark/>
          </w:tcPr>
          <w:p w14:paraId="527BF9D7" w14:textId="77777777" w:rsidR="008E7D28" w:rsidRPr="00CB33DF" w:rsidRDefault="008E7D28" w:rsidP="008E7D28">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5.3. pašvaldību budžets</w:t>
            </w:r>
          </w:p>
        </w:tc>
        <w:tc>
          <w:tcPr>
            <w:tcW w:w="358" w:type="pct"/>
            <w:vMerge/>
            <w:vAlign w:val="center"/>
            <w:hideMark/>
          </w:tcPr>
          <w:p w14:paraId="792C88E4" w14:textId="77777777" w:rsidR="008E7D28" w:rsidRPr="00CB33DF" w:rsidRDefault="008E7D28" w:rsidP="008E7D28">
            <w:pPr>
              <w:spacing w:after="0" w:line="240" w:lineRule="auto"/>
              <w:rPr>
                <w:rFonts w:ascii="Times New Roman" w:eastAsia="Times New Roman" w:hAnsi="Times New Roman" w:cs="Times New Roman"/>
                <w:sz w:val="24"/>
                <w:szCs w:val="24"/>
                <w:lang w:eastAsia="lv-LV"/>
              </w:rPr>
            </w:pPr>
          </w:p>
        </w:tc>
        <w:tc>
          <w:tcPr>
            <w:tcW w:w="672" w:type="pct"/>
            <w:vAlign w:val="center"/>
            <w:hideMark/>
          </w:tcPr>
          <w:p w14:paraId="3C8C8039" w14:textId="77777777" w:rsidR="008E7D28" w:rsidRPr="00CB33DF" w:rsidRDefault="00FD1BE4" w:rsidP="00E265A1">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406" w:type="pct"/>
            <w:vMerge/>
            <w:vAlign w:val="center"/>
            <w:hideMark/>
          </w:tcPr>
          <w:p w14:paraId="751FEC09" w14:textId="77777777" w:rsidR="008E7D28" w:rsidRPr="00CB33DF" w:rsidRDefault="008E7D28" w:rsidP="00E265A1">
            <w:pPr>
              <w:spacing w:after="0" w:line="240" w:lineRule="auto"/>
              <w:jc w:val="center"/>
              <w:rPr>
                <w:rFonts w:ascii="Times New Roman" w:eastAsia="Times New Roman" w:hAnsi="Times New Roman" w:cs="Times New Roman"/>
                <w:sz w:val="24"/>
                <w:szCs w:val="24"/>
                <w:lang w:eastAsia="lv-LV"/>
              </w:rPr>
            </w:pPr>
          </w:p>
        </w:tc>
        <w:tc>
          <w:tcPr>
            <w:tcW w:w="735" w:type="pct"/>
            <w:vAlign w:val="center"/>
            <w:hideMark/>
          </w:tcPr>
          <w:p w14:paraId="64AF1399" w14:textId="77777777" w:rsidR="008E7D28" w:rsidRPr="00CB33DF" w:rsidRDefault="00FD1BE4" w:rsidP="00E265A1">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479" w:type="pct"/>
            <w:vMerge/>
            <w:vAlign w:val="center"/>
            <w:hideMark/>
          </w:tcPr>
          <w:p w14:paraId="2B8FB803" w14:textId="77777777" w:rsidR="008E7D28" w:rsidRPr="00CB33DF" w:rsidRDefault="008E7D28" w:rsidP="00E265A1">
            <w:pPr>
              <w:spacing w:after="0" w:line="240" w:lineRule="auto"/>
              <w:jc w:val="center"/>
              <w:rPr>
                <w:rFonts w:ascii="Times New Roman" w:eastAsia="Times New Roman" w:hAnsi="Times New Roman" w:cs="Times New Roman"/>
                <w:sz w:val="24"/>
                <w:szCs w:val="24"/>
                <w:lang w:eastAsia="lv-LV"/>
              </w:rPr>
            </w:pPr>
          </w:p>
        </w:tc>
        <w:tc>
          <w:tcPr>
            <w:tcW w:w="850" w:type="pct"/>
            <w:vAlign w:val="center"/>
            <w:hideMark/>
          </w:tcPr>
          <w:p w14:paraId="4393265A" w14:textId="77777777" w:rsidR="008E7D28" w:rsidRPr="00CB33DF" w:rsidRDefault="00FD1BE4" w:rsidP="00E265A1">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c>
          <w:tcPr>
            <w:tcW w:w="1063" w:type="pct"/>
            <w:vAlign w:val="center"/>
            <w:hideMark/>
          </w:tcPr>
          <w:p w14:paraId="7F332DAC" w14:textId="77777777" w:rsidR="008E7D28" w:rsidRPr="00CB33DF" w:rsidRDefault="00FD1BE4" w:rsidP="00E265A1">
            <w:pPr>
              <w:spacing w:after="0" w:line="240" w:lineRule="auto"/>
              <w:jc w:val="center"/>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0</w:t>
            </w:r>
          </w:p>
        </w:tc>
      </w:tr>
      <w:tr w:rsidR="00CB33DF" w:rsidRPr="00CB33DF" w14:paraId="60655BC9" w14:textId="77777777" w:rsidTr="006201F2">
        <w:trPr>
          <w:trHeight w:val="4088"/>
          <w:tblCellSpacing w:w="15" w:type="dxa"/>
        </w:trPr>
        <w:tc>
          <w:tcPr>
            <w:tcW w:w="288" w:type="pct"/>
            <w:hideMark/>
          </w:tcPr>
          <w:p w14:paraId="73BAD819" w14:textId="77777777" w:rsidR="008E7D28" w:rsidRPr="00CB33DF" w:rsidRDefault="008E7D28" w:rsidP="008E7D28">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6. Detalizēts ieņēmumu un izdevumu aprēķins (ja nepieciešams, detalizētu ieņēmumu un izdevumu aprēķinu var piev</w:t>
            </w:r>
            <w:r w:rsidRPr="00CB33DF">
              <w:rPr>
                <w:rFonts w:ascii="Times New Roman" w:eastAsia="Times New Roman" w:hAnsi="Times New Roman" w:cs="Times New Roman"/>
                <w:sz w:val="24"/>
                <w:szCs w:val="24"/>
                <w:lang w:eastAsia="lv-LV"/>
              </w:rPr>
              <w:lastRenderedPageBreak/>
              <w:t>ienot anotācijas pielikumā)</w:t>
            </w:r>
          </w:p>
        </w:tc>
        <w:tc>
          <w:tcPr>
            <w:tcW w:w="4663" w:type="pct"/>
            <w:gridSpan w:val="7"/>
            <w:vMerge w:val="restart"/>
            <w:vAlign w:val="bottom"/>
            <w:hideMark/>
          </w:tcPr>
          <w:p w14:paraId="62013303" w14:textId="2DAA4B94" w:rsidR="00E265A1" w:rsidRPr="00CB33DF" w:rsidRDefault="00E265A1" w:rsidP="00E265A1">
            <w:pPr>
              <w:pStyle w:val="naisf"/>
              <w:spacing w:before="0" w:after="0"/>
              <w:ind w:firstLine="0"/>
              <w:rPr>
                <w:lang w:eastAsia="en-US"/>
              </w:rPr>
            </w:pPr>
            <w:r w:rsidRPr="00CB33DF">
              <w:rPr>
                <w:lang w:eastAsia="en-US"/>
              </w:rPr>
              <w:lastRenderedPageBreak/>
              <w:t xml:space="preserve">Provizorisks aprēķins veikts atbilstoši Finanšu nozares asociācijas sniegtajai informācijai, azartspēļu nozares datu specializētā uzņēmuma H2 </w:t>
            </w:r>
            <w:proofErr w:type="spellStart"/>
            <w:r w:rsidRPr="00CB33DF">
              <w:rPr>
                <w:lang w:eastAsia="en-US"/>
              </w:rPr>
              <w:t>Gambling</w:t>
            </w:r>
            <w:proofErr w:type="spellEnd"/>
            <w:r w:rsidRPr="00CB33DF">
              <w:rPr>
                <w:lang w:eastAsia="en-US"/>
              </w:rPr>
              <w:t xml:space="preserve"> </w:t>
            </w:r>
            <w:proofErr w:type="spellStart"/>
            <w:r w:rsidRPr="00CB33DF">
              <w:rPr>
                <w:lang w:eastAsia="en-US"/>
              </w:rPr>
              <w:t>Capital</w:t>
            </w:r>
            <w:proofErr w:type="spellEnd"/>
            <w:r w:rsidRPr="00CB33DF">
              <w:rPr>
                <w:lang w:eastAsia="en-US"/>
              </w:rPr>
              <w:t xml:space="preserve"> 2018.gada pētījuma rezultātiem un Latvijas Interaktīvo azartspēļu biedrības apkopotajai informācijai. H2 </w:t>
            </w:r>
            <w:proofErr w:type="spellStart"/>
            <w:r w:rsidRPr="00CB33DF">
              <w:rPr>
                <w:lang w:eastAsia="en-US"/>
              </w:rPr>
              <w:t>Gambling</w:t>
            </w:r>
            <w:proofErr w:type="spellEnd"/>
            <w:r w:rsidRPr="00CB33DF">
              <w:rPr>
                <w:lang w:eastAsia="en-US"/>
              </w:rPr>
              <w:t xml:space="preserve"> </w:t>
            </w:r>
            <w:proofErr w:type="spellStart"/>
            <w:r w:rsidRPr="00CB33DF">
              <w:rPr>
                <w:lang w:eastAsia="en-US"/>
              </w:rPr>
              <w:t>Capital</w:t>
            </w:r>
            <w:proofErr w:type="spellEnd"/>
            <w:r w:rsidRPr="00CB33DF">
              <w:rPr>
                <w:lang w:eastAsia="en-US"/>
              </w:rPr>
              <w:t xml:space="preserve"> 2018.gadā veiktajā pētījumā norādīts, ka </w:t>
            </w:r>
            <w:r w:rsidR="00D97D8D" w:rsidRPr="006C3D5A">
              <w:t>Latvijas Republikā</w:t>
            </w:r>
            <w:r w:rsidRPr="00CB33DF">
              <w:rPr>
                <w:lang w:eastAsia="en-US"/>
              </w:rPr>
              <w:t xml:space="preserve"> nelegālā interaktīvo azartspēļu tirgus īpatsvars ir 6. lielākais Eiropā - 66% jeb 22,3 milj. </w:t>
            </w:r>
            <w:r w:rsidRPr="00CB33DF">
              <w:rPr>
                <w:i/>
                <w:iCs/>
                <w:lang w:eastAsia="en-US"/>
              </w:rPr>
              <w:t>euro</w:t>
            </w:r>
            <w:r w:rsidRPr="00CB33DF">
              <w:rPr>
                <w:iCs/>
                <w:lang w:eastAsia="en-US"/>
              </w:rPr>
              <w:t>.</w:t>
            </w:r>
          </w:p>
          <w:p w14:paraId="630EE4B6" w14:textId="48C15B3E" w:rsidR="00E265A1" w:rsidRPr="00CB33DF" w:rsidRDefault="00E265A1" w:rsidP="00E265A1">
            <w:pPr>
              <w:pStyle w:val="naisf"/>
              <w:spacing w:before="0" w:after="0"/>
              <w:ind w:firstLine="0"/>
              <w:rPr>
                <w:lang w:eastAsia="en-US"/>
              </w:rPr>
            </w:pPr>
            <w:r w:rsidRPr="00CB33DF">
              <w:rPr>
                <w:lang w:eastAsia="en-US"/>
              </w:rPr>
              <w:t>Faktiski nelegālo interaktīvo azartspēļu ieņēmumi veidojas no fizisku personu – spēlētāju iemaksām. Interaktīvajā vidē maksājumi tiek veikti</w:t>
            </w:r>
            <w:r w:rsidR="00C62503" w:rsidRPr="00CB33DF">
              <w:rPr>
                <w:lang w:eastAsia="en-US"/>
              </w:rPr>
              <w:t>,</w:t>
            </w:r>
            <w:r w:rsidRPr="00CB33DF">
              <w:rPr>
                <w:lang w:eastAsia="en-US"/>
              </w:rPr>
              <w:t xml:space="preserve"> izmantojot kredītiestāžu kontus, citus </w:t>
            </w:r>
            <w:r w:rsidR="00D97D8D" w:rsidRPr="006C3D5A">
              <w:t>Latvijas Republikā</w:t>
            </w:r>
            <w:r w:rsidRPr="00CB33DF">
              <w:rPr>
                <w:lang w:eastAsia="en-US"/>
              </w:rPr>
              <w:t xml:space="preserve"> pieejamos maksājumu pakalpojumu sniedzējus, kā arī </w:t>
            </w:r>
            <w:r w:rsidR="00224793" w:rsidRPr="00CB33DF">
              <w:rPr>
                <w:lang w:eastAsia="en-US"/>
              </w:rPr>
              <w:t>“</w:t>
            </w:r>
            <w:r w:rsidRPr="00CB33DF">
              <w:rPr>
                <w:lang w:eastAsia="en-US"/>
              </w:rPr>
              <w:t>elektroniskos makus</w:t>
            </w:r>
            <w:r w:rsidR="00224793" w:rsidRPr="00CB33DF">
              <w:rPr>
                <w:lang w:eastAsia="en-US"/>
              </w:rPr>
              <w:t>”</w:t>
            </w:r>
            <w:r w:rsidRPr="00CB33DF">
              <w:rPr>
                <w:lang w:eastAsia="en-US"/>
              </w:rPr>
              <w:t>. Pēc Finanšu nozares asociācijas aplēsēm, analizējot darījumu apjomu pēc uz interaktīvajām azartspēlēm attiecināmo darījuma koda</w:t>
            </w:r>
            <w:r w:rsidR="00C62503" w:rsidRPr="00CB33DF">
              <w:rPr>
                <w:lang w:eastAsia="en-US"/>
              </w:rPr>
              <w:t>,</w:t>
            </w:r>
            <w:r w:rsidRPr="00CB33DF">
              <w:rPr>
                <w:lang w:eastAsia="en-US"/>
              </w:rPr>
              <w:t xml:space="preserve"> uz ES un treš</w:t>
            </w:r>
            <w:r w:rsidR="00A934B0" w:rsidRPr="00CB33DF">
              <w:rPr>
                <w:lang w:eastAsia="en-US"/>
              </w:rPr>
              <w:t>ajā</w:t>
            </w:r>
            <w:r w:rsidR="00C62503" w:rsidRPr="00CB33DF">
              <w:rPr>
                <w:lang w:eastAsia="en-US"/>
              </w:rPr>
              <w:t>m</w:t>
            </w:r>
            <w:r w:rsidRPr="00CB33DF">
              <w:rPr>
                <w:lang w:eastAsia="en-US"/>
              </w:rPr>
              <w:t xml:space="preserve"> valstīm caur kredītiestādēm </w:t>
            </w:r>
            <w:r w:rsidR="00D97D8D" w:rsidRPr="006C3D5A">
              <w:t>Latvijas Republikā</w:t>
            </w:r>
            <w:r w:rsidRPr="00CB33DF">
              <w:rPr>
                <w:lang w:eastAsia="en-US"/>
              </w:rPr>
              <w:t xml:space="preserve"> tiek veikti darījumi vismaz 11 milj. </w:t>
            </w:r>
            <w:r w:rsidRPr="00CB33DF">
              <w:rPr>
                <w:i/>
                <w:iCs/>
                <w:lang w:eastAsia="en-US"/>
              </w:rPr>
              <w:t xml:space="preserve">euro </w:t>
            </w:r>
            <w:r w:rsidRPr="00CB33DF">
              <w:rPr>
                <w:lang w:eastAsia="en-US"/>
              </w:rPr>
              <w:t xml:space="preserve">gadā. Savukārt Latvijas Interaktīvo azartspēļu biedrības </w:t>
            </w:r>
            <w:r w:rsidR="00424454">
              <w:rPr>
                <w:lang w:eastAsia="en-US"/>
              </w:rPr>
              <w:t>sniegt</w:t>
            </w:r>
            <w:r w:rsidR="00424454" w:rsidRPr="00CB33DF">
              <w:rPr>
                <w:lang w:eastAsia="en-US"/>
              </w:rPr>
              <w:t xml:space="preserve">ā </w:t>
            </w:r>
            <w:r w:rsidRPr="00CB33DF">
              <w:rPr>
                <w:lang w:eastAsia="en-US"/>
              </w:rPr>
              <w:t xml:space="preserve">informācija liecina, ka liela finanšu līdzekļu plūsma uz </w:t>
            </w:r>
            <w:r w:rsidR="00D97D8D" w:rsidRPr="006C3D5A">
              <w:t>Latvijas Republikā</w:t>
            </w:r>
            <w:r w:rsidRPr="00CB33DF">
              <w:rPr>
                <w:lang w:eastAsia="en-US"/>
              </w:rPr>
              <w:t xml:space="preserve"> </w:t>
            </w:r>
            <w:r w:rsidR="00C62503" w:rsidRPr="00CB33DF">
              <w:rPr>
                <w:lang w:eastAsia="en-US"/>
              </w:rPr>
              <w:t>nelicencēto</w:t>
            </w:r>
            <w:r w:rsidRPr="00CB33DF">
              <w:rPr>
                <w:lang w:eastAsia="en-US"/>
              </w:rPr>
              <w:t xml:space="preserve"> interaktīvo azartspēļu vietnēm ir izmantojot </w:t>
            </w:r>
            <w:r w:rsidR="00224793" w:rsidRPr="00CB33DF">
              <w:rPr>
                <w:lang w:eastAsia="en-US"/>
              </w:rPr>
              <w:t>“</w:t>
            </w:r>
            <w:r w:rsidRPr="00CB33DF">
              <w:rPr>
                <w:lang w:eastAsia="en-US"/>
              </w:rPr>
              <w:t>elektroniskos makus</w:t>
            </w:r>
            <w:r w:rsidR="00224793" w:rsidRPr="00CB33DF">
              <w:rPr>
                <w:lang w:eastAsia="en-US"/>
              </w:rPr>
              <w:t>”</w:t>
            </w:r>
            <w:r w:rsidRPr="00CB33DF">
              <w:rPr>
                <w:lang w:eastAsia="en-US"/>
              </w:rPr>
              <w:t xml:space="preserve"> un caur vienu šādu </w:t>
            </w:r>
            <w:r w:rsidR="00224793" w:rsidRPr="00CB33DF">
              <w:rPr>
                <w:lang w:eastAsia="en-US"/>
              </w:rPr>
              <w:t>“</w:t>
            </w:r>
            <w:r w:rsidRPr="00CB33DF">
              <w:rPr>
                <w:lang w:eastAsia="en-US"/>
              </w:rPr>
              <w:t>elektronisko maku</w:t>
            </w:r>
            <w:r w:rsidR="00224793" w:rsidRPr="00CB33DF">
              <w:rPr>
                <w:lang w:eastAsia="en-US"/>
              </w:rPr>
              <w:t>”</w:t>
            </w:r>
            <w:r w:rsidRPr="00CB33DF">
              <w:rPr>
                <w:lang w:eastAsia="en-US"/>
              </w:rPr>
              <w:t xml:space="preserve"> mēnesī tas ir apmēram 1 milj. </w:t>
            </w:r>
            <w:r w:rsidRPr="00CB33DF">
              <w:rPr>
                <w:i/>
                <w:iCs/>
                <w:lang w:eastAsia="en-US"/>
              </w:rPr>
              <w:t>euro</w:t>
            </w:r>
            <w:r w:rsidRPr="00CB33DF">
              <w:rPr>
                <w:lang w:eastAsia="en-US"/>
              </w:rPr>
              <w:t xml:space="preserve">, t.i., gadā 12 milj. </w:t>
            </w:r>
            <w:r w:rsidRPr="00CB33DF">
              <w:rPr>
                <w:i/>
                <w:iCs/>
                <w:lang w:eastAsia="en-US"/>
              </w:rPr>
              <w:t>euro</w:t>
            </w:r>
            <w:r w:rsidRPr="00CB33DF">
              <w:rPr>
                <w:lang w:eastAsia="en-US"/>
              </w:rPr>
              <w:t>.</w:t>
            </w:r>
            <w:r w:rsidRPr="00CB33DF">
              <w:rPr>
                <w:i/>
                <w:iCs/>
                <w:lang w:eastAsia="en-US"/>
              </w:rPr>
              <w:t xml:space="preserve"> </w:t>
            </w:r>
            <w:r w:rsidRPr="00CB33DF">
              <w:rPr>
                <w:lang w:eastAsia="en-US"/>
              </w:rPr>
              <w:t xml:space="preserve">Tie ir </w:t>
            </w:r>
            <w:r w:rsidR="00D97D8D" w:rsidRPr="006C3D5A">
              <w:t>Latvijas Republikā</w:t>
            </w:r>
            <w:r w:rsidRPr="00CB33DF">
              <w:rPr>
                <w:lang w:eastAsia="en-US"/>
              </w:rPr>
              <w:t xml:space="preserve"> veikti maksājumi uz </w:t>
            </w:r>
            <w:r w:rsidR="00D97D8D" w:rsidRPr="006C3D5A">
              <w:t>Latvijas Republikā</w:t>
            </w:r>
            <w:r w:rsidRPr="00CB33DF">
              <w:rPr>
                <w:lang w:eastAsia="en-US"/>
              </w:rPr>
              <w:t xml:space="preserve"> nelicencētiem azartspēļu organizatoru kontiem (ārvalstu komersantiem).</w:t>
            </w:r>
          </w:p>
          <w:p w14:paraId="4D69062A" w14:textId="543A6994" w:rsidR="00E265A1" w:rsidRPr="00534E19" w:rsidRDefault="00E265A1" w:rsidP="00E265A1">
            <w:pPr>
              <w:pStyle w:val="naisf"/>
              <w:spacing w:before="0" w:after="0"/>
              <w:ind w:firstLine="0"/>
              <w:rPr>
                <w:lang w:eastAsia="en-US"/>
              </w:rPr>
            </w:pPr>
            <w:r w:rsidRPr="00CB33DF">
              <w:rPr>
                <w:lang w:eastAsia="en-US"/>
              </w:rPr>
              <w:t xml:space="preserve">Aprēķins pamatojas uz </w:t>
            </w:r>
            <w:r w:rsidR="00424454">
              <w:rPr>
                <w:lang w:eastAsia="en-US"/>
              </w:rPr>
              <w:t>konservatīvu</w:t>
            </w:r>
            <w:r w:rsidRPr="00CB33DF">
              <w:rPr>
                <w:lang w:eastAsia="en-US"/>
              </w:rPr>
              <w:t xml:space="preserve">  pieņēmumu, izmantojot nozares sniegto informāciju par maksājumiem kredītiestādēs, t.i., </w:t>
            </w:r>
            <w:r w:rsidRPr="00CB33DF">
              <w:rPr>
                <w:b/>
                <w:bCs/>
                <w:lang w:eastAsia="en-US"/>
              </w:rPr>
              <w:t xml:space="preserve">11 milj. </w:t>
            </w:r>
            <w:r w:rsidRPr="00CB33DF">
              <w:rPr>
                <w:b/>
                <w:bCs/>
                <w:i/>
                <w:iCs/>
                <w:lang w:eastAsia="en-US"/>
              </w:rPr>
              <w:t>euro</w:t>
            </w:r>
            <w:r w:rsidRPr="00CB33DF">
              <w:rPr>
                <w:lang w:eastAsia="en-US"/>
              </w:rPr>
              <w:t xml:space="preserve">, un 5 lielākos </w:t>
            </w:r>
            <w:r w:rsidR="00224793" w:rsidRPr="00CB33DF">
              <w:rPr>
                <w:lang w:eastAsia="en-US"/>
              </w:rPr>
              <w:t>“</w:t>
            </w:r>
            <w:r w:rsidRPr="00CB33DF">
              <w:rPr>
                <w:lang w:eastAsia="en-US"/>
              </w:rPr>
              <w:t>elektroniskos makus</w:t>
            </w:r>
            <w:r w:rsidR="00224793" w:rsidRPr="00CB33DF">
              <w:rPr>
                <w:lang w:eastAsia="en-US"/>
              </w:rPr>
              <w:t>”</w:t>
            </w:r>
            <w:r w:rsidRPr="00CB33DF">
              <w:rPr>
                <w:lang w:eastAsia="en-US"/>
              </w:rPr>
              <w:t xml:space="preserve">, par kuriem ir saņemta informācija no nozares, t.i., 5 x 12 milj. </w:t>
            </w:r>
            <w:r w:rsidRPr="00CB33DF">
              <w:rPr>
                <w:i/>
                <w:iCs/>
                <w:lang w:eastAsia="en-US"/>
              </w:rPr>
              <w:t xml:space="preserve">euro </w:t>
            </w:r>
            <w:r w:rsidRPr="00CB33DF">
              <w:rPr>
                <w:lang w:eastAsia="en-US"/>
              </w:rPr>
              <w:t xml:space="preserve">= </w:t>
            </w:r>
            <w:r w:rsidRPr="00CB33DF">
              <w:rPr>
                <w:b/>
                <w:bCs/>
                <w:lang w:eastAsia="en-US"/>
              </w:rPr>
              <w:t xml:space="preserve">60 milj. </w:t>
            </w:r>
            <w:r w:rsidRPr="00CB33DF">
              <w:rPr>
                <w:b/>
                <w:bCs/>
                <w:i/>
                <w:iCs/>
                <w:lang w:eastAsia="en-US"/>
              </w:rPr>
              <w:t>euro</w:t>
            </w:r>
            <w:r w:rsidRPr="00CB33DF">
              <w:rPr>
                <w:b/>
                <w:bCs/>
                <w:lang w:eastAsia="en-US"/>
              </w:rPr>
              <w:t>.</w:t>
            </w:r>
            <w:r w:rsidR="00534E19">
              <w:rPr>
                <w:bCs/>
                <w:lang w:eastAsia="en-US"/>
              </w:rPr>
              <w:t xml:space="preserve"> Aprēķinā izmantota nodokļu aprēķināšanas metodoloģija kāda tā būtu, veicot aprēķinus par legāli gūtajiem ienākumiem</w:t>
            </w:r>
            <w:r w:rsidR="00887F3A">
              <w:rPr>
                <w:bCs/>
                <w:lang w:eastAsia="en-US"/>
              </w:rPr>
              <w:t>, ja persona tiktu reģistrēta kā nodokļu maksātājs,</w:t>
            </w:r>
            <w:r w:rsidR="00534E19">
              <w:rPr>
                <w:bCs/>
                <w:lang w:eastAsia="en-US"/>
              </w:rPr>
              <w:t xml:space="preserve"> atbilstoši nodokļus reglamentējošiem normatīviem aktiem.</w:t>
            </w:r>
          </w:p>
          <w:p w14:paraId="511E5040" w14:textId="77777777" w:rsidR="00E265A1" w:rsidRPr="00CB33DF" w:rsidRDefault="00E265A1" w:rsidP="00E265A1">
            <w:pPr>
              <w:pStyle w:val="naisf"/>
              <w:spacing w:before="0" w:after="0"/>
              <w:ind w:firstLine="0"/>
              <w:rPr>
                <w:lang w:eastAsia="en-US"/>
              </w:rPr>
            </w:pPr>
            <w:r w:rsidRPr="00CB33DF">
              <w:rPr>
                <w:lang w:eastAsia="en-US"/>
              </w:rPr>
              <w:t>Pēc Latvijas Interaktīvo azartspēļu biedrības aplēsēm</w:t>
            </w:r>
            <w:r w:rsidR="00424454">
              <w:rPr>
                <w:lang w:eastAsia="en-US"/>
              </w:rPr>
              <w:t>,</w:t>
            </w:r>
            <w:r w:rsidRPr="00CB33DF">
              <w:rPr>
                <w:lang w:eastAsia="en-US"/>
              </w:rPr>
              <w:t xml:space="preserve"> iespējamais spēlētāju laimests ir 60% no spēlētāju veiktajiem maksājumiem, t.i., tie ir spēlētāju laimesti, kuri nav deklarēti un netiek aplikti ar iedzīvotāju ienākuma nodokli atbilstoši likuma “Par iedzīvotāju ienākuma nodokli” 15.panta 24.</w:t>
            </w:r>
            <w:r w:rsidR="00224793" w:rsidRPr="00CB33DF">
              <w:rPr>
                <w:lang w:eastAsia="en-US"/>
              </w:rPr>
              <w:t>daļā</w:t>
            </w:r>
            <w:r w:rsidRPr="00CB33DF">
              <w:rPr>
                <w:lang w:eastAsia="en-US"/>
              </w:rPr>
              <w:t xml:space="preserve"> noteiktajam, ka </w:t>
            </w:r>
            <w:r w:rsidRPr="00CB33DF">
              <w:rPr>
                <w:shd w:val="clear" w:color="auto" w:fill="FFFFFF"/>
                <w:lang w:eastAsia="en-US"/>
              </w:rPr>
              <w:t>izložu vai azartspēļu laimests, kas pārsniedz 3</w:t>
            </w:r>
            <w:r w:rsidR="003A2E76" w:rsidRPr="00CB33DF">
              <w:rPr>
                <w:shd w:val="clear" w:color="auto" w:fill="FFFFFF"/>
                <w:lang w:eastAsia="en-US"/>
              </w:rPr>
              <w:t xml:space="preserve"> </w:t>
            </w:r>
            <w:r w:rsidRPr="00CB33DF">
              <w:rPr>
                <w:shd w:val="clear" w:color="auto" w:fill="FFFFFF"/>
                <w:lang w:eastAsia="en-US"/>
              </w:rPr>
              <w:t>000</w:t>
            </w:r>
            <w:r w:rsidR="003A2E76" w:rsidRPr="00CB33DF">
              <w:rPr>
                <w:shd w:val="clear" w:color="auto" w:fill="FFFFFF"/>
                <w:lang w:eastAsia="en-US"/>
              </w:rPr>
              <w:t xml:space="preserve"> </w:t>
            </w:r>
            <w:r w:rsidRPr="00CB33DF">
              <w:rPr>
                <w:i/>
                <w:iCs/>
                <w:shd w:val="clear" w:color="auto" w:fill="FFFFFF"/>
                <w:lang w:eastAsia="en-US"/>
              </w:rPr>
              <w:t>euro</w:t>
            </w:r>
            <w:r w:rsidRPr="00CB33DF">
              <w:rPr>
                <w:shd w:val="clear" w:color="auto" w:fill="FFFFFF"/>
                <w:lang w:eastAsia="en-US"/>
              </w:rPr>
              <w:t>, un tas izmaksāts vienā reizē vai summējot visā azartspēles organizēšanas vietas apmeklējuma laikā, izložu vai azartspēļu laimesta daļai, kas pārsniedz 3</w:t>
            </w:r>
            <w:r w:rsidR="003A2E76" w:rsidRPr="00CB33DF">
              <w:rPr>
                <w:shd w:val="clear" w:color="auto" w:fill="FFFFFF"/>
                <w:lang w:eastAsia="en-US"/>
              </w:rPr>
              <w:t xml:space="preserve"> </w:t>
            </w:r>
            <w:r w:rsidRPr="00CB33DF">
              <w:rPr>
                <w:shd w:val="clear" w:color="auto" w:fill="FFFFFF"/>
                <w:lang w:eastAsia="en-US"/>
              </w:rPr>
              <w:t>000</w:t>
            </w:r>
            <w:r w:rsidR="003A2E76" w:rsidRPr="00CB33DF">
              <w:rPr>
                <w:shd w:val="clear" w:color="auto" w:fill="FFFFFF"/>
                <w:lang w:eastAsia="en-US"/>
              </w:rPr>
              <w:t xml:space="preserve"> </w:t>
            </w:r>
            <w:r w:rsidRPr="00CB33DF">
              <w:rPr>
                <w:i/>
                <w:iCs/>
                <w:shd w:val="clear" w:color="auto" w:fill="FFFFFF"/>
                <w:lang w:eastAsia="en-US"/>
              </w:rPr>
              <w:t>euro</w:t>
            </w:r>
            <w:r w:rsidRPr="00CB33DF">
              <w:rPr>
                <w:shd w:val="clear" w:color="auto" w:fill="FFFFFF"/>
                <w:lang w:eastAsia="en-US"/>
              </w:rPr>
              <w:t xml:space="preserve">, bet nepārsniedz </w:t>
            </w:r>
            <w:r w:rsidR="008E61F2" w:rsidRPr="00CB33DF">
              <w:rPr>
                <w:shd w:val="clear" w:color="auto" w:fill="FFFFFF"/>
                <w:lang w:eastAsia="en-US"/>
              </w:rPr>
              <w:t>62 800</w:t>
            </w:r>
            <w:r w:rsidRPr="00CB33DF">
              <w:rPr>
                <w:shd w:val="clear" w:color="auto" w:fill="FFFFFF"/>
                <w:lang w:eastAsia="en-US"/>
              </w:rPr>
              <w:t xml:space="preserve"> </w:t>
            </w:r>
            <w:r w:rsidRPr="00CB33DF">
              <w:rPr>
                <w:i/>
                <w:iCs/>
                <w:shd w:val="clear" w:color="auto" w:fill="FFFFFF"/>
                <w:lang w:eastAsia="en-US"/>
              </w:rPr>
              <w:t>euro</w:t>
            </w:r>
            <w:r w:rsidRPr="00CB33DF">
              <w:rPr>
                <w:shd w:val="clear" w:color="auto" w:fill="FFFFFF"/>
                <w:lang w:eastAsia="en-US"/>
              </w:rPr>
              <w:t xml:space="preserve"> taksācijas gada laikā piemēro </w:t>
            </w:r>
            <w:r w:rsidRPr="00CB33DF">
              <w:rPr>
                <w:shd w:val="clear" w:color="auto" w:fill="FFFFFF"/>
                <w:lang w:eastAsia="en-US"/>
              </w:rPr>
              <w:lastRenderedPageBreak/>
              <w:t xml:space="preserve">nodokļa likmi 23 % apmērā, bet izložu vai azartspēļu laimesta daļai, kas pārsniedz </w:t>
            </w:r>
            <w:r w:rsidR="003A2E76" w:rsidRPr="00CB33DF">
              <w:rPr>
                <w:shd w:val="clear" w:color="auto" w:fill="FFFFFF"/>
                <w:lang w:eastAsia="en-US"/>
              </w:rPr>
              <w:t xml:space="preserve">          </w:t>
            </w:r>
            <w:r w:rsidR="008E61F2" w:rsidRPr="00CB33DF">
              <w:rPr>
                <w:shd w:val="clear" w:color="auto" w:fill="FFFFFF"/>
                <w:lang w:eastAsia="en-US"/>
              </w:rPr>
              <w:t>62 800</w:t>
            </w:r>
            <w:r w:rsidRPr="00CB33DF">
              <w:rPr>
                <w:shd w:val="clear" w:color="auto" w:fill="FFFFFF"/>
                <w:lang w:eastAsia="en-US"/>
              </w:rPr>
              <w:t xml:space="preserve"> </w:t>
            </w:r>
            <w:r w:rsidRPr="00CB33DF">
              <w:rPr>
                <w:i/>
                <w:iCs/>
                <w:shd w:val="clear" w:color="auto" w:fill="FFFFFF"/>
                <w:lang w:eastAsia="en-US"/>
              </w:rPr>
              <w:t>euro</w:t>
            </w:r>
            <w:r w:rsidRPr="00CB33DF">
              <w:rPr>
                <w:shd w:val="clear" w:color="auto" w:fill="FFFFFF"/>
                <w:lang w:eastAsia="en-US"/>
              </w:rPr>
              <w:t xml:space="preserve"> piemēro nodokļa likmi 31,4 % apmērā</w:t>
            </w:r>
            <w:r w:rsidRPr="00CB33DF">
              <w:rPr>
                <w:lang w:eastAsia="en-US"/>
              </w:rPr>
              <w:t xml:space="preserve">. </w:t>
            </w:r>
          </w:p>
          <w:p w14:paraId="12F97CAC" w14:textId="77777777" w:rsidR="00E265A1" w:rsidRPr="00CB33DF" w:rsidRDefault="00E265A1" w:rsidP="00E265A1">
            <w:pPr>
              <w:pStyle w:val="naisf"/>
              <w:spacing w:before="0" w:after="0"/>
              <w:ind w:firstLine="0"/>
              <w:rPr>
                <w:i/>
                <w:lang w:eastAsia="en-US"/>
              </w:rPr>
            </w:pPr>
            <w:r w:rsidRPr="00CB33DF">
              <w:rPr>
                <w:i/>
                <w:lang w:eastAsia="en-US"/>
              </w:rPr>
              <w:t>Fiziskajai personai, kas darbojas nelicencētajās interaktīvajās azartspēlēs, papildu nosakāmie maksājumi</w:t>
            </w:r>
          </w:p>
          <w:p w14:paraId="083088A9" w14:textId="77777777" w:rsidR="00E265A1" w:rsidRPr="00CB33DF" w:rsidRDefault="00E265A1" w:rsidP="00E265A1">
            <w:pPr>
              <w:pStyle w:val="naisf"/>
              <w:spacing w:before="0" w:after="0"/>
              <w:ind w:firstLine="0"/>
              <w:rPr>
                <w:b/>
                <w:lang w:eastAsia="en-US"/>
              </w:rPr>
            </w:pPr>
            <w:r w:rsidRPr="00CB33DF">
              <w:rPr>
                <w:lang w:eastAsia="en-US"/>
              </w:rPr>
              <w:t>(</w:t>
            </w:r>
            <w:r w:rsidRPr="00CB33DF">
              <w:rPr>
                <w:b/>
                <w:bCs/>
                <w:lang w:eastAsia="en-US"/>
              </w:rPr>
              <w:t xml:space="preserve">11milj. </w:t>
            </w:r>
            <w:r w:rsidRPr="00CB33DF">
              <w:rPr>
                <w:b/>
                <w:bCs/>
                <w:i/>
                <w:iCs/>
                <w:lang w:eastAsia="en-US"/>
              </w:rPr>
              <w:t xml:space="preserve">euro </w:t>
            </w:r>
            <w:r w:rsidRPr="00CB33DF">
              <w:rPr>
                <w:b/>
                <w:bCs/>
                <w:lang w:eastAsia="en-US"/>
              </w:rPr>
              <w:t xml:space="preserve">+ 60 milj. </w:t>
            </w:r>
            <w:r w:rsidRPr="00CB33DF">
              <w:rPr>
                <w:b/>
                <w:bCs/>
                <w:i/>
                <w:iCs/>
                <w:lang w:eastAsia="en-US"/>
              </w:rPr>
              <w:t>euro</w:t>
            </w:r>
            <w:r w:rsidRPr="00CB33DF">
              <w:rPr>
                <w:b/>
                <w:bCs/>
                <w:lang w:eastAsia="en-US"/>
              </w:rPr>
              <w:t xml:space="preserve">) x 0,60 = 42,6 milj. </w:t>
            </w:r>
            <w:r w:rsidRPr="00CB33DF">
              <w:rPr>
                <w:b/>
                <w:bCs/>
                <w:i/>
                <w:iCs/>
                <w:lang w:eastAsia="en-US"/>
              </w:rPr>
              <w:t>euro</w:t>
            </w:r>
            <w:r w:rsidRPr="00CB33DF">
              <w:rPr>
                <w:b/>
                <w:bCs/>
                <w:lang w:eastAsia="en-US"/>
              </w:rPr>
              <w:t xml:space="preserve"> –  maksājumu summa, kas tiek ieskaitīta fizisko personu kontos. </w:t>
            </w:r>
          </w:p>
          <w:p w14:paraId="48F77B62" w14:textId="77777777" w:rsidR="00E265A1" w:rsidRPr="00CB33DF" w:rsidRDefault="00E265A1" w:rsidP="00E265A1">
            <w:pPr>
              <w:pStyle w:val="naisf"/>
              <w:spacing w:before="0" w:after="0"/>
              <w:ind w:firstLine="0"/>
              <w:rPr>
                <w:lang w:eastAsia="en-US"/>
              </w:rPr>
            </w:pPr>
            <w:r w:rsidRPr="00CB33DF">
              <w:rPr>
                <w:lang w:eastAsia="en-US"/>
              </w:rPr>
              <w:t>Aprēķinam nav ņemt</w:t>
            </w:r>
            <w:r w:rsidR="008E61F2" w:rsidRPr="00CB33DF">
              <w:rPr>
                <w:lang w:eastAsia="en-US"/>
              </w:rPr>
              <w:t>a</w:t>
            </w:r>
            <w:r w:rsidRPr="00CB33DF">
              <w:rPr>
                <w:lang w:eastAsia="en-US"/>
              </w:rPr>
              <w:t xml:space="preserve"> vērā (atskaitīta) laimestu summa, kas nav apliekama, tāpat, kā laimesti, kuri ir apliekami ar 31,4 % likmi, bet izmantota  vidējā laimesta nodokļa (iedzīvotāju ienākuma nodokļa) 23% likme.</w:t>
            </w:r>
          </w:p>
          <w:p w14:paraId="59453D16" w14:textId="77777777" w:rsidR="00E265A1" w:rsidRPr="00CB33DF" w:rsidRDefault="00E265A1" w:rsidP="00E265A1">
            <w:pPr>
              <w:pStyle w:val="naisf"/>
              <w:spacing w:before="0" w:after="0"/>
              <w:ind w:firstLine="0"/>
              <w:rPr>
                <w:lang w:eastAsia="en-US"/>
              </w:rPr>
            </w:pPr>
            <w:r w:rsidRPr="00CB33DF">
              <w:rPr>
                <w:b/>
                <w:bCs/>
                <w:lang w:eastAsia="en-US"/>
              </w:rPr>
              <w:t xml:space="preserve">42,6 milj. </w:t>
            </w:r>
            <w:r w:rsidRPr="00CB33DF">
              <w:rPr>
                <w:b/>
                <w:bCs/>
                <w:i/>
                <w:iCs/>
                <w:lang w:eastAsia="en-US"/>
              </w:rPr>
              <w:t>euro</w:t>
            </w:r>
            <w:r w:rsidRPr="00CB33DF">
              <w:rPr>
                <w:b/>
                <w:bCs/>
                <w:lang w:eastAsia="en-US"/>
              </w:rPr>
              <w:t xml:space="preserve"> x 0,23 = 9,8 milj. </w:t>
            </w:r>
            <w:r w:rsidRPr="00CB33DF">
              <w:rPr>
                <w:b/>
                <w:bCs/>
                <w:i/>
                <w:iCs/>
                <w:lang w:eastAsia="en-US"/>
              </w:rPr>
              <w:t>euro</w:t>
            </w:r>
            <w:r w:rsidRPr="00CB33DF">
              <w:rPr>
                <w:b/>
                <w:bCs/>
                <w:lang w:eastAsia="en-US"/>
              </w:rPr>
              <w:t>. – iedzīvotāju ienākuma nodokļa summa par izmaksātājiem laimestiem nelicencētajā interaktīvajā vidē, kas nav deklarēta.</w:t>
            </w:r>
            <w:r w:rsidRPr="00CB33DF">
              <w:rPr>
                <w:lang w:eastAsia="en-US"/>
              </w:rPr>
              <w:t xml:space="preserve"> </w:t>
            </w:r>
          </w:p>
          <w:p w14:paraId="504550B4" w14:textId="3CD62BA5" w:rsidR="00E265A1" w:rsidRPr="00CB33DF" w:rsidRDefault="00E265A1" w:rsidP="00E265A1">
            <w:pPr>
              <w:pStyle w:val="naisf"/>
              <w:spacing w:before="0" w:after="0"/>
              <w:ind w:firstLine="0"/>
              <w:rPr>
                <w:lang w:eastAsia="en-US"/>
              </w:rPr>
            </w:pPr>
            <w:r w:rsidRPr="00CB33DF">
              <w:rPr>
                <w:lang w:eastAsia="en-US"/>
              </w:rPr>
              <w:t xml:space="preserve">Saskaņā ar likuma “Par nodokļiem un nodevām” 32.panta “Atbildība par budžetā iemaksājamā nodokļa apmēra samazināšanu vai no budžeta atmaksājamā nodokļa apmēra nepamatotu palielināšanu” piekto daļu, kas nosaka, ka par konstatēto nodokļu pārkāpumu, ja budžetā iemaksājamā nodokļu samazinājums pārsniedz 15% no deklarējamās summas, soda naudu uzliek 30% apmērā no nedeklarētās budžetā iemaksājamā nodokļa apmēru. Ņemot vērā, ka fiziskas personas gūtais ienākums ir no </w:t>
            </w:r>
            <w:r w:rsidR="00D97D8D" w:rsidRPr="006C3D5A">
              <w:t>Latvijas Republikā</w:t>
            </w:r>
            <w:r w:rsidRPr="00CB33DF">
              <w:rPr>
                <w:lang w:eastAsia="en-US"/>
              </w:rPr>
              <w:t xml:space="preserve"> </w:t>
            </w:r>
            <w:r w:rsidR="00424454">
              <w:rPr>
                <w:lang w:eastAsia="en-US"/>
              </w:rPr>
              <w:t>nelicencētās</w:t>
            </w:r>
            <w:r w:rsidRPr="00CB33DF">
              <w:rPr>
                <w:lang w:eastAsia="en-US"/>
              </w:rPr>
              <w:t>, t.i., nereģistrētas saimnieciskās darbības, tad ir piemērojam</w:t>
            </w:r>
            <w:r w:rsidR="008E61F2" w:rsidRPr="00CB33DF">
              <w:rPr>
                <w:lang w:eastAsia="en-US"/>
              </w:rPr>
              <w:t>s</w:t>
            </w:r>
            <w:r w:rsidRPr="00CB33DF">
              <w:rPr>
                <w:lang w:eastAsia="en-US"/>
              </w:rPr>
              <w:t xml:space="preserve"> iepriekš minētais soda naudas apmērs.</w:t>
            </w:r>
          </w:p>
          <w:p w14:paraId="0E35EFD2" w14:textId="77777777" w:rsidR="00E265A1" w:rsidRPr="00CB33DF" w:rsidRDefault="00E265A1" w:rsidP="00E265A1">
            <w:pPr>
              <w:pStyle w:val="naisf"/>
              <w:spacing w:before="0" w:after="0"/>
              <w:ind w:firstLine="0"/>
              <w:rPr>
                <w:b/>
                <w:bCs/>
                <w:lang w:eastAsia="en-US"/>
              </w:rPr>
            </w:pPr>
            <w:r w:rsidRPr="00CB33DF">
              <w:rPr>
                <w:b/>
                <w:bCs/>
                <w:lang w:eastAsia="en-US"/>
              </w:rPr>
              <w:t xml:space="preserve">9,8 milj. </w:t>
            </w:r>
            <w:r w:rsidRPr="00CB33DF">
              <w:rPr>
                <w:b/>
                <w:bCs/>
                <w:i/>
                <w:iCs/>
                <w:lang w:eastAsia="en-US"/>
              </w:rPr>
              <w:t xml:space="preserve">euro </w:t>
            </w:r>
            <w:r w:rsidRPr="00CB33DF">
              <w:rPr>
                <w:b/>
                <w:bCs/>
                <w:lang w:eastAsia="en-US"/>
              </w:rPr>
              <w:t xml:space="preserve">x 0,30 = 2,94 milj. </w:t>
            </w:r>
            <w:r w:rsidRPr="00CB33DF">
              <w:rPr>
                <w:b/>
                <w:bCs/>
                <w:i/>
                <w:iCs/>
                <w:lang w:eastAsia="en-US"/>
              </w:rPr>
              <w:t>euro</w:t>
            </w:r>
            <w:r w:rsidRPr="00CB33DF">
              <w:rPr>
                <w:b/>
                <w:bCs/>
                <w:lang w:eastAsia="en-US"/>
              </w:rPr>
              <w:t xml:space="preserve"> – soda naudas summa, kas būtu piemērojama nedeklarētiem ar iedzīvotāju ienākuma nodokli (laimesta nodokli) apliekamiem ienākumiem.</w:t>
            </w:r>
          </w:p>
          <w:p w14:paraId="463E0A61" w14:textId="347B9362" w:rsidR="00E265A1" w:rsidRPr="00CB33DF" w:rsidRDefault="00E265A1" w:rsidP="00E265A1">
            <w:pPr>
              <w:pStyle w:val="naisf"/>
              <w:spacing w:before="0" w:after="0"/>
              <w:ind w:firstLine="0"/>
              <w:rPr>
                <w:lang w:eastAsia="en-US"/>
              </w:rPr>
            </w:pPr>
            <w:r w:rsidRPr="00CB33DF">
              <w:rPr>
                <w:lang w:eastAsia="en-US"/>
              </w:rPr>
              <w:t xml:space="preserve">Pieņemot, ka nodokļu administrācijas kapacitāte </w:t>
            </w:r>
            <w:r w:rsidR="00424454">
              <w:rPr>
                <w:lang w:eastAsia="en-US"/>
              </w:rPr>
              <w:t xml:space="preserve">ļauj </w:t>
            </w:r>
            <w:r w:rsidRPr="00CB33DF">
              <w:rPr>
                <w:lang w:eastAsia="en-US"/>
              </w:rPr>
              <w:t xml:space="preserve">realizēt nodokļu kontroles </w:t>
            </w:r>
            <w:r w:rsidRPr="00AF1EAB">
              <w:rPr>
                <w:lang w:eastAsia="en-US"/>
              </w:rPr>
              <w:t>pasākumus</w:t>
            </w:r>
            <w:r w:rsidR="00424454" w:rsidRPr="00AF1EAB">
              <w:rPr>
                <w:lang w:eastAsia="en-US"/>
              </w:rPr>
              <w:t xml:space="preserve"> 5%</w:t>
            </w:r>
            <w:r w:rsidR="00424454">
              <w:rPr>
                <w:lang w:eastAsia="en-US"/>
              </w:rPr>
              <w:t xml:space="preserve"> gadījumos</w:t>
            </w:r>
            <w:r w:rsidRPr="00CB33DF">
              <w:rPr>
                <w:lang w:eastAsia="en-US"/>
              </w:rPr>
              <w:t>, paredzam</w:t>
            </w:r>
            <w:r w:rsidR="008E61F2" w:rsidRPr="00CB33DF">
              <w:rPr>
                <w:lang w:eastAsia="en-US"/>
              </w:rPr>
              <w:t>ie</w:t>
            </w:r>
            <w:r w:rsidRPr="00CB33DF">
              <w:rPr>
                <w:lang w:eastAsia="en-US"/>
              </w:rPr>
              <w:t xml:space="preserve"> budžeta ieņēmumi varētu būt:</w:t>
            </w:r>
          </w:p>
          <w:p w14:paraId="552102D4" w14:textId="77777777" w:rsidR="00E265A1" w:rsidRPr="00CB33DF" w:rsidRDefault="00640A5B" w:rsidP="008E61F2">
            <w:pPr>
              <w:pStyle w:val="naisf"/>
              <w:spacing w:before="0" w:after="0"/>
              <w:ind w:left="-48" w:firstLine="0"/>
              <w:rPr>
                <w:b/>
                <w:bCs/>
                <w:lang w:eastAsia="en-US"/>
              </w:rPr>
            </w:pPr>
            <w:r w:rsidRPr="00CB33DF">
              <w:rPr>
                <w:b/>
                <w:bCs/>
                <w:lang w:eastAsia="en-US"/>
              </w:rPr>
              <w:t xml:space="preserve">9,8 milj. </w:t>
            </w:r>
            <w:r w:rsidRPr="00CB33DF">
              <w:rPr>
                <w:b/>
                <w:bCs/>
                <w:i/>
                <w:lang w:eastAsia="en-US"/>
              </w:rPr>
              <w:t>euro</w:t>
            </w:r>
            <w:r w:rsidRPr="00CB33DF">
              <w:rPr>
                <w:b/>
                <w:bCs/>
                <w:lang w:eastAsia="en-US"/>
              </w:rPr>
              <w:t xml:space="preserve"> x 0,05= 0,48 milj. </w:t>
            </w:r>
            <w:r w:rsidRPr="00CB33DF">
              <w:rPr>
                <w:b/>
                <w:bCs/>
                <w:i/>
                <w:lang w:eastAsia="en-US"/>
              </w:rPr>
              <w:t>euro</w:t>
            </w:r>
            <w:r w:rsidRPr="00CB33DF">
              <w:rPr>
                <w:b/>
                <w:bCs/>
                <w:lang w:eastAsia="en-US"/>
              </w:rPr>
              <w:t xml:space="preserve"> - iedzīvotāju ienākuma nodoklis</w:t>
            </w:r>
          </w:p>
          <w:p w14:paraId="6E7665D1" w14:textId="77777777" w:rsidR="00E265A1" w:rsidRPr="00CB33DF" w:rsidRDefault="00E265A1" w:rsidP="008E61F2">
            <w:pPr>
              <w:pStyle w:val="naisf"/>
              <w:spacing w:before="0" w:after="0"/>
              <w:ind w:left="-48" w:firstLine="0"/>
              <w:rPr>
                <w:b/>
                <w:bCs/>
                <w:lang w:eastAsia="en-US"/>
              </w:rPr>
            </w:pPr>
            <w:r w:rsidRPr="00CB33DF">
              <w:rPr>
                <w:b/>
                <w:bCs/>
                <w:lang w:eastAsia="en-US"/>
              </w:rPr>
              <w:t xml:space="preserve">2,94 milj. </w:t>
            </w:r>
            <w:r w:rsidRPr="00CB33DF">
              <w:rPr>
                <w:b/>
                <w:bCs/>
                <w:i/>
                <w:iCs/>
                <w:lang w:eastAsia="en-US"/>
              </w:rPr>
              <w:t>euro</w:t>
            </w:r>
            <w:r w:rsidRPr="00CB33DF">
              <w:rPr>
                <w:b/>
                <w:bCs/>
                <w:lang w:eastAsia="en-US"/>
              </w:rPr>
              <w:t xml:space="preserve"> x 0,1 = 0,29 milj. </w:t>
            </w:r>
            <w:r w:rsidRPr="00CB33DF">
              <w:rPr>
                <w:b/>
                <w:bCs/>
                <w:i/>
                <w:iCs/>
                <w:lang w:eastAsia="en-US"/>
              </w:rPr>
              <w:t xml:space="preserve">euro </w:t>
            </w:r>
            <w:r w:rsidR="00640A5B" w:rsidRPr="00CB33DF">
              <w:rPr>
                <w:bCs/>
                <w:i/>
                <w:iCs/>
                <w:lang w:eastAsia="en-US"/>
              </w:rPr>
              <w:t>-</w:t>
            </w:r>
            <w:r w:rsidRPr="00CB33DF">
              <w:rPr>
                <w:b/>
                <w:bCs/>
                <w:i/>
                <w:iCs/>
                <w:lang w:eastAsia="en-US"/>
              </w:rPr>
              <w:t xml:space="preserve"> soda nauda</w:t>
            </w:r>
          </w:p>
          <w:p w14:paraId="4F2CE4DB" w14:textId="77777777" w:rsidR="00E265A1" w:rsidRPr="00CB33DF" w:rsidRDefault="00E265A1" w:rsidP="00E265A1">
            <w:pPr>
              <w:pStyle w:val="naisf"/>
              <w:spacing w:before="0" w:after="0"/>
              <w:ind w:firstLine="0"/>
              <w:rPr>
                <w:bCs/>
                <w:i/>
                <w:lang w:eastAsia="en-US"/>
              </w:rPr>
            </w:pPr>
            <w:r w:rsidRPr="00CB33DF">
              <w:rPr>
                <w:bCs/>
                <w:i/>
                <w:lang w:eastAsia="en-US"/>
              </w:rPr>
              <w:t xml:space="preserve">Ārvalstu komersantiem, kas nelicencēti darbojas Latvijas ekonomiskajā </w:t>
            </w:r>
            <w:r w:rsidR="008E61F2" w:rsidRPr="00CB33DF">
              <w:rPr>
                <w:bCs/>
                <w:i/>
                <w:lang w:eastAsia="en-US"/>
              </w:rPr>
              <w:t>vidē</w:t>
            </w:r>
            <w:r w:rsidRPr="00CB33DF">
              <w:rPr>
                <w:bCs/>
                <w:i/>
                <w:lang w:eastAsia="en-US"/>
              </w:rPr>
              <w:t>, papildu nosakāmie maksājumi</w:t>
            </w:r>
          </w:p>
          <w:p w14:paraId="08548EFD" w14:textId="3C6F9FAF" w:rsidR="00E265A1" w:rsidRPr="00CB33DF" w:rsidRDefault="00E265A1" w:rsidP="00E265A1">
            <w:pPr>
              <w:spacing w:after="0"/>
              <w:jc w:val="both"/>
              <w:rPr>
                <w:rFonts w:ascii="Times New Roman" w:hAnsi="Times New Roman" w:cs="Times New Roman"/>
                <w:sz w:val="24"/>
                <w:szCs w:val="24"/>
                <w:lang w:eastAsia="lv-LV"/>
              </w:rPr>
            </w:pPr>
            <w:r w:rsidRPr="00CB33DF">
              <w:rPr>
                <w:rFonts w:ascii="Times New Roman" w:hAnsi="Times New Roman" w:cs="Times New Roman"/>
                <w:sz w:val="24"/>
                <w:szCs w:val="24"/>
                <w:lang w:eastAsia="lv-LV"/>
              </w:rPr>
              <w:t xml:space="preserve">Attiecībā uz </w:t>
            </w:r>
            <w:r w:rsidR="00D97D8D" w:rsidRPr="006C3D5A">
              <w:rPr>
                <w:rFonts w:ascii="Times New Roman" w:hAnsi="Times New Roman" w:cs="Times New Roman"/>
                <w:sz w:val="24"/>
                <w:szCs w:val="24"/>
              </w:rPr>
              <w:t>Latvijas Republikā</w:t>
            </w:r>
            <w:r w:rsidRPr="00CB33DF">
              <w:rPr>
                <w:rFonts w:ascii="Times New Roman" w:hAnsi="Times New Roman" w:cs="Times New Roman"/>
                <w:sz w:val="24"/>
                <w:szCs w:val="24"/>
                <w:lang w:eastAsia="lv-LV"/>
              </w:rPr>
              <w:t xml:space="preserve"> nereģistrēto, bet citās ES dalībvalstīs vai EEZ reģistrēto, t.i., </w:t>
            </w:r>
            <w:r w:rsidR="00D97D8D" w:rsidRPr="006C3D5A">
              <w:rPr>
                <w:rFonts w:ascii="Times New Roman" w:hAnsi="Times New Roman" w:cs="Times New Roman"/>
                <w:sz w:val="24"/>
                <w:szCs w:val="24"/>
              </w:rPr>
              <w:t>Latvijas Republikā</w:t>
            </w:r>
            <w:r w:rsidRPr="00CB33DF">
              <w:rPr>
                <w:rFonts w:ascii="Times New Roman" w:hAnsi="Times New Roman" w:cs="Times New Roman"/>
                <w:sz w:val="24"/>
                <w:szCs w:val="24"/>
                <w:lang w:eastAsia="lv-LV"/>
              </w:rPr>
              <w:t xml:space="preserve"> nelicencēto, bet </w:t>
            </w:r>
            <w:r w:rsidR="00D97D8D" w:rsidRPr="006C3D5A">
              <w:rPr>
                <w:rFonts w:ascii="Times New Roman" w:hAnsi="Times New Roman" w:cs="Times New Roman"/>
                <w:sz w:val="24"/>
                <w:szCs w:val="24"/>
              </w:rPr>
              <w:t>Latvijas Republikā</w:t>
            </w:r>
            <w:r w:rsidRPr="00CB33DF">
              <w:rPr>
                <w:rFonts w:ascii="Times New Roman" w:hAnsi="Times New Roman" w:cs="Times New Roman"/>
                <w:sz w:val="24"/>
                <w:szCs w:val="24"/>
                <w:lang w:eastAsia="lv-LV"/>
              </w:rPr>
              <w:t xml:space="preserve"> darbojošos interaktīvo azartspēļu organizētājiem ir iespējams iegūt informāciju par to gūtajiem ienākumiem. Izmantojot kredītiestāžu un citu maksājumu </w:t>
            </w:r>
            <w:r w:rsidR="00224793" w:rsidRPr="00CB33DF">
              <w:rPr>
                <w:rFonts w:ascii="Times New Roman" w:hAnsi="Times New Roman" w:cs="Times New Roman"/>
                <w:sz w:val="24"/>
                <w:szCs w:val="24"/>
                <w:lang w:eastAsia="lv-LV"/>
              </w:rPr>
              <w:t>pakalpojumu sniegto informāciju,</w:t>
            </w:r>
            <w:r w:rsidRPr="00CB33DF">
              <w:rPr>
                <w:rFonts w:ascii="Times New Roman" w:hAnsi="Times New Roman" w:cs="Times New Roman"/>
                <w:sz w:val="24"/>
                <w:szCs w:val="24"/>
                <w:lang w:eastAsia="lv-LV"/>
              </w:rPr>
              <w:t xml:space="preserve"> nodokļu administrācijai ir iespējams iekasēt:</w:t>
            </w:r>
          </w:p>
          <w:p w14:paraId="2EFE22D4" w14:textId="214DC15D" w:rsidR="00E265A1" w:rsidRPr="00CB33DF" w:rsidRDefault="00424454" w:rsidP="00E265A1">
            <w:pPr>
              <w:pStyle w:val="ListParagraph"/>
              <w:numPr>
                <w:ilvl w:val="0"/>
                <w:numId w:val="20"/>
              </w:numPr>
              <w:spacing w:after="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nodokļu ieņēmumus valsts budžetā </w:t>
            </w:r>
            <w:r w:rsidR="00E265A1" w:rsidRPr="00CB33DF">
              <w:rPr>
                <w:rFonts w:ascii="Times New Roman" w:hAnsi="Times New Roman" w:cs="Times New Roman"/>
                <w:sz w:val="24"/>
                <w:szCs w:val="24"/>
                <w:lang w:eastAsia="lv-LV"/>
              </w:rPr>
              <w:t xml:space="preserve">par </w:t>
            </w:r>
            <w:r w:rsidR="00D97D8D" w:rsidRPr="006C3D5A">
              <w:rPr>
                <w:rFonts w:ascii="Times New Roman" w:hAnsi="Times New Roman" w:cs="Times New Roman"/>
                <w:sz w:val="24"/>
                <w:szCs w:val="24"/>
              </w:rPr>
              <w:t>Latvijas Republikā</w:t>
            </w:r>
            <w:r w:rsidR="00E265A1" w:rsidRPr="00CB33DF">
              <w:rPr>
                <w:rFonts w:ascii="Times New Roman" w:hAnsi="Times New Roman" w:cs="Times New Roman"/>
                <w:sz w:val="24"/>
                <w:szCs w:val="24"/>
                <w:lang w:eastAsia="lv-LV"/>
              </w:rPr>
              <w:t xml:space="preserve"> gūtajiem ienākumiem, kas ir ar azartspēļu nodokli apliekamais objekts;</w:t>
            </w:r>
          </w:p>
          <w:p w14:paraId="668AEB37" w14:textId="3EFFCD86" w:rsidR="00E265A1" w:rsidRPr="00CB33DF" w:rsidRDefault="00E265A1" w:rsidP="00E265A1">
            <w:pPr>
              <w:pStyle w:val="ListParagraph"/>
              <w:numPr>
                <w:ilvl w:val="0"/>
                <w:numId w:val="20"/>
              </w:numPr>
              <w:spacing w:after="0" w:line="240" w:lineRule="auto"/>
              <w:jc w:val="both"/>
              <w:rPr>
                <w:rFonts w:ascii="Times New Roman" w:hAnsi="Times New Roman" w:cs="Times New Roman"/>
                <w:sz w:val="24"/>
                <w:szCs w:val="24"/>
                <w:lang w:eastAsia="lv-LV"/>
              </w:rPr>
            </w:pPr>
            <w:r w:rsidRPr="00CB33DF">
              <w:rPr>
                <w:rFonts w:ascii="Times New Roman" w:hAnsi="Times New Roman" w:cs="Times New Roman"/>
                <w:sz w:val="24"/>
                <w:szCs w:val="24"/>
                <w:lang w:eastAsia="lv-LV"/>
              </w:rPr>
              <w:t xml:space="preserve">soda naudu par </w:t>
            </w:r>
            <w:r w:rsidR="00D97D8D" w:rsidRPr="006C3D5A">
              <w:rPr>
                <w:rFonts w:ascii="Times New Roman" w:hAnsi="Times New Roman" w:cs="Times New Roman"/>
                <w:sz w:val="24"/>
                <w:szCs w:val="24"/>
              </w:rPr>
              <w:t>Latvijas Republikā</w:t>
            </w:r>
            <w:r w:rsidRPr="00CB33DF">
              <w:rPr>
                <w:rFonts w:ascii="Times New Roman" w:hAnsi="Times New Roman" w:cs="Times New Roman"/>
                <w:sz w:val="24"/>
                <w:szCs w:val="24"/>
                <w:lang w:eastAsia="lv-LV"/>
              </w:rPr>
              <w:t xml:space="preserve"> nereģistrētas saimnieciskās darbības veikšanu. </w:t>
            </w:r>
          </w:p>
          <w:p w14:paraId="7A6E92C4" w14:textId="77777777" w:rsidR="00E265A1" w:rsidRPr="00CB33DF" w:rsidRDefault="00E265A1" w:rsidP="00E265A1">
            <w:pPr>
              <w:spacing w:after="0"/>
              <w:jc w:val="both"/>
              <w:rPr>
                <w:rFonts w:ascii="Times New Roman" w:hAnsi="Times New Roman" w:cs="Times New Roman"/>
                <w:sz w:val="24"/>
                <w:szCs w:val="24"/>
                <w:lang w:eastAsia="lv-LV"/>
              </w:rPr>
            </w:pPr>
            <w:r w:rsidRPr="00CB33DF">
              <w:rPr>
                <w:rFonts w:ascii="Times New Roman" w:hAnsi="Times New Roman" w:cs="Times New Roman"/>
                <w:sz w:val="24"/>
                <w:szCs w:val="24"/>
                <w:lang w:eastAsia="lv-LV"/>
              </w:rPr>
              <w:t xml:space="preserve">Saskaņā ar Azartspēļu un izložu likuma 88.pantu personu, kas organizē azartspēles vai izlozes bez Izložu un azartspēļu uzraudzības inspekcija izsniegtās licences, šādu darbību rezultātā gūtie ienākumi ieskaitāmi valsts budžetā. </w:t>
            </w:r>
          </w:p>
          <w:p w14:paraId="7F0157B8" w14:textId="767C651E" w:rsidR="00E265A1" w:rsidRPr="00CB33DF" w:rsidRDefault="00E265A1" w:rsidP="00E265A1">
            <w:pPr>
              <w:spacing w:after="0"/>
              <w:jc w:val="both"/>
              <w:rPr>
                <w:rFonts w:ascii="Times New Roman" w:hAnsi="Times New Roman" w:cs="Times New Roman"/>
                <w:bCs/>
                <w:sz w:val="24"/>
                <w:szCs w:val="24"/>
              </w:rPr>
            </w:pPr>
            <w:r w:rsidRPr="00CB33DF">
              <w:rPr>
                <w:rFonts w:ascii="Times New Roman" w:hAnsi="Times New Roman" w:cs="Times New Roman"/>
                <w:sz w:val="24"/>
                <w:szCs w:val="24"/>
                <w:lang w:eastAsia="lv-LV"/>
              </w:rPr>
              <w:t xml:space="preserve">Tādējādi, izmantojot iepriekšējo aprēķinu, redzams, ka </w:t>
            </w:r>
            <w:r w:rsidR="00D97D8D" w:rsidRPr="006C3D5A">
              <w:rPr>
                <w:rFonts w:ascii="Times New Roman" w:hAnsi="Times New Roman" w:cs="Times New Roman"/>
                <w:sz w:val="24"/>
                <w:szCs w:val="24"/>
              </w:rPr>
              <w:t>Latvijas Republikā</w:t>
            </w:r>
            <w:r w:rsidRPr="00CB33DF">
              <w:rPr>
                <w:rFonts w:ascii="Times New Roman" w:hAnsi="Times New Roman" w:cs="Times New Roman"/>
                <w:sz w:val="24"/>
                <w:szCs w:val="24"/>
                <w:lang w:eastAsia="lv-LV"/>
              </w:rPr>
              <w:t xml:space="preserve"> </w:t>
            </w:r>
            <w:r w:rsidR="00424454">
              <w:rPr>
                <w:rFonts w:ascii="Times New Roman" w:hAnsi="Times New Roman" w:cs="Times New Roman"/>
                <w:sz w:val="24"/>
                <w:szCs w:val="24"/>
                <w:lang w:eastAsia="lv-LV"/>
              </w:rPr>
              <w:t>nelicencēto</w:t>
            </w:r>
            <w:r w:rsidR="00424454" w:rsidRPr="00CB33DF">
              <w:rPr>
                <w:rFonts w:ascii="Times New Roman" w:hAnsi="Times New Roman" w:cs="Times New Roman"/>
                <w:sz w:val="24"/>
                <w:szCs w:val="24"/>
                <w:lang w:eastAsia="lv-LV"/>
              </w:rPr>
              <w:t xml:space="preserve"> </w:t>
            </w:r>
            <w:r w:rsidRPr="00CB33DF">
              <w:rPr>
                <w:rFonts w:ascii="Times New Roman" w:hAnsi="Times New Roman" w:cs="Times New Roman"/>
                <w:sz w:val="24"/>
                <w:szCs w:val="24"/>
                <w:lang w:eastAsia="lv-LV"/>
              </w:rPr>
              <w:t>azartspēļu</w:t>
            </w:r>
            <w:r w:rsidR="00424308">
              <w:rPr>
                <w:rFonts w:ascii="Times New Roman" w:hAnsi="Times New Roman" w:cs="Times New Roman"/>
                <w:sz w:val="24"/>
                <w:szCs w:val="24"/>
                <w:lang w:eastAsia="lv-LV"/>
              </w:rPr>
              <w:t xml:space="preserve"> vai izložu</w:t>
            </w:r>
            <w:r w:rsidRPr="00CB33DF">
              <w:rPr>
                <w:rFonts w:ascii="Times New Roman" w:hAnsi="Times New Roman" w:cs="Times New Roman"/>
                <w:sz w:val="24"/>
                <w:szCs w:val="24"/>
                <w:lang w:eastAsia="lv-LV"/>
              </w:rPr>
              <w:t xml:space="preserve"> organizētāju gūtie ienākumi ir </w:t>
            </w:r>
            <w:r w:rsidRPr="00CB33DF">
              <w:rPr>
                <w:rFonts w:ascii="Times New Roman" w:hAnsi="Times New Roman" w:cs="Times New Roman"/>
                <w:b/>
                <w:bCs/>
                <w:sz w:val="24"/>
                <w:szCs w:val="24"/>
              </w:rPr>
              <w:t xml:space="preserve">11 milj. </w:t>
            </w:r>
            <w:r w:rsidRPr="00CB33DF">
              <w:rPr>
                <w:rFonts w:ascii="Times New Roman" w:hAnsi="Times New Roman" w:cs="Times New Roman"/>
                <w:b/>
                <w:bCs/>
                <w:i/>
                <w:iCs/>
                <w:sz w:val="24"/>
                <w:szCs w:val="24"/>
              </w:rPr>
              <w:t xml:space="preserve">euro </w:t>
            </w:r>
            <w:r w:rsidRPr="00CB33DF">
              <w:rPr>
                <w:rFonts w:ascii="Times New Roman" w:hAnsi="Times New Roman" w:cs="Times New Roman"/>
                <w:b/>
                <w:bCs/>
                <w:sz w:val="24"/>
                <w:szCs w:val="24"/>
              </w:rPr>
              <w:t xml:space="preserve">+ 60 milj. </w:t>
            </w:r>
            <w:r w:rsidRPr="00CB33DF">
              <w:rPr>
                <w:rFonts w:ascii="Times New Roman" w:hAnsi="Times New Roman" w:cs="Times New Roman"/>
                <w:b/>
                <w:bCs/>
                <w:i/>
                <w:iCs/>
                <w:sz w:val="24"/>
                <w:szCs w:val="24"/>
              </w:rPr>
              <w:t>euro</w:t>
            </w:r>
            <w:r w:rsidRPr="00CB33DF">
              <w:rPr>
                <w:rFonts w:ascii="Times New Roman" w:hAnsi="Times New Roman" w:cs="Times New Roman"/>
                <w:b/>
                <w:bCs/>
                <w:sz w:val="24"/>
                <w:szCs w:val="24"/>
              </w:rPr>
              <w:t xml:space="preserve"> </w:t>
            </w:r>
            <w:r w:rsidRPr="00AF1EAB">
              <w:rPr>
                <w:rFonts w:ascii="Times New Roman" w:hAnsi="Times New Roman" w:cs="Times New Roman"/>
                <w:b/>
                <w:bCs/>
                <w:sz w:val="24"/>
                <w:szCs w:val="24"/>
              </w:rPr>
              <w:t xml:space="preserve">- </w:t>
            </w:r>
            <w:r w:rsidRPr="00AF1EAB">
              <w:rPr>
                <w:rFonts w:ascii="Times New Roman" w:hAnsi="Times New Roman" w:cs="Times New Roman"/>
                <w:sz w:val="24"/>
                <w:szCs w:val="24"/>
                <w:lang w:eastAsia="lv-LV"/>
              </w:rPr>
              <w:t> </w:t>
            </w:r>
            <w:r w:rsidRPr="00AF1EAB">
              <w:rPr>
                <w:rFonts w:ascii="Times New Roman" w:hAnsi="Times New Roman" w:cs="Times New Roman"/>
                <w:b/>
                <w:bCs/>
                <w:sz w:val="24"/>
                <w:szCs w:val="24"/>
              </w:rPr>
              <w:t xml:space="preserve">42,6 milj. </w:t>
            </w:r>
            <w:r w:rsidRPr="00AF1EAB">
              <w:rPr>
                <w:rFonts w:ascii="Times New Roman" w:hAnsi="Times New Roman" w:cs="Times New Roman"/>
                <w:b/>
                <w:bCs/>
                <w:i/>
                <w:iCs/>
                <w:sz w:val="24"/>
                <w:szCs w:val="24"/>
              </w:rPr>
              <w:t>euro</w:t>
            </w:r>
            <w:r w:rsidRPr="00CB33DF">
              <w:rPr>
                <w:rFonts w:ascii="Times New Roman" w:hAnsi="Times New Roman" w:cs="Times New Roman"/>
                <w:b/>
                <w:bCs/>
                <w:sz w:val="24"/>
                <w:szCs w:val="24"/>
              </w:rPr>
              <w:t xml:space="preserve"> = 28,4 milj. </w:t>
            </w:r>
            <w:r w:rsidRPr="00CB33DF">
              <w:rPr>
                <w:rFonts w:ascii="Times New Roman" w:hAnsi="Times New Roman" w:cs="Times New Roman"/>
                <w:b/>
                <w:bCs/>
                <w:i/>
                <w:iCs/>
                <w:sz w:val="24"/>
                <w:szCs w:val="24"/>
              </w:rPr>
              <w:t>euro</w:t>
            </w:r>
            <w:r w:rsidRPr="00CB33DF">
              <w:rPr>
                <w:rFonts w:ascii="Times New Roman" w:hAnsi="Times New Roman" w:cs="Times New Roman"/>
                <w:bCs/>
                <w:sz w:val="24"/>
                <w:szCs w:val="24"/>
              </w:rPr>
              <w:t xml:space="preserve">, kas saskaņā ar likumu “Par izložu un azartspēļu nodevu un nodokli”  būtu apliekami ar azartspēļu nodokli 10% no ieņēmumiem, no kuriem atskaitīti laimesti, t.i., </w:t>
            </w:r>
            <w:r w:rsidRPr="00CB33DF">
              <w:rPr>
                <w:rFonts w:ascii="Times New Roman" w:hAnsi="Times New Roman" w:cs="Times New Roman"/>
                <w:b/>
                <w:bCs/>
                <w:sz w:val="24"/>
                <w:szCs w:val="24"/>
              </w:rPr>
              <w:t xml:space="preserve">28,4 milj. </w:t>
            </w:r>
            <w:r w:rsidRPr="00CB33DF">
              <w:rPr>
                <w:rFonts w:ascii="Times New Roman" w:hAnsi="Times New Roman" w:cs="Times New Roman"/>
                <w:b/>
                <w:bCs/>
                <w:i/>
                <w:sz w:val="24"/>
                <w:szCs w:val="24"/>
              </w:rPr>
              <w:t>euro</w:t>
            </w:r>
            <w:r w:rsidRPr="00CB33DF">
              <w:rPr>
                <w:rFonts w:ascii="Times New Roman" w:hAnsi="Times New Roman" w:cs="Times New Roman"/>
                <w:b/>
                <w:bCs/>
                <w:sz w:val="24"/>
                <w:szCs w:val="24"/>
              </w:rPr>
              <w:t xml:space="preserve"> x 0,1 = 2,84 milj. </w:t>
            </w:r>
            <w:r w:rsidRPr="00CB33DF">
              <w:rPr>
                <w:rFonts w:ascii="Times New Roman" w:hAnsi="Times New Roman" w:cs="Times New Roman"/>
                <w:b/>
                <w:bCs/>
                <w:i/>
                <w:sz w:val="24"/>
                <w:szCs w:val="24"/>
              </w:rPr>
              <w:t>euro</w:t>
            </w:r>
            <w:r w:rsidRPr="00CB33DF">
              <w:rPr>
                <w:rFonts w:ascii="Times New Roman" w:hAnsi="Times New Roman" w:cs="Times New Roman"/>
                <w:bCs/>
                <w:sz w:val="24"/>
                <w:szCs w:val="24"/>
              </w:rPr>
              <w:t>. Vienlaikus saskaņā ar likuma “Par nodokļiem un nodevām” 34.panta “</w:t>
            </w:r>
            <w:r w:rsidRPr="00CB33DF">
              <w:rPr>
                <w:rFonts w:ascii="Times New Roman" w:hAnsi="Times New Roman" w:cs="Times New Roman"/>
                <w:bCs/>
                <w:sz w:val="24"/>
                <w:szCs w:val="24"/>
                <w:shd w:val="clear" w:color="auto" w:fill="FFFFFF"/>
              </w:rPr>
              <w:t>Atbildība par saimnieciskās darbības veikšanu, nereģistrējoties kā nodokļu maksātājam, un citiem nodokļu pārkāpumiem</w:t>
            </w:r>
            <w:r w:rsidRPr="00CB33DF">
              <w:rPr>
                <w:rFonts w:ascii="Times New Roman" w:hAnsi="Times New Roman" w:cs="Times New Roman"/>
                <w:bCs/>
                <w:sz w:val="24"/>
                <w:szCs w:val="24"/>
              </w:rPr>
              <w:t>” pirmo daļu</w:t>
            </w:r>
            <w:r w:rsidRPr="00CB33DF">
              <w:rPr>
                <w:rFonts w:ascii="Times New Roman" w:hAnsi="Times New Roman" w:cs="Times New Roman"/>
                <w:b/>
                <w:bCs/>
                <w:sz w:val="24"/>
                <w:szCs w:val="24"/>
              </w:rPr>
              <w:t xml:space="preserve"> </w:t>
            </w:r>
            <w:r w:rsidRPr="00CB33DF">
              <w:rPr>
                <w:rFonts w:ascii="Times New Roman" w:hAnsi="Times New Roman" w:cs="Times New Roman"/>
                <w:bCs/>
                <w:sz w:val="24"/>
                <w:szCs w:val="24"/>
              </w:rPr>
              <w:t>ir maksājama soda nauda 100% apmērā no valsts budžetā ieskaitāmās nodokļa summas, t.i.</w:t>
            </w:r>
            <w:r w:rsidR="00224793" w:rsidRPr="00CB33DF">
              <w:rPr>
                <w:rFonts w:ascii="Times New Roman" w:hAnsi="Times New Roman" w:cs="Times New Roman"/>
                <w:bCs/>
                <w:sz w:val="24"/>
                <w:szCs w:val="24"/>
              </w:rPr>
              <w:t>,</w:t>
            </w:r>
            <w:r w:rsidRPr="00CB33DF">
              <w:rPr>
                <w:rFonts w:ascii="Times New Roman" w:hAnsi="Times New Roman" w:cs="Times New Roman"/>
                <w:b/>
                <w:bCs/>
                <w:sz w:val="24"/>
                <w:szCs w:val="24"/>
              </w:rPr>
              <w:t xml:space="preserve"> 2,84 milj. </w:t>
            </w:r>
            <w:r w:rsidRPr="00CB33DF">
              <w:rPr>
                <w:rFonts w:ascii="Times New Roman" w:hAnsi="Times New Roman" w:cs="Times New Roman"/>
                <w:b/>
                <w:bCs/>
                <w:i/>
                <w:sz w:val="24"/>
                <w:szCs w:val="24"/>
              </w:rPr>
              <w:t>euro</w:t>
            </w:r>
            <w:r w:rsidRPr="00CB33DF">
              <w:rPr>
                <w:rFonts w:ascii="Times New Roman" w:hAnsi="Times New Roman" w:cs="Times New Roman"/>
                <w:bCs/>
                <w:sz w:val="24"/>
                <w:szCs w:val="24"/>
              </w:rPr>
              <w:t xml:space="preserve">. </w:t>
            </w:r>
          </w:p>
          <w:p w14:paraId="718F2B0C" w14:textId="1D402F21" w:rsidR="00E265A1" w:rsidRPr="00CB33DF" w:rsidRDefault="00E265A1" w:rsidP="00E265A1">
            <w:pPr>
              <w:spacing w:after="0"/>
              <w:jc w:val="both"/>
              <w:rPr>
                <w:rFonts w:ascii="Times New Roman" w:hAnsi="Times New Roman" w:cs="Times New Roman"/>
                <w:b/>
                <w:bCs/>
                <w:sz w:val="24"/>
                <w:szCs w:val="24"/>
              </w:rPr>
            </w:pPr>
            <w:r w:rsidRPr="00CB33DF">
              <w:rPr>
                <w:rFonts w:ascii="Times New Roman" w:hAnsi="Times New Roman" w:cs="Times New Roman"/>
                <w:bCs/>
                <w:sz w:val="24"/>
                <w:szCs w:val="24"/>
              </w:rPr>
              <w:lastRenderedPageBreak/>
              <w:t xml:space="preserve">Tādējādi no </w:t>
            </w:r>
            <w:r w:rsidR="00D97D8D" w:rsidRPr="006C3D5A">
              <w:rPr>
                <w:rFonts w:ascii="Times New Roman" w:hAnsi="Times New Roman" w:cs="Times New Roman"/>
                <w:sz w:val="24"/>
                <w:szCs w:val="24"/>
              </w:rPr>
              <w:t>Latvijas Republikā</w:t>
            </w:r>
            <w:r w:rsidRPr="00CB33DF">
              <w:rPr>
                <w:rFonts w:ascii="Times New Roman" w:hAnsi="Times New Roman" w:cs="Times New Roman"/>
                <w:bCs/>
                <w:sz w:val="24"/>
                <w:szCs w:val="24"/>
              </w:rPr>
              <w:t xml:space="preserve"> </w:t>
            </w:r>
            <w:r w:rsidR="00424454">
              <w:rPr>
                <w:rFonts w:ascii="Times New Roman" w:hAnsi="Times New Roman" w:cs="Times New Roman"/>
                <w:bCs/>
                <w:sz w:val="24"/>
                <w:szCs w:val="24"/>
              </w:rPr>
              <w:t>nelicencētā</w:t>
            </w:r>
            <w:r w:rsidR="00424454" w:rsidRPr="00CB33DF">
              <w:rPr>
                <w:rFonts w:ascii="Times New Roman" w:hAnsi="Times New Roman" w:cs="Times New Roman"/>
                <w:bCs/>
                <w:sz w:val="24"/>
                <w:szCs w:val="24"/>
              </w:rPr>
              <w:t xml:space="preserve"> </w:t>
            </w:r>
            <w:r w:rsidRPr="00CB33DF">
              <w:rPr>
                <w:rFonts w:ascii="Times New Roman" w:hAnsi="Times New Roman" w:cs="Times New Roman"/>
                <w:bCs/>
                <w:sz w:val="24"/>
                <w:szCs w:val="24"/>
              </w:rPr>
              <w:t xml:space="preserve">azartspēļu </w:t>
            </w:r>
            <w:r w:rsidR="00FD1BE4" w:rsidRPr="00CB33DF">
              <w:rPr>
                <w:rFonts w:ascii="Times New Roman" w:hAnsi="Times New Roman" w:cs="Times New Roman"/>
                <w:bCs/>
                <w:sz w:val="24"/>
                <w:szCs w:val="24"/>
              </w:rPr>
              <w:t>organizētāja</w:t>
            </w:r>
            <w:r w:rsidRPr="00CB33DF">
              <w:rPr>
                <w:rFonts w:ascii="Times New Roman" w:hAnsi="Times New Roman" w:cs="Times New Roman"/>
                <w:bCs/>
                <w:sz w:val="24"/>
                <w:szCs w:val="24"/>
              </w:rPr>
              <w:t xml:space="preserve"> valsts budžetā būtu ieskaitāmi azartspēļu nodoklis 2,84 milj. </w:t>
            </w:r>
            <w:r w:rsidRPr="00CB33DF">
              <w:rPr>
                <w:rFonts w:ascii="Times New Roman" w:hAnsi="Times New Roman" w:cs="Times New Roman"/>
                <w:bCs/>
                <w:i/>
                <w:sz w:val="24"/>
                <w:szCs w:val="24"/>
              </w:rPr>
              <w:t>euro</w:t>
            </w:r>
            <w:r w:rsidRPr="00CB33DF">
              <w:rPr>
                <w:rFonts w:ascii="Times New Roman" w:hAnsi="Times New Roman" w:cs="Times New Roman"/>
                <w:bCs/>
                <w:sz w:val="24"/>
                <w:szCs w:val="24"/>
              </w:rPr>
              <w:t xml:space="preserve"> un aprēķinātā soda nauda 2,84 milj. </w:t>
            </w:r>
            <w:r w:rsidRPr="00CB33DF">
              <w:rPr>
                <w:rFonts w:ascii="Times New Roman" w:hAnsi="Times New Roman" w:cs="Times New Roman"/>
                <w:bCs/>
                <w:i/>
                <w:sz w:val="24"/>
                <w:szCs w:val="24"/>
              </w:rPr>
              <w:t>euro</w:t>
            </w:r>
            <w:r w:rsidRPr="00CB33DF">
              <w:rPr>
                <w:rFonts w:ascii="Times New Roman" w:hAnsi="Times New Roman" w:cs="Times New Roman"/>
                <w:bCs/>
                <w:sz w:val="24"/>
                <w:szCs w:val="24"/>
              </w:rPr>
              <w:t xml:space="preserve">, kopā 5,68 milj. </w:t>
            </w:r>
            <w:r w:rsidRPr="00CB33DF">
              <w:rPr>
                <w:rFonts w:ascii="Times New Roman" w:hAnsi="Times New Roman" w:cs="Times New Roman"/>
                <w:bCs/>
                <w:i/>
                <w:sz w:val="24"/>
                <w:szCs w:val="24"/>
              </w:rPr>
              <w:t>euro</w:t>
            </w:r>
            <w:r w:rsidRPr="00CB33DF">
              <w:rPr>
                <w:rFonts w:ascii="Times New Roman" w:hAnsi="Times New Roman" w:cs="Times New Roman"/>
                <w:bCs/>
                <w:sz w:val="24"/>
                <w:szCs w:val="24"/>
              </w:rPr>
              <w:t>.</w:t>
            </w:r>
            <w:r w:rsidRPr="00CB33DF">
              <w:rPr>
                <w:rFonts w:ascii="Times New Roman" w:hAnsi="Times New Roman" w:cs="Times New Roman"/>
                <w:b/>
                <w:bCs/>
                <w:sz w:val="24"/>
                <w:szCs w:val="24"/>
              </w:rPr>
              <w:t xml:space="preserve"> </w:t>
            </w:r>
          </w:p>
          <w:p w14:paraId="1C735948" w14:textId="77777777" w:rsidR="00E265A1" w:rsidRPr="00CB33DF" w:rsidRDefault="00E265A1" w:rsidP="00E265A1">
            <w:pPr>
              <w:spacing w:after="0"/>
              <w:jc w:val="both"/>
              <w:rPr>
                <w:rFonts w:ascii="Times New Roman" w:hAnsi="Times New Roman" w:cs="Times New Roman"/>
                <w:sz w:val="24"/>
                <w:szCs w:val="24"/>
              </w:rPr>
            </w:pPr>
            <w:r w:rsidRPr="00CB33DF">
              <w:rPr>
                <w:rFonts w:ascii="Times New Roman" w:hAnsi="Times New Roman" w:cs="Times New Roman"/>
                <w:sz w:val="24"/>
                <w:szCs w:val="24"/>
              </w:rPr>
              <w:t xml:space="preserve">Pieņemot, ka nodokļu administrācijas kapacitāte nodrošina </w:t>
            </w:r>
            <w:r w:rsidRPr="00AF1EAB">
              <w:rPr>
                <w:rFonts w:ascii="Times New Roman" w:hAnsi="Times New Roman" w:cs="Times New Roman"/>
                <w:sz w:val="24"/>
                <w:szCs w:val="24"/>
              </w:rPr>
              <w:t>10%</w:t>
            </w:r>
            <w:r w:rsidRPr="00CB33DF">
              <w:rPr>
                <w:rFonts w:ascii="Times New Roman" w:hAnsi="Times New Roman" w:cs="Times New Roman"/>
                <w:sz w:val="24"/>
                <w:szCs w:val="24"/>
              </w:rPr>
              <w:t xml:space="preserve"> apmērā realizēt nodokļu kontroles pasākumus, paredzam</w:t>
            </w:r>
            <w:r w:rsidR="00FD1BE4" w:rsidRPr="00CB33DF">
              <w:rPr>
                <w:rFonts w:ascii="Times New Roman" w:hAnsi="Times New Roman" w:cs="Times New Roman"/>
                <w:sz w:val="24"/>
                <w:szCs w:val="24"/>
              </w:rPr>
              <w:t>ie</w:t>
            </w:r>
            <w:r w:rsidRPr="00CB33DF">
              <w:rPr>
                <w:rFonts w:ascii="Times New Roman" w:hAnsi="Times New Roman" w:cs="Times New Roman"/>
                <w:sz w:val="24"/>
                <w:szCs w:val="24"/>
              </w:rPr>
              <w:t xml:space="preserve"> budžeta ieņēmumi varētu būt :</w:t>
            </w:r>
          </w:p>
          <w:p w14:paraId="1034E49E" w14:textId="77777777" w:rsidR="00E265A1" w:rsidRPr="00CB33DF" w:rsidRDefault="00E265A1" w:rsidP="00FD1BE4">
            <w:pPr>
              <w:spacing w:after="0"/>
              <w:rPr>
                <w:rFonts w:ascii="Times New Roman" w:hAnsi="Times New Roman" w:cs="Times New Roman"/>
                <w:sz w:val="24"/>
                <w:szCs w:val="24"/>
              </w:rPr>
            </w:pPr>
            <w:r w:rsidRPr="00CB33DF">
              <w:rPr>
                <w:rFonts w:ascii="Times New Roman" w:hAnsi="Times New Roman" w:cs="Times New Roman"/>
                <w:b/>
                <w:sz w:val="24"/>
                <w:szCs w:val="24"/>
              </w:rPr>
              <w:t>2,84</w:t>
            </w:r>
            <w:r w:rsidRPr="00CB33DF">
              <w:rPr>
                <w:rFonts w:ascii="Times New Roman" w:hAnsi="Times New Roman" w:cs="Times New Roman"/>
                <w:sz w:val="24"/>
                <w:szCs w:val="24"/>
              </w:rPr>
              <w:t xml:space="preserve"> </w:t>
            </w:r>
            <w:r w:rsidRPr="00CB33DF">
              <w:rPr>
                <w:rFonts w:ascii="Times New Roman" w:hAnsi="Times New Roman" w:cs="Times New Roman"/>
                <w:b/>
                <w:bCs/>
                <w:sz w:val="24"/>
                <w:szCs w:val="24"/>
              </w:rPr>
              <w:t xml:space="preserve">milj. </w:t>
            </w:r>
            <w:r w:rsidRPr="00CB33DF">
              <w:rPr>
                <w:rFonts w:ascii="Times New Roman" w:hAnsi="Times New Roman" w:cs="Times New Roman"/>
                <w:b/>
                <w:bCs/>
                <w:i/>
                <w:sz w:val="24"/>
                <w:szCs w:val="24"/>
              </w:rPr>
              <w:t>euro</w:t>
            </w:r>
            <w:r w:rsidRPr="00CB33DF">
              <w:rPr>
                <w:rFonts w:ascii="Times New Roman" w:hAnsi="Times New Roman" w:cs="Times New Roman"/>
                <w:b/>
                <w:bCs/>
                <w:sz w:val="24"/>
                <w:szCs w:val="24"/>
              </w:rPr>
              <w:t xml:space="preserve"> x 0,1 = 0,28 milj. </w:t>
            </w:r>
            <w:r w:rsidRPr="00CB33DF">
              <w:rPr>
                <w:rFonts w:ascii="Times New Roman" w:hAnsi="Times New Roman" w:cs="Times New Roman"/>
                <w:b/>
                <w:bCs/>
                <w:i/>
                <w:iCs/>
                <w:sz w:val="24"/>
                <w:szCs w:val="24"/>
              </w:rPr>
              <w:t>euro – azartspēļu nodoklis</w:t>
            </w:r>
          </w:p>
          <w:p w14:paraId="5833437C" w14:textId="77777777" w:rsidR="00E265A1" w:rsidRPr="00CB33DF" w:rsidRDefault="00E265A1" w:rsidP="00FD1BE4">
            <w:pPr>
              <w:spacing w:after="0"/>
              <w:rPr>
                <w:rFonts w:ascii="Times New Roman" w:hAnsi="Times New Roman" w:cs="Times New Roman"/>
                <w:sz w:val="24"/>
                <w:szCs w:val="24"/>
              </w:rPr>
            </w:pPr>
            <w:r w:rsidRPr="00CB33DF">
              <w:rPr>
                <w:rFonts w:ascii="Times New Roman" w:hAnsi="Times New Roman" w:cs="Times New Roman"/>
                <w:b/>
                <w:sz w:val="24"/>
                <w:szCs w:val="24"/>
              </w:rPr>
              <w:t>2,84</w:t>
            </w:r>
            <w:r w:rsidRPr="00CB33DF">
              <w:rPr>
                <w:rFonts w:ascii="Times New Roman" w:hAnsi="Times New Roman" w:cs="Times New Roman"/>
                <w:sz w:val="24"/>
                <w:szCs w:val="24"/>
              </w:rPr>
              <w:t xml:space="preserve"> </w:t>
            </w:r>
            <w:r w:rsidRPr="00CB33DF">
              <w:rPr>
                <w:rFonts w:ascii="Times New Roman" w:hAnsi="Times New Roman" w:cs="Times New Roman"/>
                <w:b/>
                <w:bCs/>
                <w:sz w:val="24"/>
                <w:szCs w:val="24"/>
              </w:rPr>
              <w:t xml:space="preserve">milj. </w:t>
            </w:r>
            <w:r w:rsidRPr="00CB33DF">
              <w:rPr>
                <w:rFonts w:ascii="Times New Roman" w:hAnsi="Times New Roman" w:cs="Times New Roman"/>
                <w:b/>
                <w:bCs/>
                <w:i/>
                <w:sz w:val="24"/>
                <w:szCs w:val="24"/>
              </w:rPr>
              <w:t>euro</w:t>
            </w:r>
            <w:r w:rsidRPr="00CB33DF">
              <w:rPr>
                <w:rFonts w:ascii="Times New Roman" w:hAnsi="Times New Roman" w:cs="Times New Roman"/>
                <w:b/>
                <w:bCs/>
                <w:sz w:val="24"/>
                <w:szCs w:val="24"/>
              </w:rPr>
              <w:t xml:space="preserve"> x 0,1 = 0,28 milj. </w:t>
            </w:r>
            <w:r w:rsidRPr="00CB33DF">
              <w:rPr>
                <w:rFonts w:ascii="Times New Roman" w:hAnsi="Times New Roman" w:cs="Times New Roman"/>
                <w:b/>
                <w:bCs/>
                <w:i/>
                <w:iCs/>
                <w:sz w:val="24"/>
                <w:szCs w:val="24"/>
              </w:rPr>
              <w:t>euro – soda nauda</w:t>
            </w:r>
          </w:p>
          <w:p w14:paraId="41B0CDD4" w14:textId="77777777" w:rsidR="00E265A1" w:rsidRPr="00CB33DF" w:rsidRDefault="00E265A1" w:rsidP="00E265A1">
            <w:pPr>
              <w:spacing w:after="0"/>
              <w:jc w:val="both"/>
              <w:rPr>
                <w:rFonts w:ascii="Times New Roman" w:hAnsi="Times New Roman" w:cs="Times New Roman"/>
                <w:bCs/>
                <w:i/>
                <w:sz w:val="24"/>
                <w:szCs w:val="24"/>
              </w:rPr>
            </w:pPr>
            <w:r w:rsidRPr="00CB33DF">
              <w:rPr>
                <w:rFonts w:ascii="Times New Roman" w:hAnsi="Times New Roman" w:cs="Times New Roman"/>
                <w:bCs/>
                <w:i/>
                <w:sz w:val="24"/>
                <w:szCs w:val="24"/>
              </w:rPr>
              <w:t>Preventīvais (ilgtermiņ</w:t>
            </w:r>
            <w:r w:rsidR="00424454">
              <w:rPr>
                <w:rFonts w:ascii="Times New Roman" w:hAnsi="Times New Roman" w:cs="Times New Roman"/>
                <w:bCs/>
                <w:i/>
                <w:sz w:val="24"/>
                <w:szCs w:val="24"/>
              </w:rPr>
              <w:t>a</w:t>
            </w:r>
            <w:r w:rsidRPr="00CB33DF">
              <w:rPr>
                <w:rFonts w:ascii="Times New Roman" w:hAnsi="Times New Roman" w:cs="Times New Roman"/>
                <w:bCs/>
                <w:i/>
                <w:sz w:val="24"/>
                <w:szCs w:val="24"/>
              </w:rPr>
              <w:t>) efekts, kā arī personu parēja uz licencēto vidi</w:t>
            </w:r>
          </w:p>
          <w:p w14:paraId="36D5196E" w14:textId="77777777" w:rsidR="00E265A1" w:rsidRPr="00CB33DF" w:rsidRDefault="00E265A1" w:rsidP="00E265A1">
            <w:pPr>
              <w:pStyle w:val="naisf"/>
              <w:spacing w:before="0" w:after="0"/>
              <w:ind w:firstLine="0"/>
              <w:rPr>
                <w:bCs/>
                <w:lang w:eastAsia="en-US"/>
              </w:rPr>
            </w:pPr>
            <w:r w:rsidRPr="00CB33DF">
              <w:rPr>
                <w:bCs/>
                <w:lang w:eastAsia="en-US"/>
              </w:rPr>
              <w:t>Piedziņas darbībām no ārvalstu komersanta tiks iedarbināts starptautiskās piedziņas mehānisms.</w:t>
            </w:r>
          </w:p>
          <w:p w14:paraId="283D5B84" w14:textId="425CC8F3" w:rsidR="00E265A1" w:rsidRPr="00CB33DF" w:rsidRDefault="00E265A1" w:rsidP="00E265A1">
            <w:pPr>
              <w:spacing w:after="0"/>
              <w:jc w:val="both"/>
              <w:rPr>
                <w:rFonts w:ascii="Times New Roman" w:hAnsi="Times New Roman" w:cs="Times New Roman"/>
                <w:b/>
                <w:sz w:val="24"/>
                <w:szCs w:val="24"/>
              </w:rPr>
            </w:pPr>
            <w:r w:rsidRPr="00CB33DF">
              <w:rPr>
                <w:rFonts w:ascii="Times New Roman" w:hAnsi="Times New Roman" w:cs="Times New Roman"/>
                <w:sz w:val="24"/>
                <w:szCs w:val="24"/>
              </w:rPr>
              <w:t xml:space="preserve">Ņemot vērā minētās aktivitātes, ir prognozējama spēlētāju “pāriešana” uz </w:t>
            </w:r>
            <w:r w:rsidR="00D97D8D" w:rsidRPr="006C3D5A">
              <w:rPr>
                <w:rFonts w:ascii="Times New Roman" w:hAnsi="Times New Roman" w:cs="Times New Roman"/>
                <w:sz w:val="24"/>
                <w:szCs w:val="24"/>
              </w:rPr>
              <w:t>Latvijas Republikā</w:t>
            </w:r>
            <w:r w:rsidRPr="00CB33DF">
              <w:rPr>
                <w:rFonts w:ascii="Times New Roman" w:hAnsi="Times New Roman" w:cs="Times New Roman"/>
                <w:sz w:val="24"/>
                <w:szCs w:val="24"/>
              </w:rPr>
              <w:t xml:space="preserve"> licencētajām interaktīvajām azartspēlēm un interaktīvajām izlozēm (to apstiprina arī Latvijas Interaktīvo azartspēļu biedrības pārstāvju izteiktās prognozes), kā arī jaunu interaktīvo azartspēļu organizētāju ienākšan</w:t>
            </w:r>
            <w:r w:rsidR="00FD1BE4" w:rsidRPr="00CB33DF">
              <w:rPr>
                <w:rFonts w:ascii="Times New Roman" w:hAnsi="Times New Roman" w:cs="Times New Roman"/>
                <w:sz w:val="24"/>
                <w:szCs w:val="24"/>
              </w:rPr>
              <w:t>a</w:t>
            </w:r>
            <w:r w:rsidRPr="00CB33DF">
              <w:rPr>
                <w:rFonts w:ascii="Times New Roman" w:hAnsi="Times New Roman" w:cs="Times New Roman"/>
                <w:sz w:val="24"/>
                <w:szCs w:val="24"/>
              </w:rPr>
              <w:t xml:space="preserve"> Latvijas</w:t>
            </w:r>
            <w:r w:rsidR="00D97D8D">
              <w:rPr>
                <w:rFonts w:ascii="Times New Roman" w:hAnsi="Times New Roman" w:cs="Times New Roman"/>
                <w:sz w:val="24"/>
                <w:szCs w:val="24"/>
              </w:rPr>
              <w:t xml:space="preserve"> Republikas</w:t>
            </w:r>
            <w:r w:rsidRPr="00CB33DF">
              <w:rPr>
                <w:rFonts w:ascii="Times New Roman" w:hAnsi="Times New Roman" w:cs="Times New Roman"/>
                <w:sz w:val="24"/>
                <w:szCs w:val="24"/>
              </w:rPr>
              <w:t xml:space="preserve"> tirgū, kā rezultātā palielināsies budžeta ieņēmumi</w:t>
            </w:r>
            <w:r w:rsidR="00FD1BE4" w:rsidRPr="00CB33DF">
              <w:rPr>
                <w:rFonts w:ascii="Times New Roman" w:hAnsi="Times New Roman" w:cs="Times New Roman"/>
                <w:sz w:val="24"/>
                <w:szCs w:val="24"/>
              </w:rPr>
              <w:t xml:space="preserve"> - </w:t>
            </w:r>
            <w:r w:rsidRPr="00CB33DF">
              <w:rPr>
                <w:rFonts w:ascii="Times New Roman" w:hAnsi="Times New Roman" w:cs="Times New Roman"/>
                <w:sz w:val="24"/>
                <w:szCs w:val="24"/>
              </w:rPr>
              <w:t xml:space="preserve">gan laimestu nodoklis (fizisku personu iedzīvotāju ienākuma nodokļa maksājumi), pieņemot, ka laimesti </w:t>
            </w:r>
            <w:r w:rsidR="00DA08FD">
              <w:rPr>
                <w:rFonts w:ascii="Times New Roman" w:hAnsi="Times New Roman" w:cs="Times New Roman"/>
                <w:sz w:val="24"/>
                <w:szCs w:val="24"/>
              </w:rPr>
              <w:t>l</w:t>
            </w:r>
            <w:r w:rsidR="00424454">
              <w:rPr>
                <w:rFonts w:ascii="Times New Roman" w:hAnsi="Times New Roman" w:cs="Times New Roman"/>
                <w:sz w:val="24"/>
                <w:szCs w:val="24"/>
              </w:rPr>
              <w:t>icencētajā</w:t>
            </w:r>
            <w:r w:rsidR="00424454" w:rsidRPr="00CB33DF">
              <w:rPr>
                <w:rFonts w:ascii="Times New Roman" w:hAnsi="Times New Roman" w:cs="Times New Roman"/>
                <w:sz w:val="24"/>
                <w:szCs w:val="24"/>
              </w:rPr>
              <w:t xml:space="preserve"> </w:t>
            </w:r>
            <w:r w:rsidRPr="00CB33DF">
              <w:rPr>
                <w:rFonts w:ascii="Times New Roman" w:hAnsi="Times New Roman" w:cs="Times New Roman"/>
                <w:sz w:val="24"/>
                <w:szCs w:val="24"/>
              </w:rPr>
              <w:t xml:space="preserve">vidē palielināsies vismaz par </w:t>
            </w:r>
            <w:r w:rsidR="00640A5B" w:rsidRPr="00CB33DF">
              <w:rPr>
                <w:rFonts w:ascii="Times New Roman" w:hAnsi="Times New Roman" w:cs="Times New Roman"/>
                <w:sz w:val="24"/>
                <w:szCs w:val="24"/>
              </w:rPr>
              <w:t>1</w:t>
            </w:r>
            <w:r w:rsidRPr="00CB33DF">
              <w:rPr>
                <w:rFonts w:ascii="Times New Roman" w:hAnsi="Times New Roman" w:cs="Times New Roman"/>
                <w:sz w:val="24"/>
                <w:szCs w:val="24"/>
              </w:rPr>
              <w:t xml:space="preserve">0% jeb </w:t>
            </w:r>
            <w:r w:rsidRPr="00CB33DF">
              <w:rPr>
                <w:rFonts w:ascii="Times New Roman" w:hAnsi="Times New Roman" w:cs="Times New Roman"/>
                <w:b/>
                <w:bCs/>
                <w:sz w:val="24"/>
                <w:szCs w:val="24"/>
              </w:rPr>
              <w:t xml:space="preserve">42,6 milj. </w:t>
            </w:r>
            <w:r w:rsidRPr="00CB33DF">
              <w:rPr>
                <w:rFonts w:ascii="Times New Roman" w:hAnsi="Times New Roman" w:cs="Times New Roman"/>
                <w:b/>
                <w:bCs/>
                <w:i/>
                <w:iCs/>
                <w:sz w:val="24"/>
                <w:szCs w:val="24"/>
              </w:rPr>
              <w:t>euro</w:t>
            </w:r>
            <w:r w:rsidRPr="00CB33DF">
              <w:rPr>
                <w:rFonts w:ascii="Times New Roman" w:hAnsi="Times New Roman" w:cs="Times New Roman"/>
                <w:b/>
                <w:bCs/>
                <w:sz w:val="24"/>
                <w:szCs w:val="24"/>
              </w:rPr>
              <w:t xml:space="preserve"> x 0,</w:t>
            </w:r>
            <w:r w:rsidR="00640A5B" w:rsidRPr="00CB33DF">
              <w:rPr>
                <w:rFonts w:ascii="Times New Roman" w:hAnsi="Times New Roman" w:cs="Times New Roman"/>
                <w:b/>
                <w:bCs/>
                <w:sz w:val="24"/>
                <w:szCs w:val="24"/>
              </w:rPr>
              <w:t>1</w:t>
            </w:r>
            <w:r w:rsidRPr="00CB33DF">
              <w:rPr>
                <w:rFonts w:ascii="Times New Roman" w:hAnsi="Times New Roman" w:cs="Times New Roman"/>
                <w:b/>
                <w:bCs/>
                <w:sz w:val="24"/>
                <w:szCs w:val="24"/>
              </w:rPr>
              <w:t xml:space="preserve"> = </w:t>
            </w:r>
            <w:r w:rsidR="00640A5B" w:rsidRPr="00CB33DF">
              <w:rPr>
                <w:rFonts w:ascii="Times New Roman" w:hAnsi="Times New Roman" w:cs="Times New Roman"/>
                <w:b/>
                <w:bCs/>
                <w:sz w:val="24"/>
                <w:szCs w:val="24"/>
              </w:rPr>
              <w:t>4,26</w:t>
            </w:r>
            <w:r w:rsidRPr="00CB33DF">
              <w:rPr>
                <w:rFonts w:ascii="Times New Roman" w:hAnsi="Times New Roman" w:cs="Times New Roman"/>
                <w:b/>
                <w:bCs/>
                <w:sz w:val="24"/>
                <w:szCs w:val="24"/>
              </w:rPr>
              <w:t xml:space="preserve"> milj. </w:t>
            </w:r>
            <w:r w:rsidRPr="00CB33DF">
              <w:rPr>
                <w:rFonts w:ascii="Times New Roman" w:hAnsi="Times New Roman" w:cs="Times New Roman"/>
                <w:b/>
                <w:bCs/>
                <w:i/>
                <w:iCs/>
                <w:sz w:val="24"/>
                <w:szCs w:val="24"/>
              </w:rPr>
              <w:t>euro</w:t>
            </w:r>
            <w:r w:rsidRPr="00CB33DF">
              <w:rPr>
                <w:rFonts w:ascii="Times New Roman" w:hAnsi="Times New Roman" w:cs="Times New Roman"/>
                <w:bCs/>
                <w:sz w:val="24"/>
                <w:szCs w:val="24"/>
              </w:rPr>
              <w:t xml:space="preserve"> un attiecīgi par laimestiem maksājamais IIN būs </w:t>
            </w:r>
            <w:r w:rsidR="00640A5B" w:rsidRPr="00CB33DF">
              <w:rPr>
                <w:rFonts w:ascii="Times New Roman" w:hAnsi="Times New Roman" w:cs="Times New Roman"/>
                <w:b/>
                <w:bCs/>
                <w:sz w:val="24"/>
                <w:szCs w:val="24"/>
              </w:rPr>
              <w:t>4,26</w:t>
            </w:r>
            <w:r w:rsidRPr="00CB33DF">
              <w:rPr>
                <w:rFonts w:ascii="Times New Roman" w:hAnsi="Times New Roman" w:cs="Times New Roman"/>
                <w:b/>
                <w:bCs/>
                <w:sz w:val="24"/>
                <w:szCs w:val="24"/>
              </w:rPr>
              <w:t xml:space="preserve"> milj. </w:t>
            </w:r>
            <w:r w:rsidRPr="00CB33DF">
              <w:rPr>
                <w:rFonts w:ascii="Times New Roman" w:hAnsi="Times New Roman" w:cs="Times New Roman"/>
                <w:b/>
                <w:bCs/>
                <w:i/>
                <w:sz w:val="24"/>
                <w:szCs w:val="24"/>
              </w:rPr>
              <w:t>euro</w:t>
            </w:r>
            <w:r w:rsidRPr="00CB33DF">
              <w:rPr>
                <w:rFonts w:ascii="Times New Roman" w:hAnsi="Times New Roman" w:cs="Times New Roman"/>
                <w:b/>
                <w:bCs/>
                <w:sz w:val="24"/>
                <w:szCs w:val="24"/>
              </w:rPr>
              <w:t xml:space="preserve"> x 0,23 = </w:t>
            </w:r>
            <w:r w:rsidR="00640A5B" w:rsidRPr="00CB33DF">
              <w:rPr>
                <w:rFonts w:ascii="Times New Roman" w:hAnsi="Times New Roman" w:cs="Times New Roman"/>
                <w:b/>
                <w:bCs/>
                <w:sz w:val="24"/>
                <w:szCs w:val="24"/>
              </w:rPr>
              <w:t>0,97</w:t>
            </w:r>
            <w:r w:rsidRPr="00CB33DF">
              <w:rPr>
                <w:rFonts w:ascii="Times New Roman" w:hAnsi="Times New Roman" w:cs="Times New Roman"/>
                <w:b/>
                <w:bCs/>
                <w:sz w:val="24"/>
                <w:szCs w:val="24"/>
              </w:rPr>
              <w:t xml:space="preserve"> milj. </w:t>
            </w:r>
            <w:r w:rsidRPr="00CB33DF">
              <w:rPr>
                <w:rFonts w:ascii="Times New Roman" w:hAnsi="Times New Roman" w:cs="Times New Roman"/>
                <w:b/>
                <w:bCs/>
                <w:i/>
                <w:sz w:val="24"/>
                <w:szCs w:val="24"/>
              </w:rPr>
              <w:t>euro</w:t>
            </w:r>
            <w:r w:rsidRPr="00CB33DF">
              <w:rPr>
                <w:rFonts w:ascii="Times New Roman" w:hAnsi="Times New Roman" w:cs="Times New Roman"/>
                <w:b/>
                <w:bCs/>
                <w:sz w:val="24"/>
                <w:szCs w:val="24"/>
              </w:rPr>
              <w:t xml:space="preserve">, </w:t>
            </w:r>
            <w:r w:rsidRPr="00CB33DF">
              <w:rPr>
                <w:rFonts w:ascii="Times New Roman" w:hAnsi="Times New Roman" w:cs="Times New Roman"/>
                <w:sz w:val="24"/>
                <w:szCs w:val="24"/>
              </w:rPr>
              <w:t xml:space="preserve">gan attiecīgi komersantu ienākumu pieaugums varētu būt </w:t>
            </w:r>
            <w:r w:rsidR="0096587A" w:rsidRPr="00CB33DF">
              <w:rPr>
                <w:rFonts w:ascii="Times New Roman" w:hAnsi="Times New Roman" w:cs="Times New Roman"/>
                <w:sz w:val="24"/>
                <w:szCs w:val="24"/>
              </w:rPr>
              <w:t>6</w:t>
            </w:r>
            <w:r w:rsidRPr="00CB33DF">
              <w:rPr>
                <w:rFonts w:ascii="Times New Roman" w:hAnsi="Times New Roman" w:cs="Times New Roman"/>
                <w:sz w:val="24"/>
                <w:szCs w:val="24"/>
              </w:rPr>
              <w:t xml:space="preserve">0% apmērā </w:t>
            </w:r>
            <w:r w:rsidRPr="00CB33DF">
              <w:rPr>
                <w:rFonts w:ascii="Times New Roman" w:hAnsi="Times New Roman" w:cs="Times New Roman"/>
                <w:b/>
                <w:bCs/>
                <w:sz w:val="24"/>
                <w:szCs w:val="24"/>
              </w:rPr>
              <w:t xml:space="preserve">28,4 milj. </w:t>
            </w:r>
            <w:r w:rsidRPr="00CB33DF">
              <w:rPr>
                <w:rFonts w:ascii="Times New Roman" w:hAnsi="Times New Roman" w:cs="Times New Roman"/>
                <w:b/>
                <w:bCs/>
                <w:i/>
                <w:iCs/>
                <w:sz w:val="24"/>
                <w:szCs w:val="24"/>
              </w:rPr>
              <w:t>euro</w:t>
            </w:r>
            <w:r w:rsidRPr="00CB33DF">
              <w:rPr>
                <w:rFonts w:ascii="Times New Roman" w:hAnsi="Times New Roman" w:cs="Times New Roman"/>
                <w:b/>
                <w:bCs/>
                <w:sz w:val="24"/>
                <w:szCs w:val="24"/>
              </w:rPr>
              <w:t xml:space="preserve"> x 0,</w:t>
            </w:r>
            <w:r w:rsidR="005E443E" w:rsidRPr="00CB33DF">
              <w:rPr>
                <w:rFonts w:ascii="Times New Roman" w:hAnsi="Times New Roman" w:cs="Times New Roman"/>
                <w:b/>
                <w:bCs/>
                <w:sz w:val="24"/>
                <w:szCs w:val="24"/>
              </w:rPr>
              <w:t>6</w:t>
            </w:r>
            <w:r w:rsidRPr="00CB33DF">
              <w:rPr>
                <w:rFonts w:ascii="Times New Roman" w:hAnsi="Times New Roman" w:cs="Times New Roman"/>
                <w:b/>
                <w:bCs/>
                <w:sz w:val="24"/>
                <w:szCs w:val="24"/>
              </w:rPr>
              <w:t xml:space="preserve"> = </w:t>
            </w:r>
            <w:r w:rsidR="005E443E" w:rsidRPr="00CB33DF">
              <w:rPr>
                <w:rFonts w:ascii="Times New Roman" w:hAnsi="Times New Roman" w:cs="Times New Roman"/>
                <w:b/>
                <w:bCs/>
                <w:sz w:val="24"/>
                <w:szCs w:val="24"/>
              </w:rPr>
              <w:t>17,05</w:t>
            </w:r>
            <w:r w:rsidRPr="00CB33DF">
              <w:rPr>
                <w:rFonts w:ascii="Times New Roman" w:hAnsi="Times New Roman" w:cs="Times New Roman"/>
                <w:b/>
                <w:bCs/>
                <w:sz w:val="24"/>
                <w:szCs w:val="24"/>
              </w:rPr>
              <w:t xml:space="preserve"> milj. </w:t>
            </w:r>
            <w:r w:rsidRPr="00CB33DF">
              <w:rPr>
                <w:rFonts w:ascii="Times New Roman" w:hAnsi="Times New Roman" w:cs="Times New Roman"/>
                <w:b/>
                <w:bCs/>
                <w:i/>
                <w:iCs/>
                <w:sz w:val="24"/>
                <w:szCs w:val="24"/>
              </w:rPr>
              <w:t>euro</w:t>
            </w:r>
            <w:r w:rsidRPr="00CB33DF">
              <w:rPr>
                <w:rFonts w:ascii="Times New Roman" w:hAnsi="Times New Roman" w:cs="Times New Roman"/>
                <w:bCs/>
                <w:iCs/>
                <w:sz w:val="24"/>
                <w:szCs w:val="24"/>
              </w:rPr>
              <w:t xml:space="preserve"> un attiecīgi tiktu iekasēts</w:t>
            </w:r>
            <w:r w:rsidRPr="00CB33DF">
              <w:rPr>
                <w:rFonts w:ascii="Times New Roman" w:hAnsi="Times New Roman" w:cs="Times New Roman"/>
                <w:b/>
                <w:bCs/>
                <w:i/>
                <w:iCs/>
                <w:sz w:val="24"/>
                <w:szCs w:val="24"/>
              </w:rPr>
              <w:t xml:space="preserve"> </w:t>
            </w:r>
            <w:r w:rsidRPr="00CB33DF">
              <w:rPr>
                <w:rFonts w:ascii="Times New Roman" w:hAnsi="Times New Roman" w:cs="Times New Roman"/>
                <w:sz w:val="24"/>
                <w:szCs w:val="24"/>
              </w:rPr>
              <w:t xml:space="preserve">azartspēļu nodoklis </w:t>
            </w:r>
            <w:r w:rsidR="005E443E" w:rsidRPr="00CB33DF">
              <w:rPr>
                <w:rFonts w:ascii="Times New Roman" w:hAnsi="Times New Roman" w:cs="Times New Roman"/>
                <w:b/>
                <w:sz w:val="24"/>
                <w:szCs w:val="24"/>
              </w:rPr>
              <w:t xml:space="preserve">17,05 milj. </w:t>
            </w:r>
            <w:r w:rsidR="005E443E" w:rsidRPr="00CB33DF">
              <w:rPr>
                <w:rFonts w:ascii="Times New Roman" w:hAnsi="Times New Roman" w:cs="Times New Roman"/>
                <w:b/>
                <w:i/>
                <w:sz w:val="24"/>
                <w:szCs w:val="24"/>
              </w:rPr>
              <w:t>euro</w:t>
            </w:r>
            <w:r w:rsidR="005E443E" w:rsidRPr="00CB33DF">
              <w:rPr>
                <w:rFonts w:ascii="Times New Roman" w:hAnsi="Times New Roman" w:cs="Times New Roman"/>
                <w:b/>
                <w:sz w:val="24"/>
                <w:szCs w:val="24"/>
              </w:rPr>
              <w:t xml:space="preserve"> x 0,1= 1,71 milj. </w:t>
            </w:r>
            <w:r w:rsidR="005E443E" w:rsidRPr="00CB33DF">
              <w:rPr>
                <w:rFonts w:ascii="Times New Roman" w:hAnsi="Times New Roman" w:cs="Times New Roman"/>
                <w:b/>
                <w:i/>
                <w:sz w:val="24"/>
                <w:szCs w:val="24"/>
              </w:rPr>
              <w:t>euro</w:t>
            </w:r>
            <w:r w:rsidR="005E443E" w:rsidRPr="00CB33DF">
              <w:rPr>
                <w:rFonts w:ascii="Times New Roman" w:hAnsi="Times New Roman" w:cs="Times New Roman"/>
                <w:b/>
                <w:sz w:val="24"/>
                <w:szCs w:val="24"/>
              </w:rPr>
              <w:t>.</w:t>
            </w:r>
          </w:p>
          <w:p w14:paraId="54ECA687" w14:textId="77777777" w:rsidR="00E265A1" w:rsidRPr="00CB33DF" w:rsidRDefault="00E265A1" w:rsidP="00E265A1">
            <w:pPr>
              <w:spacing w:after="0"/>
              <w:jc w:val="both"/>
              <w:rPr>
                <w:rFonts w:ascii="Times New Roman" w:hAnsi="Times New Roman" w:cs="Times New Roman"/>
                <w:b/>
                <w:bCs/>
                <w:i/>
                <w:iCs/>
                <w:sz w:val="24"/>
                <w:szCs w:val="24"/>
              </w:rPr>
            </w:pPr>
            <w:r w:rsidRPr="00CB33DF">
              <w:rPr>
                <w:rFonts w:ascii="Times New Roman" w:hAnsi="Times New Roman" w:cs="Times New Roman"/>
                <w:b/>
                <w:bCs/>
                <w:i/>
                <w:iCs/>
                <w:sz w:val="24"/>
                <w:szCs w:val="24"/>
              </w:rPr>
              <w:t xml:space="preserve">Azartspēļu nodokļa kopējā summa </w:t>
            </w:r>
            <w:r w:rsidR="00424454">
              <w:rPr>
                <w:rFonts w:ascii="Times New Roman" w:hAnsi="Times New Roman" w:cs="Times New Roman"/>
                <w:b/>
                <w:bCs/>
                <w:i/>
                <w:iCs/>
                <w:sz w:val="24"/>
                <w:szCs w:val="24"/>
              </w:rPr>
              <w:t>ir</w:t>
            </w:r>
            <w:r w:rsidRPr="00CB33DF">
              <w:rPr>
                <w:rFonts w:ascii="Times New Roman" w:hAnsi="Times New Roman" w:cs="Times New Roman"/>
                <w:b/>
                <w:bCs/>
                <w:i/>
                <w:iCs/>
                <w:sz w:val="24"/>
                <w:szCs w:val="24"/>
              </w:rPr>
              <w:t xml:space="preserve"> </w:t>
            </w:r>
            <w:r w:rsidRPr="00CB33DF">
              <w:rPr>
                <w:rFonts w:ascii="Times New Roman" w:hAnsi="Times New Roman" w:cs="Times New Roman"/>
                <w:b/>
                <w:bCs/>
                <w:sz w:val="24"/>
                <w:szCs w:val="24"/>
              </w:rPr>
              <w:t xml:space="preserve">0,28 milj. </w:t>
            </w:r>
            <w:r w:rsidRPr="00CB33DF">
              <w:rPr>
                <w:rFonts w:ascii="Times New Roman" w:hAnsi="Times New Roman" w:cs="Times New Roman"/>
                <w:b/>
                <w:bCs/>
                <w:i/>
                <w:iCs/>
                <w:sz w:val="24"/>
                <w:szCs w:val="24"/>
              </w:rPr>
              <w:t>euro+</w:t>
            </w:r>
            <w:r w:rsidRPr="00CB33DF">
              <w:rPr>
                <w:rFonts w:ascii="Times New Roman" w:hAnsi="Times New Roman" w:cs="Times New Roman"/>
                <w:b/>
                <w:bCs/>
                <w:sz w:val="24"/>
                <w:szCs w:val="24"/>
              </w:rPr>
              <w:t>1,</w:t>
            </w:r>
            <w:r w:rsidR="005E443E" w:rsidRPr="00CB33DF">
              <w:rPr>
                <w:rFonts w:ascii="Times New Roman" w:hAnsi="Times New Roman" w:cs="Times New Roman"/>
                <w:b/>
                <w:bCs/>
                <w:sz w:val="24"/>
                <w:szCs w:val="24"/>
              </w:rPr>
              <w:t>71</w:t>
            </w:r>
            <w:r w:rsidRPr="00CB33DF">
              <w:rPr>
                <w:rFonts w:ascii="Times New Roman" w:hAnsi="Times New Roman" w:cs="Times New Roman"/>
                <w:b/>
                <w:bCs/>
                <w:sz w:val="24"/>
                <w:szCs w:val="24"/>
              </w:rPr>
              <w:t xml:space="preserve"> milj. </w:t>
            </w:r>
            <w:r w:rsidRPr="00CB33DF">
              <w:rPr>
                <w:rFonts w:ascii="Times New Roman" w:hAnsi="Times New Roman" w:cs="Times New Roman"/>
                <w:b/>
                <w:bCs/>
                <w:i/>
                <w:iCs/>
                <w:sz w:val="24"/>
                <w:szCs w:val="24"/>
              </w:rPr>
              <w:t xml:space="preserve">euro = </w:t>
            </w:r>
            <w:r w:rsidR="005E443E" w:rsidRPr="00CB33DF">
              <w:rPr>
                <w:rFonts w:ascii="Times New Roman" w:hAnsi="Times New Roman" w:cs="Times New Roman"/>
                <w:b/>
                <w:bCs/>
                <w:i/>
                <w:iCs/>
                <w:sz w:val="24"/>
                <w:szCs w:val="24"/>
              </w:rPr>
              <w:t>1,99</w:t>
            </w:r>
            <w:r w:rsidRPr="00CB33DF">
              <w:rPr>
                <w:rFonts w:ascii="Times New Roman" w:hAnsi="Times New Roman" w:cs="Times New Roman"/>
                <w:b/>
                <w:bCs/>
                <w:i/>
                <w:iCs/>
                <w:sz w:val="24"/>
                <w:szCs w:val="24"/>
              </w:rPr>
              <w:t xml:space="preserve"> </w:t>
            </w:r>
            <w:r w:rsidRPr="00CB33DF">
              <w:rPr>
                <w:rFonts w:ascii="Times New Roman" w:hAnsi="Times New Roman" w:cs="Times New Roman"/>
                <w:b/>
                <w:bCs/>
                <w:sz w:val="24"/>
                <w:szCs w:val="24"/>
              </w:rPr>
              <w:t xml:space="preserve">milj. </w:t>
            </w:r>
            <w:r w:rsidRPr="00CB33DF">
              <w:rPr>
                <w:rFonts w:ascii="Times New Roman" w:hAnsi="Times New Roman" w:cs="Times New Roman"/>
                <w:b/>
                <w:bCs/>
                <w:i/>
                <w:iCs/>
                <w:sz w:val="24"/>
                <w:szCs w:val="24"/>
              </w:rPr>
              <w:t xml:space="preserve">euro </w:t>
            </w:r>
          </w:p>
          <w:p w14:paraId="15BD5F23" w14:textId="77777777" w:rsidR="008E7D28" w:rsidRPr="00CB33DF" w:rsidRDefault="00E265A1" w:rsidP="005E443E">
            <w:pPr>
              <w:spacing w:after="0" w:line="240" w:lineRule="auto"/>
              <w:jc w:val="both"/>
              <w:rPr>
                <w:rFonts w:ascii="Times New Roman" w:hAnsi="Times New Roman" w:cs="Times New Roman"/>
                <w:b/>
                <w:bCs/>
                <w:i/>
                <w:iCs/>
                <w:sz w:val="24"/>
                <w:szCs w:val="24"/>
              </w:rPr>
            </w:pPr>
            <w:r w:rsidRPr="00CB33DF">
              <w:rPr>
                <w:rFonts w:ascii="Times New Roman" w:hAnsi="Times New Roman" w:cs="Times New Roman"/>
                <w:b/>
                <w:bCs/>
                <w:i/>
                <w:iCs/>
                <w:sz w:val="24"/>
                <w:szCs w:val="24"/>
              </w:rPr>
              <w:t xml:space="preserve">Iedzīvotāju ienākuma nodokļa kopējā summa </w:t>
            </w:r>
            <w:r w:rsidR="00424454">
              <w:rPr>
                <w:rFonts w:ascii="Times New Roman" w:hAnsi="Times New Roman" w:cs="Times New Roman"/>
                <w:b/>
                <w:bCs/>
                <w:i/>
                <w:iCs/>
                <w:sz w:val="24"/>
                <w:szCs w:val="24"/>
              </w:rPr>
              <w:t>ir</w:t>
            </w:r>
            <w:r w:rsidRPr="00CB33DF">
              <w:rPr>
                <w:rFonts w:ascii="Times New Roman" w:hAnsi="Times New Roman" w:cs="Times New Roman"/>
                <w:b/>
                <w:bCs/>
                <w:i/>
                <w:iCs/>
                <w:sz w:val="24"/>
                <w:szCs w:val="24"/>
              </w:rPr>
              <w:t xml:space="preserve"> </w:t>
            </w:r>
            <w:r w:rsidRPr="00CB33DF">
              <w:rPr>
                <w:rFonts w:ascii="Times New Roman" w:hAnsi="Times New Roman" w:cs="Times New Roman"/>
                <w:b/>
                <w:bCs/>
                <w:sz w:val="24"/>
                <w:szCs w:val="24"/>
              </w:rPr>
              <w:t>0</w:t>
            </w:r>
            <w:r w:rsidR="005E443E" w:rsidRPr="00CB33DF">
              <w:rPr>
                <w:rFonts w:ascii="Times New Roman" w:hAnsi="Times New Roman" w:cs="Times New Roman"/>
                <w:b/>
                <w:bCs/>
                <w:sz w:val="24"/>
                <w:szCs w:val="24"/>
              </w:rPr>
              <w:t>,48</w:t>
            </w:r>
            <w:r w:rsidRPr="00CB33DF">
              <w:rPr>
                <w:rFonts w:ascii="Times New Roman" w:hAnsi="Times New Roman" w:cs="Times New Roman"/>
                <w:b/>
                <w:bCs/>
                <w:sz w:val="24"/>
                <w:szCs w:val="24"/>
              </w:rPr>
              <w:t xml:space="preserve"> milj. </w:t>
            </w:r>
            <w:r w:rsidRPr="00CB33DF">
              <w:rPr>
                <w:rFonts w:ascii="Times New Roman" w:hAnsi="Times New Roman" w:cs="Times New Roman"/>
                <w:b/>
                <w:bCs/>
                <w:i/>
                <w:iCs/>
                <w:sz w:val="24"/>
                <w:szCs w:val="24"/>
              </w:rPr>
              <w:t>euro</w:t>
            </w:r>
            <w:r w:rsidRPr="00CB33DF">
              <w:rPr>
                <w:b/>
                <w:bCs/>
                <w:i/>
                <w:iCs/>
                <w:sz w:val="24"/>
                <w:szCs w:val="24"/>
              </w:rPr>
              <w:t xml:space="preserve"> + </w:t>
            </w:r>
            <w:r w:rsidR="005E443E" w:rsidRPr="00CB33DF">
              <w:rPr>
                <w:rFonts w:ascii="Times New Roman" w:hAnsi="Times New Roman" w:cs="Times New Roman"/>
                <w:b/>
                <w:bCs/>
                <w:sz w:val="24"/>
                <w:szCs w:val="24"/>
              </w:rPr>
              <w:t>0,97</w:t>
            </w:r>
            <w:r w:rsidRPr="00CB33DF">
              <w:rPr>
                <w:rFonts w:ascii="Times New Roman" w:hAnsi="Times New Roman" w:cs="Times New Roman"/>
                <w:b/>
                <w:bCs/>
                <w:sz w:val="24"/>
                <w:szCs w:val="24"/>
              </w:rPr>
              <w:t xml:space="preserve"> milj. </w:t>
            </w:r>
            <w:r w:rsidRPr="00CB33DF">
              <w:rPr>
                <w:rFonts w:ascii="Times New Roman" w:hAnsi="Times New Roman" w:cs="Times New Roman"/>
                <w:b/>
                <w:bCs/>
                <w:i/>
                <w:iCs/>
                <w:sz w:val="24"/>
                <w:szCs w:val="24"/>
              </w:rPr>
              <w:t xml:space="preserve">euro = </w:t>
            </w:r>
            <w:r w:rsidR="005E443E" w:rsidRPr="00CB33DF">
              <w:rPr>
                <w:rFonts w:ascii="Times New Roman" w:hAnsi="Times New Roman" w:cs="Times New Roman"/>
                <w:b/>
                <w:bCs/>
                <w:i/>
                <w:iCs/>
                <w:sz w:val="24"/>
                <w:szCs w:val="24"/>
              </w:rPr>
              <w:t>1,45</w:t>
            </w:r>
            <w:r w:rsidRPr="00CB33DF">
              <w:rPr>
                <w:rFonts w:ascii="Times New Roman" w:hAnsi="Times New Roman" w:cs="Times New Roman"/>
                <w:b/>
                <w:bCs/>
                <w:i/>
                <w:iCs/>
                <w:sz w:val="24"/>
                <w:szCs w:val="24"/>
              </w:rPr>
              <w:t xml:space="preserve"> </w:t>
            </w:r>
            <w:r w:rsidRPr="00CB33DF">
              <w:rPr>
                <w:rFonts w:ascii="Times New Roman" w:hAnsi="Times New Roman" w:cs="Times New Roman"/>
                <w:b/>
                <w:bCs/>
                <w:sz w:val="24"/>
                <w:szCs w:val="24"/>
              </w:rPr>
              <w:t xml:space="preserve">milj. </w:t>
            </w:r>
            <w:r w:rsidRPr="00CB33DF">
              <w:rPr>
                <w:rFonts w:ascii="Times New Roman" w:hAnsi="Times New Roman" w:cs="Times New Roman"/>
                <w:b/>
                <w:bCs/>
                <w:i/>
                <w:iCs/>
                <w:sz w:val="24"/>
                <w:szCs w:val="24"/>
              </w:rPr>
              <w:t>euro</w:t>
            </w:r>
            <w:r w:rsidR="007D13F7" w:rsidRPr="00CB33DF">
              <w:rPr>
                <w:rFonts w:ascii="Times New Roman" w:hAnsi="Times New Roman" w:cs="Times New Roman"/>
                <w:b/>
                <w:bCs/>
                <w:i/>
                <w:iCs/>
                <w:sz w:val="24"/>
                <w:szCs w:val="24"/>
              </w:rPr>
              <w:t>.</w:t>
            </w:r>
          </w:p>
          <w:p w14:paraId="1CF7903E" w14:textId="77777777" w:rsidR="00640A5B" w:rsidRPr="00CB33DF" w:rsidRDefault="00640A5B" w:rsidP="00640A5B">
            <w:pPr>
              <w:spacing w:after="0" w:line="240" w:lineRule="auto"/>
              <w:jc w:val="both"/>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Fiskālā ietekme iekļauta vidējā termiņa budžeta ieņēmumu prognozēs, pamatojoties uz 2019.gada 5.februārī Ministru kabinetā apstiprināto informatīvo ziņojumu “Par makroekonomiski rādītāju, ieņēmumu un vispārējās valdības budžeta bilances prognozēm 2019.-2021.gadā”.</w:t>
            </w:r>
          </w:p>
        </w:tc>
      </w:tr>
      <w:tr w:rsidR="00CB33DF" w:rsidRPr="00CB33DF" w14:paraId="05F166EA" w14:textId="77777777" w:rsidTr="006201F2">
        <w:trPr>
          <w:trHeight w:val="700"/>
          <w:tblCellSpacing w:w="15" w:type="dxa"/>
        </w:trPr>
        <w:tc>
          <w:tcPr>
            <w:tcW w:w="288" w:type="pct"/>
            <w:hideMark/>
          </w:tcPr>
          <w:p w14:paraId="2B7F0FE1" w14:textId="77777777" w:rsidR="008E7D28" w:rsidRPr="00CB33DF" w:rsidRDefault="008E7D28" w:rsidP="008E7D28">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lastRenderedPageBreak/>
              <w:t>6.1. detalizēts ieņēmumu aprēķins</w:t>
            </w:r>
          </w:p>
        </w:tc>
        <w:tc>
          <w:tcPr>
            <w:tcW w:w="4663" w:type="pct"/>
            <w:gridSpan w:val="7"/>
            <w:vMerge/>
            <w:vAlign w:val="center"/>
            <w:hideMark/>
          </w:tcPr>
          <w:p w14:paraId="4490E6C2" w14:textId="77777777" w:rsidR="008E7D28" w:rsidRPr="00CB33DF" w:rsidRDefault="008E7D28" w:rsidP="008E7D28">
            <w:pPr>
              <w:spacing w:after="0" w:line="240" w:lineRule="auto"/>
              <w:rPr>
                <w:rFonts w:ascii="Times New Roman" w:eastAsia="Times New Roman" w:hAnsi="Times New Roman" w:cs="Times New Roman"/>
                <w:sz w:val="24"/>
                <w:szCs w:val="24"/>
                <w:lang w:eastAsia="lv-LV"/>
              </w:rPr>
            </w:pPr>
          </w:p>
        </w:tc>
      </w:tr>
      <w:tr w:rsidR="00CB33DF" w:rsidRPr="00CB33DF" w14:paraId="6201C2AA" w14:textId="77777777" w:rsidTr="006201F2">
        <w:trPr>
          <w:tblCellSpacing w:w="15" w:type="dxa"/>
        </w:trPr>
        <w:tc>
          <w:tcPr>
            <w:tcW w:w="288" w:type="pct"/>
            <w:hideMark/>
          </w:tcPr>
          <w:p w14:paraId="1905C899" w14:textId="77777777" w:rsidR="008E7D28" w:rsidRPr="00CB33DF" w:rsidRDefault="008E7D28" w:rsidP="008E7D28">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6.2. detalizēts izdevumu aprēķins</w:t>
            </w:r>
          </w:p>
        </w:tc>
        <w:tc>
          <w:tcPr>
            <w:tcW w:w="4663" w:type="pct"/>
            <w:gridSpan w:val="7"/>
            <w:vMerge/>
            <w:vAlign w:val="center"/>
            <w:hideMark/>
          </w:tcPr>
          <w:p w14:paraId="0DED41CB" w14:textId="77777777" w:rsidR="008E7D28" w:rsidRPr="00CB33DF" w:rsidRDefault="008E7D28" w:rsidP="008E7D28">
            <w:pPr>
              <w:spacing w:after="0" w:line="240" w:lineRule="auto"/>
              <w:rPr>
                <w:rFonts w:ascii="Times New Roman" w:eastAsia="Times New Roman" w:hAnsi="Times New Roman" w:cs="Times New Roman"/>
                <w:sz w:val="24"/>
                <w:szCs w:val="24"/>
                <w:lang w:eastAsia="lv-LV"/>
              </w:rPr>
            </w:pPr>
          </w:p>
        </w:tc>
      </w:tr>
      <w:tr w:rsidR="00CB33DF" w:rsidRPr="00CB33DF" w14:paraId="05E0623B" w14:textId="77777777" w:rsidTr="006201F2">
        <w:trPr>
          <w:tblCellSpacing w:w="15" w:type="dxa"/>
        </w:trPr>
        <w:tc>
          <w:tcPr>
            <w:tcW w:w="288" w:type="pct"/>
            <w:hideMark/>
          </w:tcPr>
          <w:p w14:paraId="7895DD41" w14:textId="77777777" w:rsidR="008E7D28" w:rsidRPr="00CB33DF" w:rsidRDefault="008E7D28" w:rsidP="008E7D28">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7. Amata vietu skaita izmaiņas</w:t>
            </w:r>
          </w:p>
        </w:tc>
        <w:tc>
          <w:tcPr>
            <w:tcW w:w="4663" w:type="pct"/>
            <w:gridSpan w:val="7"/>
            <w:hideMark/>
          </w:tcPr>
          <w:p w14:paraId="2855FD3A" w14:textId="77777777" w:rsidR="008E7D28" w:rsidRPr="00CB33DF" w:rsidRDefault="008E7D28" w:rsidP="008E7D28">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iCs/>
                <w:sz w:val="24"/>
                <w:szCs w:val="24"/>
                <w:lang w:eastAsia="lv-LV"/>
              </w:rPr>
              <w:t>Likumprojekts šo jomu neskar.</w:t>
            </w:r>
          </w:p>
        </w:tc>
      </w:tr>
      <w:tr w:rsidR="00CB33DF" w:rsidRPr="00CB33DF" w14:paraId="38CE974C" w14:textId="77777777" w:rsidTr="006201F2">
        <w:trPr>
          <w:tblCellSpacing w:w="15" w:type="dxa"/>
        </w:trPr>
        <w:tc>
          <w:tcPr>
            <w:tcW w:w="288" w:type="pct"/>
            <w:hideMark/>
          </w:tcPr>
          <w:p w14:paraId="0C2521D7" w14:textId="77777777" w:rsidR="008E7D28" w:rsidRPr="00CB33DF" w:rsidRDefault="008E7D28" w:rsidP="008E7D28">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8. Cita informācija</w:t>
            </w:r>
          </w:p>
        </w:tc>
        <w:tc>
          <w:tcPr>
            <w:tcW w:w="4663" w:type="pct"/>
            <w:gridSpan w:val="7"/>
            <w:hideMark/>
          </w:tcPr>
          <w:p w14:paraId="078FF59F" w14:textId="77777777" w:rsidR="008E7D28" w:rsidRPr="00CB33DF" w:rsidRDefault="00E265A1" w:rsidP="008E7D28">
            <w:pPr>
              <w:spacing w:after="0" w:line="240" w:lineRule="auto"/>
              <w:jc w:val="both"/>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Nav</w:t>
            </w:r>
            <w:r w:rsidR="00224793" w:rsidRPr="00CB33DF">
              <w:rPr>
                <w:rFonts w:ascii="Times New Roman" w:eastAsia="Times New Roman" w:hAnsi="Times New Roman" w:cs="Times New Roman"/>
                <w:sz w:val="24"/>
                <w:szCs w:val="24"/>
                <w:lang w:eastAsia="lv-LV"/>
              </w:rPr>
              <w:t>.</w:t>
            </w:r>
          </w:p>
        </w:tc>
      </w:tr>
    </w:tbl>
    <w:p w14:paraId="688F23D6" w14:textId="77777777" w:rsidR="003A0997" w:rsidRPr="00CB33DF" w:rsidRDefault="003A0997" w:rsidP="003A0997">
      <w:pPr>
        <w:shd w:val="clear" w:color="auto" w:fill="FFFFFF"/>
        <w:spacing w:after="0" w:line="240" w:lineRule="auto"/>
        <w:ind w:firstLine="301"/>
        <w:rPr>
          <w:rFonts w:ascii="Times New Roman" w:eastAsia="Times New Roman" w:hAnsi="Times New Roman" w:cs="Times New Roman"/>
          <w:sz w:val="25"/>
          <w:szCs w:val="25"/>
          <w:lang w:eastAsia="lv-LV"/>
        </w:rPr>
      </w:pPr>
    </w:p>
    <w:tbl>
      <w:tblPr>
        <w:tblW w:w="5009" w:type="pct"/>
        <w:tblCellSpacing w:w="1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2"/>
        <w:gridCol w:w="2971"/>
        <w:gridCol w:w="5684"/>
      </w:tblGrid>
      <w:tr w:rsidR="00CB33DF" w:rsidRPr="00CB33DF" w14:paraId="09D7858D" w14:textId="77777777" w:rsidTr="00C3138D">
        <w:trPr>
          <w:tblCellSpacing w:w="15" w:type="dxa"/>
        </w:trPr>
        <w:tc>
          <w:tcPr>
            <w:tcW w:w="4967" w:type="pct"/>
            <w:gridSpan w:val="3"/>
            <w:vAlign w:val="center"/>
            <w:hideMark/>
          </w:tcPr>
          <w:p w14:paraId="565EB1CA" w14:textId="77777777" w:rsidR="005F34BC" w:rsidRPr="00CB33DF" w:rsidRDefault="005F34BC" w:rsidP="005F34BC">
            <w:pPr>
              <w:spacing w:after="0" w:line="240" w:lineRule="auto"/>
              <w:jc w:val="both"/>
              <w:rPr>
                <w:rFonts w:ascii="Times New Roman" w:eastAsia="Times New Roman" w:hAnsi="Times New Roman" w:cs="Times New Roman"/>
                <w:b/>
                <w:bCs/>
                <w:sz w:val="24"/>
                <w:szCs w:val="24"/>
                <w:lang w:eastAsia="lv-LV"/>
              </w:rPr>
            </w:pPr>
            <w:r w:rsidRPr="00CB33DF">
              <w:rPr>
                <w:rFonts w:ascii="Times New Roman" w:eastAsia="Times New Roman" w:hAnsi="Times New Roman" w:cs="Times New Roman"/>
                <w:b/>
                <w:bCs/>
                <w:sz w:val="24"/>
                <w:szCs w:val="24"/>
                <w:lang w:eastAsia="lv-LV"/>
              </w:rPr>
              <w:t>IV. Tiesību akta projekta ietekme uz spēkā esošo tiesību normu sistēmu</w:t>
            </w:r>
          </w:p>
        </w:tc>
      </w:tr>
      <w:tr w:rsidR="00CB33DF" w:rsidRPr="00CB33DF" w14:paraId="11BAF2F5" w14:textId="77777777" w:rsidTr="00C3138D">
        <w:trPr>
          <w:tblCellSpacing w:w="15" w:type="dxa"/>
        </w:trPr>
        <w:tc>
          <w:tcPr>
            <w:tcW w:w="209" w:type="pct"/>
            <w:hideMark/>
          </w:tcPr>
          <w:p w14:paraId="2C2B2CAB" w14:textId="77777777" w:rsidR="005F34BC" w:rsidRPr="00CB33DF" w:rsidRDefault="005F34BC" w:rsidP="005F34BC">
            <w:pPr>
              <w:spacing w:after="0" w:line="240" w:lineRule="auto"/>
              <w:jc w:val="both"/>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1.</w:t>
            </w:r>
          </w:p>
        </w:tc>
        <w:tc>
          <w:tcPr>
            <w:tcW w:w="1631" w:type="pct"/>
            <w:hideMark/>
          </w:tcPr>
          <w:p w14:paraId="0F5D69AD" w14:textId="77777777" w:rsidR="005F34BC" w:rsidRPr="00CB33DF" w:rsidRDefault="005F34BC" w:rsidP="005F34BC">
            <w:pPr>
              <w:spacing w:before="75" w:after="75" w:line="240" w:lineRule="auto"/>
              <w:jc w:val="both"/>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Saistītie tiesību aktu projekti</w:t>
            </w:r>
          </w:p>
        </w:tc>
        <w:tc>
          <w:tcPr>
            <w:tcW w:w="3093" w:type="pct"/>
            <w:hideMark/>
          </w:tcPr>
          <w:p w14:paraId="0DABC540" w14:textId="3A12499A" w:rsidR="005F34BC" w:rsidRPr="00CB33DF" w:rsidRDefault="00FC3D5F" w:rsidP="00FC3D5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w:t>
            </w:r>
            <w:r w:rsidR="00B35594" w:rsidRPr="00CB33DF">
              <w:rPr>
                <w:rFonts w:ascii="Times New Roman" w:eastAsia="Times New Roman" w:hAnsi="Times New Roman" w:cs="Times New Roman"/>
                <w:sz w:val="24"/>
                <w:szCs w:val="24"/>
                <w:lang w:eastAsia="lv-LV"/>
              </w:rPr>
              <w:t>rozījumi</w:t>
            </w:r>
            <w:r>
              <w:rPr>
                <w:rFonts w:ascii="Times New Roman" w:eastAsia="Times New Roman" w:hAnsi="Times New Roman" w:cs="Times New Roman"/>
                <w:sz w:val="24"/>
                <w:szCs w:val="24"/>
                <w:lang w:eastAsia="lv-LV"/>
              </w:rPr>
              <w:t xml:space="preserve"> Elektronisko sakaru likumā, G</w:t>
            </w:r>
            <w:r w:rsidR="00B35594" w:rsidRPr="00CB33DF">
              <w:rPr>
                <w:rFonts w:ascii="Times New Roman" w:eastAsia="Times New Roman" w:hAnsi="Times New Roman" w:cs="Times New Roman"/>
                <w:sz w:val="24"/>
                <w:szCs w:val="24"/>
                <w:lang w:eastAsia="lv-LV"/>
              </w:rPr>
              <w:t>rozījumi</w:t>
            </w:r>
            <w:r>
              <w:rPr>
                <w:rFonts w:ascii="Times New Roman" w:eastAsia="Times New Roman" w:hAnsi="Times New Roman" w:cs="Times New Roman"/>
                <w:sz w:val="24"/>
                <w:szCs w:val="24"/>
                <w:lang w:eastAsia="lv-LV"/>
              </w:rPr>
              <w:t xml:space="preserve"> Azartspēļu un izložu likumā, Grozījumi</w:t>
            </w:r>
            <w:r w:rsidR="00B35594" w:rsidRPr="00CB33DF">
              <w:rPr>
                <w:rFonts w:ascii="Times New Roman" w:eastAsia="Times New Roman" w:hAnsi="Times New Roman" w:cs="Times New Roman"/>
                <w:sz w:val="24"/>
                <w:szCs w:val="24"/>
                <w:lang w:eastAsia="lv-LV"/>
              </w:rPr>
              <w:t xml:space="preserve"> Latvijas Administratīvo pārkāpumu kodeksā.</w:t>
            </w:r>
          </w:p>
        </w:tc>
      </w:tr>
      <w:tr w:rsidR="00CB33DF" w:rsidRPr="00CB33DF" w14:paraId="134E53F1" w14:textId="77777777" w:rsidTr="00C3138D">
        <w:trPr>
          <w:tblCellSpacing w:w="15" w:type="dxa"/>
        </w:trPr>
        <w:tc>
          <w:tcPr>
            <w:tcW w:w="209" w:type="pct"/>
            <w:hideMark/>
          </w:tcPr>
          <w:p w14:paraId="4C075827" w14:textId="77777777" w:rsidR="005F34BC" w:rsidRPr="00CB33DF" w:rsidRDefault="005F34BC" w:rsidP="005F34BC">
            <w:pPr>
              <w:spacing w:after="0" w:line="240" w:lineRule="auto"/>
              <w:jc w:val="both"/>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lastRenderedPageBreak/>
              <w:t>2.</w:t>
            </w:r>
          </w:p>
        </w:tc>
        <w:tc>
          <w:tcPr>
            <w:tcW w:w="1631" w:type="pct"/>
            <w:hideMark/>
          </w:tcPr>
          <w:p w14:paraId="50CD9E05" w14:textId="77777777" w:rsidR="005F34BC" w:rsidRPr="00CB33DF" w:rsidRDefault="005F34BC" w:rsidP="005F34BC">
            <w:pPr>
              <w:spacing w:before="75" w:after="75" w:line="240" w:lineRule="auto"/>
              <w:jc w:val="both"/>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Atbildīgā institūcija</w:t>
            </w:r>
          </w:p>
        </w:tc>
        <w:tc>
          <w:tcPr>
            <w:tcW w:w="3093" w:type="pct"/>
            <w:hideMark/>
          </w:tcPr>
          <w:p w14:paraId="7B33F516" w14:textId="77777777" w:rsidR="005F34BC" w:rsidRPr="00CB33DF" w:rsidRDefault="00C3138D" w:rsidP="005F34BC">
            <w:pPr>
              <w:spacing w:before="75" w:after="75" w:line="240" w:lineRule="auto"/>
              <w:jc w:val="both"/>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Finanšu ministrija</w:t>
            </w:r>
            <w:r w:rsidR="00224793" w:rsidRPr="00CB33DF">
              <w:rPr>
                <w:rFonts w:ascii="Times New Roman" w:eastAsia="Times New Roman" w:hAnsi="Times New Roman" w:cs="Times New Roman"/>
                <w:sz w:val="24"/>
                <w:szCs w:val="24"/>
                <w:lang w:eastAsia="lv-LV"/>
              </w:rPr>
              <w:t>.</w:t>
            </w:r>
          </w:p>
        </w:tc>
      </w:tr>
      <w:tr w:rsidR="00CB33DF" w:rsidRPr="00CB33DF" w14:paraId="2B6879EF" w14:textId="77777777" w:rsidTr="00C3138D">
        <w:trPr>
          <w:tblCellSpacing w:w="15" w:type="dxa"/>
        </w:trPr>
        <w:tc>
          <w:tcPr>
            <w:tcW w:w="209" w:type="pct"/>
            <w:hideMark/>
          </w:tcPr>
          <w:p w14:paraId="3EF6FD46" w14:textId="77777777" w:rsidR="005F34BC" w:rsidRPr="00CB33DF" w:rsidRDefault="005F34BC" w:rsidP="005F34BC">
            <w:pPr>
              <w:spacing w:after="0" w:line="240" w:lineRule="auto"/>
              <w:jc w:val="both"/>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3.</w:t>
            </w:r>
          </w:p>
        </w:tc>
        <w:tc>
          <w:tcPr>
            <w:tcW w:w="1631" w:type="pct"/>
            <w:hideMark/>
          </w:tcPr>
          <w:p w14:paraId="245F2D2A" w14:textId="77777777" w:rsidR="005F34BC" w:rsidRPr="00CB33DF" w:rsidRDefault="005F34BC" w:rsidP="005F34BC">
            <w:pPr>
              <w:spacing w:before="75" w:after="75" w:line="240" w:lineRule="auto"/>
              <w:jc w:val="both"/>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Cita informācija</w:t>
            </w:r>
          </w:p>
        </w:tc>
        <w:tc>
          <w:tcPr>
            <w:tcW w:w="3093" w:type="pct"/>
            <w:hideMark/>
          </w:tcPr>
          <w:p w14:paraId="725469B7" w14:textId="77777777" w:rsidR="00A766E5" w:rsidRPr="00CB33DF" w:rsidRDefault="00A934B0" w:rsidP="00320952">
            <w:pPr>
              <w:tabs>
                <w:tab w:val="center" w:pos="4680"/>
                <w:tab w:val="right" w:pos="9360"/>
              </w:tabs>
              <w:spacing w:after="0" w:line="240" w:lineRule="auto"/>
              <w:jc w:val="both"/>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Grozījumi saistītajā Kredītiestāžu likumā netiks veikti, ņemot vērā š.g. 31.janvārī otrajā lasījumā izskatīto un Budžeta un finanšu (nodokļu) komisijas atbalstīto priekšlikumu likumprojektam “Grozījumi Kredītiestāžu likumā” (Nr.79/Lp13), papildinot 62.pantu ar 9.</w:t>
            </w:r>
            <w:r w:rsidRPr="00CB33DF">
              <w:rPr>
                <w:rFonts w:ascii="Times New Roman" w:eastAsia="Times New Roman" w:hAnsi="Times New Roman" w:cs="Times New Roman"/>
                <w:sz w:val="24"/>
                <w:szCs w:val="24"/>
                <w:vertAlign w:val="superscript"/>
                <w:lang w:eastAsia="lv-LV"/>
              </w:rPr>
              <w:t>2</w:t>
            </w:r>
            <w:r w:rsidRPr="00CB33DF">
              <w:rPr>
                <w:rFonts w:ascii="Times New Roman" w:eastAsia="Times New Roman" w:hAnsi="Times New Roman" w:cs="Times New Roman"/>
                <w:sz w:val="24"/>
                <w:szCs w:val="24"/>
                <w:lang w:eastAsia="lv-LV"/>
              </w:rPr>
              <w:t xml:space="preserve"> daļu šādā redakcijā “Kredītiestāde ziņas par klientu, viņa kontiem un veiktajiem darījumiem citām personām sniedz, ja to nosaka Maksājumu pakalpojumu un elektroniskās naudas likums.”.</w:t>
            </w:r>
          </w:p>
        </w:tc>
      </w:tr>
    </w:tbl>
    <w:p w14:paraId="621A8164" w14:textId="77777777" w:rsidR="008A7CF3" w:rsidRPr="00CB33DF" w:rsidRDefault="008A7CF3" w:rsidP="00720B97">
      <w:pPr>
        <w:shd w:val="clear" w:color="auto" w:fill="FFFFFF"/>
        <w:spacing w:after="0" w:line="240" w:lineRule="auto"/>
        <w:rPr>
          <w:rFonts w:ascii="Times New Roman" w:eastAsia="Times New Roman" w:hAnsi="Times New Roman" w:cs="Times New Roman"/>
          <w:sz w:val="25"/>
          <w:szCs w:val="25"/>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CB33DF" w:rsidRPr="00CB33DF" w14:paraId="6F534F85" w14:textId="77777777" w:rsidTr="00C3138D">
        <w:tc>
          <w:tcPr>
            <w:tcW w:w="0" w:type="auto"/>
            <w:vAlign w:val="center"/>
            <w:hideMark/>
          </w:tcPr>
          <w:p w14:paraId="2DE2C2AE" w14:textId="77777777" w:rsidR="003A0997" w:rsidRPr="00CB33DF" w:rsidRDefault="003A0997" w:rsidP="00553F2A">
            <w:pPr>
              <w:shd w:val="clear" w:color="auto" w:fill="FFFFFF"/>
              <w:spacing w:after="0" w:line="240" w:lineRule="auto"/>
              <w:ind w:firstLine="301"/>
              <w:rPr>
                <w:rFonts w:ascii="Times New Roman" w:eastAsia="Times New Roman" w:hAnsi="Times New Roman" w:cs="Times New Roman"/>
                <w:b/>
                <w:bCs/>
                <w:sz w:val="24"/>
                <w:szCs w:val="24"/>
                <w:lang w:eastAsia="lv-LV"/>
              </w:rPr>
            </w:pPr>
            <w:r w:rsidRPr="00CB33DF">
              <w:rPr>
                <w:rFonts w:ascii="Times New Roman" w:eastAsia="Times New Roman" w:hAnsi="Times New Roman" w:cs="Times New Roman"/>
                <w:b/>
                <w:bCs/>
                <w:sz w:val="24"/>
                <w:szCs w:val="24"/>
                <w:lang w:eastAsia="lv-LV"/>
              </w:rPr>
              <w:t>V. Tiesību akta projekta atbilstība Latvijas Republikas starptautiskajām saistībām</w:t>
            </w:r>
          </w:p>
        </w:tc>
      </w:tr>
      <w:tr w:rsidR="003A0997" w:rsidRPr="00CB33DF" w14:paraId="32BA2D6A" w14:textId="77777777" w:rsidTr="00C3138D">
        <w:tc>
          <w:tcPr>
            <w:tcW w:w="0" w:type="auto"/>
            <w:vAlign w:val="center"/>
          </w:tcPr>
          <w:p w14:paraId="6A1E9800" w14:textId="77777777" w:rsidR="003A0997" w:rsidRPr="00CB33DF" w:rsidRDefault="00946D3D" w:rsidP="00946D3D">
            <w:pPr>
              <w:shd w:val="clear" w:color="auto" w:fill="FFFFFF"/>
              <w:spacing w:after="0" w:line="240" w:lineRule="auto"/>
              <w:ind w:firstLine="301"/>
              <w:jc w:val="center"/>
              <w:rPr>
                <w:rFonts w:ascii="Times New Roman" w:eastAsia="Times New Roman" w:hAnsi="Times New Roman" w:cs="Times New Roman"/>
                <w:b/>
                <w:bCs/>
                <w:sz w:val="24"/>
                <w:szCs w:val="24"/>
                <w:lang w:eastAsia="lv-LV"/>
              </w:rPr>
            </w:pPr>
            <w:r w:rsidRPr="00CB33DF">
              <w:rPr>
                <w:rFonts w:ascii="Times New Roman" w:eastAsia="Times New Roman" w:hAnsi="Times New Roman" w:cs="Times New Roman"/>
                <w:b/>
                <w:bCs/>
                <w:sz w:val="24"/>
                <w:szCs w:val="24"/>
                <w:lang w:eastAsia="lv-LV"/>
              </w:rPr>
              <w:t>Liku</w:t>
            </w:r>
            <w:r w:rsidR="000A185D" w:rsidRPr="00CB33DF">
              <w:rPr>
                <w:rFonts w:ascii="Times New Roman" w:eastAsia="Times New Roman" w:hAnsi="Times New Roman" w:cs="Times New Roman"/>
                <w:b/>
                <w:bCs/>
                <w:sz w:val="24"/>
                <w:szCs w:val="24"/>
                <w:lang w:eastAsia="lv-LV"/>
              </w:rPr>
              <w:t>m</w:t>
            </w:r>
            <w:r w:rsidRPr="00CB33DF">
              <w:rPr>
                <w:rFonts w:ascii="Times New Roman" w:eastAsia="Times New Roman" w:hAnsi="Times New Roman" w:cs="Times New Roman"/>
                <w:b/>
                <w:bCs/>
                <w:sz w:val="24"/>
                <w:szCs w:val="24"/>
                <w:lang w:eastAsia="lv-LV"/>
              </w:rPr>
              <w:t>p</w:t>
            </w:r>
            <w:r w:rsidR="003A0997" w:rsidRPr="00CB33DF">
              <w:rPr>
                <w:rFonts w:ascii="Times New Roman" w:eastAsia="Times New Roman" w:hAnsi="Times New Roman" w:cs="Times New Roman"/>
                <w:b/>
                <w:bCs/>
                <w:sz w:val="24"/>
                <w:szCs w:val="24"/>
                <w:lang w:eastAsia="lv-LV"/>
              </w:rPr>
              <w:t>rojekts šo jomu neskar</w:t>
            </w:r>
          </w:p>
        </w:tc>
      </w:tr>
    </w:tbl>
    <w:p w14:paraId="2B6D0730" w14:textId="77777777" w:rsidR="003A0997" w:rsidRPr="00CB33DF" w:rsidRDefault="003A0997" w:rsidP="003A0997">
      <w:pPr>
        <w:shd w:val="clear" w:color="auto" w:fill="FFFFFF"/>
        <w:spacing w:after="0" w:line="240" w:lineRule="auto"/>
        <w:ind w:firstLine="301"/>
        <w:rPr>
          <w:rFonts w:ascii="Times New Roman" w:eastAsia="Times New Roman" w:hAnsi="Times New Roman" w:cs="Times New Roman"/>
          <w:sz w:val="25"/>
          <w:szCs w:val="25"/>
          <w:lang w:eastAsia="lv-LV"/>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417"/>
        <w:gridCol w:w="2837"/>
        <w:gridCol w:w="5816"/>
      </w:tblGrid>
      <w:tr w:rsidR="00CB33DF" w:rsidRPr="00CB33DF" w14:paraId="37A7D76B" w14:textId="77777777" w:rsidTr="00C3138D">
        <w:trPr>
          <w:trHeight w:val="336"/>
          <w:jc w:val="center"/>
        </w:trPr>
        <w:tc>
          <w:tcPr>
            <w:tcW w:w="5000" w:type="pct"/>
            <w:gridSpan w:val="3"/>
            <w:vAlign w:val="center"/>
            <w:hideMark/>
          </w:tcPr>
          <w:p w14:paraId="10B98173" w14:textId="77777777" w:rsidR="003A0997" w:rsidRPr="00CB33DF" w:rsidRDefault="003A0997" w:rsidP="00553F2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B33DF">
              <w:rPr>
                <w:rFonts w:ascii="Times New Roman" w:eastAsia="Times New Roman" w:hAnsi="Times New Roman" w:cs="Times New Roman"/>
                <w:b/>
                <w:bCs/>
                <w:sz w:val="24"/>
                <w:szCs w:val="24"/>
                <w:lang w:eastAsia="lv-LV"/>
              </w:rPr>
              <w:t>VI. Sabiedrības līdzdalība un komunikācijas aktivitātes</w:t>
            </w:r>
          </w:p>
        </w:tc>
      </w:tr>
      <w:tr w:rsidR="00CB33DF" w:rsidRPr="00CB33DF" w14:paraId="2FBD90BF" w14:textId="77777777" w:rsidTr="00C3138D">
        <w:trPr>
          <w:trHeight w:val="432"/>
          <w:jc w:val="center"/>
        </w:trPr>
        <w:tc>
          <w:tcPr>
            <w:tcW w:w="230" w:type="pct"/>
            <w:hideMark/>
          </w:tcPr>
          <w:p w14:paraId="3CFFF804" w14:textId="77777777" w:rsidR="003A0997" w:rsidRPr="00CB33DF" w:rsidRDefault="003A0997" w:rsidP="00553F2A">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1.</w:t>
            </w:r>
          </w:p>
        </w:tc>
        <w:tc>
          <w:tcPr>
            <w:tcW w:w="1564" w:type="pct"/>
            <w:hideMark/>
          </w:tcPr>
          <w:p w14:paraId="42DA8A9E" w14:textId="77777777" w:rsidR="003A0997" w:rsidRPr="00CB33DF" w:rsidRDefault="003A0997" w:rsidP="00553F2A">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Plānotās sabiedrības līdzdalības un komunikācijas aktivitātes saistībā ar projektu</w:t>
            </w:r>
          </w:p>
        </w:tc>
        <w:tc>
          <w:tcPr>
            <w:tcW w:w="3206" w:type="pct"/>
            <w:hideMark/>
          </w:tcPr>
          <w:p w14:paraId="5504AF15" w14:textId="77777777" w:rsidR="003A0997" w:rsidRPr="00CB33DF" w:rsidRDefault="00224793" w:rsidP="003D7E47">
            <w:pPr>
              <w:spacing w:after="0" w:line="240" w:lineRule="auto"/>
              <w:jc w:val="both"/>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Likumprojekts izstrādāts, pamatojoties uz Ministru kabineta 2019.gada 5.februāra sēdes protokollēmuma (prot. Nr.5 30.§) “Informatīvais ziņojums “Par makroekonomisko rādītāju, ieņēmumu un vispārējās valdības budžeta bilances prognozēm 2019.-2021.gadā”” 8.4.apakšpunktā doto uzdevumu.</w:t>
            </w:r>
          </w:p>
        </w:tc>
      </w:tr>
      <w:tr w:rsidR="00CB33DF" w:rsidRPr="00CB33DF" w14:paraId="1293D142" w14:textId="77777777" w:rsidTr="00C3138D">
        <w:trPr>
          <w:trHeight w:val="264"/>
          <w:jc w:val="center"/>
        </w:trPr>
        <w:tc>
          <w:tcPr>
            <w:tcW w:w="230" w:type="pct"/>
            <w:hideMark/>
          </w:tcPr>
          <w:p w14:paraId="1666BA3E" w14:textId="77777777" w:rsidR="003A0997" w:rsidRPr="00CB33DF" w:rsidRDefault="003A0997" w:rsidP="00553F2A">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2.</w:t>
            </w:r>
          </w:p>
        </w:tc>
        <w:tc>
          <w:tcPr>
            <w:tcW w:w="1564" w:type="pct"/>
            <w:hideMark/>
          </w:tcPr>
          <w:p w14:paraId="7E03A19B" w14:textId="77777777" w:rsidR="003A0997" w:rsidRPr="00CB33DF" w:rsidRDefault="003A0997" w:rsidP="00553F2A">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Sabiedrības līdzdalība projekta izstrādē</w:t>
            </w:r>
          </w:p>
        </w:tc>
        <w:tc>
          <w:tcPr>
            <w:tcW w:w="3206" w:type="pct"/>
            <w:hideMark/>
          </w:tcPr>
          <w:p w14:paraId="6C5BA347" w14:textId="77777777" w:rsidR="003A0997" w:rsidRPr="00CB33DF" w:rsidRDefault="003A0997" w:rsidP="00C06C87">
            <w:pPr>
              <w:spacing w:after="0" w:line="240" w:lineRule="auto"/>
              <w:jc w:val="both"/>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 xml:space="preserve">Sabiedrības pārstāvji </w:t>
            </w:r>
            <w:r w:rsidR="00C06C87" w:rsidRPr="00CB33DF">
              <w:rPr>
                <w:rFonts w:ascii="Times New Roman" w:eastAsia="Times New Roman" w:hAnsi="Times New Roman" w:cs="Times New Roman"/>
                <w:sz w:val="24"/>
                <w:szCs w:val="24"/>
                <w:lang w:eastAsia="lv-LV"/>
              </w:rPr>
              <w:t>par likumprojektu varēs sniegt savu viedokli</w:t>
            </w:r>
            <w:r w:rsidRPr="00CB33DF">
              <w:rPr>
                <w:rFonts w:ascii="Times New Roman" w:eastAsia="Times New Roman" w:hAnsi="Times New Roman" w:cs="Times New Roman"/>
                <w:sz w:val="24"/>
                <w:szCs w:val="24"/>
                <w:lang w:eastAsia="lv-LV"/>
              </w:rPr>
              <w:t xml:space="preserve"> </w:t>
            </w:r>
            <w:r w:rsidR="00C06C87" w:rsidRPr="00CB33DF">
              <w:rPr>
                <w:rFonts w:ascii="Times New Roman" w:hAnsi="Times New Roman" w:cs="Times New Roman"/>
                <w:bCs/>
                <w:sz w:val="24"/>
                <w:szCs w:val="24"/>
              </w:rPr>
              <w:t>gadskārtējā valsts budžeta likumprojekta izskatīšanas procesā.</w:t>
            </w:r>
          </w:p>
        </w:tc>
      </w:tr>
      <w:tr w:rsidR="00CB33DF" w:rsidRPr="00CB33DF" w14:paraId="3525A431" w14:textId="77777777" w:rsidTr="00C3138D">
        <w:trPr>
          <w:trHeight w:val="372"/>
          <w:jc w:val="center"/>
        </w:trPr>
        <w:tc>
          <w:tcPr>
            <w:tcW w:w="230" w:type="pct"/>
            <w:hideMark/>
          </w:tcPr>
          <w:p w14:paraId="4BCF8B32" w14:textId="77777777" w:rsidR="003A0997" w:rsidRPr="00CB33DF" w:rsidRDefault="003A0997" w:rsidP="00553F2A">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3.</w:t>
            </w:r>
          </w:p>
        </w:tc>
        <w:tc>
          <w:tcPr>
            <w:tcW w:w="1564" w:type="pct"/>
            <w:hideMark/>
          </w:tcPr>
          <w:p w14:paraId="741BDC2C" w14:textId="77777777" w:rsidR="003A0997" w:rsidRPr="00CB33DF" w:rsidRDefault="003A0997" w:rsidP="00553F2A">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Sabiedrības līdzdalības rezultāti</w:t>
            </w:r>
          </w:p>
        </w:tc>
        <w:tc>
          <w:tcPr>
            <w:tcW w:w="3206" w:type="pct"/>
            <w:hideMark/>
          </w:tcPr>
          <w:p w14:paraId="6BDA6A1C" w14:textId="77777777" w:rsidR="003A0997" w:rsidRPr="00CB33DF" w:rsidRDefault="00946D3D" w:rsidP="00D436AD">
            <w:pPr>
              <w:spacing w:after="0" w:line="240" w:lineRule="auto"/>
              <w:jc w:val="both"/>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Sabiedrības pārstāvji varēs līdzdarboties likumprojekta izskatīšanas procesā, rakstveidā sniedzot viedokļus par likumprojektu.</w:t>
            </w:r>
          </w:p>
        </w:tc>
      </w:tr>
      <w:tr w:rsidR="003A0997" w:rsidRPr="00CB33DF" w14:paraId="5745D735" w14:textId="77777777" w:rsidTr="00C3138D">
        <w:trPr>
          <w:trHeight w:val="372"/>
          <w:jc w:val="center"/>
        </w:trPr>
        <w:tc>
          <w:tcPr>
            <w:tcW w:w="230" w:type="pct"/>
            <w:hideMark/>
          </w:tcPr>
          <w:p w14:paraId="0018B48F" w14:textId="77777777" w:rsidR="003A0997" w:rsidRPr="00CB33DF" w:rsidRDefault="003A0997" w:rsidP="00553F2A">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4.</w:t>
            </w:r>
          </w:p>
        </w:tc>
        <w:tc>
          <w:tcPr>
            <w:tcW w:w="1564" w:type="pct"/>
            <w:hideMark/>
          </w:tcPr>
          <w:p w14:paraId="4ED393BC" w14:textId="77777777" w:rsidR="003A0997" w:rsidRPr="00CB33DF" w:rsidRDefault="003A0997" w:rsidP="00553F2A">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Cita informācija</w:t>
            </w:r>
          </w:p>
        </w:tc>
        <w:tc>
          <w:tcPr>
            <w:tcW w:w="3206" w:type="pct"/>
            <w:hideMark/>
          </w:tcPr>
          <w:p w14:paraId="25D77F92" w14:textId="77777777" w:rsidR="003A0997" w:rsidRPr="00CB33DF" w:rsidRDefault="00C06C87">
            <w:pPr>
              <w:spacing w:after="0" w:line="240" w:lineRule="auto"/>
              <w:rPr>
                <w:rFonts w:ascii="Times New Roman" w:eastAsia="Times New Roman" w:hAnsi="Times New Roman" w:cs="Times New Roman"/>
                <w:sz w:val="24"/>
                <w:szCs w:val="24"/>
                <w:lang w:eastAsia="lv-LV"/>
              </w:rPr>
            </w:pPr>
            <w:r w:rsidRPr="00CB33DF">
              <w:rPr>
                <w:rFonts w:ascii="Times New Roman" w:hAnsi="Times New Roman" w:cs="Times New Roman"/>
                <w:sz w:val="24"/>
                <w:szCs w:val="24"/>
              </w:rPr>
              <w:t>Nav</w:t>
            </w:r>
            <w:r w:rsidR="006C11AC" w:rsidRPr="00CB33DF">
              <w:rPr>
                <w:rFonts w:ascii="Times New Roman" w:hAnsi="Times New Roman" w:cs="Times New Roman"/>
                <w:sz w:val="24"/>
                <w:szCs w:val="24"/>
              </w:rPr>
              <w:t>.</w:t>
            </w:r>
          </w:p>
        </w:tc>
      </w:tr>
    </w:tbl>
    <w:p w14:paraId="2D5DFDEC" w14:textId="77777777" w:rsidR="003A0997" w:rsidRPr="00CB33DF" w:rsidRDefault="003A0997" w:rsidP="003A0997">
      <w:pPr>
        <w:shd w:val="clear" w:color="auto" w:fill="FFFFFF"/>
        <w:spacing w:after="0" w:line="240" w:lineRule="auto"/>
        <w:ind w:firstLine="301"/>
        <w:rPr>
          <w:rFonts w:ascii="Times New Roman" w:eastAsia="Times New Roman" w:hAnsi="Times New Roman" w:cs="Times New Roman"/>
          <w:sz w:val="25"/>
          <w:szCs w:val="25"/>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0"/>
        <w:gridCol w:w="5802"/>
      </w:tblGrid>
      <w:tr w:rsidR="00CB33DF" w:rsidRPr="00CB33DF" w14:paraId="66CD76F2" w14:textId="77777777" w:rsidTr="00553F2A">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9E30F45" w14:textId="77777777" w:rsidR="003A0997" w:rsidRPr="00CB33DF" w:rsidRDefault="003A0997" w:rsidP="00553F2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B33DF">
              <w:rPr>
                <w:rFonts w:ascii="Times New Roman" w:eastAsia="Times New Roman" w:hAnsi="Times New Roman" w:cs="Times New Roman"/>
                <w:b/>
                <w:bCs/>
                <w:sz w:val="24"/>
                <w:szCs w:val="24"/>
                <w:lang w:eastAsia="lv-LV"/>
              </w:rPr>
              <w:t>VII. Tiesību akta projekta izpildes nodrošināšana un tās ietekme uz institūcijām</w:t>
            </w:r>
          </w:p>
        </w:tc>
      </w:tr>
      <w:tr w:rsidR="00CB33DF" w:rsidRPr="00CB33DF" w14:paraId="73339193" w14:textId="77777777" w:rsidTr="00553F2A">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73591A8C" w14:textId="77777777" w:rsidR="003A0997" w:rsidRPr="00CB33DF" w:rsidRDefault="003A0997" w:rsidP="00553F2A">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14:paraId="3C5C57A2" w14:textId="77777777" w:rsidR="003A0997" w:rsidRPr="00CB33DF" w:rsidRDefault="003A0997" w:rsidP="00553F2A">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Projekta izpildē iesaistītās institūcijas</w:t>
            </w:r>
          </w:p>
        </w:tc>
        <w:tc>
          <w:tcPr>
            <w:tcW w:w="3204" w:type="pct"/>
            <w:tcBorders>
              <w:top w:val="outset" w:sz="6" w:space="0" w:color="414142"/>
              <w:left w:val="outset" w:sz="6" w:space="0" w:color="414142"/>
              <w:bottom w:val="outset" w:sz="6" w:space="0" w:color="414142"/>
              <w:right w:val="outset" w:sz="6" w:space="0" w:color="414142"/>
            </w:tcBorders>
            <w:hideMark/>
          </w:tcPr>
          <w:p w14:paraId="3D9AB58C" w14:textId="77777777" w:rsidR="00C06C87" w:rsidRPr="00CB33DF" w:rsidRDefault="00C3138D" w:rsidP="00CE06BE">
            <w:pPr>
              <w:spacing w:after="0" w:line="240" w:lineRule="auto"/>
              <w:jc w:val="both"/>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Valsts ieņēmumu dienests</w:t>
            </w:r>
            <w:r w:rsidR="00CE06BE" w:rsidRPr="00CB33DF">
              <w:rPr>
                <w:rFonts w:ascii="Times New Roman" w:eastAsia="Times New Roman" w:hAnsi="Times New Roman" w:cs="Times New Roman"/>
                <w:sz w:val="24"/>
                <w:szCs w:val="24"/>
                <w:lang w:eastAsia="lv-LV"/>
              </w:rPr>
              <w:t>.</w:t>
            </w:r>
          </w:p>
        </w:tc>
      </w:tr>
      <w:tr w:rsidR="00CB33DF" w:rsidRPr="00CB33DF" w14:paraId="532C381D" w14:textId="77777777" w:rsidTr="00553F2A">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1C64ACD1" w14:textId="77777777" w:rsidR="003A0997" w:rsidRPr="00CB33DF" w:rsidRDefault="003A0997" w:rsidP="00553F2A">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2.</w:t>
            </w:r>
          </w:p>
        </w:tc>
        <w:tc>
          <w:tcPr>
            <w:tcW w:w="1546" w:type="pct"/>
            <w:tcBorders>
              <w:top w:val="outset" w:sz="6" w:space="0" w:color="414142"/>
              <w:left w:val="outset" w:sz="6" w:space="0" w:color="414142"/>
              <w:bottom w:val="outset" w:sz="6" w:space="0" w:color="414142"/>
              <w:right w:val="outset" w:sz="6" w:space="0" w:color="414142"/>
            </w:tcBorders>
            <w:hideMark/>
          </w:tcPr>
          <w:p w14:paraId="5D467D81" w14:textId="77777777" w:rsidR="003A0997" w:rsidRPr="00CB33DF" w:rsidRDefault="003A0997" w:rsidP="00553F2A">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Projekta izpildes ietekme uz pārvaldes funkcijām un institucionālo struktūru.</w:t>
            </w:r>
          </w:p>
          <w:p w14:paraId="7449A4D0" w14:textId="77777777" w:rsidR="003A0997" w:rsidRPr="00CB33DF" w:rsidRDefault="003A0997" w:rsidP="00553F2A">
            <w:pPr>
              <w:spacing w:before="100" w:beforeAutospacing="1" w:after="100" w:afterAutospacing="1" w:line="293" w:lineRule="atLeast"/>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04" w:type="pct"/>
            <w:tcBorders>
              <w:top w:val="outset" w:sz="6" w:space="0" w:color="414142"/>
              <w:left w:val="outset" w:sz="6" w:space="0" w:color="414142"/>
              <w:bottom w:val="outset" w:sz="6" w:space="0" w:color="414142"/>
              <w:right w:val="outset" w:sz="6" w:space="0" w:color="414142"/>
            </w:tcBorders>
            <w:hideMark/>
          </w:tcPr>
          <w:p w14:paraId="4844AF6E" w14:textId="77777777" w:rsidR="003A0997" w:rsidRPr="00CB33DF" w:rsidRDefault="003A0997" w:rsidP="00553F2A">
            <w:pPr>
              <w:spacing w:after="0" w:line="240" w:lineRule="auto"/>
              <w:jc w:val="both"/>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Jaunu institūciju izveide, esošo institūciju likvidācija vai reorganizācija netiek paredzēta.</w:t>
            </w:r>
            <w:r w:rsidR="00BB128A" w:rsidRPr="00CB33DF">
              <w:rPr>
                <w:rFonts w:ascii="Times New Roman" w:eastAsia="Times New Roman" w:hAnsi="Times New Roman" w:cs="Times New Roman"/>
                <w:sz w:val="24"/>
                <w:szCs w:val="24"/>
                <w:lang w:eastAsia="lv-LV"/>
              </w:rPr>
              <w:t xml:space="preserve"> Funkcijas un uzdevumi netiek grozīti.</w:t>
            </w:r>
            <w:r w:rsidR="00F87E89" w:rsidRPr="00CB33DF">
              <w:rPr>
                <w:rFonts w:ascii="Times New Roman" w:eastAsia="Times New Roman" w:hAnsi="Times New Roman" w:cs="Times New Roman"/>
                <w:sz w:val="24"/>
                <w:szCs w:val="24"/>
                <w:lang w:eastAsia="lv-LV"/>
              </w:rPr>
              <w:t xml:space="preserve"> Likumprojekts</w:t>
            </w:r>
            <w:r w:rsidRPr="00CB33DF">
              <w:rPr>
                <w:rFonts w:ascii="Times New Roman" w:eastAsia="Times New Roman" w:hAnsi="Times New Roman" w:cs="Times New Roman"/>
                <w:sz w:val="24"/>
                <w:szCs w:val="24"/>
                <w:lang w:eastAsia="lv-LV"/>
              </w:rPr>
              <w:t xml:space="preserve"> tiks realizēts esošo</w:t>
            </w:r>
            <w:r w:rsidR="006C11AC" w:rsidRPr="00CB33DF">
              <w:rPr>
                <w:rFonts w:ascii="Times New Roman" w:eastAsia="Times New Roman" w:hAnsi="Times New Roman" w:cs="Times New Roman"/>
                <w:sz w:val="24"/>
                <w:szCs w:val="24"/>
                <w:lang w:eastAsia="lv-LV"/>
              </w:rPr>
              <w:t xml:space="preserve"> cilvēk</w:t>
            </w:r>
            <w:r w:rsidRPr="00CB33DF">
              <w:rPr>
                <w:rFonts w:ascii="Times New Roman" w:eastAsia="Times New Roman" w:hAnsi="Times New Roman" w:cs="Times New Roman"/>
                <w:sz w:val="24"/>
                <w:szCs w:val="24"/>
                <w:lang w:eastAsia="lv-LV"/>
              </w:rPr>
              <w:t xml:space="preserve">resursu </w:t>
            </w:r>
            <w:r w:rsidR="006C11AC" w:rsidRPr="00CB33DF">
              <w:rPr>
                <w:rFonts w:ascii="Times New Roman" w:eastAsia="Times New Roman" w:hAnsi="Times New Roman" w:cs="Times New Roman"/>
                <w:sz w:val="24"/>
                <w:szCs w:val="24"/>
                <w:lang w:eastAsia="lv-LV"/>
              </w:rPr>
              <w:t xml:space="preserve">un finansējuma </w:t>
            </w:r>
            <w:r w:rsidRPr="00CB33DF">
              <w:rPr>
                <w:rFonts w:ascii="Times New Roman" w:eastAsia="Times New Roman" w:hAnsi="Times New Roman" w:cs="Times New Roman"/>
                <w:sz w:val="24"/>
                <w:szCs w:val="24"/>
                <w:lang w:eastAsia="lv-LV"/>
              </w:rPr>
              <w:t>ietvaros</w:t>
            </w:r>
            <w:r w:rsidR="00CE06BE" w:rsidRPr="00CB33DF">
              <w:rPr>
                <w:rFonts w:ascii="Times New Roman" w:eastAsia="Times New Roman" w:hAnsi="Times New Roman" w:cs="Times New Roman"/>
                <w:sz w:val="24"/>
                <w:szCs w:val="24"/>
                <w:lang w:eastAsia="lv-LV"/>
              </w:rPr>
              <w:t>.</w:t>
            </w:r>
          </w:p>
          <w:p w14:paraId="0E0AF025" w14:textId="77777777" w:rsidR="003A0997" w:rsidRPr="00CB33DF" w:rsidRDefault="003A0997" w:rsidP="00553F2A">
            <w:pPr>
              <w:rPr>
                <w:rFonts w:ascii="Times New Roman" w:eastAsia="Times New Roman" w:hAnsi="Times New Roman" w:cs="Times New Roman"/>
                <w:sz w:val="24"/>
                <w:szCs w:val="24"/>
                <w:lang w:eastAsia="lv-LV"/>
              </w:rPr>
            </w:pPr>
          </w:p>
          <w:p w14:paraId="54AB8578" w14:textId="77777777" w:rsidR="003A0997" w:rsidRPr="00CB33DF" w:rsidRDefault="003A0997" w:rsidP="00553F2A">
            <w:pPr>
              <w:tabs>
                <w:tab w:val="left" w:pos="1751"/>
              </w:tabs>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ab/>
            </w:r>
          </w:p>
        </w:tc>
      </w:tr>
      <w:tr w:rsidR="003A0997" w:rsidRPr="00CB33DF" w14:paraId="547CE367" w14:textId="77777777" w:rsidTr="00553F2A">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6271A379" w14:textId="77777777" w:rsidR="003A0997" w:rsidRPr="00CB33DF" w:rsidRDefault="003A0997" w:rsidP="00553F2A">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14:paraId="3C994B39" w14:textId="77777777" w:rsidR="003A0997" w:rsidRPr="00CB33DF" w:rsidRDefault="003A0997" w:rsidP="00553F2A">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4F599E3CF705408F8E8641C32CAEDA40"/>
            </w:placeholder>
            <w:text/>
          </w:sdtPr>
          <w:sdtEndPr/>
          <w:sdtContent>
            <w:tc>
              <w:tcPr>
                <w:tcW w:w="3204" w:type="pct"/>
                <w:tcBorders>
                  <w:top w:val="outset" w:sz="6" w:space="0" w:color="414142"/>
                  <w:left w:val="outset" w:sz="6" w:space="0" w:color="414142"/>
                  <w:bottom w:val="outset" w:sz="6" w:space="0" w:color="414142"/>
                  <w:right w:val="outset" w:sz="6" w:space="0" w:color="414142"/>
                </w:tcBorders>
                <w:hideMark/>
              </w:tcPr>
              <w:p w14:paraId="5FE7A39F" w14:textId="77777777" w:rsidR="003A0997" w:rsidRPr="00CB33DF" w:rsidRDefault="003A0997" w:rsidP="00553F2A">
                <w:pPr>
                  <w:spacing w:after="0" w:line="240" w:lineRule="auto"/>
                  <w:rPr>
                    <w:rFonts w:ascii="Times New Roman" w:eastAsia="Times New Roman" w:hAnsi="Times New Roman" w:cs="Times New Roman"/>
                    <w:sz w:val="24"/>
                    <w:szCs w:val="24"/>
                    <w:lang w:eastAsia="lv-LV"/>
                  </w:rPr>
                </w:pPr>
                <w:r w:rsidRPr="00CB33DF">
                  <w:rPr>
                    <w:rFonts w:ascii="Times New Roman" w:eastAsia="Times New Roman" w:hAnsi="Times New Roman" w:cs="Times New Roman"/>
                    <w:sz w:val="24"/>
                    <w:szCs w:val="24"/>
                    <w:lang w:eastAsia="lv-LV"/>
                  </w:rPr>
                  <w:t>Nav</w:t>
                </w:r>
                <w:r w:rsidR="006C11AC" w:rsidRPr="00CB33DF">
                  <w:rPr>
                    <w:rFonts w:ascii="Times New Roman" w:eastAsia="Times New Roman" w:hAnsi="Times New Roman" w:cs="Times New Roman"/>
                    <w:sz w:val="24"/>
                    <w:szCs w:val="24"/>
                    <w:lang w:eastAsia="lv-LV"/>
                  </w:rPr>
                  <w:t>.</w:t>
                </w:r>
              </w:p>
            </w:tc>
          </w:sdtContent>
        </w:sdt>
      </w:tr>
    </w:tbl>
    <w:p w14:paraId="0D291D8A" w14:textId="77777777" w:rsidR="00AC06A3" w:rsidRPr="00CB33DF" w:rsidRDefault="00AC06A3" w:rsidP="003A0997">
      <w:pPr>
        <w:spacing w:after="0" w:line="240" w:lineRule="auto"/>
        <w:rPr>
          <w:rFonts w:ascii="Times New Roman" w:hAnsi="Times New Roman" w:cs="Times New Roman"/>
          <w:sz w:val="25"/>
          <w:szCs w:val="25"/>
        </w:rPr>
      </w:pPr>
    </w:p>
    <w:p w14:paraId="7D5EFF5C" w14:textId="77777777" w:rsidR="003A0997" w:rsidRPr="00CB33DF" w:rsidRDefault="00916094" w:rsidP="00CB33DF">
      <w:pPr>
        <w:tabs>
          <w:tab w:val="left" w:pos="7513"/>
        </w:tabs>
        <w:spacing w:after="0" w:line="240" w:lineRule="auto"/>
        <w:rPr>
          <w:rFonts w:ascii="Times New Roman" w:hAnsi="Times New Roman" w:cs="Times New Roman"/>
          <w:sz w:val="24"/>
          <w:szCs w:val="24"/>
        </w:rPr>
      </w:pPr>
      <w:r w:rsidRPr="00CB33DF">
        <w:rPr>
          <w:rFonts w:ascii="Times New Roman" w:hAnsi="Times New Roman" w:cs="Times New Roman"/>
          <w:sz w:val="24"/>
          <w:szCs w:val="24"/>
        </w:rPr>
        <w:t>Finanšu ministrs</w:t>
      </w:r>
      <w:r w:rsidR="00CB33DF">
        <w:rPr>
          <w:rFonts w:ascii="Times New Roman" w:hAnsi="Times New Roman" w:cs="Times New Roman"/>
          <w:sz w:val="24"/>
          <w:szCs w:val="24"/>
        </w:rPr>
        <w:tab/>
      </w:r>
      <w:proofErr w:type="spellStart"/>
      <w:r w:rsidRPr="00CB33DF">
        <w:rPr>
          <w:rFonts w:ascii="Times New Roman" w:hAnsi="Times New Roman" w:cs="Times New Roman"/>
          <w:sz w:val="24"/>
          <w:szCs w:val="24"/>
        </w:rPr>
        <w:t>J.Reirs</w:t>
      </w:r>
      <w:proofErr w:type="spellEnd"/>
    </w:p>
    <w:p w14:paraId="40777085" w14:textId="77777777" w:rsidR="003A0997" w:rsidRPr="00CB33DF" w:rsidRDefault="003A0997" w:rsidP="003A0997">
      <w:pPr>
        <w:tabs>
          <w:tab w:val="left" w:pos="6237"/>
        </w:tabs>
        <w:spacing w:after="0" w:line="240" w:lineRule="auto"/>
        <w:rPr>
          <w:rFonts w:ascii="Times New Roman" w:hAnsi="Times New Roman" w:cs="Times New Roman"/>
          <w:sz w:val="24"/>
          <w:szCs w:val="24"/>
        </w:rPr>
      </w:pPr>
    </w:p>
    <w:p w14:paraId="7CC43A05" w14:textId="38C54285" w:rsidR="00196363" w:rsidRPr="00CB33DF" w:rsidRDefault="00FC3D5F" w:rsidP="00196363">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Š</w:t>
      </w:r>
      <w:r w:rsidR="00C3138D" w:rsidRPr="00CB33DF">
        <w:rPr>
          <w:rFonts w:ascii="Times New Roman" w:hAnsi="Times New Roman" w:cs="Times New Roman"/>
          <w:sz w:val="20"/>
          <w:szCs w:val="20"/>
        </w:rPr>
        <w:t>idlovskis,</w:t>
      </w:r>
      <w:r w:rsidR="003A0997" w:rsidRPr="00CB33DF">
        <w:rPr>
          <w:rFonts w:ascii="Times New Roman" w:hAnsi="Times New Roman" w:cs="Times New Roman"/>
          <w:sz w:val="20"/>
          <w:szCs w:val="20"/>
        </w:rPr>
        <w:t xml:space="preserve"> </w:t>
      </w:r>
      <w:r w:rsidR="00C3138D" w:rsidRPr="00CB33DF">
        <w:rPr>
          <w:rFonts w:ascii="Times New Roman" w:hAnsi="Times New Roman" w:cs="Times New Roman"/>
          <w:sz w:val="20"/>
          <w:szCs w:val="20"/>
        </w:rPr>
        <w:t>67083894</w:t>
      </w:r>
    </w:p>
    <w:p w14:paraId="0EF2D4DF" w14:textId="77777777" w:rsidR="00932141" w:rsidRPr="00CB33DF" w:rsidRDefault="00972A00" w:rsidP="00196363">
      <w:pPr>
        <w:tabs>
          <w:tab w:val="left" w:pos="6237"/>
        </w:tabs>
        <w:spacing w:after="0" w:line="240" w:lineRule="auto"/>
        <w:rPr>
          <w:rFonts w:ascii="Times New Roman" w:hAnsi="Times New Roman" w:cs="Times New Roman"/>
          <w:sz w:val="20"/>
          <w:szCs w:val="20"/>
        </w:rPr>
      </w:pPr>
      <w:hyperlink r:id="rId8" w:history="1">
        <w:r w:rsidR="00C3138D" w:rsidRPr="00CB33DF">
          <w:rPr>
            <w:rStyle w:val="Hyperlink"/>
            <w:rFonts w:ascii="Times New Roman" w:hAnsi="Times New Roman" w:cs="Times New Roman"/>
            <w:color w:val="auto"/>
            <w:sz w:val="20"/>
            <w:szCs w:val="20"/>
          </w:rPr>
          <w:t>Edgars.Sidlovskis@fm.gov.lv</w:t>
        </w:r>
      </w:hyperlink>
    </w:p>
    <w:sectPr w:rsidR="00932141" w:rsidRPr="00CB33DF" w:rsidSect="00553F2A">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ABA6C" w14:textId="77777777" w:rsidR="00182258" w:rsidRDefault="00182258">
      <w:pPr>
        <w:spacing w:after="0" w:line="240" w:lineRule="auto"/>
      </w:pPr>
      <w:r>
        <w:separator/>
      </w:r>
    </w:p>
  </w:endnote>
  <w:endnote w:type="continuationSeparator" w:id="0">
    <w:p w14:paraId="12732611" w14:textId="77777777" w:rsidR="00182258" w:rsidRDefault="00182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64003" w14:textId="77777777" w:rsidR="00BB5C8A" w:rsidRDefault="00BB5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391C7" w14:textId="57451097" w:rsidR="008E7D28" w:rsidRPr="00BB5C8A" w:rsidRDefault="00972A00" w:rsidP="00BB5C8A">
    <w:pPr>
      <w:pStyle w:val="Footer"/>
    </w:pPr>
    <w:r>
      <w:rPr>
        <w:noProof/>
      </w:rPr>
      <w:fldChar w:fldCharType="begin"/>
    </w:r>
    <w:r>
      <w:rPr>
        <w:noProof/>
      </w:rPr>
      <w:instrText xml:space="preserve"> FILENAME   \* MERGEFORMAT </w:instrText>
    </w:r>
    <w:r>
      <w:rPr>
        <w:noProof/>
      </w:rPr>
      <w:fldChar w:fldCharType="separate"/>
    </w:r>
    <w:r w:rsidR="00BB5C8A">
      <w:rPr>
        <w:noProof/>
      </w:rPr>
      <w:t>FMAnot_0402</w:t>
    </w:r>
    <w:r>
      <w:rPr>
        <w:noProof/>
      </w:rPr>
      <w:t>19_</w:t>
    </w:r>
    <w:bookmarkStart w:id="0" w:name="_GoBack"/>
    <w:bookmarkEnd w:id="0"/>
    <w:r w:rsidR="00BB5C8A">
      <w:rPr>
        <w:noProof/>
      </w:rPr>
      <w:t>MPENL.docx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D656A" w14:textId="2E04E251" w:rsidR="008E7D28" w:rsidRPr="00BB5C8A" w:rsidRDefault="00972A00" w:rsidP="00BB5C8A">
    <w:pPr>
      <w:pStyle w:val="Footer"/>
    </w:pPr>
    <w:r>
      <w:rPr>
        <w:noProof/>
      </w:rPr>
      <w:fldChar w:fldCharType="begin"/>
    </w:r>
    <w:r>
      <w:rPr>
        <w:noProof/>
      </w:rPr>
      <w:instrText xml:space="preserve"> FILENAME   \* MERGEFORMAT </w:instrText>
    </w:r>
    <w:r>
      <w:rPr>
        <w:noProof/>
      </w:rPr>
      <w:fldChar w:fldCharType="separate"/>
    </w:r>
    <w:r w:rsidR="00BB5C8A">
      <w:rPr>
        <w:noProof/>
      </w:rPr>
      <w:t>FMAnot_040219_Groz_MPENL.docx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A9FB3" w14:textId="77777777" w:rsidR="00182258" w:rsidRDefault="00182258">
      <w:pPr>
        <w:spacing w:after="0" w:line="240" w:lineRule="auto"/>
      </w:pPr>
      <w:r>
        <w:separator/>
      </w:r>
    </w:p>
  </w:footnote>
  <w:footnote w:type="continuationSeparator" w:id="0">
    <w:p w14:paraId="2EF126E1" w14:textId="77777777" w:rsidR="00182258" w:rsidRDefault="00182258">
      <w:pPr>
        <w:spacing w:after="0" w:line="240" w:lineRule="auto"/>
      </w:pPr>
      <w:r>
        <w:continuationSeparator/>
      </w:r>
    </w:p>
  </w:footnote>
  <w:footnote w:id="1">
    <w:p w14:paraId="5CD8C5C7" w14:textId="77777777" w:rsidR="00690B0F" w:rsidRPr="00361F0A" w:rsidRDefault="00690B0F" w:rsidP="00690B0F">
      <w:pPr>
        <w:pStyle w:val="FootnoteText"/>
        <w:rPr>
          <w:rFonts w:ascii="Times New Roman" w:hAnsi="Times New Roman" w:cs="Times New Roman"/>
          <w:sz w:val="20"/>
          <w:szCs w:val="20"/>
        </w:rPr>
      </w:pPr>
      <w:r w:rsidRPr="00361F0A">
        <w:rPr>
          <w:rStyle w:val="FootnoteReference"/>
          <w:sz w:val="20"/>
          <w:szCs w:val="20"/>
        </w:rPr>
        <w:footnoteRef/>
      </w:r>
      <w:r w:rsidRPr="00361F0A">
        <w:rPr>
          <w:sz w:val="20"/>
          <w:szCs w:val="20"/>
        </w:rPr>
        <w:t xml:space="preserve"> </w:t>
      </w:r>
      <w:proofErr w:type="spellStart"/>
      <w:r w:rsidRPr="00361F0A">
        <w:rPr>
          <w:rFonts w:ascii="Times New Roman" w:hAnsi="Times New Roman" w:cs="Times New Roman"/>
          <w:sz w:val="20"/>
          <w:szCs w:val="20"/>
        </w:rPr>
        <w:t>Roshler</w:t>
      </w:r>
      <w:proofErr w:type="spellEnd"/>
      <w:r w:rsidRPr="00361F0A">
        <w:rPr>
          <w:rFonts w:ascii="Times New Roman" w:hAnsi="Times New Roman" w:cs="Times New Roman"/>
          <w:sz w:val="20"/>
          <w:szCs w:val="20"/>
        </w:rPr>
        <w:t xml:space="preserve"> Carl (</w:t>
      </w:r>
      <w:proofErr w:type="spellStart"/>
      <w:r w:rsidRPr="00361F0A">
        <w:rPr>
          <w:rFonts w:ascii="Times New Roman" w:hAnsi="Times New Roman" w:cs="Times New Roman"/>
          <w:sz w:val="20"/>
          <w:szCs w:val="20"/>
        </w:rPr>
        <w:t>ed</w:t>
      </w:r>
      <w:proofErr w:type="spellEnd"/>
      <w:r w:rsidRPr="00361F0A">
        <w:rPr>
          <w:rFonts w:ascii="Times New Roman" w:hAnsi="Times New Roman" w:cs="Times New Roman"/>
          <w:sz w:val="20"/>
          <w:szCs w:val="20"/>
        </w:rPr>
        <w:t xml:space="preserve">.), </w:t>
      </w:r>
      <w:proofErr w:type="spellStart"/>
      <w:r w:rsidRPr="00361F0A">
        <w:rPr>
          <w:rFonts w:ascii="Times New Roman" w:hAnsi="Times New Roman" w:cs="Times New Roman"/>
          <w:sz w:val="20"/>
          <w:szCs w:val="20"/>
        </w:rPr>
        <w:t>The</w:t>
      </w:r>
      <w:proofErr w:type="spellEnd"/>
      <w:r w:rsidRPr="00361F0A">
        <w:rPr>
          <w:rFonts w:ascii="Times New Roman" w:hAnsi="Times New Roman" w:cs="Times New Roman"/>
          <w:sz w:val="20"/>
          <w:szCs w:val="20"/>
        </w:rPr>
        <w:t xml:space="preserve"> </w:t>
      </w:r>
      <w:proofErr w:type="spellStart"/>
      <w:r w:rsidRPr="00361F0A">
        <w:rPr>
          <w:rFonts w:ascii="Times New Roman" w:hAnsi="Times New Roman" w:cs="Times New Roman"/>
          <w:sz w:val="20"/>
          <w:szCs w:val="20"/>
        </w:rPr>
        <w:t>Gambling</w:t>
      </w:r>
      <w:proofErr w:type="spellEnd"/>
      <w:r w:rsidRPr="00361F0A">
        <w:rPr>
          <w:rFonts w:ascii="Times New Roman" w:hAnsi="Times New Roman" w:cs="Times New Roman"/>
          <w:sz w:val="20"/>
          <w:szCs w:val="20"/>
        </w:rPr>
        <w:t xml:space="preserve"> </w:t>
      </w:r>
      <w:proofErr w:type="spellStart"/>
      <w:r w:rsidRPr="00361F0A">
        <w:rPr>
          <w:rFonts w:ascii="Times New Roman" w:hAnsi="Times New Roman" w:cs="Times New Roman"/>
          <w:sz w:val="20"/>
          <w:szCs w:val="20"/>
        </w:rPr>
        <w:t>Law</w:t>
      </w:r>
      <w:proofErr w:type="spellEnd"/>
      <w:r w:rsidRPr="00361F0A">
        <w:rPr>
          <w:rFonts w:ascii="Times New Roman" w:hAnsi="Times New Roman" w:cs="Times New Roman"/>
          <w:sz w:val="20"/>
          <w:szCs w:val="20"/>
        </w:rPr>
        <w:t xml:space="preserve"> </w:t>
      </w:r>
      <w:proofErr w:type="spellStart"/>
      <w:r w:rsidRPr="00361F0A">
        <w:rPr>
          <w:rFonts w:ascii="Times New Roman" w:hAnsi="Times New Roman" w:cs="Times New Roman"/>
          <w:sz w:val="20"/>
          <w:szCs w:val="20"/>
        </w:rPr>
        <w:t>Review</w:t>
      </w:r>
      <w:proofErr w:type="spellEnd"/>
      <w:r w:rsidRPr="00361F0A">
        <w:rPr>
          <w:rFonts w:ascii="Times New Roman" w:hAnsi="Times New Roman" w:cs="Times New Roman"/>
          <w:sz w:val="20"/>
          <w:szCs w:val="20"/>
        </w:rPr>
        <w:t xml:space="preserve">, </w:t>
      </w:r>
      <w:proofErr w:type="spellStart"/>
      <w:r w:rsidRPr="00361F0A">
        <w:rPr>
          <w:rFonts w:ascii="Times New Roman" w:hAnsi="Times New Roman" w:cs="Times New Roman"/>
          <w:sz w:val="20"/>
          <w:szCs w:val="20"/>
        </w:rPr>
        <w:t>Law</w:t>
      </w:r>
      <w:proofErr w:type="spellEnd"/>
      <w:r w:rsidRPr="00361F0A">
        <w:rPr>
          <w:rFonts w:ascii="Times New Roman" w:hAnsi="Times New Roman" w:cs="Times New Roman"/>
          <w:sz w:val="20"/>
          <w:szCs w:val="20"/>
        </w:rPr>
        <w:t xml:space="preserve"> </w:t>
      </w:r>
      <w:proofErr w:type="spellStart"/>
      <w:r w:rsidRPr="00361F0A">
        <w:rPr>
          <w:rFonts w:ascii="Times New Roman" w:hAnsi="Times New Roman" w:cs="Times New Roman"/>
          <w:sz w:val="20"/>
          <w:szCs w:val="20"/>
        </w:rPr>
        <w:t>Bussines</w:t>
      </w:r>
      <w:proofErr w:type="spellEnd"/>
      <w:r w:rsidRPr="00361F0A">
        <w:rPr>
          <w:rFonts w:ascii="Times New Roman" w:hAnsi="Times New Roman" w:cs="Times New Roman"/>
          <w:sz w:val="20"/>
          <w:szCs w:val="20"/>
        </w:rPr>
        <w:t xml:space="preserve"> </w:t>
      </w:r>
      <w:proofErr w:type="spellStart"/>
      <w:r w:rsidRPr="00361F0A">
        <w:rPr>
          <w:rFonts w:ascii="Times New Roman" w:hAnsi="Times New Roman" w:cs="Times New Roman"/>
          <w:sz w:val="20"/>
          <w:szCs w:val="20"/>
        </w:rPr>
        <w:t>Research</w:t>
      </w:r>
      <w:proofErr w:type="spellEnd"/>
      <w:r w:rsidRPr="00361F0A">
        <w:rPr>
          <w:rFonts w:ascii="Times New Roman" w:hAnsi="Times New Roman" w:cs="Times New Roman"/>
          <w:sz w:val="20"/>
          <w:szCs w:val="20"/>
        </w:rPr>
        <w:t>, 2016, 99.lpp.</w:t>
      </w:r>
    </w:p>
  </w:footnote>
  <w:footnote w:id="2">
    <w:p w14:paraId="03284CA5" w14:textId="77777777" w:rsidR="00690B0F" w:rsidRPr="00361F0A" w:rsidRDefault="00690B0F" w:rsidP="00690B0F">
      <w:pPr>
        <w:pStyle w:val="FootnoteText"/>
        <w:rPr>
          <w:rFonts w:ascii="Times New Roman" w:hAnsi="Times New Roman" w:cs="Times New Roman"/>
          <w:sz w:val="20"/>
          <w:szCs w:val="20"/>
        </w:rPr>
      </w:pPr>
      <w:r w:rsidRPr="00361F0A">
        <w:rPr>
          <w:rStyle w:val="FootnoteReference"/>
          <w:sz w:val="20"/>
          <w:szCs w:val="20"/>
        </w:rPr>
        <w:footnoteRef/>
      </w:r>
      <w:r w:rsidRPr="00361F0A">
        <w:rPr>
          <w:sz w:val="20"/>
          <w:szCs w:val="20"/>
        </w:rPr>
        <w:t xml:space="preserve"> </w:t>
      </w:r>
      <w:proofErr w:type="spellStart"/>
      <w:r w:rsidRPr="00361F0A">
        <w:rPr>
          <w:rFonts w:ascii="Times New Roman" w:hAnsi="Times New Roman" w:cs="Times New Roman"/>
          <w:sz w:val="20"/>
          <w:szCs w:val="20"/>
        </w:rPr>
        <w:t>Roshler</w:t>
      </w:r>
      <w:proofErr w:type="spellEnd"/>
      <w:r w:rsidRPr="00361F0A">
        <w:rPr>
          <w:rFonts w:ascii="Times New Roman" w:hAnsi="Times New Roman" w:cs="Times New Roman"/>
          <w:sz w:val="20"/>
          <w:szCs w:val="20"/>
        </w:rPr>
        <w:t xml:space="preserve"> Carl (</w:t>
      </w:r>
      <w:proofErr w:type="spellStart"/>
      <w:r w:rsidRPr="00361F0A">
        <w:rPr>
          <w:rFonts w:ascii="Times New Roman" w:hAnsi="Times New Roman" w:cs="Times New Roman"/>
          <w:sz w:val="20"/>
          <w:szCs w:val="20"/>
        </w:rPr>
        <w:t>ed</w:t>
      </w:r>
      <w:proofErr w:type="spellEnd"/>
      <w:r w:rsidRPr="00361F0A">
        <w:rPr>
          <w:rFonts w:ascii="Times New Roman" w:hAnsi="Times New Roman" w:cs="Times New Roman"/>
          <w:sz w:val="20"/>
          <w:szCs w:val="20"/>
        </w:rPr>
        <w:t xml:space="preserve">.), </w:t>
      </w:r>
      <w:proofErr w:type="spellStart"/>
      <w:r w:rsidRPr="00361F0A">
        <w:rPr>
          <w:rFonts w:ascii="Times New Roman" w:hAnsi="Times New Roman" w:cs="Times New Roman"/>
          <w:sz w:val="20"/>
          <w:szCs w:val="20"/>
        </w:rPr>
        <w:t>The</w:t>
      </w:r>
      <w:proofErr w:type="spellEnd"/>
      <w:r w:rsidRPr="00361F0A">
        <w:rPr>
          <w:rFonts w:ascii="Times New Roman" w:hAnsi="Times New Roman" w:cs="Times New Roman"/>
          <w:sz w:val="20"/>
          <w:szCs w:val="20"/>
        </w:rPr>
        <w:t xml:space="preserve"> </w:t>
      </w:r>
      <w:proofErr w:type="spellStart"/>
      <w:r w:rsidRPr="00361F0A">
        <w:rPr>
          <w:rFonts w:ascii="Times New Roman" w:hAnsi="Times New Roman" w:cs="Times New Roman"/>
          <w:sz w:val="20"/>
          <w:szCs w:val="20"/>
        </w:rPr>
        <w:t>Gambling</w:t>
      </w:r>
      <w:proofErr w:type="spellEnd"/>
      <w:r w:rsidRPr="00361F0A">
        <w:rPr>
          <w:rFonts w:ascii="Times New Roman" w:hAnsi="Times New Roman" w:cs="Times New Roman"/>
          <w:sz w:val="20"/>
          <w:szCs w:val="20"/>
        </w:rPr>
        <w:t xml:space="preserve"> </w:t>
      </w:r>
      <w:proofErr w:type="spellStart"/>
      <w:r w:rsidRPr="00361F0A">
        <w:rPr>
          <w:rFonts w:ascii="Times New Roman" w:hAnsi="Times New Roman" w:cs="Times New Roman"/>
          <w:sz w:val="20"/>
          <w:szCs w:val="20"/>
        </w:rPr>
        <w:t>Law</w:t>
      </w:r>
      <w:proofErr w:type="spellEnd"/>
      <w:r w:rsidRPr="00361F0A">
        <w:rPr>
          <w:rFonts w:ascii="Times New Roman" w:hAnsi="Times New Roman" w:cs="Times New Roman"/>
          <w:sz w:val="20"/>
          <w:szCs w:val="20"/>
        </w:rPr>
        <w:t xml:space="preserve"> </w:t>
      </w:r>
      <w:proofErr w:type="spellStart"/>
      <w:r w:rsidRPr="00361F0A">
        <w:rPr>
          <w:rFonts w:ascii="Times New Roman" w:hAnsi="Times New Roman" w:cs="Times New Roman"/>
          <w:sz w:val="20"/>
          <w:szCs w:val="20"/>
        </w:rPr>
        <w:t>Review</w:t>
      </w:r>
      <w:proofErr w:type="spellEnd"/>
      <w:r w:rsidRPr="00361F0A">
        <w:rPr>
          <w:rFonts w:ascii="Times New Roman" w:hAnsi="Times New Roman" w:cs="Times New Roman"/>
          <w:sz w:val="20"/>
          <w:szCs w:val="20"/>
        </w:rPr>
        <w:t xml:space="preserve">, </w:t>
      </w:r>
      <w:proofErr w:type="spellStart"/>
      <w:r w:rsidRPr="00361F0A">
        <w:rPr>
          <w:rFonts w:ascii="Times New Roman" w:hAnsi="Times New Roman" w:cs="Times New Roman"/>
          <w:sz w:val="20"/>
          <w:szCs w:val="20"/>
        </w:rPr>
        <w:t>Law</w:t>
      </w:r>
      <w:proofErr w:type="spellEnd"/>
      <w:r w:rsidRPr="00361F0A">
        <w:rPr>
          <w:rFonts w:ascii="Times New Roman" w:hAnsi="Times New Roman" w:cs="Times New Roman"/>
          <w:sz w:val="20"/>
          <w:szCs w:val="20"/>
        </w:rPr>
        <w:t xml:space="preserve"> </w:t>
      </w:r>
      <w:proofErr w:type="spellStart"/>
      <w:r w:rsidRPr="00361F0A">
        <w:rPr>
          <w:rFonts w:ascii="Times New Roman" w:hAnsi="Times New Roman" w:cs="Times New Roman"/>
          <w:sz w:val="20"/>
          <w:szCs w:val="20"/>
        </w:rPr>
        <w:t>Bussines</w:t>
      </w:r>
      <w:proofErr w:type="spellEnd"/>
      <w:r>
        <w:rPr>
          <w:rFonts w:ascii="Times New Roman" w:hAnsi="Times New Roman" w:cs="Times New Roman"/>
          <w:sz w:val="20"/>
          <w:szCs w:val="20"/>
        </w:rPr>
        <w:t xml:space="preserve"> </w:t>
      </w:r>
      <w:proofErr w:type="spellStart"/>
      <w:r w:rsidRPr="00361F0A">
        <w:rPr>
          <w:rFonts w:ascii="Times New Roman" w:hAnsi="Times New Roman" w:cs="Times New Roman"/>
          <w:sz w:val="20"/>
          <w:szCs w:val="20"/>
        </w:rPr>
        <w:t>Research</w:t>
      </w:r>
      <w:proofErr w:type="spellEnd"/>
      <w:r w:rsidRPr="00361F0A">
        <w:rPr>
          <w:rFonts w:ascii="Times New Roman" w:hAnsi="Times New Roman" w:cs="Times New Roman"/>
          <w:sz w:val="20"/>
          <w:szCs w:val="20"/>
        </w:rPr>
        <w:t>,</w:t>
      </w:r>
      <w:r>
        <w:rPr>
          <w:rFonts w:ascii="Times New Roman" w:hAnsi="Times New Roman" w:cs="Times New Roman"/>
          <w:sz w:val="20"/>
          <w:szCs w:val="20"/>
        </w:rPr>
        <w:t xml:space="preserve"> </w:t>
      </w:r>
      <w:r w:rsidRPr="00361F0A">
        <w:rPr>
          <w:rFonts w:ascii="Times New Roman" w:hAnsi="Times New Roman" w:cs="Times New Roman"/>
          <w:sz w:val="20"/>
          <w:szCs w:val="20"/>
        </w:rPr>
        <w:t>2016,</w:t>
      </w:r>
      <w:r w:rsidRPr="00361F0A">
        <w:rPr>
          <w:rFonts w:ascii="Times New Roman" w:hAnsi="Times New Roman" w:cs="Times New Roman"/>
          <w:sz w:val="20"/>
          <w:szCs w:val="20"/>
        </w:rPr>
        <w:tab/>
        <w:t>110.lpp.</w:t>
      </w:r>
    </w:p>
  </w:footnote>
  <w:footnote w:id="3">
    <w:p w14:paraId="3C111841" w14:textId="77777777" w:rsidR="00690B0F" w:rsidRPr="00361F0A" w:rsidRDefault="00690B0F" w:rsidP="00690B0F">
      <w:pPr>
        <w:pStyle w:val="FootnoteText"/>
        <w:rPr>
          <w:rFonts w:ascii="Times New Roman" w:hAnsi="Times New Roman" w:cs="Times New Roman"/>
          <w:sz w:val="20"/>
          <w:szCs w:val="20"/>
        </w:rPr>
      </w:pPr>
      <w:r w:rsidRPr="00361F0A">
        <w:rPr>
          <w:rStyle w:val="FootnoteReference"/>
          <w:sz w:val="20"/>
          <w:szCs w:val="20"/>
        </w:rPr>
        <w:footnoteRef/>
      </w:r>
      <w:r w:rsidRPr="00361F0A">
        <w:rPr>
          <w:sz w:val="20"/>
          <w:szCs w:val="20"/>
        </w:rPr>
        <w:t xml:space="preserve"> </w:t>
      </w:r>
      <w:proofErr w:type="spellStart"/>
      <w:r w:rsidRPr="00361F0A">
        <w:rPr>
          <w:rFonts w:ascii="Times New Roman" w:hAnsi="Times New Roman" w:cs="Times New Roman"/>
          <w:sz w:val="20"/>
          <w:szCs w:val="20"/>
        </w:rPr>
        <w:t>Roshler</w:t>
      </w:r>
      <w:proofErr w:type="spellEnd"/>
      <w:r w:rsidRPr="00361F0A">
        <w:rPr>
          <w:rFonts w:ascii="Times New Roman" w:hAnsi="Times New Roman" w:cs="Times New Roman"/>
          <w:sz w:val="20"/>
          <w:szCs w:val="20"/>
        </w:rPr>
        <w:t xml:space="preserve"> Carl (</w:t>
      </w:r>
      <w:proofErr w:type="spellStart"/>
      <w:r w:rsidRPr="00361F0A">
        <w:rPr>
          <w:rFonts w:ascii="Times New Roman" w:hAnsi="Times New Roman" w:cs="Times New Roman"/>
          <w:sz w:val="20"/>
          <w:szCs w:val="20"/>
        </w:rPr>
        <w:t>ed</w:t>
      </w:r>
      <w:proofErr w:type="spellEnd"/>
      <w:r w:rsidRPr="00361F0A">
        <w:rPr>
          <w:rFonts w:ascii="Times New Roman" w:hAnsi="Times New Roman" w:cs="Times New Roman"/>
          <w:sz w:val="20"/>
          <w:szCs w:val="20"/>
        </w:rPr>
        <w:t xml:space="preserve">.), </w:t>
      </w:r>
      <w:proofErr w:type="spellStart"/>
      <w:r w:rsidRPr="00361F0A">
        <w:rPr>
          <w:rFonts w:ascii="Times New Roman" w:hAnsi="Times New Roman" w:cs="Times New Roman"/>
          <w:sz w:val="20"/>
          <w:szCs w:val="20"/>
        </w:rPr>
        <w:t>The</w:t>
      </w:r>
      <w:proofErr w:type="spellEnd"/>
      <w:r w:rsidRPr="00361F0A">
        <w:rPr>
          <w:rFonts w:ascii="Times New Roman" w:hAnsi="Times New Roman" w:cs="Times New Roman"/>
          <w:sz w:val="20"/>
          <w:szCs w:val="20"/>
        </w:rPr>
        <w:t xml:space="preserve"> </w:t>
      </w:r>
      <w:proofErr w:type="spellStart"/>
      <w:r w:rsidRPr="00361F0A">
        <w:rPr>
          <w:rFonts w:ascii="Times New Roman" w:hAnsi="Times New Roman" w:cs="Times New Roman"/>
          <w:sz w:val="20"/>
          <w:szCs w:val="20"/>
        </w:rPr>
        <w:t>Gambling</w:t>
      </w:r>
      <w:proofErr w:type="spellEnd"/>
      <w:r w:rsidRPr="00361F0A">
        <w:rPr>
          <w:rFonts w:ascii="Times New Roman" w:hAnsi="Times New Roman" w:cs="Times New Roman"/>
          <w:sz w:val="20"/>
          <w:szCs w:val="20"/>
        </w:rPr>
        <w:t xml:space="preserve"> </w:t>
      </w:r>
      <w:proofErr w:type="spellStart"/>
      <w:r w:rsidRPr="00361F0A">
        <w:rPr>
          <w:rFonts w:ascii="Times New Roman" w:hAnsi="Times New Roman" w:cs="Times New Roman"/>
          <w:sz w:val="20"/>
          <w:szCs w:val="20"/>
        </w:rPr>
        <w:t>Law</w:t>
      </w:r>
      <w:proofErr w:type="spellEnd"/>
      <w:r w:rsidRPr="00361F0A">
        <w:rPr>
          <w:rFonts w:ascii="Times New Roman" w:hAnsi="Times New Roman" w:cs="Times New Roman"/>
          <w:sz w:val="20"/>
          <w:szCs w:val="20"/>
        </w:rPr>
        <w:t xml:space="preserve"> </w:t>
      </w:r>
      <w:proofErr w:type="spellStart"/>
      <w:r w:rsidRPr="00361F0A">
        <w:rPr>
          <w:rFonts w:ascii="Times New Roman" w:hAnsi="Times New Roman" w:cs="Times New Roman"/>
          <w:sz w:val="20"/>
          <w:szCs w:val="20"/>
        </w:rPr>
        <w:t>Review</w:t>
      </w:r>
      <w:proofErr w:type="spellEnd"/>
      <w:r w:rsidRPr="00361F0A">
        <w:rPr>
          <w:rFonts w:ascii="Times New Roman" w:hAnsi="Times New Roman" w:cs="Times New Roman"/>
          <w:sz w:val="20"/>
          <w:szCs w:val="20"/>
        </w:rPr>
        <w:t xml:space="preserve">, </w:t>
      </w:r>
      <w:proofErr w:type="spellStart"/>
      <w:r w:rsidRPr="00361F0A">
        <w:rPr>
          <w:rFonts w:ascii="Times New Roman" w:hAnsi="Times New Roman" w:cs="Times New Roman"/>
          <w:sz w:val="20"/>
          <w:szCs w:val="20"/>
        </w:rPr>
        <w:t>Law</w:t>
      </w:r>
      <w:proofErr w:type="spellEnd"/>
      <w:r w:rsidRPr="00361F0A">
        <w:rPr>
          <w:rFonts w:ascii="Times New Roman" w:hAnsi="Times New Roman" w:cs="Times New Roman"/>
          <w:sz w:val="20"/>
          <w:szCs w:val="20"/>
        </w:rPr>
        <w:t xml:space="preserve"> </w:t>
      </w:r>
      <w:proofErr w:type="spellStart"/>
      <w:r w:rsidRPr="00361F0A">
        <w:rPr>
          <w:rFonts w:ascii="Times New Roman" w:hAnsi="Times New Roman" w:cs="Times New Roman"/>
          <w:sz w:val="20"/>
          <w:szCs w:val="20"/>
        </w:rPr>
        <w:t>Bussines</w:t>
      </w:r>
      <w:proofErr w:type="spellEnd"/>
      <w:r>
        <w:rPr>
          <w:rFonts w:ascii="Times New Roman" w:hAnsi="Times New Roman" w:cs="Times New Roman"/>
          <w:sz w:val="20"/>
          <w:szCs w:val="20"/>
        </w:rPr>
        <w:t xml:space="preserve"> </w:t>
      </w:r>
      <w:proofErr w:type="spellStart"/>
      <w:r w:rsidRPr="00361F0A">
        <w:rPr>
          <w:rFonts w:ascii="Times New Roman" w:hAnsi="Times New Roman" w:cs="Times New Roman"/>
          <w:sz w:val="20"/>
          <w:szCs w:val="20"/>
        </w:rPr>
        <w:t>Research</w:t>
      </w:r>
      <w:proofErr w:type="spellEnd"/>
      <w:r w:rsidRPr="00361F0A">
        <w:rPr>
          <w:rFonts w:ascii="Times New Roman" w:hAnsi="Times New Roman" w:cs="Times New Roman"/>
          <w:sz w:val="20"/>
          <w:szCs w:val="20"/>
        </w:rPr>
        <w:t>,</w:t>
      </w:r>
      <w:r>
        <w:rPr>
          <w:rFonts w:ascii="Times New Roman" w:hAnsi="Times New Roman" w:cs="Times New Roman"/>
          <w:sz w:val="20"/>
          <w:szCs w:val="20"/>
        </w:rPr>
        <w:t xml:space="preserve"> </w:t>
      </w:r>
      <w:r w:rsidRPr="00361F0A">
        <w:rPr>
          <w:rFonts w:ascii="Times New Roman" w:hAnsi="Times New Roman" w:cs="Times New Roman"/>
          <w:sz w:val="20"/>
          <w:szCs w:val="20"/>
        </w:rPr>
        <w:t>2016,</w:t>
      </w:r>
      <w:r w:rsidRPr="00361F0A">
        <w:rPr>
          <w:rFonts w:ascii="Times New Roman" w:hAnsi="Times New Roman" w:cs="Times New Roman"/>
          <w:sz w:val="20"/>
          <w:szCs w:val="20"/>
        </w:rPr>
        <w:tab/>
        <w:t>135.-136.lpp.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F66AE" w14:textId="77777777" w:rsidR="00BB5C8A" w:rsidRDefault="00BB5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C2A5539" w14:textId="49908E01" w:rsidR="008E7D28" w:rsidRPr="00C25B49" w:rsidRDefault="008E7D2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72A00">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D34E7" w14:textId="77777777" w:rsidR="00BB5C8A" w:rsidRDefault="00BB5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4C3"/>
    <w:multiLevelType w:val="hybridMultilevel"/>
    <w:tmpl w:val="1812DE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302181"/>
    <w:multiLevelType w:val="hybridMultilevel"/>
    <w:tmpl w:val="62BC62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3D0F27"/>
    <w:multiLevelType w:val="hybridMultilevel"/>
    <w:tmpl w:val="21B230A2"/>
    <w:lvl w:ilvl="0" w:tplc="FEB86050">
      <w:start w:val="1"/>
      <w:numFmt w:val="decimal"/>
      <w:lvlText w:val="%1."/>
      <w:lvlJc w:val="left"/>
      <w:pPr>
        <w:ind w:left="432" w:hanging="360"/>
      </w:pPr>
      <w:rPr>
        <w:rFonts w:eastAsiaTheme="minorHAnsi" w:hint="default"/>
        <w:i w:val="0"/>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3" w15:restartNumberingAfterBreak="0">
    <w:nsid w:val="2C2E2B8A"/>
    <w:multiLevelType w:val="hybridMultilevel"/>
    <w:tmpl w:val="B308C0AE"/>
    <w:lvl w:ilvl="0" w:tplc="6A4ECC6A">
      <w:start w:val="1"/>
      <w:numFmt w:val="decimal"/>
      <w:lvlText w:val="%1."/>
      <w:lvlJc w:val="left"/>
      <w:pPr>
        <w:ind w:left="720" w:hanging="360"/>
      </w:pPr>
      <w:rPr>
        <w:rFonts w:eastAsia="Calibri" w:hint="default"/>
        <w:b/>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3B5F29"/>
    <w:multiLevelType w:val="hybridMultilevel"/>
    <w:tmpl w:val="9C32C1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FB0947"/>
    <w:multiLevelType w:val="hybridMultilevel"/>
    <w:tmpl w:val="596AABFE"/>
    <w:lvl w:ilvl="0" w:tplc="FBAA75AA">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3E062F53"/>
    <w:multiLevelType w:val="hybridMultilevel"/>
    <w:tmpl w:val="34D6668E"/>
    <w:lvl w:ilvl="0" w:tplc="7522291A">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3E8E1E1F"/>
    <w:multiLevelType w:val="hybridMultilevel"/>
    <w:tmpl w:val="DD382ACC"/>
    <w:lvl w:ilvl="0" w:tplc="1EAE6036">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612860"/>
    <w:multiLevelType w:val="hybridMultilevel"/>
    <w:tmpl w:val="B48CF268"/>
    <w:lvl w:ilvl="0" w:tplc="6FACA634">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89121D1"/>
    <w:multiLevelType w:val="hybridMultilevel"/>
    <w:tmpl w:val="3F32F06A"/>
    <w:lvl w:ilvl="0" w:tplc="8AF42638">
      <w:start w:val="2"/>
      <w:numFmt w:val="decimal"/>
      <w:lvlText w:val="(%1)"/>
      <w:lvlJc w:val="left"/>
      <w:pPr>
        <w:ind w:left="720" w:hanging="360"/>
      </w:pPr>
      <w:rPr>
        <w:rFonts w:cstheme="minorBidi"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6320E84"/>
    <w:multiLevelType w:val="hybridMultilevel"/>
    <w:tmpl w:val="B4D26582"/>
    <w:lvl w:ilvl="0" w:tplc="25A20358">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75943B9"/>
    <w:multiLevelType w:val="multilevel"/>
    <w:tmpl w:val="999A131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8945AE"/>
    <w:multiLevelType w:val="hybridMultilevel"/>
    <w:tmpl w:val="F4F4B760"/>
    <w:lvl w:ilvl="0" w:tplc="33A496CE">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3" w15:restartNumberingAfterBreak="0">
    <w:nsid w:val="638246F6"/>
    <w:multiLevelType w:val="hybridMultilevel"/>
    <w:tmpl w:val="D7EAAC74"/>
    <w:lvl w:ilvl="0" w:tplc="B4CEF370">
      <w:start w:val="2"/>
      <w:numFmt w:val="bullet"/>
      <w:lvlText w:val="-"/>
      <w:lvlJc w:val="left"/>
      <w:pPr>
        <w:ind w:left="492" w:hanging="360"/>
      </w:pPr>
      <w:rPr>
        <w:rFonts w:ascii="Times New Roman" w:eastAsiaTheme="minorHAnsi" w:hAnsi="Times New Roman" w:cs="Times New Roman" w:hint="default"/>
      </w:rPr>
    </w:lvl>
    <w:lvl w:ilvl="1" w:tplc="04260003" w:tentative="1">
      <w:start w:val="1"/>
      <w:numFmt w:val="bullet"/>
      <w:lvlText w:val="o"/>
      <w:lvlJc w:val="left"/>
      <w:pPr>
        <w:ind w:left="1212" w:hanging="360"/>
      </w:pPr>
      <w:rPr>
        <w:rFonts w:ascii="Courier New" w:hAnsi="Courier New" w:cs="Courier New" w:hint="default"/>
      </w:rPr>
    </w:lvl>
    <w:lvl w:ilvl="2" w:tplc="04260005" w:tentative="1">
      <w:start w:val="1"/>
      <w:numFmt w:val="bullet"/>
      <w:lvlText w:val=""/>
      <w:lvlJc w:val="left"/>
      <w:pPr>
        <w:ind w:left="1932" w:hanging="360"/>
      </w:pPr>
      <w:rPr>
        <w:rFonts w:ascii="Wingdings" w:hAnsi="Wingdings" w:hint="default"/>
      </w:rPr>
    </w:lvl>
    <w:lvl w:ilvl="3" w:tplc="04260001" w:tentative="1">
      <w:start w:val="1"/>
      <w:numFmt w:val="bullet"/>
      <w:lvlText w:val=""/>
      <w:lvlJc w:val="left"/>
      <w:pPr>
        <w:ind w:left="2652" w:hanging="360"/>
      </w:pPr>
      <w:rPr>
        <w:rFonts w:ascii="Symbol" w:hAnsi="Symbol" w:hint="default"/>
      </w:rPr>
    </w:lvl>
    <w:lvl w:ilvl="4" w:tplc="04260003" w:tentative="1">
      <w:start w:val="1"/>
      <w:numFmt w:val="bullet"/>
      <w:lvlText w:val="o"/>
      <w:lvlJc w:val="left"/>
      <w:pPr>
        <w:ind w:left="3372" w:hanging="360"/>
      </w:pPr>
      <w:rPr>
        <w:rFonts w:ascii="Courier New" w:hAnsi="Courier New" w:cs="Courier New" w:hint="default"/>
      </w:rPr>
    </w:lvl>
    <w:lvl w:ilvl="5" w:tplc="04260005" w:tentative="1">
      <w:start w:val="1"/>
      <w:numFmt w:val="bullet"/>
      <w:lvlText w:val=""/>
      <w:lvlJc w:val="left"/>
      <w:pPr>
        <w:ind w:left="4092" w:hanging="360"/>
      </w:pPr>
      <w:rPr>
        <w:rFonts w:ascii="Wingdings" w:hAnsi="Wingdings" w:hint="default"/>
      </w:rPr>
    </w:lvl>
    <w:lvl w:ilvl="6" w:tplc="04260001" w:tentative="1">
      <w:start w:val="1"/>
      <w:numFmt w:val="bullet"/>
      <w:lvlText w:val=""/>
      <w:lvlJc w:val="left"/>
      <w:pPr>
        <w:ind w:left="4812" w:hanging="360"/>
      </w:pPr>
      <w:rPr>
        <w:rFonts w:ascii="Symbol" w:hAnsi="Symbol" w:hint="default"/>
      </w:rPr>
    </w:lvl>
    <w:lvl w:ilvl="7" w:tplc="04260003" w:tentative="1">
      <w:start w:val="1"/>
      <w:numFmt w:val="bullet"/>
      <w:lvlText w:val="o"/>
      <w:lvlJc w:val="left"/>
      <w:pPr>
        <w:ind w:left="5532" w:hanging="360"/>
      </w:pPr>
      <w:rPr>
        <w:rFonts w:ascii="Courier New" w:hAnsi="Courier New" w:cs="Courier New" w:hint="default"/>
      </w:rPr>
    </w:lvl>
    <w:lvl w:ilvl="8" w:tplc="04260005" w:tentative="1">
      <w:start w:val="1"/>
      <w:numFmt w:val="bullet"/>
      <w:lvlText w:val=""/>
      <w:lvlJc w:val="left"/>
      <w:pPr>
        <w:ind w:left="6252" w:hanging="360"/>
      </w:pPr>
      <w:rPr>
        <w:rFonts w:ascii="Wingdings" w:hAnsi="Wingdings" w:hint="default"/>
      </w:rPr>
    </w:lvl>
  </w:abstractNum>
  <w:abstractNum w:abstractNumId="14" w15:restartNumberingAfterBreak="0">
    <w:nsid w:val="66CF5000"/>
    <w:multiLevelType w:val="hybridMultilevel"/>
    <w:tmpl w:val="EF4A73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C316769"/>
    <w:multiLevelType w:val="hybridMultilevel"/>
    <w:tmpl w:val="5686B8D0"/>
    <w:lvl w:ilvl="0" w:tplc="B53A1E3C">
      <w:start w:val="1"/>
      <w:numFmt w:val="decimal"/>
      <w:lvlText w:val="%1)"/>
      <w:lvlJc w:val="left"/>
      <w:pPr>
        <w:ind w:left="1070" w:hanging="360"/>
      </w:pPr>
      <w:rPr>
        <w:rFonts w:hint="default"/>
        <w:strike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718245DE"/>
    <w:multiLevelType w:val="hybridMultilevel"/>
    <w:tmpl w:val="F836C8A0"/>
    <w:lvl w:ilvl="0" w:tplc="28BC0B54">
      <w:start w:val="4"/>
      <w:numFmt w:val="bullet"/>
      <w:lvlText w:val="-"/>
      <w:lvlJc w:val="left"/>
      <w:pPr>
        <w:ind w:left="405" w:hanging="360"/>
      </w:pPr>
      <w:rPr>
        <w:rFonts w:ascii="Calibri" w:eastAsia="Calibri" w:hAnsi="Calibri" w:cs="Calibri" w:hint="default"/>
        <w:b w:val="0"/>
        <w:i w:val="0"/>
        <w:sz w:val="22"/>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17" w15:restartNumberingAfterBreak="0">
    <w:nsid w:val="771537DA"/>
    <w:multiLevelType w:val="hybridMultilevel"/>
    <w:tmpl w:val="863E73B4"/>
    <w:lvl w:ilvl="0" w:tplc="39E8E5C0">
      <w:numFmt w:val="bullet"/>
      <w:lvlText w:val="-"/>
      <w:lvlJc w:val="left"/>
      <w:pPr>
        <w:ind w:left="405" w:hanging="360"/>
      </w:pPr>
      <w:rPr>
        <w:rFonts w:ascii="Calibri" w:eastAsia="Calibri" w:hAnsi="Calibri" w:cs="Calibri" w:hint="default"/>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18" w15:restartNumberingAfterBreak="0">
    <w:nsid w:val="79A62DAA"/>
    <w:multiLevelType w:val="hybridMultilevel"/>
    <w:tmpl w:val="5BEAADAA"/>
    <w:lvl w:ilvl="0" w:tplc="59C43220">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8"/>
  </w:num>
  <w:num w:numId="3">
    <w:abstractNumId w:val="18"/>
  </w:num>
  <w:num w:numId="4">
    <w:abstractNumId w:val="11"/>
  </w:num>
  <w:num w:numId="5">
    <w:abstractNumId w:val="4"/>
  </w:num>
  <w:num w:numId="6">
    <w:abstractNumId w:val="1"/>
  </w:num>
  <w:num w:numId="7">
    <w:abstractNumId w:val="6"/>
  </w:num>
  <w:num w:numId="8">
    <w:abstractNumId w:val="2"/>
  </w:num>
  <w:num w:numId="9">
    <w:abstractNumId w:val="9"/>
  </w:num>
  <w:num w:numId="10">
    <w:abstractNumId w:val="10"/>
  </w:num>
  <w:num w:numId="11">
    <w:abstractNumId w:val="3"/>
  </w:num>
  <w:num w:numId="12">
    <w:abstractNumId w:val="13"/>
  </w:num>
  <w:num w:numId="13">
    <w:abstractNumId w:val="5"/>
  </w:num>
  <w:num w:numId="14">
    <w:abstractNumId w:val="0"/>
  </w:num>
  <w:num w:numId="15">
    <w:abstractNumId w:val="15"/>
  </w:num>
  <w:num w:numId="16">
    <w:abstractNumId w:val="16"/>
  </w:num>
  <w:num w:numId="17">
    <w:abstractNumId w:val="12"/>
  </w:num>
  <w:num w:numId="18">
    <w:abstractNumId w:val="17"/>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97"/>
    <w:rsid w:val="0000077C"/>
    <w:rsid w:val="00016BCF"/>
    <w:rsid w:val="00040F89"/>
    <w:rsid w:val="000544F2"/>
    <w:rsid w:val="00062417"/>
    <w:rsid w:val="00063D8C"/>
    <w:rsid w:val="00072B46"/>
    <w:rsid w:val="000904B7"/>
    <w:rsid w:val="000A185D"/>
    <w:rsid w:val="000A542B"/>
    <w:rsid w:val="000C1776"/>
    <w:rsid w:val="000C67DE"/>
    <w:rsid w:val="000D4980"/>
    <w:rsid w:val="000F0843"/>
    <w:rsid w:val="00103F88"/>
    <w:rsid w:val="001063B8"/>
    <w:rsid w:val="001124E9"/>
    <w:rsid w:val="00117B11"/>
    <w:rsid w:val="00117C61"/>
    <w:rsid w:val="00122F66"/>
    <w:rsid w:val="00135D8F"/>
    <w:rsid w:val="0014662E"/>
    <w:rsid w:val="00150464"/>
    <w:rsid w:val="00163BE5"/>
    <w:rsid w:val="0016402E"/>
    <w:rsid w:val="00182258"/>
    <w:rsid w:val="001849FF"/>
    <w:rsid w:val="00196363"/>
    <w:rsid w:val="0019665C"/>
    <w:rsid w:val="001A1ECF"/>
    <w:rsid w:val="001A5EAD"/>
    <w:rsid w:val="001A7867"/>
    <w:rsid w:val="001C65F6"/>
    <w:rsid w:val="001D1610"/>
    <w:rsid w:val="001D3D76"/>
    <w:rsid w:val="001E056D"/>
    <w:rsid w:val="00201F24"/>
    <w:rsid w:val="00205262"/>
    <w:rsid w:val="00214108"/>
    <w:rsid w:val="002203CA"/>
    <w:rsid w:val="00224793"/>
    <w:rsid w:val="00251B83"/>
    <w:rsid w:val="00264422"/>
    <w:rsid w:val="00265682"/>
    <w:rsid w:val="002731BC"/>
    <w:rsid w:val="002762BF"/>
    <w:rsid w:val="00287E0E"/>
    <w:rsid w:val="00287F91"/>
    <w:rsid w:val="002933AB"/>
    <w:rsid w:val="0029665A"/>
    <w:rsid w:val="002A2D71"/>
    <w:rsid w:val="002A2E41"/>
    <w:rsid w:val="002A6E86"/>
    <w:rsid w:val="002B3BB5"/>
    <w:rsid w:val="002C12AD"/>
    <w:rsid w:val="002C7B52"/>
    <w:rsid w:val="002D3646"/>
    <w:rsid w:val="002E3AB5"/>
    <w:rsid w:val="002E4044"/>
    <w:rsid w:val="002E5520"/>
    <w:rsid w:val="002E6976"/>
    <w:rsid w:val="002F1787"/>
    <w:rsid w:val="002F1C8A"/>
    <w:rsid w:val="002F2993"/>
    <w:rsid w:val="002F573D"/>
    <w:rsid w:val="00306371"/>
    <w:rsid w:val="00313B02"/>
    <w:rsid w:val="00320952"/>
    <w:rsid w:val="0033752C"/>
    <w:rsid w:val="00341413"/>
    <w:rsid w:val="00341488"/>
    <w:rsid w:val="00361F0A"/>
    <w:rsid w:val="00367353"/>
    <w:rsid w:val="00382E59"/>
    <w:rsid w:val="0038322C"/>
    <w:rsid w:val="003843A4"/>
    <w:rsid w:val="003844E5"/>
    <w:rsid w:val="00395A26"/>
    <w:rsid w:val="00396EB6"/>
    <w:rsid w:val="003A0997"/>
    <w:rsid w:val="003A21AE"/>
    <w:rsid w:val="003A2E76"/>
    <w:rsid w:val="003A4F83"/>
    <w:rsid w:val="003A6E8F"/>
    <w:rsid w:val="003B2A15"/>
    <w:rsid w:val="003C51BA"/>
    <w:rsid w:val="003C7C58"/>
    <w:rsid w:val="003D10A6"/>
    <w:rsid w:val="003D2B6C"/>
    <w:rsid w:val="003D76CC"/>
    <w:rsid w:val="003D7E47"/>
    <w:rsid w:val="003E0965"/>
    <w:rsid w:val="003E11EA"/>
    <w:rsid w:val="003E1A69"/>
    <w:rsid w:val="003E6324"/>
    <w:rsid w:val="0040028D"/>
    <w:rsid w:val="004124E5"/>
    <w:rsid w:val="004128F1"/>
    <w:rsid w:val="00424308"/>
    <w:rsid w:val="00424454"/>
    <w:rsid w:val="00440F6C"/>
    <w:rsid w:val="00442FF0"/>
    <w:rsid w:val="0044502F"/>
    <w:rsid w:val="00452056"/>
    <w:rsid w:val="004717E5"/>
    <w:rsid w:val="00481DBE"/>
    <w:rsid w:val="00485147"/>
    <w:rsid w:val="00485986"/>
    <w:rsid w:val="0048677B"/>
    <w:rsid w:val="00486EC8"/>
    <w:rsid w:val="004902C3"/>
    <w:rsid w:val="00496DE6"/>
    <w:rsid w:val="004A1074"/>
    <w:rsid w:val="004A499A"/>
    <w:rsid w:val="004B19AC"/>
    <w:rsid w:val="004B2FF6"/>
    <w:rsid w:val="004B380D"/>
    <w:rsid w:val="004C4F67"/>
    <w:rsid w:val="004D74DE"/>
    <w:rsid w:val="004E03BB"/>
    <w:rsid w:val="004F0AD1"/>
    <w:rsid w:val="004F364B"/>
    <w:rsid w:val="004F5298"/>
    <w:rsid w:val="004F5687"/>
    <w:rsid w:val="005076F8"/>
    <w:rsid w:val="0052289C"/>
    <w:rsid w:val="00525DBB"/>
    <w:rsid w:val="00534E19"/>
    <w:rsid w:val="00536188"/>
    <w:rsid w:val="00536908"/>
    <w:rsid w:val="00540A63"/>
    <w:rsid w:val="0055302B"/>
    <w:rsid w:val="00553F2A"/>
    <w:rsid w:val="005543D8"/>
    <w:rsid w:val="00556865"/>
    <w:rsid w:val="00562FE2"/>
    <w:rsid w:val="00567BA4"/>
    <w:rsid w:val="00572CA1"/>
    <w:rsid w:val="00573CE0"/>
    <w:rsid w:val="0058291C"/>
    <w:rsid w:val="00587B9F"/>
    <w:rsid w:val="00592ADE"/>
    <w:rsid w:val="00595044"/>
    <w:rsid w:val="005A0AF6"/>
    <w:rsid w:val="005A3FB0"/>
    <w:rsid w:val="005A48F6"/>
    <w:rsid w:val="005C127E"/>
    <w:rsid w:val="005C43B5"/>
    <w:rsid w:val="005D42C6"/>
    <w:rsid w:val="005E443E"/>
    <w:rsid w:val="005F34BC"/>
    <w:rsid w:val="005F70A2"/>
    <w:rsid w:val="0061143A"/>
    <w:rsid w:val="00612D2E"/>
    <w:rsid w:val="006201F2"/>
    <w:rsid w:val="00623061"/>
    <w:rsid w:val="00623E1E"/>
    <w:rsid w:val="006243EF"/>
    <w:rsid w:val="006258CC"/>
    <w:rsid w:val="00630659"/>
    <w:rsid w:val="00640A5B"/>
    <w:rsid w:val="0064671D"/>
    <w:rsid w:val="00646DB9"/>
    <w:rsid w:val="00647717"/>
    <w:rsid w:val="00653F82"/>
    <w:rsid w:val="00663E05"/>
    <w:rsid w:val="00665C7F"/>
    <w:rsid w:val="00666EF3"/>
    <w:rsid w:val="00667672"/>
    <w:rsid w:val="00670149"/>
    <w:rsid w:val="00670E34"/>
    <w:rsid w:val="00685BE7"/>
    <w:rsid w:val="00686092"/>
    <w:rsid w:val="00690B0F"/>
    <w:rsid w:val="006A0A19"/>
    <w:rsid w:val="006A32CB"/>
    <w:rsid w:val="006A5A30"/>
    <w:rsid w:val="006B7DEB"/>
    <w:rsid w:val="006C11AC"/>
    <w:rsid w:val="006C469F"/>
    <w:rsid w:val="006D4B6F"/>
    <w:rsid w:val="006D5A47"/>
    <w:rsid w:val="006F0817"/>
    <w:rsid w:val="006F0CA1"/>
    <w:rsid w:val="006F0EC2"/>
    <w:rsid w:val="006F5EEC"/>
    <w:rsid w:val="00706525"/>
    <w:rsid w:val="0071475C"/>
    <w:rsid w:val="0072004C"/>
    <w:rsid w:val="00720B97"/>
    <w:rsid w:val="0072317B"/>
    <w:rsid w:val="00727B72"/>
    <w:rsid w:val="0073262A"/>
    <w:rsid w:val="00743357"/>
    <w:rsid w:val="00747DFB"/>
    <w:rsid w:val="00751797"/>
    <w:rsid w:val="007557E8"/>
    <w:rsid w:val="00763E9E"/>
    <w:rsid w:val="00767876"/>
    <w:rsid w:val="00780659"/>
    <w:rsid w:val="00784B7F"/>
    <w:rsid w:val="00787679"/>
    <w:rsid w:val="00792065"/>
    <w:rsid w:val="00792BCA"/>
    <w:rsid w:val="007A4D3B"/>
    <w:rsid w:val="007B3D6F"/>
    <w:rsid w:val="007D04D8"/>
    <w:rsid w:val="007D13F7"/>
    <w:rsid w:val="007D1EA2"/>
    <w:rsid w:val="007D385D"/>
    <w:rsid w:val="007E0119"/>
    <w:rsid w:val="007F2E62"/>
    <w:rsid w:val="00800A25"/>
    <w:rsid w:val="0080441F"/>
    <w:rsid w:val="00813DA5"/>
    <w:rsid w:val="00817C6D"/>
    <w:rsid w:val="00840757"/>
    <w:rsid w:val="0084230B"/>
    <w:rsid w:val="008477E7"/>
    <w:rsid w:val="0086178B"/>
    <w:rsid w:val="0087294A"/>
    <w:rsid w:val="008764BC"/>
    <w:rsid w:val="00882097"/>
    <w:rsid w:val="00887F3A"/>
    <w:rsid w:val="0089020D"/>
    <w:rsid w:val="008A3104"/>
    <w:rsid w:val="008A7CF3"/>
    <w:rsid w:val="008B4F2C"/>
    <w:rsid w:val="008C6672"/>
    <w:rsid w:val="008E2F13"/>
    <w:rsid w:val="008E3EAA"/>
    <w:rsid w:val="008E61F2"/>
    <w:rsid w:val="008E7D28"/>
    <w:rsid w:val="00916094"/>
    <w:rsid w:val="009247F8"/>
    <w:rsid w:val="009316F6"/>
    <w:rsid w:val="00931F0D"/>
    <w:rsid w:val="00932141"/>
    <w:rsid w:val="00933477"/>
    <w:rsid w:val="009362AC"/>
    <w:rsid w:val="00942DA8"/>
    <w:rsid w:val="00946D3D"/>
    <w:rsid w:val="0096587A"/>
    <w:rsid w:val="00972A00"/>
    <w:rsid w:val="00975AD0"/>
    <w:rsid w:val="00976C92"/>
    <w:rsid w:val="009842E4"/>
    <w:rsid w:val="00992485"/>
    <w:rsid w:val="00997517"/>
    <w:rsid w:val="009B7537"/>
    <w:rsid w:val="009D3860"/>
    <w:rsid w:val="009D693F"/>
    <w:rsid w:val="009E62BE"/>
    <w:rsid w:val="009E66FB"/>
    <w:rsid w:val="009F1CEE"/>
    <w:rsid w:val="009F7A72"/>
    <w:rsid w:val="00A00702"/>
    <w:rsid w:val="00A03540"/>
    <w:rsid w:val="00A03718"/>
    <w:rsid w:val="00A06DEB"/>
    <w:rsid w:val="00A073E4"/>
    <w:rsid w:val="00A1019C"/>
    <w:rsid w:val="00A11B91"/>
    <w:rsid w:val="00A15864"/>
    <w:rsid w:val="00A40486"/>
    <w:rsid w:val="00A5230A"/>
    <w:rsid w:val="00A52913"/>
    <w:rsid w:val="00A70E7E"/>
    <w:rsid w:val="00A766E5"/>
    <w:rsid w:val="00A77AE8"/>
    <w:rsid w:val="00A8147D"/>
    <w:rsid w:val="00A82B3B"/>
    <w:rsid w:val="00A8300C"/>
    <w:rsid w:val="00A84C62"/>
    <w:rsid w:val="00A85D0F"/>
    <w:rsid w:val="00A934B0"/>
    <w:rsid w:val="00AA5453"/>
    <w:rsid w:val="00AC06A3"/>
    <w:rsid w:val="00AC7ACE"/>
    <w:rsid w:val="00AD45F0"/>
    <w:rsid w:val="00AD5CF7"/>
    <w:rsid w:val="00AE4509"/>
    <w:rsid w:val="00AF1EAB"/>
    <w:rsid w:val="00AF5011"/>
    <w:rsid w:val="00B01408"/>
    <w:rsid w:val="00B1321F"/>
    <w:rsid w:val="00B147DC"/>
    <w:rsid w:val="00B167C8"/>
    <w:rsid w:val="00B200FE"/>
    <w:rsid w:val="00B35594"/>
    <w:rsid w:val="00B464B6"/>
    <w:rsid w:val="00B4660C"/>
    <w:rsid w:val="00B51AD8"/>
    <w:rsid w:val="00B63152"/>
    <w:rsid w:val="00B651D7"/>
    <w:rsid w:val="00B70375"/>
    <w:rsid w:val="00B85CB7"/>
    <w:rsid w:val="00B96751"/>
    <w:rsid w:val="00BA1030"/>
    <w:rsid w:val="00BA42C4"/>
    <w:rsid w:val="00BA7793"/>
    <w:rsid w:val="00BB128A"/>
    <w:rsid w:val="00BB5C8A"/>
    <w:rsid w:val="00BB6FA0"/>
    <w:rsid w:val="00BC6CBF"/>
    <w:rsid w:val="00BC78AF"/>
    <w:rsid w:val="00BD7424"/>
    <w:rsid w:val="00BE2F50"/>
    <w:rsid w:val="00BE6459"/>
    <w:rsid w:val="00BF1419"/>
    <w:rsid w:val="00BF3920"/>
    <w:rsid w:val="00BF5923"/>
    <w:rsid w:val="00C01E3B"/>
    <w:rsid w:val="00C06C87"/>
    <w:rsid w:val="00C204FE"/>
    <w:rsid w:val="00C23B0A"/>
    <w:rsid w:val="00C253C3"/>
    <w:rsid w:val="00C26093"/>
    <w:rsid w:val="00C3138D"/>
    <w:rsid w:val="00C404F6"/>
    <w:rsid w:val="00C433E8"/>
    <w:rsid w:val="00C43C1A"/>
    <w:rsid w:val="00C51C9B"/>
    <w:rsid w:val="00C551C8"/>
    <w:rsid w:val="00C56C25"/>
    <w:rsid w:val="00C614E0"/>
    <w:rsid w:val="00C62503"/>
    <w:rsid w:val="00C64817"/>
    <w:rsid w:val="00C64E26"/>
    <w:rsid w:val="00C752D2"/>
    <w:rsid w:val="00C834BE"/>
    <w:rsid w:val="00C9039B"/>
    <w:rsid w:val="00C90782"/>
    <w:rsid w:val="00C91CD6"/>
    <w:rsid w:val="00C94F16"/>
    <w:rsid w:val="00C979A3"/>
    <w:rsid w:val="00CA2124"/>
    <w:rsid w:val="00CA28C6"/>
    <w:rsid w:val="00CA412C"/>
    <w:rsid w:val="00CB084D"/>
    <w:rsid w:val="00CB1C33"/>
    <w:rsid w:val="00CB33DF"/>
    <w:rsid w:val="00CB4CFE"/>
    <w:rsid w:val="00CC2A50"/>
    <w:rsid w:val="00CD0F83"/>
    <w:rsid w:val="00CD4AAC"/>
    <w:rsid w:val="00CE06BE"/>
    <w:rsid w:val="00CF2FCD"/>
    <w:rsid w:val="00CF796A"/>
    <w:rsid w:val="00D00C98"/>
    <w:rsid w:val="00D01353"/>
    <w:rsid w:val="00D27C76"/>
    <w:rsid w:val="00D436AD"/>
    <w:rsid w:val="00D47F66"/>
    <w:rsid w:val="00D50236"/>
    <w:rsid w:val="00D53B96"/>
    <w:rsid w:val="00D65EF4"/>
    <w:rsid w:val="00D71BA6"/>
    <w:rsid w:val="00D761A8"/>
    <w:rsid w:val="00D80F6F"/>
    <w:rsid w:val="00D834CF"/>
    <w:rsid w:val="00D94BB1"/>
    <w:rsid w:val="00D97D8D"/>
    <w:rsid w:val="00DA08FD"/>
    <w:rsid w:val="00DA1795"/>
    <w:rsid w:val="00DB3AD4"/>
    <w:rsid w:val="00DB70F1"/>
    <w:rsid w:val="00DC4E86"/>
    <w:rsid w:val="00DC542A"/>
    <w:rsid w:val="00DE4B45"/>
    <w:rsid w:val="00DF6E01"/>
    <w:rsid w:val="00E00E4C"/>
    <w:rsid w:val="00E00F36"/>
    <w:rsid w:val="00E06EB0"/>
    <w:rsid w:val="00E265A1"/>
    <w:rsid w:val="00E273A4"/>
    <w:rsid w:val="00E34383"/>
    <w:rsid w:val="00E51C48"/>
    <w:rsid w:val="00E61A3F"/>
    <w:rsid w:val="00E6231B"/>
    <w:rsid w:val="00E66CED"/>
    <w:rsid w:val="00E73477"/>
    <w:rsid w:val="00E80013"/>
    <w:rsid w:val="00E80A92"/>
    <w:rsid w:val="00E9567F"/>
    <w:rsid w:val="00E962DA"/>
    <w:rsid w:val="00EA70B5"/>
    <w:rsid w:val="00EB6EE8"/>
    <w:rsid w:val="00ED5134"/>
    <w:rsid w:val="00EE2463"/>
    <w:rsid w:val="00EE4346"/>
    <w:rsid w:val="00EE5FF4"/>
    <w:rsid w:val="00F000AA"/>
    <w:rsid w:val="00F05C94"/>
    <w:rsid w:val="00F344EB"/>
    <w:rsid w:val="00F35D5B"/>
    <w:rsid w:val="00F5358D"/>
    <w:rsid w:val="00F63A56"/>
    <w:rsid w:val="00F66547"/>
    <w:rsid w:val="00F66BE1"/>
    <w:rsid w:val="00F672B6"/>
    <w:rsid w:val="00F82BB1"/>
    <w:rsid w:val="00F87E89"/>
    <w:rsid w:val="00F93732"/>
    <w:rsid w:val="00F93E3E"/>
    <w:rsid w:val="00FA3588"/>
    <w:rsid w:val="00FB24C2"/>
    <w:rsid w:val="00FC04BD"/>
    <w:rsid w:val="00FC3D5F"/>
    <w:rsid w:val="00FD1BE4"/>
    <w:rsid w:val="00FE3E2D"/>
    <w:rsid w:val="00FE49D0"/>
    <w:rsid w:val="00FE526F"/>
    <w:rsid w:val="00FE7B21"/>
    <w:rsid w:val="00FF346B"/>
    <w:rsid w:val="00FF3A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8F0B2"/>
  <w15:chartTrackingRefBased/>
  <w15:docId w15:val="{9EDF96C3-519B-4924-83AB-0F6C0B0D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6F6"/>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9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0997"/>
    <w:rPr>
      <w:rFonts w:asciiTheme="minorHAnsi" w:hAnsiTheme="minorHAnsi"/>
      <w:sz w:val="22"/>
    </w:rPr>
  </w:style>
  <w:style w:type="paragraph" w:styleId="Footer">
    <w:name w:val="footer"/>
    <w:basedOn w:val="Normal"/>
    <w:link w:val="FooterChar"/>
    <w:uiPriority w:val="99"/>
    <w:unhideWhenUsed/>
    <w:rsid w:val="003A09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0997"/>
    <w:rPr>
      <w:rFonts w:asciiTheme="minorHAnsi" w:hAnsiTheme="minorHAnsi"/>
      <w:sz w:val="22"/>
    </w:rPr>
  </w:style>
  <w:style w:type="paragraph" w:styleId="ListParagraph">
    <w:name w:val="List Paragraph"/>
    <w:aliases w:val="2,Strip,Saraksta rindkopa,Saraksta rindkopa1,Numbered Para 1,Dot pt,No Spacing1,List Paragraph Char Char Char,Indicator Text,List Paragraph1,Bullet 1,Bullet Points,MAIN CONTENT,IFCL - List Paragraph,List Paragraph12,OBC Bullet"/>
    <w:basedOn w:val="Normal"/>
    <w:link w:val="ListParagraphChar"/>
    <w:uiPriority w:val="34"/>
    <w:qFormat/>
    <w:rsid w:val="003A0997"/>
    <w:pPr>
      <w:ind w:left="720"/>
      <w:contextualSpacing/>
    </w:pPr>
  </w:style>
  <w:style w:type="character" w:styleId="Hyperlink">
    <w:name w:val="Hyperlink"/>
    <w:basedOn w:val="DefaultParagraphFont"/>
    <w:uiPriority w:val="99"/>
    <w:unhideWhenUsed/>
    <w:rsid w:val="003A0997"/>
    <w:rPr>
      <w:color w:val="0563C1" w:themeColor="hyperlink"/>
      <w:u w:val="single"/>
    </w:rPr>
  </w:style>
  <w:style w:type="paragraph" w:customStyle="1" w:styleId="naislab">
    <w:name w:val="naislab"/>
    <w:basedOn w:val="Normal"/>
    <w:rsid w:val="00DC542A"/>
    <w:pPr>
      <w:spacing w:before="75" w:after="75" w:line="240" w:lineRule="auto"/>
      <w:jc w:val="right"/>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C12AD"/>
    <w:rPr>
      <w:sz w:val="16"/>
      <w:szCs w:val="16"/>
    </w:rPr>
  </w:style>
  <w:style w:type="paragraph" w:styleId="CommentText">
    <w:name w:val="annotation text"/>
    <w:basedOn w:val="Normal"/>
    <w:link w:val="CommentTextChar"/>
    <w:uiPriority w:val="99"/>
    <w:semiHidden/>
    <w:unhideWhenUsed/>
    <w:rsid w:val="002C12AD"/>
    <w:pPr>
      <w:spacing w:line="240" w:lineRule="auto"/>
    </w:pPr>
    <w:rPr>
      <w:sz w:val="20"/>
      <w:szCs w:val="20"/>
    </w:rPr>
  </w:style>
  <w:style w:type="character" w:customStyle="1" w:styleId="CommentTextChar">
    <w:name w:val="Comment Text Char"/>
    <w:basedOn w:val="DefaultParagraphFont"/>
    <w:link w:val="CommentText"/>
    <w:uiPriority w:val="99"/>
    <w:semiHidden/>
    <w:rsid w:val="002C12AD"/>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2C12AD"/>
    <w:rPr>
      <w:b/>
      <w:bCs/>
    </w:rPr>
  </w:style>
  <w:style w:type="character" w:customStyle="1" w:styleId="CommentSubjectChar">
    <w:name w:val="Comment Subject Char"/>
    <w:basedOn w:val="CommentTextChar"/>
    <w:link w:val="CommentSubject"/>
    <w:uiPriority w:val="99"/>
    <w:semiHidden/>
    <w:rsid w:val="002C12AD"/>
    <w:rPr>
      <w:rFonts w:asciiTheme="minorHAnsi" w:hAnsiTheme="minorHAnsi"/>
      <w:b/>
      <w:bCs/>
      <w:sz w:val="20"/>
      <w:szCs w:val="20"/>
    </w:rPr>
  </w:style>
  <w:style w:type="paragraph" w:styleId="BalloonText">
    <w:name w:val="Balloon Text"/>
    <w:basedOn w:val="Normal"/>
    <w:link w:val="BalloonTextChar"/>
    <w:uiPriority w:val="99"/>
    <w:semiHidden/>
    <w:unhideWhenUsed/>
    <w:rsid w:val="002C1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2AD"/>
    <w:rPr>
      <w:rFonts w:ascii="Segoe UI" w:hAnsi="Segoe UI" w:cs="Segoe UI"/>
      <w:sz w:val="18"/>
      <w:szCs w:val="18"/>
    </w:rPr>
  </w:style>
  <w:style w:type="character" w:customStyle="1" w:styleId="FootnoteTextChar">
    <w:name w:val="Footnote Text Char"/>
    <w:aliases w:val="Char Char Char Char Char Char Char Char Char Char Char Char Char,Footnote Char1,Footnote Char Char,Fußnote Char1,Fußnote Char Char,Reference Rakstz. Char Char Char Char Char Char Char Char,Vēres teksts Char Char Char Char,ft Char"/>
    <w:basedOn w:val="DefaultParagraphFont"/>
    <w:link w:val="FootnoteText"/>
    <w:uiPriority w:val="99"/>
    <w:locked/>
    <w:rsid w:val="00C752D2"/>
    <w:rPr>
      <w:rFonts w:ascii="Calibri" w:hAnsi="Calibri" w:cs="Calibri"/>
    </w:rPr>
  </w:style>
  <w:style w:type="paragraph" w:styleId="FootnoteText">
    <w:name w:val="footnote text"/>
    <w:aliases w:val="Char Char Char Char Char Char Char Char Char Char Char Char,Footnote,Footnote Char,Fußnote,Fußnote Char,Reference Rakstz. Char Char Char Char Char Char Char,Vēres teksts Char Char Char,Vēres teksts Char Char Char Char Char,ft,single space"/>
    <w:basedOn w:val="Normal"/>
    <w:link w:val="FootnoteTextChar"/>
    <w:uiPriority w:val="99"/>
    <w:unhideWhenUsed/>
    <w:qFormat/>
    <w:rsid w:val="00C752D2"/>
    <w:pPr>
      <w:spacing w:after="0" w:line="240" w:lineRule="auto"/>
    </w:pPr>
    <w:rPr>
      <w:rFonts w:ascii="Calibri" w:hAnsi="Calibri" w:cs="Calibri"/>
      <w:sz w:val="24"/>
    </w:rPr>
  </w:style>
  <w:style w:type="character" w:customStyle="1" w:styleId="FootnoteTextChar1">
    <w:name w:val="Footnote Text Char1"/>
    <w:basedOn w:val="DefaultParagraphFont"/>
    <w:uiPriority w:val="99"/>
    <w:semiHidden/>
    <w:rsid w:val="00C752D2"/>
    <w:rPr>
      <w:rFonts w:asciiTheme="minorHAnsi" w:hAnsiTheme="minorHAnsi"/>
      <w:sz w:val="20"/>
      <w:szCs w:val="20"/>
    </w:rPr>
  </w:style>
  <w:style w:type="character" w:styleId="FootnoteReference">
    <w:name w:val="footnote reference"/>
    <w:aliases w:val="BVI fnr,EN Footnote Reference,Exposant 3 Point,Footnote Reference Number,Footnote Reference Superscript,Footnote reference number,Footnote symbol,Ref,SUPERS,Times 10 Point,de nota al pie,fr,ftref,note TESI,Footnote Refernece,E"/>
    <w:basedOn w:val="DefaultParagraphFont"/>
    <w:link w:val="CharCharCharChar"/>
    <w:unhideWhenUsed/>
    <w:qFormat/>
    <w:rsid w:val="00C752D2"/>
    <w:rPr>
      <w:vertAlign w:val="superscript"/>
    </w:rPr>
  </w:style>
  <w:style w:type="paragraph" w:customStyle="1" w:styleId="CharCharCharChar">
    <w:name w:val="Char Char Char Char"/>
    <w:aliases w:val="Char2"/>
    <w:basedOn w:val="Normal"/>
    <w:link w:val="FootnoteReference"/>
    <w:rsid w:val="00C752D2"/>
    <w:pPr>
      <w:spacing w:line="240" w:lineRule="exact"/>
      <w:jc w:val="both"/>
    </w:pPr>
    <w:rPr>
      <w:rFonts w:ascii="Times New Roman" w:hAnsi="Times New Roman"/>
      <w:sz w:val="24"/>
      <w:vertAlign w:val="superscript"/>
    </w:rPr>
  </w:style>
  <w:style w:type="character" w:customStyle="1" w:styleId="ListParagraphChar">
    <w:name w:val="List Paragraph Char"/>
    <w:aliases w:val="2 Char,Strip Char,Saraksta rindkopa Char,Saraksta rindkopa1 Char,Numbered Para 1 Char,Dot pt Char,No Spacing1 Char,List Paragraph Char Char Char Char,Indicator Text Char,List Paragraph1 Char,Bullet 1 Char,Bullet Points Char"/>
    <w:link w:val="ListParagraph"/>
    <w:uiPriority w:val="34"/>
    <w:qFormat/>
    <w:rsid w:val="007B3D6F"/>
    <w:rPr>
      <w:rFonts w:asciiTheme="minorHAnsi" w:hAnsiTheme="minorHAnsi"/>
      <w:sz w:val="22"/>
    </w:rPr>
  </w:style>
  <w:style w:type="paragraph" w:styleId="EndnoteText">
    <w:name w:val="endnote text"/>
    <w:basedOn w:val="Normal"/>
    <w:link w:val="EndnoteTextChar1"/>
    <w:uiPriority w:val="99"/>
    <w:unhideWhenUsed/>
    <w:rsid w:val="007B3D6F"/>
    <w:pPr>
      <w:spacing w:after="0" w:line="240" w:lineRule="auto"/>
    </w:pPr>
    <w:rPr>
      <w:rFonts w:ascii="Times New Roman" w:hAnsi="Times New Roman" w:cs="Times New Roman"/>
      <w:sz w:val="20"/>
      <w:szCs w:val="20"/>
      <w:lang w:val="en-US"/>
    </w:rPr>
  </w:style>
  <w:style w:type="character" w:customStyle="1" w:styleId="EndnoteTextChar">
    <w:name w:val="Endnote Text Char"/>
    <w:basedOn w:val="DefaultParagraphFont"/>
    <w:uiPriority w:val="99"/>
    <w:semiHidden/>
    <w:rsid w:val="007B3D6F"/>
    <w:rPr>
      <w:rFonts w:asciiTheme="minorHAnsi" w:hAnsiTheme="minorHAnsi"/>
      <w:sz w:val="20"/>
      <w:szCs w:val="20"/>
    </w:rPr>
  </w:style>
  <w:style w:type="character" w:customStyle="1" w:styleId="EndnoteTextChar1">
    <w:name w:val="Endnote Text Char1"/>
    <w:basedOn w:val="DefaultParagraphFont"/>
    <w:link w:val="EndnoteText"/>
    <w:uiPriority w:val="99"/>
    <w:rsid w:val="007B3D6F"/>
    <w:rPr>
      <w:rFonts w:cs="Times New Roman"/>
      <w:sz w:val="20"/>
      <w:szCs w:val="20"/>
      <w:lang w:val="en-US"/>
    </w:rPr>
  </w:style>
  <w:style w:type="paragraph" w:customStyle="1" w:styleId="naisf">
    <w:name w:val="naisf"/>
    <w:basedOn w:val="Normal"/>
    <w:rsid w:val="00C51C9B"/>
    <w:pPr>
      <w:spacing w:before="75" w:after="75" w:line="240" w:lineRule="auto"/>
      <w:ind w:firstLine="375"/>
      <w:jc w:val="both"/>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1252">
      <w:bodyDiv w:val="1"/>
      <w:marLeft w:val="0"/>
      <w:marRight w:val="0"/>
      <w:marTop w:val="0"/>
      <w:marBottom w:val="0"/>
      <w:divBdr>
        <w:top w:val="none" w:sz="0" w:space="0" w:color="auto"/>
        <w:left w:val="none" w:sz="0" w:space="0" w:color="auto"/>
        <w:bottom w:val="none" w:sz="0" w:space="0" w:color="auto"/>
        <w:right w:val="none" w:sz="0" w:space="0" w:color="auto"/>
      </w:divBdr>
    </w:div>
    <w:div w:id="244190642">
      <w:bodyDiv w:val="1"/>
      <w:marLeft w:val="0"/>
      <w:marRight w:val="0"/>
      <w:marTop w:val="0"/>
      <w:marBottom w:val="0"/>
      <w:divBdr>
        <w:top w:val="none" w:sz="0" w:space="0" w:color="auto"/>
        <w:left w:val="none" w:sz="0" w:space="0" w:color="auto"/>
        <w:bottom w:val="none" w:sz="0" w:space="0" w:color="auto"/>
        <w:right w:val="none" w:sz="0" w:space="0" w:color="auto"/>
      </w:divBdr>
    </w:div>
    <w:div w:id="291404664">
      <w:bodyDiv w:val="1"/>
      <w:marLeft w:val="0"/>
      <w:marRight w:val="0"/>
      <w:marTop w:val="0"/>
      <w:marBottom w:val="0"/>
      <w:divBdr>
        <w:top w:val="none" w:sz="0" w:space="0" w:color="auto"/>
        <w:left w:val="none" w:sz="0" w:space="0" w:color="auto"/>
        <w:bottom w:val="none" w:sz="0" w:space="0" w:color="auto"/>
        <w:right w:val="none" w:sz="0" w:space="0" w:color="auto"/>
      </w:divBdr>
    </w:div>
    <w:div w:id="585965748">
      <w:bodyDiv w:val="1"/>
      <w:marLeft w:val="0"/>
      <w:marRight w:val="0"/>
      <w:marTop w:val="0"/>
      <w:marBottom w:val="0"/>
      <w:divBdr>
        <w:top w:val="none" w:sz="0" w:space="0" w:color="auto"/>
        <w:left w:val="none" w:sz="0" w:space="0" w:color="auto"/>
        <w:bottom w:val="none" w:sz="0" w:space="0" w:color="auto"/>
        <w:right w:val="none" w:sz="0" w:space="0" w:color="auto"/>
      </w:divBdr>
    </w:div>
    <w:div w:id="785461747">
      <w:bodyDiv w:val="1"/>
      <w:marLeft w:val="0"/>
      <w:marRight w:val="0"/>
      <w:marTop w:val="0"/>
      <w:marBottom w:val="0"/>
      <w:divBdr>
        <w:top w:val="none" w:sz="0" w:space="0" w:color="auto"/>
        <w:left w:val="none" w:sz="0" w:space="0" w:color="auto"/>
        <w:bottom w:val="none" w:sz="0" w:space="0" w:color="auto"/>
        <w:right w:val="none" w:sz="0" w:space="0" w:color="auto"/>
      </w:divBdr>
    </w:div>
    <w:div w:id="1186601629">
      <w:bodyDiv w:val="1"/>
      <w:marLeft w:val="0"/>
      <w:marRight w:val="0"/>
      <w:marTop w:val="0"/>
      <w:marBottom w:val="0"/>
      <w:divBdr>
        <w:top w:val="none" w:sz="0" w:space="0" w:color="auto"/>
        <w:left w:val="none" w:sz="0" w:space="0" w:color="auto"/>
        <w:bottom w:val="none" w:sz="0" w:space="0" w:color="auto"/>
        <w:right w:val="none" w:sz="0" w:space="0" w:color="auto"/>
      </w:divBdr>
    </w:div>
    <w:div w:id="1191383701">
      <w:bodyDiv w:val="1"/>
      <w:marLeft w:val="0"/>
      <w:marRight w:val="0"/>
      <w:marTop w:val="0"/>
      <w:marBottom w:val="0"/>
      <w:divBdr>
        <w:top w:val="none" w:sz="0" w:space="0" w:color="auto"/>
        <w:left w:val="none" w:sz="0" w:space="0" w:color="auto"/>
        <w:bottom w:val="none" w:sz="0" w:space="0" w:color="auto"/>
        <w:right w:val="none" w:sz="0" w:space="0" w:color="auto"/>
      </w:divBdr>
    </w:div>
    <w:div w:id="1334913682">
      <w:bodyDiv w:val="1"/>
      <w:marLeft w:val="0"/>
      <w:marRight w:val="0"/>
      <w:marTop w:val="0"/>
      <w:marBottom w:val="0"/>
      <w:divBdr>
        <w:top w:val="none" w:sz="0" w:space="0" w:color="auto"/>
        <w:left w:val="none" w:sz="0" w:space="0" w:color="auto"/>
        <w:bottom w:val="none" w:sz="0" w:space="0" w:color="auto"/>
        <w:right w:val="none" w:sz="0" w:space="0" w:color="auto"/>
      </w:divBdr>
      <w:divsChild>
        <w:div w:id="2039164617">
          <w:marLeft w:val="0"/>
          <w:marRight w:val="0"/>
          <w:marTop w:val="480"/>
          <w:marBottom w:val="240"/>
          <w:divBdr>
            <w:top w:val="none" w:sz="0" w:space="0" w:color="auto"/>
            <w:left w:val="none" w:sz="0" w:space="0" w:color="auto"/>
            <w:bottom w:val="none" w:sz="0" w:space="0" w:color="auto"/>
            <w:right w:val="none" w:sz="0" w:space="0" w:color="auto"/>
          </w:divBdr>
        </w:div>
        <w:div w:id="1828327300">
          <w:marLeft w:val="0"/>
          <w:marRight w:val="0"/>
          <w:marTop w:val="0"/>
          <w:marBottom w:val="567"/>
          <w:divBdr>
            <w:top w:val="none" w:sz="0" w:space="0" w:color="auto"/>
            <w:left w:val="none" w:sz="0" w:space="0" w:color="auto"/>
            <w:bottom w:val="none" w:sz="0" w:space="0" w:color="auto"/>
            <w:right w:val="none" w:sz="0" w:space="0" w:color="auto"/>
          </w:divBdr>
        </w:div>
        <w:div w:id="1216165841">
          <w:marLeft w:val="0"/>
          <w:marRight w:val="0"/>
          <w:marTop w:val="0"/>
          <w:marBottom w:val="567"/>
          <w:divBdr>
            <w:top w:val="none" w:sz="0" w:space="0" w:color="auto"/>
            <w:left w:val="none" w:sz="0" w:space="0" w:color="auto"/>
            <w:bottom w:val="none" w:sz="0" w:space="0" w:color="auto"/>
            <w:right w:val="none" w:sz="0" w:space="0" w:color="auto"/>
          </w:divBdr>
        </w:div>
        <w:div w:id="1407336668">
          <w:marLeft w:val="0"/>
          <w:marRight w:val="0"/>
          <w:marTop w:val="0"/>
          <w:marBottom w:val="0"/>
          <w:divBdr>
            <w:top w:val="none" w:sz="0" w:space="0" w:color="auto"/>
            <w:left w:val="none" w:sz="0" w:space="0" w:color="auto"/>
            <w:bottom w:val="none" w:sz="0" w:space="0" w:color="auto"/>
            <w:right w:val="none" w:sz="0" w:space="0" w:color="auto"/>
          </w:divBdr>
        </w:div>
      </w:divsChild>
    </w:div>
    <w:div w:id="1349287339">
      <w:bodyDiv w:val="1"/>
      <w:marLeft w:val="0"/>
      <w:marRight w:val="0"/>
      <w:marTop w:val="0"/>
      <w:marBottom w:val="0"/>
      <w:divBdr>
        <w:top w:val="none" w:sz="0" w:space="0" w:color="auto"/>
        <w:left w:val="none" w:sz="0" w:space="0" w:color="auto"/>
        <w:bottom w:val="none" w:sz="0" w:space="0" w:color="auto"/>
        <w:right w:val="none" w:sz="0" w:space="0" w:color="auto"/>
      </w:divBdr>
    </w:div>
    <w:div w:id="1463771474">
      <w:bodyDiv w:val="1"/>
      <w:marLeft w:val="0"/>
      <w:marRight w:val="0"/>
      <w:marTop w:val="0"/>
      <w:marBottom w:val="0"/>
      <w:divBdr>
        <w:top w:val="none" w:sz="0" w:space="0" w:color="auto"/>
        <w:left w:val="none" w:sz="0" w:space="0" w:color="auto"/>
        <w:bottom w:val="none" w:sz="0" w:space="0" w:color="auto"/>
        <w:right w:val="none" w:sz="0" w:space="0" w:color="auto"/>
      </w:divBdr>
    </w:div>
    <w:div w:id="2097749744">
      <w:bodyDiv w:val="1"/>
      <w:marLeft w:val="0"/>
      <w:marRight w:val="0"/>
      <w:marTop w:val="0"/>
      <w:marBottom w:val="0"/>
      <w:divBdr>
        <w:top w:val="none" w:sz="0" w:space="0" w:color="auto"/>
        <w:left w:val="none" w:sz="0" w:space="0" w:color="auto"/>
        <w:bottom w:val="none" w:sz="0" w:space="0" w:color="auto"/>
        <w:right w:val="none" w:sz="0" w:space="0" w:color="auto"/>
      </w:divBdr>
    </w:div>
    <w:div w:id="211389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Sidlovskis@f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16FFE610C8459EB4205E5785F4F0A2"/>
        <w:category>
          <w:name w:val="General"/>
          <w:gallery w:val="placeholder"/>
        </w:category>
        <w:types>
          <w:type w:val="bbPlcHdr"/>
        </w:types>
        <w:behaviors>
          <w:behavior w:val="content"/>
        </w:behaviors>
        <w:guid w:val="{A1311CD0-7E59-4D5F-A879-1D4F559F6730}"/>
      </w:docPartPr>
      <w:docPartBody>
        <w:p w:rsidR="00B17131" w:rsidRPr="00894C55" w:rsidRDefault="00B17131" w:rsidP="00FB314B">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9B69CC" w:rsidRDefault="00B17131" w:rsidP="00B17131">
          <w:pPr>
            <w:pStyle w:val="1C16FFE610C8459EB4205E5785F4F0A2"/>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9C2C97F21C4A4BADB3B12CDCBA5C8B17"/>
        <w:category>
          <w:name w:val="General"/>
          <w:gallery w:val="placeholder"/>
        </w:category>
        <w:types>
          <w:type w:val="bbPlcHdr"/>
        </w:types>
        <w:behaviors>
          <w:behavior w:val="content"/>
        </w:behaviors>
        <w:guid w:val="{36D16B46-322E-420F-B4E9-79A125B0D3AD}"/>
      </w:docPartPr>
      <w:docPartBody>
        <w:p w:rsidR="00B17131" w:rsidRPr="00894C55" w:rsidRDefault="00B17131" w:rsidP="00FB314B">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9B69CC" w:rsidRDefault="00B17131" w:rsidP="00B17131">
          <w:pPr>
            <w:pStyle w:val="9C2C97F21C4A4BADB3B12CDCBA5C8B17"/>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4F599E3CF705408F8E8641C32CAEDA40"/>
        <w:category>
          <w:name w:val="General"/>
          <w:gallery w:val="placeholder"/>
        </w:category>
        <w:types>
          <w:type w:val="bbPlcHdr"/>
        </w:types>
        <w:behaviors>
          <w:behavior w:val="content"/>
        </w:behaviors>
        <w:guid w:val="{559A3E6F-6308-4DD1-AAFC-6640EDFD3511}"/>
      </w:docPartPr>
      <w:docPartBody>
        <w:p w:rsidR="00B17131" w:rsidRPr="00894C55" w:rsidRDefault="00B17131" w:rsidP="00FB314B">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9B69CC" w:rsidRDefault="00B17131" w:rsidP="00B17131">
          <w:pPr>
            <w:pStyle w:val="4F599E3CF705408F8E8641C32CAEDA40"/>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31"/>
    <w:rsid w:val="00071011"/>
    <w:rsid w:val="000F0D94"/>
    <w:rsid w:val="001010EF"/>
    <w:rsid w:val="00171AFB"/>
    <w:rsid w:val="001A0124"/>
    <w:rsid w:val="00275629"/>
    <w:rsid w:val="002F6FB0"/>
    <w:rsid w:val="00337C4D"/>
    <w:rsid w:val="00396383"/>
    <w:rsid w:val="004A0048"/>
    <w:rsid w:val="005378E5"/>
    <w:rsid w:val="00563039"/>
    <w:rsid w:val="005D11B6"/>
    <w:rsid w:val="00603C4C"/>
    <w:rsid w:val="006413FC"/>
    <w:rsid w:val="0064799A"/>
    <w:rsid w:val="006902A5"/>
    <w:rsid w:val="00750A92"/>
    <w:rsid w:val="00853C72"/>
    <w:rsid w:val="00867A42"/>
    <w:rsid w:val="008C26AF"/>
    <w:rsid w:val="008D63D4"/>
    <w:rsid w:val="0091316C"/>
    <w:rsid w:val="00933B1D"/>
    <w:rsid w:val="00962D63"/>
    <w:rsid w:val="0098154C"/>
    <w:rsid w:val="009B69CC"/>
    <w:rsid w:val="00A00B56"/>
    <w:rsid w:val="00A63BC0"/>
    <w:rsid w:val="00B17131"/>
    <w:rsid w:val="00B316D7"/>
    <w:rsid w:val="00B9466C"/>
    <w:rsid w:val="00BE62DC"/>
    <w:rsid w:val="00CA6000"/>
    <w:rsid w:val="00CB33EC"/>
    <w:rsid w:val="00CB4E3C"/>
    <w:rsid w:val="00FB314B"/>
    <w:rsid w:val="00FD26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16FFE610C8459EB4205E5785F4F0A2">
    <w:name w:val="1C16FFE610C8459EB4205E5785F4F0A2"/>
    <w:rsid w:val="00B17131"/>
  </w:style>
  <w:style w:type="paragraph" w:customStyle="1" w:styleId="9C2C97F21C4A4BADB3B12CDCBA5C8B17">
    <w:name w:val="9C2C97F21C4A4BADB3B12CDCBA5C8B17"/>
    <w:rsid w:val="00B17131"/>
  </w:style>
  <w:style w:type="paragraph" w:customStyle="1" w:styleId="6116055144B74DC0A1550F0FCFCD71FF">
    <w:name w:val="6116055144B74DC0A1550F0FCFCD71FF"/>
    <w:rsid w:val="00B17131"/>
  </w:style>
  <w:style w:type="paragraph" w:customStyle="1" w:styleId="4F599E3CF705408F8E8641C32CAEDA40">
    <w:name w:val="4F599E3CF705408F8E8641C32CAEDA40"/>
    <w:rsid w:val="00B171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BE5AC-A7B7-4EB5-87C7-035F1CC6C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12</Pages>
  <Words>15736</Words>
  <Characters>8970</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Likumprojekta “Grozījumi Maksājumu pakalpojumu un elektroniskās naudas likumā” sākotnējās ietekmes novērtējuma ziņojums (anotācija)</vt:lpstr>
    </vt:vector>
  </TitlesOfParts>
  <Company>Finanšu ministrija</Company>
  <LinksUpToDate>false</LinksUpToDate>
  <CharactersWithSpaces>24657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Maksājumu pakalpojumu un elektroniskās naudas likumā” sākotnējās ietekmes novērtējuma ziņojums (anotācija)</dc:title>
  <dc:subject>Anotācija</dc:subject>
  <dc:creator>Edgars Šidlovskis</dc:creator>
  <cp:keywords/>
  <dc:description>Edgars.Sidlovskis@fm.gov.lv, 67083894</dc:description>
  <cp:lastModifiedBy>Irita Lukšo</cp:lastModifiedBy>
  <cp:revision>25</cp:revision>
  <cp:lastPrinted>2019-02-12T06:50:00Z</cp:lastPrinted>
  <dcterms:created xsi:type="dcterms:W3CDTF">2019-02-11T22:44:00Z</dcterms:created>
  <dcterms:modified xsi:type="dcterms:W3CDTF">2019-02-15T14:45:00Z</dcterms:modified>
</cp:coreProperties>
</file>