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B984" w14:textId="77777777" w:rsidR="00E56B8D" w:rsidRPr="00BF1D45" w:rsidRDefault="00E56B8D" w:rsidP="00E56B8D">
      <w:pPr>
        <w:pStyle w:val="naislab"/>
        <w:spacing w:before="0" w:after="0"/>
        <w:jc w:val="center"/>
        <w:rPr>
          <w:b/>
          <w:sz w:val="26"/>
          <w:szCs w:val="26"/>
        </w:rPr>
      </w:pPr>
      <w:r w:rsidRPr="00BF1D45">
        <w:rPr>
          <w:b/>
          <w:sz w:val="26"/>
          <w:szCs w:val="26"/>
        </w:rPr>
        <w:t xml:space="preserve">Likumprojekta </w:t>
      </w:r>
      <w:r w:rsidRPr="00BF1D45">
        <w:rPr>
          <w:b/>
        </w:rPr>
        <w:t>“</w:t>
      </w:r>
      <w:r w:rsidRPr="00BF1D45">
        <w:rPr>
          <w:b/>
          <w:sz w:val="26"/>
          <w:szCs w:val="26"/>
        </w:rPr>
        <w:t xml:space="preserve">Grozījumi Azartspēļu un izložu likumā” </w:t>
      </w:r>
    </w:p>
    <w:p w14:paraId="1A9AC4D0" w14:textId="77777777" w:rsidR="00E56B8D" w:rsidRPr="00BF1D45" w:rsidRDefault="00E56B8D" w:rsidP="00E56B8D">
      <w:pPr>
        <w:pStyle w:val="naislab"/>
        <w:spacing w:before="0" w:after="0"/>
        <w:jc w:val="center"/>
        <w:rPr>
          <w:b/>
          <w:sz w:val="26"/>
          <w:szCs w:val="26"/>
        </w:rPr>
      </w:pPr>
      <w:r w:rsidRPr="00BF1D45">
        <w:rPr>
          <w:b/>
          <w:sz w:val="26"/>
          <w:szCs w:val="26"/>
        </w:rPr>
        <w:t>sākotnējās ietekmes novērtējuma ziņojums (anotācija)</w:t>
      </w:r>
    </w:p>
    <w:p w14:paraId="3E7D1A75" w14:textId="77777777" w:rsidR="00E56B8D" w:rsidRPr="00BF1D45" w:rsidRDefault="00E56B8D" w:rsidP="00E56B8D">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E56B8D" w:rsidRPr="00BF1D45" w14:paraId="48C7D4E7" w14:textId="77777777" w:rsidTr="00AE62BB">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6CCB80"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Tiesību akta projekta anotācijas kopsavilkums</w:t>
            </w:r>
          </w:p>
        </w:tc>
      </w:tr>
      <w:tr w:rsidR="00E56B8D" w:rsidRPr="00BF1D45" w14:paraId="3922B29D" w14:textId="77777777" w:rsidTr="00AE62BB">
        <w:tc>
          <w:tcPr>
            <w:tcW w:w="1796" w:type="pct"/>
            <w:tcBorders>
              <w:top w:val="outset" w:sz="6" w:space="0" w:color="414142"/>
              <w:left w:val="outset" w:sz="6" w:space="0" w:color="414142"/>
              <w:bottom w:val="outset" w:sz="6" w:space="0" w:color="414142"/>
              <w:right w:val="outset" w:sz="6" w:space="0" w:color="414142"/>
            </w:tcBorders>
            <w:hideMark/>
          </w:tcPr>
          <w:p w14:paraId="353F6EDF" w14:textId="77777777"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5D8D2964" w14:textId="79576ABB" w:rsidR="00E56B8D" w:rsidRPr="0061730A" w:rsidRDefault="004401F0" w:rsidP="00AE6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Grozījumu Azartspēļu un izložu likumā</w:t>
            </w:r>
            <w:r w:rsidR="005A58A1">
              <w:rPr>
                <w:rFonts w:ascii="Times New Roman" w:hAnsi="Times New Roman" w:cs="Times New Roman"/>
                <w:sz w:val="24"/>
                <w:szCs w:val="24"/>
              </w:rPr>
              <w:t xml:space="preserve"> (turpmāk – likumprojekts) </w:t>
            </w:r>
            <w:r w:rsidR="00E56B8D" w:rsidRPr="0061730A">
              <w:rPr>
                <w:rFonts w:ascii="Times New Roman" w:hAnsi="Times New Roman" w:cs="Times New Roman"/>
                <w:sz w:val="24"/>
                <w:szCs w:val="24"/>
              </w:rPr>
              <w:t>paredz noteikt aizliegumu person</w:t>
            </w:r>
            <w:r w:rsidR="0061730A">
              <w:rPr>
                <w:rFonts w:ascii="Times New Roman" w:hAnsi="Times New Roman" w:cs="Times New Roman"/>
                <w:sz w:val="24"/>
                <w:szCs w:val="24"/>
              </w:rPr>
              <w:t xml:space="preserve">ai piedalīties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nelicencētās</w:t>
            </w:r>
            <w:r w:rsidR="003A6920" w:rsidRPr="0061730A">
              <w:rPr>
                <w:rFonts w:ascii="Times New Roman" w:hAnsi="Times New Roman" w:cs="Times New Roman"/>
                <w:sz w:val="24"/>
                <w:szCs w:val="24"/>
              </w:rPr>
              <w:t xml:space="preserve"> interaktīv</w:t>
            </w:r>
            <w:r w:rsidR="00E56B8D" w:rsidRPr="0061730A">
              <w:rPr>
                <w:rFonts w:ascii="Times New Roman" w:hAnsi="Times New Roman" w:cs="Times New Roman"/>
                <w:sz w:val="24"/>
                <w:szCs w:val="24"/>
              </w:rPr>
              <w:t>ās azartspēlēs un izlozēs.</w:t>
            </w:r>
          </w:p>
          <w:p w14:paraId="0B79CD01" w14:textId="6D19241A" w:rsidR="00E56B8D" w:rsidRPr="0061730A" w:rsidRDefault="005A58A1" w:rsidP="00AE6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tiek virzīts</w:t>
            </w:r>
            <w:r w:rsidR="00E56B8D" w:rsidRPr="0061730A">
              <w:rPr>
                <w:rFonts w:ascii="Times New Roman" w:hAnsi="Times New Roman" w:cs="Times New Roman"/>
                <w:sz w:val="24"/>
                <w:szCs w:val="24"/>
              </w:rPr>
              <w:t xml:space="preserve"> vienlaicīgi ar grozījumiem Elektronisko sakaru likumā, grozījumiem Latvijas Administratīvo pārkāpumu kodeks</w:t>
            </w:r>
            <w:r w:rsidR="00167940">
              <w:rPr>
                <w:rFonts w:ascii="Times New Roman" w:hAnsi="Times New Roman" w:cs="Times New Roman"/>
                <w:sz w:val="24"/>
                <w:szCs w:val="24"/>
              </w:rPr>
              <w:t>ā</w:t>
            </w:r>
            <w:r w:rsidR="00E56B8D" w:rsidRPr="0061730A">
              <w:rPr>
                <w:rFonts w:ascii="Times New Roman" w:hAnsi="Times New Roman" w:cs="Times New Roman"/>
                <w:sz w:val="24"/>
                <w:szCs w:val="24"/>
              </w:rPr>
              <w:t xml:space="preserve">, grozījumiem Maksājumu pakalpojumu </w:t>
            </w:r>
            <w:r w:rsidR="0061730A" w:rsidRPr="0061730A">
              <w:rPr>
                <w:rFonts w:ascii="Times New Roman" w:hAnsi="Times New Roman" w:cs="Times New Roman"/>
                <w:sz w:val="24"/>
                <w:szCs w:val="24"/>
              </w:rPr>
              <w:t>un elektroniskās naudas likumā.</w:t>
            </w:r>
          </w:p>
          <w:p w14:paraId="5ABA5383" w14:textId="77777777" w:rsidR="00E56B8D" w:rsidRPr="00BF1D45" w:rsidRDefault="00E56B8D" w:rsidP="00AE62BB">
            <w:pPr>
              <w:spacing w:after="0" w:line="240" w:lineRule="auto"/>
              <w:jc w:val="both"/>
              <w:rPr>
                <w:rFonts w:ascii="Times New Roman" w:hAnsi="Times New Roman" w:cs="Times New Roman"/>
                <w:sz w:val="24"/>
                <w:szCs w:val="24"/>
              </w:rPr>
            </w:pPr>
            <w:r w:rsidRPr="0061730A">
              <w:rPr>
                <w:rFonts w:ascii="Times New Roman" w:hAnsi="Times New Roman" w:cs="Times New Roman"/>
                <w:sz w:val="24"/>
                <w:szCs w:val="24"/>
              </w:rPr>
              <w:t>Likumprojekts stā</w:t>
            </w:r>
            <w:r w:rsidR="003A6920" w:rsidRPr="0061730A">
              <w:rPr>
                <w:rFonts w:ascii="Times New Roman" w:hAnsi="Times New Roman" w:cs="Times New Roman"/>
                <w:sz w:val="24"/>
                <w:szCs w:val="24"/>
              </w:rPr>
              <w:t>sies spēkā</w:t>
            </w:r>
            <w:r w:rsidR="00C579C1" w:rsidRPr="0061730A">
              <w:rPr>
                <w:rFonts w:ascii="Times New Roman" w:hAnsi="Times New Roman" w:cs="Times New Roman"/>
                <w:sz w:val="24"/>
                <w:szCs w:val="24"/>
              </w:rPr>
              <w:t xml:space="preserve"> </w:t>
            </w:r>
            <w:r w:rsidR="0061730A" w:rsidRPr="0061730A">
              <w:rPr>
                <w:rFonts w:ascii="Times New Roman" w:hAnsi="Times New Roman" w:cs="Times New Roman"/>
                <w:sz w:val="24"/>
                <w:szCs w:val="24"/>
              </w:rPr>
              <w:t>nākamajā dienā pēc</w:t>
            </w:r>
            <w:r w:rsidR="00D50C51">
              <w:rPr>
                <w:rFonts w:ascii="Times New Roman" w:hAnsi="Times New Roman" w:cs="Times New Roman"/>
                <w:sz w:val="24"/>
                <w:szCs w:val="24"/>
              </w:rPr>
              <w:t xml:space="preserve"> tā</w:t>
            </w:r>
            <w:r w:rsidR="0061730A" w:rsidRPr="0061730A">
              <w:rPr>
                <w:rFonts w:ascii="Times New Roman" w:hAnsi="Times New Roman" w:cs="Times New Roman"/>
                <w:sz w:val="24"/>
                <w:szCs w:val="24"/>
              </w:rPr>
              <w:t xml:space="preserve"> izsludināšanas.</w:t>
            </w:r>
          </w:p>
        </w:tc>
      </w:tr>
    </w:tbl>
    <w:p w14:paraId="032B0BB4" w14:textId="77777777" w:rsidR="00E56B8D" w:rsidRPr="00BF1D45" w:rsidRDefault="00E56B8D" w:rsidP="00E56B8D">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E56B8D" w:rsidRPr="00BF1D45" w14:paraId="53CE038C" w14:textId="77777777" w:rsidTr="00AE62B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6CA3A0"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I. Tiesību akta projekta izstrādes nepieciešamība</w:t>
            </w:r>
          </w:p>
        </w:tc>
      </w:tr>
      <w:tr w:rsidR="00E56B8D" w:rsidRPr="00BF1D45" w14:paraId="58A58811" w14:textId="77777777" w:rsidTr="00AE62BB">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216AFB36"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203408EE" w14:textId="77777777" w:rsidR="00E56B8D" w:rsidRPr="00615837" w:rsidRDefault="00E56B8D" w:rsidP="00AE62BB">
            <w:pPr>
              <w:spacing w:after="0" w:line="240" w:lineRule="auto"/>
              <w:rPr>
                <w:rFonts w:ascii="Times New Roman" w:eastAsia="Times New Roman" w:hAnsi="Times New Roman" w:cs="Times New Roman"/>
                <w:sz w:val="24"/>
                <w:szCs w:val="24"/>
                <w:lang w:eastAsia="lv-LV"/>
              </w:rPr>
            </w:pPr>
            <w:r w:rsidRPr="00615837">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074762CA" w14:textId="77777777" w:rsidR="00E56B8D" w:rsidRPr="00615837" w:rsidRDefault="00E56B8D" w:rsidP="00AE62BB">
            <w:pPr>
              <w:spacing w:after="0" w:line="240" w:lineRule="auto"/>
              <w:jc w:val="both"/>
              <w:rPr>
                <w:rFonts w:ascii="Times New Roman" w:hAnsi="Times New Roman" w:cs="Times New Roman"/>
                <w:bCs/>
                <w:sz w:val="24"/>
                <w:szCs w:val="24"/>
              </w:rPr>
            </w:pPr>
            <w:r w:rsidRPr="00615837">
              <w:rPr>
                <w:rFonts w:ascii="Times New Roman" w:hAnsi="Times New Roman" w:cs="Times New Roman"/>
                <w:sz w:val="24"/>
                <w:szCs w:val="24"/>
              </w:rPr>
              <w:t>Likumprojekts izstrādāts, pamato</w:t>
            </w:r>
            <w:r w:rsidR="00C579C1" w:rsidRPr="00615837">
              <w:rPr>
                <w:rFonts w:ascii="Times New Roman" w:hAnsi="Times New Roman" w:cs="Times New Roman"/>
                <w:sz w:val="24"/>
                <w:szCs w:val="24"/>
              </w:rPr>
              <w:t>joties uz Ministru kabineta 2019</w:t>
            </w:r>
            <w:r w:rsidRPr="00615837">
              <w:rPr>
                <w:rFonts w:ascii="Times New Roman" w:hAnsi="Times New Roman" w:cs="Times New Roman"/>
                <w:sz w:val="24"/>
                <w:szCs w:val="24"/>
              </w:rPr>
              <w:t>.gada 5.februāra sēdes protokollēmuma (</w:t>
            </w:r>
            <w:r w:rsidR="00C579C1" w:rsidRPr="00615837">
              <w:rPr>
                <w:rFonts w:ascii="Times New Roman" w:hAnsi="Times New Roman" w:cs="Times New Roman"/>
                <w:sz w:val="24"/>
                <w:szCs w:val="24"/>
              </w:rPr>
              <w:t>prot. Nr.5 30</w:t>
            </w:r>
            <w:r w:rsidRPr="00615837">
              <w:rPr>
                <w:rFonts w:ascii="Times New Roman" w:hAnsi="Times New Roman" w:cs="Times New Roman"/>
                <w:sz w:val="24"/>
                <w:szCs w:val="24"/>
              </w:rPr>
              <w:t>.§) “Informatīvais ziņojums “Par makroekonomisko rādītāju, ieņēmumu un vispārējās valdības budžeta bilances</w:t>
            </w:r>
            <w:r w:rsidR="00615837" w:rsidRPr="00615837">
              <w:rPr>
                <w:rFonts w:ascii="Times New Roman" w:hAnsi="Times New Roman" w:cs="Times New Roman"/>
                <w:sz w:val="24"/>
                <w:szCs w:val="24"/>
              </w:rPr>
              <w:t xml:space="preserve"> prognozēm 2019.-2021.gadā”” 8.1</w:t>
            </w:r>
            <w:r w:rsidRPr="00615837">
              <w:rPr>
                <w:rFonts w:ascii="Times New Roman" w:hAnsi="Times New Roman" w:cs="Times New Roman"/>
                <w:sz w:val="24"/>
                <w:szCs w:val="24"/>
              </w:rPr>
              <w:t>.apakšpunktā doto uzdevumu.</w:t>
            </w:r>
          </w:p>
        </w:tc>
      </w:tr>
      <w:tr w:rsidR="00E56B8D" w:rsidRPr="00BF1D45" w14:paraId="212EA9BE" w14:textId="77777777" w:rsidTr="00AE62BB">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6161E637" w14:textId="77777777" w:rsidR="00E56B8D" w:rsidRPr="00BF1D45" w:rsidRDefault="00E56B8D" w:rsidP="005C11F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w:t>
            </w:r>
          </w:p>
          <w:p w14:paraId="03C9B75B" w14:textId="77777777" w:rsidR="00E56B8D" w:rsidRPr="00BF1D45" w:rsidRDefault="00E56B8D" w:rsidP="00AE62BB">
            <w:pPr>
              <w:rPr>
                <w:rFonts w:ascii="Times New Roman" w:eastAsia="Times New Roman" w:hAnsi="Times New Roman" w:cs="Times New Roman"/>
                <w:sz w:val="24"/>
                <w:szCs w:val="24"/>
                <w:lang w:eastAsia="lv-LV"/>
              </w:rPr>
            </w:pPr>
          </w:p>
        </w:tc>
        <w:tc>
          <w:tcPr>
            <w:tcW w:w="1525" w:type="pct"/>
            <w:tcBorders>
              <w:top w:val="outset" w:sz="6" w:space="0" w:color="414142"/>
              <w:left w:val="outset" w:sz="6" w:space="0" w:color="414142"/>
              <w:bottom w:val="outset" w:sz="6" w:space="0" w:color="414142"/>
              <w:right w:val="outset" w:sz="6" w:space="0" w:color="414142"/>
            </w:tcBorders>
            <w:hideMark/>
          </w:tcPr>
          <w:p w14:paraId="6C8BDCB2" w14:textId="77777777" w:rsidR="00E56B8D" w:rsidRPr="00BF1D45" w:rsidRDefault="00E56B8D" w:rsidP="005C11FD">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9E932C" w14:textId="59684269" w:rsidR="00FA452D" w:rsidRDefault="00FA452D" w:rsidP="00AE62BB">
            <w:pPr>
              <w:rPr>
                <w:rFonts w:ascii="Times New Roman" w:eastAsia="Times New Roman" w:hAnsi="Times New Roman" w:cs="Times New Roman"/>
                <w:sz w:val="24"/>
                <w:szCs w:val="24"/>
                <w:lang w:eastAsia="lv-LV"/>
              </w:rPr>
            </w:pPr>
          </w:p>
          <w:p w14:paraId="07E025B6" w14:textId="77777777" w:rsidR="00FA452D" w:rsidRPr="00FA452D" w:rsidRDefault="00FA452D" w:rsidP="00FA452D">
            <w:pPr>
              <w:rPr>
                <w:rFonts w:ascii="Times New Roman" w:eastAsia="Times New Roman" w:hAnsi="Times New Roman" w:cs="Times New Roman"/>
                <w:sz w:val="24"/>
                <w:szCs w:val="24"/>
                <w:lang w:eastAsia="lv-LV"/>
              </w:rPr>
            </w:pPr>
          </w:p>
          <w:p w14:paraId="2B9CCA06" w14:textId="77777777" w:rsidR="00FA452D" w:rsidRPr="00FA452D" w:rsidRDefault="00FA452D" w:rsidP="00FA452D">
            <w:pPr>
              <w:rPr>
                <w:rFonts w:ascii="Times New Roman" w:eastAsia="Times New Roman" w:hAnsi="Times New Roman" w:cs="Times New Roman"/>
                <w:sz w:val="24"/>
                <w:szCs w:val="24"/>
                <w:lang w:eastAsia="lv-LV"/>
              </w:rPr>
            </w:pPr>
          </w:p>
          <w:p w14:paraId="2C3C68D9" w14:textId="77777777" w:rsidR="00FA452D" w:rsidRPr="00FA452D" w:rsidRDefault="00FA452D" w:rsidP="00FA452D">
            <w:pPr>
              <w:rPr>
                <w:rFonts w:ascii="Times New Roman" w:eastAsia="Times New Roman" w:hAnsi="Times New Roman" w:cs="Times New Roman"/>
                <w:sz w:val="24"/>
                <w:szCs w:val="24"/>
                <w:lang w:eastAsia="lv-LV"/>
              </w:rPr>
            </w:pPr>
          </w:p>
          <w:p w14:paraId="1F30AFAC" w14:textId="77777777" w:rsidR="00FA452D" w:rsidRPr="00FA452D" w:rsidRDefault="00FA452D" w:rsidP="00FA452D">
            <w:pPr>
              <w:rPr>
                <w:rFonts w:ascii="Times New Roman" w:eastAsia="Times New Roman" w:hAnsi="Times New Roman" w:cs="Times New Roman"/>
                <w:sz w:val="24"/>
                <w:szCs w:val="24"/>
                <w:lang w:eastAsia="lv-LV"/>
              </w:rPr>
            </w:pPr>
          </w:p>
          <w:p w14:paraId="3042CBDF" w14:textId="77777777" w:rsidR="00FA452D" w:rsidRPr="00FA452D" w:rsidRDefault="00FA452D" w:rsidP="00FA452D">
            <w:pPr>
              <w:rPr>
                <w:rFonts w:ascii="Times New Roman" w:eastAsia="Times New Roman" w:hAnsi="Times New Roman" w:cs="Times New Roman"/>
                <w:sz w:val="24"/>
                <w:szCs w:val="24"/>
                <w:lang w:eastAsia="lv-LV"/>
              </w:rPr>
            </w:pPr>
          </w:p>
          <w:p w14:paraId="02F72D47" w14:textId="77777777" w:rsidR="00FA452D" w:rsidRPr="00FA452D" w:rsidRDefault="00FA452D" w:rsidP="00FA452D">
            <w:pPr>
              <w:rPr>
                <w:rFonts w:ascii="Times New Roman" w:eastAsia="Times New Roman" w:hAnsi="Times New Roman" w:cs="Times New Roman"/>
                <w:sz w:val="24"/>
                <w:szCs w:val="24"/>
                <w:lang w:eastAsia="lv-LV"/>
              </w:rPr>
            </w:pPr>
          </w:p>
          <w:p w14:paraId="49F59933" w14:textId="77777777" w:rsidR="00FA452D" w:rsidRPr="00FA452D" w:rsidRDefault="00FA452D" w:rsidP="00FA452D">
            <w:pPr>
              <w:rPr>
                <w:rFonts w:ascii="Times New Roman" w:eastAsia="Times New Roman" w:hAnsi="Times New Roman" w:cs="Times New Roman"/>
                <w:sz w:val="24"/>
                <w:szCs w:val="24"/>
                <w:lang w:eastAsia="lv-LV"/>
              </w:rPr>
            </w:pPr>
          </w:p>
          <w:p w14:paraId="0A356A5B" w14:textId="77777777" w:rsidR="00FA452D" w:rsidRPr="00FA452D" w:rsidRDefault="00FA452D" w:rsidP="00FA452D">
            <w:pPr>
              <w:rPr>
                <w:rFonts w:ascii="Times New Roman" w:eastAsia="Times New Roman" w:hAnsi="Times New Roman" w:cs="Times New Roman"/>
                <w:sz w:val="24"/>
                <w:szCs w:val="24"/>
                <w:lang w:eastAsia="lv-LV"/>
              </w:rPr>
            </w:pPr>
          </w:p>
          <w:p w14:paraId="63E8659D" w14:textId="77777777" w:rsidR="00FA452D" w:rsidRPr="00FA452D" w:rsidRDefault="00FA452D" w:rsidP="00FA452D">
            <w:pPr>
              <w:rPr>
                <w:rFonts w:ascii="Times New Roman" w:eastAsia="Times New Roman" w:hAnsi="Times New Roman" w:cs="Times New Roman"/>
                <w:sz w:val="24"/>
                <w:szCs w:val="24"/>
                <w:lang w:eastAsia="lv-LV"/>
              </w:rPr>
            </w:pPr>
          </w:p>
          <w:p w14:paraId="40F79EA5" w14:textId="77777777" w:rsidR="00FA452D" w:rsidRPr="00FA452D" w:rsidRDefault="00FA452D" w:rsidP="00FA452D">
            <w:pPr>
              <w:rPr>
                <w:rFonts w:ascii="Times New Roman" w:eastAsia="Times New Roman" w:hAnsi="Times New Roman" w:cs="Times New Roman"/>
                <w:sz w:val="24"/>
                <w:szCs w:val="24"/>
                <w:lang w:eastAsia="lv-LV"/>
              </w:rPr>
            </w:pPr>
          </w:p>
          <w:p w14:paraId="3F6F426F" w14:textId="77777777" w:rsidR="00FA452D" w:rsidRPr="00FA452D" w:rsidRDefault="00FA452D" w:rsidP="00FA452D">
            <w:pPr>
              <w:rPr>
                <w:rFonts w:ascii="Times New Roman" w:eastAsia="Times New Roman" w:hAnsi="Times New Roman" w:cs="Times New Roman"/>
                <w:sz w:val="24"/>
                <w:szCs w:val="24"/>
                <w:lang w:eastAsia="lv-LV"/>
              </w:rPr>
            </w:pPr>
          </w:p>
          <w:p w14:paraId="0FC8983B" w14:textId="768DF7FB" w:rsidR="00E56B8D" w:rsidRPr="00FA452D" w:rsidRDefault="00E56B8D" w:rsidP="00FA452D">
            <w:pPr>
              <w:rPr>
                <w:rFonts w:ascii="Times New Roman" w:eastAsia="Times New Roman" w:hAnsi="Times New Roman" w:cs="Times New Roman"/>
                <w:sz w:val="24"/>
                <w:szCs w:val="24"/>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7A80D839" w14:textId="590872FF" w:rsidR="00D56C29" w:rsidRDefault="003A6920" w:rsidP="00D56C29">
            <w:pPr>
              <w:spacing w:after="0" w:line="240" w:lineRule="auto"/>
              <w:jc w:val="both"/>
              <w:rPr>
                <w:rFonts w:ascii="Times New Roman" w:hAnsi="Times New Roman" w:cs="Times New Roman"/>
                <w:sz w:val="24"/>
                <w:szCs w:val="24"/>
              </w:rPr>
            </w:pPr>
            <w:r w:rsidRPr="00262269">
              <w:rPr>
                <w:rFonts w:ascii="Times New Roman" w:hAnsi="Times New Roman" w:cs="Times New Roman"/>
                <w:sz w:val="24"/>
                <w:szCs w:val="24"/>
              </w:rPr>
              <w:t>Ministru kabineta</w:t>
            </w:r>
            <w:r w:rsidR="00E56B8D" w:rsidRPr="00262269">
              <w:rPr>
                <w:rFonts w:ascii="Times New Roman" w:hAnsi="Times New Roman" w:cs="Times New Roman"/>
                <w:sz w:val="24"/>
                <w:szCs w:val="24"/>
              </w:rPr>
              <w:t xml:space="preserve"> dot</w:t>
            </w:r>
            <w:r w:rsidR="004832E3">
              <w:rPr>
                <w:rFonts w:ascii="Times New Roman" w:hAnsi="Times New Roman" w:cs="Times New Roman"/>
                <w:sz w:val="24"/>
                <w:szCs w:val="24"/>
              </w:rPr>
              <w:t>ais uzdevums</w:t>
            </w:r>
            <w:r w:rsidR="003521CC" w:rsidRPr="00262269">
              <w:rPr>
                <w:rFonts w:ascii="Times New Roman" w:hAnsi="Times New Roman" w:cs="Times New Roman"/>
                <w:sz w:val="24"/>
                <w:szCs w:val="24"/>
              </w:rPr>
              <w:t xml:space="preserve"> paredz</w:t>
            </w:r>
            <w:r w:rsidR="00AC4985" w:rsidRPr="00262269">
              <w:rPr>
                <w:rFonts w:ascii="Times New Roman" w:hAnsi="Times New Roman" w:cs="Times New Roman"/>
                <w:sz w:val="24"/>
                <w:szCs w:val="24"/>
              </w:rPr>
              <w:t xml:space="preserve"> </w:t>
            </w:r>
            <w:r w:rsidR="001F2547" w:rsidRPr="00262269">
              <w:rPr>
                <w:rFonts w:ascii="Times New Roman" w:hAnsi="Times New Roman" w:cs="Times New Roman"/>
                <w:sz w:val="24"/>
                <w:szCs w:val="24"/>
              </w:rPr>
              <w:t>Latvij</w:t>
            </w:r>
            <w:r w:rsidR="001F2547">
              <w:rPr>
                <w:rFonts w:ascii="Times New Roman" w:hAnsi="Times New Roman" w:cs="Times New Roman"/>
                <w:sz w:val="24"/>
                <w:szCs w:val="24"/>
              </w:rPr>
              <w:t>as Republikā</w:t>
            </w:r>
            <w:r w:rsidR="001F2547" w:rsidRPr="00262269">
              <w:rPr>
                <w:rFonts w:ascii="Times New Roman" w:hAnsi="Times New Roman" w:cs="Times New Roman"/>
                <w:sz w:val="24"/>
                <w:szCs w:val="24"/>
              </w:rPr>
              <w:t xml:space="preserve"> </w:t>
            </w:r>
            <w:r w:rsidR="00AC4985" w:rsidRPr="00262269">
              <w:rPr>
                <w:rFonts w:ascii="Times New Roman" w:hAnsi="Times New Roman" w:cs="Times New Roman"/>
                <w:sz w:val="24"/>
                <w:szCs w:val="24"/>
              </w:rPr>
              <w:t xml:space="preserve">nelicencētā azartspēļu un </w:t>
            </w:r>
            <w:r w:rsidRPr="00262269">
              <w:rPr>
                <w:rFonts w:ascii="Times New Roman" w:hAnsi="Times New Roman" w:cs="Times New Roman"/>
                <w:sz w:val="24"/>
                <w:szCs w:val="24"/>
              </w:rPr>
              <w:t>izložu tirgus samazināšanu</w:t>
            </w:r>
            <w:r w:rsidR="00D56C29">
              <w:rPr>
                <w:rFonts w:ascii="Times New Roman" w:hAnsi="Times New Roman" w:cs="Times New Roman"/>
                <w:sz w:val="24"/>
                <w:szCs w:val="24"/>
              </w:rPr>
              <w:t>.</w:t>
            </w:r>
          </w:p>
          <w:p w14:paraId="3BF3E95C" w14:textId="1433A5CD" w:rsidR="00E56B8D" w:rsidRDefault="00A75DCE" w:rsidP="00D56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w:t>
            </w:r>
            <w:r w:rsidR="00E56B8D" w:rsidRPr="00D56C29">
              <w:rPr>
                <w:rFonts w:ascii="Times New Roman" w:eastAsia="Times New Roman" w:hAnsi="Times New Roman" w:cs="Times New Roman"/>
                <w:sz w:val="24"/>
                <w:szCs w:val="24"/>
                <w:lang w:eastAsia="lv-LV"/>
              </w:rPr>
              <w:t xml:space="preserve">a mērķis ir </w:t>
            </w:r>
            <w:r w:rsidR="00E56B8D" w:rsidRPr="00D56C29">
              <w:rPr>
                <w:rFonts w:ascii="Times New Roman" w:hAnsi="Times New Roman" w:cs="Times New Roman"/>
                <w:sz w:val="24"/>
                <w:szCs w:val="24"/>
              </w:rPr>
              <w:t>lieguma noteikšana personai piedalīties</w:t>
            </w:r>
            <w:r w:rsidR="00486BDA">
              <w:rPr>
                <w:rFonts w:ascii="Times New Roman" w:hAnsi="Times New Roman" w:cs="Times New Roman"/>
                <w:sz w:val="24"/>
                <w:szCs w:val="24"/>
              </w:rPr>
              <w:t xml:space="preserve"> </w:t>
            </w:r>
            <w:r w:rsidR="001F2547">
              <w:rPr>
                <w:rFonts w:ascii="Times New Roman" w:hAnsi="Times New Roman" w:cs="Times New Roman"/>
                <w:sz w:val="24"/>
                <w:szCs w:val="24"/>
              </w:rPr>
              <w:t xml:space="preserve">Latvijas Republikā </w:t>
            </w:r>
            <w:r w:rsidR="00486BDA">
              <w:rPr>
                <w:rFonts w:ascii="Times New Roman" w:hAnsi="Times New Roman" w:cs="Times New Roman"/>
                <w:sz w:val="24"/>
                <w:szCs w:val="24"/>
              </w:rPr>
              <w:t>nelicencēt</w:t>
            </w:r>
            <w:r w:rsidR="0061730A">
              <w:rPr>
                <w:rFonts w:ascii="Times New Roman" w:hAnsi="Times New Roman" w:cs="Times New Roman"/>
                <w:sz w:val="24"/>
                <w:szCs w:val="24"/>
              </w:rPr>
              <w:t>ās interaktīv</w:t>
            </w:r>
            <w:r w:rsidR="00486BDA">
              <w:rPr>
                <w:rFonts w:ascii="Times New Roman" w:hAnsi="Times New Roman" w:cs="Times New Roman"/>
                <w:sz w:val="24"/>
                <w:szCs w:val="24"/>
              </w:rPr>
              <w:t>ās azartspēlēs vai interaktīv</w:t>
            </w:r>
            <w:r w:rsidR="00E56B8D" w:rsidRPr="00D56C29">
              <w:rPr>
                <w:rFonts w:ascii="Times New Roman" w:hAnsi="Times New Roman" w:cs="Times New Roman"/>
                <w:sz w:val="24"/>
                <w:szCs w:val="24"/>
              </w:rPr>
              <w:t>ās izlozēs</w:t>
            </w:r>
            <w:r w:rsidR="00EB3C40">
              <w:rPr>
                <w:rFonts w:ascii="Times New Roman" w:hAnsi="Times New Roman" w:cs="Times New Roman"/>
                <w:sz w:val="24"/>
                <w:szCs w:val="24"/>
              </w:rPr>
              <w:t>, kā arī atbildības par personas dalību tajās</w:t>
            </w:r>
            <w:r w:rsidR="00B26CAD">
              <w:rPr>
                <w:rFonts w:ascii="Times New Roman" w:hAnsi="Times New Roman" w:cs="Times New Roman"/>
                <w:sz w:val="24"/>
                <w:szCs w:val="24"/>
              </w:rPr>
              <w:t xml:space="preserve"> noteikšana</w:t>
            </w:r>
            <w:r w:rsidR="00E56B8D" w:rsidRPr="00D56C29">
              <w:rPr>
                <w:rFonts w:ascii="Times New Roman" w:hAnsi="Times New Roman" w:cs="Times New Roman"/>
                <w:sz w:val="24"/>
                <w:szCs w:val="24"/>
              </w:rPr>
              <w:t>.</w:t>
            </w:r>
          </w:p>
          <w:p w14:paraId="3A977E2A" w14:textId="71A9944B" w:rsidR="00EB3C40" w:rsidRDefault="00EB3C40" w:rsidP="00D56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Azartspēļu</w:t>
            </w:r>
            <w:r w:rsidR="00B26CAD">
              <w:rPr>
                <w:rFonts w:ascii="Times New Roman" w:hAnsi="Times New Roman" w:cs="Times New Roman"/>
                <w:sz w:val="24"/>
                <w:szCs w:val="24"/>
              </w:rPr>
              <w:t xml:space="preserve"> un izložu likuma 88.pants nosaka  personas – azartspēļu vai izložu organizētāja </w:t>
            </w:r>
            <w:r>
              <w:rPr>
                <w:rFonts w:ascii="Times New Roman" w:hAnsi="Times New Roman" w:cs="Times New Roman"/>
                <w:sz w:val="24"/>
                <w:szCs w:val="24"/>
              </w:rPr>
              <w:t xml:space="preserve"> </w:t>
            </w:r>
            <w:r w:rsidR="00B26CAD">
              <w:rPr>
                <w:rFonts w:ascii="Times New Roman" w:hAnsi="Times New Roman" w:cs="Times New Roman"/>
                <w:sz w:val="24"/>
                <w:szCs w:val="24"/>
              </w:rPr>
              <w:t xml:space="preserve">administratīvo </w:t>
            </w:r>
            <w:r>
              <w:rPr>
                <w:rFonts w:ascii="Times New Roman" w:hAnsi="Times New Roman" w:cs="Times New Roman"/>
                <w:sz w:val="24"/>
                <w:szCs w:val="24"/>
              </w:rPr>
              <w:t>atbild</w:t>
            </w:r>
            <w:r w:rsidR="00B26CAD">
              <w:rPr>
                <w:rFonts w:ascii="Times New Roman" w:hAnsi="Times New Roman" w:cs="Times New Roman"/>
                <w:sz w:val="24"/>
                <w:szCs w:val="24"/>
              </w:rPr>
              <w:t xml:space="preserve">ību vai kriminālatbildību par </w:t>
            </w:r>
            <w:r>
              <w:rPr>
                <w:rFonts w:ascii="Times New Roman" w:hAnsi="Times New Roman" w:cs="Times New Roman"/>
                <w:sz w:val="24"/>
                <w:szCs w:val="24"/>
              </w:rPr>
              <w:t>Latvij</w:t>
            </w:r>
            <w:r w:rsidR="001F2547">
              <w:rPr>
                <w:rFonts w:ascii="Times New Roman" w:hAnsi="Times New Roman" w:cs="Times New Roman"/>
                <w:sz w:val="24"/>
                <w:szCs w:val="24"/>
              </w:rPr>
              <w:t>as Republikā</w:t>
            </w:r>
            <w:r>
              <w:rPr>
                <w:rFonts w:ascii="Times New Roman" w:hAnsi="Times New Roman" w:cs="Times New Roman"/>
                <w:sz w:val="24"/>
                <w:szCs w:val="24"/>
              </w:rPr>
              <w:t xml:space="preserve"> nelicenc</w:t>
            </w:r>
            <w:r w:rsidR="00B26CAD">
              <w:rPr>
                <w:rFonts w:ascii="Times New Roman" w:hAnsi="Times New Roman" w:cs="Times New Roman"/>
                <w:sz w:val="24"/>
                <w:szCs w:val="24"/>
              </w:rPr>
              <w:t>ētu</w:t>
            </w:r>
            <w:r>
              <w:rPr>
                <w:rFonts w:ascii="Times New Roman" w:hAnsi="Times New Roman" w:cs="Times New Roman"/>
                <w:sz w:val="24"/>
                <w:szCs w:val="24"/>
              </w:rPr>
              <w:t xml:space="preserve"> azartspēļu un izlo</w:t>
            </w:r>
            <w:r w:rsidR="00B26CAD">
              <w:rPr>
                <w:rFonts w:ascii="Times New Roman" w:hAnsi="Times New Roman" w:cs="Times New Roman"/>
                <w:sz w:val="24"/>
                <w:szCs w:val="24"/>
              </w:rPr>
              <w:t>žu organizēšanu, t.i. tas nosaka, ka personu, kas azartspēles v</w:t>
            </w:r>
            <w:r w:rsidR="004832E3">
              <w:rPr>
                <w:rFonts w:ascii="Times New Roman" w:hAnsi="Times New Roman" w:cs="Times New Roman"/>
                <w:sz w:val="24"/>
                <w:szCs w:val="24"/>
              </w:rPr>
              <w:t>ai izloze</w:t>
            </w:r>
            <w:r w:rsidR="00B26CAD">
              <w:rPr>
                <w:rFonts w:ascii="Times New Roman" w:hAnsi="Times New Roman" w:cs="Times New Roman"/>
                <w:sz w:val="24"/>
                <w:szCs w:val="24"/>
              </w:rPr>
              <w:t>s organizē bez Izložu un azartspēļu uzraudzības inspekcijas  (turpmāk –</w:t>
            </w:r>
            <w:r w:rsidR="002F4F98">
              <w:rPr>
                <w:rFonts w:ascii="Times New Roman" w:hAnsi="Times New Roman" w:cs="Times New Roman"/>
                <w:sz w:val="24"/>
                <w:szCs w:val="24"/>
              </w:rPr>
              <w:t xml:space="preserve"> IAUI</w:t>
            </w:r>
            <w:r w:rsidR="00B26CAD">
              <w:rPr>
                <w:rFonts w:ascii="Times New Roman" w:hAnsi="Times New Roman" w:cs="Times New Roman"/>
                <w:sz w:val="24"/>
                <w:szCs w:val="24"/>
              </w:rPr>
              <w:t>)</w:t>
            </w:r>
            <w:r w:rsidR="00903036">
              <w:rPr>
                <w:rFonts w:ascii="Times New Roman" w:hAnsi="Times New Roman" w:cs="Times New Roman"/>
                <w:sz w:val="24"/>
                <w:szCs w:val="24"/>
              </w:rPr>
              <w:t xml:space="preserve"> izsniegtas licences, sauc pie likumā noteiktās administratīvās atbildības</w:t>
            </w:r>
            <w:r w:rsidR="008422D1">
              <w:rPr>
                <w:rFonts w:ascii="Times New Roman" w:hAnsi="Times New Roman" w:cs="Times New Roman"/>
                <w:sz w:val="24"/>
                <w:szCs w:val="24"/>
              </w:rPr>
              <w:t xml:space="preserve"> vai kriminālatbildības. Vienlaikus Azartspēļu un izložu likums paredz šādas darbības rezultātā gūtos ienākumus ieskaitīt valsts budžetā.</w:t>
            </w:r>
          </w:p>
          <w:p w14:paraId="45807101" w14:textId="5229B445" w:rsidR="002A4613" w:rsidRDefault="002A4613" w:rsidP="00D56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Tādējādi esošais normatīvais regulējums nosaka tikai vienas azartspēlēs vai izlozēs iesaistītās puses</w:t>
            </w:r>
            <w:r w:rsidR="00C85DE9">
              <w:rPr>
                <w:rFonts w:ascii="Times New Roman" w:hAnsi="Times New Roman" w:cs="Times New Roman"/>
                <w:sz w:val="24"/>
                <w:szCs w:val="24"/>
              </w:rPr>
              <w:t xml:space="preserve"> – organizētāja nevis spēlētāja,</w:t>
            </w:r>
            <w:r>
              <w:rPr>
                <w:rFonts w:ascii="Times New Roman" w:hAnsi="Times New Roman" w:cs="Times New Roman"/>
                <w:sz w:val="24"/>
                <w:szCs w:val="24"/>
              </w:rPr>
              <w:t xml:space="preserve"> atbildību.</w:t>
            </w:r>
          </w:p>
          <w:p w14:paraId="174C4292" w14:textId="77777777" w:rsidR="00E56B8D" w:rsidRPr="00262269" w:rsidRDefault="00E56B8D" w:rsidP="00AE62BB">
            <w:pPr>
              <w:tabs>
                <w:tab w:val="left" w:pos="356"/>
              </w:tabs>
              <w:spacing w:after="0" w:line="240" w:lineRule="auto"/>
              <w:jc w:val="both"/>
              <w:rPr>
                <w:rFonts w:ascii="Times New Roman" w:eastAsia="Calibri" w:hAnsi="Times New Roman" w:cs="Times New Roman"/>
                <w:sz w:val="24"/>
                <w:szCs w:val="24"/>
              </w:rPr>
            </w:pPr>
            <w:r w:rsidRPr="00262269">
              <w:rPr>
                <w:rFonts w:ascii="Times New Roman" w:hAnsi="Times New Roman" w:cs="Times New Roman"/>
                <w:sz w:val="24"/>
                <w:szCs w:val="24"/>
              </w:rPr>
              <w:t xml:space="preserve">Šobrīd </w:t>
            </w:r>
            <w:r w:rsidRPr="00486BDA">
              <w:rPr>
                <w:rFonts w:ascii="Times New Roman" w:hAnsi="Times New Roman" w:cs="Times New Roman"/>
                <w:sz w:val="24"/>
                <w:szCs w:val="24"/>
              </w:rPr>
              <w:t>spēlētāju tiesību aizsardzība</w:t>
            </w:r>
            <w:r w:rsidRPr="00262269">
              <w:rPr>
                <w:rFonts w:ascii="Times New Roman" w:hAnsi="Times New Roman" w:cs="Times New Roman"/>
                <w:sz w:val="24"/>
                <w:szCs w:val="24"/>
              </w:rPr>
              <w:t>, t.sk. arī pasākumi, ja personai ir pārmērīga tieksme spēlēt interaktīvās azartspēles vai interaktīvās izlozes, tiek nodrošināta, ja persona spēlē interaktīvās azar</w:t>
            </w:r>
            <w:r w:rsidR="00486BDA">
              <w:rPr>
                <w:rFonts w:ascii="Times New Roman" w:hAnsi="Times New Roman" w:cs="Times New Roman"/>
                <w:sz w:val="24"/>
                <w:szCs w:val="24"/>
              </w:rPr>
              <w:t>tspēles vai piedalās interaktīv</w:t>
            </w:r>
            <w:r w:rsidRPr="00262269">
              <w:rPr>
                <w:rFonts w:ascii="Times New Roman" w:hAnsi="Times New Roman" w:cs="Times New Roman"/>
                <w:sz w:val="24"/>
                <w:szCs w:val="24"/>
              </w:rPr>
              <w:t xml:space="preserve">ās izlozēs vidē, kas tiek regulēta ar normatīvajiem aktiem un uzraudzīta no valsts puses. Piemēram, </w:t>
            </w:r>
            <w:r w:rsidRPr="00262269">
              <w:rPr>
                <w:rFonts w:ascii="Times New Roman" w:eastAsia="Calibri" w:hAnsi="Times New Roman" w:cs="Times New Roman"/>
                <w:bCs/>
                <w:sz w:val="24"/>
                <w:szCs w:val="24"/>
              </w:rPr>
              <w:t xml:space="preserve">Ministru kabineta </w:t>
            </w:r>
            <w:r w:rsidRPr="00262269">
              <w:rPr>
                <w:rFonts w:ascii="Times New Roman" w:eastAsia="Calibri" w:hAnsi="Times New Roman" w:cs="Times New Roman"/>
                <w:sz w:val="24"/>
                <w:szCs w:val="24"/>
              </w:rPr>
              <w:t>2017.gada 5.decembra</w:t>
            </w:r>
            <w:r w:rsidRPr="00262269">
              <w:rPr>
                <w:rFonts w:ascii="Times New Roman" w:eastAsia="Calibri" w:hAnsi="Times New Roman" w:cs="Times New Roman"/>
                <w:bCs/>
                <w:sz w:val="24"/>
                <w:szCs w:val="24"/>
              </w:rPr>
              <w:t xml:space="preserve"> noteikumi Nr.715</w:t>
            </w:r>
            <w:r w:rsidRPr="00262269">
              <w:rPr>
                <w:rFonts w:ascii="Times New Roman" w:eastAsia="Calibri" w:hAnsi="Times New Roman" w:cs="Times New Roman"/>
                <w:sz w:val="24"/>
                <w:szCs w:val="24"/>
              </w:rPr>
              <w:t xml:space="preserve"> “</w:t>
            </w:r>
            <w:r w:rsidRPr="00262269">
              <w:rPr>
                <w:rFonts w:ascii="Times New Roman" w:eastAsia="Calibri" w:hAnsi="Times New Roman" w:cs="Times New Roman"/>
                <w:bCs/>
                <w:sz w:val="24"/>
                <w:szCs w:val="24"/>
              </w:rPr>
              <w:t xml:space="preserve">Interaktīvo azartspēļu un interaktīvo izložu spēlētāju reģistrācijas un </w:t>
            </w:r>
            <w:r w:rsidRPr="00262269">
              <w:rPr>
                <w:rFonts w:ascii="Times New Roman" w:eastAsia="Calibri" w:hAnsi="Times New Roman" w:cs="Times New Roman"/>
                <w:bCs/>
                <w:sz w:val="24"/>
                <w:szCs w:val="24"/>
              </w:rPr>
              <w:lastRenderedPageBreak/>
              <w:t xml:space="preserve">identitātes pārbaudes kārtība” </w:t>
            </w:r>
            <w:r w:rsidRPr="00262269">
              <w:rPr>
                <w:rFonts w:ascii="Times New Roman" w:eastAsia="Calibri" w:hAnsi="Times New Roman" w:cs="Times New Roman"/>
                <w:sz w:val="24"/>
                <w:szCs w:val="24"/>
              </w:rPr>
              <w:t>nosaka prasības, kas azartspēļu un izložu organizatoriem jāievē</w:t>
            </w:r>
            <w:r w:rsidR="00366896">
              <w:rPr>
                <w:rFonts w:ascii="Times New Roman" w:eastAsia="Calibri" w:hAnsi="Times New Roman" w:cs="Times New Roman"/>
                <w:sz w:val="24"/>
                <w:szCs w:val="24"/>
              </w:rPr>
              <w:t>ro, lai novērstu no interaktīvām azartspēlēm un interaktīv</w:t>
            </w:r>
            <w:r w:rsidRPr="00262269">
              <w:rPr>
                <w:rFonts w:ascii="Times New Roman" w:eastAsia="Calibri" w:hAnsi="Times New Roman" w:cs="Times New Roman"/>
                <w:sz w:val="24"/>
                <w:szCs w:val="24"/>
              </w:rPr>
              <w:t>ām izlozēm atkarīgo spēlēt</w:t>
            </w:r>
            <w:r w:rsidR="00366896">
              <w:rPr>
                <w:rFonts w:ascii="Times New Roman" w:eastAsia="Calibri" w:hAnsi="Times New Roman" w:cs="Times New Roman"/>
                <w:sz w:val="24"/>
                <w:szCs w:val="24"/>
              </w:rPr>
              <w:t>āju turpmāku dalību interaktīv</w:t>
            </w:r>
            <w:r w:rsidRPr="00262269">
              <w:rPr>
                <w:rFonts w:ascii="Times New Roman" w:eastAsia="Calibri" w:hAnsi="Times New Roman" w:cs="Times New Roman"/>
                <w:sz w:val="24"/>
                <w:szCs w:val="24"/>
              </w:rPr>
              <w:t>ās a</w:t>
            </w:r>
            <w:r w:rsidR="00366896">
              <w:rPr>
                <w:rFonts w:ascii="Times New Roman" w:eastAsia="Calibri" w:hAnsi="Times New Roman" w:cs="Times New Roman"/>
                <w:sz w:val="24"/>
                <w:szCs w:val="24"/>
              </w:rPr>
              <w:t>zartspēlēs un (vai) interaktīv</w:t>
            </w:r>
            <w:r w:rsidRPr="00262269">
              <w:rPr>
                <w:rFonts w:ascii="Times New Roman" w:eastAsia="Calibri" w:hAnsi="Times New Roman" w:cs="Times New Roman"/>
                <w:sz w:val="24"/>
                <w:szCs w:val="24"/>
              </w:rPr>
              <w:t>ās izlozēs, kā arī attiecīgi interaktīvo azartspēļu un interaktīvo izložu spēlētāju  reģistrācijas u</w:t>
            </w:r>
            <w:r w:rsidR="00A75DCE">
              <w:rPr>
                <w:rFonts w:ascii="Times New Roman" w:eastAsia="Calibri" w:hAnsi="Times New Roman" w:cs="Times New Roman"/>
                <w:sz w:val="24"/>
                <w:szCs w:val="24"/>
              </w:rPr>
              <w:t>n identitātes pārbaudes kārtību, attiecīgi nepieļaujot nepilngadīgo personu dalību interaktīvās azartspēlēs un interaktīvās izlozēs.</w:t>
            </w:r>
          </w:p>
          <w:p w14:paraId="63A28DD7" w14:textId="0BCCB1C7" w:rsidR="00E56B8D" w:rsidRPr="00262269" w:rsidRDefault="00CA6A12" w:rsidP="00E56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Spēlējot </w:t>
            </w:r>
            <w:r w:rsidR="001F2547">
              <w:rPr>
                <w:rFonts w:ascii="Times New Roman" w:hAnsi="Times New Roman" w:cs="Times New Roman"/>
                <w:sz w:val="24"/>
                <w:szCs w:val="24"/>
              </w:rPr>
              <w:t xml:space="preserve">Latvijas Republikā </w:t>
            </w:r>
            <w:r>
              <w:rPr>
                <w:rFonts w:ascii="Times New Roman" w:hAnsi="Times New Roman" w:cs="Times New Roman"/>
                <w:sz w:val="24"/>
                <w:szCs w:val="24"/>
              </w:rPr>
              <w:t>nelicencētu</w:t>
            </w:r>
            <w:r w:rsidR="00E56B8D" w:rsidRPr="00262269">
              <w:rPr>
                <w:rFonts w:ascii="Times New Roman" w:hAnsi="Times New Roman" w:cs="Times New Roman"/>
                <w:sz w:val="24"/>
                <w:szCs w:val="24"/>
              </w:rPr>
              <w:t xml:space="preserve"> interaktīvo azartspēļu vai</w:t>
            </w:r>
            <w:r w:rsidR="004832E3">
              <w:rPr>
                <w:rFonts w:ascii="Times New Roman" w:hAnsi="Times New Roman" w:cs="Times New Roman"/>
                <w:sz w:val="24"/>
                <w:szCs w:val="24"/>
              </w:rPr>
              <w:t xml:space="preserve"> interaktīvo izložu organizētāju</w:t>
            </w:r>
            <w:r w:rsidR="00E56B8D" w:rsidRPr="00262269">
              <w:rPr>
                <w:rFonts w:ascii="Times New Roman" w:hAnsi="Times New Roman" w:cs="Times New Roman"/>
                <w:sz w:val="24"/>
                <w:szCs w:val="24"/>
              </w:rPr>
              <w:t xml:space="preserve"> tīmekļa vietnēs, persona darbojas kompetento iestāžu nekontrolētajā vidē, pakļaujot riskam sevi un savus līdzcilvēkus, kā arī šajā nelegālajā vidē netiek nodrošināti pasākumi, kuros persona var noteikt sev liegumus, la</w:t>
            </w:r>
            <w:r w:rsidR="002B1DF2">
              <w:rPr>
                <w:rFonts w:ascii="Times New Roman" w:hAnsi="Times New Roman" w:cs="Times New Roman"/>
                <w:sz w:val="24"/>
                <w:szCs w:val="24"/>
              </w:rPr>
              <w:t xml:space="preserve">i ierobežotu savu piedalīšanos </w:t>
            </w:r>
            <w:r w:rsidR="00E56B8D" w:rsidRPr="00262269">
              <w:rPr>
                <w:rFonts w:ascii="Times New Roman" w:hAnsi="Times New Roman" w:cs="Times New Roman"/>
                <w:sz w:val="24"/>
                <w:szCs w:val="24"/>
              </w:rPr>
              <w:t>interaktīvajās azartspēlēs vai interaktīvajās izlozēs.</w:t>
            </w:r>
          </w:p>
          <w:p w14:paraId="6E2850C9" w14:textId="65155332" w:rsidR="00E56B8D" w:rsidRPr="00262269" w:rsidRDefault="00A75DCE" w:rsidP="00E56B8D">
            <w:pPr>
              <w:pStyle w:val="ListParagraph"/>
              <w:tabs>
                <w:tab w:val="left" w:pos="132"/>
              </w:tabs>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Pastāvot</w:t>
            </w:r>
            <w:r w:rsidR="00E56B8D" w:rsidRPr="00262269">
              <w:rPr>
                <w:rFonts w:ascii="Times New Roman" w:eastAsia="Calibri" w:hAnsi="Times New Roman" w:cs="Times New Roman"/>
                <w:sz w:val="24"/>
                <w:szCs w:val="24"/>
              </w:rPr>
              <w:t xml:space="preserve"> </w:t>
            </w:r>
            <w:r w:rsidR="0061730A">
              <w:rPr>
                <w:rFonts w:ascii="Times New Roman" w:hAnsi="Times New Roman" w:cs="Times New Roman"/>
                <w:sz w:val="24"/>
                <w:szCs w:val="24"/>
              </w:rPr>
              <w:t>Latvij</w:t>
            </w:r>
            <w:r w:rsidR="001F2547">
              <w:rPr>
                <w:rFonts w:ascii="Times New Roman" w:hAnsi="Times New Roman" w:cs="Times New Roman"/>
                <w:sz w:val="24"/>
                <w:szCs w:val="24"/>
              </w:rPr>
              <w:t>as Republikā</w:t>
            </w:r>
            <w:r w:rsidR="001F2547" w:rsidDel="001F2547">
              <w:rPr>
                <w:rFonts w:ascii="Times New Roman" w:hAnsi="Times New Roman" w:cs="Times New Roman"/>
                <w:sz w:val="24"/>
                <w:szCs w:val="24"/>
              </w:rPr>
              <w:t xml:space="preserve"> </w:t>
            </w:r>
            <w:r w:rsidR="0061730A">
              <w:rPr>
                <w:rFonts w:ascii="Times New Roman" w:hAnsi="Times New Roman" w:cs="Times New Roman"/>
                <w:sz w:val="24"/>
                <w:szCs w:val="24"/>
              </w:rPr>
              <w:t>nelicencēto</w:t>
            </w:r>
            <w:r w:rsidR="00E56B8D" w:rsidRPr="00262269">
              <w:rPr>
                <w:rFonts w:ascii="Times New Roman" w:hAnsi="Times New Roman" w:cs="Times New Roman"/>
                <w:sz w:val="24"/>
                <w:szCs w:val="24"/>
              </w:rPr>
              <w:t xml:space="preserve"> interaktīvo azartspēļu un intera</w:t>
            </w:r>
            <w:r w:rsidR="00CA6A12">
              <w:rPr>
                <w:rFonts w:ascii="Times New Roman" w:hAnsi="Times New Roman" w:cs="Times New Roman"/>
                <w:sz w:val="24"/>
                <w:szCs w:val="24"/>
              </w:rPr>
              <w:t>ktīvo izložu tirgus īpatsvaram</w:t>
            </w:r>
            <w:r w:rsidR="004832E3">
              <w:rPr>
                <w:rFonts w:ascii="Times New Roman" w:hAnsi="Times New Roman" w:cs="Times New Roman"/>
                <w:sz w:val="24"/>
                <w:szCs w:val="24"/>
              </w:rPr>
              <w:t>,</w:t>
            </w:r>
            <w:r w:rsidR="00CA6A12">
              <w:rPr>
                <w:rFonts w:ascii="Times New Roman" w:hAnsi="Times New Roman" w:cs="Times New Roman"/>
                <w:sz w:val="24"/>
                <w:szCs w:val="24"/>
              </w:rPr>
              <w:t xml:space="preserve"> arī </w:t>
            </w:r>
            <w:r w:rsidR="00E56B8D" w:rsidRPr="00366896">
              <w:rPr>
                <w:rFonts w:ascii="Times New Roman" w:hAnsi="Times New Roman" w:cs="Times New Roman"/>
                <w:sz w:val="24"/>
                <w:szCs w:val="24"/>
              </w:rPr>
              <w:t>valsts neiegūst potenciālos nodokļu ieņēmumus valsts budžetā.</w:t>
            </w:r>
          </w:p>
          <w:p w14:paraId="1BB02D80" w14:textId="5A0D1528" w:rsidR="00A75DCE" w:rsidRDefault="00E56B8D" w:rsidP="00E56B8D">
            <w:pPr>
              <w:pStyle w:val="ListParagraph"/>
              <w:tabs>
                <w:tab w:val="left" w:pos="132"/>
              </w:tabs>
              <w:spacing w:after="0" w:line="240" w:lineRule="auto"/>
              <w:ind w:left="0"/>
              <w:jc w:val="both"/>
              <w:rPr>
                <w:rFonts w:ascii="Times New Roman" w:hAnsi="Times New Roman" w:cs="Times New Roman"/>
                <w:sz w:val="24"/>
                <w:szCs w:val="24"/>
              </w:rPr>
            </w:pPr>
            <w:r w:rsidRPr="00262269">
              <w:rPr>
                <w:rFonts w:ascii="Times New Roman" w:hAnsi="Times New Roman" w:cs="Times New Roman"/>
                <w:sz w:val="24"/>
                <w:szCs w:val="24"/>
              </w:rPr>
              <w:t xml:space="preserve">Lai samazinātu vai novērstu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nelicencēto</w:t>
            </w:r>
            <w:r w:rsidRPr="00262269">
              <w:rPr>
                <w:rFonts w:ascii="Times New Roman" w:hAnsi="Times New Roman" w:cs="Times New Roman"/>
                <w:sz w:val="24"/>
                <w:szCs w:val="24"/>
              </w:rPr>
              <w:t xml:space="preserve"> interaktīvo azartspēļu vai interaktīvo izložu piedāvājumu, ir nepieciešams vienlaicīgi </w:t>
            </w:r>
            <w:r w:rsidR="00A75DCE">
              <w:rPr>
                <w:rFonts w:ascii="Times New Roman" w:hAnsi="Times New Roman" w:cs="Times New Roman"/>
                <w:sz w:val="24"/>
                <w:szCs w:val="24"/>
              </w:rPr>
              <w:t>ieviest kompleksu risinājumu</w:t>
            </w:r>
            <w:r w:rsidRPr="00262269">
              <w:rPr>
                <w:rFonts w:ascii="Times New Roman" w:hAnsi="Times New Roman" w:cs="Times New Roman"/>
                <w:sz w:val="24"/>
                <w:szCs w:val="24"/>
              </w:rPr>
              <w:t>. Tas nozīmē, ka jānosaka atbildība</w:t>
            </w:r>
            <w:r w:rsidR="005D370E">
              <w:rPr>
                <w:rFonts w:ascii="Times New Roman" w:hAnsi="Times New Roman" w:cs="Times New Roman"/>
                <w:sz w:val="24"/>
                <w:szCs w:val="24"/>
              </w:rPr>
              <w:t xml:space="preserve"> ne tikai</w:t>
            </w:r>
            <w:r w:rsidRPr="00262269">
              <w:rPr>
                <w:rFonts w:ascii="Times New Roman" w:hAnsi="Times New Roman" w:cs="Times New Roman"/>
                <w:sz w:val="24"/>
                <w:szCs w:val="24"/>
              </w:rPr>
              <w:t xml:space="preserve"> interneta vidi uzraugošajiem elektronisko sakaru komersantiem, ja tie nenodrošina normatīvajos aktos noteiktās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nelicencēto</w:t>
            </w:r>
            <w:r w:rsidRPr="00262269">
              <w:rPr>
                <w:rFonts w:ascii="Times New Roman" w:hAnsi="Times New Roman" w:cs="Times New Roman"/>
                <w:sz w:val="24"/>
                <w:szCs w:val="24"/>
              </w:rPr>
              <w:t xml:space="preserve"> interaktīvo azartspēļu vai interaktīvo izložu pieejamības ierobežošanas (bloķēšanas) prasības, </w:t>
            </w:r>
            <w:r w:rsidR="005D370E">
              <w:rPr>
                <w:rFonts w:ascii="Times New Roman" w:hAnsi="Times New Roman" w:cs="Times New Roman"/>
                <w:sz w:val="24"/>
                <w:szCs w:val="24"/>
              </w:rPr>
              <w:t>bet</w:t>
            </w:r>
            <w:r w:rsidRPr="00262269">
              <w:rPr>
                <w:rFonts w:ascii="Times New Roman" w:hAnsi="Times New Roman" w:cs="Times New Roman"/>
                <w:sz w:val="24"/>
                <w:szCs w:val="24"/>
              </w:rPr>
              <w:t xml:space="preserve"> arī iesaistītaj</w:t>
            </w:r>
            <w:r w:rsidR="00A75DCE">
              <w:rPr>
                <w:rFonts w:ascii="Times New Roman" w:hAnsi="Times New Roman" w:cs="Times New Roman"/>
                <w:sz w:val="24"/>
                <w:szCs w:val="24"/>
              </w:rPr>
              <w:t>am indivīdam</w:t>
            </w:r>
            <w:r w:rsidRPr="00262269">
              <w:rPr>
                <w:rFonts w:ascii="Times New Roman" w:hAnsi="Times New Roman" w:cs="Times New Roman"/>
                <w:sz w:val="24"/>
                <w:szCs w:val="24"/>
              </w:rPr>
              <w:t xml:space="preserve">, nosakot liegumu piedalīties </w:t>
            </w:r>
            <w:r w:rsidR="001F2547" w:rsidRPr="00262269">
              <w:rPr>
                <w:rFonts w:ascii="Times New Roman" w:hAnsi="Times New Roman" w:cs="Times New Roman"/>
                <w:sz w:val="24"/>
                <w:szCs w:val="24"/>
              </w:rPr>
              <w:t>Latv</w:t>
            </w:r>
            <w:r w:rsidR="001F2547">
              <w:rPr>
                <w:rFonts w:ascii="Times New Roman" w:hAnsi="Times New Roman" w:cs="Times New Roman"/>
                <w:sz w:val="24"/>
                <w:szCs w:val="24"/>
              </w:rPr>
              <w:t xml:space="preserve">ijas Republikā </w:t>
            </w:r>
            <w:r w:rsidR="0061730A">
              <w:rPr>
                <w:rFonts w:ascii="Times New Roman" w:hAnsi="Times New Roman" w:cs="Times New Roman"/>
                <w:sz w:val="24"/>
                <w:szCs w:val="24"/>
              </w:rPr>
              <w:t>nelicencēt</w:t>
            </w:r>
            <w:r w:rsidR="00094099">
              <w:rPr>
                <w:rFonts w:ascii="Times New Roman" w:hAnsi="Times New Roman" w:cs="Times New Roman"/>
                <w:sz w:val="24"/>
                <w:szCs w:val="24"/>
              </w:rPr>
              <w:t>ās interaktīvās azartspēlēs vai interaktīv</w:t>
            </w:r>
            <w:r w:rsidRPr="00262269">
              <w:rPr>
                <w:rFonts w:ascii="Times New Roman" w:hAnsi="Times New Roman" w:cs="Times New Roman"/>
                <w:sz w:val="24"/>
                <w:szCs w:val="24"/>
              </w:rPr>
              <w:t xml:space="preserve">ās izlozēs, tādējādi </w:t>
            </w:r>
            <w:r w:rsidR="00094099">
              <w:rPr>
                <w:rFonts w:ascii="Times New Roman" w:hAnsi="Times New Roman" w:cs="Times New Roman"/>
                <w:sz w:val="24"/>
                <w:szCs w:val="24"/>
              </w:rPr>
              <w:t>kavējot</w:t>
            </w:r>
            <w:r w:rsidRPr="00262269">
              <w:rPr>
                <w:rFonts w:ascii="Times New Roman" w:hAnsi="Times New Roman" w:cs="Times New Roman"/>
                <w:sz w:val="24"/>
                <w:szCs w:val="24"/>
              </w:rPr>
              <w:t xml:space="preserve">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nelicencēto</w:t>
            </w:r>
            <w:r w:rsidR="0061730A" w:rsidRPr="00262269">
              <w:rPr>
                <w:rFonts w:ascii="Times New Roman" w:hAnsi="Times New Roman" w:cs="Times New Roman"/>
                <w:sz w:val="24"/>
                <w:szCs w:val="24"/>
              </w:rPr>
              <w:t xml:space="preserve"> </w:t>
            </w:r>
            <w:r w:rsidRPr="00262269">
              <w:rPr>
                <w:rFonts w:ascii="Times New Roman" w:hAnsi="Times New Roman" w:cs="Times New Roman"/>
                <w:sz w:val="24"/>
                <w:szCs w:val="24"/>
              </w:rPr>
              <w:t xml:space="preserve">interaktīvo azartspēļu vai interaktīvo izložu tirgus attīstību un rosinot spēlētājus pāriet uz </w:t>
            </w:r>
            <w:r w:rsidR="001F2547" w:rsidRPr="00262269">
              <w:rPr>
                <w:rFonts w:ascii="Times New Roman" w:hAnsi="Times New Roman" w:cs="Times New Roman"/>
                <w:sz w:val="24"/>
                <w:szCs w:val="24"/>
              </w:rPr>
              <w:t>Latvij</w:t>
            </w:r>
            <w:r w:rsidR="001F2547">
              <w:rPr>
                <w:rFonts w:ascii="Times New Roman" w:hAnsi="Times New Roman" w:cs="Times New Roman"/>
                <w:sz w:val="24"/>
                <w:szCs w:val="24"/>
              </w:rPr>
              <w:t>as Republikā</w:t>
            </w:r>
            <w:r w:rsidR="001F2547" w:rsidRPr="00262269">
              <w:rPr>
                <w:rFonts w:ascii="Times New Roman" w:hAnsi="Times New Roman" w:cs="Times New Roman"/>
                <w:sz w:val="24"/>
                <w:szCs w:val="24"/>
              </w:rPr>
              <w:t xml:space="preserve"> </w:t>
            </w:r>
            <w:r w:rsidRPr="00262269">
              <w:rPr>
                <w:rFonts w:ascii="Times New Roman" w:hAnsi="Times New Roman" w:cs="Times New Roman"/>
                <w:sz w:val="24"/>
                <w:szCs w:val="24"/>
              </w:rPr>
              <w:t xml:space="preserve">licencētu interaktīvo azartspēļu un interaktīvo </w:t>
            </w:r>
            <w:r w:rsidR="009713FB">
              <w:rPr>
                <w:rFonts w:ascii="Times New Roman" w:hAnsi="Times New Roman" w:cs="Times New Roman"/>
                <w:sz w:val="24"/>
                <w:szCs w:val="24"/>
              </w:rPr>
              <w:t xml:space="preserve">izložu vidi. </w:t>
            </w:r>
          </w:p>
          <w:p w14:paraId="7D0E1AFF" w14:textId="26DBF56A" w:rsidR="00E56B8D" w:rsidRPr="00262269" w:rsidRDefault="00E56B8D" w:rsidP="00ED0888">
            <w:pPr>
              <w:tabs>
                <w:tab w:val="left" w:pos="72"/>
              </w:tabs>
              <w:spacing w:after="0" w:line="240" w:lineRule="auto"/>
              <w:jc w:val="both"/>
              <w:rPr>
                <w:rFonts w:ascii="Times New Roman" w:hAnsi="Times New Roman" w:cs="Times New Roman"/>
                <w:sz w:val="24"/>
                <w:szCs w:val="24"/>
              </w:rPr>
            </w:pPr>
            <w:r w:rsidRPr="00262269">
              <w:rPr>
                <w:rFonts w:ascii="Times New Roman" w:hAnsi="Times New Roman" w:cs="Times New Roman"/>
                <w:sz w:val="24"/>
                <w:szCs w:val="24"/>
              </w:rPr>
              <w:t xml:space="preserve">Lai ievērotu Valsts pārvaldes iekārtas likuma 10. panta piektajā daļā noteikto labas pārvaldības principu,  sabiedrība tiks informēta par </w:t>
            </w:r>
            <w:r w:rsidR="00983588" w:rsidRPr="00262269">
              <w:rPr>
                <w:rFonts w:ascii="Times New Roman" w:hAnsi="Times New Roman" w:cs="Times New Roman"/>
                <w:sz w:val="24"/>
                <w:szCs w:val="24"/>
              </w:rPr>
              <w:t>liegumu fiziskai personai piedalīties</w:t>
            </w:r>
            <w:r w:rsidR="00F80234">
              <w:rPr>
                <w:rFonts w:ascii="Times New Roman" w:hAnsi="Times New Roman" w:cs="Times New Roman"/>
                <w:sz w:val="24"/>
                <w:szCs w:val="24"/>
              </w:rPr>
              <w:t xml:space="preserve">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nelicencētās</w:t>
            </w:r>
            <w:r w:rsidR="0061730A" w:rsidRPr="00262269">
              <w:rPr>
                <w:rFonts w:ascii="Times New Roman" w:hAnsi="Times New Roman" w:cs="Times New Roman"/>
                <w:sz w:val="24"/>
                <w:szCs w:val="24"/>
              </w:rPr>
              <w:t xml:space="preserve"> </w:t>
            </w:r>
            <w:r w:rsidR="00F80234">
              <w:rPr>
                <w:rFonts w:ascii="Times New Roman" w:hAnsi="Times New Roman" w:cs="Times New Roman"/>
                <w:sz w:val="24"/>
                <w:szCs w:val="24"/>
              </w:rPr>
              <w:t>interaktīvās azartspēlēs vai interaktīv</w:t>
            </w:r>
            <w:r w:rsidRPr="00262269">
              <w:rPr>
                <w:rFonts w:ascii="Times New Roman" w:hAnsi="Times New Roman" w:cs="Times New Roman"/>
                <w:sz w:val="24"/>
                <w:szCs w:val="24"/>
              </w:rPr>
              <w:t>ās izlozēs</w:t>
            </w:r>
            <w:r w:rsidR="00983588" w:rsidRPr="00262269">
              <w:rPr>
                <w:rFonts w:ascii="Times New Roman" w:hAnsi="Times New Roman" w:cs="Times New Roman"/>
                <w:sz w:val="24"/>
                <w:szCs w:val="24"/>
              </w:rPr>
              <w:t xml:space="preserve"> un par tās pienākumu maksāt iedzīvotāju ienākum</w:t>
            </w:r>
            <w:r w:rsidR="00A75DCE">
              <w:rPr>
                <w:rFonts w:ascii="Times New Roman" w:hAnsi="Times New Roman" w:cs="Times New Roman"/>
                <w:sz w:val="24"/>
                <w:szCs w:val="24"/>
              </w:rPr>
              <w:t>a nodokli</w:t>
            </w:r>
            <w:r w:rsidR="00F80234">
              <w:rPr>
                <w:rFonts w:ascii="Times New Roman" w:hAnsi="Times New Roman" w:cs="Times New Roman"/>
                <w:sz w:val="24"/>
                <w:szCs w:val="24"/>
              </w:rPr>
              <w:t xml:space="preserve"> par gūtajiem ienākumiem</w:t>
            </w:r>
            <w:r w:rsidR="00983588" w:rsidRPr="00262269">
              <w:rPr>
                <w:rFonts w:ascii="Times New Roman" w:hAnsi="Times New Roman" w:cs="Times New Roman"/>
                <w:sz w:val="24"/>
                <w:szCs w:val="24"/>
              </w:rPr>
              <w:t>, t</w:t>
            </w:r>
            <w:r w:rsidR="00E90B52">
              <w:rPr>
                <w:rFonts w:ascii="Times New Roman" w:hAnsi="Times New Roman" w:cs="Times New Roman"/>
                <w:sz w:val="24"/>
                <w:szCs w:val="24"/>
              </w:rPr>
              <w:t>.sk. laimestiem, ja to nosaka normatīvie akti</w:t>
            </w:r>
            <w:r w:rsidRPr="00262269">
              <w:rPr>
                <w:rFonts w:ascii="Times New Roman" w:hAnsi="Times New Roman" w:cs="Times New Roman"/>
                <w:sz w:val="24"/>
                <w:szCs w:val="24"/>
              </w:rPr>
              <w:t xml:space="preserve">. </w:t>
            </w:r>
          </w:p>
        </w:tc>
      </w:tr>
      <w:tr w:rsidR="00E56B8D" w:rsidRPr="00BF1D45" w14:paraId="1E1A224C" w14:textId="77777777" w:rsidTr="00AE62BB">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1632904E"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2CD6AF3E"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7E910FDA" w14:textId="213CA93A" w:rsidR="00E56B8D" w:rsidRPr="00BF1D45" w:rsidRDefault="00E56B8D" w:rsidP="0007779B">
            <w:pPr>
              <w:spacing w:after="0" w:line="240" w:lineRule="auto"/>
              <w:jc w:val="both"/>
              <w:rPr>
                <w:rFonts w:ascii="Times New Roman" w:hAnsi="Times New Roman" w:cs="Times New Roman"/>
                <w:sz w:val="24"/>
                <w:szCs w:val="24"/>
              </w:rPr>
            </w:pPr>
            <w:r w:rsidRPr="00312A0F">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IAUI</w:t>
            </w:r>
          </w:p>
        </w:tc>
      </w:tr>
      <w:tr w:rsidR="00E56B8D" w:rsidRPr="00BF1D45" w14:paraId="219FF91B" w14:textId="77777777" w:rsidTr="00AE62BB">
        <w:tc>
          <w:tcPr>
            <w:tcW w:w="299" w:type="pct"/>
            <w:tcBorders>
              <w:top w:val="outset" w:sz="6" w:space="0" w:color="414142"/>
              <w:left w:val="outset" w:sz="6" w:space="0" w:color="414142"/>
              <w:bottom w:val="outset" w:sz="6" w:space="0" w:color="414142"/>
              <w:right w:val="outset" w:sz="6" w:space="0" w:color="414142"/>
            </w:tcBorders>
            <w:hideMark/>
          </w:tcPr>
          <w:p w14:paraId="6BA27A13"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53321B25"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EB0000905F8341FAA7FD6A23559617E8"/>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4448382D"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Nav</w:t>
                </w:r>
              </w:p>
            </w:tc>
          </w:sdtContent>
        </w:sdt>
      </w:tr>
    </w:tbl>
    <w:p w14:paraId="112443B9" w14:textId="77777777" w:rsidR="00E56B8D" w:rsidRPr="00BF1D45" w:rsidRDefault="00E56B8D" w:rsidP="00E56B8D">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56B8D" w:rsidRPr="00BF1D45" w14:paraId="31FBB4AB" w14:textId="77777777" w:rsidTr="00AE62B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46CB8D"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6B8D" w:rsidRPr="00BF1D45" w14:paraId="23771332" w14:textId="77777777" w:rsidTr="00AE62B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4ED2CC"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F9AB50"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Sabiedrības </w:t>
            </w:r>
            <w:proofErr w:type="spellStart"/>
            <w:r w:rsidRPr="00BF1D45">
              <w:rPr>
                <w:rFonts w:ascii="Times New Roman" w:eastAsia="Times New Roman" w:hAnsi="Times New Roman" w:cs="Times New Roman"/>
                <w:sz w:val="24"/>
                <w:szCs w:val="24"/>
                <w:lang w:eastAsia="lv-LV"/>
              </w:rPr>
              <w:t>mērķgrupas</w:t>
            </w:r>
            <w:proofErr w:type="spellEnd"/>
            <w:r w:rsidRPr="00BF1D45">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72DCF51" w14:textId="159E342B" w:rsidR="00E56B8D" w:rsidRPr="00BF1D45" w:rsidRDefault="00E56B8D" w:rsidP="00ED0888">
            <w:pPr>
              <w:spacing w:after="0" w:line="240" w:lineRule="auto"/>
              <w:jc w:val="both"/>
              <w:rPr>
                <w:rFonts w:ascii="Times New Roman" w:hAnsi="Times New Roman" w:cs="Times New Roman"/>
                <w:sz w:val="24"/>
                <w:szCs w:val="24"/>
              </w:rPr>
            </w:pPr>
            <w:r w:rsidRPr="00BF1D45">
              <w:rPr>
                <w:rFonts w:ascii="Times New Roman" w:hAnsi="Times New Roman" w:cs="Times New Roman"/>
                <w:sz w:val="24"/>
                <w:szCs w:val="24"/>
              </w:rPr>
              <w:t>Mērķa grupa ir fiziskās personas, k</w:t>
            </w:r>
            <w:r w:rsidR="006B251D">
              <w:rPr>
                <w:rFonts w:ascii="Times New Roman" w:hAnsi="Times New Roman" w:cs="Times New Roman"/>
                <w:sz w:val="24"/>
                <w:szCs w:val="24"/>
              </w:rPr>
              <w:t>ura</w:t>
            </w:r>
            <w:r w:rsidR="00E90B52">
              <w:rPr>
                <w:rFonts w:ascii="Times New Roman" w:hAnsi="Times New Roman" w:cs="Times New Roman"/>
                <w:sz w:val="24"/>
                <w:szCs w:val="24"/>
              </w:rPr>
              <w:t xml:space="preserve"> piedalās </w:t>
            </w:r>
            <w:r w:rsidR="001F2547">
              <w:rPr>
                <w:rFonts w:ascii="Times New Roman" w:hAnsi="Times New Roman" w:cs="Times New Roman"/>
                <w:sz w:val="24"/>
                <w:szCs w:val="24"/>
              </w:rPr>
              <w:t xml:space="preserve">Latvijas Republikā </w:t>
            </w:r>
            <w:r w:rsidR="00E90B52">
              <w:rPr>
                <w:rFonts w:ascii="Times New Roman" w:hAnsi="Times New Roman" w:cs="Times New Roman"/>
                <w:sz w:val="24"/>
                <w:szCs w:val="24"/>
              </w:rPr>
              <w:t>nelicencēt</w:t>
            </w:r>
            <w:r w:rsidR="00ED0888">
              <w:rPr>
                <w:rFonts w:ascii="Times New Roman" w:hAnsi="Times New Roman" w:cs="Times New Roman"/>
                <w:sz w:val="24"/>
                <w:szCs w:val="24"/>
              </w:rPr>
              <w:t>ās azartspēlēs un izlozēs</w:t>
            </w:r>
            <w:r w:rsidRPr="00BF1D45">
              <w:rPr>
                <w:rFonts w:ascii="Times New Roman" w:hAnsi="Times New Roman" w:cs="Times New Roman"/>
                <w:sz w:val="24"/>
                <w:szCs w:val="24"/>
              </w:rPr>
              <w:t xml:space="preserve">. Tā kā tiks veicināta godīga konkurence starp interaktīvo azartspēļu un </w:t>
            </w:r>
            <w:r w:rsidRPr="00BF1D45">
              <w:rPr>
                <w:rFonts w:ascii="Times New Roman" w:hAnsi="Times New Roman" w:cs="Times New Roman"/>
                <w:sz w:val="24"/>
                <w:szCs w:val="24"/>
              </w:rPr>
              <w:lastRenderedPageBreak/>
              <w:t xml:space="preserve">interaktīvo izložu organizētājiem </w:t>
            </w:r>
            <w:r w:rsidR="001F2547" w:rsidRPr="00BF1D45">
              <w:rPr>
                <w:rFonts w:ascii="Times New Roman" w:hAnsi="Times New Roman" w:cs="Times New Roman"/>
                <w:sz w:val="24"/>
                <w:szCs w:val="24"/>
              </w:rPr>
              <w:t>Latvij</w:t>
            </w:r>
            <w:r w:rsidR="001F2547">
              <w:rPr>
                <w:rFonts w:ascii="Times New Roman" w:hAnsi="Times New Roman" w:cs="Times New Roman"/>
                <w:sz w:val="24"/>
                <w:szCs w:val="24"/>
              </w:rPr>
              <w:t>as Republikā</w:t>
            </w:r>
            <w:r w:rsidRPr="00BF1D45">
              <w:rPr>
                <w:rFonts w:ascii="Times New Roman" w:hAnsi="Times New Roman" w:cs="Times New Roman"/>
                <w:sz w:val="24"/>
                <w:szCs w:val="24"/>
              </w:rPr>
              <w:t xml:space="preserve">, mazinot nozares </w:t>
            </w:r>
            <w:r w:rsidR="00A75DCE" w:rsidRPr="00BF1D45">
              <w:rPr>
                <w:rFonts w:ascii="Times New Roman" w:hAnsi="Times New Roman" w:cs="Times New Roman"/>
                <w:sz w:val="24"/>
                <w:szCs w:val="24"/>
              </w:rPr>
              <w:t xml:space="preserve">nelegālo </w:t>
            </w:r>
            <w:r w:rsidRPr="00BF1D45">
              <w:rPr>
                <w:rFonts w:ascii="Times New Roman" w:hAnsi="Times New Roman" w:cs="Times New Roman"/>
                <w:sz w:val="24"/>
                <w:szCs w:val="24"/>
              </w:rPr>
              <w:t xml:space="preserve">tirgu, netiešā veidā tiesiskais regulējums ietekmēs </w:t>
            </w:r>
            <w:r w:rsidR="00E90B52">
              <w:rPr>
                <w:rFonts w:ascii="Times New Roman" w:hAnsi="Times New Roman" w:cs="Times New Roman"/>
                <w:sz w:val="24"/>
                <w:szCs w:val="24"/>
              </w:rPr>
              <w:t>deviņas</w:t>
            </w:r>
            <w:r w:rsidRPr="00BF1D45">
              <w:rPr>
                <w:rFonts w:ascii="Times New Roman" w:hAnsi="Times New Roman" w:cs="Times New Roman"/>
                <w:sz w:val="24"/>
                <w:szCs w:val="24"/>
              </w:rPr>
              <w:t xml:space="preserve"> kapitālsabiedrības, kas organizē </w:t>
            </w:r>
            <w:r>
              <w:rPr>
                <w:rFonts w:ascii="Times New Roman" w:hAnsi="Times New Roman" w:cs="Times New Roman"/>
                <w:sz w:val="24"/>
                <w:szCs w:val="24"/>
              </w:rPr>
              <w:t>interaktīvās</w:t>
            </w:r>
            <w:r w:rsidRPr="00BF1D45">
              <w:rPr>
                <w:rFonts w:ascii="Times New Roman" w:hAnsi="Times New Roman" w:cs="Times New Roman"/>
                <w:sz w:val="24"/>
                <w:szCs w:val="24"/>
              </w:rPr>
              <w:t xml:space="preserve"> azartspēles</w:t>
            </w:r>
            <w:r w:rsidR="006B251D">
              <w:rPr>
                <w:rFonts w:ascii="Times New Roman" w:hAnsi="Times New Roman" w:cs="Times New Roman"/>
                <w:sz w:val="24"/>
                <w:szCs w:val="24"/>
              </w:rPr>
              <w:t>,</w:t>
            </w:r>
            <w:r w:rsidRPr="00BF1D45">
              <w:rPr>
                <w:rFonts w:ascii="Times New Roman" w:hAnsi="Times New Roman" w:cs="Times New Roman"/>
                <w:sz w:val="24"/>
                <w:szCs w:val="24"/>
              </w:rPr>
              <w:t xml:space="preserve"> un VAS “Latvijas L</w:t>
            </w:r>
            <w:r w:rsidR="00ED0888">
              <w:rPr>
                <w:rFonts w:ascii="Times New Roman" w:hAnsi="Times New Roman" w:cs="Times New Roman"/>
                <w:sz w:val="24"/>
                <w:szCs w:val="24"/>
              </w:rPr>
              <w:t>oto”, kas organizē gan izlozes</w:t>
            </w:r>
            <w:r>
              <w:rPr>
                <w:rFonts w:ascii="Times New Roman" w:hAnsi="Times New Roman" w:cs="Times New Roman"/>
                <w:sz w:val="24"/>
                <w:szCs w:val="24"/>
              </w:rPr>
              <w:t>, novirzot spēlētāju uz</w:t>
            </w:r>
            <w:r w:rsidR="00C01415">
              <w:rPr>
                <w:rFonts w:ascii="Times New Roman" w:hAnsi="Times New Roman" w:cs="Times New Roman"/>
                <w:sz w:val="24"/>
                <w:szCs w:val="24"/>
              </w:rPr>
              <w:t xml:space="preserve"> Latvijā licencētām interaktīvām azartspēlēm un interaktīv</w:t>
            </w:r>
            <w:r>
              <w:rPr>
                <w:rFonts w:ascii="Times New Roman" w:hAnsi="Times New Roman" w:cs="Times New Roman"/>
                <w:sz w:val="24"/>
                <w:szCs w:val="24"/>
              </w:rPr>
              <w:t>ām izlozēm</w:t>
            </w:r>
            <w:r w:rsidR="00DD17C9">
              <w:rPr>
                <w:rFonts w:ascii="Times New Roman" w:hAnsi="Times New Roman" w:cs="Times New Roman"/>
                <w:sz w:val="24"/>
                <w:szCs w:val="24"/>
              </w:rPr>
              <w:t>.</w:t>
            </w:r>
          </w:p>
        </w:tc>
      </w:tr>
      <w:tr w:rsidR="00E56B8D" w:rsidRPr="00BF1D45" w14:paraId="4CDA08D2" w14:textId="77777777" w:rsidTr="00AE62B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A28248E"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610F28AF"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D98BE42" w14:textId="1A2E1A52"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Tiesiskais regulējums aizsargās personu tiesības, jo dalība </w:t>
            </w:r>
            <w:r w:rsidR="001F2547">
              <w:rPr>
                <w:rFonts w:ascii="Times New Roman" w:eastAsia="Times New Roman" w:hAnsi="Times New Roman" w:cs="Times New Roman"/>
                <w:sz w:val="24"/>
                <w:szCs w:val="24"/>
                <w:lang w:eastAsia="lv-LV"/>
              </w:rPr>
              <w:t xml:space="preserve">Latvijas </w:t>
            </w:r>
            <w:r w:rsidR="001F2547">
              <w:rPr>
                <w:rFonts w:ascii="Times New Roman" w:hAnsi="Times New Roman" w:cs="Times New Roman"/>
                <w:sz w:val="24"/>
                <w:szCs w:val="24"/>
              </w:rPr>
              <w:t>Republikā</w:t>
            </w:r>
            <w:r w:rsidR="001F2547">
              <w:rPr>
                <w:rFonts w:ascii="Times New Roman" w:eastAsia="Times New Roman" w:hAnsi="Times New Roman" w:cs="Times New Roman"/>
                <w:sz w:val="24"/>
                <w:szCs w:val="24"/>
                <w:lang w:eastAsia="lv-LV"/>
              </w:rPr>
              <w:t xml:space="preserve"> </w:t>
            </w:r>
            <w:r w:rsidR="00AC18EE">
              <w:rPr>
                <w:rFonts w:ascii="Times New Roman" w:eastAsia="Times New Roman" w:hAnsi="Times New Roman" w:cs="Times New Roman"/>
                <w:sz w:val="24"/>
                <w:szCs w:val="24"/>
                <w:lang w:eastAsia="lv-LV"/>
              </w:rPr>
              <w:t>nelicencēt</w:t>
            </w:r>
            <w:r w:rsidRPr="00BF1D45">
              <w:rPr>
                <w:rFonts w:ascii="Times New Roman" w:eastAsia="Times New Roman" w:hAnsi="Times New Roman" w:cs="Times New Roman"/>
                <w:sz w:val="24"/>
                <w:szCs w:val="24"/>
                <w:lang w:eastAsia="lv-LV"/>
              </w:rPr>
              <w:t>ās azartspēlēs un izlozēs nekontrolētajā vidē ne tikai kaitē pašam indivīdam, bet arī līdzcilvēkiem.</w:t>
            </w:r>
          </w:p>
          <w:p w14:paraId="07C7A70C" w14:textId="77777777" w:rsidR="00E56B8D" w:rsidRPr="00BF1D45" w:rsidRDefault="00E56B8D" w:rsidP="00AE62BB">
            <w:pPr>
              <w:spacing w:after="0" w:line="240" w:lineRule="auto"/>
              <w:jc w:val="both"/>
              <w:rPr>
                <w:rFonts w:ascii="Times New Roman" w:hAnsi="Times New Roman" w:cs="Times New Roman"/>
                <w:sz w:val="24"/>
                <w:szCs w:val="24"/>
              </w:rPr>
            </w:pPr>
            <w:r w:rsidRPr="00BF1D45">
              <w:rPr>
                <w:rFonts w:ascii="Times New Roman" w:hAnsi="Times New Roman" w:cs="Times New Roman"/>
                <w:sz w:val="24"/>
                <w:szCs w:val="24"/>
              </w:rPr>
              <w:t>Vienlaicīgi likumprojekta normas uzlabos personu, kurām ir pārmērīga tieksme uz azartspēlēm un izlozēm, aizsardzību, jo personas, kuras izmanto licencētu interaktīvo azartspēļu vai interaktīvo izložu organizētāju tīmekļa vietnes, atbilstoši jau spēkā esošajiem normatīvajiem aktiem var noteikt sev liegumus, lai ierobežot</w:t>
            </w:r>
            <w:r w:rsidR="00AC18EE">
              <w:rPr>
                <w:rFonts w:ascii="Times New Roman" w:hAnsi="Times New Roman" w:cs="Times New Roman"/>
                <w:sz w:val="24"/>
                <w:szCs w:val="24"/>
              </w:rPr>
              <w:t>u savu piedalīšanos interaktīvās azartspēlēs vai interaktīv</w:t>
            </w:r>
            <w:r w:rsidRPr="00BF1D45">
              <w:rPr>
                <w:rFonts w:ascii="Times New Roman" w:hAnsi="Times New Roman" w:cs="Times New Roman"/>
                <w:sz w:val="24"/>
                <w:szCs w:val="24"/>
              </w:rPr>
              <w:t>ās izlozēs.</w:t>
            </w:r>
          </w:p>
          <w:p w14:paraId="11602C43" w14:textId="2A4AA544" w:rsidR="00E56B8D" w:rsidRPr="00BF1D45" w:rsidRDefault="00E56B8D" w:rsidP="00AE62BB">
            <w:pPr>
              <w:spacing w:after="0" w:line="240" w:lineRule="auto"/>
              <w:jc w:val="both"/>
              <w:rPr>
                <w:rFonts w:ascii="Times New Roman" w:hAnsi="Times New Roman" w:cs="Times New Roman"/>
                <w:sz w:val="24"/>
                <w:szCs w:val="24"/>
              </w:rPr>
            </w:pPr>
            <w:r w:rsidRPr="00BF1D45">
              <w:rPr>
                <w:rFonts w:ascii="Times New Roman" w:eastAsia="Times New Roman" w:hAnsi="Times New Roman" w:cs="Times New Roman"/>
                <w:sz w:val="24"/>
                <w:szCs w:val="24"/>
                <w:lang w:eastAsia="lv-LV"/>
              </w:rPr>
              <w:t xml:space="preserve">Likumprojekts uzlabos uzņēmējdarbības vidi, jo </w:t>
            </w:r>
            <w:r w:rsidRPr="00BF1D45">
              <w:rPr>
                <w:rFonts w:ascii="Times New Roman" w:hAnsi="Times New Roman" w:cs="Times New Roman"/>
                <w:sz w:val="24"/>
                <w:szCs w:val="24"/>
              </w:rPr>
              <w:t xml:space="preserve">tiks veicināta godīga konkurence starp interaktīvo azartspēļu un interaktīvo izložu organizētājiem </w:t>
            </w:r>
            <w:r w:rsidR="001F2547" w:rsidRPr="00BF1D45">
              <w:rPr>
                <w:rFonts w:ascii="Times New Roman" w:hAnsi="Times New Roman" w:cs="Times New Roman"/>
                <w:sz w:val="24"/>
                <w:szCs w:val="24"/>
              </w:rPr>
              <w:t>Latvij</w:t>
            </w:r>
            <w:r w:rsidR="001F2547">
              <w:rPr>
                <w:rFonts w:ascii="Times New Roman" w:hAnsi="Times New Roman" w:cs="Times New Roman"/>
                <w:sz w:val="24"/>
                <w:szCs w:val="24"/>
              </w:rPr>
              <w:t>as Republikā</w:t>
            </w:r>
            <w:r w:rsidRPr="00BF1D45">
              <w:rPr>
                <w:rFonts w:ascii="Times New Roman" w:hAnsi="Times New Roman" w:cs="Times New Roman"/>
                <w:sz w:val="24"/>
                <w:szCs w:val="24"/>
              </w:rPr>
              <w:t xml:space="preserve">, kā arī palielināsies nodokļu ieņēmumi valsts budžetā, jo tiks mazināts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nelicencētais</w:t>
            </w:r>
            <w:r w:rsidRPr="00BF1D45">
              <w:rPr>
                <w:rFonts w:ascii="Times New Roman" w:hAnsi="Times New Roman" w:cs="Times New Roman"/>
                <w:sz w:val="24"/>
                <w:szCs w:val="24"/>
              </w:rPr>
              <w:t xml:space="preserve"> interaktīvo azartspēļu un interaktīvo izložu tirgus.</w:t>
            </w:r>
          </w:p>
          <w:p w14:paraId="318EC2F5" w14:textId="0CB2FCBF" w:rsidR="00E56B8D" w:rsidRPr="009F1129" w:rsidRDefault="00E56B8D" w:rsidP="001F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IAUI būs nepieciešams </w:t>
            </w:r>
            <w:r w:rsidR="009C78C8">
              <w:rPr>
                <w:rFonts w:ascii="Times New Roman" w:hAnsi="Times New Roman" w:cs="Times New Roman"/>
                <w:sz w:val="24"/>
                <w:szCs w:val="24"/>
              </w:rPr>
              <w:t>organizēt informatīvo kampaņu</w:t>
            </w:r>
            <w:r w:rsidR="00AC18EE">
              <w:rPr>
                <w:rFonts w:ascii="Times New Roman" w:hAnsi="Times New Roman" w:cs="Times New Roman"/>
                <w:sz w:val="24"/>
                <w:szCs w:val="24"/>
              </w:rPr>
              <w:t xml:space="preserve"> </w:t>
            </w:r>
            <w:r w:rsidR="009C78C8" w:rsidRPr="00BF1D45">
              <w:rPr>
                <w:rFonts w:ascii="Times New Roman" w:hAnsi="Times New Roman" w:cs="Times New Roman"/>
                <w:sz w:val="24"/>
                <w:szCs w:val="24"/>
              </w:rPr>
              <w:t xml:space="preserve">par </w:t>
            </w:r>
            <w:r w:rsidR="009C78C8">
              <w:rPr>
                <w:rFonts w:ascii="Times New Roman" w:hAnsi="Times New Roman" w:cs="Times New Roman"/>
                <w:sz w:val="24"/>
                <w:szCs w:val="24"/>
              </w:rPr>
              <w:t>liegumu personai piedalīties</w:t>
            </w:r>
            <w:r w:rsidR="009C78C8" w:rsidRPr="00BF1D45">
              <w:rPr>
                <w:rFonts w:ascii="Times New Roman" w:hAnsi="Times New Roman" w:cs="Times New Roman"/>
                <w:sz w:val="24"/>
                <w:szCs w:val="24"/>
              </w:rPr>
              <w:t xml:space="preserve"> </w:t>
            </w:r>
            <w:r w:rsidR="001F2547">
              <w:rPr>
                <w:rFonts w:ascii="Times New Roman" w:hAnsi="Times New Roman" w:cs="Times New Roman"/>
                <w:sz w:val="24"/>
                <w:szCs w:val="24"/>
              </w:rPr>
              <w:t xml:space="preserve">Latvijas Republikā </w:t>
            </w:r>
            <w:r w:rsidR="0061730A">
              <w:rPr>
                <w:rFonts w:ascii="Times New Roman" w:hAnsi="Times New Roman" w:cs="Times New Roman"/>
                <w:sz w:val="24"/>
                <w:szCs w:val="24"/>
              </w:rPr>
              <w:t>nelicencētās</w:t>
            </w:r>
            <w:r w:rsidR="0061730A" w:rsidRPr="00262269">
              <w:rPr>
                <w:rFonts w:ascii="Times New Roman" w:hAnsi="Times New Roman" w:cs="Times New Roman"/>
                <w:sz w:val="24"/>
                <w:szCs w:val="24"/>
              </w:rPr>
              <w:t xml:space="preserve"> </w:t>
            </w:r>
            <w:r w:rsidR="00AC18EE">
              <w:rPr>
                <w:rFonts w:ascii="Times New Roman" w:hAnsi="Times New Roman" w:cs="Times New Roman"/>
                <w:sz w:val="24"/>
                <w:szCs w:val="24"/>
              </w:rPr>
              <w:t>interaktīvās azartspēles vai interaktīv</w:t>
            </w:r>
            <w:r w:rsidR="009C78C8" w:rsidRPr="00BF1D45">
              <w:rPr>
                <w:rFonts w:ascii="Times New Roman" w:hAnsi="Times New Roman" w:cs="Times New Roman"/>
                <w:sz w:val="24"/>
                <w:szCs w:val="24"/>
              </w:rPr>
              <w:t>ās izlozēs</w:t>
            </w:r>
            <w:r w:rsidR="00AC18EE">
              <w:rPr>
                <w:rFonts w:ascii="Times New Roman" w:hAnsi="Times New Roman" w:cs="Times New Roman"/>
                <w:sz w:val="24"/>
                <w:szCs w:val="24"/>
              </w:rPr>
              <w:t>, kā arī</w:t>
            </w:r>
            <w:r w:rsidR="009C78C8">
              <w:rPr>
                <w:rFonts w:ascii="Times New Roman" w:hAnsi="Times New Roman" w:cs="Times New Roman"/>
                <w:sz w:val="24"/>
                <w:szCs w:val="24"/>
              </w:rPr>
              <w:t xml:space="preserve"> par tās pienākumu maks</w:t>
            </w:r>
            <w:r w:rsidR="000E1BB1">
              <w:rPr>
                <w:rFonts w:ascii="Times New Roman" w:hAnsi="Times New Roman" w:cs="Times New Roman"/>
                <w:sz w:val="24"/>
                <w:szCs w:val="24"/>
              </w:rPr>
              <w:t>āt iedzīvotāju ienākuma nodokli</w:t>
            </w:r>
            <w:r w:rsidR="009C78C8">
              <w:rPr>
                <w:rFonts w:ascii="Times New Roman" w:hAnsi="Times New Roman" w:cs="Times New Roman"/>
                <w:sz w:val="24"/>
                <w:szCs w:val="24"/>
              </w:rPr>
              <w:t xml:space="preserve"> par gūtajiem ie</w:t>
            </w:r>
            <w:r w:rsidR="000E1BB1">
              <w:rPr>
                <w:rFonts w:ascii="Times New Roman" w:hAnsi="Times New Roman" w:cs="Times New Roman"/>
                <w:sz w:val="24"/>
                <w:szCs w:val="24"/>
              </w:rPr>
              <w:t>nākumiem, t.sk. laimestiem</w:t>
            </w:r>
            <w:r w:rsidR="00AC18EE">
              <w:rPr>
                <w:rFonts w:ascii="Times New Roman" w:hAnsi="Times New Roman" w:cs="Times New Roman"/>
                <w:sz w:val="24"/>
                <w:szCs w:val="24"/>
              </w:rPr>
              <w:t>, ja to nosaka normatīvie akti</w:t>
            </w:r>
            <w:r w:rsidR="009C78C8" w:rsidRPr="00983588">
              <w:rPr>
                <w:rFonts w:ascii="Times New Roman" w:hAnsi="Times New Roman" w:cs="Times New Roman"/>
                <w:sz w:val="24"/>
                <w:szCs w:val="24"/>
              </w:rPr>
              <w:t>.</w:t>
            </w:r>
          </w:p>
        </w:tc>
      </w:tr>
      <w:tr w:rsidR="00E56B8D" w:rsidRPr="00BF1D45" w14:paraId="6CBD5A14" w14:textId="77777777" w:rsidTr="00AE62B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39135A1"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4C35D6B"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5E3BC58"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iCs/>
                <w:sz w:val="24"/>
                <w:szCs w:val="24"/>
              </w:rPr>
              <w:t>T</w:t>
            </w:r>
            <w:r w:rsidRPr="00BF1D45">
              <w:rPr>
                <w:rFonts w:ascii="Times New Roman" w:hAnsi="Times New Roman" w:cs="Times New Roman"/>
                <w:iCs/>
                <w:sz w:val="24"/>
                <w:szCs w:val="24"/>
              </w:rPr>
              <w:t>iesību akts neradīs būtisku administratīvo slogu</w:t>
            </w:r>
          </w:p>
        </w:tc>
      </w:tr>
      <w:tr w:rsidR="00E56B8D" w:rsidRPr="00BF1D45" w14:paraId="05E4039F" w14:textId="77777777" w:rsidTr="00AE62BB">
        <w:trPr>
          <w:trHeight w:val="408"/>
        </w:trPr>
        <w:tc>
          <w:tcPr>
            <w:tcW w:w="250" w:type="pct"/>
            <w:tcBorders>
              <w:top w:val="outset" w:sz="6" w:space="0" w:color="414142"/>
              <w:left w:val="outset" w:sz="6" w:space="0" w:color="414142"/>
              <w:bottom w:val="outset" w:sz="6" w:space="0" w:color="414142"/>
              <w:right w:val="outset" w:sz="6" w:space="0" w:color="414142"/>
            </w:tcBorders>
          </w:tcPr>
          <w:p w14:paraId="37359080"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CF5533F"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0A875C13" w14:textId="77777777" w:rsidR="00E56B8D" w:rsidRPr="00BF1D45" w:rsidRDefault="00E56B8D" w:rsidP="00AE62BB">
            <w:pPr>
              <w:spacing w:after="0" w:line="240" w:lineRule="auto"/>
              <w:rPr>
                <w:rFonts w:ascii="Times New Roman" w:hAnsi="Times New Roman" w:cs="Times New Roman"/>
                <w:iCs/>
                <w:sz w:val="24"/>
                <w:szCs w:val="24"/>
              </w:rPr>
            </w:pPr>
            <w:r w:rsidRPr="00BF1D45">
              <w:rPr>
                <w:rFonts w:ascii="Times New Roman" w:hAnsi="Times New Roman" w:cs="Times New Roman"/>
                <w:iCs/>
                <w:sz w:val="24"/>
                <w:szCs w:val="24"/>
              </w:rPr>
              <w:t>Nav</w:t>
            </w:r>
          </w:p>
        </w:tc>
      </w:tr>
      <w:tr w:rsidR="00E56B8D" w:rsidRPr="00BF1D45" w14:paraId="5F3F4E3D" w14:textId="77777777" w:rsidTr="00AE62B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76B9F84"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6D339A3"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FCD9A8B0C20549C3AE67BAD7E6BB547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056DBE9"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Nav</w:t>
                </w:r>
              </w:p>
            </w:tc>
          </w:sdtContent>
        </w:sdt>
      </w:tr>
    </w:tbl>
    <w:p w14:paraId="1AA956C6" w14:textId="77777777" w:rsidR="00E56B8D" w:rsidRPr="00BF1D45" w:rsidRDefault="00E56B8D" w:rsidP="00E56B8D">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6" w:type="pct"/>
        <w:tblCellSpacing w:w="15" w:type="dxa"/>
        <w:tblInd w:w="-5" w:type="dxa"/>
        <w:tblLayout w:type="fixed"/>
        <w:tblCellMar>
          <w:top w:w="30" w:type="dxa"/>
          <w:left w:w="30" w:type="dxa"/>
          <w:bottom w:w="30" w:type="dxa"/>
          <w:right w:w="30" w:type="dxa"/>
        </w:tblCellMar>
        <w:tblLook w:val="04A0" w:firstRow="1" w:lastRow="0" w:firstColumn="1" w:lastColumn="0" w:noHBand="0" w:noVBand="1"/>
      </w:tblPr>
      <w:tblGrid>
        <w:gridCol w:w="9072"/>
      </w:tblGrid>
      <w:tr w:rsidR="00E56B8D" w:rsidRPr="00BF1D45" w14:paraId="63F8CED4" w14:textId="77777777" w:rsidTr="00AE62BB">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6D72B0E2" w14:textId="77777777" w:rsidR="00E56B8D" w:rsidRPr="00BF1D45" w:rsidRDefault="00E56B8D" w:rsidP="004115BC">
            <w:pPr>
              <w:spacing w:after="0" w:line="240" w:lineRule="auto"/>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III. Tiesību akta projekta ietekme uz valsts budžetu un pašvaldību budžetiem</w:t>
            </w:r>
          </w:p>
        </w:tc>
      </w:tr>
    </w:tbl>
    <w:tbl>
      <w:tblPr>
        <w:tblStyle w:val="TableGrid"/>
        <w:tblW w:w="5000" w:type="pct"/>
        <w:tblLayout w:type="fixed"/>
        <w:tblLook w:val="04A0" w:firstRow="1" w:lastRow="0" w:firstColumn="1" w:lastColumn="0" w:noHBand="0" w:noVBand="1"/>
      </w:tblPr>
      <w:tblGrid>
        <w:gridCol w:w="1235"/>
        <w:gridCol w:w="886"/>
        <w:gridCol w:w="850"/>
        <w:gridCol w:w="1133"/>
        <w:gridCol w:w="1276"/>
        <w:gridCol w:w="1133"/>
        <w:gridCol w:w="1133"/>
        <w:gridCol w:w="1415"/>
      </w:tblGrid>
      <w:tr w:rsidR="000D690D" w:rsidRPr="00BF1D45" w14:paraId="4F34A271" w14:textId="77777777" w:rsidTr="000D690D">
        <w:tc>
          <w:tcPr>
            <w:tcW w:w="682" w:type="pct"/>
          </w:tcPr>
          <w:p w14:paraId="5B237740" w14:textId="77777777" w:rsidR="000D690D" w:rsidRPr="00BF1D45" w:rsidRDefault="000D690D" w:rsidP="000D690D">
            <w:pPr>
              <w:spacing w:before="100" w:beforeAutospacing="1" w:after="100" w:afterAutospacing="1" w:line="360" w:lineRule="auto"/>
              <w:ind w:firstLine="22"/>
              <w:jc w:val="center"/>
              <w:rPr>
                <w:rFonts w:ascii="Times New Roman" w:eastAsia="Times New Roman" w:hAnsi="Times New Roman" w:cs="Times New Roman"/>
                <w:sz w:val="24"/>
                <w:szCs w:val="24"/>
                <w:lang w:eastAsia="lv-LV"/>
              </w:rPr>
            </w:pPr>
          </w:p>
        </w:tc>
        <w:tc>
          <w:tcPr>
            <w:tcW w:w="957" w:type="pct"/>
            <w:gridSpan w:val="2"/>
          </w:tcPr>
          <w:p w14:paraId="7AA2C317" w14:textId="77777777" w:rsidR="000D690D" w:rsidRPr="00BF1D45" w:rsidRDefault="000D690D" w:rsidP="000D690D">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p>
        </w:tc>
        <w:tc>
          <w:tcPr>
            <w:tcW w:w="3361" w:type="pct"/>
            <w:gridSpan w:val="5"/>
          </w:tcPr>
          <w:p w14:paraId="51233853" w14:textId="77777777" w:rsidR="000D690D" w:rsidRPr="00BF1D45" w:rsidRDefault="000D690D" w:rsidP="000D690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R="009C78C8" w:rsidRPr="00BF1D45" w14:paraId="2DFECD48" w14:textId="77777777" w:rsidTr="000D690D">
        <w:tc>
          <w:tcPr>
            <w:tcW w:w="682" w:type="pct"/>
            <w:vMerge w:val="restart"/>
            <w:hideMark/>
          </w:tcPr>
          <w:p w14:paraId="31489E2C" w14:textId="77777777" w:rsidR="00E56B8D" w:rsidRPr="00BF1D45" w:rsidRDefault="00E56B8D" w:rsidP="00AE62BB">
            <w:pPr>
              <w:spacing w:before="100" w:beforeAutospacing="1" w:after="100" w:afterAutospacing="1" w:line="360" w:lineRule="auto"/>
              <w:ind w:firstLine="22"/>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Rādītāji</w:t>
            </w:r>
          </w:p>
        </w:tc>
        <w:tc>
          <w:tcPr>
            <w:tcW w:w="957" w:type="pct"/>
            <w:gridSpan w:val="2"/>
            <w:vMerge w:val="restart"/>
            <w:hideMark/>
          </w:tcPr>
          <w:p w14:paraId="49E8BEA6" w14:textId="77777777" w:rsidR="00E56B8D" w:rsidRPr="00BF1D45" w:rsidRDefault="00E56B8D" w:rsidP="00AE62BB">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2019</w:t>
            </w:r>
          </w:p>
        </w:tc>
        <w:tc>
          <w:tcPr>
            <w:tcW w:w="3361" w:type="pct"/>
            <w:gridSpan w:val="5"/>
            <w:hideMark/>
          </w:tcPr>
          <w:p w14:paraId="00E6B6C8"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Turpmākie trīs gadi (</w:t>
            </w:r>
            <w:r w:rsidRPr="00BF1D45">
              <w:rPr>
                <w:rFonts w:ascii="Times New Roman" w:eastAsia="Times New Roman" w:hAnsi="Times New Roman" w:cs="Times New Roman"/>
                <w:i/>
                <w:iCs/>
                <w:sz w:val="24"/>
                <w:szCs w:val="24"/>
                <w:lang w:eastAsia="lv-LV"/>
              </w:rPr>
              <w:t>euro</w:t>
            </w:r>
            <w:r w:rsidRPr="00BF1D45">
              <w:rPr>
                <w:rFonts w:ascii="Times New Roman" w:eastAsia="Times New Roman" w:hAnsi="Times New Roman" w:cs="Times New Roman"/>
                <w:sz w:val="24"/>
                <w:szCs w:val="24"/>
                <w:lang w:eastAsia="lv-LV"/>
              </w:rPr>
              <w:t>)</w:t>
            </w:r>
          </w:p>
        </w:tc>
      </w:tr>
      <w:tr w:rsidR="009C78C8" w:rsidRPr="00BF1D45" w14:paraId="74730F3A" w14:textId="77777777" w:rsidTr="000D690D">
        <w:tc>
          <w:tcPr>
            <w:tcW w:w="682" w:type="pct"/>
            <w:vMerge/>
            <w:hideMark/>
          </w:tcPr>
          <w:p w14:paraId="23160698"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c>
          <w:tcPr>
            <w:tcW w:w="957" w:type="pct"/>
            <w:gridSpan w:val="2"/>
            <w:vMerge/>
            <w:hideMark/>
          </w:tcPr>
          <w:p w14:paraId="1F07C67B"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c>
          <w:tcPr>
            <w:tcW w:w="1329" w:type="pct"/>
            <w:gridSpan w:val="2"/>
            <w:hideMark/>
          </w:tcPr>
          <w:p w14:paraId="085622EF"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2020</w:t>
            </w:r>
          </w:p>
        </w:tc>
        <w:tc>
          <w:tcPr>
            <w:tcW w:w="1250" w:type="pct"/>
            <w:gridSpan w:val="2"/>
            <w:hideMark/>
          </w:tcPr>
          <w:p w14:paraId="6B86D62B"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2021</w:t>
            </w:r>
          </w:p>
        </w:tc>
        <w:tc>
          <w:tcPr>
            <w:tcW w:w="782" w:type="pct"/>
            <w:hideMark/>
          </w:tcPr>
          <w:p w14:paraId="2ED31FAD"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2022</w:t>
            </w:r>
          </w:p>
        </w:tc>
      </w:tr>
      <w:tr w:rsidR="009C78C8" w:rsidRPr="00BF1D45" w14:paraId="1284BB27" w14:textId="77777777" w:rsidTr="000D690D">
        <w:tc>
          <w:tcPr>
            <w:tcW w:w="682" w:type="pct"/>
            <w:vMerge/>
            <w:hideMark/>
          </w:tcPr>
          <w:p w14:paraId="7D1C2D09"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c>
          <w:tcPr>
            <w:tcW w:w="489" w:type="pct"/>
            <w:hideMark/>
          </w:tcPr>
          <w:p w14:paraId="3CF8B3F9" w14:textId="77777777" w:rsidR="00E56B8D" w:rsidRPr="00BF1D45" w:rsidRDefault="00E56B8D" w:rsidP="00AE62BB">
            <w:pPr>
              <w:spacing w:before="100" w:beforeAutospacing="1" w:after="100" w:afterAutospacing="1" w:line="36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saskaņā ar valsts budžetu kārtēja</w:t>
            </w:r>
            <w:r w:rsidRPr="00BF1D45">
              <w:rPr>
                <w:rFonts w:ascii="Times New Roman" w:eastAsia="Times New Roman" w:hAnsi="Times New Roman" w:cs="Times New Roman"/>
                <w:sz w:val="24"/>
                <w:szCs w:val="24"/>
                <w:lang w:eastAsia="lv-LV"/>
              </w:rPr>
              <w:lastRenderedPageBreak/>
              <w:t>m gadam</w:t>
            </w:r>
          </w:p>
        </w:tc>
        <w:tc>
          <w:tcPr>
            <w:tcW w:w="469" w:type="pct"/>
            <w:hideMark/>
          </w:tcPr>
          <w:p w14:paraId="2C1D1B1E" w14:textId="77777777" w:rsidR="00E56B8D" w:rsidRPr="00BF1D45" w:rsidRDefault="00E56B8D" w:rsidP="00AE62BB">
            <w:pPr>
              <w:spacing w:before="100" w:beforeAutospacing="1" w:after="100" w:afterAutospacing="1" w:line="360" w:lineRule="auto"/>
              <w:ind w:firstLine="28"/>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izmaiņas kārtējā gadā, salīdzi</w:t>
            </w:r>
            <w:r w:rsidRPr="00BF1D45">
              <w:rPr>
                <w:rFonts w:ascii="Times New Roman" w:eastAsia="Times New Roman" w:hAnsi="Times New Roman" w:cs="Times New Roman"/>
                <w:sz w:val="24"/>
                <w:szCs w:val="24"/>
                <w:lang w:eastAsia="lv-LV"/>
              </w:rPr>
              <w:lastRenderedPageBreak/>
              <w:t>not ar valsts budžetu kārtējam gadam</w:t>
            </w:r>
          </w:p>
        </w:tc>
        <w:tc>
          <w:tcPr>
            <w:tcW w:w="625" w:type="pct"/>
            <w:hideMark/>
          </w:tcPr>
          <w:p w14:paraId="73A6288F" w14:textId="77777777" w:rsidR="00E56B8D" w:rsidRPr="00BF1D45" w:rsidRDefault="00E56B8D" w:rsidP="00AE62BB">
            <w:pPr>
              <w:spacing w:before="100" w:beforeAutospacing="1" w:after="100" w:afterAutospacing="1" w:line="360" w:lineRule="auto"/>
              <w:ind w:firstLine="28"/>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saskaņā ar vidēja termiņa budžeta ietvaru</w:t>
            </w:r>
          </w:p>
        </w:tc>
        <w:tc>
          <w:tcPr>
            <w:tcW w:w="704" w:type="pct"/>
            <w:hideMark/>
          </w:tcPr>
          <w:p w14:paraId="486EEDE9" w14:textId="77777777" w:rsidR="00E56B8D" w:rsidRPr="00BF1D45" w:rsidRDefault="00E56B8D" w:rsidP="00AE62BB">
            <w:pPr>
              <w:spacing w:before="100" w:beforeAutospacing="1" w:after="100" w:afterAutospacing="1" w:line="360" w:lineRule="auto"/>
              <w:ind w:firstLine="32"/>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izmaiņas, salīdzinot ar vidēja termiņa budžeta ietvaru </w:t>
            </w:r>
            <w:r w:rsidRPr="00BF1D45">
              <w:rPr>
                <w:rFonts w:ascii="Times New Roman" w:eastAsia="Times New Roman" w:hAnsi="Times New Roman" w:cs="Times New Roman"/>
                <w:sz w:val="24"/>
                <w:szCs w:val="24"/>
                <w:lang w:eastAsia="lv-LV"/>
              </w:rPr>
              <w:lastRenderedPageBreak/>
              <w:t>2019.gadam</w:t>
            </w:r>
          </w:p>
        </w:tc>
        <w:tc>
          <w:tcPr>
            <w:tcW w:w="625" w:type="pct"/>
            <w:hideMark/>
          </w:tcPr>
          <w:p w14:paraId="62A9D624" w14:textId="77777777" w:rsidR="00E56B8D" w:rsidRPr="00BF1D45" w:rsidRDefault="00E56B8D" w:rsidP="00AE62BB">
            <w:pPr>
              <w:spacing w:before="100" w:beforeAutospacing="1" w:after="100" w:afterAutospacing="1" w:line="360" w:lineRule="auto"/>
              <w:ind w:firstLine="18"/>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saskaņā ar vidēja termiņa budžeta ietvaru</w:t>
            </w:r>
          </w:p>
        </w:tc>
        <w:tc>
          <w:tcPr>
            <w:tcW w:w="625" w:type="pct"/>
            <w:hideMark/>
          </w:tcPr>
          <w:p w14:paraId="2888FC65" w14:textId="77777777" w:rsidR="00E56B8D" w:rsidRPr="00BF1D45" w:rsidRDefault="00E56B8D" w:rsidP="00AE62BB">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izmaiņas, salīdzinot ar vidēja termiņa budžeta </w:t>
            </w:r>
            <w:r w:rsidRPr="00BF1D45">
              <w:rPr>
                <w:rFonts w:ascii="Times New Roman" w:eastAsia="Times New Roman" w:hAnsi="Times New Roman" w:cs="Times New Roman"/>
                <w:sz w:val="24"/>
                <w:szCs w:val="24"/>
                <w:lang w:eastAsia="lv-LV"/>
              </w:rPr>
              <w:lastRenderedPageBreak/>
              <w:t>ietvaru 2020.gadam</w:t>
            </w:r>
          </w:p>
        </w:tc>
        <w:tc>
          <w:tcPr>
            <w:tcW w:w="782" w:type="pct"/>
            <w:hideMark/>
          </w:tcPr>
          <w:p w14:paraId="2A4775F3" w14:textId="77777777" w:rsidR="00E56B8D" w:rsidRPr="00BF1D45" w:rsidRDefault="00E56B8D" w:rsidP="00AE62BB">
            <w:pPr>
              <w:spacing w:before="100" w:beforeAutospacing="1" w:after="100" w:afterAutospacing="1" w:line="360" w:lineRule="auto"/>
              <w:ind w:firstLine="29"/>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 xml:space="preserve">izmaiņas, salīdzinot ar vidēja termiņa budžeta </w:t>
            </w:r>
            <w:r w:rsidRPr="00BF1D45">
              <w:rPr>
                <w:rFonts w:ascii="Times New Roman" w:eastAsia="Times New Roman" w:hAnsi="Times New Roman" w:cs="Times New Roman"/>
                <w:sz w:val="24"/>
                <w:szCs w:val="24"/>
                <w:lang w:eastAsia="lv-LV"/>
              </w:rPr>
              <w:lastRenderedPageBreak/>
              <w:t>ietvaru 2021.gadam</w:t>
            </w:r>
          </w:p>
        </w:tc>
      </w:tr>
      <w:tr w:rsidR="009C78C8" w:rsidRPr="00BF1D45" w14:paraId="69952918" w14:textId="77777777" w:rsidTr="000D690D">
        <w:tc>
          <w:tcPr>
            <w:tcW w:w="682" w:type="pct"/>
            <w:hideMark/>
          </w:tcPr>
          <w:p w14:paraId="090C92C6"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1</w:t>
            </w:r>
          </w:p>
        </w:tc>
        <w:tc>
          <w:tcPr>
            <w:tcW w:w="489" w:type="pct"/>
            <w:hideMark/>
          </w:tcPr>
          <w:p w14:paraId="426773F8"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w:t>
            </w:r>
          </w:p>
        </w:tc>
        <w:tc>
          <w:tcPr>
            <w:tcW w:w="469" w:type="pct"/>
            <w:hideMark/>
          </w:tcPr>
          <w:p w14:paraId="15D8DA39"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w:t>
            </w:r>
          </w:p>
        </w:tc>
        <w:tc>
          <w:tcPr>
            <w:tcW w:w="625" w:type="pct"/>
            <w:hideMark/>
          </w:tcPr>
          <w:p w14:paraId="3B386A1D"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4</w:t>
            </w:r>
          </w:p>
        </w:tc>
        <w:tc>
          <w:tcPr>
            <w:tcW w:w="704" w:type="pct"/>
            <w:hideMark/>
          </w:tcPr>
          <w:p w14:paraId="7E4BB738"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5</w:t>
            </w:r>
          </w:p>
        </w:tc>
        <w:tc>
          <w:tcPr>
            <w:tcW w:w="625" w:type="pct"/>
            <w:hideMark/>
          </w:tcPr>
          <w:p w14:paraId="39C0D3A2"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6</w:t>
            </w:r>
          </w:p>
        </w:tc>
        <w:tc>
          <w:tcPr>
            <w:tcW w:w="625" w:type="pct"/>
            <w:hideMark/>
          </w:tcPr>
          <w:p w14:paraId="3583C418"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7</w:t>
            </w:r>
          </w:p>
        </w:tc>
        <w:tc>
          <w:tcPr>
            <w:tcW w:w="782" w:type="pct"/>
            <w:hideMark/>
          </w:tcPr>
          <w:p w14:paraId="1B06A92F" w14:textId="77777777" w:rsidR="00E56B8D" w:rsidRPr="00BF1D45" w:rsidRDefault="00E56B8D" w:rsidP="00AE62B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8</w:t>
            </w:r>
          </w:p>
        </w:tc>
      </w:tr>
      <w:tr w:rsidR="009C78C8" w:rsidRPr="00BF1D45" w14:paraId="4D310984" w14:textId="77777777" w:rsidTr="000D690D">
        <w:tc>
          <w:tcPr>
            <w:tcW w:w="682" w:type="pct"/>
            <w:hideMark/>
          </w:tcPr>
          <w:p w14:paraId="1A566054"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 Budžeta ieņēmumi</w:t>
            </w:r>
          </w:p>
        </w:tc>
        <w:tc>
          <w:tcPr>
            <w:tcW w:w="489" w:type="pct"/>
            <w:vAlign w:val="center"/>
            <w:hideMark/>
          </w:tcPr>
          <w:p w14:paraId="7EBA2B7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4723445C"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2F02514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06F4815D"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6D137039"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1DC537B1"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82" w:type="pct"/>
            <w:vAlign w:val="center"/>
            <w:hideMark/>
          </w:tcPr>
          <w:p w14:paraId="31F633E1"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r>
      <w:tr w:rsidR="009C78C8" w:rsidRPr="00BF1D45" w14:paraId="52C3F996" w14:textId="77777777" w:rsidTr="000D690D">
        <w:tc>
          <w:tcPr>
            <w:tcW w:w="682" w:type="pct"/>
            <w:hideMark/>
          </w:tcPr>
          <w:p w14:paraId="6D46F16E"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1.1. valsts pamatbudžets, tai skaitā ieņēmumi no maksas pakalpojumiem un citi pašu ieņēmumi</w:t>
            </w:r>
          </w:p>
        </w:tc>
        <w:tc>
          <w:tcPr>
            <w:tcW w:w="489" w:type="pct"/>
            <w:vAlign w:val="center"/>
            <w:hideMark/>
          </w:tcPr>
          <w:p w14:paraId="55A8F90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tcPr>
          <w:p w14:paraId="4E675DBC"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tcPr>
          <w:p w14:paraId="6E83D25B"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5229DDD3"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2B2FCFBB"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6440F7DF"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82" w:type="pct"/>
            <w:vAlign w:val="center"/>
            <w:hideMark/>
          </w:tcPr>
          <w:p w14:paraId="2B721608"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r>
      <w:tr w:rsidR="009C78C8" w:rsidRPr="00BF1D45" w14:paraId="60DE9596" w14:textId="77777777" w:rsidTr="000D690D">
        <w:tc>
          <w:tcPr>
            <w:tcW w:w="682" w:type="pct"/>
            <w:hideMark/>
          </w:tcPr>
          <w:p w14:paraId="434AD0AD"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1.2. valsts speciālais budžets</w:t>
            </w:r>
          </w:p>
        </w:tc>
        <w:tc>
          <w:tcPr>
            <w:tcW w:w="489" w:type="pct"/>
            <w:vAlign w:val="center"/>
            <w:hideMark/>
          </w:tcPr>
          <w:p w14:paraId="283446E1"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788FEAE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44334622"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7E16526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3964214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515D249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7D527EF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5523008A" w14:textId="77777777" w:rsidTr="000D690D">
        <w:tc>
          <w:tcPr>
            <w:tcW w:w="682" w:type="pct"/>
            <w:hideMark/>
          </w:tcPr>
          <w:p w14:paraId="561D8810"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1.3. pašvaldību budžets</w:t>
            </w:r>
          </w:p>
        </w:tc>
        <w:tc>
          <w:tcPr>
            <w:tcW w:w="489" w:type="pct"/>
            <w:vAlign w:val="center"/>
            <w:hideMark/>
          </w:tcPr>
          <w:p w14:paraId="45F9AF3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16C3D64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720040F3"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0EC89E5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416F5762"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67781407"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04A5510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474C1A5A" w14:textId="77777777" w:rsidTr="000D690D">
        <w:tc>
          <w:tcPr>
            <w:tcW w:w="682" w:type="pct"/>
            <w:hideMark/>
          </w:tcPr>
          <w:p w14:paraId="3AD89D67"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 Budžeta izdevumi</w:t>
            </w:r>
          </w:p>
        </w:tc>
        <w:tc>
          <w:tcPr>
            <w:tcW w:w="489" w:type="pct"/>
            <w:vAlign w:val="center"/>
            <w:hideMark/>
          </w:tcPr>
          <w:p w14:paraId="231B482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68AB711B"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625" w:type="pct"/>
            <w:vAlign w:val="center"/>
            <w:hideMark/>
          </w:tcPr>
          <w:p w14:paraId="141F057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704" w:type="pct"/>
            <w:vAlign w:val="center"/>
            <w:hideMark/>
          </w:tcPr>
          <w:p w14:paraId="05211B8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622971C4"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6AFE4BB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38AC5BD7"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66CA7168" w14:textId="77777777" w:rsidTr="000D690D">
        <w:tc>
          <w:tcPr>
            <w:tcW w:w="682" w:type="pct"/>
            <w:hideMark/>
          </w:tcPr>
          <w:p w14:paraId="4D9BC0F7"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2.1. valsts pamatbudžets</w:t>
            </w:r>
          </w:p>
        </w:tc>
        <w:tc>
          <w:tcPr>
            <w:tcW w:w="489" w:type="pct"/>
            <w:vAlign w:val="center"/>
            <w:hideMark/>
          </w:tcPr>
          <w:p w14:paraId="6B46AE80"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11A15E7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625" w:type="pct"/>
            <w:vAlign w:val="center"/>
            <w:hideMark/>
          </w:tcPr>
          <w:p w14:paraId="76B289CB"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704" w:type="pct"/>
            <w:vAlign w:val="center"/>
            <w:hideMark/>
          </w:tcPr>
          <w:p w14:paraId="3A5D2D47"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239ED270"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1EFBDDC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3F778231"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2D3044D2" w14:textId="77777777" w:rsidTr="000D690D">
        <w:tc>
          <w:tcPr>
            <w:tcW w:w="682" w:type="pct"/>
            <w:hideMark/>
          </w:tcPr>
          <w:p w14:paraId="7F6D9A4A"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2.2. valsts speciālais budžets</w:t>
            </w:r>
          </w:p>
        </w:tc>
        <w:tc>
          <w:tcPr>
            <w:tcW w:w="489" w:type="pct"/>
            <w:vAlign w:val="center"/>
            <w:hideMark/>
          </w:tcPr>
          <w:p w14:paraId="2AC4FE39"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62599590"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21CBB2BF"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1E94FF6A"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5517378F"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76BB4FA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0AEC7AD0"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735D1424" w14:textId="77777777" w:rsidTr="000D690D">
        <w:tc>
          <w:tcPr>
            <w:tcW w:w="682" w:type="pct"/>
            <w:hideMark/>
          </w:tcPr>
          <w:p w14:paraId="2FCCFC2A"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2.3. pašvaldību budžets</w:t>
            </w:r>
          </w:p>
        </w:tc>
        <w:tc>
          <w:tcPr>
            <w:tcW w:w="489" w:type="pct"/>
            <w:vAlign w:val="center"/>
            <w:hideMark/>
          </w:tcPr>
          <w:p w14:paraId="65F2A2D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285EB654"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54857747"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1F3DB291"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1CF81B00"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75309CE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65010657"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23FA7BAC" w14:textId="77777777" w:rsidTr="000D690D">
        <w:tc>
          <w:tcPr>
            <w:tcW w:w="682" w:type="pct"/>
            <w:hideMark/>
          </w:tcPr>
          <w:p w14:paraId="54DA8F6E"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 Finansiālā ietekme</w:t>
            </w:r>
          </w:p>
        </w:tc>
        <w:tc>
          <w:tcPr>
            <w:tcW w:w="489" w:type="pct"/>
            <w:vAlign w:val="center"/>
            <w:hideMark/>
          </w:tcPr>
          <w:p w14:paraId="5FBD4D9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7C56A9DD"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23BF87D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704" w:type="pct"/>
            <w:vAlign w:val="center"/>
            <w:hideMark/>
          </w:tcPr>
          <w:p w14:paraId="05CADCA9"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527FF08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w:t>
            </w:r>
          </w:p>
        </w:tc>
        <w:tc>
          <w:tcPr>
            <w:tcW w:w="625" w:type="pct"/>
            <w:vAlign w:val="center"/>
            <w:hideMark/>
          </w:tcPr>
          <w:p w14:paraId="113C0AB2"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82" w:type="pct"/>
            <w:vAlign w:val="center"/>
            <w:hideMark/>
          </w:tcPr>
          <w:p w14:paraId="47730E5A"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r>
      <w:tr w:rsidR="009C78C8" w:rsidRPr="00BF1D45" w14:paraId="4CE9039A" w14:textId="77777777" w:rsidTr="000D690D">
        <w:tc>
          <w:tcPr>
            <w:tcW w:w="682" w:type="pct"/>
            <w:hideMark/>
          </w:tcPr>
          <w:p w14:paraId="5B673B51"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3.1. valsts pamatbudžets</w:t>
            </w:r>
          </w:p>
        </w:tc>
        <w:tc>
          <w:tcPr>
            <w:tcW w:w="489" w:type="pct"/>
            <w:vAlign w:val="center"/>
            <w:hideMark/>
          </w:tcPr>
          <w:p w14:paraId="225B775B"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29FEAB3D"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29FBFA1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42B5D6F0"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Align w:val="center"/>
            <w:hideMark/>
          </w:tcPr>
          <w:p w14:paraId="550390D3"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04D7CE1D"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82" w:type="pct"/>
            <w:vAlign w:val="center"/>
            <w:hideMark/>
          </w:tcPr>
          <w:p w14:paraId="660AF1BE"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r>
      <w:tr w:rsidR="009C78C8" w:rsidRPr="00BF1D45" w14:paraId="52F01D43" w14:textId="77777777" w:rsidTr="000D690D">
        <w:tc>
          <w:tcPr>
            <w:tcW w:w="682" w:type="pct"/>
            <w:hideMark/>
          </w:tcPr>
          <w:p w14:paraId="223C1545"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3.2. speciālais budžets</w:t>
            </w:r>
          </w:p>
        </w:tc>
        <w:tc>
          <w:tcPr>
            <w:tcW w:w="489" w:type="pct"/>
            <w:vAlign w:val="center"/>
            <w:hideMark/>
          </w:tcPr>
          <w:p w14:paraId="7608C83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49F6B3A3"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1856483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411D0AD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1235E86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3921420F"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4BF00B5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0317978B" w14:textId="77777777" w:rsidTr="000D690D">
        <w:tc>
          <w:tcPr>
            <w:tcW w:w="682" w:type="pct"/>
            <w:hideMark/>
          </w:tcPr>
          <w:p w14:paraId="609F7B90"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3.3. pašvaldību budžets</w:t>
            </w:r>
          </w:p>
        </w:tc>
        <w:tc>
          <w:tcPr>
            <w:tcW w:w="489" w:type="pct"/>
            <w:vAlign w:val="center"/>
            <w:hideMark/>
          </w:tcPr>
          <w:p w14:paraId="6154368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76BDA6FF"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64BC746E"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04" w:type="pct"/>
            <w:vAlign w:val="center"/>
            <w:hideMark/>
          </w:tcPr>
          <w:p w14:paraId="2CCB7A1A"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1517FEA1"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54902F6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3A77056A"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022B841E" w14:textId="77777777" w:rsidTr="000D690D">
        <w:tc>
          <w:tcPr>
            <w:tcW w:w="682" w:type="pct"/>
            <w:hideMark/>
          </w:tcPr>
          <w:p w14:paraId="3B1D4F6B"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89" w:type="pct"/>
            <w:vAlign w:val="center"/>
            <w:hideMark/>
          </w:tcPr>
          <w:p w14:paraId="6E7C7DE2"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469" w:type="pct"/>
            <w:vAlign w:val="center"/>
            <w:hideMark/>
          </w:tcPr>
          <w:p w14:paraId="38F638EB"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625" w:type="pct"/>
            <w:vAlign w:val="center"/>
            <w:hideMark/>
          </w:tcPr>
          <w:p w14:paraId="58F265E9"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0 </w:t>
            </w:r>
          </w:p>
        </w:tc>
        <w:tc>
          <w:tcPr>
            <w:tcW w:w="704" w:type="pct"/>
            <w:vAlign w:val="center"/>
            <w:hideMark/>
          </w:tcPr>
          <w:p w14:paraId="663C93FA"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Align w:val="center"/>
            <w:hideMark/>
          </w:tcPr>
          <w:p w14:paraId="3D05D31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w:t>
            </w:r>
          </w:p>
        </w:tc>
        <w:tc>
          <w:tcPr>
            <w:tcW w:w="625" w:type="pct"/>
            <w:vAlign w:val="center"/>
            <w:hideMark/>
          </w:tcPr>
          <w:p w14:paraId="237FB0B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 0 </w:t>
            </w:r>
          </w:p>
        </w:tc>
        <w:tc>
          <w:tcPr>
            <w:tcW w:w="782" w:type="pct"/>
            <w:vAlign w:val="center"/>
            <w:hideMark/>
          </w:tcPr>
          <w:p w14:paraId="74ABE98C"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2C804A2D" w14:textId="77777777" w:rsidTr="000D690D">
        <w:tc>
          <w:tcPr>
            <w:tcW w:w="682" w:type="pct"/>
            <w:hideMark/>
          </w:tcPr>
          <w:p w14:paraId="5A7827DF"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5. Precizēta finansiālā ietekme</w:t>
            </w:r>
          </w:p>
        </w:tc>
        <w:tc>
          <w:tcPr>
            <w:tcW w:w="489" w:type="pct"/>
            <w:vMerge w:val="restart"/>
            <w:vAlign w:val="center"/>
            <w:hideMark/>
          </w:tcPr>
          <w:p w14:paraId="4E9E7FF6" w14:textId="77777777" w:rsidR="00E56B8D" w:rsidRPr="00BF1D45" w:rsidRDefault="00E56B8D" w:rsidP="00AE62BB">
            <w:pPr>
              <w:spacing w:after="0" w:line="240" w:lineRule="auto"/>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X</w:t>
            </w:r>
          </w:p>
        </w:tc>
        <w:tc>
          <w:tcPr>
            <w:tcW w:w="469" w:type="pct"/>
            <w:vAlign w:val="center"/>
            <w:hideMark/>
          </w:tcPr>
          <w:p w14:paraId="319FEB11"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Merge w:val="restart"/>
            <w:vAlign w:val="center"/>
            <w:hideMark/>
          </w:tcPr>
          <w:p w14:paraId="5F09B7D3" w14:textId="77777777" w:rsidR="00E56B8D" w:rsidRPr="00BF1D45" w:rsidRDefault="00E56B8D" w:rsidP="00AE62BB">
            <w:pPr>
              <w:spacing w:after="0" w:line="240" w:lineRule="auto"/>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X</w:t>
            </w:r>
          </w:p>
        </w:tc>
        <w:tc>
          <w:tcPr>
            <w:tcW w:w="704" w:type="pct"/>
            <w:vAlign w:val="center"/>
            <w:hideMark/>
          </w:tcPr>
          <w:p w14:paraId="12DE12E4"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Merge w:val="restart"/>
            <w:vAlign w:val="center"/>
            <w:hideMark/>
          </w:tcPr>
          <w:p w14:paraId="6C876441" w14:textId="77777777" w:rsidR="00E56B8D" w:rsidRPr="00BF1D45" w:rsidRDefault="00E56B8D" w:rsidP="00AE62BB">
            <w:pPr>
              <w:spacing w:after="0" w:line="240" w:lineRule="auto"/>
              <w:jc w:val="center"/>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X</w:t>
            </w:r>
          </w:p>
        </w:tc>
        <w:tc>
          <w:tcPr>
            <w:tcW w:w="625" w:type="pct"/>
            <w:vAlign w:val="center"/>
            <w:hideMark/>
          </w:tcPr>
          <w:p w14:paraId="211E10FE"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82" w:type="pct"/>
            <w:vAlign w:val="center"/>
            <w:hideMark/>
          </w:tcPr>
          <w:p w14:paraId="197EB206"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r>
      <w:tr w:rsidR="009C78C8" w:rsidRPr="00BF1D45" w14:paraId="508ED72E" w14:textId="77777777" w:rsidTr="000D690D">
        <w:tc>
          <w:tcPr>
            <w:tcW w:w="682" w:type="pct"/>
            <w:hideMark/>
          </w:tcPr>
          <w:p w14:paraId="50AA6A73"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5.1. valsts pamatbudžets</w:t>
            </w:r>
          </w:p>
        </w:tc>
        <w:tc>
          <w:tcPr>
            <w:tcW w:w="489" w:type="pct"/>
            <w:vMerge/>
            <w:hideMark/>
          </w:tcPr>
          <w:p w14:paraId="34C2B045"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c>
          <w:tcPr>
            <w:tcW w:w="469" w:type="pct"/>
            <w:vAlign w:val="center"/>
            <w:hideMark/>
          </w:tcPr>
          <w:p w14:paraId="2BF10F86"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Merge/>
            <w:hideMark/>
          </w:tcPr>
          <w:p w14:paraId="59ED53F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p>
        </w:tc>
        <w:tc>
          <w:tcPr>
            <w:tcW w:w="704" w:type="pct"/>
            <w:vAlign w:val="center"/>
            <w:hideMark/>
          </w:tcPr>
          <w:p w14:paraId="00BAB467"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625" w:type="pct"/>
            <w:vMerge/>
            <w:hideMark/>
          </w:tcPr>
          <w:p w14:paraId="15A7711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p>
        </w:tc>
        <w:tc>
          <w:tcPr>
            <w:tcW w:w="625" w:type="pct"/>
            <w:vAlign w:val="center"/>
            <w:hideMark/>
          </w:tcPr>
          <w:p w14:paraId="53AA567F"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82" w:type="pct"/>
            <w:vAlign w:val="center"/>
            <w:hideMark/>
          </w:tcPr>
          <w:p w14:paraId="48C534FE" w14:textId="77777777" w:rsidR="00E56B8D" w:rsidRPr="00BF1D45" w:rsidRDefault="009C78C8" w:rsidP="00AE62BB">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r>
      <w:tr w:rsidR="009C78C8" w:rsidRPr="00BF1D45" w14:paraId="5DC98328" w14:textId="77777777" w:rsidTr="000D690D">
        <w:tc>
          <w:tcPr>
            <w:tcW w:w="682" w:type="pct"/>
            <w:hideMark/>
          </w:tcPr>
          <w:p w14:paraId="12E1D090"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5.2. speciālais budžets</w:t>
            </w:r>
          </w:p>
        </w:tc>
        <w:tc>
          <w:tcPr>
            <w:tcW w:w="489" w:type="pct"/>
            <w:vMerge/>
            <w:hideMark/>
          </w:tcPr>
          <w:p w14:paraId="7C0AD769"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c>
          <w:tcPr>
            <w:tcW w:w="469" w:type="pct"/>
            <w:vAlign w:val="center"/>
            <w:hideMark/>
          </w:tcPr>
          <w:p w14:paraId="46F6D2B4"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Merge/>
            <w:hideMark/>
          </w:tcPr>
          <w:p w14:paraId="05FE0B1A"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p>
        </w:tc>
        <w:tc>
          <w:tcPr>
            <w:tcW w:w="704" w:type="pct"/>
            <w:vAlign w:val="center"/>
            <w:hideMark/>
          </w:tcPr>
          <w:p w14:paraId="7DFC916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Merge/>
            <w:hideMark/>
          </w:tcPr>
          <w:p w14:paraId="5D62F5A8"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p>
        </w:tc>
        <w:tc>
          <w:tcPr>
            <w:tcW w:w="625" w:type="pct"/>
            <w:vAlign w:val="center"/>
            <w:hideMark/>
          </w:tcPr>
          <w:p w14:paraId="387714C2"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4B643170"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9C78C8" w:rsidRPr="00BF1D45" w14:paraId="45B7F5E5" w14:textId="77777777" w:rsidTr="000D690D">
        <w:tc>
          <w:tcPr>
            <w:tcW w:w="682" w:type="pct"/>
            <w:hideMark/>
          </w:tcPr>
          <w:p w14:paraId="16B97DD6"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5.3. pašvaldību budžets</w:t>
            </w:r>
          </w:p>
        </w:tc>
        <w:tc>
          <w:tcPr>
            <w:tcW w:w="489" w:type="pct"/>
            <w:vMerge/>
            <w:hideMark/>
          </w:tcPr>
          <w:p w14:paraId="651D2839"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c>
          <w:tcPr>
            <w:tcW w:w="469" w:type="pct"/>
            <w:vAlign w:val="center"/>
            <w:hideMark/>
          </w:tcPr>
          <w:p w14:paraId="2A9CF65D"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Merge/>
            <w:hideMark/>
          </w:tcPr>
          <w:p w14:paraId="62A41796"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p>
        </w:tc>
        <w:tc>
          <w:tcPr>
            <w:tcW w:w="704" w:type="pct"/>
            <w:vAlign w:val="center"/>
            <w:hideMark/>
          </w:tcPr>
          <w:p w14:paraId="4C29D279"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625" w:type="pct"/>
            <w:vMerge/>
            <w:hideMark/>
          </w:tcPr>
          <w:p w14:paraId="7B7C44E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p>
        </w:tc>
        <w:tc>
          <w:tcPr>
            <w:tcW w:w="625" w:type="pct"/>
            <w:vAlign w:val="center"/>
            <w:hideMark/>
          </w:tcPr>
          <w:p w14:paraId="696BF655"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c>
          <w:tcPr>
            <w:tcW w:w="782" w:type="pct"/>
            <w:vAlign w:val="center"/>
            <w:hideMark/>
          </w:tcPr>
          <w:p w14:paraId="6DD5FF81" w14:textId="77777777" w:rsidR="00E56B8D" w:rsidRPr="00BF1D45" w:rsidRDefault="00E56B8D" w:rsidP="00AE62BB">
            <w:pPr>
              <w:spacing w:after="0" w:line="240" w:lineRule="auto"/>
              <w:jc w:val="righ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0</w:t>
            </w:r>
          </w:p>
        </w:tc>
      </w:tr>
      <w:tr w:rsidR="00E56B8D" w:rsidRPr="00BF1D45" w14:paraId="2B7D19D6" w14:textId="77777777" w:rsidTr="000D690D">
        <w:trPr>
          <w:trHeight w:val="4088"/>
        </w:trPr>
        <w:tc>
          <w:tcPr>
            <w:tcW w:w="682" w:type="pct"/>
            <w:hideMark/>
          </w:tcPr>
          <w:p w14:paraId="3D6119C0"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318" w:type="pct"/>
            <w:gridSpan w:val="7"/>
            <w:vMerge w:val="restart"/>
            <w:hideMark/>
          </w:tcPr>
          <w:p w14:paraId="5125A022" w14:textId="77777777" w:rsidR="00E56B8D" w:rsidRPr="00BF1D45" w:rsidRDefault="00C973F2" w:rsidP="00617536">
            <w:pPr>
              <w:jc w:val="both"/>
              <w:rPr>
                <w:rFonts w:ascii="Times New Roman" w:eastAsia="Times New Roman" w:hAnsi="Times New Roman" w:cs="Times New Roman"/>
                <w:sz w:val="24"/>
                <w:szCs w:val="24"/>
                <w:lang w:eastAsia="lv-LV"/>
              </w:rPr>
            </w:pPr>
            <w:r w:rsidRPr="002313C7">
              <w:rPr>
                <w:rFonts w:ascii="Times New Roman" w:eastAsia="Times New Roman" w:hAnsi="Times New Roman" w:cs="Times New Roman"/>
                <w:sz w:val="24"/>
                <w:szCs w:val="24"/>
                <w:lang w:eastAsia="lv-LV"/>
              </w:rPr>
              <w:t>Likumprojektā iekļautā normatīvā regulējuma ietekme uz budžetu atspoguļota likumprojektā “Grozījumi Maksājumu pakalpojumu un elektroniskās naudas likumā” sākotnējās ietekmes novērtējuma ziņojuma (anotācijas) III sadaļā.</w:t>
            </w:r>
          </w:p>
        </w:tc>
      </w:tr>
      <w:tr w:rsidR="00E56B8D" w:rsidRPr="00BF1D45" w14:paraId="009FD352" w14:textId="77777777" w:rsidTr="000D690D">
        <w:trPr>
          <w:trHeight w:val="700"/>
        </w:trPr>
        <w:tc>
          <w:tcPr>
            <w:tcW w:w="682" w:type="pct"/>
            <w:hideMark/>
          </w:tcPr>
          <w:p w14:paraId="7954E647"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6.1. detalizēts ieņēmumu aprēķins</w:t>
            </w:r>
          </w:p>
        </w:tc>
        <w:tc>
          <w:tcPr>
            <w:tcW w:w="4318" w:type="pct"/>
            <w:gridSpan w:val="7"/>
            <w:vMerge/>
            <w:hideMark/>
          </w:tcPr>
          <w:p w14:paraId="49133332"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r>
      <w:tr w:rsidR="00E56B8D" w:rsidRPr="00BF1D45" w14:paraId="16D78A7E" w14:textId="77777777" w:rsidTr="000D690D">
        <w:tc>
          <w:tcPr>
            <w:tcW w:w="682" w:type="pct"/>
            <w:hideMark/>
          </w:tcPr>
          <w:p w14:paraId="0E7A8F37"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6.2. detalizēts izdevumu aprēķins</w:t>
            </w:r>
          </w:p>
        </w:tc>
        <w:tc>
          <w:tcPr>
            <w:tcW w:w="4318" w:type="pct"/>
            <w:gridSpan w:val="7"/>
            <w:vMerge/>
            <w:hideMark/>
          </w:tcPr>
          <w:p w14:paraId="0ED4DAB8"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p>
        </w:tc>
      </w:tr>
      <w:tr w:rsidR="00E56B8D" w:rsidRPr="00BF1D45" w14:paraId="01C29E57" w14:textId="77777777" w:rsidTr="000D690D">
        <w:tc>
          <w:tcPr>
            <w:tcW w:w="682" w:type="pct"/>
            <w:hideMark/>
          </w:tcPr>
          <w:p w14:paraId="65E8C419"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7. Amata vietu skaita izmaiņas</w:t>
            </w:r>
          </w:p>
        </w:tc>
        <w:tc>
          <w:tcPr>
            <w:tcW w:w="4318" w:type="pct"/>
            <w:gridSpan w:val="7"/>
            <w:hideMark/>
          </w:tcPr>
          <w:p w14:paraId="2DB7DDBE"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iCs/>
                <w:sz w:val="24"/>
                <w:szCs w:val="24"/>
                <w:lang w:eastAsia="lv-LV"/>
              </w:rPr>
              <w:t>Projekts šo jomu neskar.</w:t>
            </w:r>
          </w:p>
        </w:tc>
      </w:tr>
      <w:tr w:rsidR="00E56B8D" w:rsidRPr="00BF1D45" w14:paraId="28BC5C9D" w14:textId="77777777" w:rsidTr="000D690D">
        <w:tc>
          <w:tcPr>
            <w:tcW w:w="682" w:type="pct"/>
            <w:hideMark/>
          </w:tcPr>
          <w:p w14:paraId="22411AB1"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8. Cita </w:t>
            </w:r>
            <w:proofErr w:type="spellStart"/>
            <w:r w:rsidRPr="00BF1D45">
              <w:rPr>
                <w:rFonts w:ascii="Times New Roman" w:eastAsia="Times New Roman" w:hAnsi="Times New Roman" w:cs="Times New Roman"/>
                <w:sz w:val="24"/>
                <w:szCs w:val="24"/>
                <w:lang w:eastAsia="lv-LV"/>
              </w:rPr>
              <w:t>informāci</w:t>
            </w:r>
            <w:proofErr w:type="spellEnd"/>
            <w:r>
              <w:rPr>
                <w:rFonts w:ascii="Times New Roman" w:eastAsia="Times New Roman" w:hAnsi="Times New Roman" w:cs="Times New Roman"/>
                <w:sz w:val="24"/>
                <w:szCs w:val="24"/>
                <w:lang w:eastAsia="lv-LV"/>
              </w:rPr>
              <w:t xml:space="preserve">- </w:t>
            </w:r>
            <w:r w:rsidRPr="00BF1D45">
              <w:rPr>
                <w:rFonts w:ascii="Times New Roman" w:eastAsia="Times New Roman" w:hAnsi="Times New Roman" w:cs="Times New Roman"/>
                <w:sz w:val="24"/>
                <w:szCs w:val="24"/>
                <w:lang w:eastAsia="lv-LV"/>
              </w:rPr>
              <w:t>ja</w:t>
            </w:r>
          </w:p>
        </w:tc>
        <w:tc>
          <w:tcPr>
            <w:tcW w:w="4318" w:type="pct"/>
            <w:gridSpan w:val="7"/>
            <w:hideMark/>
          </w:tcPr>
          <w:p w14:paraId="36A9BCCA" w14:textId="0161FEED" w:rsidR="005C11FD" w:rsidRPr="005C11FD" w:rsidRDefault="002313C7" w:rsidP="00617536">
            <w:pPr>
              <w:spacing w:after="0" w:line="240" w:lineRule="auto"/>
              <w:jc w:val="both"/>
              <w:rPr>
                <w:rFonts w:ascii="Times New Roman" w:hAnsi="Times New Roman" w:cs="Times New Roman"/>
                <w:sz w:val="24"/>
                <w:szCs w:val="24"/>
              </w:rPr>
            </w:pPr>
            <w:r w:rsidRPr="00350C2F">
              <w:rPr>
                <w:rFonts w:ascii="Times New Roman" w:eastAsia="Times New Roman" w:hAnsi="Times New Roman" w:cs="Times New Roman"/>
                <w:sz w:val="24"/>
                <w:szCs w:val="24"/>
                <w:lang w:eastAsia="lv-LV"/>
              </w:rPr>
              <w:t xml:space="preserve">Ieņēmumi valsts budžetā tiks nodrošināti, īstenojot kompleksu risinājumu: </w:t>
            </w:r>
            <w:r w:rsidRPr="006012A3">
              <w:rPr>
                <w:rFonts w:ascii="Times New Roman" w:eastAsia="Times New Roman" w:hAnsi="Times New Roman" w:cs="Times New Roman"/>
                <w:sz w:val="24"/>
                <w:szCs w:val="24"/>
                <w:lang w:eastAsia="lv-LV"/>
              </w:rPr>
              <w:t>g</w:t>
            </w:r>
            <w:r w:rsidRPr="00665C7F">
              <w:rPr>
                <w:rFonts w:ascii="Times New Roman" w:hAnsi="Times New Roman" w:cs="Times New Roman"/>
                <w:sz w:val="24"/>
                <w:szCs w:val="24"/>
              </w:rPr>
              <w:t>rozījumi Azartspēļu un izložu likumā tiek virzīti vienl</w:t>
            </w:r>
            <w:r w:rsidR="00F6212A">
              <w:rPr>
                <w:rFonts w:ascii="Times New Roman" w:hAnsi="Times New Roman" w:cs="Times New Roman"/>
                <w:sz w:val="24"/>
                <w:szCs w:val="24"/>
              </w:rPr>
              <w:t>aicīgi ar grozījumiem Latvijas A</w:t>
            </w:r>
            <w:r w:rsidRPr="00665C7F">
              <w:rPr>
                <w:rFonts w:ascii="Times New Roman" w:hAnsi="Times New Roman" w:cs="Times New Roman"/>
                <w:sz w:val="24"/>
                <w:szCs w:val="24"/>
              </w:rPr>
              <w:t>dministratīvo pārkāpumu kodeksā</w:t>
            </w:r>
            <w:r>
              <w:rPr>
                <w:rFonts w:ascii="Times New Roman" w:hAnsi="Times New Roman" w:cs="Times New Roman"/>
                <w:sz w:val="24"/>
                <w:szCs w:val="24"/>
              </w:rPr>
              <w:t>,</w:t>
            </w:r>
            <w:r w:rsidRPr="00665C7F">
              <w:rPr>
                <w:rFonts w:ascii="Times New Roman" w:hAnsi="Times New Roman" w:cs="Times New Roman"/>
                <w:sz w:val="24"/>
                <w:szCs w:val="24"/>
              </w:rPr>
              <w:t xml:space="preserve"> grozījumiem Elektronisko sakaru likumā, </w:t>
            </w:r>
            <w:r>
              <w:rPr>
                <w:rFonts w:ascii="Times New Roman" w:hAnsi="Times New Roman" w:cs="Times New Roman"/>
                <w:sz w:val="24"/>
                <w:szCs w:val="24"/>
              </w:rPr>
              <w:t>g</w:t>
            </w:r>
            <w:r w:rsidRPr="00203CB9">
              <w:rPr>
                <w:rFonts w:ascii="Times New Roman" w:hAnsi="Times New Roman" w:cs="Times New Roman"/>
                <w:sz w:val="24"/>
                <w:szCs w:val="24"/>
              </w:rPr>
              <w:t>rozījumi Maksājumu pakalpojumu un elektroniskās naudas likumā</w:t>
            </w:r>
            <w:r>
              <w:rPr>
                <w:rFonts w:ascii="Times New Roman" w:hAnsi="Times New Roman" w:cs="Times New Roman"/>
                <w:sz w:val="24"/>
                <w:szCs w:val="24"/>
              </w:rPr>
              <w:t>.</w:t>
            </w:r>
          </w:p>
        </w:tc>
      </w:tr>
    </w:tbl>
    <w:p w14:paraId="5D39B499" w14:textId="77777777" w:rsidR="00E56B8D" w:rsidRDefault="00E56B8D" w:rsidP="00E56B8D">
      <w:pPr>
        <w:shd w:val="clear" w:color="auto" w:fill="FFFFFF"/>
        <w:spacing w:after="0" w:line="240" w:lineRule="auto"/>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4115BC" w:rsidRPr="00BF1D45" w14:paraId="5E79C42C" w14:textId="77777777" w:rsidTr="00937090">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D228F4" w14:textId="77777777" w:rsidR="004115BC" w:rsidRPr="00BF1D45" w:rsidRDefault="004115BC" w:rsidP="0093709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Pr="00BF1D45">
              <w:rPr>
                <w:rFonts w:ascii="Times New Roman" w:eastAsia="Times New Roman" w:hAnsi="Times New Roman" w:cs="Times New Roman"/>
                <w:b/>
                <w:bCs/>
                <w:sz w:val="24"/>
                <w:szCs w:val="24"/>
                <w:lang w:eastAsia="lv-LV"/>
              </w:rPr>
              <w:t>. </w:t>
            </w:r>
            <w:r w:rsidRPr="004115BC">
              <w:rPr>
                <w:rFonts w:ascii="Times New Roman" w:eastAsia="Times New Roman" w:hAnsi="Times New Roman" w:cs="Times New Roman"/>
                <w:b/>
                <w:bCs/>
                <w:sz w:val="24"/>
                <w:szCs w:val="24"/>
                <w:lang w:eastAsia="lv-LV"/>
              </w:rPr>
              <w:t>Tiesību akta projekta ietekme uz spēkā esošo tiesību normu sistēmu</w:t>
            </w:r>
          </w:p>
        </w:tc>
      </w:tr>
      <w:tr w:rsidR="004115BC" w:rsidRPr="00BF1D45" w14:paraId="670AE676" w14:textId="77777777" w:rsidTr="00937090">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0067BA48" w14:textId="77777777" w:rsidR="004115BC" w:rsidRPr="00BF1D45" w:rsidRDefault="004115BC" w:rsidP="004115BC">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26621E05" w14:textId="77777777" w:rsidR="004115BC" w:rsidRPr="004115BC" w:rsidRDefault="004115BC" w:rsidP="004115BC">
            <w:pPr>
              <w:spacing w:before="75" w:after="75" w:line="240" w:lineRule="auto"/>
              <w:jc w:val="both"/>
              <w:rPr>
                <w:rFonts w:ascii="Times New Roman" w:eastAsia="Times New Roman" w:hAnsi="Times New Roman" w:cs="Times New Roman"/>
                <w:sz w:val="24"/>
                <w:szCs w:val="24"/>
                <w:lang w:eastAsia="lv-LV"/>
              </w:rPr>
            </w:pPr>
            <w:r w:rsidRPr="004115BC">
              <w:rPr>
                <w:rFonts w:ascii="Times New Roman" w:eastAsia="Times New Roman" w:hAnsi="Times New Roman" w:cs="Times New Roman"/>
                <w:sz w:val="24"/>
                <w:szCs w:val="24"/>
                <w:lang w:eastAsia="lv-LV"/>
              </w:rPr>
              <w:t>Saistītie tiesību aktu projekti</w:t>
            </w:r>
          </w:p>
        </w:tc>
        <w:tc>
          <w:tcPr>
            <w:tcW w:w="3206" w:type="pct"/>
            <w:tcBorders>
              <w:top w:val="outset" w:sz="6" w:space="0" w:color="414142"/>
              <w:left w:val="outset" w:sz="6" w:space="0" w:color="414142"/>
              <w:bottom w:val="outset" w:sz="6" w:space="0" w:color="414142"/>
              <w:right w:val="outset" w:sz="6" w:space="0" w:color="414142"/>
            </w:tcBorders>
            <w:hideMark/>
          </w:tcPr>
          <w:p w14:paraId="1D2672B2" w14:textId="4DF16C15" w:rsidR="004115BC" w:rsidRPr="004115BC" w:rsidRDefault="00F6212A" w:rsidP="00F621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4401F0" w:rsidRPr="004115BC">
              <w:rPr>
                <w:rFonts w:ascii="Times New Roman" w:hAnsi="Times New Roman" w:cs="Times New Roman"/>
                <w:sz w:val="24"/>
                <w:szCs w:val="24"/>
              </w:rPr>
              <w:t>rozījumi</w:t>
            </w:r>
            <w:r>
              <w:rPr>
                <w:rFonts w:ascii="Times New Roman" w:hAnsi="Times New Roman" w:cs="Times New Roman"/>
                <w:sz w:val="24"/>
                <w:szCs w:val="24"/>
              </w:rPr>
              <w:t>em Elektronisko sakaru likumā, G</w:t>
            </w:r>
            <w:r w:rsidR="004401F0" w:rsidRPr="004115BC">
              <w:rPr>
                <w:rFonts w:ascii="Times New Roman" w:hAnsi="Times New Roman" w:cs="Times New Roman"/>
                <w:sz w:val="24"/>
                <w:szCs w:val="24"/>
              </w:rPr>
              <w:t>rozījumi Latvijas A</w:t>
            </w:r>
            <w:r w:rsidR="004401F0">
              <w:rPr>
                <w:rFonts w:ascii="Times New Roman" w:hAnsi="Times New Roman" w:cs="Times New Roman"/>
                <w:sz w:val="24"/>
                <w:szCs w:val="24"/>
              </w:rPr>
              <w:t>dministratīvo pārkāpumu kodeksā</w:t>
            </w:r>
            <w:r>
              <w:rPr>
                <w:rFonts w:ascii="Times New Roman" w:hAnsi="Times New Roman" w:cs="Times New Roman"/>
                <w:sz w:val="24"/>
                <w:szCs w:val="24"/>
              </w:rPr>
              <w:t>, G</w:t>
            </w:r>
            <w:r w:rsidR="004401F0" w:rsidRPr="004115BC">
              <w:rPr>
                <w:rFonts w:ascii="Times New Roman" w:hAnsi="Times New Roman" w:cs="Times New Roman"/>
                <w:sz w:val="24"/>
                <w:szCs w:val="24"/>
              </w:rPr>
              <w:t>rozījumi Maksājumu pakalpojumu un elektroniskās naudas likumā</w:t>
            </w:r>
            <w:r w:rsidR="004401F0">
              <w:rPr>
                <w:rFonts w:ascii="Times New Roman" w:hAnsi="Times New Roman" w:cs="Times New Roman"/>
                <w:sz w:val="24"/>
                <w:szCs w:val="24"/>
              </w:rPr>
              <w:t>.</w:t>
            </w:r>
          </w:p>
        </w:tc>
      </w:tr>
      <w:tr w:rsidR="004115BC" w:rsidRPr="00BF1D45" w14:paraId="1775D392" w14:textId="77777777" w:rsidTr="00937090">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283827DE" w14:textId="77777777" w:rsidR="004115BC" w:rsidRPr="00BF1D45" w:rsidRDefault="004115BC" w:rsidP="004115BC">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0D5E31D0" w14:textId="77777777" w:rsidR="004115BC" w:rsidRPr="00BF1D45" w:rsidRDefault="004115BC" w:rsidP="004115BC">
            <w:pPr>
              <w:spacing w:after="0" w:line="240" w:lineRule="auto"/>
              <w:rPr>
                <w:rFonts w:ascii="Times New Roman" w:eastAsia="Times New Roman" w:hAnsi="Times New Roman" w:cs="Times New Roman"/>
                <w:sz w:val="24"/>
                <w:szCs w:val="24"/>
                <w:lang w:eastAsia="lv-LV"/>
              </w:rPr>
            </w:pPr>
            <w:r w:rsidRPr="004115BC">
              <w:rPr>
                <w:rFonts w:ascii="Times New Roman" w:eastAsia="Times New Roman" w:hAnsi="Times New Roman" w:cs="Times New Roman"/>
                <w:sz w:val="24"/>
                <w:szCs w:val="24"/>
                <w:lang w:eastAsia="lv-LV"/>
              </w:rPr>
              <w:t>Atbildīgā institūcija</w:t>
            </w:r>
          </w:p>
        </w:tc>
        <w:tc>
          <w:tcPr>
            <w:tcW w:w="3206" w:type="pct"/>
            <w:tcBorders>
              <w:top w:val="outset" w:sz="6" w:space="0" w:color="414142"/>
              <w:left w:val="outset" w:sz="6" w:space="0" w:color="414142"/>
              <w:bottom w:val="outset" w:sz="6" w:space="0" w:color="414142"/>
              <w:right w:val="outset" w:sz="6" w:space="0" w:color="414142"/>
            </w:tcBorders>
            <w:hideMark/>
          </w:tcPr>
          <w:p w14:paraId="71A9BAF2" w14:textId="77777777" w:rsidR="004115BC" w:rsidRPr="00BF1D45" w:rsidRDefault="004401F0" w:rsidP="004115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4115BC" w:rsidRPr="00BF1D45" w14:paraId="755DE4EB" w14:textId="77777777" w:rsidTr="00937090">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1E42530B" w14:textId="77777777" w:rsidR="004115BC" w:rsidRPr="00BF1D45" w:rsidRDefault="004115BC" w:rsidP="004115BC">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7178A004" w14:textId="77777777" w:rsidR="004115BC" w:rsidRPr="00BF1D45" w:rsidRDefault="004115BC" w:rsidP="004115BC">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3B9F9D2F" w14:textId="77777777" w:rsidR="00C973F2" w:rsidRPr="000D690D" w:rsidRDefault="004401F0" w:rsidP="00BC16C6">
            <w:pPr>
              <w:tabs>
                <w:tab w:val="center" w:pos="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2E240B33" w14:textId="77777777" w:rsidR="00D37513" w:rsidRPr="00BF1D45" w:rsidRDefault="00D37513" w:rsidP="00E56B8D">
      <w:pPr>
        <w:shd w:val="clear" w:color="auto" w:fill="FFFFFF"/>
        <w:spacing w:after="0" w:line="240" w:lineRule="auto"/>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56B8D" w:rsidRPr="00BF1D45" w14:paraId="06FFD895" w14:textId="77777777" w:rsidTr="00AE62BB">
        <w:tc>
          <w:tcPr>
            <w:tcW w:w="0" w:type="auto"/>
            <w:tcBorders>
              <w:top w:val="outset" w:sz="6" w:space="0" w:color="414142"/>
              <w:left w:val="outset" w:sz="6" w:space="0" w:color="414142"/>
              <w:bottom w:val="outset" w:sz="6" w:space="0" w:color="414142"/>
              <w:right w:val="outset" w:sz="6" w:space="0" w:color="414142"/>
            </w:tcBorders>
            <w:vAlign w:val="center"/>
            <w:hideMark/>
          </w:tcPr>
          <w:p w14:paraId="37CE78DF" w14:textId="77777777" w:rsidR="00E56B8D" w:rsidRPr="00BF1D45" w:rsidRDefault="00E56B8D" w:rsidP="00AE62BB">
            <w:pPr>
              <w:shd w:val="clear" w:color="auto" w:fill="FFFFFF"/>
              <w:spacing w:after="0" w:line="240" w:lineRule="auto"/>
              <w:ind w:firstLine="301"/>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V. Tiesību akta projekta atbilstība Latvijas Republikas starptautiskajām saistībām</w:t>
            </w:r>
          </w:p>
        </w:tc>
      </w:tr>
      <w:tr w:rsidR="00E56B8D" w:rsidRPr="00BF1D45" w14:paraId="35BE5245" w14:textId="77777777" w:rsidTr="00AE62BB">
        <w:tc>
          <w:tcPr>
            <w:tcW w:w="0" w:type="auto"/>
            <w:tcBorders>
              <w:top w:val="outset" w:sz="6" w:space="0" w:color="414142"/>
              <w:left w:val="outset" w:sz="6" w:space="0" w:color="414142"/>
              <w:bottom w:val="outset" w:sz="6" w:space="0" w:color="414142"/>
              <w:right w:val="outset" w:sz="6" w:space="0" w:color="414142"/>
            </w:tcBorders>
            <w:vAlign w:val="center"/>
          </w:tcPr>
          <w:p w14:paraId="2024903E" w14:textId="77777777" w:rsidR="00E56B8D" w:rsidRPr="00BF1D45" w:rsidRDefault="00E56B8D" w:rsidP="00AE62BB">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Projekts šo jomu neskar</w:t>
            </w:r>
          </w:p>
        </w:tc>
      </w:tr>
    </w:tbl>
    <w:p w14:paraId="6167004C" w14:textId="77777777" w:rsidR="00E56B8D" w:rsidRPr="00BF1D45" w:rsidRDefault="00E56B8D" w:rsidP="00E56B8D">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E56B8D" w:rsidRPr="00BF1D45" w14:paraId="15D29D29" w14:textId="77777777" w:rsidTr="00AE62B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835EA4"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VI. Sabiedrības līdzdalība un komunikācijas aktivitātes</w:t>
            </w:r>
          </w:p>
        </w:tc>
      </w:tr>
      <w:tr w:rsidR="00E56B8D" w:rsidRPr="00BF1D45" w14:paraId="331C1407" w14:textId="77777777" w:rsidTr="00AE62BB">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4BE3F0BB"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029710AD"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78676F0C" w14:textId="77777777" w:rsidR="00E56B8D" w:rsidRPr="00BF1D45" w:rsidRDefault="007E7A38" w:rsidP="00AE62BB">
            <w:pPr>
              <w:spacing w:after="0" w:line="240" w:lineRule="auto"/>
              <w:jc w:val="both"/>
              <w:rPr>
                <w:rFonts w:ascii="Times New Roman" w:eastAsia="Times New Roman" w:hAnsi="Times New Roman" w:cs="Times New Roman"/>
                <w:sz w:val="24"/>
                <w:szCs w:val="24"/>
                <w:lang w:eastAsia="lv-LV"/>
              </w:rPr>
            </w:pPr>
            <w:r w:rsidRPr="00615837">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8.1.apakšpunktā doto uzdevumu.</w:t>
            </w:r>
          </w:p>
        </w:tc>
      </w:tr>
      <w:tr w:rsidR="00E56B8D" w:rsidRPr="00BF1D45" w14:paraId="5CBFA2AF" w14:textId="77777777" w:rsidTr="00AE62BB">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573913E7"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43BD6A12"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549B169F" w14:textId="77777777"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Sabiedrības pārstāvji par likumprojektu varēs sniegt savu viedokli </w:t>
            </w:r>
            <w:r w:rsidRPr="00BF1D45">
              <w:rPr>
                <w:rFonts w:ascii="Times New Roman" w:hAnsi="Times New Roman" w:cs="Times New Roman"/>
                <w:bCs/>
                <w:sz w:val="24"/>
                <w:szCs w:val="24"/>
              </w:rPr>
              <w:t>gadskārtējā valsts budžeta likumprojekta izskatīšanas procesā.</w:t>
            </w:r>
          </w:p>
        </w:tc>
      </w:tr>
      <w:tr w:rsidR="00E56B8D" w:rsidRPr="00BF1D45" w14:paraId="12564098" w14:textId="77777777" w:rsidTr="00AE62BB">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3ED0F402"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712DC1CC"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03709D7C" w14:textId="77777777"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sidRPr="00C507EC">
              <w:rPr>
                <w:rFonts w:ascii="Times New Roman" w:hAnsi="Times New Roman" w:cs="Times New Roman"/>
                <w:iCs/>
                <w:spacing w:val="-2"/>
                <w:sz w:val="24"/>
                <w:szCs w:val="24"/>
              </w:rPr>
              <w:t>Sabiedrības pārstāvji varēs līdzdarboties likumprojekta izskatīšanas procesā, rakstveidā sniedzot viedokļus par likumprojektu.</w:t>
            </w:r>
          </w:p>
        </w:tc>
      </w:tr>
      <w:tr w:rsidR="00E56B8D" w:rsidRPr="00BF1D45" w14:paraId="7D5BA5B3" w14:textId="77777777" w:rsidTr="00AE62BB">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11F8B095"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14:paraId="0C9B01CC"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31A0B565"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hAnsi="Times New Roman" w:cs="Times New Roman"/>
                <w:sz w:val="24"/>
                <w:szCs w:val="24"/>
              </w:rPr>
              <w:t>Nav</w:t>
            </w:r>
          </w:p>
        </w:tc>
      </w:tr>
    </w:tbl>
    <w:p w14:paraId="3FF0C534" w14:textId="77777777" w:rsidR="00E56B8D" w:rsidRPr="00BF1D45" w:rsidRDefault="00E56B8D" w:rsidP="00E56B8D">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E56B8D" w:rsidRPr="00BF1D45" w14:paraId="73568EC6" w14:textId="77777777" w:rsidTr="00AE62B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CA3B6D" w14:textId="77777777" w:rsidR="00E56B8D" w:rsidRPr="00BF1D45" w:rsidRDefault="00E56B8D" w:rsidP="00AE62B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D45">
              <w:rPr>
                <w:rFonts w:ascii="Times New Roman" w:eastAsia="Times New Roman" w:hAnsi="Times New Roman" w:cs="Times New Roman"/>
                <w:b/>
                <w:bCs/>
                <w:sz w:val="24"/>
                <w:szCs w:val="24"/>
                <w:lang w:eastAsia="lv-LV"/>
              </w:rPr>
              <w:t>VII. Tiesību akta projekta izpildes nodrošināšana un tās ietekme uz institūcijām</w:t>
            </w:r>
          </w:p>
        </w:tc>
      </w:tr>
      <w:tr w:rsidR="00E56B8D" w:rsidRPr="00BF1D45" w14:paraId="48D69373" w14:textId="77777777" w:rsidTr="00AE62B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AB03B63"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35E32FBD"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2EC14DE8" w14:textId="0D5A8A07" w:rsidR="00E56B8D" w:rsidRPr="00BF1D45" w:rsidRDefault="00E56B8D" w:rsidP="007E45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IAUI</w:t>
            </w:r>
          </w:p>
        </w:tc>
      </w:tr>
      <w:tr w:rsidR="00E56B8D" w:rsidRPr="00BF1D45" w14:paraId="08236385" w14:textId="77777777" w:rsidTr="00AE62B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AE37845"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lastRenderedPageBreak/>
              <w:t>2.</w:t>
            </w:r>
          </w:p>
        </w:tc>
        <w:tc>
          <w:tcPr>
            <w:tcW w:w="1546" w:type="pct"/>
            <w:tcBorders>
              <w:top w:val="outset" w:sz="6" w:space="0" w:color="414142"/>
              <w:left w:val="outset" w:sz="6" w:space="0" w:color="414142"/>
              <w:bottom w:val="outset" w:sz="6" w:space="0" w:color="414142"/>
              <w:right w:val="outset" w:sz="6" w:space="0" w:color="414142"/>
            </w:tcBorders>
            <w:hideMark/>
          </w:tcPr>
          <w:p w14:paraId="3389D292"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Projekta izpildes ietekme uz pārvaldes funkcijām un institucionālo struktūru.</w:t>
            </w:r>
          </w:p>
          <w:p w14:paraId="49600D45" w14:textId="77777777" w:rsidR="00E56B8D" w:rsidRPr="00BF1D45" w:rsidRDefault="00E56B8D" w:rsidP="00AE62BB">
            <w:pPr>
              <w:spacing w:before="100" w:beforeAutospacing="1" w:after="100" w:afterAutospacing="1" w:line="293" w:lineRule="atLeast"/>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04E9EEEE" w14:textId="77777777"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 xml:space="preserve">Jaunu institūciju izveide, esošo institūciju likvidācija vai reorganizācija netiek paredzēta. </w:t>
            </w:r>
          </w:p>
          <w:p w14:paraId="1D7FD24A" w14:textId="77777777"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Funkcijas un uzdevumi netiek grozīti.</w:t>
            </w:r>
          </w:p>
          <w:p w14:paraId="4BB332B4" w14:textId="77777777" w:rsidR="00E56B8D" w:rsidRPr="00BF1D45" w:rsidRDefault="00E56B8D" w:rsidP="00AE62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F76604">
              <w:rPr>
                <w:rFonts w:ascii="Times New Roman" w:eastAsia="Times New Roman" w:hAnsi="Times New Roman" w:cs="Times New Roman"/>
                <w:sz w:val="24"/>
                <w:szCs w:val="24"/>
                <w:lang w:eastAsia="lv-LV"/>
              </w:rPr>
              <w:t>projektā paredzētie pasākumi tiks realizēti</w:t>
            </w:r>
            <w:r w:rsidRPr="00BF1D45">
              <w:rPr>
                <w:rFonts w:ascii="Times New Roman" w:eastAsia="Times New Roman" w:hAnsi="Times New Roman" w:cs="Times New Roman"/>
                <w:sz w:val="24"/>
                <w:szCs w:val="24"/>
                <w:lang w:eastAsia="lv-LV"/>
              </w:rPr>
              <w:t xml:space="preserve"> esošo resursu ietvaros</w:t>
            </w:r>
            <w:r>
              <w:rPr>
                <w:rFonts w:ascii="Times New Roman" w:eastAsia="Times New Roman" w:hAnsi="Times New Roman" w:cs="Times New Roman"/>
                <w:sz w:val="24"/>
                <w:szCs w:val="24"/>
                <w:lang w:eastAsia="lv-LV"/>
              </w:rPr>
              <w:t>.</w:t>
            </w:r>
          </w:p>
          <w:p w14:paraId="34AD0AB8" w14:textId="77777777" w:rsidR="00E56B8D" w:rsidRPr="00BF1D45" w:rsidRDefault="00E56B8D" w:rsidP="00AE62BB">
            <w:pPr>
              <w:rPr>
                <w:rFonts w:ascii="Times New Roman" w:eastAsia="Times New Roman" w:hAnsi="Times New Roman" w:cs="Times New Roman"/>
                <w:sz w:val="24"/>
                <w:szCs w:val="24"/>
                <w:lang w:eastAsia="lv-LV"/>
              </w:rPr>
            </w:pPr>
          </w:p>
          <w:p w14:paraId="6D80FAD3" w14:textId="77777777" w:rsidR="00E56B8D" w:rsidRPr="00BF1D45" w:rsidRDefault="00E56B8D" w:rsidP="00AE62BB">
            <w:pPr>
              <w:tabs>
                <w:tab w:val="left" w:pos="1751"/>
              </w:tabs>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ab/>
            </w:r>
          </w:p>
        </w:tc>
      </w:tr>
      <w:tr w:rsidR="00E56B8D" w:rsidRPr="00BF1D45" w14:paraId="00021F04" w14:textId="77777777" w:rsidTr="00AE62B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0ADAA53"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316C1728"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B879C4DA32984E16A8256A9AC66D69AF"/>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1AC12DAE" w14:textId="77777777" w:rsidR="00E56B8D" w:rsidRPr="00BF1D45" w:rsidRDefault="00E56B8D" w:rsidP="00AE62BB">
                <w:pPr>
                  <w:spacing w:after="0" w:line="240" w:lineRule="auto"/>
                  <w:rPr>
                    <w:rFonts w:ascii="Times New Roman" w:eastAsia="Times New Roman" w:hAnsi="Times New Roman" w:cs="Times New Roman"/>
                    <w:sz w:val="24"/>
                    <w:szCs w:val="24"/>
                    <w:lang w:eastAsia="lv-LV"/>
                  </w:rPr>
                </w:pPr>
                <w:r w:rsidRPr="00BF1D45">
                  <w:rPr>
                    <w:rFonts w:ascii="Times New Roman" w:eastAsia="Times New Roman" w:hAnsi="Times New Roman" w:cs="Times New Roman"/>
                    <w:sz w:val="24"/>
                    <w:szCs w:val="24"/>
                    <w:lang w:eastAsia="lv-LV"/>
                  </w:rPr>
                  <w:t>Nav</w:t>
                </w:r>
              </w:p>
            </w:tc>
          </w:sdtContent>
        </w:sdt>
      </w:tr>
    </w:tbl>
    <w:p w14:paraId="6C6C95C5" w14:textId="77777777" w:rsidR="00E56B8D" w:rsidRPr="00BF1D45" w:rsidRDefault="00E56B8D" w:rsidP="00E56B8D">
      <w:pPr>
        <w:spacing w:after="0" w:line="240" w:lineRule="auto"/>
        <w:rPr>
          <w:rFonts w:ascii="Times New Roman" w:hAnsi="Times New Roman" w:cs="Times New Roman"/>
          <w:sz w:val="25"/>
          <w:szCs w:val="25"/>
        </w:rPr>
      </w:pPr>
    </w:p>
    <w:p w14:paraId="1CBAA50D" w14:textId="77777777" w:rsidR="00E56B8D" w:rsidRPr="00BF1D45" w:rsidRDefault="00E56B8D" w:rsidP="00E56B8D">
      <w:pPr>
        <w:spacing w:after="0" w:line="240" w:lineRule="auto"/>
        <w:rPr>
          <w:rFonts w:ascii="Times New Roman" w:hAnsi="Times New Roman" w:cs="Times New Roman"/>
          <w:sz w:val="25"/>
          <w:szCs w:val="25"/>
        </w:rPr>
      </w:pPr>
    </w:p>
    <w:p w14:paraId="3F5A9626" w14:textId="77777777" w:rsidR="00E56B8D" w:rsidRPr="00BF1D45" w:rsidRDefault="00E56B8D" w:rsidP="00E56B8D">
      <w:pPr>
        <w:tabs>
          <w:tab w:val="left" w:pos="6237"/>
        </w:tabs>
        <w:spacing w:after="0" w:line="240" w:lineRule="auto"/>
        <w:rPr>
          <w:rFonts w:ascii="Times New Roman" w:hAnsi="Times New Roman" w:cs="Times New Roman"/>
          <w:sz w:val="24"/>
          <w:szCs w:val="24"/>
        </w:rPr>
      </w:pPr>
      <w:r w:rsidRPr="00BF1D45">
        <w:rPr>
          <w:rFonts w:ascii="Times New Roman" w:hAnsi="Times New Roman" w:cs="Times New Roman"/>
          <w:sz w:val="24"/>
          <w:szCs w:val="24"/>
        </w:rPr>
        <w:t xml:space="preserve">Finanšu ministrs                                                                                                                </w:t>
      </w:r>
      <w:proofErr w:type="spellStart"/>
      <w:r w:rsidRPr="00BF1D45">
        <w:rPr>
          <w:rFonts w:ascii="Times New Roman" w:hAnsi="Times New Roman" w:cs="Times New Roman"/>
          <w:sz w:val="24"/>
          <w:szCs w:val="24"/>
        </w:rPr>
        <w:t>J.Reirs</w:t>
      </w:r>
      <w:proofErr w:type="spellEnd"/>
    </w:p>
    <w:p w14:paraId="113F1303" w14:textId="77777777" w:rsidR="00E56B8D" w:rsidRPr="00BF1D45" w:rsidRDefault="00E56B8D" w:rsidP="00E56B8D">
      <w:pPr>
        <w:tabs>
          <w:tab w:val="left" w:pos="6237"/>
        </w:tabs>
        <w:spacing w:after="0" w:line="240" w:lineRule="auto"/>
        <w:rPr>
          <w:rFonts w:ascii="Times New Roman" w:hAnsi="Times New Roman" w:cs="Times New Roman"/>
          <w:sz w:val="24"/>
          <w:szCs w:val="24"/>
        </w:rPr>
      </w:pPr>
    </w:p>
    <w:p w14:paraId="3BC92073" w14:textId="77777777" w:rsidR="00E56B8D" w:rsidRPr="00BF1D45" w:rsidRDefault="00E56B8D" w:rsidP="007E7A38">
      <w:pPr>
        <w:tabs>
          <w:tab w:val="left" w:pos="3030"/>
        </w:tabs>
        <w:spacing w:after="0" w:line="240" w:lineRule="auto"/>
        <w:rPr>
          <w:rFonts w:ascii="Times New Roman" w:hAnsi="Times New Roman" w:cs="Times New Roman"/>
          <w:sz w:val="24"/>
          <w:szCs w:val="24"/>
        </w:rPr>
      </w:pPr>
    </w:p>
    <w:p w14:paraId="2DEEA4C2" w14:textId="77777777" w:rsidR="00E56B8D" w:rsidRPr="00BF1D45" w:rsidRDefault="00E56B8D" w:rsidP="00E56B8D">
      <w:pPr>
        <w:tabs>
          <w:tab w:val="left" w:pos="6237"/>
        </w:tabs>
        <w:spacing w:after="0" w:line="240" w:lineRule="auto"/>
        <w:rPr>
          <w:rFonts w:ascii="Times New Roman" w:hAnsi="Times New Roman" w:cs="Times New Roman"/>
          <w:sz w:val="24"/>
          <w:szCs w:val="24"/>
        </w:rPr>
      </w:pPr>
    </w:p>
    <w:p w14:paraId="37337D2B" w14:textId="77777777" w:rsidR="00E56B8D" w:rsidRPr="00BF1D45" w:rsidRDefault="00E56B8D" w:rsidP="00E56B8D">
      <w:pPr>
        <w:tabs>
          <w:tab w:val="left" w:pos="6237"/>
        </w:tabs>
        <w:spacing w:after="0" w:line="240" w:lineRule="auto"/>
        <w:rPr>
          <w:rFonts w:ascii="Times New Roman" w:hAnsi="Times New Roman" w:cs="Times New Roman"/>
          <w:sz w:val="24"/>
          <w:szCs w:val="24"/>
        </w:rPr>
      </w:pPr>
      <w:r w:rsidRPr="00BF1D45">
        <w:rPr>
          <w:rFonts w:ascii="Times New Roman" w:hAnsi="Times New Roman" w:cs="Times New Roman"/>
          <w:sz w:val="24"/>
          <w:szCs w:val="24"/>
        </w:rPr>
        <w:tab/>
      </w:r>
      <w:r w:rsidRPr="00BF1D45">
        <w:rPr>
          <w:rFonts w:ascii="Times New Roman" w:hAnsi="Times New Roman" w:cs="Times New Roman"/>
          <w:sz w:val="24"/>
          <w:szCs w:val="24"/>
        </w:rPr>
        <w:tab/>
      </w:r>
    </w:p>
    <w:p w14:paraId="4D55BA87" w14:textId="77777777" w:rsidR="00E56B8D" w:rsidRPr="00BF1D45" w:rsidRDefault="00E56B8D" w:rsidP="00E56B8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Lukšo</w:t>
      </w:r>
      <w:r w:rsidRPr="00BF1D45">
        <w:rPr>
          <w:rFonts w:ascii="Times New Roman" w:hAnsi="Times New Roman" w:cs="Times New Roman"/>
          <w:sz w:val="20"/>
          <w:szCs w:val="20"/>
        </w:rPr>
        <w:t xml:space="preserve"> 67095</w:t>
      </w:r>
      <w:r>
        <w:rPr>
          <w:rFonts w:ascii="Times New Roman" w:hAnsi="Times New Roman" w:cs="Times New Roman"/>
          <w:sz w:val="20"/>
          <w:szCs w:val="20"/>
        </w:rPr>
        <w:t>52</w:t>
      </w:r>
      <w:r w:rsidRPr="00BF1D45">
        <w:rPr>
          <w:rFonts w:ascii="Times New Roman" w:hAnsi="Times New Roman" w:cs="Times New Roman"/>
          <w:sz w:val="20"/>
          <w:szCs w:val="20"/>
        </w:rPr>
        <w:t>2</w:t>
      </w:r>
    </w:p>
    <w:p w14:paraId="6CE1BA10" w14:textId="77777777" w:rsidR="00E56B8D" w:rsidRPr="00BF1D45" w:rsidRDefault="00FA452D" w:rsidP="00E56B8D">
      <w:pPr>
        <w:tabs>
          <w:tab w:val="center" w:pos="4535"/>
        </w:tabs>
        <w:spacing w:after="0" w:line="240" w:lineRule="auto"/>
        <w:rPr>
          <w:rFonts w:ascii="Times New Roman" w:hAnsi="Times New Roman" w:cs="Times New Roman"/>
          <w:sz w:val="20"/>
          <w:szCs w:val="20"/>
        </w:rPr>
      </w:pPr>
      <w:hyperlink r:id="rId8" w:history="1">
        <w:r w:rsidR="00E56B8D" w:rsidRPr="00C150B6">
          <w:rPr>
            <w:rStyle w:val="Hyperlink"/>
            <w:rFonts w:ascii="Times New Roman" w:hAnsi="Times New Roman" w:cs="Times New Roman"/>
            <w:sz w:val="20"/>
            <w:szCs w:val="20"/>
          </w:rPr>
          <w:t>Irita.Lukso@fm.gov.lv</w:t>
        </w:r>
      </w:hyperlink>
    </w:p>
    <w:p w14:paraId="2AABDCAB" w14:textId="77777777" w:rsidR="00E56B8D" w:rsidRPr="00BF1D45" w:rsidRDefault="00E56B8D" w:rsidP="00E56B8D">
      <w:pPr>
        <w:tabs>
          <w:tab w:val="center" w:pos="4535"/>
        </w:tabs>
        <w:spacing w:after="0" w:line="240" w:lineRule="auto"/>
        <w:rPr>
          <w:rFonts w:ascii="Times New Roman" w:hAnsi="Times New Roman" w:cs="Times New Roman"/>
          <w:sz w:val="20"/>
          <w:szCs w:val="20"/>
        </w:rPr>
      </w:pPr>
      <w:r w:rsidRPr="00BF1D45">
        <w:rPr>
          <w:rFonts w:ascii="Times New Roman" w:hAnsi="Times New Roman" w:cs="Times New Roman"/>
          <w:sz w:val="20"/>
          <w:szCs w:val="20"/>
        </w:rPr>
        <w:t>Trenko 67083983</w:t>
      </w:r>
    </w:p>
    <w:p w14:paraId="1E3D527B" w14:textId="77777777" w:rsidR="00E56B8D" w:rsidRPr="00BC16C6" w:rsidRDefault="00FA452D" w:rsidP="00BC16C6">
      <w:pPr>
        <w:tabs>
          <w:tab w:val="center" w:pos="4535"/>
        </w:tabs>
        <w:spacing w:after="0" w:line="240" w:lineRule="auto"/>
        <w:rPr>
          <w:rFonts w:ascii="Times New Roman" w:hAnsi="Times New Roman" w:cs="Times New Roman"/>
          <w:sz w:val="20"/>
          <w:szCs w:val="20"/>
          <w:u w:val="single"/>
        </w:rPr>
      </w:pPr>
      <w:hyperlink r:id="rId9" w:history="1">
        <w:r w:rsidR="00E56B8D" w:rsidRPr="00061272">
          <w:rPr>
            <w:rStyle w:val="Hyperlink"/>
            <w:rFonts w:ascii="Times New Roman" w:hAnsi="Times New Roman" w:cs="Times New Roman"/>
            <w:sz w:val="20"/>
            <w:szCs w:val="20"/>
          </w:rPr>
          <w:t>Tatjana.Trenko@fm.gov.lv</w:t>
        </w:r>
      </w:hyperlink>
    </w:p>
    <w:p w14:paraId="319201AA" w14:textId="77777777" w:rsidR="00247B1E" w:rsidRDefault="00247B1E"/>
    <w:sectPr w:rsidR="00247B1E" w:rsidSect="001F1B3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B170" w14:textId="77777777" w:rsidR="00077223" w:rsidRDefault="00077223" w:rsidP="00E56B8D">
      <w:pPr>
        <w:spacing w:after="0" w:line="240" w:lineRule="auto"/>
      </w:pPr>
      <w:r>
        <w:separator/>
      </w:r>
    </w:p>
  </w:endnote>
  <w:endnote w:type="continuationSeparator" w:id="0">
    <w:p w14:paraId="7AC28894" w14:textId="77777777" w:rsidR="00077223" w:rsidRDefault="00077223" w:rsidP="00E5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11AC" w14:textId="77777777" w:rsidR="00772F77" w:rsidRDefault="0077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EAA4" w14:textId="4050C7C1" w:rsidR="001F1B3E" w:rsidRPr="00FA452D" w:rsidRDefault="00FA452D" w:rsidP="00FA452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FMAnot_050219_AIL.docx</w:t>
    </w:r>
    <w:r>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7591" w14:textId="5913BF2C" w:rsidR="001F1B3E" w:rsidRPr="00CD4AAC" w:rsidRDefault="00FA452D" w:rsidP="001F1B3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FMAnot_050219_AIL.docx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B51D" w14:textId="77777777" w:rsidR="00077223" w:rsidRDefault="00077223" w:rsidP="00E56B8D">
      <w:pPr>
        <w:spacing w:after="0" w:line="240" w:lineRule="auto"/>
      </w:pPr>
      <w:r>
        <w:separator/>
      </w:r>
    </w:p>
  </w:footnote>
  <w:footnote w:type="continuationSeparator" w:id="0">
    <w:p w14:paraId="3EDC10B4" w14:textId="77777777" w:rsidR="00077223" w:rsidRDefault="00077223" w:rsidP="00E56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D46C" w14:textId="77777777" w:rsidR="00772F77" w:rsidRDefault="0077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7020FB" w14:textId="7E5C4EFC" w:rsidR="001F1B3E" w:rsidRPr="00C25B49" w:rsidRDefault="0007722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452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2EDE" w14:textId="77777777" w:rsidR="00772F77" w:rsidRDefault="0077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1E1F"/>
    <w:multiLevelType w:val="hybridMultilevel"/>
    <w:tmpl w:val="13D092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8246F6"/>
    <w:multiLevelType w:val="hybridMultilevel"/>
    <w:tmpl w:val="D7EAAC74"/>
    <w:lvl w:ilvl="0" w:tplc="B4CEF370">
      <w:start w:val="2"/>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8D"/>
    <w:rsid w:val="00077223"/>
    <w:rsid w:val="0007779B"/>
    <w:rsid w:val="00094099"/>
    <w:rsid w:val="000D690D"/>
    <w:rsid w:val="000E1BB1"/>
    <w:rsid w:val="0015176B"/>
    <w:rsid w:val="00167940"/>
    <w:rsid w:val="001F2547"/>
    <w:rsid w:val="00203CB9"/>
    <w:rsid w:val="00227A73"/>
    <w:rsid w:val="002313C7"/>
    <w:rsid w:val="00247B1E"/>
    <w:rsid w:val="00262269"/>
    <w:rsid w:val="002A4613"/>
    <w:rsid w:val="002B1DF2"/>
    <w:rsid w:val="002C4B5A"/>
    <w:rsid w:val="002D348A"/>
    <w:rsid w:val="002E674C"/>
    <w:rsid w:val="002F4F98"/>
    <w:rsid w:val="00317665"/>
    <w:rsid w:val="003521CC"/>
    <w:rsid w:val="00366896"/>
    <w:rsid w:val="003A6920"/>
    <w:rsid w:val="003D4B63"/>
    <w:rsid w:val="004115BC"/>
    <w:rsid w:val="004401F0"/>
    <w:rsid w:val="004832E3"/>
    <w:rsid w:val="00486BDA"/>
    <w:rsid w:val="0054029A"/>
    <w:rsid w:val="00562B9F"/>
    <w:rsid w:val="005A58A1"/>
    <w:rsid w:val="005C11FD"/>
    <w:rsid w:val="005C35E3"/>
    <w:rsid w:val="005D370E"/>
    <w:rsid w:val="00615837"/>
    <w:rsid w:val="0061730A"/>
    <w:rsid w:val="00617536"/>
    <w:rsid w:val="006B251D"/>
    <w:rsid w:val="00772F77"/>
    <w:rsid w:val="007C650A"/>
    <w:rsid w:val="007E4555"/>
    <w:rsid w:val="007E7A38"/>
    <w:rsid w:val="007F7884"/>
    <w:rsid w:val="00814FDB"/>
    <w:rsid w:val="00827371"/>
    <w:rsid w:val="008422D1"/>
    <w:rsid w:val="00847E5A"/>
    <w:rsid w:val="008D2D73"/>
    <w:rsid w:val="00903036"/>
    <w:rsid w:val="009075F5"/>
    <w:rsid w:val="00910BA9"/>
    <w:rsid w:val="009713FB"/>
    <w:rsid w:val="00983588"/>
    <w:rsid w:val="009C78C8"/>
    <w:rsid w:val="00A75DCE"/>
    <w:rsid w:val="00AC18EE"/>
    <w:rsid w:val="00AC4985"/>
    <w:rsid w:val="00AE5FFA"/>
    <w:rsid w:val="00B048D0"/>
    <w:rsid w:val="00B1282F"/>
    <w:rsid w:val="00B26CAD"/>
    <w:rsid w:val="00B46D48"/>
    <w:rsid w:val="00B77C97"/>
    <w:rsid w:val="00BB56EE"/>
    <w:rsid w:val="00BC16C6"/>
    <w:rsid w:val="00C01415"/>
    <w:rsid w:val="00C26E95"/>
    <w:rsid w:val="00C53413"/>
    <w:rsid w:val="00C579C1"/>
    <w:rsid w:val="00C85DE9"/>
    <w:rsid w:val="00C973F2"/>
    <w:rsid w:val="00CA6A12"/>
    <w:rsid w:val="00D32DB7"/>
    <w:rsid w:val="00D37513"/>
    <w:rsid w:val="00D50C51"/>
    <w:rsid w:val="00D56C29"/>
    <w:rsid w:val="00D86E9A"/>
    <w:rsid w:val="00DD17C9"/>
    <w:rsid w:val="00E00E20"/>
    <w:rsid w:val="00E56B8D"/>
    <w:rsid w:val="00E8107C"/>
    <w:rsid w:val="00E90B52"/>
    <w:rsid w:val="00E9477F"/>
    <w:rsid w:val="00EB3C40"/>
    <w:rsid w:val="00ED0888"/>
    <w:rsid w:val="00F6212A"/>
    <w:rsid w:val="00F76604"/>
    <w:rsid w:val="00F80234"/>
    <w:rsid w:val="00FA452D"/>
    <w:rsid w:val="00FF79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71DD"/>
  <w15:chartTrackingRefBased/>
  <w15:docId w15:val="{D24DF4FB-E868-44B5-A044-24908A82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8D"/>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B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6B8D"/>
    <w:rPr>
      <w:rFonts w:asciiTheme="minorHAnsi" w:hAnsiTheme="minorHAnsi"/>
      <w:sz w:val="22"/>
    </w:rPr>
  </w:style>
  <w:style w:type="paragraph" w:styleId="Footer">
    <w:name w:val="footer"/>
    <w:basedOn w:val="Normal"/>
    <w:link w:val="FooterChar"/>
    <w:uiPriority w:val="99"/>
    <w:unhideWhenUsed/>
    <w:rsid w:val="00E56B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B8D"/>
    <w:rPr>
      <w:rFonts w:asciiTheme="minorHAnsi" w:hAnsiTheme="minorHAnsi"/>
      <w:sz w:val="22"/>
    </w:rPr>
  </w:style>
  <w:style w:type="paragraph" w:styleId="ListParagraph">
    <w:name w:val="List Paragraph"/>
    <w:basedOn w:val="Normal"/>
    <w:uiPriority w:val="34"/>
    <w:qFormat/>
    <w:rsid w:val="00E56B8D"/>
    <w:pPr>
      <w:ind w:left="720"/>
      <w:contextualSpacing/>
    </w:pPr>
  </w:style>
  <w:style w:type="character" w:styleId="Hyperlink">
    <w:name w:val="Hyperlink"/>
    <w:basedOn w:val="DefaultParagraphFont"/>
    <w:uiPriority w:val="99"/>
    <w:unhideWhenUsed/>
    <w:rsid w:val="00E56B8D"/>
    <w:rPr>
      <w:color w:val="0563C1" w:themeColor="hyperlink"/>
      <w:u w:val="single"/>
    </w:rPr>
  </w:style>
  <w:style w:type="paragraph" w:customStyle="1" w:styleId="naislab">
    <w:name w:val="naislab"/>
    <w:basedOn w:val="Normal"/>
    <w:rsid w:val="00E56B8D"/>
    <w:pPr>
      <w:spacing w:before="75" w:after="75" w:line="240" w:lineRule="auto"/>
      <w:jc w:val="right"/>
    </w:pPr>
    <w:rPr>
      <w:rFonts w:ascii="Times New Roman" w:eastAsia="Times New Roman" w:hAnsi="Times New Roman" w:cs="Times New Roman"/>
      <w:sz w:val="24"/>
      <w:szCs w:val="24"/>
      <w:lang w:eastAsia="lv-LV"/>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locked/>
    <w:rsid w:val="00E56B8D"/>
    <w:rPr>
      <w:rFonts w:ascii="Calibri" w:hAnsi="Calibri" w:cs="Calibri"/>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E56B8D"/>
    <w:pPr>
      <w:spacing w:after="0" w:line="240" w:lineRule="auto"/>
    </w:pPr>
    <w:rPr>
      <w:rFonts w:ascii="Calibri" w:hAnsi="Calibri" w:cs="Calibri"/>
      <w:sz w:val="24"/>
    </w:rPr>
  </w:style>
  <w:style w:type="character" w:customStyle="1" w:styleId="FootnoteTextChar1">
    <w:name w:val="Footnote Text Char1"/>
    <w:basedOn w:val="DefaultParagraphFont"/>
    <w:uiPriority w:val="99"/>
    <w:semiHidden/>
    <w:rsid w:val="00E56B8D"/>
    <w:rPr>
      <w:rFonts w:asciiTheme="minorHAnsi" w:hAnsiTheme="minorHAnsi"/>
      <w:sz w:val="20"/>
      <w:szCs w:val="20"/>
    </w:rPr>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Footnote Refernece,E"/>
    <w:basedOn w:val="DefaultParagraphFont"/>
    <w:link w:val="CharCharCharChar"/>
    <w:unhideWhenUsed/>
    <w:qFormat/>
    <w:rsid w:val="00E56B8D"/>
    <w:rPr>
      <w:vertAlign w:val="superscript"/>
    </w:rPr>
  </w:style>
  <w:style w:type="paragraph" w:customStyle="1" w:styleId="CharCharCharChar">
    <w:name w:val="Char Char Char Char"/>
    <w:aliases w:val="Char2"/>
    <w:basedOn w:val="Normal"/>
    <w:link w:val="FootnoteReference"/>
    <w:rsid w:val="00E56B8D"/>
    <w:pPr>
      <w:spacing w:line="240" w:lineRule="exact"/>
      <w:jc w:val="both"/>
    </w:pPr>
    <w:rPr>
      <w:rFonts w:ascii="Times New Roman" w:hAnsi="Times New Roman"/>
      <w:sz w:val="24"/>
      <w:vertAlign w:val="superscript"/>
    </w:rPr>
  </w:style>
  <w:style w:type="table" w:styleId="TableGrid">
    <w:name w:val="Table Grid"/>
    <w:basedOn w:val="TableNormal"/>
    <w:uiPriority w:val="39"/>
    <w:rsid w:val="00E5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56B8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15BC"/>
    <w:rPr>
      <w:sz w:val="16"/>
      <w:szCs w:val="16"/>
    </w:rPr>
  </w:style>
  <w:style w:type="paragraph" w:styleId="CommentText">
    <w:name w:val="annotation text"/>
    <w:basedOn w:val="Normal"/>
    <w:link w:val="CommentTextChar"/>
    <w:uiPriority w:val="99"/>
    <w:semiHidden/>
    <w:unhideWhenUsed/>
    <w:rsid w:val="004115BC"/>
    <w:pPr>
      <w:spacing w:line="240" w:lineRule="auto"/>
    </w:pPr>
    <w:rPr>
      <w:sz w:val="20"/>
      <w:szCs w:val="20"/>
    </w:rPr>
  </w:style>
  <w:style w:type="character" w:customStyle="1" w:styleId="CommentTextChar">
    <w:name w:val="Comment Text Char"/>
    <w:basedOn w:val="DefaultParagraphFont"/>
    <w:link w:val="CommentText"/>
    <w:uiPriority w:val="99"/>
    <w:semiHidden/>
    <w:rsid w:val="004115BC"/>
    <w:rPr>
      <w:rFonts w:asciiTheme="minorHAnsi" w:hAnsiTheme="minorHAnsi"/>
      <w:sz w:val="20"/>
      <w:szCs w:val="20"/>
    </w:rPr>
  </w:style>
  <w:style w:type="paragraph" w:styleId="BalloonText">
    <w:name w:val="Balloon Text"/>
    <w:basedOn w:val="Normal"/>
    <w:link w:val="BalloonTextChar"/>
    <w:uiPriority w:val="99"/>
    <w:semiHidden/>
    <w:unhideWhenUsed/>
    <w:rsid w:val="00411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029A"/>
    <w:rPr>
      <w:b/>
      <w:bCs/>
    </w:rPr>
  </w:style>
  <w:style w:type="character" w:customStyle="1" w:styleId="CommentSubjectChar">
    <w:name w:val="Comment Subject Char"/>
    <w:basedOn w:val="CommentTextChar"/>
    <w:link w:val="CommentSubject"/>
    <w:uiPriority w:val="99"/>
    <w:semiHidden/>
    <w:rsid w:val="0054029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Lukso@f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Trenko@f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000905F8341FAA7FD6A23559617E8"/>
        <w:category>
          <w:name w:val="General"/>
          <w:gallery w:val="placeholder"/>
        </w:category>
        <w:types>
          <w:type w:val="bbPlcHdr"/>
        </w:types>
        <w:behaviors>
          <w:behavior w:val="content"/>
        </w:behaviors>
        <w:guid w:val="{3CDF4B7D-1CC4-4DCF-AE74-D3CBF0E4B253}"/>
      </w:docPartPr>
      <w:docPartBody>
        <w:p w:rsidR="003F6DF9" w:rsidRPr="00894C55" w:rsidRDefault="003F6DF9"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AA0976" w:rsidRDefault="003F6DF9" w:rsidP="003F6DF9">
          <w:pPr>
            <w:pStyle w:val="EB0000905F8341FAA7FD6A23559617E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FCD9A8B0C20549C3AE67BAD7E6BB5478"/>
        <w:category>
          <w:name w:val="General"/>
          <w:gallery w:val="placeholder"/>
        </w:category>
        <w:types>
          <w:type w:val="bbPlcHdr"/>
        </w:types>
        <w:behaviors>
          <w:behavior w:val="content"/>
        </w:behaviors>
        <w:guid w:val="{8731F8BE-0482-41F0-BD0B-92AEF0BAEDA2}"/>
      </w:docPartPr>
      <w:docPartBody>
        <w:p w:rsidR="003F6DF9" w:rsidRPr="00894C55" w:rsidRDefault="003F6DF9"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AA0976" w:rsidRDefault="003F6DF9" w:rsidP="003F6DF9">
          <w:pPr>
            <w:pStyle w:val="FCD9A8B0C20549C3AE67BAD7E6BB547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B879C4DA32984E16A8256A9AC66D69AF"/>
        <w:category>
          <w:name w:val="General"/>
          <w:gallery w:val="placeholder"/>
        </w:category>
        <w:types>
          <w:type w:val="bbPlcHdr"/>
        </w:types>
        <w:behaviors>
          <w:behavior w:val="content"/>
        </w:behaviors>
        <w:guid w:val="{35D61C33-D609-4A98-AE3E-4C5A3A0A3CE3}"/>
      </w:docPartPr>
      <w:docPartBody>
        <w:p w:rsidR="003F6DF9" w:rsidRPr="00894C55" w:rsidRDefault="003F6DF9"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AA0976" w:rsidRDefault="003F6DF9" w:rsidP="003F6DF9">
          <w:pPr>
            <w:pStyle w:val="B879C4DA32984E16A8256A9AC66D69A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F9"/>
    <w:rsid w:val="003F6DF9"/>
    <w:rsid w:val="00AA0976"/>
    <w:rsid w:val="00B17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000905F8341FAA7FD6A23559617E8">
    <w:name w:val="EB0000905F8341FAA7FD6A23559617E8"/>
    <w:rsid w:val="003F6DF9"/>
  </w:style>
  <w:style w:type="paragraph" w:customStyle="1" w:styleId="FCD9A8B0C20549C3AE67BAD7E6BB5478">
    <w:name w:val="FCD9A8B0C20549C3AE67BAD7E6BB5478"/>
    <w:rsid w:val="003F6DF9"/>
  </w:style>
  <w:style w:type="paragraph" w:customStyle="1" w:styleId="B879C4DA32984E16A8256A9AC66D69AF">
    <w:name w:val="B879C4DA32984E16A8256A9AC66D69AF"/>
    <w:rsid w:val="003F6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CBE3-EBE2-4AE8-9319-7B6EAAAB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7393</Words>
  <Characters>4215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Azartspēļu un izložu likumā” </vt:lpstr>
    </vt:vector>
  </TitlesOfParts>
  <Company>Finanšu ministrija</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dc:title>
  <dc:subject>Anotācija</dc:subject>
  <dc:creator>Irita Lukšo</dc:creator>
  <cp:keywords/>
  <dc:description>Irita.Lukso@fm.gov.lv; tālr.6709552_x000d_
Tatjana.Trenko@fm.gov.lv, tālr.67083983</dc:description>
  <cp:lastModifiedBy>Jana Salmiņa</cp:lastModifiedBy>
  <cp:revision>66</cp:revision>
  <cp:lastPrinted>2019-02-15T12:07:00Z</cp:lastPrinted>
  <dcterms:created xsi:type="dcterms:W3CDTF">2019-02-07T13:22:00Z</dcterms:created>
  <dcterms:modified xsi:type="dcterms:W3CDTF">2019-02-15T14:45:00Z</dcterms:modified>
</cp:coreProperties>
</file>