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1A027" w14:textId="50EA383C" w:rsidR="00DC542A" w:rsidRPr="003414F0" w:rsidRDefault="00DC542A" w:rsidP="00DC542A">
      <w:pPr>
        <w:pStyle w:val="naislab"/>
        <w:spacing w:before="0" w:after="0"/>
        <w:jc w:val="center"/>
        <w:rPr>
          <w:b/>
        </w:rPr>
      </w:pPr>
      <w:r w:rsidRPr="003414F0">
        <w:rPr>
          <w:b/>
        </w:rPr>
        <w:t xml:space="preserve">Likumprojekta “Grozījumi </w:t>
      </w:r>
      <w:r w:rsidR="006A32CB" w:rsidRPr="003414F0">
        <w:rPr>
          <w:b/>
        </w:rPr>
        <w:t>Elektronisko sakaru likumā</w:t>
      </w:r>
      <w:r w:rsidRPr="003414F0">
        <w:rPr>
          <w:b/>
        </w:rPr>
        <w:t xml:space="preserve">” </w:t>
      </w:r>
    </w:p>
    <w:p w14:paraId="1BE9D036" w14:textId="77777777" w:rsidR="00DC542A" w:rsidRPr="003414F0" w:rsidRDefault="00DC542A" w:rsidP="00DC542A">
      <w:pPr>
        <w:pStyle w:val="naislab"/>
        <w:spacing w:before="0" w:after="0"/>
        <w:jc w:val="center"/>
        <w:rPr>
          <w:b/>
        </w:rPr>
      </w:pPr>
      <w:r w:rsidRPr="003414F0">
        <w:rPr>
          <w:b/>
        </w:rPr>
        <w:t>sākotnējās ietekmes novērtējuma ziņojums (anotācija)</w:t>
      </w:r>
    </w:p>
    <w:p w14:paraId="73E56B80" w14:textId="77777777" w:rsidR="003A0997" w:rsidRPr="003414F0" w:rsidRDefault="003A0997" w:rsidP="003A0997">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3A0997" w:rsidRPr="00665C7F" w14:paraId="6E4E60D8" w14:textId="77777777" w:rsidTr="00553F2A">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359FD11" w14:textId="77777777" w:rsidR="003A0997" w:rsidRPr="00665C7F" w:rsidRDefault="003A0997" w:rsidP="00553F2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65C7F">
              <w:rPr>
                <w:rFonts w:ascii="Times New Roman" w:eastAsia="Times New Roman" w:hAnsi="Times New Roman" w:cs="Times New Roman"/>
                <w:b/>
                <w:bCs/>
                <w:sz w:val="24"/>
                <w:szCs w:val="24"/>
                <w:lang w:eastAsia="lv-LV"/>
              </w:rPr>
              <w:t>Tiesību akta projekta anotācijas kopsavilkums</w:t>
            </w:r>
          </w:p>
        </w:tc>
      </w:tr>
      <w:tr w:rsidR="003A0997" w:rsidRPr="00665C7F" w14:paraId="7F51A86E" w14:textId="77777777" w:rsidTr="00553F2A">
        <w:tc>
          <w:tcPr>
            <w:tcW w:w="1796" w:type="pct"/>
            <w:tcBorders>
              <w:top w:val="outset" w:sz="6" w:space="0" w:color="414142"/>
              <w:left w:val="outset" w:sz="6" w:space="0" w:color="414142"/>
              <w:bottom w:val="outset" w:sz="6" w:space="0" w:color="414142"/>
              <w:right w:val="outset" w:sz="6" w:space="0" w:color="414142"/>
            </w:tcBorders>
            <w:hideMark/>
          </w:tcPr>
          <w:p w14:paraId="4FE63F58" w14:textId="77777777" w:rsidR="003A0997" w:rsidRPr="00665C7F" w:rsidRDefault="003A0997" w:rsidP="00553F2A">
            <w:pPr>
              <w:spacing w:after="0" w:line="240" w:lineRule="auto"/>
              <w:jc w:val="both"/>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Mērķis, risinājums un projekta spēkā stāšanās laiks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05AC3F72" w14:textId="3F3E3073" w:rsidR="008A7CF3" w:rsidRDefault="008A7CF3" w:rsidP="00553F2A">
            <w:pPr>
              <w:spacing w:after="0" w:line="240" w:lineRule="auto"/>
              <w:jc w:val="both"/>
              <w:rPr>
                <w:rFonts w:ascii="Times New Roman" w:hAnsi="Times New Roman" w:cs="Times New Roman"/>
                <w:sz w:val="24"/>
                <w:szCs w:val="24"/>
              </w:rPr>
            </w:pPr>
            <w:r w:rsidRPr="00CB08AF">
              <w:rPr>
                <w:rFonts w:ascii="Times New Roman" w:hAnsi="Times New Roman" w:cs="Times New Roman"/>
                <w:sz w:val="24"/>
                <w:szCs w:val="24"/>
              </w:rPr>
              <w:t xml:space="preserve">Grozījumi </w:t>
            </w:r>
            <w:r w:rsidR="006D4B6F" w:rsidRPr="00CB08AF">
              <w:rPr>
                <w:rFonts w:ascii="Times New Roman" w:hAnsi="Times New Roman" w:cs="Times New Roman"/>
                <w:sz w:val="24"/>
                <w:szCs w:val="24"/>
              </w:rPr>
              <w:t>Elektronisko sakaru likumā</w:t>
            </w:r>
            <w:r w:rsidR="004F05A5" w:rsidRPr="00CB08AF">
              <w:rPr>
                <w:rFonts w:ascii="Times New Roman" w:hAnsi="Times New Roman" w:cs="Times New Roman"/>
                <w:sz w:val="24"/>
                <w:szCs w:val="24"/>
              </w:rPr>
              <w:t xml:space="preserve"> (turpmāk - likumprojekts)</w:t>
            </w:r>
            <w:r w:rsidR="006D4B6F" w:rsidRPr="00CB08AF">
              <w:rPr>
                <w:rFonts w:ascii="Times New Roman" w:hAnsi="Times New Roman" w:cs="Times New Roman"/>
                <w:sz w:val="24"/>
                <w:szCs w:val="24"/>
              </w:rPr>
              <w:t xml:space="preserve"> </w:t>
            </w:r>
            <w:r w:rsidRPr="00CB08AF">
              <w:rPr>
                <w:rFonts w:ascii="Times New Roman" w:hAnsi="Times New Roman" w:cs="Times New Roman"/>
                <w:sz w:val="24"/>
                <w:szCs w:val="24"/>
              </w:rPr>
              <w:t>tiek virzīti vienlaicīgi ar grozījumiem</w:t>
            </w:r>
            <w:r w:rsidR="006D4B6F" w:rsidRPr="00CB08AF">
              <w:rPr>
                <w:rFonts w:ascii="Times New Roman" w:hAnsi="Times New Roman" w:cs="Times New Roman"/>
                <w:sz w:val="24"/>
                <w:szCs w:val="24"/>
              </w:rPr>
              <w:t xml:space="preserve"> Azartspēļu un izložu likumā</w:t>
            </w:r>
            <w:r w:rsidR="002A2D71" w:rsidRPr="00CB08AF">
              <w:rPr>
                <w:rFonts w:ascii="Times New Roman" w:hAnsi="Times New Roman" w:cs="Times New Roman"/>
                <w:sz w:val="24"/>
                <w:szCs w:val="24"/>
              </w:rPr>
              <w:t xml:space="preserve">, grozījumiem Latvijas </w:t>
            </w:r>
            <w:r w:rsidR="00A86BF6" w:rsidRPr="00CB08AF">
              <w:rPr>
                <w:rFonts w:ascii="Times New Roman" w:hAnsi="Times New Roman" w:cs="Times New Roman"/>
                <w:sz w:val="24"/>
                <w:szCs w:val="24"/>
              </w:rPr>
              <w:t>A</w:t>
            </w:r>
            <w:r w:rsidR="002A2D71" w:rsidRPr="00CB08AF">
              <w:rPr>
                <w:rFonts w:ascii="Times New Roman" w:hAnsi="Times New Roman" w:cs="Times New Roman"/>
                <w:sz w:val="24"/>
                <w:szCs w:val="24"/>
              </w:rPr>
              <w:t xml:space="preserve">dministratīvo pārkāpumu </w:t>
            </w:r>
            <w:r w:rsidR="00A86BF6" w:rsidRPr="00CB08AF">
              <w:rPr>
                <w:rFonts w:ascii="Times New Roman" w:hAnsi="Times New Roman" w:cs="Times New Roman"/>
                <w:sz w:val="24"/>
                <w:szCs w:val="24"/>
              </w:rPr>
              <w:t>kodeksā</w:t>
            </w:r>
            <w:r w:rsidR="00CB08AF">
              <w:rPr>
                <w:rFonts w:ascii="Times New Roman" w:hAnsi="Times New Roman" w:cs="Times New Roman"/>
                <w:sz w:val="24"/>
                <w:szCs w:val="24"/>
              </w:rPr>
              <w:t xml:space="preserve"> un </w:t>
            </w:r>
            <w:r w:rsidR="002A2D71" w:rsidRPr="00CB08AF">
              <w:rPr>
                <w:rFonts w:ascii="Times New Roman" w:hAnsi="Times New Roman" w:cs="Times New Roman"/>
                <w:sz w:val="24"/>
                <w:szCs w:val="24"/>
              </w:rPr>
              <w:t xml:space="preserve">grozījumiem </w:t>
            </w:r>
            <w:r w:rsidR="00CB08AF">
              <w:rPr>
                <w:rFonts w:ascii="Times New Roman" w:hAnsi="Times New Roman" w:cs="Times New Roman"/>
                <w:sz w:val="24"/>
                <w:szCs w:val="24"/>
              </w:rPr>
              <w:t>Maksāj</w:t>
            </w:r>
            <w:r w:rsidR="008E0027">
              <w:rPr>
                <w:rFonts w:ascii="Times New Roman" w:hAnsi="Times New Roman" w:cs="Times New Roman"/>
                <w:sz w:val="24"/>
                <w:szCs w:val="24"/>
              </w:rPr>
              <w:t>um</w:t>
            </w:r>
            <w:r w:rsidR="00CB08AF">
              <w:rPr>
                <w:rFonts w:ascii="Times New Roman" w:hAnsi="Times New Roman" w:cs="Times New Roman"/>
                <w:sz w:val="24"/>
                <w:szCs w:val="24"/>
              </w:rPr>
              <w:t>u pakalpojumu un elektroniskās naudas likumā</w:t>
            </w:r>
            <w:r w:rsidR="00382E59" w:rsidRPr="00CB08AF">
              <w:rPr>
                <w:rFonts w:ascii="Times New Roman" w:hAnsi="Times New Roman" w:cs="Times New Roman"/>
                <w:sz w:val="24"/>
                <w:szCs w:val="24"/>
              </w:rPr>
              <w:t>.</w:t>
            </w:r>
          </w:p>
          <w:p w14:paraId="2C7FA906" w14:textId="26BFFE38" w:rsidR="00CB08AF" w:rsidRPr="00CB08AF" w:rsidRDefault="00E5338E" w:rsidP="00553F2A">
            <w:pPr>
              <w:spacing w:after="0" w:line="240" w:lineRule="auto"/>
              <w:jc w:val="both"/>
              <w:rPr>
                <w:rFonts w:ascii="Times New Roman" w:hAnsi="Times New Roman" w:cs="Times New Roman"/>
                <w:sz w:val="24"/>
                <w:szCs w:val="24"/>
              </w:rPr>
            </w:pPr>
            <w:r w:rsidRPr="00020082">
              <w:rPr>
                <w:rFonts w:ascii="Times New Roman" w:hAnsi="Times New Roman" w:cs="Times New Roman"/>
                <w:sz w:val="24"/>
                <w:szCs w:val="24"/>
              </w:rPr>
              <w:t>Likumprojekta mērķis ir aizsargāt sabiedrības in</w:t>
            </w:r>
            <w:r w:rsidR="009F6D5C" w:rsidRPr="00020082">
              <w:rPr>
                <w:rFonts w:ascii="Times New Roman" w:hAnsi="Times New Roman" w:cs="Times New Roman"/>
                <w:sz w:val="24"/>
                <w:szCs w:val="24"/>
              </w:rPr>
              <w:t xml:space="preserve">tereses, </w:t>
            </w:r>
            <w:r w:rsidR="00F31F9E">
              <w:rPr>
                <w:rFonts w:ascii="Times New Roman" w:hAnsi="Times New Roman" w:cs="Times New Roman"/>
                <w:sz w:val="24"/>
                <w:szCs w:val="24"/>
              </w:rPr>
              <w:t>nodrošinot, ka ir samazināta piekļuve</w:t>
            </w:r>
            <w:r w:rsidRPr="00020082">
              <w:rPr>
                <w:rFonts w:ascii="Times New Roman" w:hAnsi="Times New Roman" w:cs="Times New Roman"/>
                <w:sz w:val="24"/>
                <w:szCs w:val="24"/>
              </w:rPr>
              <w:t xml:space="preserve"> interaktīv</w:t>
            </w:r>
            <w:r w:rsidR="00F31F9E">
              <w:rPr>
                <w:rFonts w:ascii="Times New Roman" w:hAnsi="Times New Roman" w:cs="Times New Roman"/>
                <w:sz w:val="24"/>
                <w:szCs w:val="24"/>
              </w:rPr>
              <w:t>ām azartspēlēm</w:t>
            </w:r>
            <w:r w:rsidRPr="00020082">
              <w:rPr>
                <w:rFonts w:ascii="Times New Roman" w:hAnsi="Times New Roman" w:cs="Times New Roman"/>
                <w:sz w:val="24"/>
                <w:szCs w:val="24"/>
              </w:rPr>
              <w:t xml:space="preserve"> vai interaktīv</w:t>
            </w:r>
            <w:r w:rsidR="00F31F9E">
              <w:rPr>
                <w:rFonts w:ascii="Times New Roman" w:hAnsi="Times New Roman" w:cs="Times New Roman"/>
                <w:sz w:val="24"/>
                <w:szCs w:val="24"/>
              </w:rPr>
              <w:t>ām izlozēm, kas</w:t>
            </w:r>
            <w:r w:rsidRPr="00020082">
              <w:rPr>
                <w:rFonts w:ascii="Times New Roman" w:hAnsi="Times New Roman" w:cs="Times New Roman"/>
                <w:sz w:val="24"/>
                <w:szCs w:val="24"/>
              </w:rPr>
              <w:t xml:space="preserve"> nav licencēt</w:t>
            </w:r>
            <w:r w:rsidR="00F31F9E">
              <w:rPr>
                <w:rFonts w:ascii="Times New Roman" w:hAnsi="Times New Roman" w:cs="Times New Roman"/>
                <w:sz w:val="24"/>
                <w:szCs w:val="24"/>
              </w:rPr>
              <w:t>a</w:t>
            </w:r>
            <w:r w:rsidRPr="00020082">
              <w:rPr>
                <w:rFonts w:ascii="Times New Roman" w:hAnsi="Times New Roman" w:cs="Times New Roman"/>
                <w:sz w:val="24"/>
                <w:szCs w:val="24"/>
              </w:rPr>
              <w:t xml:space="preserve">s </w:t>
            </w:r>
            <w:r w:rsidR="003E3767">
              <w:rPr>
                <w:rFonts w:ascii="Times New Roman" w:hAnsi="Times New Roman" w:cs="Times New Roman"/>
                <w:sz w:val="24"/>
                <w:szCs w:val="24"/>
              </w:rPr>
              <w:t>Latvijas Republikā</w:t>
            </w:r>
            <w:r w:rsidRPr="00020082">
              <w:rPr>
                <w:rFonts w:ascii="Times New Roman" w:hAnsi="Times New Roman" w:cs="Times New Roman"/>
                <w:sz w:val="24"/>
                <w:szCs w:val="24"/>
              </w:rPr>
              <w:t xml:space="preserve">. Uzlabosies uzņēmējdarbības vide, jo tiks veicināta godīga konkurence starp interaktīvo azartspēļu un interaktīvo izložu organizētājiem </w:t>
            </w:r>
            <w:r w:rsidR="003E3767">
              <w:rPr>
                <w:rFonts w:ascii="Times New Roman" w:hAnsi="Times New Roman" w:cs="Times New Roman"/>
                <w:sz w:val="24"/>
                <w:szCs w:val="24"/>
              </w:rPr>
              <w:t>Latvijas Republikā</w:t>
            </w:r>
            <w:r w:rsidRPr="00020082">
              <w:rPr>
                <w:rFonts w:ascii="Times New Roman" w:hAnsi="Times New Roman" w:cs="Times New Roman"/>
                <w:sz w:val="24"/>
                <w:szCs w:val="24"/>
              </w:rPr>
              <w:t>, kā arī palielināsies nodokļu ieņēmumi valsts budžetā, jo tiks mazināts nelicencētais interaktīvo azartspēļu un interaktīvo izložu tirgus.</w:t>
            </w:r>
            <w:r>
              <w:rPr>
                <w:rFonts w:ascii="Times New Roman" w:hAnsi="Times New Roman" w:cs="Times New Roman"/>
                <w:sz w:val="24"/>
                <w:szCs w:val="24"/>
              </w:rPr>
              <w:t xml:space="preserve"> </w:t>
            </w:r>
            <w:r w:rsidR="00927EA6">
              <w:rPr>
                <w:rFonts w:ascii="Times New Roman" w:hAnsi="Times New Roman" w:cs="Times New Roman"/>
                <w:sz w:val="24"/>
                <w:szCs w:val="24"/>
              </w:rPr>
              <w:t xml:space="preserve"> </w:t>
            </w:r>
          </w:p>
          <w:p w14:paraId="3C0AA466" w14:textId="630D8F2C" w:rsidR="008A7CF3" w:rsidRPr="00665C7F" w:rsidRDefault="00ED47DC" w:rsidP="00ED47DC">
            <w:pPr>
              <w:spacing w:after="0" w:line="240" w:lineRule="auto"/>
              <w:jc w:val="both"/>
              <w:rPr>
                <w:rFonts w:ascii="Times New Roman" w:hAnsi="Times New Roman" w:cs="Times New Roman"/>
                <w:sz w:val="24"/>
                <w:szCs w:val="24"/>
              </w:rPr>
            </w:pPr>
            <w:r w:rsidRPr="00ED47DC">
              <w:rPr>
                <w:rFonts w:ascii="Times New Roman" w:hAnsi="Times New Roman" w:cs="Times New Roman"/>
                <w:sz w:val="24"/>
                <w:szCs w:val="24"/>
              </w:rPr>
              <w:t>Likums stājas spēkā nākamajā dienā pēc tā izsludināšanas.</w:t>
            </w:r>
          </w:p>
        </w:tc>
      </w:tr>
    </w:tbl>
    <w:p w14:paraId="7AB779D2" w14:textId="77777777" w:rsidR="003A0997" w:rsidRPr="00665C7F" w:rsidRDefault="003A0997" w:rsidP="003A0997">
      <w:pPr>
        <w:shd w:val="clear" w:color="auto" w:fill="FFFFFF"/>
        <w:spacing w:before="45" w:after="0" w:line="248" w:lineRule="atLeast"/>
        <w:ind w:firstLine="300"/>
        <w:jc w:val="center"/>
        <w:rPr>
          <w:rFonts w:ascii="Times New Roman" w:eastAsia="Times New Roman" w:hAnsi="Times New Roman" w:cs="Times New Roman"/>
          <w:iCs/>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3A0997" w:rsidRPr="00665C7F" w14:paraId="27E21EE3" w14:textId="77777777" w:rsidTr="00553F2A">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C962D9" w14:textId="77777777" w:rsidR="003A0997" w:rsidRPr="00665C7F" w:rsidRDefault="003A0997" w:rsidP="00553F2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65C7F">
              <w:rPr>
                <w:rFonts w:ascii="Times New Roman" w:eastAsia="Times New Roman" w:hAnsi="Times New Roman" w:cs="Times New Roman"/>
                <w:b/>
                <w:bCs/>
                <w:sz w:val="24"/>
                <w:szCs w:val="24"/>
                <w:lang w:eastAsia="lv-LV"/>
              </w:rPr>
              <w:t>I. Tiesību akta projekta izstrādes nepieciešamība</w:t>
            </w:r>
          </w:p>
        </w:tc>
      </w:tr>
      <w:tr w:rsidR="003A0997" w:rsidRPr="00665C7F" w14:paraId="5E16E582" w14:textId="77777777" w:rsidTr="00553F2A">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28C7AE47" w14:textId="77777777" w:rsidR="003A0997" w:rsidRPr="00665C7F" w:rsidRDefault="003A0997" w:rsidP="00553F2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0F759C08"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2DEFA843" w14:textId="004A4D1D" w:rsidR="00647717" w:rsidRPr="00665C7F" w:rsidRDefault="00294147" w:rsidP="00C936CD">
            <w:pPr>
              <w:spacing w:after="0" w:line="240" w:lineRule="auto"/>
              <w:jc w:val="both"/>
              <w:rPr>
                <w:rFonts w:ascii="Times New Roman" w:hAnsi="Times New Roman" w:cs="Times New Roman"/>
                <w:bCs/>
                <w:color w:val="000000" w:themeColor="text1"/>
                <w:sz w:val="24"/>
                <w:szCs w:val="24"/>
              </w:rPr>
            </w:pPr>
            <w:r w:rsidRPr="00294147">
              <w:rPr>
                <w:rFonts w:ascii="Times New Roman" w:hAnsi="Times New Roman" w:cs="Times New Roman"/>
                <w:color w:val="000000" w:themeColor="text1"/>
                <w:sz w:val="24"/>
                <w:szCs w:val="24"/>
              </w:rPr>
              <w:t>Likumprojekts izstrādāts, pamatojoties uz Ministru kabineta 201</w:t>
            </w:r>
            <w:r w:rsidR="00C936CD">
              <w:rPr>
                <w:rFonts w:ascii="Times New Roman" w:hAnsi="Times New Roman" w:cs="Times New Roman"/>
                <w:color w:val="000000" w:themeColor="text1"/>
                <w:sz w:val="24"/>
                <w:szCs w:val="24"/>
              </w:rPr>
              <w:t>9</w:t>
            </w:r>
            <w:r w:rsidRPr="00294147">
              <w:rPr>
                <w:rFonts w:ascii="Times New Roman" w:hAnsi="Times New Roman" w:cs="Times New Roman"/>
                <w:color w:val="000000" w:themeColor="text1"/>
                <w:sz w:val="24"/>
                <w:szCs w:val="24"/>
              </w:rPr>
              <w:t>.gada 5.februāra sēdes protokollēmuma (prot. Nr.</w:t>
            </w:r>
            <w:r w:rsidR="00C936CD">
              <w:rPr>
                <w:rFonts w:ascii="Times New Roman" w:hAnsi="Times New Roman" w:cs="Times New Roman"/>
                <w:color w:val="000000" w:themeColor="text1"/>
                <w:sz w:val="24"/>
                <w:szCs w:val="24"/>
              </w:rPr>
              <w:t>5</w:t>
            </w:r>
            <w:r w:rsidRPr="00294147">
              <w:rPr>
                <w:rFonts w:ascii="Times New Roman" w:hAnsi="Times New Roman" w:cs="Times New Roman"/>
                <w:color w:val="000000" w:themeColor="text1"/>
                <w:sz w:val="24"/>
                <w:szCs w:val="24"/>
              </w:rPr>
              <w:t xml:space="preserve"> </w:t>
            </w:r>
            <w:r w:rsidR="00C936CD">
              <w:rPr>
                <w:rFonts w:ascii="Times New Roman" w:hAnsi="Times New Roman" w:cs="Times New Roman"/>
                <w:color w:val="000000" w:themeColor="text1"/>
                <w:sz w:val="24"/>
                <w:szCs w:val="24"/>
              </w:rPr>
              <w:t>30</w:t>
            </w:r>
            <w:r w:rsidRPr="00294147">
              <w:rPr>
                <w:rFonts w:ascii="Times New Roman" w:hAnsi="Times New Roman" w:cs="Times New Roman"/>
                <w:color w:val="000000" w:themeColor="text1"/>
                <w:sz w:val="24"/>
                <w:szCs w:val="24"/>
              </w:rPr>
              <w:t xml:space="preserve">.§) “Informatīvais ziņojums “Par makroekonomisko rādītāju, ieņēmumu un vispārējās valdības budžeta bilances prognozēm 2019.-2021.gadā”” </w:t>
            </w:r>
            <w:r w:rsidR="0086171F">
              <w:rPr>
                <w:rFonts w:ascii="Times New Roman" w:hAnsi="Times New Roman" w:cs="Times New Roman"/>
                <w:color w:val="000000" w:themeColor="text1"/>
                <w:sz w:val="24"/>
                <w:szCs w:val="24"/>
              </w:rPr>
              <w:t xml:space="preserve">8.2., </w:t>
            </w:r>
            <w:r w:rsidR="008E0027">
              <w:rPr>
                <w:rFonts w:ascii="Times New Roman" w:hAnsi="Times New Roman" w:cs="Times New Roman"/>
                <w:color w:val="000000" w:themeColor="text1"/>
                <w:sz w:val="24"/>
                <w:szCs w:val="24"/>
              </w:rPr>
              <w:t xml:space="preserve">8.5. un </w:t>
            </w:r>
            <w:r w:rsidR="00C936CD">
              <w:rPr>
                <w:rFonts w:ascii="Times New Roman" w:hAnsi="Times New Roman" w:cs="Times New Roman"/>
                <w:color w:val="000000" w:themeColor="text1"/>
                <w:sz w:val="24"/>
                <w:szCs w:val="24"/>
              </w:rPr>
              <w:t>8</w:t>
            </w:r>
            <w:r w:rsidRPr="002941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Pr="00294147">
              <w:rPr>
                <w:rFonts w:ascii="Times New Roman" w:hAnsi="Times New Roman" w:cs="Times New Roman"/>
                <w:color w:val="000000" w:themeColor="text1"/>
                <w:sz w:val="24"/>
                <w:szCs w:val="24"/>
              </w:rPr>
              <w:t>.apakšpunktā doto uzdevumu.</w:t>
            </w:r>
          </w:p>
        </w:tc>
      </w:tr>
      <w:tr w:rsidR="003A0997" w:rsidRPr="00665C7F" w14:paraId="7458E130" w14:textId="77777777" w:rsidTr="00553F2A">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4A9AE0D3" w14:textId="7E50B4AA" w:rsidR="003A0997" w:rsidRPr="00665C7F" w:rsidRDefault="003A0997" w:rsidP="00CB08A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616490B4" w14:textId="09756286" w:rsidR="00EA6C5E" w:rsidRDefault="003A0997" w:rsidP="00CB08AF">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DEB0940" w14:textId="77777777" w:rsidR="00EA6C5E" w:rsidRPr="00EA6C5E" w:rsidRDefault="00EA6C5E" w:rsidP="00EA6C5E">
            <w:pPr>
              <w:rPr>
                <w:rFonts w:ascii="Times New Roman" w:eastAsia="Times New Roman" w:hAnsi="Times New Roman" w:cs="Times New Roman"/>
                <w:sz w:val="24"/>
                <w:szCs w:val="24"/>
                <w:lang w:eastAsia="lv-LV"/>
              </w:rPr>
            </w:pPr>
          </w:p>
          <w:p w14:paraId="7E60A23A" w14:textId="77777777" w:rsidR="00EA6C5E" w:rsidRPr="00EA6C5E" w:rsidRDefault="00EA6C5E" w:rsidP="00EA6C5E">
            <w:pPr>
              <w:rPr>
                <w:rFonts w:ascii="Times New Roman" w:eastAsia="Times New Roman" w:hAnsi="Times New Roman" w:cs="Times New Roman"/>
                <w:sz w:val="24"/>
                <w:szCs w:val="24"/>
                <w:lang w:eastAsia="lv-LV"/>
              </w:rPr>
            </w:pPr>
          </w:p>
          <w:p w14:paraId="1833BF90" w14:textId="77777777" w:rsidR="00EA6C5E" w:rsidRPr="00EA6C5E" w:rsidRDefault="00EA6C5E" w:rsidP="00EA6C5E">
            <w:pPr>
              <w:rPr>
                <w:rFonts w:ascii="Times New Roman" w:eastAsia="Times New Roman" w:hAnsi="Times New Roman" w:cs="Times New Roman"/>
                <w:sz w:val="24"/>
                <w:szCs w:val="24"/>
                <w:lang w:eastAsia="lv-LV"/>
              </w:rPr>
            </w:pPr>
          </w:p>
          <w:p w14:paraId="459E5898" w14:textId="77777777" w:rsidR="00EA6C5E" w:rsidRPr="00EA6C5E" w:rsidRDefault="00EA6C5E" w:rsidP="00EA6C5E">
            <w:pPr>
              <w:rPr>
                <w:rFonts w:ascii="Times New Roman" w:eastAsia="Times New Roman" w:hAnsi="Times New Roman" w:cs="Times New Roman"/>
                <w:sz w:val="24"/>
                <w:szCs w:val="24"/>
                <w:lang w:eastAsia="lv-LV"/>
              </w:rPr>
            </w:pPr>
          </w:p>
          <w:p w14:paraId="79570470" w14:textId="77777777" w:rsidR="00EA6C5E" w:rsidRPr="00EA6C5E" w:rsidRDefault="00EA6C5E" w:rsidP="00EA6C5E">
            <w:pPr>
              <w:rPr>
                <w:rFonts w:ascii="Times New Roman" w:eastAsia="Times New Roman" w:hAnsi="Times New Roman" w:cs="Times New Roman"/>
                <w:sz w:val="24"/>
                <w:szCs w:val="24"/>
                <w:lang w:eastAsia="lv-LV"/>
              </w:rPr>
            </w:pPr>
          </w:p>
          <w:p w14:paraId="5D9E03AD" w14:textId="77777777" w:rsidR="00EA6C5E" w:rsidRPr="00EA6C5E" w:rsidRDefault="00EA6C5E" w:rsidP="00EA6C5E">
            <w:pPr>
              <w:rPr>
                <w:rFonts w:ascii="Times New Roman" w:eastAsia="Times New Roman" w:hAnsi="Times New Roman" w:cs="Times New Roman"/>
                <w:sz w:val="24"/>
                <w:szCs w:val="24"/>
                <w:lang w:eastAsia="lv-LV"/>
              </w:rPr>
            </w:pPr>
          </w:p>
          <w:p w14:paraId="2485E575" w14:textId="77777777" w:rsidR="00EA6C5E" w:rsidRPr="00EA6C5E" w:rsidRDefault="00EA6C5E" w:rsidP="00EA6C5E">
            <w:pPr>
              <w:rPr>
                <w:rFonts w:ascii="Times New Roman" w:eastAsia="Times New Roman" w:hAnsi="Times New Roman" w:cs="Times New Roman"/>
                <w:sz w:val="24"/>
                <w:szCs w:val="24"/>
                <w:lang w:eastAsia="lv-LV"/>
              </w:rPr>
            </w:pPr>
          </w:p>
          <w:p w14:paraId="58F2D360" w14:textId="77777777" w:rsidR="00EA6C5E" w:rsidRPr="00EA6C5E" w:rsidRDefault="00EA6C5E" w:rsidP="00EA6C5E">
            <w:pPr>
              <w:rPr>
                <w:rFonts w:ascii="Times New Roman" w:eastAsia="Times New Roman" w:hAnsi="Times New Roman" w:cs="Times New Roman"/>
                <w:sz w:val="24"/>
                <w:szCs w:val="24"/>
                <w:lang w:eastAsia="lv-LV"/>
              </w:rPr>
            </w:pPr>
          </w:p>
          <w:p w14:paraId="07D6DB7E" w14:textId="77777777" w:rsidR="00EA6C5E" w:rsidRPr="00EA6C5E" w:rsidRDefault="00EA6C5E" w:rsidP="00EA6C5E">
            <w:pPr>
              <w:rPr>
                <w:rFonts w:ascii="Times New Roman" w:eastAsia="Times New Roman" w:hAnsi="Times New Roman" w:cs="Times New Roman"/>
                <w:sz w:val="24"/>
                <w:szCs w:val="24"/>
                <w:lang w:eastAsia="lv-LV"/>
              </w:rPr>
            </w:pPr>
          </w:p>
          <w:p w14:paraId="77516706" w14:textId="76A3E00A" w:rsidR="003A0997" w:rsidRPr="00EA6C5E" w:rsidRDefault="003A0997" w:rsidP="00EA6C5E">
            <w:pPr>
              <w:rPr>
                <w:rFonts w:ascii="Times New Roman" w:eastAsia="Times New Roman" w:hAnsi="Times New Roman" w:cs="Times New Roman"/>
                <w:sz w:val="24"/>
                <w:szCs w:val="24"/>
                <w:lang w:eastAsia="lv-LV"/>
              </w:rPr>
            </w:pPr>
          </w:p>
        </w:tc>
        <w:tc>
          <w:tcPr>
            <w:tcW w:w="3176" w:type="pct"/>
            <w:tcBorders>
              <w:top w:val="outset" w:sz="6" w:space="0" w:color="414142"/>
              <w:left w:val="outset" w:sz="6" w:space="0" w:color="414142"/>
              <w:bottom w:val="outset" w:sz="6" w:space="0" w:color="414142"/>
              <w:right w:val="outset" w:sz="6" w:space="0" w:color="414142"/>
            </w:tcBorders>
          </w:tcPr>
          <w:p w14:paraId="20FBE20D" w14:textId="3973C3C0" w:rsidR="00D65EF4" w:rsidRPr="00B974B9" w:rsidRDefault="00A86BF6" w:rsidP="00313B02">
            <w:pPr>
              <w:pStyle w:val="ListParagraph"/>
              <w:numPr>
                <w:ilvl w:val="0"/>
                <w:numId w:val="11"/>
              </w:numPr>
              <w:tabs>
                <w:tab w:val="left" w:pos="214"/>
              </w:tabs>
              <w:spacing w:after="0" w:line="240" w:lineRule="auto"/>
              <w:ind w:left="0" w:firstLine="0"/>
              <w:jc w:val="both"/>
              <w:rPr>
                <w:rFonts w:ascii="Times New Roman" w:hAnsi="Times New Roman" w:cs="Times New Roman"/>
                <w:b/>
                <w:i/>
                <w:sz w:val="24"/>
                <w:szCs w:val="24"/>
              </w:rPr>
            </w:pPr>
            <w:r>
              <w:rPr>
                <w:rFonts w:ascii="Times New Roman" w:hAnsi="Times New Roman" w:cs="Times New Roman"/>
                <w:b/>
                <w:i/>
                <w:sz w:val="24"/>
                <w:szCs w:val="24"/>
              </w:rPr>
              <w:t xml:space="preserve"> Par</w:t>
            </w:r>
            <w:r w:rsidR="00D65EF4" w:rsidRPr="00B974B9">
              <w:rPr>
                <w:rFonts w:ascii="Times New Roman" w:hAnsi="Times New Roman" w:cs="Times New Roman"/>
                <w:b/>
                <w:i/>
                <w:sz w:val="24"/>
                <w:szCs w:val="24"/>
              </w:rPr>
              <w:t xml:space="preserve"> </w:t>
            </w:r>
            <w:r w:rsidR="00984B28">
              <w:rPr>
                <w:rFonts w:ascii="Times New Roman" w:hAnsi="Times New Roman" w:cs="Times New Roman"/>
                <w:b/>
                <w:i/>
                <w:sz w:val="24"/>
                <w:szCs w:val="24"/>
              </w:rPr>
              <w:t>pāradresācijas nodrošināšanu uz Izložu un</w:t>
            </w:r>
            <w:r w:rsidR="00F31F9E">
              <w:rPr>
                <w:rFonts w:ascii="Times New Roman" w:hAnsi="Times New Roman" w:cs="Times New Roman"/>
                <w:b/>
                <w:i/>
                <w:sz w:val="24"/>
                <w:szCs w:val="24"/>
              </w:rPr>
              <w:t xml:space="preserve"> azartspēļu</w:t>
            </w:r>
            <w:r w:rsidR="00984B28">
              <w:rPr>
                <w:rFonts w:ascii="Times New Roman" w:hAnsi="Times New Roman" w:cs="Times New Roman"/>
                <w:b/>
                <w:i/>
                <w:sz w:val="24"/>
                <w:szCs w:val="24"/>
              </w:rPr>
              <w:t xml:space="preserve"> uzraudzības inspekcijas tīmekļa vietni</w:t>
            </w:r>
            <w:r w:rsidR="00EC3A64">
              <w:rPr>
                <w:rFonts w:ascii="Times New Roman" w:hAnsi="Times New Roman" w:cs="Times New Roman"/>
                <w:b/>
                <w:i/>
                <w:sz w:val="24"/>
                <w:szCs w:val="24"/>
              </w:rPr>
              <w:t>.</w:t>
            </w:r>
          </w:p>
          <w:p w14:paraId="2DA4C78F" w14:textId="0C44C057" w:rsidR="00D03639" w:rsidRDefault="00F31F9E" w:rsidP="000C1776">
            <w:pPr>
              <w:tabs>
                <w:tab w:val="left" w:pos="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tiek virzīts</w:t>
            </w:r>
            <w:r w:rsidR="007B3D6F" w:rsidRPr="00B974B9">
              <w:rPr>
                <w:rFonts w:ascii="Times New Roman" w:hAnsi="Times New Roman" w:cs="Times New Roman"/>
                <w:sz w:val="24"/>
                <w:szCs w:val="24"/>
              </w:rPr>
              <w:t xml:space="preserve"> vienlaicīgi ar grozījumiem Azartspēļu un izložu likumā, kur paredzēts nepārprotami noteikt </w:t>
            </w:r>
            <w:r w:rsidR="002D7A5C">
              <w:rPr>
                <w:rFonts w:ascii="Times New Roman" w:hAnsi="Times New Roman" w:cs="Times New Roman"/>
                <w:sz w:val="24"/>
                <w:szCs w:val="24"/>
              </w:rPr>
              <w:t xml:space="preserve">aizliegumu personas </w:t>
            </w:r>
            <w:r w:rsidR="007B3D6F" w:rsidRPr="00B974B9">
              <w:rPr>
                <w:rFonts w:ascii="Times New Roman" w:hAnsi="Times New Roman" w:cs="Times New Roman"/>
                <w:sz w:val="24"/>
                <w:szCs w:val="24"/>
              </w:rPr>
              <w:t>dalīb</w:t>
            </w:r>
            <w:r w:rsidR="002D7A5C">
              <w:rPr>
                <w:rFonts w:ascii="Times New Roman" w:hAnsi="Times New Roman" w:cs="Times New Roman"/>
                <w:sz w:val="24"/>
                <w:szCs w:val="24"/>
              </w:rPr>
              <w:t>ai</w:t>
            </w:r>
            <w:r w:rsidR="007B3D6F" w:rsidRPr="00B974B9">
              <w:rPr>
                <w:rFonts w:ascii="Times New Roman" w:hAnsi="Times New Roman" w:cs="Times New Roman"/>
                <w:sz w:val="24"/>
                <w:szCs w:val="24"/>
              </w:rPr>
              <w:t xml:space="preserve"> </w:t>
            </w:r>
            <w:r w:rsidR="003E3767">
              <w:rPr>
                <w:rFonts w:ascii="Times New Roman" w:hAnsi="Times New Roman" w:cs="Times New Roman"/>
                <w:sz w:val="24"/>
                <w:szCs w:val="24"/>
              </w:rPr>
              <w:t>Latvijas Republikā</w:t>
            </w:r>
            <w:r w:rsidR="007B3D6F" w:rsidRPr="00B974B9">
              <w:rPr>
                <w:rFonts w:ascii="Times New Roman" w:hAnsi="Times New Roman" w:cs="Times New Roman"/>
                <w:sz w:val="24"/>
                <w:szCs w:val="24"/>
              </w:rPr>
              <w:t xml:space="preserve"> nelicencētajās </w:t>
            </w:r>
            <w:r w:rsidR="004F05A5" w:rsidRPr="00020082">
              <w:rPr>
                <w:rFonts w:ascii="Times New Roman" w:hAnsi="Times New Roman" w:cs="Times New Roman"/>
                <w:sz w:val="24"/>
                <w:szCs w:val="24"/>
              </w:rPr>
              <w:t xml:space="preserve">interaktīvās </w:t>
            </w:r>
            <w:r w:rsidR="007B3D6F" w:rsidRPr="00020082">
              <w:rPr>
                <w:rFonts w:ascii="Times New Roman" w:hAnsi="Times New Roman" w:cs="Times New Roman"/>
                <w:sz w:val="24"/>
                <w:szCs w:val="24"/>
              </w:rPr>
              <w:t xml:space="preserve">azartspēlēs un </w:t>
            </w:r>
            <w:r w:rsidR="00CB08AF" w:rsidRPr="00020082">
              <w:rPr>
                <w:rFonts w:ascii="Times New Roman" w:hAnsi="Times New Roman" w:cs="Times New Roman"/>
                <w:sz w:val="24"/>
                <w:szCs w:val="24"/>
              </w:rPr>
              <w:t xml:space="preserve">interaktīvās </w:t>
            </w:r>
            <w:r w:rsidR="007B3D6F" w:rsidRPr="00020082">
              <w:rPr>
                <w:rFonts w:ascii="Times New Roman" w:hAnsi="Times New Roman" w:cs="Times New Roman"/>
                <w:sz w:val="24"/>
                <w:szCs w:val="24"/>
              </w:rPr>
              <w:t>izlozēs. Vienlaikus būtu nepieciešams</w:t>
            </w:r>
            <w:r w:rsidR="00562FE2" w:rsidRPr="00020082">
              <w:rPr>
                <w:rFonts w:ascii="Times New Roman" w:hAnsi="Times New Roman" w:cs="Times New Roman"/>
                <w:sz w:val="24"/>
                <w:szCs w:val="24"/>
              </w:rPr>
              <w:t xml:space="preserve"> </w:t>
            </w:r>
            <w:r w:rsidR="00984B28">
              <w:rPr>
                <w:rFonts w:ascii="Times New Roman" w:hAnsi="Times New Roman" w:cs="Times New Roman"/>
                <w:sz w:val="24"/>
                <w:szCs w:val="24"/>
              </w:rPr>
              <w:t>noteikt pienākumu elektronisko sakaru komersantam, izpildot Izložu un azartspēļu uzraudzības inspekcijas lēmumu par piekļuves ierobežošanu, nodrošināt tīmekļa vietnes lietotāja pāradresāciju uz Izložu un azartspēļu uzraudzības inspekcijas tīmekļa vietni, kurā lietotājam tiks sniegta</w:t>
            </w:r>
            <w:r w:rsidR="00984B28" w:rsidRPr="00020082">
              <w:rPr>
                <w:rFonts w:ascii="Times New Roman" w:hAnsi="Times New Roman" w:cs="Times New Roman"/>
                <w:sz w:val="24"/>
                <w:szCs w:val="24"/>
              </w:rPr>
              <w:t xml:space="preserve"> informācij</w:t>
            </w:r>
            <w:r w:rsidR="00984B28">
              <w:rPr>
                <w:rFonts w:ascii="Times New Roman" w:hAnsi="Times New Roman" w:cs="Times New Roman"/>
                <w:sz w:val="24"/>
                <w:szCs w:val="24"/>
              </w:rPr>
              <w:t>a</w:t>
            </w:r>
            <w:r w:rsidR="00984B28" w:rsidRPr="00020082">
              <w:rPr>
                <w:rFonts w:ascii="Times New Roman" w:hAnsi="Times New Roman" w:cs="Times New Roman"/>
                <w:sz w:val="24"/>
                <w:szCs w:val="24"/>
              </w:rPr>
              <w:t xml:space="preserve"> </w:t>
            </w:r>
            <w:r w:rsidR="00562FE2" w:rsidRPr="00020082">
              <w:rPr>
                <w:rFonts w:ascii="Times New Roman" w:hAnsi="Times New Roman" w:cs="Times New Roman"/>
                <w:sz w:val="24"/>
                <w:szCs w:val="24"/>
              </w:rPr>
              <w:t>par</w:t>
            </w:r>
            <w:r w:rsidR="00D03639">
              <w:rPr>
                <w:rFonts w:ascii="Times New Roman" w:hAnsi="Times New Roman" w:cs="Times New Roman"/>
                <w:sz w:val="24"/>
                <w:szCs w:val="24"/>
              </w:rPr>
              <w:t>:</w:t>
            </w:r>
          </w:p>
          <w:p w14:paraId="2DC6CA06" w14:textId="3C818409" w:rsidR="00D03639" w:rsidRDefault="00562FE2" w:rsidP="00CD2559">
            <w:pPr>
              <w:pStyle w:val="ListParagraph"/>
              <w:numPr>
                <w:ilvl w:val="0"/>
                <w:numId w:val="16"/>
              </w:numPr>
              <w:tabs>
                <w:tab w:val="left" w:pos="214"/>
              </w:tabs>
              <w:spacing w:after="0" w:line="240" w:lineRule="auto"/>
              <w:jc w:val="both"/>
              <w:rPr>
                <w:rFonts w:ascii="Times New Roman" w:hAnsi="Times New Roman" w:cs="Times New Roman"/>
                <w:sz w:val="24"/>
                <w:szCs w:val="24"/>
              </w:rPr>
            </w:pPr>
            <w:r w:rsidRPr="00CD2559">
              <w:rPr>
                <w:rFonts w:ascii="Times New Roman" w:hAnsi="Times New Roman" w:cs="Times New Roman"/>
                <w:sz w:val="24"/>
                <w:szCs w:val="24"/>
              </w:rPr>
              <w:t xml:space="preserve">personai piemērojamo atbildību, </w:t>
            </w:r>
          </w:p>
          <w:p w14:paraId="04620687" w14:textId="22BDBFD1" w:rsidR="00D03639" w:rsidRPr="00084CB8" w:rsidRDefault="003E3767" w:rsidP="00084CB8">
            <w:pPr>
              <w:pStyle w:val="ListParagraph"/>
              <w:numPr>
                <w:ilvl w:val="0"/>
                <w:numId w:val="16"/>
              </w:numPr>
              <w:tabs>
                <w:tab w:val="left" w:pos="214"/>
              </w:tabs>
              <w:spacing w:after="0" w:line="240" w:lineRule="auto"/>
              <w:jc w:val="both"/>
              <w:rPr>
                <w:rFonts w:ascii="Times New Roman" w:hAnsi="Times New Roman" w:cs="Times New Roman"/>
                <w:sz w:val="24"/>
                <w:szCs w:val="24"/>
              </w:rPr>
            </w:pPr>
            <w:r w:rsidRPr="00084CB8">
              <w:rPr>
                <w:rFonts w:ascii="Times New Roman" w:hAnsi="Times New Roman" w:cs="Times New Roman"/>
                <w:sz w:val="24"/>
                <w:szCs w:val="24"/>
              </w:rPr>
              <w:t>Latvijas Republikā</w:t>
            </w:r>
            <w:r w:rsidR="00562FE2" w:rsidRPr="00084CB8">
              <w:rPr>
                <w:rFonts w:ascii="Times New Roman" w:hAnsi="Times New Roman" w:cs="Times New Roman"/>
                <w:sz w:val="24"/>
                <w:szCs w:val="24"/>
              </w:rPr>
              <w:t xml:space="preserve"> licencēto </w:t>
            </w:r>
            <w:r w:rsidR="00A86BF6" w:rsidRPr="00084CB8">
              <w:rPr>
                <w:rFonts w:ascii="Times New Roman" w:hAnsi="Times New Roman" w:cs="Times New Roman"/>
                <w:sz w:val="24"/>
                <w:szCs w:val="24"/>
              </w:rPr>
              <w:t xml:space="preserve">interaktīvo </w:t>
            </w:r>
            <w:r w:rsidR="00562FE2" w:rsidRPr="00084CB8">
              <w:rPr>
                <w:rFonts w:ascii="Times New Roman" w:hAnsi="Times New Roman" w:cs="Times New Roman"/>
                <w:sz w:val="24"/>
                <w:szCs w:val="24"/>
              </w:rPr>
              <w:t>azartspēļu un izložu organizētāju sarak</w:t>
            </w:r>
            <w:r w:rsidR="004F05A5" w:rsidRPr="00084CB8">
              <w:rPr>
                <w:rFonts w:ascii="Times New Roman" w:hAnsi="Times New Roman" w:cs="Times New Roman"/>
                <w:sz w:val="24"/>
                <w:szCs w:val="24"/>
              </w:rPr>
              <w:t>s</w:t>
            </w:r>
            <w:r w:rsidR="00562FE2" w:rsidRPr="00084CB8">
              <w:rPr>
                <w:rFonts w:ascii="Times New Roman" w:hAnsi="Times New Roman" w:cs="Times New Roman"/>
                <w:sz w:val="24"/>
                <w:szCs w:val="24"/>
              </w:rPr>
              <w:t>tu</w:t>
            </w:r>
            <w:r w:rsidR="00AE4509" w:rsidRPr="00084CB8">
              <w:rPr>
                <w:rFonts w:ascii="Times New Roman" w:hAnsi="Times New Roman" w:cs="Times New Roman"/>
                <w:sz w:val="24"/>
                <w:szCs w:val="24"/>
              </w:rPr>
              <w:t xml:space="preserve">, </w:t>
            </w:r>
          </w:p>
          <w:p w14:paraId="40FB1D9E" w14:textId="20F73641" w:rsidR="00D03639" w:rsidRDefault="00984B28" w:rsidP="00CD2559">
            <w:pPr>
              <w:pStyle w:val="ListParagraph"/>
              <w:numPr>
                <w:ilvl w:val="0"/>
                <w:numId w:val="16"/>
              </w:numPr>
              <w:tabs>
                <w:tab w:val="left" w:pos="214"/>
              </w:tabs>
              <w:spacing w:after="0" w:line="240" w:lineRule="auto"/>
              <w:jc w:val="both"/>
              <w:rPr>
                <w:rFonts w:ascii="Times New Roman" w:hAnsi="Times New Roman" w:cs="Times New Roman"/>
                <w:sz w:val="24"/>
                <w:szCs w:val="24"/>
              </w:rPr>
            </w:pPr>
            <w:r w:rsidRPr="00CD2559">
              <w:rPr>
                <w:rFonts w:ascii="Times New Roman" w:hAnsi="Times New Roman" w:cs="Times New Roman"/>
                <w:sz w:val="24"/>
                <w:szCs w:val="24"/>
              </w:rPr>
              <w:t xml:space="preserve">norāde </w:t>
            </w:r>
            <w:r w:rsidR="002F1C8A" w:rsidRPr="00CD2559">
              <w:rPr>
                <w:rFonts w:ascii="Times New Roman" w:hAnsi="Times New Roman" w:cs="Times New Roman"/>
                <w:sz w:val="24"/>
                <w:szCs w:val="24"/>
              </w:rPr>
              <w:t>uz</w:t>
            </w:r>
            <w:r w:rsidR="00AE4509" w:rsidRPr="00CD2559">
              <w:rPr>
                <w:rFonts w:ascii="Times New Roman" w:hAnsi="Times New Roman" w:cs="Times New Roman"/>
                <w:sz w:val="24"/>
                <w:szCs w:val="24"/>
              </w:rPr>
              <w:t xml:space="preserve"> atkarības mazināšanas pasākumiem, ko var izmantot problemātiskais </w:t>
            </w:r>
            <w:r w:rsidR="004F05A5" w:rsidRPr="00CD2559">
              <w:rPr>
                <w:rFonts w:ascii="Times New Roman" w:hAnsi="Times New Roman" w:cs="Times New Roman"/>
                <w:sz w:val="24"/>
                <w:szCs w:val="24"/>
              </w:rPr>
              <w:t xml:space="preserve">spēlētājs </w:t>
            </w:r>
            <w:r w:rsidR="00AE4509" w:rsidRPr="00CD2559">
              <w:rPr>
                <w:rFonts w:ascii="Times New Roman" w:hAnsi="Times New Roman" w:cs="Times New Roman"/>
                <w:sz w:val="24"/>
                <w:szCs w:val="24"/>
              </w:rPr>
              <w:t>atkarības mazināšanai</w:t>
            </w:r>
            <w:r w:rsidR="00562FE2" w:rsidRPr="00CD2559">
              <w:rPr>
                <w:rFonts w:ascii="Times New Roman" w:hAnsi="Times New Roman" w:cs="Times New Roman"/>
                <w:sz w:val="24"/>
                <w:szCs w:val="24"/>
              </w:rPr>
              <w:t xml:space="preserve">. </w:t>
            </w:r>
          </w:p>
          <w:p w14:paraId="54F50802" w14:textId="46E92C9C" w:rsidR="007B3D6F" w:rsidRPr="00CD2559" w:rsidRDefault="00D03639" w:rsidP="00CD2559">
            <w:pPr>
              <w:tabs>
                <w:tab w:val="left" w:pos="214"/>
              </w:tabs>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Minētais</w:t>
            </w:r>
            <w:r w:rsidRPr="00CD2559">
              <w:rPr>
                <w:rFonts w:ascii="Times New Roman" w:hAnsi="Times New Roman" w:cs="Times New Roman"/>
                <w:sz w:val="24"/>
                <w:szCs w:val="24"/>
              </w:rPr>
              <w:t xml:space="preserve"> </w:t>
            </w:r>
            <w:r w:rsidR="00562FE2" w:rsidRPr="00CD2559">
              <w:rPr>
                <w:rFonts w:ascii="Times New Roman" w:hAnsi="Times New Roman" w:cs="Times New Roman"/>
                <w:sz w:val="24"/>
                <w:szCs w:val="24"/>
              </w:rPr>
              <w:t>preventīvi atturētu personu no turpmākajām darbībām nelicencētajā vidē</w:t>
            </w:r>
            <w:r w:rsidR="002A6E86" w:rsidRPr="00CD2559">
              <w:rPr>
                <w:rFonts w:ascii="Times New Roman" w:hAnsi="Times New Roman" w:cs="Times New Roman"/>
                <w:sz w:val="24"/>
                <w:szCs w:val="24"/>
              </w:rPr>
              <w:t>, novirzīt</w:t>
            </w:r>
            <w:r w:rsidR="002F1C8A" w:rsidRPr="00CD2559">
              <w:rPr>
                <w:rFonts w:ascii="Times New Roman" w:hAnsi="Times New Roman" w:cs="Times New Roman"/>
                <w:sz w:val="24"/>
                <w:szCs w:val="24"/>
              </w:rPr>
              <w:t>u</w:t>
            </w:r>
            <w:r w:rsidR="002A6E86" w:rsidRPr="00CD2559">
              <w:rPr>
                <w:rFonts w:ascii="Times New Roman" w:hAnsi="Times New Roman" w:cs="Times New Roman"/>
                <w:sz w:val="24"/>
                <w:szCs w:val="24"/>
              </w:rPr>
              <w:t xml:space="preserve"> uz kontr</w:t>
            </w:r>
            <w:r w:rsidR="002F1C8A" w:rsidRPr="00CD2559">
              <w:rPr>
                <w:rFonts w:ascii="Times New Roman" w:hAnsi="Times New Roman" w:cs="Times New Roman"/>
                <w:sz w:val="24"/>
                <w:szCs w:val="24"/>
              </w:rPr>
              <w:t>olēto vidi, kurā pastāv aizsarg</w:t>
            </w:r>
            <w:r w:rsidR="002A6E86" w:rsidRPr="00CD2559">
              <w:rPr>
                <w:rFonts w:ascii="Times New Roman" w:hAnsi="Times New Roman" w:cs="Times New Roman"/>
                <w:sz w:val="24"/>
                <w:szCs w:val="24"/>
              </w:rPr>
              <w:t>mehānismi pret atkarības veidošanos</w:t>
            </w:r>
            <w:r w:rsidR="00562FE2" w:rsidRPr="00CD2559">
              <w:rPr>
                <w:rFonts w:ascii="Times New Roman" w:hAnsi="Times New Roman" w:cs="Times New Roman"/>
                <w:sz w:val="24"/>
                <w:szCs w:val="24"/>
              </w:rPr>
              <w:t>.</w:t>
            </w:r>
          </w:p>
          <w:p w14:paraId="47AC341A" w14:textId="1DB3B2A0" w:rsidR="009B7537" w:rsidRPr="00B974B9" w:rsidRDefault="00A86BF6" w:rsidP="000C1776">
            <w:pPr>
              <w:pStyle w:val="ListParagraph"/>
              <w:numPr>
                <w:ilvl w:val="0"/>
                <w:numId w:val="11"/>
              </w:numPr>
              <w:tabs>
                <w:tab w:val="left" w:pos="215"/>
              </w:tabs>
              <w:spacing w:after="0" w:line="240" w:lineRule="auto"/>
              <w:ind w:left="0" w:firstLine="0"/>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Par</w:t>
            </w:r>
            <w:r w:rsidR="009B7537" w:rsidRPr="00B974B9">
              <w:rPr>
                <w:rFonts w:ascii="Times New Roman" w:hAnsi="Times New Roman" w:cs="Times New Roman"/>
                <w:b/>
                <w:i/>
                <w:sz w:val="24"/>
                <w:szCs w:val="24"/>
              </w:rPr>
              <w:t xml:space="preserve"> pienākuma noteikšanu elektronisko sakaru komersantam sniegt nepieciešamo informāciju </w:t>
            </w:r>
            <w:r w:rsidR="007A48D6">
              <w:rPr>
                <w:rFonts w:ascii="Times New Roman" w:hAnsi="Times New Roman" w:cs="Times New Roman"/>
                <w:b/>
                <w:i/>
                <w:sz w:val="24"/>
                <w:szCs w:val="24"/>
              </w:rPr>
              <w:t>nelicencēto</w:t>
            </w:r>
            <w:r w:rsidR="009B7537" w:rsidRPr="00B974B9">
              <w:rPr>
                <w:rFonts w:ascii="Times New Roman" w:hAnsi="Times New Roman" w:cs="Times New Roman"/>
                <w:b/>
                <w:i/>
                <w:sz w:val="24"/>
                <w:szCs w:val="24"/>
              </w:rPr>
              <w:t xml:space="preserve"> interaktīvo azartspēļu un </w:t>
            </w:r>
            <w:r w:rsidR="007A48D6">
              <w:rPr>
                <w:rFonts w:ascii="Times New Roman" w:hAnsi="Times New Roman" w:cs="Times New Roman"/>
                <w:b/>
                <w:i/>
                <w:sz w:val="24"/>
                <w:szCs w:val="24"/>
              </w:rPr>
              <w:t xml:space="preserve">interaktīvo </w:t>
            </w:r>
            <w:r w:rsidR="009B7537" w:rsidRPr="00B974B9">
              <w:rPr>
                <w:rFonts w:ascii="Times New Roman" w:hAnsi="Times New Roman" w:cs="Times New Roman"/>
                <w:b/>
                <w:i/>
                <w:sz w:val="24"/>
                <w:szCs w:val="24"/>
              </w:rPr>
              <w:t>izložu tirgus ierobežošanai</w:t>
            </w:r>
            <w:r w:rsidR="00EC3A64">
              <w:rPr>
                <w:rFonts w:ascii="Times New Roman" w:hAnsi="Times New Roman" w:cs="Times New Roman"/>
                <w:b/>
                <w:i/>
                <w:sz w:val="24"/>
                <w:szCs w:val="24"/>
              </w:rPr>
              <w:t>.</w:t>
            </w:r>
          </w:p>
          <w:p w14:paraId="594581C8" w14:textId="047B7824" w:rsidR="00C551C8" w:rsidRDefault="00562FE2" w:rsidP="000C1776">
            <w:pPr>
              <w:tabs>
                <w:tab w:val="left" w:pos="215"/>
              </w:tabs>
              <w:spacing w:after="0" w:line="240" w:lineRule="auto"/>
              <w:jc w:val="both"/>
              <w:rPr>
                <w:rFonts w:ascii="Times New Roman" w:hAnsi="Times New Roman" w:cs="Times New Roman"/>
                <w:sz w:val="24"/>
                <w:szCs w:val="24"/>
              </w:rPr>
            </w:pPr>
            <w:r w:rsidRPr="00B974B9">
              <w:rPr>
                <w:rFonts w:ascii="Times New Roman" w:hAnsi="Times New Roman" w:cs="Times New Roman"/>
                <w:sz w:val="24"/>
                <w:szCs w:val="24"/>
              </w:rPr>
              <w:t>Informācijas apmaiņas</w:t>
            </w:r>
            <w:r w:rsidRPr="00B974B9">
              <w:rPr>
                <w:rFonts w:ascii="Times New Roman" w:hAnsi="Times New Roman" w:cs="Times New Roman"/>
                <w:b/>
                <w:i/>
                <w:sz w:val="24"/>
                <w:szCs w:val="24"/>
              </w:rPr>
              <w:t xml:space="preserve"> </w:t>
            </w:r>
            <w:r w:rsidRPr="00B974B9">
              <w:rPr>
                <w:rFonts w:ascii="Times New Roman" w:hAnsi="Times New Roman" w:cs="Times New Roman"/>
                <w:sz w:val="24"/>
                <w:szCs w:val="24"/>
              </w:rPr>
              <w:t xml:space="preserve">platformas, kas tiek izmantotas </w:t>
            </w:r>
            <w:r w:rsidR="00CF2FCD" w:rsidRPr="00B974B9">
              <w:rPr>
                <w:rFonts w:ascii="Times New Roman" w:hAnsi="Times New Roman" w:cs="Times New Roman"/>
                <w:sz w:val="24"/>
                <w:szCs w:val="24"/>
              </w:rPr>
              <w:t>izvairīšanās</w:t>
            </w:r>
            <w:r w:rsidRPr="00B974B9">
              <w:rPr>
                <w:rFonts w:ascii="Times New Roman" w:hAnsi="Times New Roman" w:cs="Times New Roman"/>
                <w:sz w:val="24"/>
                <w:szCs w:val="24"/>
              </w:rPr>
              <w:t xml:space="preserve"> no nodokļu nomaksas</w:t>
            </w:r>
            <w:r w:rsidR="00CF2FCD" w:rsidRPr="00B974B9">
              <w:rPr>
                <w:rFonts w:ascii="Times New Roman" w:hAnsi="Times New Roman" w:cs="Times New Roman"/>
                <w:sz w:val="24"/>
                <w:szCs w:val="24"/>
              </w:rPr>
              <w:t xml:space="preserve"> novēršanai,</w:t>
            </w:r>
            <w:r w:rsidRPr="00B974B9">
              <w:rPr>
                <w:rFonts w:ascii="Times New Roman" w:hAnsi="Times New Roman" w:cs="Times New Roman"/>
                <w:sz w:val="24"/>
                <w:szCs w:val="24"/>
              </w:rPr>
              <w:t xml:space="preserve"> ir viens no efektīvākajiem nodokļu administrēšanas instrumentiem (piemēram, informācijas apmai</w:t>
            </w:r>
            <w:r w:rsidR="00A86BF6">
              <w:rPr>
                <w:rFonts w:ascii="Times New Roman" w:hAnsi="Times New Roman" w:cs="Times New Roman"/>
                <w:sz w:val="24"/>
                <w:szCs w:val="24"/>
              </w:rPr>
              <w:t>ņ</w:t>
            </w:r>
            <w:r w:rsidRPr="00B974B9">
              <w:rPr>
                <w:rFonts w:ascii="Times New Roman" w:hAnsi="Times New Roman" w:cs="Times New Roman"/>
                <w:sz w:val="24"/>
                <w:szCs w:val="24"/>
              </w:rPr>
              <w:t>a starp finanšu iestādēm un nodokļu administrāciju, kā arī informācijas apmaiņa</w:t>
            </w:r>
            <w:r w:rsidR="00CF2FCD" w:rsidRPr="00B974B9">
              <w:rPr>
                <w:rFonts w:ascii="Times New Roman" w:hAnsi="Times New Roman" w:cs="Times New Roman"/>
                <w:sz w:val="24"/>
                <w:szCs w:val="24"/>
              </w:rPr>
              <w:t xml:space="preserve"> ar </w:t>
            </w:r>
            <w:r w:rsidR="00C614E0" w:rsidRPr="00B974B9">
              <w:rPr>
                <w:rFonts w:ascii="Times New Roman" w:hAnsi="Times New Roman" w:cs="Times New Roman"/>
                <w:sz w:val="24"/>
                <w:szCs w:val="24"/>
              </w:rPr>
              <w:t xml:space="preserve">sludinājumu pakalpojumu, mobilās lietotnes pakalpojumu sniedzējiem un maksājumu karšu darījumu apstrādes uzņēmuma pakalpojumu </w:t>
            </w:r>
            <w:r w:rsidR="00BE6459" w:rsidRPr="00B974B9">
              <w:rPr>
                <w:rFonts w:ascii="Times New Roman" w:hAnsi="Times New Roman" w:cs="Times New Roman"/>
                <w:sz w:val="24"/>
                <w:szCs w:val="24"/>
              </w:rPr>
              <w:t>sniedzējiem</w:t>
            </w:r>
            <w:r w:rsidR="00C614E0" w:rsidRPr="00B974B9">
              <w:rPr>
                <w:rFonts w:ascii="Times New Roman" w:hAnsi="Times New Roman" w:cs="Times New Roman"/>
                <w:sz w:val="24"/>
                <w:szCs w:val="24"/>
              </w:rPr>
              <w:t xml:space="preserve"> </w:t>
            </w:r>
            <w:r w:rsidR="00CF2FCD" w:rsidRPr="00B974B9">
              <w:rPr>
                <w:rFonts w:ascii="Times New Roman" w:hAnsi="Times New Roman" w:cs="Times New Roman"/>
                <w:sz w:val="24"/>
                <w:szCs w:val="24"/>
              </w:rPr>
              <w:t>par to rīcībā esošo informāciju par trešo personu saimnieciskiem darījumiem).</w:t>
            </w:r>
            <w:r w:rsidR="00C551C8" w:rsidRPr="00B974B9">
              <w:rPr>
                <w:rFonts w:ascii="Times New Roman" w:hAnsi="Times New Roman" w:cs="Times New Roman"/>
                <w:b/>
                <w:i/>
                <w:sz w:val="24"/>
                <w:szCs w:val="24"/>
              </w:rPr>
              <w:t xml:space="preserve"> </w:t>
            </w:r>
            <w:r w:rsidR="00C551C8" w:rsidRPr="00B974B9">
              <w:rPr>
                <w:rFonts w:ascii="Times New Roman" w:hAnsi="Times New Roman" w:cs="Times New Roman"/>
                <w:sz w:val="24"/>
                <w:szCs w:val="24"/>
              </w:rPr>
              <w:t>Elektronisko sakaru komersanta rīcībā esošā informācija par personas dalību nelicencētajās</w:t>
            </w:r>
            <w:r w:rsidR="00BE6459" w:rsidRPr="00B974B9">
              <w:rPr>
                <w:rFonts w:ascii="Times New Roman" w:hAnsi="Times New Roman" w:cs="Times New Roman"/>
                <w:sz w:val="24"/>
                <w:szCs w:val="24"/>
              </w:rPr>
              <w:t xml:space="preserve"> interaktīvajās</w:t>
            </w:r>
            <w:r w:rsidR="00C551C8" w:rsidRPr="00B974B9">
              <w:rPr>
                <w:rFonts w:ascii="Times New Roman" w:hAnsi="Times New Roman" w:cs="Times New Roman"/>
                <w:sz w:val="24"/>
                <w:szCs w:val="24"/>
              </w:rPr>
              <w:t xml:space="preserve"> azartspēles un </w:t>
            </w:r>
            <w:r w:rsidR="007A48D6">
              <w:rPr>
                <w:rFonts w:ascii="Times New Roman" w:hAnsi="Times New Roman" w:cs="Times New Roman"/>
                <w:sz w:val="24"/>
                <w:szCs w:val="24"/>
              </w:rPr>
              <w:t xml:space="preserve">interaktīvajās </w:t>
            </w:r>
            <w:r w:rsidR="00C551C8" w:rsidRPr="00B974B9">
              <w:rPr>
                <w:rFonts w:ascii="Times New Roman" w:hAnsi="Times New Roman" w:cs="Times New Roman"/>
                <w:sz w:val="24"/>
                <w:szCs w:val="24"/>
              </w:rPr>
              <w:t>izlozē</w:t>
            </w:r>
            <w:r w:rsidR="00EC3A64">
              <w:rPr>
                <w:rFonts w:ascii="Times New Roman" w:hAnsi="Times New Roman" w:cs="Times New Roman"/>
                <w:sz w:val="24"/>
                <w:szCs w:val="24"/>
              </w:rPr>
              <w:t>s</w:t>
            </w:r>
            <w:r w:rsidR="00084CB8">
              <w:rPr>
                <w:rFonts w:ascii="Times New Roman" w:hAnsi="Times New Roman" w:cs="Times New Roman"/>
                <w:sz w:val="24"/>
                <w:szCs w:val="24"/>
              </w:rPr>
              <w:t xml:space="preserve"> var tikt iegūta</w:t>
            </w:r>
            <w:r w:rsidR="00C551C8" w:rsidRPr="00B974B9">
              <w:rPr>
                <w:rFonts w:ascii="Times New Roman" w:hAnsi="Times New Roman" w:cs="Times New Roman"/>
                <w:sz w:val="24"/>
                <w:szCs w:val="24"/>
              </w:rPr>
              <w:t xml:space="preserve"> tikai un vienīgi no attiecīgā elektronisko sakaru komersanta. Minētā informācija ir nepieciešama Izložu un azartspēļu uzraudzības inspekcijai, lai identificētu personas, k</w:t>
            </w:r>
            <w:r w:rsidR="00EC3A64">
              <w:rPr>
                <w:rFonts w:ascii="Times New Roman" w:hAnsi="Times New Roman" w:cs="Times New Roman"/>
                <w:sz w:val="24"/>
                <w:szCs w:val="24"/>
              </w:rPr>
              <w:t>uras</w:t>
            </w:r>
            <w:r w:rsidR="00C551C8" w:rsidRPr="00B974B9">
              <w:rPr>
                <w:rFonts w:ascii="Times New Roman" w:hAnsi="Times New Roman" w:cs="Times New Roman"/>
                <w:sz w:val="24"/>
                <w:szCs w:val="24"/>
              </w:rPr>
              <w:t xml:space="preserve"> piedalās </w:t>
            </w:r>
            <w:r w:rsidR="003E3767">
              <w:rPr>
                <w:rFonts w:ascii="Times New Roman" w:hAnsi="Times New Roman" w:cs="Times New Roman"/>
                <w:sz w:val="24"/>
                <w:szCs w:val="24"/>
              </w:rPr>
              <w:t>Latvijas Republikā</w:t>
            </w:r>
            <w:r w:rsidR="00C551C8" w:rsidRPr="00B974B9">
              <w:rPr>
                <w:rFonts w:ascii="Times New Roman" w:hAnsi="Times New Roman" w:cs="Times New Roman"/>
                <w:sz w:val="24"/>
                <w:szCs w:val="24"/>
              </w:rPr>
              <w:t xml:space="preserve"> nelicencētajās</w:t>
            </w:r>
            <w:r w:rsidR="00BE6459" w:rsidRPr="00B974B9">
              <w:rPr>
                <w:rFonts w:ascii="Times New Roman" w:hAnsi="Times New Roman" w:cs="Times New Roman"/>
                <w:sz w:val="24"/>
                <w:szCs w:val="24"/>
              </w:rPr>
              <w:t xml:space="preserve"> interaktīvajās</w:t>
            </w:r>
            <w:r w:rsidR="00C551C8" w:rsidRPr="00B974B9">
              <w:rPr>
                <w:rFonts w:ascii="Times New Roman" w:hAnsi="Times New Roman" w:cs="Times New Roman"/>
                <w:sz w:val="24"/>
                <w:szCs w:val="24"/>
              </w:rPr>
              <w:t xml:space="preserve"> </w:t>
            </w:r>
            <w:r w:rsidR="00C551C8" w:rsidRPr="00020082">
              <w:rPr>
                <w:rFonts w:ascii="Times New Roman" w:hAnsi="Times New Roman" w:cs="Times New Roman"/>
                <w:sz w:val="24"/>
                <w:szCs w:val="24"/>
              </w:rPr>
              <w:t xml:space="preserve">azartspēlēs un </w:t>
            </w:r>
            <w:r w:rsidR="007A48D6" w:rsidRPr="00020082">
              <w:rPr>
                <w:rFonts w:ascii="Times New Roman" w:hAnsi="Times New Roman" w:cs="Times New Roman"/>
                <w:sz w:val="24"/>
                <w:szCs w:val="24"/>
              </w:rPr>
              <w:t xml:space="preserve">interaktīvajās </w:t>
            </w:r>
            <w:r w:rsidR="00C551C8" w:rsidRPr="00020082">
              <w:rPr>
                <w:rFonts w:ascii="Times New Roman" w:hAnsi="Times New Roman" w:cs="Times New Roman"/>
                <w:sz w:val="24"/>
                <w:szCs w:val="24"/>
              </w:rPr>
              <w:t>izlozēs</w:t>
            </w:r>
            <w:r w:rsidR="0040371C" w:rsidRPr="00020082">
              <w:rPr>
                <w:rFonts w:ascii="Times New Roman" w:hAnsi="Times New Roman" w:cs="Times New Roman"/>
                <w:sz w:val="24"/>
                <w:szCs w:val="24"/>
              </w:rPr>
              <w:t xml:space="preserve"> un</w:t>
            </w:r>
            <w:r w:rsidR="000C1776" w:rsidRPr="00020082">
              <w:rPr>
                <w:rFonts w:ascii="Times New Roman" w:hAnsi="Times New Roman" w:cs="Times New Roman"/>
                <w:sz w:val="24"/>
                <w:szCs w:val="24"/>
              </w:rPr>
              <w:t xml:space="preserve"> novirzītu tās licencētajā vidē,</w:t>
            </w:r>
            <w:r w:rsidR="00C551C8" w:rsidRPr="00020082">
              <w:rPr>
                <w:rFonts w:ascii="Times New Roman" w:hAnsi="Times New Roman" w:cs="Times New Roman"/>
                <w:sz w:val="24"/>
                <w:szCs w:val="24"/>
              </w:rPr>
              <w:t xml:space="preserve"> kā arī piemērotu administratīvo atbildību</w:t>
            </w:r>
            <w:r w:rsidR="00D03639">
              <w:rPr>
                <w:rFonts w:ascii="Times New Roman" w:hAnsi="Times New Roman" w:cs="Times New Roman"/>
                <w:sz w:val="24"/>
                <w:szCs w:val="24"/>
              </w:rPr>
              <w:t>.</w:t>
            </w:r>
          </w:p>
          <w:p w14:paraId="38AA878B" w14:textId="36DD6925" w:rsidR="00556865" w:rsidRPr="00B974B9" w:rsidRDefault="00C551C8" w:rsidP="000C1776">
            <w:pPr>
              <w:tabs>
                <w:tab w:val="left" w:pos="215"/>
              </w:tabs>
              <w:spacing w:after="0" w:line="240" w:lineRule="auto"/>
              <w:jc w:val="both"/>
              <w:rPr>
                <w:rFonts w:ascii="Times New Roman" w:hAnsi="Times New Roman" w:cs="Times New Roman"/>
                <w:sz w:val="24"/>
                <w:szCs w:val="24"/>
              </w:rPr>
            </w:pPr>
            <w:r w:rsidRPr="00020082">
              <w:rPr>
                <w:rFonts w:ascii="Times New Roman" w:hAnsi="Times New Roman" w:cs="Times New Roman"/>
                <w:sz w:val="24"/>
                <w:szCs w:val="24"/>
              </w:rPr>
              <w:t>Regulējums, kas dot tiesības Izložu un azartspēļu uzraudzības inspekcijai</w:t>
            </w:r>
            <w:r w:rsidRPr="00B974B9">
              <w:rPr>
                <w:rFonts w:ascii="Times New Roman" w:hAnsi="Times New Roman" w:cs="Times New Roman"/>
                <w:sz w:val="24"/>
                <w:szCs w:val="24"/>
              </w:rPr>
              <w:t xml:space="preserve"> pieprasīt informāciju par li</w:t>
            </w:r>
            <w:r w:rsidR="00BE6459" w:rsidRPr="00B974B9">
              <w:rPr>
                <w:rFonts w:ascii="Times New Roman" w:hAnsi="Times New Roman" w:cs="Times New Roman"/>
                <w:sz w:val="24"/>
                <w:szCs w:val="24"/>
              </w:rPr>
              <w:t>etot</w:t>
            </w:r>
            <w:r w:rsidR="00EC3A64">
              <w:rPr>
                <w:rFonts w:ascii="Times New Roman" w:hAnsi="Times New Roman" w:cs="Times New Roman"/>
                <w:sz w:val="24"/>
                <w:szCs w:val="24"/>
              </w:rPr>
              <w:t>ā</w:t>
            </w:r>
            <w:r w:rsidR="00BE6459" w:rsidRPr="00B974B9">
              <w:rPr>
                <w:rFonts w:ascii="Times New Roman" w:hAnsi="Times New Roman" w:cs="Times New Roman"/>
                <w:sz w:val="24"/>
                <w:szCs w:val="24"/>
              </w:rPr>
              <w:t xml:space="preserve">jiem, kas izmantoja </w:t>
            </w:r>
            <w:r w:rsidR="003E3767">
              <w:rPr>
                <w:rFonts w:ascii="Times New Roman" w:hAnsi="Times New Roman" w:cs="Times New Roman"/>
                <w:sz w:val="24"/>
                <w:szCs w:val="24"/>
              </w:rPr>
              <w:t>Latvijas Republikā</w:t>
            </w:r>
            <w:r w:rsidRPr="00B974B9">
              <w:rPr>
                <w:rFonts w:ascii="Times New Roman" w:hAnsi="Times New Roman" w:cs="Times New Roman"/>
                <w:sz w:val="24"/>
                <w:szCs w:val="24"/>
              </w:rPr>
              <w:t xml:space="preserve"> n</w:t>
            </w:r>
            <w:r w:rsidR="00BE6459" w:rsidRPr="00B974B9">
              <w:rPr>
                <w:rFonts w:ascii="Times New Roman" w:hAnsi="Times New Roman" w:cs="Times New Roman"/>
                <w:sz w:val="24"/>
                <w:szCs w:val="24"/>
              </w:rPr>
              <w:t>elicencētā</w:t>
            </w:r>
            <w:r w:rsidRPr="00B974B9">
              <w:rPr>
                <w:rFonts w:ascii="Times New Roman" w:hAnsi="Times New Roman" w:cs="Times New Roman"/>
                <w:sz w:val="24"/>
                <w:szCs w:val="24"/>
              </w:rPr>
              <w:t xml:space="preserve">s </w:t>
            </w:r>
            <w:r w:rsidR="007A48D6">
              <w:rPr>
                <w:rFonts w:ascii="Times New Roman" w:hAnsi="Times New Roman" w:cs="Times New Roman"/>
                <w:sz w:val="24"/>
                <w:szCs w:val="24"/>
              </w:rPr>
              <w:t xml:space="preserve">interaktīvās </w:t>
            </w:r>
            <w:r w:rsidRPr="00B974B9">
              <w:rPr>
                <w:rFonts w:ascii="Times New Roman" w:hAnsi="Times New Roman" w:cs="Times New Roman"/>
                <w:sz w:val="24"/>
                <w:szCs w:val="24"/>
              </w:rPr>
              <w:t xml:space="preserve">azartspēļu un </w:t>
            </w:r>
            <w:r w:rsidR="007A48D6">
              <w:rPr>
                <w:rFonts w:ascii="Times New Roman" w:hAnsi="Times New Roman" w:cs="Times New Roman"/>
                <w:sz w:val="24"/>
                <w:szCs w:val="24"/>
              </w:rPr>
              <w:t xml:space="preserve">interaktīvās </w:t>
            </w:r>
            <w:r w:rsidRPr="00B974B9">
              <w:rPr>
                <w:rFonts w:ascii="Times New Roman" w:hAnsi="Times New Roman" w:cs="Times New Roman"/>
                <w:sz w:val="24"/>
                <w:szCs w:val="24"/>
              </w:rPr>
              <w:t>izložu organizētāju tīmekļa vietnes</w:t>
            </w:r>
            <w:r w:rsidR="00EC3A64">
              <w:rPr>
                <w:rFonts w:ascii="Times New Roman" w:hAnsi="Times New Roman" w:cs="Times New Roman"/>
                <w:sz w:val="24"/>
                <w:szCs w:val="24"/>
              </w:rPr>
              <w:t>,</w:t>
            </w:r>
            <w:r w:rsidRPr="00B974B9">
              <w:rPr>
                <w:rFonts w:ascii="Times New Roman" w:hAnsi="Times New Roman" w:cs="Times New Roman"/>
                <w:sz w:val="24"/>
                <w:szCs w:val="24"/>
              </w:rPr>
              <w:t xml:space="preserve"> ir samērīgs arī no datu aizsardzību regulējošo normatīvo aktu viedokļa. Fizisko personu pamattiesības un brīvības, it īpaši </w:t>
            </w:r>
            <w:r w:rsidR="002A6E86" w:rsidRPr="00B974B9">
              <w:rPr>
                <w:rFonts w:ascii="Times New Roman" w:hAnsi="Times New Roman" w:cs="Times New Roman"/>
                <w:sz w:val="24"/>
                <w:szCs w:val="24"/>
              </w:rPr>
              <w:t xml:space="preserve">privātās </w:t>
            </w:r>
            <w:r w:rsidR="00BE6459" w:rsidRPr="00B974B9">
              <w:rPr>
                <w:rFonts w:ascii="Times New Roman" w:hAnsi="Times New Roman" w:cs="Times New Roman"/>
                <w:sz w:val="24"/>
                <w:szCs w:val="24"/>
              </w:rPr>
              <w:t>dzīves neaizskaramību, attiecībā</w:t>
            </w:r>
            <w:r w:rsidR="002A6E86" w:rsidRPr="00B974B9">
              <w:rPr>
                <w:rFonts w:ascii="Times New Roman" w:hAnsi="Times New Roman" w:cs="Times New Roman"/>
                <w:sz w:val="24"/>
                <w:szCs w:val="24"/>
              </w:rPr>
              <w:t xml:space="preserve"> uz fiziskās personas datu apstrādi aizsargā Latvijas Republikas Satversmes 96.</w:t>
            </w:r>
            <w:r w:rsidR="00CE1F8F" w:rsidRPr="00B974B9">
              <w:rPr>
                <w:rFonts w:ascii="Times New Roman" w:hAnsi="Times New Roman" w:cs="Times New Roman"/>
                <w:sz w:val="24"/>
                <w:szCs w:val="24"/>
              </w:rPr>
              <w:t>pant</w:t>
            </w:r>
            <w:r w:rsidR="00CE1F8F">
              <w:rPr>
                <w:rFonts w:ascii="Times New Roman" w:hAnsi="Times New Roman" w:cs="Times New Roman"/>
                <w:sz w:val="24"/>
                <w:szCs w:val="24"/>
              </w:rPr>
              <w:t>s</w:t>
            </w:r>
            <w:r w:rsidR="002A6E86" w:rsidRPr="00B974B9">
              <w:rPr>
                <w:rFonts w:ascii="Times New Roman" w:hAnsi="Times New Roman" w:cs="Times New Roman"/>
                <w:sz w:val="24"/>
                <w:szCs w:val="24"/>
              </w:rPr>
              <w:t>, kas nosaka, ka ikvienai personai ir tiesības uz privātās dzīves, mājokļa un korespondences neaizskaramību. Savukārt Satversmes 116.p</w:t>
            </w:r>
            <w:r w:rsidR="00BE6459" w:rsidRPr="00B974B9">
              <w:rPr>
                <w:rFonts w:ascii="Times New Roman" w:hAnsi="Times New Roman" w:cs="Times New Roman"/>
                <w:sz w:val="24"/>
                <w:szCs w:val="24"/>
              </w:rPr>
              <w:t>ants nosaka, ka šī</w:t>
            </w:r>
            <w:r w:rsidR="002A6E86" w:rsidRPr="00B974B9">
              <w:rPr>
                <w:rFonts w:ascii="Times New Roman" w:hAnsi="Times New Roman" w:cs="Times New Roman"/>
                <w:sz w:val="24"/>
                <w:szCs w:val="24"/>
              </w:rPr>
              <w:t>s tiesības var tikt ierobežotas, lai aizsargātu citu cilvēku tiesības, demokrātisko valsts iekārtu, sabiedrības drošību, labklājību un tikumību. Likumprojektā ietvertais regulējums ir vēr</w:t>
            </w:r>
            <w:r w:rsidR="00EC3A64">
              <w:rPr>
                <w:rFonts w:ascii="Times New Roman" w:hAnsi="Times New Roman" w:cs="Times New Roman"/>
                <w:sz w:val="24"/>
                <w:szCs w:val="24"/>
              </w:rPr>
              <w:t>s</w:t>
            </w:r>
            <w:r w:rsidR="002A6E86" w:rsidRPr="00B974B9">
              <w:rPr>
                <w:rFonts w:ascii="Times New Roman" w:hAnsi="Times New Roman" w:cs="Times New Roman"/>
                <w:sz w:val="24"/>
                <w:szCs w:val="24"/>
              </w:rPr>
              <w:t>ts un leģitīmu mērķu – sabiedrības tikumības un labklājības veicināšana</w:t>
            </w:r>
            <w:r w:rsidR="00BE6459" w:rsidRPr="00B974B9">
              <w:rPr>
                <w:rFonts w:ascii="Times New Roman" w:hAnsi="Times New Roman" w:cs="Times New Roman"/>
                <w:sz w:val="24"/>
                <w:szCs w:val="24"/>
              </w:rPr>
              <w:t>s</w:t>
            </w:r>
            <w:r w:rsidR="002A6E86" w:rsidRPr="00B974B9">
              <w:rPr>
                <w:rFonts w:ascii="Times New Roman" w:hAnsi="Times New Roman" w:cs="Times New Roman"/>
                <w:sz w:val="24"/>
                <w:szCs w:val="24"/>
              </w:rPr>
              <w:t xml:space="preserve"> – sasniegšanu. </w:t>
            </w:r>
            <w:r w:rsidR="00556865" w:rsidRPr="00B974B9">
              <w:rPr>
                <w:rFonts w:ascii="Times New Roman" w:hAnsi="Times New Roman" w:cs="Times New Roman"/>
                <w:sz w:val="24"/>
                <w:szCs w:val="24"/>
              </w:rPr>
              <w:t>Identificējot personu, kas darbojas nelicencētajā vidē un novirzot to kontrolētājā</w:t>
            </w:r>
            <w:r w:rsidR="00BE6459" w:rsidRPr="00B974B9">
              <w:rPr>
                <w:rFonts w:ascii="Times New Roman" w:hAnsi="Times New Roman" w:cs="Times New Roman"/>
                <w:sz w:val="24"/>
                <w:szCs w:val="24"/>
              </w:rPr>
              <w:t xml:space="preserve"> vidē</w:t>
            </w:r>
            <w:r w:rsidR="00556865" w:rsidRPr="00B974B9">
              <w:rPr>
                <w:rFonts w:ascii="Times New Roman" w:hAnsi="Times New Roman" w:cs="Times New Roman"/>
                <w:sz w:val="24"/>
                <w:szCs w:val="24"/>
              </w:rPr>
              <w:t>, kurā darbojas atkarības novēršanas preventīv</w:t>
            </w:r>
            <w:r w:rsidR="00BE6459" w:rsidRPr="00B974B9">
              <w:rPr>
                <w:rFonts w:ascii="Times New Roman" w:hAnsi="Times New Roman" w:cs="Times New Roman"/>
                <w:sz w:val="24"/>
                <w:szCs w:val="24"/>
              </w:rPr>
              <w:t>a</w:t>
            </w:r>
            <w:r w:rsidR="00556865" w:rsidRPr="00B974B9">
              <w:rPr>
                <w:rFonts w:ascii="Times New Roman" w:hAnsi="Times New Roman" w:cs="Times New Roman"/>
                <w:sz w:val="24"/>
                <w:szCs w:val="24"/>
              </w:rPr>
              <w:t xml:space="preserve">s prasības, tiks pasargāta ne tikai pati persona, bet arī līdzcilvēki. </w:t>
            </w:r>
          </w:p>
          <w:p w14:paraId="7DA85065" w14:textId="22060517" w:rsidR="00C551C8" w:rsidRPr="00B974B9" w:rsidRDefault="00D03639" w:rsidP="000C1776">
            <w:pPr>
              <w:tabs>
                <w:tab w:val="left" w:pos="2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865" w:rsidRPr="00020082">
              <w:rPr>
                <w:rFonts w:ascii="Times New Roman" w:hAnsi="Times New Roman" w:cs="Times New Roman"/>
                <w:sz w:val="24"/>
                <w:szCs w:val="24"/>
              </w:rPr>
              <w:t>Turklāt</w:t>
            </w:r>
            <w:r w:rsidRPr="00020082">
              <w:rPr>
                <w:rFonts w:ascii="Times New Roman" w:hAnsi="Times New Roman" w:cs="Times New Roman"/>
                <w:sz w:val="24"/>
                <w:szCs w:val="24"/>
              </w:rPr>
              <w:t xml:space="preserve"> </w:t>
            </w:r>
            <w:r w:rsidR="00556865" w:rsidRPr="00020082">
              <w:rPr>
                <w:rFonts w:ascii="Times New Roman" w:hAnsi="Times New Roman" w:cs="Times New Roman"/>
                <w:sz w:val="24"/>
                <w:szCs w:val="24"/>
              </w:rPr>
              <w:t xml:space="preserve">informācijas apjoms, ko saņems Izložu un azartspēļu </w:t>
            </w:r>
            <w:r w:rsidR="00EC3A64" w:rsidRPr="00020082">
              <w:rPr>
                <w:rFonts w:ascii="Times New Roman" w:hAnsi="Times New Roman" w:cs="Times New Roman"/>
                <w:sz w:val="24"/>
                <w:szCs w:val="24"/>
              </w:rPr>
              <w:t xml:space="preserve">uzraudzības </w:t>
            </w:r>
            <w:r w:rsidR="00556865" w:rsidRPr="00020082">
              <w:rPr>
                <w:rFonts w:ascii="Times New Roman" w:hAnsi="Times New Roman" w:cs="Times New Roman"/>
                <w:sz w:val="24"/>
                <w:szCs w:val="24"/>
              </w:rPr>
              <w:t>inspekcija, nebūs lielāks, kā nepieciešams leģitīmu mērķu sasniegšanai. Informācija, kas tiks saņemta no elektronisko sakaru komersantiem</w:t>
            </w:r>
            <w:r w:rsidR="00EC3A64" w:rsidRPr="00020082">
              <w:rPr>
                <w:rFonts w:ascii="Times New Roman" w:hAnsi="Times New Roman" w:cs="Times New Roman"/>
                <w:sz w:val="24"/>
                <w:szCs w:val="24"/>
              </w:rPr>
              <w:t>,</w:t>
            </w:r>
            <w:r w:rsidR="00556865" w:rsidRPr="00020082">
              <w:rPr>
                <w:rFonts w:ascii="Times New Roman" w:hAnsi="Times New Roman" w:cs="Times New Roman"/>
                <w:sz w:val="24"/>
                <w:szCs w:val="24"/>
              </w:rPr>
              <w:t xml:space="preserve"> būs tāda, kas ļauj identificēt personu, k</w:t>
            </w:r>
            <w:r w:rsidR="00EC3A64" w:rsidRPr="00020082">
              <w:rPr>
                <w:rFonts w:ascii="Times New Roman" w:hAnsi="Times New Roman" w:cs="Times New Roman"/>
                <w:sz w:val="24"/>
                <w:szCs w:val="24"/>
              </w:rPr>
              <w:t>ura</w:t>
            </w:r>
            <w:r w:rsidR="00556865" w:rsidRPr="00020082">
              <w:rPr>
                <w:rFonts w:ascii="Times New Roman" w:hAnsi="Times New Roman" w:cs="Times New Roman"/>
                <w:sz w:val="24"/>
                <w:szCs w:val="24"/>
              </w:rPr>
              <w:t xml:space="preserve"> piedalās </w:t>
            </w:r>
            <w:r w:rsidR="003E3767">
              <w:rPr>
                <w:rFonts w:ascii="Times New Roman" w:hAnsi="Times New Roman" w:cs="Times New Roman"/>
                <w:sz w:val="24"/>
                <w:szCs w:val="24"/>
              </w:rPr>
              <w:t>Latvijas Republikā</w:t>
            </w:r>
            <w:r w:rsidR="00556865" w:rsidRPr="00020082">
              <w:rPr>
                <w:rFonts w:ascii="Times New Roman" w:hAnsi="Times New Roman" w:cs="Times New Roman"/>
                <w:sz w:val="24"/>
                <w:szCs w:val="24"/>
              </w:rPr>
              <w:t xml:space="preserve"> nelicencētajās</w:t>
            </w:r>
            <w:r w:rsidR="00BE6459" w:rsidRPr="00020082">
              <w:rPr>
                <w:rFonts w:ascii="Times New Roman" w:hAnsi="Times New Roman" w:cs="Times New Roman"/>
                <w:sz w:val="24"/>
                <w:szCs w:val="24"/>
              </w:rPr>
              <w:t xml:space="preserve"> interaktīvajās</w:t>
            </w:r>
            <w:r w:rsidR="00556865" w:rsidRPr="00020082">
              <w:rPr>
                <w:rFonts w:ascii="Times New Roman" w:hAnsi="Times New Roman" w:cs="Times New Roman"/>
                <w:sz w:val="24"/>
                <w:szCs w:val="24"/>
              </w:rPr>
              <w:t xml:space="preserve"> azartspēlēs</w:t>
            </w:r>
            <w:r w:rsidR="00556865" w:rsidRPr="00B974B9">
              <w:rPr>
                <w:rFonts w:ascii="Times New Roman" w:hAnsi="Times New Roman" w:cs="Times New Roman"/>
                <w:sz w:val="24"/>
                <w:szCs w:val="24"/>
              </w:rPr>
              <w:t xml:space="preserve"> un </w:t>
            </w:r>
            <w:r w:rsidR="007A48D6">
              <w:rPr>
                <w:rFonts w:ascii="Times New Roman" w:hAnsi="Times New Roman" w:cs="Times New Roman"/>
                <w:sz w:val="24"/>
                <w:szCs w:val="24"/>
              </w:rPr>
              <w:t xml:space="preserve">interaktīvajās </w:t>
            </w:r>
            <w:r w:rsidR="00556865" w:rsidRPr="00B974B9">
              <w:rPr>
                <w:rFonts w:ascii="Times New Roman" w:hAnsi="Times New Roman" w:cs="Times New Roman"/>
                <w:sz w:val="24"/>
                <w:szCs w:val="24"/>
              </w:rPr>
              <w:t xml:space="preserve">izlozēs un saturēs informāciju tikai par veiktajām darbībām nelicencētajā tīmekļa vietnē, nevis par privātu dzīvi. Ievērojot minēto, labums, ko gūs sabiedrība, </w:t>
            </w:r>
            <w:r w:rsidR="00556865" w:rsidRPr="00B974B9">
              <w:rPr>
                <w:rFonts w:ascii="Times New Roman" w:hAnsi="Times New Roman" w:cs="Times New Roman"/>
                <w:sz w:val="24"/>
                <w:szCs w:val="24"/>
              </w:rPr>
              <w:lastRenderedPageBreak/>
              <w:t>būs lielāks kā privātpersonu tiesību ierobežojums</w:t>
            </w:r>
            <w:r w:rsidR="000C1776" w:rsidRPr="00B974B9">
              <w:rPr>
                <w:rFonts w:ascii="Times New Roman" w:hAnsi="Times New Roman" w:cs="Times New Roman"/>
                <w:sz w:val="24"/>
                <w:szCs w:val="24"/>
              </w:rPr>
              <w:t>, līdz ar to likumprojektā ietvertais regulējums ir samērīgs.</w:t>
            </w:r>
          </w:p>
          <w:p w14:paraId="11FD750E" w14:textId="396C98F4" w:rsidR="00C90782" w:rsidRPr="00B974B9" w:rsidRDefault="00EC3A64" w:rsidP="000C1776">
            <w:pPr>
              <w:pStyle w:val="ListParagraph"/>
              <w:numPr>
                <w:ilvl w:val="0"/>
                <w:numId w:val="11"/>
              </w:numPr>
              <w:tabs>
                <w:tab w:val="left" w:pos="215"/>
              </w:tabs>
              <w:spacing w:after="0" w:line="240" w:lineRule="auto"/>
              <w:ind w:left="0" w:firstLine="0"/>
              <w:jc w:val="both"/>
              <w:rPr>
                <w:rFonts w:ascii="Times New Roman" w:hAnsi="Times New Roman" w:cs="Times New Roman"/>
                <w:i/>
                <w:sz w:val="24"/>
                <w:szCs w:val="24"/>
              </w:rPr>
            </w:pPr>
            <w:r>
              <w:rPr>
                <w:rFonts w:ascii="Times New Roman" w:hAnsi="Times New Roman" w:cs="Times New Roman"/>
                <w:b/>
                <w:i/>
                <w:sz w:val="24"/>
                <w:szCs w:val="24"/>
              </w:rPr>
              <w:t xml:space="preserve">Par </w:t>
            </w:r>
            <w:r w:rsidR="00C90782" w:rsidRPr="00B974B9">
              <w:rPr>
                <w:rFonts w:ascii="Times New Roman" w:hAnsi="Times New Roman" w:cs="Times New Roman"/>
                <w:b/>
                <w:i/>
                <w:sz w:val="24"/>
                <w:szCs w:val="24"/>
              </w:rPr>
              <w:t xml:space="preserve">atbildību </w:t>
            </w:r>
            <w:r w:rsidR="00313B02" w:rsidRPr="00B974B9">
              <w:rPr>
                <w:rFonts w:ascii="Times New Roman" w:hAnsi="Times New Roman" w:cs="Times New Roman"/>
                <w:b/>
                <w:i/>
                <w:sz w:val="24"/>
                <w:szCs w:val="24"/>
              </w:rPr>
              <w:t>elek</w:t>
            </w:r>
            <w:r w:rsidR="00306371" w:rsidRPr="00B974B9">
              <w:rPr>
                <w:rFonts w:ascii="Times New Roman" w:hAnsi="Times New Roman" w:cs="Times New Roman"/>
                <w:b/>
                <w:i/>
                <w:sz w:val="24"/>
                <w:szCs w:val="24"/>
              </w:rPr>
              <w:t>tronisko sakaru komersantam</w:t>
            </w:r>
            <w:r w:rsidR="00C90782" w:rsidRPr="00B974B9">
              <w:rPr>
                <w:rFonts w:ascii="Times New Roman" w:hAnsi="Times New Roman" w:cs="Times New Roman"/>
                <w:b/>
                <w:i/>
                <w:sz w:val="24"/>
                <w:szCs w:val="24"/>
              </w:rPr>
              <w:t xml:space="preserve"> par </w:t>
            </w:r>
            <w:r w:rsidR="00306371" w:rsidRPr="00B974B9">
              <w:rPr>
                <w:rFonts w:ascii="Times New Roman" w:hAnsi="Times New Roman" w:cs="Times New Roman"/>
                <w:b/>
                <w:i/>
                <w:sz w:val="24"/>
                <w:szCs w:val="24"/>
              </w:rPr>
              <w:t xml:space="preserve">piekļuves </w:t>
            </w:r>
            <w:r w:rsidR="00A40486" w:rsidRPr="00B974B9">
              <w:rPr>
                <w:rFonts w:ascii="Times New Roman" w:hAnsi="Times New Roman" w:cs="Times New Roman"/>
                <w:b/>
                <w:i/>
                <w:sz w:val="24"/>
                <w:szCs w:val="24"/>
              </w:rPr>
              <w:t>ne</w:t>
            </w:r>
            <w:r w:rsidR="00306371" w:rsidRPr="00B974B9">
              <w:rPr>
                <w:rFonts w:ascii="Times New Roman" w:hAnsi="Times New Roman" w:cs="Times New Roman"/>
                <w:b/>
                <w:i/>
                <w:sz w:val="24"/>
                <w:szCs w:val="24"/>
              </w:rPr>
              <w:t xml:space="preserve">ierobežošanu </w:t>
            </w:r>
            <w:r w:rsidR="003E3767" w:rsidRPr="00CD2559">
              <w:rPr>
                <w:rFonts w:ascii="Times New Roman" w:hAnsi="Times New Roman" w:cs="Times New Roman"/>
                <w:b/>
                <w:i/>
                <w:sz w:val="24"/>
                <w:szCs w:val="24"/>
              </w:rPr>
              <w:t>Latvijas Republikā</w:t>
            </w:r>
            <w:r w:rsidR="00306371" w:rsidRPr="00B974B9">
              <w:rPr>
                <w:rFonts w:ascii="Times New Roman" w:hAnsi="Times New Roman" w:cs="Times New Roman"/>
                <w:b/>
                <w:i/>
                <w:sz w:val="24"/>
                <w:szCs w:val="24"/>
              </w:rPr>
              <w:t xml:space="preserve"> nelicencēta interaktīvo azartspēļu vai interaktīvo izložu organizētāja </w:t>
            </w:r>
            <w:r w:rsidR="007A48D6">
              <w:rPr>
                <w:rFonts w:ascii="Times New Roman" w:hAnsi="Times New Roman" w:cs="Times New Roman"/>
                <w:b/>
                <w:i/>
                <w:sz w:val="24"/>
                <w:szCs w:val="24"/>
              </w:rPr>
              <w:t>tīmekļa vietnei</w:t>
            </w:r>
            <w:r w:rsidR="00306371" w:rsidRPr="00B974B9">
              <w:rPr>
                <w:rFonts w:ascii="Times New Roman" w:hAnsi="Times New Roman" w:cs="Times New Roman"/>
                <w:b/>
                <w:i/>
                <w:sz w:val="24"/>
                <w:szCs w:val="24"/>
              </w:rPr>
              <w:t>.</w:t>
            </w:r>
          </w:p>
          <w:p w14:paraId="3DD3D4F6" w14:textId="6FB15ABB" w:rsidR="007B3D6F" w:rsidRPr="00B974B9" w:rsidRDefault="007B3D6F" w:rsidP="004917EC">
            <w:pPr>
              <w:autoSpaceDE w:val="0"/>
              <w:autoSpaceDN w:val="0"/>
              <w:spacing w:after="0"/>
              <w:jc w:val="both"/>
              <w:rPr>
                <w:rFonts w:ascii="Times New Roman" w:hAnsi="Times New Roman" w:cs="Times New Roman"/>
                <w:sz w:val="24"/>
                <w:szCs w:val="24"/>
              </w:rPr>
            </w:pPr>
            <w:r w:rsidRPr="00B974B9">
              <w:rPr>
                <w:rFonts w:ascii="Times New Roman" w:hAnsi="Times New Roman" w:cs="Times New Roman"/>
                <w:sz w:val="24"/>
                <w:szCs w:val="24"/>
              </w:rPr>
              <w:t>Šobrīd Elektronisko sakaru likuma 13.</w:t>
            </w:r>
            <w:r w:rsidRPr="00B974B9">
              <w:rPr>
                <w:rFonts w:ascii="Times New Roman" w:hAnsi="Times New Roman" w:cs="Times New Roman"/>
                <w:sz w:val="24"/>
                <w:szCs w:val="24"/>
                <w:vertAlign w:val="superscript"/>
              </w:rPr>
              <w:t>1</w:t>
            </w:r>
            <w:r w:rsidRPr="00B974B9">
              <w:rPr>
                <w:rFonts w:ascii="Times New Roman" w:hAnsi="Times New Roman" w:cs="Times New Roman"/>
                <w:sz w:val="24"/>
                <w:szCs w:val="24"/>
              </w:rPr>
              <w:t xml:space="preserve"> pantā Izložu un azartspēļu uzraudzības inspekcijai ir noteiktas tiesības pieņemt lēmumu par to, ka </w:t>
            </w:r>
            <w:r w:rsidR="003E3767">
              <w:rPr>
                <w:rFonts w:ascii="Times New Roman" w:hAnsi="Times New Roman" w:cs="Times New Roman"/>
                <w:sz w:val="24"/>
                <w:szCs w:val="24"/>
              </w:rPr>
              <w:t>Latvijas Republikā</w:t>
            </w:r>
            <w:r w:rsidRPr="00B974B9">
              <w:rPr>
                <w:rFonts w:ascii="Times New Roman" w:hAnsi="Times New Roman" w:cs="Times New Roman"/>
                <w:sz w:val="24"/>
                <w:szCs w:val="24"/>
              </w:rPr>
              <w:t xml:space="preserve"> ir ierobežojama piekļuve </w:t>
            </w:r>
            <w:r w:rsidR="003E3767">
              <w:rPr>
                <w:rFonts w:ascii="Times New Roman" w:hAnsi="Times New Roman" w:cs="Times New Roman"/>
                <w:sz w:val="24"/>
                <w:szCs w:val="24"/>
              </w:rPr>
              <w:t>Latvijas Republikā</w:t>
            </w:r>
            <w:r w:rsidRPr="00B974B9">
              <w:rPr>
                <w:rFonts w:ascii="Times New Roman" w:hAnsi="Times New Roman" w:cs="Times New Roman"/>
                <w:sz w:val="24"/>
                <w:szCs w:val="24"/>
              </w:rPr>
              <w:t xml:space="preserve"> nelicencēta interaktīvo azartspēļu organizētāja interneta mājaslapai. Turklāt no Elektronisko sakaru likuma 19.panta pirmās daļas 22.punkta izriet pienākums</w:t>
            </w:r>
            <w:r w:rsidRPr="00B974B9">
              <w:t xml:space="preserve"> </w:t>
            </w:r>
            <w:r w:rsidRPr="00B974B9">
              <w:rPr>
                <w:rFonts w:ascii="Times New Roman" w:hAnsi="Times New Roman" w:cs="Times New Roman"/>
                <w:sz w:val="24"/>
                <w:szCs w:val="24"/>
              </w:rPr>
              <w:t xml:space="preserve">augstākā līmeņa domēna </w:t>
            </w:r>
            <w:r w:rsidR="004917EC" w:rsidRPr="00B974B9">
              <w:rPr>
                <w:rFonts w:ascii="Times New Roman" w:hAnsi="Times New Roman" w:cs="Times New Roman"/>
                <w:sz w:val="24"/>
                <w:szCs w:val="24"/>
              </w:rPr>
              <w:t>“</w:t>
            </w:r>
            <w:r w:rsidRPr="00B974B9">
              <w:rPr>
                <w:rFonts w:ascii="Times New Roman" w:hAnsi="Times New Roman" w:cs="Times New Roman"/>
                <w:sz w:val="24"/>
                <w:szCs w:val="24"/>
              </w:rPr>
              <w:t>.lv</w:t>
            </w:r>
            <w:r w:rsidR="004917EC" w:rsidRPr="00B974B9">
              <w:rPr>
                <w:rFonts w:ascii="Times New Roman" w:hAnsi="Times New Roman" w:cs="Times New Roman"/>
                <w:sz w:val="24"/>
                <w:szCs w:val="24"/>
              </w:rPr>
              <w:t>”</w:t>
            </w:r>
            <w:r w:rsidRPr="00B974B9">
              <w:rPr>
                <w:rFonts w:ascii="Times New Roman" w:hAnsi="Times New Roman" w:cs="Times New Roman"/>
                <w:sz w:val="24"/>
                <w:szCs w:val="24"/>
              </w:rPr>
              <w:t xml:space="preserve"> reģistra turētājam un elektronisko sakaru komersantam, pamatojoties uz Izložu un azartspēļu uzraudzības inspekcijas lēmumu, ierobežot piekļuvi </w:t>
            </w:r>
            <w:r w:rsidR="003E3767">
              <w:rPr>
                <w:rFonts w:ascii="Times New Roman" w:hAnsi="Times New Roman" w:cs="Times New Roman"/>
                <w:sz w:val="24"/>
                <w:szCs w:val="24"/>
              </w:rPr>
              <w:t>Latvijas Republikā</w:t>
            </w:r>
            <w:r w:rsidRPr="00B974B9">
              <w:rPr>
                <w:rFonts w:ascii="Times New Roman" w:hAnsi="Times New Roman" w:cs="Times New Roman"/>
                <w:sz w:val="24"/>
                <w:szCs w:val="24"/>
              </w:rPr>
              <w:t xml:space="preserve"> nelicencēta interaktīvo azartspēļu organizētāja interneta mājaslapai (turpmāk – Lēmums).</w:t>
            </w:r>
            <w:r w:rsidRPr="00B974B9">
              <w:rPr>
                <w:rFonts w:ascii="Times New Roman" w:hAnsi="Times New Roman" w:cs="Times New Roman"/>
                <w:sz w:val="24"/>
                <w:szCs w:val="24"/>
                <w:lang w:eastAsia="lv-LV"/>
              </w:rPr>
              <w:t xml:space="preserve"> Piekļuves ierobežošana mājas lapai ir</w:t>
            </w:r>
            <w:r w:rsidRPr="00B974B9">
              <w:rPr>
                <w:rFonts w:ascii="Times New Roman" w:hAnsi="Times New Roman" w:cs="Times New Roman"/>
                <w:sz w:val="24"/>
                <w:szCs w:val="24"/>
              </w:rPr>
              <w:t xml:space="preserve"> viens no paņēmieniem nelicencēta </w:t>
            </w:r>
            <w:r w:rsidR="007A48D6">
              <w:rPr>
                <w:rFonts w:ascii="Times New Roman" w:hAnsi="Times New Roman" w:cs="Times New Roman"/>
                <w:sz w:val="24"/>
                <w:szCs w:val="24"/>
              </w:rPr>
              <w:t xml:space="preserve">interaktīvo </w:t>
            </w:r>
            <w:r w:rsidRPr="00B974B9">
              <w:rPr>
                <w:rFonts w:ascii="Times New Roman" w:hAnsi="Times New Roman" w:cs="Times New Roman"/>
                <w:sz w:val="24"/>
                <w:szCs w:val="24"/>
              </w:rPr>
              <w:t xml:space="preserve">azartspēļu un </w:t>
            </w:r>
            <w:r w:rsidR="007A48D6">
              <w:rPr>
                <w:rFonts w:ascii="Times New Roman" w:hAnsi="Times New Roman" w:cs="Times New Roman"/>
                <w:sz w:val="24"/>
                <w:szCs w:val="24"/>
              </w:rPr>
              <w:t xml:space="preserve">interaktīvo </w:t>
            </w:r>
            <w:r w:rsidRPr="00B974B9">
              <w:rPr>
                <w:rFonts w:ascii="Times New Roman" w:hAnsi="Times New Roman" w:cs="Times New Roman"/>
                <w:sz w:val="24"/>
                <w:szCs w:val="24"/>
              </w:rPr>
              <w:t>izložu segmenta mazināšanai, taču straujā tehnoloģiju attīstības laikmetā šie pasākumi nav pietiekoši efektīvi. Joprojām ievērojamai daļai no bloķēto nelicencēto organizētāju vietnēm un vietņu apakšdaļām ir iespējams piekļūt. Līdz ar to būtu nepieciešams ne tikai uzlabot pašu ierobežošanas procesu un nodrošināt kontroli par to izpildi, bet arī paredzēt atbildību elektronisko sakaru komersantiem par ierobežošanas prasību nenodrošināšanu.</w:t>
            </w:r>
          </w:p>
          <w:p w14:paraId="795A23F5" w14:textId="675F2FAA" w:rsidR="007B3D6F" w:rsidRPr="00B974B9" w:rsidRDefault="007B3D6F" w:rsidP="004917EC">
            <w:pPr>
              <w:autoSpaceDE w:val="0"/>
              <w:autoSpaceDN w:val="0"/>
              <w:spacing w:after="0"/>
              <w:jc w:val="both"/>
              <w:rPr>
                <w:rFonts w:ascii="Times New Roman" w:hAnsi="Times New Roman" w:cs="Times New Roman"/>
                <w:sz w:val="24"/>
                <w:szCs w:val="24"/>
              </w:rPr>
            </w:pPr>
            <w:r w:rsidRPr="00B974B9">
              <w:rPr>
                <w:rFonts w:ascii="Times New Roman" w:hAnsi="Times New Roman" w:cs="Times New Roman"/>
                <w:sz w:val="24"/>
                <w:szCs w:val="24"/>
              </w:rPr>
              <w:t xml:space="preserve">Atbildības noteikšanas nepieciešamība tiek pamatota ar to, ka azartspēļu un izložu joma ietver sevī ne tikai izvairīšanās no nodokļu nomaksas riskus, bet arī galvenokārt riskus, kas ir saistīti ar atkarības veidošanos un atsevišķu indivīdu nespēju aizsargāt savas tiesības nekontrolētajā vidē, pakļaujot draudiem sevi un blakus esošos cilvēkus. </w:t>
            </w:r>
            <w:r w:rsidRPr="00B974B9">
              <w:rPr>
                <w:rFonts w:ascii="Times New Roman" w:eastAsia="Times New Roman" w:hAnsi="Times New Roman" w:cs="Times New Roman"/>
                <w:bCs/>
                <w:sz w:val="24"/>
                <w:szCs w:val="24"/>
                <w:lang w:eastAsia="lv-LV"/>
              </w:rPr>
              <w:t xml:space="preserve">Papildu atkarības izraisošiem riskiem nekontrolētā vidē prevalē finansiāla rakstura riski (krāpniecība), kā arī riski, kas ir saistīti ar personu datu aizsardzības prasību neievērošanu. </w:t>
            </w:r>
            <w:r w:rsidR="00CE1F8F">
              <w:rPr>
                <w:rFonts w:ascii="Times New Roman" w:eastAsia="Times New Roman" w:hAnsi="Times New Roman" w:cs="Times New Roman"/>
                <w:bCs/>
                <w:sz w:val="24"/>
                <w:szCs w:val="24"/>
                <w:lang w:eastAsia="lv-LV"/>
              </w:rPr>
              <w:t xml:space="preserve"> </w:t>
            </w:r>
          </w:p>
          <w:p w14:paraId="122256AF" w14:textId="3AD2BA1C" w:rsidR="007B3D6F" w:rsidRPr="00B974B9" w:rsidRDefault="007B3D6F" w:rsidP="004917EC">
            <w:pPr>
              <w:spacing w:after="0"/>
              <w:jc w:val="both"/>
              <w:rPr>
                <w:rFonts w:ascii="Times New Roman" w:hAnsi="Times New Roman" w:cs="Times New Roman"/>
                <w:sz w:val="24"/>
                <w:szCs w:val="24"/>
                <w:vertAlign w:val="superscript"/>
              </w:rPr>
            </w:pPr>
            <w:r w:rsidRPr="00B974B9">
              <w:rPr>
                <w:rFonts w:ascii="Times New Roman" w:hAnsi="Times New Roman" w:cs="Times New Roman"/>
                <w:sz w:val="24"/>
                <w:szCs w:val="24"/>
              </w:rPr>
              <w:t>Jaunākais 2017.gadā publicētais sistemātiskais apskats un meta</w:t>
            </w:r>
            <w:r w:rsidR="002B21E7" w:rsidRPr="00B974B9">
              <w:rPr>
                <w:rFonts w:ascii="Times New Roman" w:hAnsi="Times New Roman" w:cs="Times New Roman"/>
                <w:sz w:val="24"/>
                <w:szCs w:val="24"/>
              </w:rPr>
              <w:t xml:space="preserve"> </w:t>
            </w:r>
            <w:r w:rsidRPr="00B974B9">
              <w:rPr>
                <w:rFonts w:ascii="Times New Roman" w:hAnsi="Times New Roman" w:cs="Times New Roman"/>
                <w:sz w:val="24"/>
                <w:szCs w:val="24"/>
              </w:rPr>
              <w:t>analīze liecina par plaša spektra dažādiem azartspēļu spēlēšanas riska un asociētajiem faktoriem. Pierādījumu līmenis katram no tiem ir atšķirīgs, taču ir vērojamas atsevišķas faktoru grupas, kas viennozīmīgi ir saistītas ar azartspēļu atkarību</w:t>
            </w:r>
            <w:r w:rsidRPr="00B974B9">
              <w:rPr>
                <w:rStyle w:val="FootnoteReference"/>
                <w:rFonts w:ascii="Times New Roman" w:hAnsi="Times New Roman" w:cs="Times New Roman"/>
                <w:sz w:val="24"/>
                <w:szCs w:val="24"/>
              </w:rPr>
              <w:footnoteReference w:id="1"/>
            </w:r>
            <w:r w:rsidRPr="00B974B9">
              <w:rPr>
                <w:rFonts w:ascii="Times New Roman" w:hAnsi="Times New Roman" w:cs="Times New Roman"/>
                <w:sz w:val="24"/>
                <w:szCs w:val="24"/>
              </w:rPr>
              <w:t>:</w:t>
            </w:r>
          </w:p>
          <w:p w14:paraId="4A643889" w14:textId="1E559ECE" w:rsidR="007B3D6F" w:rsidRPr="00B974B9" w:rsidRDefault="007B3D6F" w:rsidP="007B3D6F">
            <w:pPr>
              <w:pStyle w:val="ListParagraph"/>
              <w:numPr>
                <w:ilvl w:val="0"/>
                <w:numId w:val="15"/>
              </w:numPr>
              <w:spacing w:after="0" w:line="240" w:lineRule="auto"/>
              <w:ind w:left="0" w:firstLine="567"/>
              <w:jc w:val="both"/>
              <w:rPr>
                <w:rFonts w:ascii="Times New Roman" w:hAnsi="Times New Roman" w:cs="Times New Roman"/>
                <w:strike/>
                <w:sz w:val="24"/>
                <w:szCs w:val="24"/>
              </w:rPr>
            </w:pPr>
            <w:r w:rsidRPr="00B974B9">
              <w:rPr>
                <w:rFonts w:ascii="Times New Roman" w:hAnsi="Times New Roman" w:cs="Times New Roman"/>
                <w:sz w:val="24"/>
                <w:szCs w:val="24"/>
              </w:rPr>
              <w:t>sociāli demogrāfiskie faktori – meta</w:t>
            </w:r>
            <w:r w:rsidR="002B21E7" w:rsidRPr="00B974B9">
              <w:rPr>
                <w:rFonts w:ascii="Times New Roman" w:hAnsi="Times New Roman" w:cs="Times New Roman"/>
                <w:sz w:val="24"/>
                <w:szCs w:val="24"/>
              </w:rPr>
              <w:t xml:space="preserve"> </w:t>
            </w:r>
            <w:r w:rsidRPr="00B974B9">
              <w:rPr>
                <w:rFonts w:ascii="Times New Roman" w:hAnsi="Times New Roman" w:cs="Times New Roman"/>
                <w:sz w:val="24"/>
                <w:szCs w:val="24"/>
              </w:rPr>
              <w:t xml:space="preserve">analīze liecina, ka no visiem šiem faktoriem dzimums ir visnozīmīgākais neatkarīgais riska faktors. Proti, vīriešiem </w:t>
            </w:r>
            <w:r w:rsidRPr="00B974B9">
              <w:rPr>
                <w:rFonts w:ascii="Times New Roman" w:hAnsi="Times New Roman" w:cs="Times New Roman"/>
                <w:sz w:val="24"/>
                <w:szCs w:val="24"/>
              </w:rPr>
              <w:lastRenderedPageBreak/>
              <w:t>ir ievērojami augstāks azartspēļu atkarības risks nekā sievietēm. Vienlaikus tiek atzīts, ka cēlonība var nebūt bioloģiskas dabas;</w:t>
            </w:r>
          </w:p>
          <w:p w14:paraId="01D9CC1F" w14:textId="77777777" w:rsidR="007B3D6F" w:rsidRPr="00B974B9" w:rsidRDefault="007B3D6F" w:rsidP="007B3D6F">
            <w:pPr>
              <w:pStyle w:val="ListParagraph"/>
              <w:numPr>
                <w:ilvl w:val="0"/>
                <w:numId w:val="15"/>
              </w:numPr>
              <w:spacing w:after="120" w:line="240" w:lineRule="auto"/>
              <w:ind w:left="0" w:firstLine="567"/>
              <w:jc w:val="both"/>
              <w:rPr>
                <w:rFonts w:ascii="Times New Roman" w:hAnsi="Times New Roman" w:cs="Times New Roman"/>
                <w:strike/>
                <w:sz w:val="24"/>
                <w:szCs w:val="24"/>
              </w:rPr>
            </w:pPr>
            <w:r w:rsidRPr="00B974B9">
              <w:rPr>
                <w:rFonts w:ascii="Times New Roman" w:hAnsi="Times New Roman" w:cs="Times New Roman"/>
                <w:sz w:val="24"/>
                <w:szCs w:val="24"/>
              </w:rPr>
              <w:t xml:space="preserve">vēl ir pierādīts, ka azartspēļu spēlēšana bērnībā un pusaudža gados ir saistīta ar augstāku risku veidoties azartspēļu atkarībai turpmākās dzīves laikā; </w:t>
            </w:r>
          </w:p>
          <w:p w14:paraId="1B786767" w14:textId="77777777" w:rsidR="007B3D6F" w:rsidRPr="00B974B9" w:rsidRDefault="007B3D6F" w:rsidP="007B3D6F">
            <w:pPr>
              <w:pStyle w:val="ListParagraph"/>
              <w:numPr>
                <w:ilvl w:val="0"/>
                <w:numId w:val="15"/>
              </w:numPr>
              <w:spacing w:after="120" w:line="240" w:lineRule="auto"/>
              <w:ind w:left="0" w:firstLine="567"/>
              <w:jc w:val="both"/>
              <w:rPr>
                <w:rFonts w:ascii="Times New Roman" w:hAnsi="Times New Roman" w:cs="Times New Roman"/>
                <w:strike/>
                <w:sz w:val="24"/>
                <w:szCs w:val="24"/>
              </w:rPr>
            </w:pPr>
            <w:r w:rsidRPr="00B974B9">
              <w:rPr>
                <w:rFonts w:ascii="Times New Roman" w:hAnsi="Times New Roman" w:cs="Times New Roman"/>
                <w:sz w:val="24"/>
                <w:szCs w:val="24"/>
              </w:rPr>
              <w:t xml:space="preserve">atkarību izraisošās vielas – tabakas, alkohola, kā arī kanabisa un citu nelegālo vielu lietošana literatūrā ir konstanti saistīta ar azartspēļu spēlēšanu un atkarību; </w:t>
            </w:r>
          </w:p>
          <w:p w14:paraId="75239F5A" w14:textId="4AF1E895" w:rsidR="007B3D6F" w:rsidRPr="00020082" w:rsidRDefault="007B3D6F" w:rsidP="00E5338E">
            <w:pPr>
              <w:pStyle w:val="ListParagraph"/>
              <w:numPr>
                <w:ilvl w:val="0"/>
                <w:numId w:val="15"/>
              </w:numPr>
              <w:spacing w:after="120" w:line="240" w:lineRule="auto"/>
              <w:ind w:left="0" w:firstLine="562"/>
              <w:jc w:val="both"/>
              <w:rPr>
                <w:rFonts w:ascii="Times New Roman" w:hAnsi="Times New Roman" w:cs="Times New Roman"/>
                <w:sz w:val="24"/>
                <w:szCs w:val="24"/>
              </w:rPr>
            </w:pPr>
            <w:r w:rsidRPr="00B974B9">
              <w:rPr>
                <w:rFonts w:ascii="Times New Roman" w:hAnsi="Times New Roman" w:cs="Times New Roman"/>
                <w:sz w:val="24"/>
                <w:szCs w:val="24"/>
              </w:rPr>
              <w:t xml:space="preserve">uzvedības faktori – atrasta cieša sakarība starp azartspēļu </w:t>
            </w:r>
            <w:r w:rsidRPr="00020082">
              <w:rPr>
                <w:rFonts w:ascii="Times New Roman" w:hAnsi="Times New Roman" w:cs="Times New Roman"/>
                <w:sz w:val="24"/>
                <w:szCs w:val="24"/>
              </w:rPr>
              <w:t xml:space="preserve">spēlēšanu un antisociālu un vardarbīgu uzvedību, īpaši jauniešu vidū. </w:t>
            </w:r>
            <w:r w:rsidR="00E5338E" w:rsidRPr="00020082">
              <w:rPr>
                <w:rFonts w:ascii="Times New Roman" w:hAnsi="Times New Roman" w:cs="Times New Roman"/>
                <w:sz w:val="24"/>
                <w:szCs w:val="24"/>
              </w:rPr>
              <w:t>Azartspēļu spēlēšana ir saistīta arī ar vājām sekmēm mācībās</w:t>
            </w:r>
            <w:r w:rsidRPr="00020082">
              <w:rPr>
                <w:rFonts w:ascii="Times New Roman" w:hAnsi="Times New Roman" w:cs="Times New Roman"/>
                <w:sz w:val="24"/>
                <w:szCs w:val="24"/>
              </w:rPr>
              <w:t>;</w:t>
            </w:r>
          </w:p>
          <w:p w14:paraId="72A534BB" w14:textId="77777777" w:rsidR="007B3D6F" w:rsidRPr="00B974B9" w:rsidRDefault="007B3D6F" w:rsidP="007B3D6F">
            <w:pPr>
              <w:pStyle w:val="ListParagraph"/>
              <w:numPr>
                <w:ilvl w:val="0"/>
                <w:numId w:val="15"/>
              </w:numPr>
              <w:spacing w:after="120" w:line="240" w:lineRule="auto"/>
              <w:ind w:left="0" w:firstLine="567"/>
              <w:jc w:val="both"/>
              <w:rPr>
                <w:rFonts w:ascii="Times New Roman" w:hAnsi="Times New Roman" w:cs="Times New Roman"/>
                <w:sz w:val="24"/>
                <w:szCs w:val="24"/>
              </w:rPr>
            </w:pPr>
            <w:r w:rsidRPr="00020082">
              <w:rPr>
                <w:rFonts w:ascii="Times New Roman" w:hAnsi="Times New Roman" w:cs="Times New Roman"/>
                <w:sz w:val="24"/>
                <w:szCs w:val="24"/>
              </w:rPr>
              <w:t>personības faktori – azartspēļu spēlēšana ir raksturīga impulsīvām,</w:t>
            </w:r>
            <w:r w:rsidRPr="00B974B9">
              <w:rPr>
                <w:rFonts w:ascii="Times New Roman" w:hAnsi="Times New Roman" w:cs="Times New Roman"/>
                <w:sz w:val="24"/>
                <w:szCs w:val="24"/>
              </w:rPr>
              <w:t xml:space="preserve"> temperamentīgām personām (ar tendenci būt nepacietīgām, ļoti aktīvām, impulsīvām, viegli aizkaitināmām, tādām, kas nespēj paredzēt negatīvas sekas savai rīcībai, kas nespēj neatbildēt impulsam, neskatoties uz potenciāli negatīvām sekām u.tml.);</w:t>
            </w:r>
          </w:p>
          <w:p w14:paraId="46E4DFA5" w14:textId="77777777" w:rsidR="007B3D6F" w:rsidRPr="00A75756" w:rsidRDefault="007B3D6F" w:rsidP="007B3D6F">
            <w:pPr>
              <w:pStyle w:val="ListParagraph"/>
              <w:numPr>
                <w:ilvl w:val="0"/>
                <w:numId w:val="15"/>
              </w:numPr>
              <w:spacing w:after="0" w:line="240" w:lineRule="auto"/>
              <w:ind w:left="0" w:firstLine="567"/>
              <w:jc w:val="both"/>
              <w:rPr>
                <w:rFonts w:ascii="Times New Roman" w:hAnsi="Times New Roman" w:cs="Times New Roman"/>
                <w:sz w:val="24"/>
                <w:szCs w:val="24"/>
              </w:rPr>
            </w:pPr>
            <w:r w:rsidRPr="00A75756">
              <w:rPr>
                <w:rFonts w:ascii="Times New Roman" w:hAnsi="Times New Roman" w:cs="Times New Roman"/>
                <w:sz w:val="24"/>
                <w:szCs w:val="24"/>
              </w:rPr>
              <w:t xml:space="preserve">internalizēti simptomi – depresija, trauksme, distress, suicidālas domas arī ir cieši saistītas ar azartspēļu atkarību, sevišķi jauniešu populācijā. </w:t>
            </w:r>
          </w:p>
          <w:p w14:paraId="0839186D" w14:textId="6C840E26" w:rsidR="001A1ECF" w:rsidRPr="00A75756" w:rsidRDefault="007B3D6F" w:rsidP="00EC3A64">
            <w:pPr>
              <w:spacing w:after="0"/>
              <w:jc w:val="both"/>
              <w:rPr>
                <w:rFonts w:ascii="Times New Roman" w:hAnsi="Times New Roman" w:cs="Times New Roman"/>
                <w:sz w:val="24"/>
                <w:szCs w:val="24"/>
              </w:rPr>
            </w:pPr>
            <w:r w:rsidRPr="00A75756">
              <w:rPr>
                <w:rFonts w:ascii="Times New Roman" w:hAnsi="Times New Roman" w:cs="Times New Roman"/>
                <w:sz w:val="24"/>
                <w:szCs w:val="24"/>
              </w:rPr>
              <w:t>Papildus tam minēta arī ģenētiska predispozīcija un vides faktori, proti, augstāks azartspēļu</w:t>
            </w:r>
            <w:r w:rsidR="00A75756" w:rsidRPr="00A75756">
              <w:rPr>
                <w:rFonts w:ascii="Times New Roman" w:hAnsi="Times New Roman" w:cs="Times New Roman"/>
                <w:sz w:val="24"/>
                <w:szCs w:val="24"/>
              </w:rPr>
              <w:t xml:space="preserve"> atkarības</w:t>
            </w:r>
            <w:r w:rsidRPr="00A75756">
              <w:rPr>
                <w:rFonts w:ascii="Times New Roman" w:hAnsi="Times New Roman" w:cs="Times New Roman"/>
                <w:sz w:val="24"/>
                <w:szCs w:val="24"/>
              </w:rPr>
              <w:t xml:space="preserve"> attīstības risks ir personām, kuru pirmās pakāpes radiniekiem ir vērojamas līdzīgas atkarības problēmas, vai kuri auguši ģimenēs ar radiniekiem, kuriem diagnosticēta atkarība (tostarp alkohola un citu vielu atkarība).</w:t>
            </w:r>
          </w:p>
          <w:p w14:paraId="2173CAE5" w14:textId="45FD7129" w:rsidR="00BE6459" w:rsidRDefault="00BE6459" w:rsidP="00EC3A64">
            <w:pPr>
              <w:spacing w:after="0"/>
              <w:jc w:val="both"/>
              <w:rPr>
                <w:rFonts w:ascii="Times New Roman" w:hAnsi="Times New Roman" w:cs="Times New Roman"/>
                <w:sz w:val="24"/>
                <w:szCs w:val="24"/>
              </w:rPr>
            </w:pPr>
            <w:r w:rsidRPr="00A75756">
              <w:rPr>
                <w:rFonts w:ascii="Times New Roman" w:hAnsi="Times New Roman" w:cs="Times New Roman"/>
                <w:sz w:val="24"/>
                <w:szCs w:val="24"/>
              </w:rPr>
              <w:t>Ņemot vērā iepriekš minēto apdraudējumu sabiedrības labklājībai, likumprojektā ietve</w:t>
            </w:r>
            <w:r w:rsidR="001A1ECF" w:rsidRPr="00A75756">
              <w:rPr>
                <w:rFonts w:ascii="Times New Roman" w:hAnsi="Times New Roman" w:cs="Times New Roman"/>
                <w:sz w:val="24"/>
                <w:szCs w:val="24"/>
              </w:rPr>
              <w:t xml:space="preserve">rtais risinājums ir samērīgs un būtu </w:t>
            </w:r>
            <w:r w:rsidR="00BF53F4">
              <w:rPr>
                <w:rFonts w:ascii="Times New Roman" w:hAnsi="Times New Roman" w:cs="Times New Roman"/>
                <w:sz w:val="24"/>
                <w:szCs w:val="24"/>
              </w:rPr>
              <w:t>piemērojams</w:t>
            </w:r>
            <w:r w:rsidR="001A1ECF" w:rsidRPr="00A75756">
              <w:rPr>
                <w:rFonts w:ascii="Times New Roman" w:hAnsi="Times New Roman" w:cs="Times New Roman"/>
                <w:sz w:val="24"/>
                <w:szCs w:val="24"/>
              </w:rPr>
              <w:t xml:space="preserve"> pēc iespējas ātrāk.</w:t>
            </w:r>
            <w:r w:rsidR="001A1ECF" w:rsidRPr="00B974B9">
              <w:rPr>
                <w:rFonts w:ascii="Times New Roman" w:hAnsi="Times New Roman" w:cs="Times New Roman"/>
                <w:sz w:val="24"/>
                <w:szCs w:val="24"/>
              </w:rPr>
              <w:t xml:space="preserve"> </w:t>
            </w:r>
          </w:p>
          <w:p w14:paraId="33E8CB08" w14:textId="77777777" w:rsidR="00E95B3D" w:rsidRPr="00A51AA3" w:rsidRDefault="00E95B3D" w:rsidP="00E95B3D">
            <w:pPr>
              <w:spacing w:after="0" w:line="240" w:lineRule="auto"/>
              <w:jc w:val="both"/>
              <w:rPr>
                <w:rFonts w:ascii="Times New Roman" w:hAnsi="Times New Roman" w:cs="Times New Roman"/>
                <w:sz w:val="24"/>
                <w:szCs w:val="24"/>
              </w:rPr>
            </w:pPr>
            <w:r w:rsidRPr="00393C76">
              <w:rPr>
                <w:rFonts w:ascii="Times New Roman" w:hAnsi="Times New Roman" w:cs="Times New Roman"/>
                <w:sz w:val="24"/>
                <w:szCs w:val="24"/>
              </w:rPr>
              <w:t xml:space="preserve">Šobrīd atbildība elektronisko sakaru komersantiem par Izložu un azartspēļu uzraudzības inspekcijas </w:t>
            </w:r>
            <w:r>
              <w:rPr>
                <w:rFonts w:ascii="Times New Roman" w:hAnsi="Times New Roman" w:cs="Times New Roman"/>
                <w:sz w:val="24"/>
                <w:szCs w:val="24"/>
              </w:rPr>
              <w:t xml:space="preserve">lēmuma </w:t>
            </w:r>
            <w:r w:rsidRPr="00A51AA3">
              <w:rPr>
                <w:rFonts w:ascii="Times New Roman" w:hAnsi="Times New Roman" w:cs="Times New Roman"/>
                <w:sz w:val="24"/>
                <w:szCs w:val="24"/>
              </w:rPr>
              <w:t xml:space="preserve">neizpildi nav paredzēta, un Administratīvā procesa likumā </w:t>
            </w:r>
            <w:r w:rsidRPr="00E95B3D">
              <w:rPr>
                <w:rFonts w:ascii="Times New Roman" w:hAnsi="Times New Roman" w:cs="Times New Roman"/>
                <w:sz w:val="24"/>
                <w:szCs w:val="24"/>
              </w:rPr>
              <w:t xml:space="preserve">370.pantā pastāvošais soda regulējums par administratīvā akta nepildīšanu, nav efektīvs. </w:t>
            </w:r>
            <w:r>
              <w:rPr>
                <w:rFonts w:ascii="Times New Roman" w:hAnsi="Times New Roman" w:cs="Times New Roman"/>
                <w:sz w:val="24"/>
                <w:szCs w:val="24"/>
              </w:rPr>
              <w:t xml:space="preserve">Integrējot minēto pārkāpumu administratīvo sodu sistēmā, tiks sasniegts galvenais mērķis – parādīt pārkāpuma īpašu smagumu, paredzot par to maksimālo iespējamo sodu, tādā veidā prezumējot, ka minētā darbība nav savienojama ar sabiedrības vērtībām un apdraud tās labklājību un tikumību. </w:t>
            </w:r>
          </w:p>
          <w:p w14:paraId="04C1CCF3" w14:textId="77777777" w:rsidR="00E95B3D" w:rsidRPr="00393C76" w:rsidRDefault="00E95B3D" w:rsidP="00E95B3D">
            <w:pPr>
              <w:spacing w:after="0" w:line="240" w:lineRule="auto"/>
              <w:jc w:val="both"/>
              <w:rPr>
                <w:rFonts w:ascii="Times New Roman" w:hAnsi="Times New Roman" w:cs="Times New Roman"/>
                <w:sz w:val="24"/>
                <w:szCs w:val="24"/>
              </w:rPr>
            </w:pPr>
            <w:r w:rsidRPr="006C2A9D">
              <w:rPr>
                <w:rFonts w:ascii="Times New Roman" w:hAnsi="Times New Roman" w:cs="Times New Roman"/>
                <w:sz w:val="24"/>
                <w:szCs w:val="24"/>
              </w:rPr>
              <w:t xml:space="preserve">Savukārt par piekļuves neierobežošanu </w:t>
            </w:r>
            <w:r>
              <w:rPr>
                <w:rFonts w:ascii="Times New Roman" w:hAnsi="Times New Roman" w:cs="Times New Roman"/>
                <w:sz w:val="24"/>
                <w:szCs w:val="24"/>
              </w:rPr>
              <w:t>Latvijas Republikā</w:t>
            </w:r>
            <w:r w:rsidRPr="006C2A9D">
              <w:rPr>
                <w:rFonts w:ascii="Times New Roman" w:hAnsi="Times New Roman" w:cs="Times New Roman"/>
                <w:sz w:val="24"/>
                <w:szCs w:val="24"/>
              </w:rPr>
              <w:t xml:space="preserve"> nelicencēta interaktīvo </w:t>
            </w:r>
            <w:r w:rsidRPr="00393C76">
              <w:rPr>
                <w:rFonts w:ascii="Times New Roman" w:hAnsi="Times New Roman" w:cs="Times New Roman"/>
                <w:sz w:val="24"/>
                <w:szCs w:val="24"/>
              </w:rPr>
              <w:t xml:space="preserve">azartspēļu un interaktīvo izložu organizētāja </w:t>
            </w:r>
            <w:r w:rsidRPr="009C368D">
              <w:rPr>
                <w:rFonts w:ascii="Times New Roman" w:hAnsi="Times New Roman" w:cs="Times New Roman"/>
                <w:sz w:val="24"/>
                <w:szCs w:val="24"/>
              </w:rPr>
              <w:t xml:space="preserve">tīmekļa vietnei </w:t>
            </w:r>
            <w:r>
              <w:rPr>
                <w:rFonts w:ascii="Times New Roman" w:hAnsi="Times New Roman" w:cs="Times New Roman"/>
                <w:sz w:val="24"/>
                <w:szCs w:val="24"/>
              </w:rPr>
              <w:t xml:space="preserve">paredzēt noteikt </w:t>
            </w:r>
            <w:r w:rsidRPr="009C368D">
              <w:rPr>
                <w:rFonts w:ascii="Times New Roman" w:hAnsi="Times New Roman" w:cs="Times New Roman"/>
                <w:sz w:val="24"/>
                <w:szCs w:val="24"/>
              </w:rPr>
              <w:t>naudas sodu elektronisko sakaru komersantam</w:t>
            </w:r>
            <w:r>
              <w:rPr>
                <w:rFonts w:ascii="Times New Roman" w:hAnsi="Times New Roman" w:cs="Times New Roman"/>
                <w:sz w:val="24"/>
                <w:szCs w:val="24"/>
              </w:rPr>
              <w:t xml:space="preserve"> </w:t>
            </w:r>
            <w:r w:rsidRPr="009C368D">
              <w:rPr>
                <w:rFonts w:ascii="Times New Roman" w:hAnsi="Times New Roman" w:cs="Times New Roman"/>
                <w:sz w:val="24"/>
                <w:szCs w:val="24"/>
              </w:rPr>
              <w:t xml:space="preserve"> </w:t>
            </w:r>
            <w:r>
              <w:rPr>
                <w:rFonts w:ascii="Times New Roman" w:hAnsi="Times New Roman" w:cs="Times New Roman"/>
                <w:sz w:val="24"/>
                <w:szCs w:val="24"/>
              </w:rPr>
              <w:t xml:space="preserve">līdz </w:t>
            </w:r>
            <w:r w:rsidRPr="00CD2559">
              <w:rPr>
                <w:rFonts w:ascii="Times New Roman" w:hAnsi="Times New Roman" w:cs="Times New Roman"/>
                <w:sz w:val="24"/>
                <w:szCs w:val="24"/>
              </w:rPr>
              <w:t>4000 naudas soda vienībām</w:t>
            </w:r>
            <w:r w:rsidRPr="00393C76">
              <w:rPr>
                <w:rFonts w:ascii="Times New Roman" w:hAnsi="Times New Roman" w:cs="Times New Roman"/>
                <w:sz w:val="24"/>
                <w:szCs w:val="24"/>
              </w:rPr>
              <w:t>.</w:t>
            </w:r>
          </w:p>
          <w:p w14:paraId="19E02DFE" w14:textId="71B4CB7D" w:rsidR="00E95B3D" w:rsidRPr="00393C76" w:rsidRDefault="00E95B3D" w:rsidP="00E95B3D">
            <w:pPr>
              <w:spacing w:after="0" w:line="240" w:lineRule="auto"/>
              <w:jc w:val="both"/>
              <w:rPr>
                <w:rFonts w:ascii="Times New Roman" w:hAnsi="Times New Roman" w:cs="Times New Roman"/>
                <w:sz w:val="24"/>
                <w:szCs w:val="24"/>
              </w:rPr>
            </w:pPr>
            <w:r w:rsidRPr="00393C76">
              <w:rPr>
                <w:rFonts w:ascii="Times New Roman" w:hAnsi="Times New Roman" w:cs="Times New Roman"/>
                <w:sz w:val="24"/>
                <w:szCs w:val="24"/>
              </w:rPr>
              <w:t>Ņemot vērā Elektronisko sakaru likuma 13.</w:t>
            </w:r>
            <w:r w:rsidRPr="00393C76">
              <w:rPr>
                <w:rFonts w:ascii="Times New Roman" w:hAnsi="Times New Roman" w:cs="Times New Roman"/>
                <w:sz w:val="24"/>
                <w:szCs w:val="24"/>
                <w:vertAlign w:val="superscript"/>
              </w:rPr>
              <w:t>1</w:t>
            </w:r>
            <w:r w:rsidRPr="00393C76">
              <w:rPr>
                <w:rFonts w:ascii="Times New Roman" w:hAnsi="Times New Roman" w:cs="Times New Roman"/>
                <w:sz w:val="24"/>
                <w:szCs w:val="24"/>
              </w:rPr>
              <w:t xml:space="preserve"> pantā Izložu un azartspēļu uzraudzības inspekcijai noteiktās tiesības pieņemt lēmumu ierobežot piekļuvi </w:t>
            </w:r>
            <w:r>
              <w:rPr>
                <w:rFonts w:ascii="Times New Roman" w:hAnsi="Times New Roman" w:cs="Times New Roman"/>
                <w:sz w:val="24"/>
                <w:szCs w:val="24"/>
              </w:rPr>
              <w:t>Latvijas Republikā</w:t>
            </w:r>
            <w:r w:rsidRPr="00393C76">
              <w:rPr>
                <w:rFonts w:ascii="Times New Roman" w:hAnsi="Times New Roman" w:cs="Times New Roman"/>
                <w:sz w:val="24"/>
                <w:szCs w:val="24"/>
              </w:rPr>
              <w:t xml:space="preserve"> nelicencētai interaktīvo azartspēļu organizētāja interneta </w:t>
            </w:r>
            <w:r w:rsidRPr="00393C76">
              <w:rPr>
                <w:rFonts w:ascii="Times New Roman" w:hAnsi="Times New Roman" w:cs="Times New Roman"/>
                <w:sz w:val="24"/>
                <w:szCs w:val="24"/>
              </w:rPr>
              <w:lastRenderedPageBreak/>
              <w:t xml:space="preserve">mājas lapai un vērtējot informāciju par iepriekš minēto lēmumu izpildi, 2017.gadā no 119 domēna vārdiem nebija bloķēti 34, t.i. 18,5% no nelegālajiem domēna vārdiem, un 2018.gadā attiecīgi no 113 – 34 jeb 30,1%. Ņemot vērā, kādu kaitējumu nodara neierobežota piekļuve </w:t>
            </w:r>
            <w:r>
              <w:rPr>
                <w:rFonts w:ascii="Times New Roman" w:hAnsi="Times New Roman" w:cs="Times New Roman"/>
                <w:sz w:val="24"/>
                <w:szCs w:val="24"/>
              </w:rPr>
              <w:t>Latvijas Republikā</w:t>
            </w:r>
            <w:r w:rsidRPr="00393C76">
              <w:rPr>
                <w:rFonts w:ascii="Times New Roman" w:hAnsi="Times New Roman" w:cs="Times New Roman"/>
                <w:sz w:val="24"/>
                <w:szCs w:val="24"/>
              </w:rPr>
              <w:t xml:space="preserve"> nelegālajām interaktīvajām azartspēlēm, kā arī to, ka elektronisko sakaru komersantu rīcība, neierobežojot piekļuvi </w:t>
            </w:r>
            <w:r>
              <w:rPr>
                <w:rFonts w:ascii="Times New Roman" w:hAnsi="Times New Roman" w:cs="Times New Roman"/>
                <w:sz w:val="24"/>
                <w:szCs w:val="24"/>
              </w:rPr>
              <w:t>Latvijas Republikā</w:t>
            </w:r>
            <w:r w:rsidRPr="00393C76">
              <w:rPr>
                <w:rFonts w:ascii="Times New Roman" w:hAnsi="Times New Roman" w:cs="Times New Roman"/>
                <w:sz w:val="24"/>
                <w:szCs w:val="24"/>
              </w:rPr>
              <w:t xml:space="preserve"> nelicencētajām interaktīvajām azartspēlēm un interaktīvajām izlozēm, rada l</w:t>
            </w:r>
            <w:r w:rsidR="002252E9">
              <w:rPr>
                <w:rFonts w:ascii="Times New Roman" w:hAnsi="Times New Roman" w:cs="Times New Roman"/>
                <w:sz w:val="24"/>
                <w:szCs w:val="24"/>
              </w:rPr>
              <w:t xml:space="preserve">ielāku kaitējumu sabiedrībai, </w:t>
            </w:r>
            <w:r w:rsidRPr="00393C76">
              <w:rPr>
                <w:rFonts w:ascii="Times New Roman" w:hAnsi="Times New Roman" w:cs="Times New Roman"/>
                <w:sz w:val="24"/>
                <w:szCs w:val="24"/>
              </w:rPr>
              <w:t xml:space="preserve">noteiktais </w:t>
            </w:r>
            <w:r w:rsidR="002252E9">
              <w:rPr>
                <w:rFonts w:ascii="Times New Roman" w:hAnsi="Times New Roman" w:cs="Times New Roman"/>
                <w:sz w:val="24"/>
                <w:szCs w:val="24"/>
              </w:rPr>
              <w:t xml:space="preserve">naudas soda </w:t>
            </w:r>
            <w:r w:rsidRPr="00393C76">
              <w:rPr>
                <w:rFonts w:ascii="Times New Roman" w:hAnsi="Times New Roman" w:cs="Times New Roman"/>
                <w:sz w:val="24"/>
                <w:szCs w:val="24"/>
              </w:rPr>
              <w:t xml:space="preserve">apmērs </w:t>
            </w:r>
            <w:r>
              <w:rPr>
                <w:rFonts w:ascii="Times New Roman" w:hAnsi="Times New Roman" w:cs="Times New Roman"/>
                <w:sz w:val="24"/>
                <w:szCs w:val="24"/>
              </w:rPr>
              <w:t xml:space="preserve"> maksimālā </w:t>
            </w:r>
            <w:r w:rsidRPr="00393C76">
              <w:rPr>
                <w:rFonts w:ascii="Times New Roman" w:hAnsi="Times New Roman" w:cs="Times New Roman"/>
                <w:sz w:val="24"/>
                <w:szCs w:val="24"/>
              </w:rPr>
              <w:t>Adminis</w:t>
            </w:r>
            <w:r>
              <w:rPr>
                <w:rFonts w:ascii="Times New Roman" w:hAnsi="Times New Roman" w:cs="Times New Roman"/>
                <w:sz w:val="24"/>
                <w:szCs w:val="24"/>
              </w:rPr>
              <w:t xml:space="preserve">tratīvo pārkāpumu procesa likumā noteiktajā apmērā </w:t>
            </w:r>
            <w:r w:rsidRPr="00393C76">
              <w:rPr>
                <w:rFonts w:ascii="Times New Roman" w:hAnsi="Times New Roman" w:cs="Times New Roman"/>
                <w:sz w:val="24"/>
                <w:szCs w:val="24"/>
              </w:rPr>
              <w:t>ir samērīgs.</w:t>
            </w:r>
          </w:p>
          <w:p w14:paraId="26EAFFE6" w14:textId="1A9F70C3" w:rsidR="00E95B3D" w:rsidRDefault="00E95B3D" w:rsidP="00E95B3D">
            <w:pPr>
              <w:spacing w:after="0"/>
              <w:jc w:val="both"/>
              <w:rPr>
                <w:rFonts w:ascii="Times New Roman" w:hAnsi="Times New Roman" w:cs="Times New Roman"/>
                <w:sz w:val="24"/>
                <w:szCs w:val="24"/>
              </w:rPr>
            </w:pPr>
            <w:r w:rsidRPr="00393C76">
              <w:rPr>
                <w:rFonts w:ascii="Times New Roman" w:hAnsi="Times New Roman" w:cs="Times New Roman"/>
                <w:sz w:val="24"/>
                <w:szCs w:val="24"/>
              </w:rPr>
              <w:t>Likumprojekta norma, kas paredz elektronisko sakaru komersantiem atbildību</w:t>
            </w:r>
            <w:r w:rsidRPr="00393C76">
              <w:t xml:space="preserve"> </w:t>
            </w:r>
            <w:r w:rsidRPr="00393C76">
              <w:rPr>
                <w:rFonts w:ascii="Times New Roman" w:hAnsi="Times New Roman" w:cs="Times New Roman"/>
                <w:sz w:val="24"/>
                <w:szCs w:val="24"/>
              </w:rPr>
              <w:t xml:space="preserve">par piekļuves neierobežošanu </w:t>
            </w:r>
            <w:r>
              <w:rPr>
                <w:rFonts w:ascii="Times New Roman" w:hAnsi="Times New Roman" w:cs="Times New Roman"/>
                <w:sz w:val="24"/>
                <w:szCs w:val="24"/>
              </w:rPr>
              <w:t>Latvijas Republikā</w:t>
            </w:r>
            <w:r w:rsidRPr="00393C76">
              <w:rPr>
                <w:rFonts w:ascii="Times New Roman" w:hAnsi="Times New Roman" w:cs="Times New Roman"/>
                <w:sz w:val="24"/>
                <w:szCs w:val="24"/>
              </w:rPr>
              <w:t xml:space="preserve"> nelicencēta interaktīvo azartspēļu un interaktīvo izložu organizētāja mājaslapai internetā, stāsies spēkā vienlaikus ar</w:t>
            </w:r>
            <w:r w:rsidR="00AF03E1">
              <w:rPr>
                <w:rFonts w:ascii="Times New Roman" w:hAnsi="Times New Roman" w:cs="Times New Roman"/>
                <w:sz w:val="24"/>
                <w:szCs w:val="24"/>
              </w:rPr>
              <w:t xml:space="preserve"> </w:t>
            </w:r>
            <w:r w:rsidR="00AF03E1" w:rsidRPr="00AF03E1">
              <w:rPr>
                <w:rFonts w:ascii="Times New Roman" w:hAnsi="Times New Roman" w:cs="Times New Roman"/>
                <w:sz w:val="24"/>
                <w:szCs w:val="24"/>
              </w:rPr>
              <w:t>A</w:t>
            </w:r>
            <w:r w:rsidR="00AF03E1">
              <w:rPr>
                <w:rFonts w:ascii="Times New Roman" w:hAnsi="Times New Roman" w:cs="Times New Roman"/>
                <w:sz w:val="24"/>
                <w:szCs w:val="24"/>
              </w:rPr>
              <w:t>dministratīvās atbildības likumu</w:t>
            </w:r>
            <w:r w:rsidRPr="00393C76">
              <w:rPr>
                <w:rFonts w:ascii="Times New Roman" w:hAnsi="Times New Roman" w:cs="Times New Roman"/>
                <w:sz w:val="24"/>
                <w:szCs w:val="24"/>
              </w:rPr>
              <w:t>, kad spēku zaudēs Latvijas Administratīvo pārkāpumu kodekss.</w:t>
            </w:r>
          </w:p>
          <w:p w14:paraId="7CAC8A8D" w14:textId="6B7F43E9" w:rsidR="00BE7652" w:rsidRDefault="00BE7652" w:rsidP="00EC3A64">
            <w:pPr>
              <w:spacing w:after="0" w:line="240" w:lineRule="auto"/>
              <w:jc w:val="both"/>
              <w:rPr>
                <w:rFonts w:ascii="Times New Roman" w:hAnsi="Times New Roman" w:cs="Times New Roman"/>
                <w:b/>
                <w:i/>
                <w:sz w:val="24"/>
                <w:szCs w:val="24"/>
              </w:rPr>
            </w:pPr>
            <w:r w:rsidRPr="00B974B9">
              <w:rPr>
                <w:rFonts w:ascii="Times New Roman" w:hAnsi="Times New Roman" w:cs="Times New Roman"/>
                <w:b/>
                <w:i/>
                <w:sz w:val="24"/>
                <w:szCs w:val="24"/>
              </w:rPr>
              <w:t>4.</w:t>
            </w:r>
            <w:r w:rsidR="00EC3A64">
              <w:rPr>
                <w:rFonts w:ascii="Times New Roman" w:hAnsi="Times New Roman" w:cs="Times New Roman"/>
                <w:b/>
                <w:i/>
                <w:sz w:val="24"/>
                <w:szCs w:val="24"/>
              </w:rPr>
              <w:t xml:space="preserve"> Par</w:t>
            </w:r>
            <w:r w:rsidRPr="00B974B9">
              <w:rPr>
                <w:rFonts w:ascii="Times New Roman" w:hAnsi="Times New Roman" w:cs="Times New Roman"/>
                <w:b/>
                <w:i/>
                <w:sz w:val="24"/>
                <w:szCs w:val="24"/>
              </w:rPr>
              <w:t xml:space="preserve"> izmaiņām, kas paplašina izpildes veidu, kādu var izmantot elektronisko sakaru komersants</w:t>
            </w:r>
            <w:r w:rsidR="00EC3A64">
              <w:rPr>
                <w:rFonts w:ascii="Times New Roman" w:hAnsi="Times New Roman" w:cs="Times New Roman"/>
                <w:b/>
                <w:i/>
                <w:sz w:val="24"/>
                <w:szCs w:val="24"/>
              </w:rPr>
              <w:t>,</w:t>
            </w:r>
            <w:r w:rsidRPr="00B974B9">
              <w:rPr>
                <w:rFonts w:ascii="Times New Roman" w:hAnsi="Times New Roman" w:cs="Times New Roman"/>
                <w:b/>
                <w:i/>
                <w:sz w:val="24"/>
                <w:szCs w:val="24"/>
              </w:rPr>
              <w:t xml:space="preserve"> lai ierobežotu piekļuvi </w:t>
            </w:r>
            <w:r w:rsidR="003E3767" w:rsidRPr="00CD2559">
              <w:rPr>
                <w:rFonts w:ascii="Times New Roman" w:hAnsi="Times New Roman" w:cs="Times New Roman"/>
                <w:b/>
                <w:i/>
                <w:sz w:val="24"/>
                <w:szCs w:val="24"/>
              </w:rPr>
              <w:t>Latvijas Republikā</w:t>
            </w:r>
            <w:r w:rsidRPr="00B974B9">
              <w:rPr>
                <w:rFonts w:ascii="Times New Roman" w:hAnsi="Times New Roman" w:cs="Times New Roman"/>
                <w:b/>
                <w:i/>
                <w:sz w:val="24"/>
                <w:szCs w:val="24"/>
              </w:rPr>
              <w:t xml:space="preserve"> nelicencētā interaktīvo azartspēļu </w:t>
            </w:r>
            <w:r w:rsidR="00A75756">
              <w:rPr>
                <w:rFonts w:ascii="Times New Roman" w:hAnsi="Times New Roman" w:cs="Times New Roman"/>
                <w:b/>
                <w:i/>
                <w:sz w:val="24"/>
                <w:szCs w:val="24"/>
              </w:rPr>
              <w:t>vai interaktīvo</w:t>
            </w:r>
            <w:r w:rsidRPr="00B974B9">
              <w:rPr>
                <w:rFonts w:ascii="Times New Roman" w:hAnsi="Times New Roman" w:cs="Times New Roman"/>
                <w:b/>
                <w:i/>
                <w:sz w:val="24"/>
                <w:szCs w:val="24"/>
              </w:rPr>
              <w:t xml:space="preserve"> </w:t>
            </w:r>
            <w:r w:rsidR="00EC3A64">
              <w:rPr>
                <w:rFonts w:ascii="Times New Roman" w:hAnsi="Times New Roman" w:cs="Times New Roman"/>
                <w:b/>
                <w:i/>
                <w:sz w:val="24"/>
                <w:szCs w:val="24"/>
              </w:rPr>
              <w:t xml:space="preserve">izložu organizētāja </w:t>
            </w:r>
            <w:r w:rsidR="00A75756">
              <w:rPr>
                <w:rFonts w:ascii="Times New Roman" w:hAnsi="Times New Roman" w:cs="Times New Roman"/>
                <w:b/>
                <w:i/>
                <w:sz w:val="24"/>
                <w:szCs w:val="24"/>
              </w:rPr>
              <w:t>tīmekļa vietnei</w:t>
            </w:r>
            <w:r w:rsidR="00EC3A64">
              <w:rPr>
                <w:rFonts w:ascii="Times New Roman" w:hAnsi="Times New Roman" w:cs="Times New Roman"/>
                <w:b/>
                <w:i/>
                <w:sz w:val="24"/>
                <w:szCs w:val="24"/>
              </w:rPr>
              <w:t>.</w:t>
            </w:r>
          </w:p>
          <w:p w14:paraId="024C4DB2" w14:textId="6B630662" w:rsidR="00BE7652" w:rsidRDefault="00BE7652" w:rsidP="00EC3A64">
            <w:pPr>
              <w:spacing w:after="0" w:line="240" w:lineRule="auto"/>
              <w:jc w:val="both"/>
              <w:rPr>
                <w:rFonts w:ascii="Times New Roman" w:hAnsi="Times New Roman" w:cs="Times New Roman"/>
                <w:sz w:val="24"/>
                <w:szCs w:val="24"/>
              </w:rPr>
            </w:pPr>
            <w:r w:rsidRPr="00B974B9">
              <w:rPr>
                <w:rFonts w:ascii="Times New Roman" w:hAnsi="Times New Roman" w:cs="Times New Roman"/>
                <w:sz w:val="24"/>
                <w:szCs w:val="24"/>
              </w:rPr>
              <w:t>Elektronisko sakaru likuma 19.panta pirmās daļas 22.punkts nosaka elektronisko sakaru komersantu pienākumu, pamatojoties uz Izložu un azartspēļu uzraudzības inspekcijas lēmumu, ierobežot piekļuvi nelicencēta interaktīvo azartspēļu organizētāja interneta mājas lapai. Taču katra elektroniska sakaru komersanta tehnoloģiskās iespējas ir atšķirīgas, piemēram, liedzot mājaslapas domēna izmantošanu, ierobežojot mājaslapas apakšsadaļu pieejamību vai bloķējot interneta protokola (IP) adresi. Līdz ar to būtu nepieciešams noteikt tiesības elektronisko sakaru komersantam izv</w:t>
            </w:r>
            <w:r w:rsidR="00EC3A64">
              <w:rPr>
                <w:rFonts w:ascii="Times New Roman" w:hAnsi="Times New Roman" w:cs="Times New Roman"/>
                <w:sz w:val="24"/>
                <w:szCs w:val="24"/>
              </w:rPr>
              <w:t>ē</w:t>
            </w:r>
            <w:r w:rsidRPr="00B974B9">
              <w:rPr>
                <w:rFonts w:ascii="Times New Roman" w:hAnsi="Times New Roman" w:cs="Times New Roman"/>
                <w:sz w:val="24"/>
                <w:szCs w:val="24"/>
              </w:rPr>
              <w:t>lēties tehnoloģisko risinājumu, kā tiek ierobežota piekļuve attiecīgajai tīmekļa vietnei sev piemērotā veidā, vienlaikus nosakot piekļuves ierobežošanas apjomu</w:t>
            </w:r>
            <w:r w:rsidRPr="00020082">
              <w:rPr>
                <w:rFonts w:ascii="Times New Roman" w:hAnsi="Times New Roman" w:cs="Times New Roman"/>
                <w:sz w:val="24"/>
                <w:szCs w:val="24"/>
              </w:rPr>
              <w:t>, ko va</w:t>
            </w:r>
            <w:r w:rsidR="00EC3A64" w:rsidRPr="00020082">
              <w:rPr>
                <w:rFonts w:ascii="Times New Roman" w:hAnsi="Times New Roman" w:cs="Times New Roman"/>
                <w:sz w:val="24"/>
                <w:szCs w:val="24"/>
              </w:rPr>
              <w:t>r</w:t>
            </w:r>
            <w:r w:rsidRPr="00020082">
              <w:rPr>
                <w:rFonts w:ascii="Times New Roman" w:hAnsi="Times New Roman" w:cs="Times New Roman"/>
                <w:sz w:val="24"/>
                <w:szCs w:val="24"/>
              </w:rPr>
              <w:t xml:space="preserve"> izpildīt visi elektronisko sakaru komersanti, un par kur</w:t>
            </w:r>
            <w:r w:rsidR="00D81C7E" w:rsidRPr="00020082">
              <w:rPr>
                <w:rFonts w:ascii="Times New Roman" w:hAnsi="Times New Roman" w:cs="Times New Roman"/>
                <w:sz w:val="24"/>
                <w:szCs w:val="24"/>
              </w:rPr>
              <w:t>a</w:t>
            </w:r>
            <w:r w:rsidRPr="00020082">
              <w:rPr>
                <w:rFonts w:ascii="Times New Roman" w:hAnsi="Times New Roman" w:cs="Times New Roman"/>
                <w:sz w:val="24"/>
                <w:szCs w:val="24"/>
              </w:rPr>
              <w:t xml:space="preserve"> nenodrošināšanu tikt</w:t>
            </w:r>
            <w:r w:rsidR="00EC3A64" w:rsidRPr="00020082">
              <w:rPr>
                <w:rFonts w:ascii="Times New Roman" w:hAnsi="Times New Roman" w:cs="Times New Roman"/>
                <w:sz w:val="24"/>
                <w:szCs w:val="24"/>
              </w:rPr>
              <w:t>u</w:t>
            </w:r>
            <w:r w:rsidRPr="00020082">
              <w:rPr>
                <w:rFonts w:ascii="Times New Roman" w:hAnsi="Times New Roman" w:cs="Times New Roman"/>
                <w:sz w:val="24"/>
                <w:szCs w:val="24"/>
              </w:rPr>
              <w:t xml:space="preserve"> piemērota administratīvā atbildība, pamatojoties uz Latvijas </w:t>
            </w:r>
            <w:r w:rsidR="00EC3A64" w:rsidRPr="00020082">
              <w:rPr>
                <w:rFonts w:ascii="Times New Roman" w:hAnsi="Times New Roman" w:cs="Times New Roman"/>
                <w:sz w:val="24"/>
                <w:szCs w:val="24"/>
              </w:rPr>
              <w:t>A</w:t>
            </w:r>
            <w:r w:rsidRPr="00020082">
              <w:rPr>
                <w:rFonts w:ascii="Times New Roman" w:hAnsi="Times New Roman" w:cs="Times New Roman"/>
                <w:sz w:val="24"/>
                <w:szCs w:val="24"/>
              </w:rPr>
              <w:t>dministra</w:t>
            </w:r>
            <w:r w:rsidR="00022BF0" w:rsidRPr="00020082">
              <w:rPr>
                <w:rFonts w:ascii="Times New Roman" w:hAnsi="Times New Roman" w:cs="Times New Roman"/>
                <w:sz w:val="24"/>
                <w:szCs w:val="24"/>
              </w:rPr>
              <w:t xml:space="preserve">tīvo pārkāpuma </w:t>
            </w:r>
            <w:r w:rsidR="00EC3A64" w:rsidRPr="00020082">
              <w:rPr>
                <w:rFonts w:ascii="Times New Roman" w:hAnsi="Times New Roman" w:cs="Times New Roman"/>
                <w:sz w:val="24"/>
                <w:szCs w:val="24"/>
              </w:rPr>
              <w:t xml:space="preserve">kodeksā </w:t>
            </w:r>
            <w:r w:rsidR="00022BF0" w:rsidRPr="00020082">
              <w:rPr>
                <w:rFonts w:ascii="Times New Roman" w:hAnsi="Times New Roman" w:cs="Times New Roman"/>
                <w:sz w:val="24"/>
                <w:szCs w:val="24"/>
              </w:rPr>
              <w:t>noteikto.</w:t>
            </w:r>
          </w:p>
          <w:p w14:paraId="1A61CFD5" w14:textId="2241EB3B" w:rsidR="00393C76" w:rsidRDefault="00393C76" w:rsidP="00EC3A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izstrādātā regulējuma izpilde būtu efektīva un ērta, kā arī, lai maksimāli mazinātu slogu informācijas apmaiņas procesā iesaistītajiem, paredzams, ka vienotā bloķējamo objektu digitālā saraksta pieejamība tiks nodrošināta Izložu un azartspēļu uzraudzības inspekcijas mājas lapā mašīnlasāmā formātā, ko var automatizēti apstrādāt ar brīvi pieejamām lietojumprogrammām (piem. CSV (</w:t>
            </w:r>
            <w:r w:rsidRPr="00AA6DC3">
              <w:rPr>
                <w:rFonts w:ascii="Times New Roman" w:hAnsi="Times New Roman" w:cs="Times New Roman"/>
                <w:i/>
                <w:sz w:val="24"/>
                <w:szCs w:val="24"/>
              </w:rPr>
              <w:t>a comma-separated values</w:t>
            </w:r>
            <w:r>
              <w:rPr>
                <w:rFonts w:ascii="Times New Roman" w:hAnsi="Times New Roman" w:cs="Times New Roman"/>
                <w:sz w:val="24"/>
                <w:szCs w:val="24"/>
              </w:rPr>
              <w:t>), JSON (</w:t>
            </w:r>
            <w:r w:rsidRPr="00AA6DC3">
              <w:rPr>
                <w:rFonts w:ascii="Times New Roman" w:hAnsi="Times New Roman" w:cs="Times New Roman"/>
                <w:i/>
                <w:sz w:val="24"/>
                <w:szCs w:val="24"/>
              </w:rPr>
              <w:t>JavaScript Object Notation</w:t>
            </w:r>
            <w:r>
              <w:rPr>
                <w:rFonts w:ascii="Times New Roman" w:hAnsi="Times New Roman" w:cs="Times New Roman"/>
                <w:sz w:val="24"/>
                <w:szCs w:val="24"/>
              </w:rPr>
              <w:t>), XML (</w:t>
            </w:r>
            <w:r w:rsidRPr="00AA6DC3">
              <w:rPr>
                <w:rFonts w:ascii="Times New Roman" w:hAnsi="Times New Roman" w:cs="Times New Roman"/>
                <w:sz w:val="24"/>
                <w:szCs w:val="24"/>
              </w:rPr>
              <w:t>eXtensible Markup Language</w:t>
            </w:r>
            <w:r>
              <w:rPr>
                <w:rFonts w:ascii="Times New Roman" w:hAnsi="Times New Roman" w:cs="Times New Roman"/>
                <w:sz w:val="24"/>
                <w:szCs w:val="24"/>
              </w:rPr>
              <w:t>)</w:t>
            </w:r>
            <w:r w:rsidR="00BF53F4">
              <w:rPr>
                <w:rFonts w:ascii="Times New Roman" w:hAnsi="Times New Roman" w:cs="Times New Roman"/>
                <w:sz w:val="24"/>
                <w:szCs w:val="24"/>
              </w:rPr>
              <w:t>)</w:t>
            </w:r>
            <w:r>
              <w:rPr>
                <w:rFonts w:ascii="Times New Roman" w:hAnsi="Times New Roman" w:cs="Times New Roman"/>
                <w:sz w:val="24"/>
                <w:szCs w:val="24"/>
              </w:rPr>
              <w:t>.</w:t>
            </w:r>
          </w:p>
          <w:p w14:paraId="4E378529" w14:textId="0AB7C0B4" w:rsidR="009C368D" w:rsidRDefault="00393C76" w:rsidP="00393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Izvērtējot citu valstu pieredzi piekļuves ierobežošanā nelicencēto interaktīvo azartspēļu un izložu organizētāju </w:t>
            </w:r>
            <w:r>
              <w:rPr>
                <w:rFonts w:ascii="Times New Roman" w:hAnsi="Times New Roman" w:cs="Times New Roman"/>
                <w:sz w:val="24"/>
                <w:szCs w:val="24"/>
              </w:rPr>
              <w:lastRenderedPageBreak/>
              <w:t>tīmekļa vietnēm</w:t>
            </w:r>
            <w:r w:rsidR="00454B4C">
              <w:rPr>
                <w:rFonts w:ascii="Times New Roman" w:hAnsi="Times New Roman" w:cs="Times New Roman"/>
                <w:sz w:val="24"/>
                <w:szCs w:val="24"/>
              </w:rPr>
              <w:t>, s</w:t>
            </w:r>
            <w:r>
              <w:rPr>
                <w:rFonts w:ascii="Times New Roman" w:hAnsi="Times New Roman" w:cs="Times New Roman"/>
                <w:sz w:val="24"/>
                <w:szCs w:val="24"/>
              </w:rPr>
              <w:t>ecināms</w:t>
            </w:r>
            <w:r w:rsidR="009C368D">
              <w:rPr>
                <w:rFonts w:ascii="Times New Roman" w:hAnsi="Times New Roman" w:cs="Times New Roman"/>
                <w:sz w:val="24"/>
                <w:szCs w:val="24"/>
              </w:rPr>
              <w:t xml:space="preserve">, ka vairākas valstis </w:t>
            </w:r>
            <w:r w:rsidR="00454B4C">
              <w:rPr>
                <w:rFonts w:ascii="Times New Roman" w:hAnsi="Times New Roman" w:cs="Times New Roman"/>
                <w:sz w:val="24"/>
                <w:szCs w:val="24"/>
              </w:rPr>
              <w:t>efektīvi</w:t>
            </w:r>
            <w:r w:rsidR="009C368D">
              <w:rPr>
                <w:rFonts w:ascii="Times New Roman" w:hAnsi="Times New Roman" w:cs="Times New Roman"/>
                <w:sz w:val="24"/>
                <w:szCs w:val="24"/>
              </w:rPr>
              <w:t xml:space="preserve"> izmanto šo pieeju.</w:t>
            </w:r>
            <w:r>
              <w:rPr>
                <w:rFonts w:ascii="Times New Roman" w:hAnsi="Times New Roman" w:cs="Times New Roman"/>
                <w:sz w:val="24"/>
                <w:szCs w:val="24"/>
              </w:rPr>
              <w:t xml:space="preserve"> </w:t>
            </w:r>
          </w:p>
          <w:p w14:paraId="290ED9C7" w14:textId="745520DF" w:rsidR="00393C76" w:rsidRDefault="00393C76" w:rsidP="00393C76">
            <w:pPr>
              <w:spacing w:after="0" w:line="240" w:lineRule="auto"/>
              <w:jc w:val="both"/>
              <w:rPr>
                <w:rFonts w:ascii="Times New Roman" w:hAnsi="Times New Roman" w:cs="Times New Roman"/>
                <w:sz w:val="24"/>
                <w:szCs w:val="24"/>
              </w:rPr>
            </w:pPr>
            <w:r w:rsidRPr="003B6237">
              <w:rPr>
                <w:rFonts w:ascii="Times New Roman" w:hAnsi="Times New Roman" w:cs="Times New Roman"/>
                <w:sz w:val="24"/>
                <w:szCs w:val="24"/>
              </w:rPr>
              <w:t>Beļģijas varas iestādes ir ieviesušas vairākus mehānismus, lai nepieļautu, ka tās iedzīvotāji piekļūst nelegālām azartspēļu interneta vietnēm. Šie mehānismi ir melnā saraksta izveidošana, kurā tiek iekļaut</w:t>
            </w:r>
            <w:r>
              <w:rPr>
                <w:rFonts w:ascii="Times New Roman" w:hAnsi="Times New Roman" w:cs="Times New Roman"/>
                <w:sz w:val="24"/>
                <w:szCs w:val="24"/>
              </w:rPr>
              <w:t>i</w:t>
            </w:r>
            <w:r w:rsidRPr="003B6237">
              <w:rPr>
                <w:rFonts w:ascii="Times New Roman" w:hAnsi="Times New Roman" w:cs="Times New Roman"/>
                <w:sz w:val="24"/>
                <w:szCs w:val="24"/>
              </w:rPr>
              <w:t xml:space="preserve"> visi nelicencēto azartspēļu organizētāju vārdi un interneta vietņu URL adreses. Pēc iekļaušanas melnajā sarakstā interneta vietnes tiek nobloķētas un kļūst nepieejamas iedzīvotājiem.</w:t>
            </w:r>
            <w:r>
              <w:rPr>
                <w:rStyle w:val="FootnoteReference"/>
                <w:rFonts w:ascii="Times New Roman" w:hAnsi="Times New Roman" w:cs="Times New Roman"/>
                <w:sz w:val="24"/>
                <w:szCs w:val="24"/>
              </w:rPr>
              <w:footnoteReference w:id="2"/>
            </w:r>
          </w:p>
          <w:p w14:paraId="680651E2" w14:textId="43034AB1" w:rsidR="00393C76" w:rsidRDefault="00393C76" w:rsidP="00393C76">
            <w:pPr>
              <w:spacing w:after="0" w:line="240" w:lineRule="auto"/>
              <w:jc w:val="both"/>
              <w:rPr>
                <w:rFonts w:ascii="Times New Roman" w:hAnsi="Times New Roman" w:cs="Times New Roman"/>
                <w:sz w:val="24"/>
                <w:szCs w:val="24"/>
              </w:rPr>
            </w:pPr>
            <w:r w:rsidRPr="003F2208">
              <w:rPr>
                <w:rFonts w:ascii="Times New Roman" w:hAnsi="Times New Roman" w:cs="Times New Roman"/>
                <w:sz w:val="24"/>
                <w:szCs w:val="24"/>
              </w:rPr>
              <w:t>Dānijas uzraugošajai institūcijai ir tiesības bloķēt maksājumu pakalpojumus azartspēļu organizētājam, kurš piedāvā azartspēļu pakalpojumus Dānijā bez licences. Tāpat uzraugošajai institūcijai šādos gadījumos ir tiesības bloķēt azartspēļu operatora interneta vietni vai vietnes. Interneta vietnes bloķēšana tiek veikta, sadarbojoties ar interneta pakalpojumu sniedzējiem, kuriem ar tiesas lēmumu tiek uzlikts pienākums nepieļaut piekļuvi noteiktām tīmekļa vietnēm, kur tiek piedāvātas nelicencētas azartspēles.</w:t>
            </w:r>
            <w:r>
              <w:rPr>
                <w:rStyle w:val="FootnoteReference"/>
                <w:rFonts w:ascii="Times New Roman" w:hAnsi="Times New Roman" w:cs="Times New Roman"/>
                <w:sz w:val="24"/>
                <w:szCs w:val="24"/>
              </w:rPr>
              <w:footnoteReference w:id="3"/>
            </w:r>
          </w:p>
          <w:p w14:paraId="583B41D1" w14:textId="25253AB6" w:rsidR="003F2208" w:rsidRPr="00B974B9" w:rsidRDefault="00393C76" w:rsidP="002252E9">
            <w:pPr>
              <w:spacing w:after="0" w:line="240" w:lineRule="auto"/>
              <w:jc w:val="both"/>
              <w:rPr>
                <w:rFonts w:ascii="Times New Roman" w:hAnsi="Times New Roman" w:cs="Times New Roman"/>
                <w:sz w:val="24"/>
                <w:szCs w:val="24"/>
              </w:rPr>
            </w:pPr>
            <w:r w:rsidRPr="003F2208">
              <w:rPr>
                <w:rFonts w:ascii="Times New Roman" w:hAnsi="Times New Roman" w:cs="Times New Roman"/>
                <w:sz w:val="24"/>
                <w:szCs w:val="24"/>
              </w:rPr>
              <w:t>Polijā ir paredzēti arī papildu līdzekļi, lai vērstos pret nelicencētu azartspēļu operatoriem, proti, valdība ir spējīga bloķēt piekļuvi tām interneta vietnēm, kuras izmantot nelicencēti azartspēļu operatori. Līdz 2018.gada martam kopā Polijā ir bloķētas vair</w:t>
            </w:r>
            <w:r>
              <w:rPr>
                <w:rFonts w:ascii="Times New Roman" w:hAnsi="Times New Roman" w:cs="Times New Roman"/>
                <w:sz w:val="24"/>
                <w:szCs w:val="24"/>
              </w:rPr>
              <w:t>āk nekā 1600 interneta vietnes.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3F2208">
              <w:rPr>
                <w:rFonts w:ascii="Times New Roman" w:hAnsi="Times New Roman" w:cs="Times New Roman"/>
                <w:sz w:val="24"/>
                <w:szCs w:val="24"/>
              </w:rPr>
              <w:t>Tāpat Polijā ir paredzēts, ka maksājumu pakalpojumu sniedzējiem var tikt uzlikts pienākums pārtraukt pakalpojumu sniegšanu melnajā sarakstā iekļautajām interneta vietnēm.</w:t>
            </w:r>
          </w:p>
        </w:tc>
      </w:tr>
      <w:tr w:rsidR="003A0997" w:rsidRPr="00665C7F" w14:paraId="20E95502" w14:textId="77777777" w:rsidTr="00553F2A">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10C3EEB8" w14:textId="77777777" w:rsidR="003A0997" w:rsidRPr="00665C7F" w:rsidRDefault="003A0997" w:rsidP="00553F2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47A9BB1F"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Projekta izstrādē iesaistītās institūcijas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557C6987" w14:textId="1935D596" w:rsidR="003A0997" w:rsidRPr="00665C7F" w:rsidRDefault="006975EF" w:rsidP="00074D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Finanšu ministrija</w:t>
            </w:r>
          </w:p>
        </w:tc>
      </w:tr>
      <w:tr w:rsidR="003A0997" w:rsidRPr="00665C7F" w14:paraId="11B709C9" w14:textId="77777777" w:rsidTr="00553F2A">
        <w:tc>
          <w:tcPr>
            <w:tcW w:w="299" w:type="pct"/>
            <w:tcBorders>
              <w:top w:val="outset" w:sz="6" w:space="0" w:color="414142"/>
              <w:left w:val="outset" w:sz="6" w:space="0" w:color="414142"/>
              <w:bottom w:val="outset" w:sz="6" w:space="0" w:color="414142"/>
              <w:right w:val="outset" w:sz="6" w:space="0" w:color="414142"/>
            </w:tcBorders>
            <w:hideMark/>
          </w:tcPr>
          <w:p w14:paraId="326EF5F5" w14:textId="77777777" w:rsidR="003A0997" w:rsidRPr="00665C7F" w:rsidRDefault="003A0997" w:rsidP="00553F2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65DE95BD"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Cita informācija</w:t>
            </w:r>
          </w:p>
        </w:tc>
        <w:tc>
          <w:tcPr>
            <w:tcW w:w="3176" w:type="pct"/>
            <w:tcBorders>
              <w:top w:val="outset" w:sz="6" w:space="0" w:color="414142"/>
              <w:left w:val="outset" w:sz="6" w:space="0" w:color="414142"/>
              <w:bottom w:val="outset" w:sz="6" w:space="0" w:color="414142"/>
              <w:right w:val="outset" w:sz="6" w:space="0" w:color="414142"/>
            </w:tcBorders>
            <w:hideMark/>
          </w:tcPr>
          <w:p w14:paraId="2723566B" w14:textId="54C754E7" w:rsidR="003A0997" w:rsidRPr="00665C7F" w:rsidRDefault="00E95AC4" w:rsidP="00553F2A">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021208832"/>
                <w:placeholder>
                  <w:docPart w:val="1C16FFE610C8459EB4205E5785F4F0A2"/>
                </w:placeholder>
                <w:text/>
              </w:sdtPr>
              <w:sdtEndPr/>
              <w:sdtContent>
                <w:r w:rsidR="003A0997" w:rsidRPr="00665C7F">
                  <w:rPr>
                    <w:rFonts w:ascii="Times New Roman" w:eastAsia="Times New Roman" w:hAnsi="Times New Roman" w:cs="Times New Roman"/>
                    <w:sz w:val="24"/>
                    <w:szCs w:val="24"/>
                    <w:lang w:eastAsia="lv-LV"/>
                  </w:rPr>
                  <w:t>Nav</w:t>
                </w:r>
              </w:sdtContent>
            </w:sdt>
            <w:r w:rsidR="006C2A9D">
              <w:rPr>
                <w:rFonts w:ascii="Times New Roman" w:eastAsia="Times New Roman" w:hAnsi="Times New Roman" w:cs="Times New Roman"/>
                <w:sz w:val="24"/>
                <w:szCs w:val="24"/>
                <w:lang w:eastAsia="lv-LV"/>
              </w:rPr>
              <w:t>.</w:t>
            </w:r>
          </w:p>
        </w:tc>
      </w:tr>
    </w:tbl>
    <w:p w14:paraId="35FF1F5D" w14:textId="77777777" w:rsidR="003A0997" w:rsidRPr="00665C7F"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A0997" w:rsidRPr="00665C7F" w14:paraId="4D19311C" w14:textId="77777777" w:rsidTr="00553F2A">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63073B" w14:textId="32FED952" w:rsidR="003A0997" w:rsidRPr="00665C7F" w:rsidRDefault="006C2A9D" w:rsidP="00553F2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II. </w:t>
            </w:r>
            <w:r w:rsidR="003A0997" w:rsidRPr="00665C7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A0997" w:rsidRPr="00665C7F" w14:paraId="195153DE" w14:textId="77777777" w:rsidTr="00553F2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A7DCE5F"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762EC21"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9096AC2" w14:textId="18792E14" w:rsidR="001D3D76" w:rsidRPr="00665C7F" w:rsidRDefault="003A0997" w:rsidP="00074DB4">
            <w:pPr>
              <w:spacing w:after="0" w:line="240" w:lineRule="auto"/>
              <w:jc w:val="both"/>
              <w:rPr>
                <w:rFonts w:ascii="Times New Roman" w:hAnsi="Times New Roman" w:cs="Times New Roman"/>
                <w:sz w:val="24"/>
                <w:szCs w:val="24"/>
              </w:rPr>
            </w:pPr>
            <w:r w:rsidRPr="00665C7F">
              <w:rPr>
                <w:rFonts w:ascii="Times New Roman" w:hAnsi="Times New Roman" w:cs="Times New Roman"/>
                <w:sz w:val="24"/>
                <w:szCs w:val="24"/>
              </w:rPr>
              <w:t xml:space="preserve">Mērķa grupa ir </w:t>
            </w:r>
            <w:r w:rsidR="009B7537" w:rsidRPr="00665C7F">
              <w:rPr>
                <w:rFonts w:ascii="Times New Roman" w:hAnsi="Times New Roman" w:cs="Times New Roman"/>
                <w:sz w:val="24"/>
                <w:szCs w:val="24"/>
              </w:rPr>
              <w:t>2</w:t>
            </w:r>
            <w:r w:rsidR="009B7537">
              <w:rPr>
                <w:rFonts w:ascii="Times New Roman" w:hAnsi="Times New Roman" w:cs="Times New Roman"/>
                <w:sz w:val="24"/>
                <w:szCs w:val="24"/>
              </w:rPr>
              <w:t>79</w:t>
            </w:r>
            <w:r w:rsidR="009B7537">
              <w:rPr>
                <w:rStyle w:val="FootnoteReference"/>
                <w:rFonts w:ascii="Times New Roman" w:hAnsi="Times New Roman" w:cs="Times New Roman"/>
                <w:sz w:val="24"/>
                <w:szCs w:val="24"/>
              </w:rPr>
              <w:footnoteReference w:id="5"/>
            </w:r>
            <w:r w:rsidR="001D3D76" w:rsidRPr="00665C7F">
              <w:rPr>
                <w:rFonts w:ascii="Times New Roman" w:hAnsi="Times New Roman" w:cs="Times New Roman"/>
                <w:sz w:val="24"/>
                <w:szCs w:val="24"/>
              </w:rPr>
              <w:t xml:space="preserve"> elektronisko sakaru komersant</w:t>
            </w:r>
            <w:r w:rsidR="001A1ECF">
              <w:rPr>
                <w:rFonts w:ascii="Times New Roman" w:hAnsi="Times New Roman" w:cs="Times New Roman"/>
                <w:sz w:val="24"/>
                <w:szCs w:val="24"/>
              </w:rPr>
              <w:t>i</w:t>
            </w:r>
            <w:r w:rsidR="001D3D76" w:rsidRPr="00665C7F">
              <w:rPr>
                <w:rFonts w:ascii="Times New Roman" w:hAnsi="Times New Roman" w:cs="Times New Roman"/>
                <w:sz w:val="24"/>
                <w:szCs w:val="24"/>
              </w:rPr>
              <w:t xml:space="preserve">, no kuriem </w:t>
            </w:r>
            <w:r w:rsidR="009B7537" w:rsidRPr="00665C7F">
              <w:rPr>
                <w:rFonts w:ascii="Times New Roman" w:hAnsi="Times New Roman" w:cs="Times New Roman"/>
                <w:sz w:val="24"/>
                <w:szCs w:val="24"/>
              </w:rPr>
              <w:t>1</w:t>
            </w:r>
            <w:r w:rsidR="009B7537">
              <w:rPr>
                <w:rFonts w:ascii="Times New Roman" w:hAnsi="Times New Roman" w:cs="Times New Roman"/>
                <w:sz w:val="24"/>
                <w:szCs w:val="24"/>
              </w:rPr>
              <w:t>83</w:t>
            </w:r>
            <w:r w:rsidR="009B7537" w:rsidRPr="00665C7F">
              <w:rPr>
                <w:rFonts w:ascii="Times New Roman" w:hAnsi="Times New Roman" w:cs="Times New Roman"/>
                <w:sz w:val="24"/>
                <w:szCs w:val="24"/>
              </w:rPr>
              <w:t xml:space="preserve"> </w:t>
            </w:r>
            <w:r w:rsidR="00FE3E2D" w:rsidRPr="00665C7F">
              <w:rPr>
                <w:rFonts w:ascii="Times New Roman" w:hAnsi="Times New Roman" w:cs="Times New Roman"/>
                <w:sz w:val="24"/>
                <w:szCs w:val="24"/>
              </w:rPr>
              <w:t>elektronisko sakaru komersant</w:t>
            </w:r>
            <w:r w:rsidR="00ED73D6">
              <w:rPr>
                <w:rFonts w:ascii="Times New Roman" w:hAnsi="Times New Roman" w:cs="Times New Roman"/>
                <w:sz w:val="24"/>
                <w:szCs w:val="24"/>
              </w:rPr>
              <w:t>i</w:t>
            </w:r>
            <w:r w:rsidR="00FE3E2D" w:rsidRPr="00665C7F">
              <w:rPr>
                <w:rFonts w:ascii="Times New Roman" w:hAnsi="Times New Roman" w:cs="Times New Roman"/>
                <w:sz w:val="24"/>
                <w:szCs w:val="24"/>
              </w:rPr>
              <w:t xml:space="preserve"> </w:t>
            </w:r>
            <w:r w:rsidR="001D3D76" w:rsidRPr="00665C7F">
              <w:rPr>
                <w:rFonts w:ascii="Times New Roman" w:hAnsi="Times New Roman" w:cs="Times New Roman"/>
                <w:sz w:val="24"/>
                <w:szCs w:val="24"/>
              </w:rPr>
              <w:t>sni</w:t>
            </w:r>
            <w:r w:rsidR="00FE3E2D" w:rsidRPr="00665C7F">
              <w:rPr>
                <w:rFonts w:ascii="Times New Roman" w:hAnsi="Times New Roman" w:cs="Times New Roman"/>
                <w:sz w:val="24"/>
                <w:szCs w:val="24"/>
              </w:rPr>
              <w:t>edz publiskā interneta piekļuvi</w:t>
            </w:r>
            <w:r w:rsidR="001D3D76" w:rsidRPr="00665C7F">
              <w:rPr>
                <w:rFonts w:ascii="Times New Roman" w:hAnsi="Times New Roman" w:cs="Times New Roman"/>
                <w:sz w:val="24"/>
                <w:szCs w:val="24"/>
              </w:rPr>
              <w:t xml:space="preserve"> </w:t>
            </w:r>
            <w:r w:rsidRPr="00665C7F">
              <w:rPr>
                <w:rFonts w:ascii="Times New Roman" w:hAnsi="Times New Roman" w:cs="Times New Roman"/>
                <w:sz w:val="24"/>
                <w:szCs w:val="24"/>
              </w:rPr>
              <w:t xml:space="preserve">(informācija uz </w:t>
            </w:r>
            <w:r w:rsidR="009B7537">
              <w:rPr>
                <w:rFonts w:ascii="Times New Roman" w:hAnsi="Times New Roman" w:cs="Times New Roman"/>
                <w:sz w:val="24"/>
                <w:szCs w:val="24"/>
              </w:rPr>
              <w:t>28.01.</w:t>
            </w:r>
            <w:r w:rsidRPr="00665C7F">
              <w:rPr>
                <w:rFonts w:ascii="Times New Roman" w:hAnsi="Times New Roman" w:cs="Times New Roman"/>
                <w:sz w:val="24"/>
                <w:szCs w:val="24"/>
              </w:rPr>
              <w:t>201</w:t>
            </w:r>
            <w:r w:rsidR="008C6672" w:rsidRPr="00665C7F">
              <w:rPr>
                <w:rFonts w:ascii="Times New Roman" w:hAnsi="Times New Roman" w:cs="Times New Roman"/>
                <w:sz w:val="24"/>
                <w:szCs w:val="24"/>
              </w:rPr>
              <w:t>9</w:t>
            </w:r>
            <w:r w:rsidR="009B7537">
              <w:rPr>
                <w:rFonts w:ascii="Times New Roman" w:hAnsi="Times New Roman" w:cs="Times New Roman"/>
                <w:sz w:val="24"/>
                <w:szCs w:val="24"/>
              </w:rPr>
              <w:t>.)</w:t>
            </w:r>
            <w:r w:rsidR="001D3D76" w:rsidRPr="00665C7F">
              <w:rPr>
                <w:rFonts w:ascii="Times New Roman" w:hAnsi="Times New Roman" w:cs="Times New Roman"/>
                <w:sz w:val="24"/>
                <w:szCs w:val="24"/>
              </w:rPr>
              <w:t xml:space="preserve">. </w:t>
            </w:r>
            <w:r w:rsidR="002F1787" w:rsidRPr="00665C7F">
              <w:rPr>
                <w:rFonts w:ascii="Times New Roman" w:hAnsi="Times New Roman" w:cs="Times New Roman"/>
                <w:sz w:val="24"/>
                <w:szCs w:val="24"/>
              </w:rPr>
              <w:t xml:space="preserve">Tā kā tiks veicināta godīga konkurence starp interaktīvo azartspēļu un interaktīvo izložu organizētājiem </w:t>
            </w:r>
            <w:r w:rsidR="003E3767">
              <w:rPr>
                <w:rFonts w:ascii="Times New Roman" w:hAnsi="Times New Roman" w:cs="Times New Roman"/>
                <w:sz w:val="24"/>
                <w:szCs w:val="24"/>
              </w:rPr>
              <w:t>Latvijas Republikā</w:t>
            </w:r>
            <w:r w:rsidR="002F1787" w:rsidRPr="00665C7F">
              <w:rPr>
                <w:rFonts w:ascii="Times New Roman" w:hAnsi="Times New Roman" w:cs="Times New Roman"/>
                <w:sz w:val="24"/>
                <w:szCs w:val="24"/>
              </w:rPr>
              <w:t>, mazinot nelegālo šo nozares tirgu, n</w:t>
            </w:r>
            <w:r w:rsidR="00612D2E" w:rsidRPr="00665C7F">
              <w:rPr>
                <w:rFonts w:ascii="Times New Roman" w:hAnsi="Times New Roman" w:cs="Times New Roman"/>
                <w:sz w:val="24"/>
                <w:szCs w:val="24"/>
              </w:rPr>
              <w:t>etiešā veidā tiesiskais</w:t>
            </w:r>
            <w:r w:rsidR="00FE3E2D" w:rsidRPr="00665C7F">
              <w:rPr>
                <w:rFonts w:ascii="Times New Roman" w:hAnsi="Times New Roman" w:cs="Times New Roman"/>
                <w:sz w:val="24"/>
                <w:szCs w:val="24"/>
              </w:rPr>
              <w:t xml:space="preserve"> regulējums ietekmēs</w:t>
            </w:r>
            <w:r w:rsidR="00612D2E" w:rsidRPr="00665C7F">
              <w:rPr>
                <w:rFonts w:ascii="Times New Roman" w:hAnsi="Times New Roman" w:cs="Times New Roman"/>
                <w:sz w:val="24"/>
                <w:szCs w:val="24"/>
              </w:rPr>
              <w:t xml:space="preserve"> 16 kapitālsabiedrības, kas organizē tikai azartspēles</w:t>
            </w:r>
            <w:r w:rsidR="00277972">
              <w:rPr>
                <w:rFonts w:ascii="Times New Roman" w:hAnsi="Times New Roman" w:cs="Times New Roman"/>
                <w:sz w:val="24"/>
                <w:szCs w:val="24"/>
              </w:rPr>
              <w:t>,</w:t>
            </w:r>
            <w:r w:rsidR="00FE3E2D" w:rsidRPr="00665C7F">
              <w:rPr>
                <w:rFonts w:ascii="Times New Roman" w:hAnsi="Times New Roman" w:cs="Times New Roman"/>
                <w:sz w:val="24"/>
                <w:szCs w:val="24"/>
              </w:rPr>
              <w:t xml:space="preserve"> un</w:t>
            </w:r>
            <w:r w:rsidR="00612D2E" w:rsidRPr="00665C7F">
              <w:rPr>
                <w:rFonts w:ascii="Times New Roman" w:hAnsi="Times New Roman" w:cs="Times New Roman"/>
                <w:sz w:val="24"/>
                <w:szCs w:val="24"/>
              </w:rPr>
              <w:t xml:space="preserve"> VAS “Latvijas Loto”, kas organizē  izlozes</w:t>
            </w:r>
            <w:r w:rsidR="002F1787" w:rsidRPr="00665C7F">
              <w:rPr>
                <w:rFonts w:ascii="Times New Roman" w:hAnsi="Times New Roman" w:cs="Times New Roman"/>
                <w:sz w:val="24"/>
                <w:szCs w:val="24"/>
              </w:rPr>
              <w:t>.</w:t>
            </w:r>
          </w:p>
        </w:tc>
      </w:tr>
      <w:tr w:rsidR="003A0997" w:rsidRPr="00665C7F" w14:paraId="0EAC08A0" w14:textId="77777777" w:rsidTr="00553F2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00B38BF"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298CF412"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608FC91" w14:textId="29FF3B17" w:rsidR="00FF346B" w:rsidRPr="00665C7F" w:rsidRDefault="003A0997" w:rsidP="00553F2A">
            <w:pPr>
              <w:spacing w:after="0" w:line="240" w:lineRule="auto"/>
              <w:jc w:val="both"/>
              <w:rPr>
                <w:rFonts w:ascii="Times New Roman" w:hAnsi="Times New Roman" w:cs="Times New Roman"/>
                <w:sz w:val="24"/>
                <w:szCs w:val="24"/>
              </w:rPr>
            </w:pPr>
            <w:r w:rsidRPr="00665C7F">
              <w:rPr>
                <w:rFonts w:ascii="Times New Roman" w:eastAsia="Times New Roman" w:hAnsi="Times New Roman" w:cs="Times New Roman"/>
                <w:sz w:val="24"/>
                <w:szCs w:val="24"/>
                <w:lang w:eastAsia="lv-LV"/>
              </w:rPr>
              <w:t xml:space="preserve">Tiesiskais regulējums </w:t>
            </w:r>
            <w:r w:rsidR="00666EF3">
              <w:rPr>
                <w:rFonts w:ascii="Times New Roman" w:eastAsia="Times New Roman" w:hAnsi="Times New Roman" w:cs="Times New Roman"/>
                <w:sz w:val="24"/>
                <w:szCs w:val="24"/>
                <w:lang w:eastAsia="lv-LV"/>
              </w:rPr>
              <w:t xml:space="preserve">aizsargās sabiedrības intereses, informējot, ka izvēlētā </w:t>
            </w:r>
            <w:r w:rsidR="00A51AA3">
              <w:rPr>
                <w:rFonts w:ascii="Times New Roman" w:eastAsia="Times New Roman" w:hAnsi="Times New Roman" w:cs="Times New Roman"/>
                <w:sz w:val="24"/>
                <w:szCs w:val="24"/>
                <w:lang w:eastAsia="lv-LV"/>
              </w:rPr>
              <w:t xml:space="preserve">interaktīvo </w:t>
            </w:r>
            <w:r w:rsidR="00666EF3">
              <w:rPr>
                <w:rFonts w:ascii="Times New Roman" w:eastAsia="Times New Roman" w:hAnsi="Times New Roman" w:cs="Times New Roman"/>
                <w:sz w:val="24"/>
                <w:szCs w:val="24"/>
                <w:lang w:eastAsia="lv-LV"/>
              </w:rPr>
              <w:t xml:space="preserve">azartspēļu vai </w:t>
            </w:r>
            <w:r w:rsidR="00A51AA3">
              <w:rPr>
                <w:rFonts w:ascii="Times New Roman" w:eastAsia="Times New Roman" w:hAnsi="Times New Roman" w:cs="Times New Roman"/>
                <w:sz w:val="24"/>
                <w:szCs w:val="24"/>
                <w:lang w:eastAsia="lv-LV"/>
              </w:rPr>
              <w:t xml:space="preserve">interaktīvo </w:t>
            </w:r>
            <w:r w:rsidR="00B13745">
              <w:rPr>
                <w:rFonts w:ascii="Times New Roman" w:eastAsia="Times New Roman" w:hAnsi="Times New Roman" w:cs="Times New Roman"/>
                <w:sz w:val="24"/>
                <w:szCs w:val="24"/>
                <w:lang w:eastAsia="lv-LV"/>
              </w:rPr>
              <w:t xml:space="preserve">izložu organizators </w:t>
            </w:r>
            <w:r w:rsidR="00666EF3">
              <w:rPr>
                <w:rFonts w:ascii="Times New Roman" w:eastAsia="Times New Roman" w:hAnsi="Times New Roman" w:cs="Times New Roman"/>
                <w:sz w:val="24"/>
                <w:szCs w:val="24"/>
                <w:lang w:eastAsia="lv-LV"/>
              </w:rPr>
              <w:t xml:space="preserve">nav </w:t>
            </w:r>
            <w:r w:rsidR="00B13745">
              <w:rPr>
                <w:rFonts w:ascii="Times New Roman" w:eastAsia="Times New Roman" w:hAnsi="Times New Roman" w:cs="Times New Roman"/>
                <w:sz w:val="24"/>
                <w:szCs w:val="24"/>
                <w:lang w:eastAsia="lv-LV"/>
              </w:rPr>
              <w:t>licencēts</w:t>
            </w:r>
            <w:r w:rsidR="00666EF3">
              <w:rPr>
                <w:rFonts w:ascii="Times New Roman" w:eastAsia="Times New Roman" w:hAnsi="Times New Roman" w:cs="Times New Roman"/>
                <w:sz w:val="24"/>
                <w:szCs w:val="24"/>
                <w:lang w:eastAsia="lv-LV"/>
              </w:rPr>
              <w:t xml:space="preserve"> </w:t>
            </w:r>
            <w:r w:rsidR="003E3767">
              <w:rPr>
                <w:rFonts w:ascii="Times New Roman" w:hAnsi="Times New Roman" w:cs="Times New Roman"/>
                <w:sz w:val="24"/>
                <w:szCs w:val="24"/>
              </w:rPr>
              <w:t>Latvijas Republikā</w:t>
            </w:r>
            <w:r w:rsidR="00666EF3">
              <w:rPr>
                <w:rFonts w:ascii="Times New Roman" w:eastAsia="Times New Roman" w:hAnsi="Times New Roman" w:cs="Times New Roman"/>
                <w:sz w:val="24"/>
                <w:szCs w:val="24"/>
                <w:lang w:eastAsia="lv-LV"/>
              </w:rPr>
              <w:t xml:space="preserve">, </w:t>
            </w:r>
            <w:r w:rsidRPr="00665C7F">
              <w:rPr>
                <w:rFonts w:ascii="Times New Roman" w:eastAsia="Times New Roman" w:hAnsi="Times New Roman" w:cs="Times New Roman"/>
                <w:sz w:val="24"/>
                <w:szCs w:val="24"/>
                <w:lang w:eastAsia="lv-LV"/>
              </w:rPr>
              <w:t xml:space="preserve">uzlabos uzņēmējdarbības vidi, jo </w:t>
            </w:r>
            <w:r w:rsidR="00FF346B" w:rsidRPr="00665C7F">
              <w:rPr>
                <w:rFonts w:ascii="Times New Roman" w:hAnsi="Times New Roman" w:cs="Times New Roman"/>
                <w:sz w:val="24"/>
                <w:szCs w:val="24"/>
              </w:rPr>
              <w:t xml:space="preserve">tiks veicināta godīga konkurence starp interaktīvo azartspēļu un interaktīvo izložu organizētājiem </w:t>
            </w:r>
            <w:r w:rsidR="003E3767">
              <w:rPr>
                <w:rFonts w:ascii="Times New Roman" w:hAnsi="Times New Roman" w:cs="Times New Roman"/>
                <w:sz w:val="24"/>
                <w:szCs w:val="24"/>
              </w:rPr>
              <w:t>Latvijas Republikā</w:t>
            </w:r>
            <w:r w:rsidR="00FF346B" w:rsidRPr="00665C7F">
              <w:rPr>
                <w:rFonts w:ascii="Times New Roman" w:hAnsi="Times New Roman" w:cs="Times New Roman"/>
                <w:sz w:val="24"/>
                <w:szCs w:val="24"/>
              </w:rPr>
              <w:t>,</w:t>
            </w:r>
            <w:r w:rsidR="00623061" w:rsidRPr="00665C7F">
              <w:rPr>
                <w:rFonts w:ascii="Times New Roman" w:hAnsi="Times New Roman" w:cs="Times New Roman"/>
                <w:sz w:val="24"/>
                <w:szCs w:val="24"/>
              </w:rPr>
              <w:t xml:space="preserve"> kā arī palielināsies nodokļu ieņēmumi</w:t>
            </w:r>
            <w:r w:rsidR="00FF346B" w:rsidRPr="00665C7F">
              <w:rPr>
                <w:rFonts w:ascii="Times New Roman" w:hAnsi="Times New Roman" w:cs="Times New Roman"/>
                <w:sz w:val="24"/>
                <w:szCs w:val="24"/>
              </w:rPr>
              <w:t xml:space="preserve"> </w:t>
            </w:r>
            <w:r w:rsidR="00623061" w:rsidRPr="00665C7F">
              <w:rPr>
                <w:rFonts w:ascii="Times New Roman" w:hAnsi="Times New Roman" w:cs="Times New Roman"/>
                <w:sz w:val="24"/>
                <w:szCs w:val="24"/>
              </w:rPr>
              <w:t xml:space="preserve">valsts budžetā, jo tiks mazināts </w:t>
            </w:r>
            <w:r w:rsidR="0008345B">
              <w:rPr>
                <w:rFonts w:ascii="Times New Roman" w:hAnsi="Times New Roman" w:cs="Times New Roman"/>
                <w:sz w:val="24"/>
                <w:szCs w:val="24"/>
              </w:rPr>
              <w:t>nelicencētais</w:t>
            </w:r>
            <w:r w:rsidR="00FF346B" w:rsidRPr="00665C7F">
              <w:rPr>
                <w:rFonts w:ascii="Times New Roman" w:hAnsi="Times New Roman" w:cs="Times New Roman"/>
                <w:sz w:val="24"/>
                <w:szCs w:val="24"/>
              </w:rPr>
              <w:t xml:space="preserve"> </w:t>
            </w:r>
            <w:r w:rsidR="00623061" w:rsidRPr="00665C7F">
              <w:rPr>
                <w:rFonts w:ascii="Times New Roman" w:hAnsi="Times New Roman" w:cs="Times New Roman"/>
                <w:sz w:val="24"/>
                <w:szCs w:val="24"/>
              </w:rPr>
              <w:t xml:space="preserve">interaktīvo azartspēļu un interaktīvo izložu </w:t>
            </w:r>
            <w:r w:rsidR="00FF346B" w:rsidRPr="00665C7F">
              <w:rPr>
                <w:rFonts w:ascii="Times New Roman" w:hAnsi="Times New Roman" w:cs="Times New Roman"/>
                <w:sz w:val="24"/>
                <w:szCs w:val="24"/>
              </w:rPr>
              <w:t>tirgu</w:t>
            </w:r>
            <w:r w:rsidR="00623061" w:rsidRPr="00665C7F">
              <w:rPr>
                <w:rFonts w:ascii="Times New Roman" w:hAnsi="Times New Roman" w:cs="Times New Roman"/>
                <w:sz w:val="24"/>
                <w:szCs w:val="24"/>
              </w:rPr>
              <w:t>s</w:t>
            </w:r>
            <w:r w:rsidR="00FF346B" w:rsidRPr="00665C7F">
              <w:rPr>
                <w:rFonts w:ascii="Times New Roman" w:hAnsi="Times New Roman" w:cs="Times New Roman"/>
                <w:sz w:val="24"/>
                <w:szCs w:val="24"/>
              </w:rPr>
              <w:t>.</w:t>
            </w:r>
          </w:p>
          <w:p w14:paraId="2F8EA711" w14:textId="40323B6E" w:rsidR="00103F88" w:rsidRPr="00F82BB1" w:rsidRDefault="00A52913" w:rsidP="00103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Vienlaicīgi likumprojekts nodrošinās labas pārvaldības principu, fiziskajām </w:t>
            </w:r>
            <w:r w:rsidRPr="000C1776">
              <w:rPr>
                <w:rFonts w:ascii="Times New Roman" w:hAnsi="Times New Roman" w:cs="Times New Roman"/>
                <w:sz w:val="24"/>
                <w:szCs w:val="24"/>
              </w:rPr>
              <w:t>vai juridiskajām</w:t>
            </w:r>
            <w:r>
              <w:rPr>
                <w:rFonts w:ascii="Times New Roman" w:hAnsi="Times New Roman" w:cs="Times New Roman"/>
                <w:sz w:val="24"/>
                <w:szCs w:val="24"/>
              </w:rPr>
              <w:t xml:space="preserve"> personām </w:t>
            </w:r>
            <w:r w:rsidR="00F82BB1">
              <w:rPr>
                <w:rFonts w:ascii="Times New Roman" w:hAnsi="Times New Roman" w:cs="Times New Roman"/>
                <w:sz w:val="24"/>
                <w:szCs w:val="24"/>
              </w:rPr>
              <w:t xml:space="preserve">sniedzot attiecīgu informāciju saistībā ar </w:t>
            </w:r>
            <w:r w:rsidR="0008345B">
              <w:rPr>
                <w:rFonts w:ascii="Times New Roman" w:hAnsi="Times New Roman" w:cs="Times New Roman"/>
                <w:sz w:val="24"/>
                <w:szCs w:val="24"/>
              </w:rPr>
              <w:t>nelicencēto</w:t>
            </w:r>
            <w:r w:rsidR="00F82BB1" w:rsidRPr="00F82BB1">
              <w:rPr>
                <w:rFonts w:ascii="Times New Roman" w:hAnsi="Times New Roman" w:cs="Times New Roman"/>
                <w:sz w:val="24"/>
                <w:szCs w:val="24"/>
              </w:rPr>
              <w:t xml:space="preserve"> interaktīvo azartspēļu un interaktīvo izložu</w:t>
            </w:r>
            <w:r w:rsidR="00F82BB1">
              <w:rPr>
                <w:rFonts w:ascii="Times New Roman" w:hAnsi="Times New Roman" w:cs="Times New Roman"/>
                <w:sz w:val="24"/>
                <w:szCs w:val="24"/>
              </w:rPr>
              <w:t xml:space="preserve"> nelikumību.</w:t>
            </w:r>
          </w:p>
        </w:tc>
      </w:tr>
      <w:tr w:rsidR="003A0997" w:rsidRPr="00665C7F" w14:paraId="71CB7581" w14:textId="77777777" w:rsidTr="00553F2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8D3A69B"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AAB8942"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1BD9A0B" w14:textId="7EBEDC98" w:rsidR="003A0997" w:rsidRPr="00DC4E86" w:rsidRDefault="004E03BB" w:rsidP="00553F2A">
            <w:pPr>
              <w:spacing w:after="0" w:line="240" w:lineRule="auto"/>
              <w:rPr>
                <w:rFonts w:ascii="Times New Roman" w:eastAsia="Times New Roman" w:hAnsi="Times New Roman" w:cs="Times New Roman"/>
                <w:sz w:val="24"/>
                <w:szCs w:val="24"/>
                <w:highlight w:val="yellow"/>
                <w:lang w:eastAsia="lv-LV"/>
              </w:rPr>
            </w:pPr>
            <w:r w:rsidRPr="004E03BB">
              <w:rPr>
                <w:rFonts w:ascii="Times New Roman" w:hAnsi="Times New Roman" w:cs="Times New Roman"/>
                <w:iCs/>
                <w:sz w:val="24"/>
                <w:szCs w:val="24"/>
              </w:rPr>
              <w:t>N</w:t>
            </w:r>
            <w:r w:rsidR="00666EF3" w:rsidRPr="004E03BB">
              <w:rPr>
                <w:rFonts w:ascii="Times New Roman" w:hAnsi="Times New Roman" w:cs="Times New Roman"/>
                <w:iCs/>
                <w:sz w:val="24"/>
                <w:szCs w:val="24"/>
              </w:rPr>
              <w:t>av iespējams noteikt</w:t>
            </w:r>
            <w:r w:rsidR="0008345B">
              <w:rPr>
                <w:rFonts w:ascii="Times New Roman" w:hAnsi="Times New Roman" w:cs="Times New Roman"/>
                <w:iCs/>
                <w:sz w:val="24"/>
                <w:szCs w:val="24"/>
              </w:rPr>
              <w:t>.</w:t>
            </w:r>
          </w:p>
        </w:tc>
      </w:tr>
      <w:tr w:rsidR="003A0997" w:rsidRPr="00665C7F" w14:paraId="4B08FB61" w14:textId="77777777" w:rsidTr="00553F2A">
        <w:trPr>
          <w:trHeight w:val="408"/>
        </w:trPr>
        <w:tc>
          <w:tcPr>
            <w:tcW w:w="250" w:type="pct"/>
            <w:tcBorders>
              <w:top w:val="outset" w:sz="6" w:space="0" w:color="414142"/>
              <w:left w:val="outset" w:sz="6" w:space="0" w:color="414142"/>
              <w:bottom w:val="outset" w:sz="6" w:space="0" w:color="414142"/>
              <w:right w:val="outset" w:sz="6" w:space="0" w:color="414142"/>
            </w:tcBorders>
          </w:tcPr>
          <w:p w14:paraId="2567CA14"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9C0309E"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D15DE95" w14:textId="75859E7B" w:rsidR="003A0997" w:rsidRPr="00665C7F" w:rsidRDefault="003A0997" w:rsidP="00553F2A">
            <w:pPr>
              <w:spacing w:after="0" w:line="240" w:lineRule="auto"/>
              <w:rPr>
                <w:rFonts w:ascii="Times New Roman" w:hAnsi="Times New Roman" w:cs="Times New Roman"/>
                <w:iCs/>
                <w:sz w:val="24"/>
                <w:szCs w:val="24"/>
              </w:rPr>
            </w:pPr>
            <w:r w:rsidRPr="00665C7F">
              <w:rPr>
                <w:rFonts w:ascii="Times New Roman" w:hAnsi="Times New Roman" w:cs="Times New Roman"/>
                <w:iCs/>
                <w:sz w:val="24"/>
                <w:szCs w:val="24"/>
              </w:rPr>
              <w:t>Nav</w:t>
            </w:r>
            <w:r w:rsidR="0008345B">
              <w:rPr>
                <w:rFonts w:ascii="Times New Roman" w:hAnsi="Times New Roman" w:cs="Times New Roman"/>
                <w:iCs/>
                <w:sz w:val="24"/>
                <w:szCs w:val="24"/>
              </w:rPr>
              <w:t>.</w:t>
            </w:r>
          </w:p>
        </w:tc>
      </w:tr>
      <w:tr w:rsidR="003A0997" w:rsidRPr="00665C7F" w14:paraId="4C98F876" w14:textId="77777777" w:rsidTr="00553F2A">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2A09ED1"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56F984F3"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D6E53FD" w14:textId="410A30CD" w:rsidR="003A0997" w:rsidRPr="00665C7F" w:rsidRDefault="00E95AC4" w:rsidP="00553F2A">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119677180"/>
                <w:placeholder>
                  <w:docPart w:val="9C2C97F21C4A4BADB3B12CDCBA5C8B17"/>
                </w:placeholder>
                <w:text/>
              </w:sdtPr>
              <w:sdtEndPr/>
              <w:sdtContent>
                <w:r w:rsidR="003A0997" w:rsidRPr="00665C7F">
                  <w:rPr>
                    <w:rFonts w:ascii="Times New Roman" w:eastAsia="Times New Roman" w:hAnsi="Times New Roman" w:cs="Times New Roman"/>
                    <w:sz w:val="24"/>
                    <w:szCs w:val="24"/>
                    <w:lang w:eastAsia="lv-LV"/>
                  </w:rPr>
                  <w:t>Nav</w:t>
                </w:r>
              </w:sdtContent>
            </w:sdt>
            <w:r w:rsidR="0008345B">
              <w:rPr>
                <w:rFonts w:ascii="Times New Roman" w:eastAsia="Times New Roman" w:hAnsi="Times New Roman" w:cs="Times New Roman"/>
                <w:sz w:val="24"/>
                <w:szCs w:val="24"/>
                <w:lang w:eastAsia="lv-LV"/>
              </w:rPr>
              <w:t>.</w:t>
            </w:r>
          </w:p>
        </w:tc>
      </w:tr>
    </w:tbl>
    <w:p w14:paraId="2380A1C2" w14:textId="77777777" w:rsidR="003A0997" w:rsidRPr="00665C7F"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6"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34"/>
        <w:gridCol w:w="573"/>
        <w:gridCol w:w="1114"/>
        <w:gridCol w:w="959"/>
        <w:gridCol w:w="1313"/>
        <w:gridCol w:w="1241"/>
        <w:gridCol w:w="1334"/>
        <w:gridCol w:w="2004"/>
      </w:tblGrid>
      <w:tr w:rsidR="00FA3588" w:rsidRPr="00665C7F" w14:paraId="245D2675" w14:textId="77777777" w:rsidTr="00FA3588">
        <w:trPr>
          <w:tblCellSpacing w:w="15" w:type="dxa"/>
        </w:trPr>
        <w:tc>
          <w:tcPr>
            <w:tcW w:w="4967" w:type="pct"/>
            <w:gridSpan w:val="8"/>
            <w:vAlign w:val="center"/>
            <w:hideMark/>
          </w:tcPr>
          <w:p w14:paraId="18CA4F9E"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65C7F">
              <w:rPr>
                <w:rFonts w:ascii="Times New Roman" w:eastAsia="Times New Roman" w:hAnsi="Times New Roman" w:cs="Times New Roman"/>
                <w:b/>
                <w:bCs/>
                <w:sz w:val="24"/>
                <w:szCs w:val="24"/>
                <w:lang w:eastAsia="lv-LV"/>
              </w:rPr>
              <w:t>III. Tiesību akta projekta ietekme uz valsts budžetu un pašvaldību budžetiem</w:t>
            </w:r>
          </w:p>
        </w:tc>
      </w:tr>
      <w:tr w:rsidR="00FA3588" w:rsidRPr="00665C7F" w14:paraId="1B214C16" w14:textId="77777777" w:rsidTr="00652D7E">
        <w:trPr>
          <w:tblCellSpacing w:w="15" w:type="dxa"/>
        </w:trPr>
        <w:tc>
          <w:tcPr>
            <w:tcW w:w="275" w:type="pct"/>
            <w:vMerge w:val="restart"/>
            <w:vAlign w:val="center"/>
            <w:hideMark/>
          </w:tcPr>
          <w:p w14:paraId="249929FA"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Rādītāji</w:t>
            </w:r>
          </w:p>
        </w:tc>
        <w:tc>
          <w:tcPr>
            <w:tcW w:w="918" w:type="pct"/>
            <w:gridSpan w:val="2"/>
            <w:vMerge w:val="restart"/>
            <w:vAlign w:val="center"/>
            <w:hideMark/>
          </w:tcPr>
          <w:p w14:paraId="22EC1CA3" w14:textId="4E06888B" w:rsidR="00FA3588" w:rsidRPr="00665C7F" w:rsidRDefault="00FA3588" w:rsidP="00FC4370">
            <w:pPr>
              <w:spacing w:before="100" w:beforeAutospacing="1" w:after="100" w:afterAutospacing="1" w:line="360" w:lineRule="auto"/>
              <w:ind w:left="83" w:firstLine="217"/>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201</w:t>
            </w:r>
            <w:r w:rsidR="00FC4370">
              <w:rPr>
                <w:rFonts w:ascii="Times New Roman" w:eastAsia="Times New Roman" w:hAnsi="Times New Roman" w:cs="Times New Roman"/>
                <w:sz w:val="24"/>
                <w:szCs w:val="24"/>
                <w:lang w:eastAsia="lv-LV"/>
              </w:rPr>
              <w:t>9</w:t>
            </w:r>
          </w:p>
        </w:tc>
        <w:tc>
          <w:tcPr>
            <w:tcW w:w="3741" w:type="pct"/>
            <w:gridSpan w:val="5"/>
            <w:vAlign w:val="center"/>
            <w:hideMark/>
          </w:tcPr>
          <w:p w14:paraId="57135143"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Turpmākie trīs gadi (</w:t>
            </w:r>
            <w:r w:rsidRPr="00665C7F">
              <w:rPr>
                <w:rFonts w:ascii="Times New Roman" w:eastAsia="Times New Roman" w:hAnsi="Times New Roman" w:cs="Times New Roman"/>
                <w:i/>
                <w:iCs/>
                <w:sz w:val="24"/>
                <w:szCs w:val="24"/>
                <w:lang w:eastAsia="lv-LV"/>
              </w:rPr>
              <w:t>euro</w:t>
            </w:r>
            <w:r w:rsidRPr="00665C7F">
              <w:rPr>
                <w:rFonts w:ascii="Times New Roman" w:eastAsia="Times New Roman" w:hAnsi="Times New Roman" w:cs="Times New Roman"/>
                <w:sz w:val="24"/>
                <w:szCs w:val="24"/>
                <w:lang w:eastAsia="lv-LV"/>
              </w:rPr>
              <w:t>)</w:t>
            </w:r>
          </w:p>
        </w:tc>
      </w:tr>
      <w:tr w:rsidR="00FA3588" w:rsidRPr="00665C7F" w14:paraId="076C4B63" w14:textId="77777777" w:rsidTr="00652D7E">
        <w:trPr>
          <w:tblCellSpacing w:w="15" w:type="dxa"/>
        </w:trPr>
        <w:tc>
          <w:tcPr>
            <w:tcW w:w="275" w:type="pct"/>
            <w:vMerge/>
            <w:vAlign w:val="center"/>
            <w:hideMark/>
          </w:tcPr>
          <w:p w14:paraId="6770AC2D"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c>
          <w:tcPr>
            <w:tcW w:w="918" w:type="pct"/>
            <w:gridSpan w:val="2"/>
            <w:vMerge/>
            <w:vAlign w:val="center"/>
            <w:hideMark/>
          </w:tcPr>
          <w:p w14:paraId="688A1F6C"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c>
          <w:tcPr>
            <w:tcW w:w="1249" w:type="pct"/>
            <w:gridSpan w:val="2"/>
            <w:vAlign w:val="center"/>
            <w:hideMark/>
          </w:tcPr>
          <w:p w14:paraId="15E473B7" w14:textId="3A9B67EF" w:rsidR="00FA3588" w:rsidRPr="00665C7F" w:rsidRDefault="00FA3588" w:rsidP="00FC4370">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20</w:t>
            </w:r>
            <w:r w:rsidR="00FC4370">
              <w:rPr>
                <w:rFonts w:ascii="Times New Roman" w:eastAsia="Times New Roman" w:hAnsi="Times New Roman" w:cs="Times New Roman"/>
                <w:sz w:val="24"/>
                <w:szCs w:val="24"/>
                <w:lang w:eastAsia="lv-LV"/>
              </w:rPr>
              <w:t>20</w:t>
            </w:r>
          </w:p>
        </w:tc>
        <w:tc>
          <w:tcPr>
            <w:tcW w:w="1419" w:type="pct"/>
            <w:gridSpan w:val="2"/>
            <w:vAlign w:val="center"/>
            <w:hideMark/>
          </w:tcPr>
          <w:p w14:paraId="7837E228" w14:textId="74E07327" w:rsidR="00FA3588" w:rsidRPr="00665C7F" w:rsidRDefault="00FA3588" w:rsidP="00FC4370">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202</w:t>
            </w:r>
            <w:r w:rsidR="00FC4370">
              <w:rPr>
                <w:rFonts w:ascii="Times New Roman" w:eastAsia="Times New Roman" w:hAnsi="Times New Roman" w:cs="Times New Roman"/>
                <w:sz w:val="24"/>
                <w:szCs w:val="24"/>
                <w:lang w:eastAsia="lv-LV"/>
              </w:rPr>
              <w:t>1</w:t>
            </w:r>
          </w:p>
        </w:tc>
        <w:tc>
          <w:tcPr>
            <w:tcW w:w="1040" w:type="pct"/>
            <w:vAlign w:val="center"/>
            <w:hideMark/>
          </w:tcPr>
          <w:p w14:paraId="12EC1EF5" w14:textId="7601A9BF" w:rsidR="00FA3588" w:rsidRPr="00665C7F" w:rsidRDefault="00FA3588" w:rsidP="00FC4370">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202</w:t>
            </w:r>
            <w:r w:rsidR="00FC4370">
              <w:rPr>
                <w:rFonts w:ascii="Times New Roman" w:eastAsia="Times New Roman" w:hAnsi="Times New Roman" w:cs="Times New Roman"/>
                <w:sz w:val="24"/>
                <w:szCs w:val="24"/>
                <w:lang w:eastAsia="lv-LV"/>
              </w:rPr>
              <w:t>2</w:t>
            </w:r>
          </w:p>
        </w:tc>
      </w:tr>
      <w:tr w:rsidR="00652D7E" w:rsidRPr="00665C7F" w14:paraId="3A37C24C" w14:textId="77777777" w:rsidTr="00652D7E">
        <w:trPr>
          <w:tblCellSpacing w:w="15" w:type="dxa"/>
        </w:trPr>
        <w:tc>
          <w:tcPr>
            <w:tcW w:w="275" w:type="pct"/>
            <w:vMerge/>
            <w:vAlign w:val="center"/>
            <w:hideMark/>
          </w:tcPr>
          <w:p w14:paraId="6094D926"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c>
          <w:tcPr>
            <w:tcW w:w="306" w:type="pct"/>
            <w:vAlign w:val="center"/>
            <w:hideMark/>
          </w:tcPr>
          <w:p w14:paraId="495B6BE2"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saskaņā ar valsts budžetu kārtējam gadam</w:t>
            </w:r>
          </w:p>
        </w:tc>
        <w:tc>
          <w:tcPr>
            <w:tcW w:w="595" w:type="pct"/>
            <w:vAlign w:val="center"/>
            <w:hideMark/>
          </w:tcPr>
          <w:p w14:paraId="53469837"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izmaiņas kārtējā gadā, salīdzinot ar valsts budžetu kārtējam gadam</w:t>
            </w:r>
          </w:p>
        </w:tc>
        <w:tc>
          <w:tcPr>
            <w:tcW w:w="525" w:type="pct"/>
            <w:vAlign w:val="center"/>
            <w:hideMark/>
          </w:tcPr>
          <w:p w14:paraId="564A4B06"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saskaņā ar vidēja termiņa budžeta ietvaru</w:t>
            </w:r>
          </w:p>
        </w:tc>
        <w:tc>
          <w:tcPr>
            <w:tcW w:w="708" w:type="pct"/>
            <w:vAlign w:val="center"/>
            <w:hideMark/>
          </w:tcPr>
          <w:p w14:paraId="7B2D053C" w14:textId="4F832D01" w:rsidR="00FA3588" w:rsidRPr="00665C7F" w:rsidRDefault="00FA3588" w:rsidP="00BE72F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izmaiņas, salīdzinot ar vidēja termiņa budžeta ietvaru 20</w:t>
            </w:r>
            <w:r w:rsidR="00BE72F6">
              <w:rPr>
                <w:rFonts w:ascii="Times New Roman" w:eastAsia="Times New Roman" w:hAnsi="Times New Roman" w:cs="Times New Roman"/>
                <w:sz w:val="24"/>
                <w:szCs w:val="24"/>
                <w:lang w:eastAsia="lv-LV"/>
              </w:rPr>
              <w:t>19</w:t>
            </w:r>
            <w:r w:rsidRPr="00665C7F">
              <w:rPr>
                <w:rFonts w:ascii="Times New Roman" w:eastAsia="Times New Roman" w:hAnsi="Times New Roman" w:cs="Times New Roman"/>
                <w:sz w:val="24"/>
                <w:szCs w:val="24"/>
                <w:lang w:eastAsia="lv-LV"/>
              </w:rPr>
              <w:t>.gadam</w:t>
            </w:r>
          </w:p>
        </w:tc>
        <w:tc>
          <w:tcPr>
            <w:tcW w:w="683" w:type="pct"/>
            <w:vAlign w:val="center"/>
            <w:hideMark/>
          </w:tcPr>
          <w:p w14:paraId="092EC9C2"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saskaņā ar vidēja termiņa budžeta ietvaru</w:t>
            </w:r>
          </w:p>
        </w:tc>
        <w:tc>
          <w:tcPr>
            <w:tcW w:w="719" w:type="pct"/>
            <w:vAlign w:val="center"/>
            <w:hideMark/>
          </w:tcPr>
          <w:p w14:paraId="62FECDCC" w14:textId="7BE10FD2" w:rsidR="00FA3588" w:rsidRPr="00665C7F" w:rsidRDefault="00FA3588" w:rsidP="00BE72F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izmaiņas, salīdzinot ar vidēja termiņa budžeta ietvaru 20</w:t>
            </w:r>
            <w:r w:rsidR="00BE72F6">
              <w:rPr>
                <w:rFonts w:ascii="Times New Roman" w:eastAsia="Times New Roman" w:hAnsi="Times New Roman" w:cs="Times New Roman"/>
                <w:sz w:val="24"/>
                <w:szCs w:val="24"/>
                <w:lang w:eastAsia="lv-LV"/>
              </w:rPr>
              <w:t>20</w:t>
            </w:r>
            <w:r w:rsidRPr="00665C7F">
              <w:rPr>
                <w:rFonts w:ascii="Times New Roman" w:eastAsia="Times New Roman" w:hAnsi="Times New Roman" w:cs="Times New Roman"/>
                <w:sz w:val="24"/>
                <w:szCs w:val="24"/>
                <w:lang w:eastAsia="lv-LV"/>
              </w:rPr>
              <w:t>.gadam</w:t>
            </w:r>
          </w:p>
        </w:tc>
        <w:tc>
          <w:tcPr>
            <w:tcW w:w="1040" w:type="pct"/>
            <w:vAlign w:val="center"/>
            <w:hideMark/>
          </w:tcPr>
          <w:p w14:paraId="6429FF65" w14:textId="5053FB89" w:rsidR="00FA3588" w:rsidRPr="00665C7F" w:rsidRDefault="00FA3588" w:rsidP="00BE72F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izmaiņas, salīdzinot ar vidēja termiņa budžeta ietvaru 202</w:t>
            </w:r>
            <w:r w:rsidR="00BE72F6">
              <w:rPr>
                <w:rFonts w:ascii="Times New Roman" w:eastAsia="Times New Roman" w:hAnsi="Times New Roman" w:cs="Times New Roman"/>
                <w:sz w:val="24"/>
                <w:szCs w:val="24"/>
                <w:lang w:eastAsia="lv-LV"/>
              </w:rPr>
              <w:t>1</w:t>
            </w:r>
            <w:r w:rsidRPr="00665C7F">
              <w:rPr>
                <w:rFonts w:ascii="Times New Roman" w:eastAsia="Times New Roman" w:hAnsi="Times New Roman" w:cs="Times New Roman"/>
                <w:sz w:val="24"/>
                <w:szCs w:val="24"/>
                <w:lang w:eastAsia="lv-LV"/>
              </w:rPr>
              <w:t>.gadam</w:t>
            </w:r>
          </w:p>
        </w:tc>
      </w:tr>
      <w:tr w:rsidR="00652D7E" w:rsidRPr="00665C7F" w14:paraId="514FDFF1" w14:textId="77777777" w:rsidTr="00652D7E">
        <w:trPr>
          <w:tblCellSpacing w:w="15" w:type="dxa"/>
        </w:trPr>
        <w:tc>
          <w:tcPr>
            <w:tcW w:w="275" w:type="pct"/>
            <w:vAlign w:val="center"/>
            <w:hideMark/>
          </w:tcPr>
          <w:p w14:paraId="0825BA13"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w:t>
            </w:r>
          </w:p>
        </w:tc>
        <w:tc>
          <w:tcPr>
            <w:tcW w:w="306" w:type="pct"/>
            <w:vAlign w:val="center"/>
            <w:hideMark/>
          </w:tcPr>
          <w:p w14:paraId="2A6023ED"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w:t>
            </w:r>
          </w:p>
        </w:tc>
        <w:tc>
          <w:tcPr>
            <w:tcW w:w="595" w:type="pct"/>
            <w:vAlign w:val="center"/>
            <w:hideMark/>
          </w:tcPr>
          <w:p w14:paraId="454EF757"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w:t>
            </w:r>
          </w:p>
        </w:tc>
        <w:tc>
          <w:tcPr>
            <w:tcW w:w="525" w:type="pct"/>
            <w:vAlign w:val="center"/>
            <w:hideMark/>
          </w:tcPr>
          <w:p w14:paraId="01739FF2"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4</w:t>
            </w:r>
          </w:p>
        </w:tc>
        <w:tc>
          <w:tcPr>
            <w:tcW w:w="708" w:type="pct"/>
            <w:vAlign w:val="center"/>
            <w:hideMark/>
          </w:tcPr>
          <w:p w14:paraId="4BCBCA80"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w:t>
            </w:r>
          </w:p>
        </w:tc>
        <w:tc>
          <w:tcPr>
            <w:tcW w:w="683" w:type="pct"/>
            <w:vAlign w:val="center"/>
            <w:hideMark/>
          </w:tcPr>
          <w:p w14:paraId="64246432"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6</w:t>
            </w:r>
          </w:p>
        </w:tc>
        <w:tc>
          <w:tcPr>
            <w:tcW w:w="719" w:type="pct"/>
            <w:vAlign w:val="center"/>
            <w:hideMark/>
          </w:tcPr>
          <w:p w14:paraId="6324B358"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7</w:t>
            </w:r>
          </w:p>
        </w:tc>
        <w:tc>
          <w:tcPr>
            <w:tcW w:w="1040" w:type="pct"/>
            <w:vAlign w:val="center"/>
            <w:hideMark/>
          </w:tcPr>
          <w:p w14:paraId="1201275D" w14:textId="77777777" w:rsidR="00FA3588" w:rsidRPr="00665C7F" w:rsidRDefault="00FA3588" w:rsidP="00FA358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8</w:t>
            </w:r>
          </w:p>
        </w:tc>
      </w:tr>
      <w:tr w:rsidR="00652D7E" w:rsidRPr="00665C7F" w14:paraId="23EEA933" w14:textId="77777777" w:rsidTr="00652D7E">
        <w:trPr>
          <w:tblCellSpacing w:w="15" w:type="dxa"/>
        </w:trPr>
        <w:tc>
          <w:tcPr>
            <w:tcW w:w="275" w:type="pct"/>
            <w:hideMark/>
          </w:tcPr>
          <w:p w14:paraId="004F137F"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 Budžeta ieņē</w:t>
            </w:r>
            <w:r w:rsidRPr="00665C7F">
              <w:rPr>
                <w:rFonts w:ascii="Times New Roman" w:eastAsia="Times New Roman" w:hAnsi="Times New Roman" w:cs="Times New Roman"/>
                <w:sz w:val="24"/>
                <w:szCs w:val="24"/>
                <w:lang w:eastAsia="lv-LV"/>
              </w:rPr>
              <w:lastRenderedPageBreak/>
              <w:t>mumi</w:t>
            </w:r>
          </w:p>
        </w:tc>
        <w:tc>
          <w:tcPr>
            <w:tcW w:w="306" w:type="pct"/>
            <w:vAlign w:val="center"/>
            <w:hideMark/>
          </w:tcPr>
          <w:p w14:paraId="74AB94AC"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lastRenderedPageBreak/>
              <w:t> 0</w:t>
            </w:r>
          </w:p>
        </w:tc>
        <w:tc>
          <w:tcPr>
            <w:tcW w:w="595" w:type="pct"/>
            <w:vAlign w:val="center"/>
            <w:hideMark/>
          </w:tcPr>
          <w:p w14:paraId="75738AC3"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25" w:type="pct"/>
            <w:vAlign w:val="center"/>
            <w:hideMark/>
          </w:tcPr>
          <w:p w14:paraId="6C9F41DD"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08" w:type="pct"/>
            <w:vAlign w:val="center"/>
            <w:hideMark/>
          </w:tcPr>
          <w:p w14:paraId="34AEB233" w14:textId="768F4476" w:rsidR="00FA3588" w:rsidRPr="00665C7F" w:rsidRDefault="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r w:rsidR="00666EF3">
              <w:rPr>
                <w:rFonts w:ascii="Times New Roman" w:eastAsia="Times New Roman" w:hAnsi="Times New Roman" w:cs="Times New Roman"/>
                <w:sz w:val="24"/>
                <w:szCs w:val="24"/>
                <w:lang w:eastAsia="lv-LV"/>
              </w:rPr>
              <w:t>0</w:t>
            </w:r>
          </w:p>
        </w:tc>
        <w:tc>
          <w:tcPr>
            <w:tcW w:w="683" w:type="pct"/>
            <w:vAlign w:val="center"/>
            <w:hideMark/>
          </w:tcPr>
          <w:p w14:paraId="2CF70C32"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19" w:type="pct"/>
            <w:vAlign w:val="center"/>
            <w:hideMark/>
          </w:tcPr>
          <w:p w14:paraId="1C9BA073" w14:textId="243BFDA4" w:rsidR="00FA3588" w:rsidRPr="00665C7F" w:rsidRDefault="00666EF3" w:rsidP="00FA35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40" w:type="pct"/>
            <w:vAlign w:val="center"/>
            <w:hideMark/>
          </w:tcPr>
          <w:p w14:paraId="19671DCB" w14:textId="018A694E" w:rsidR="00FA3588" w:rsidRPr="00665C7F" w:rsidRDefault="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r w:rsidR="00666EF3">
              <w:rPr>
                <w:rFonts w:ascii="Times New Roman" w:eastAsia="Times New Roman" w:hAnsi="Times New Roman" w:cs="Times New Roman"/>
                <w:sz w:val="24"/>
                <w:szCs w:val="24"/>
                <w:lang w:eastAsia="lv-LV"/>
              </w:rPr>
              <w:t>0</w:t>
            </w:r>
          </w:p>
        </w:tc>
      </w:tr>
      <w:tr w:rsidR="00652D7E" w:rsidRPr="00665C7F" w14:paraId="24EBCD1E" w14:textId="77777777" w:rsidTr="00652D7E">
        <w:trPr>
          <w:tblCellSpacing w:w="15" w:type="dxa"/>
        </w:trPr>
        <w:tc>
          <w:tcPr>
            <w:tcW w:w="275" w:type="pct"/>
            <w:hideMark/>
          </w:tcPr>
          <w:p w14:paraId="15DDC2B3"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1.1. valsts pamatbudžets, tai skaitā ieņēmumi no maksas pakalpojumiem un citi pašu ieņēmumi</w:t>
            </w:r>
          </w:p>
        </w:tc>
        <w:tc>
          <w:tcPr>
            <w:tcW w:w="306" w:type="pct"/>
            <w:vAlign w:val="center"/>
            <w:hideMark/>
          </w:tcPr>
          <w:p w14:paraId="7783173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95" w:type="pct"/>
            <w:vAlign w:val="center"/>
          </w:tcPr>
          <w:p w14:paraId="7B1E1F59"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25" w:type="pct"/>
            <w:vAlign w:val="center"/>
          </w:tcPr>
          <w:p w14:paraId="4DA5841B"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08" w:type="pct"/>
            <w:vAlign w:val="center"/>
            <w:hideMark/>
          </w:tcPr>
          <w:p w14:paraId="61C9D380" w14:textId="4AF7673F" w:rsidR="00FA3588" w:rsidRPr="00665C7F" w:rsidRDefault="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r w:rsidR="00666EF3">
              <w:rPr>
                <w:rFonts w:ascii="Times New Roman" w:eastAsia="Times New Roman" w:hAnsi="Times New Roman" w:cs="Times New Roman"/>
                <w:sz w:val="24"/>
                <w:szCs w:val="24"/>
                <w:lang w:eastAsia="lv-LV"/>
              </w:rPr>
              <w:t>0</w:t>
            </w:r>
          </w:p>
        </w:tc>
        <w:tc>
          <w:tcPr>
            <w:tcW w:w="683" w:type="pct"/>
            <w:vAlign w:val="center"/>
            <w:hideMark/>
          </w:tcPr>
          <w:p w14:paraId="16C3D196"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19" w:type="pct"/>
            <w:vAlign w:val="center"/>
            <w:hideMark/>
          </w:tcPr>
          <w:p w14:paraId="714C132C" w14:textId="7A7DB7BC" w:rsidR="00FA3588" w:rsidRPr="00665C7F" w:rsidRDefault="00666EF3" w:rsidP="00FA35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40" w:type="pct"/>
            <w:vAlign w:val="center"/>
            <w:hideMark/>
          </w:tcPr>
          <w:p w14:paraId="0E887B38" w14:textId="3B64EC61" w:rsidR="00FA3588" w:rsidRPr="00665C7F" w:rsidRDefault="00666EF3" w:rsidP="00FA35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52D7E" w:rsidRPr="00665C7F" w14:paraId="61F03126" w14:textId="77777777" w:rsidTr="00652D7E">
        <w:trPr>
          <w:tblCellSpacing w:w="15" w:type="dxa"/>
        </w:trPr>
        <w:tc>
          <w:tcPr>
            <w:tcW w:w="275" w:type="pct"/>
            <w:hideMark/>
          </w:tcPr>
          <w:p w14:paraId="0528AD1A"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1.2. valsts speciālais budžets</w:t>
            </w:r>
          </w:p>
        </w:tc>
        <w:tc>
          <w:tcPr>
            <w:tcW w:w="306" w:type="pct"/>
            <w:vAlign w:val="center"/>
            <w:hideMark/>
          </w:tcPr>
          <w:p w14:paraId="0485709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95" w:type="pct"/>
            <w:vAlign w:val="center"/>
            <w:hideMark/>
          </w:tcPr>
          <w:p w14:paraId="0E3C7EBD"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25" w:type="pct"/>
            <w:vAlign w:val="center"/>
            <w:hideMark/>
          </w:tcPr>
          <w:p w14:paraId="41D6C92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08" w:type="pct"/>
            <w:vAlign w:val="center"/>
            <w:hideMark/>
          </w:tcPr>
          <w:p w14:paraId="67EF318F"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Align w:val="center"/>
            <w:hideMark/>
          </w:tcPr>
          <w:p w14:paraId="5E4D1FBA"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19" w:type="pct"/>
            <w:vAlign w:val="center"/>
            <w:hideMark/>
          </w:tcPr>
          <w:p w14:paraId="4FC7082C"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2191658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796A12D0" w14:textId="77777777" w:rsidTr="00652D7E">
        <w:trPr>
          <w:tblCellSpacing w:w="15" w:type="dxa"/>
        </w:trPr>
        <w:tc>
          <w:tcPr>
            <w:tcW w:w="275" w:type="pct"/>
            <w:hideMark/>
          </w:tcPr>
          <w:p w14:paraId="569A617C"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1.3. pašvaldību budžets</w:t>
            </w:r>
          </w:p>
        </w:tc>
        <w:tc>
          <w:tcPr>
            <w:tcW w:w="306" w:type="pct"/>
            <w:vAlign w:val="center"/>
            <w:hideMark/>
          </w:tcPr>
          <w:p w14:paraId="7B9AB459"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95" w:type="pct"/>
            <w:vAlign w:val="center"/>
            <w:hideMark/>
          </w:tcPr>
          <w:p w14:paraId="7905C685"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25" w:type="pct"/>
            <w:vAlign w:val="center"/>
            <w:hideMark/>
          </w:tcPr>
          <w:p w14:paraId="6D9DD6D2"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08" w:type="pct"/>
            <w:vAlign w:val="center"/>
            <w:hideMark/>
          </w:tcPr>
          <w:p w14:paraId="5B4735E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Align w:val="center"/>
            <w:hideMark/>
          </w:tcPr>
          <w:p w14:paraId="55EB528E"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19" w:type="pct"/>
            <w:vAlign w:val="center"/>
            <w:hideMark/>
          </w:tcPr>
          <w:p w14:paraId="3FCAEC8D"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66E1A45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6F7B11F0" w14:textId="77777777" w:rsidTr="00652D7E">
        <w:trPr>
          <w:tblCellSpacing w:w="15" w:type="dxa"/>
        </w:trPr>
        <w:tc>
          <w:tcPr>
            <w:tcW w:w="275" w:type="pct"/>
            <w:hideMark/>
          </w:tcPr>
          <w:p w14:paraId="7560AFC5"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 Budžeta izde</w:t>
            </w:r>
            <w:r w:rsidRPr="00665C7F">
              <w:rPr>
                <w:rFonts w:ascii="Times New Roman" w:eastAsia="Times New Roman" w:hAnsi="Times New Roman" w:cs="Times New Roman"/>
                <w:sz w:val="24"/>
                <w:szCs w:val="24"/>
                <w:lang w:eastAsia="lv-LV"/>
              </w:rPr>
              <w:lastRenderedPageBreak/>
              <w:t>vumi</w:t>
            </w:r>
          </w:p>
        </w:tc>
        <w:tc>
          <w:tcPr>
            <w:tcW w:w="306" w:type="pct"/>
            <w:vAlign w:val="center"/>
            <w:hideMark/>
          </w:tcPr>
          <w:p w14:paraId="1943FC4C"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lastRenderedPageBreak/>
              <w:t> 0</w:t>
            </w:r>
          </w:p>
        </w:tc>
        <w:tc>
          <w:tcPr>
            <w:tcW w:w="595" w:type="pct"/>
            <w:vAlign w:val="center"/>
            <w:hideMark/>
          </w:tcPr>
          <w:p w14:paraId="6032C075"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25" w:type="pct"/>
            <w:vAlign w:val="center"/>
            <w:hideMark/>
          </w:tcPr>
          <w:p w14:paraId="160E21F9"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708" w:type="pct"/>
            <w:vAlign w:val="center"/>
            <w:hideMark/>
          </w:tcPr>
          <w:p w14:paraId="3739FC4A"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Align w:val="center"/>
            <w:hideMark/>
          </w:tcPr>
          <w:p w14:paraId="46906A8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719" w:type="pct"/>
            <w:vAlign w:val="center"/>
            <w:hideMark/>
          </w:tcPr>
          <w:p w14:paraId="2D53164E"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678B8BB2"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7F4BF352" w14:textId="77777777" w:rsidTr="00652D7E">
        <w:trPr>
          <w:tblCellSpacing w:w="15" w:type="dxa"/>
        </w:trPr>
        <w:tc>
          <w:tcPr>
            <w:tcW w:w="275" w:type="pct"/>
            <w:hideMark/>
          </w:tcPr>
          <w:p w14:paraId="5F6C2211"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2.1. valsts pamatbudžets</w:t>
            </w:r>
          </w:p>
        </w:tc>
        <w:tc>
          <w:tcPr>
            <w:tcW w:w="306" w:type="pct"/>
            <w:vAlign w:val="center"/>
            <w:hideMark/>
          </w:tcPr>
          <w:p w14:paraId="5263C602"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95" w:type="pct"/>
            <w:vAlign w:val="center"/>
            <w:hideMark/>
          </w:tcPr>
          <w:p w14:paraId="58B020C7"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25" w:type="pct"/>
            <w:vAlign w:val="center"/>
            <w:hideMark/>
          </w:tcPr>
          <w:p w14:paraId="77E65B4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708" w:type="pct"/>
            <w:vAlign w:val="center"/>
            <w:hideMark/>
          </w:tcPr>
          <w:p w14:paraId="5B482BE6"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Align w:val="center"/>
            <w:hideMark/>
          </w:tcPr>
          <w:p w14:paraId="7AC8FB7B"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719" w:type="pct"/>
            <w:vAlign w:val="center"/>
            <w:hideMark/>
          </w:tcPr>
          <w:p w14:paraId="0B64913A"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2C241525"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4C6AECBA" w14:textId="77777777" w:rsidTr="00652D7E">
        <w:trPr>
          <w:tblCellSpacing w:w="15" w:type="dxa"/>
        </w:trPr>
        <w:tc>
          <w:tcPr>
            <w:tcW w:w="275" w:type="pct"/>
            <w:hideMark/>
          </w:tcPr>
          <w:p w14:paraId="1FC28A8D"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2.2. valsts speciālais budžets</w:t>
            </w:r>
          </w:p>
        </w:tc>
        <w:tc>
          <w:tcPr>
            <w:tcW w:w="306" w:type="pct"/>
            <w:vAlign w:val="center"/>
            <w:hideMark/>
          </w:tcPr>
          <w:p w14:paraId="0549FD25"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95" w:type="pct"/>
            <w:vAlign w:val="center"/>
            <w:hideMark/>
          </w:tcPr>
          <w:p w14:paraId="02813795"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25" w:type="pct"/>
            <w:vAlign w:val="center"/>
            <w:hideMark/>
          </w:tcPr>
          <w:p w14:paraId="323DF90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08" w:type="pct"/>
            <w:vAlign w:val="center"/>
            <w:hideMark/>
          </w:tcPr>
          <w:p w14:paraId="0E86D68A"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Align w:val="center"/>
            <w:hideMark/>
          </w:tcPr>
          <w:p w14:paraId="65E12C92"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19" w:type="pct"/>
            <w:vAlign w:val="center"/>
            <w:hideMark/>
          </w:tcPr>
          <w:p w14:paraId="0A77BEF9"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2EE61972"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6C790A80" w14:textId="77777777" w:rsidTr="00652D7E">
        <w:trPr>
          <w:tblCellSpacing w:w="15" w:type="dxa"/>
        </w:trPr>
        <w:tc>
          <w:tcPr>
            <w:tcW w:w="275" w:type="pct"/>
            <w:hideMark/>
          </w:tcPr>
          <w:p w14:paraId="3D086BE5"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2.3. pašvaldību budžets</w:t>
            </w:r>
          </w:p>
        </w:tc>
        <w:tc>
          <w:tcPr>
            <w:tcW w:w="306" w:type="pct"/>
            <w:vAlign w:val="center"/>
            <w:hideMark/>
          </w:tcPr>
          <w:p w14:paraId="071FFF3F"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95" w:type="pct"/>
            <w:vAlign w:val="center"/>
            <w:hideMark/>
          </w:tcPr>
          <w:p w14:paraId="718FB933"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25" w:type="pct"/>
            <w:vAlign w:val="center"/>
            <w:hideMark/>
          </w:tcPr>
          <w:p w14:paraId="31C0C4E7"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08" w:type="pct"/>
            <w:vAlign w:val="center"/>
            <w:hideMark/>
          </w:tcPr>
          <w:p w14:paraId="4B4E90A2"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Align w:val="center"/>
            <w:hideMark/>
          </w:tcPr>
          <w:p w14:paraId="200F71F7"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19" w:type="pct"/>
            <w:vAlign w:val="center"/>
            <w:hideMark/>
          </w:tcPr>
          <w:p w14:paraId="0B93E5C7"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43E2BCFD"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741C2C80" w14:textId="77777777" w:rsidTr="00652D7E">
        <w:trPr>
          <w:tblCellSpacing w:w="15" w:type="dxa"/>
        </w:trPr>
        <w:tc>
          <w:tcPr>
            <w:tcW w:w="275" w:type="pct"/>
            <w:hideMark/>
          </w:tcPr>
          <w:p w14:paraId="7A94D379"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 Finansiālā ietekme</w:t>
            </w:r>
          </w:p>
        </w:tc>
        <w:tc>
          <w:tcPr>
            <w:tcW w:w="306" w:type="pct"/>
            <w:vAlign w:val="center"/>
            <w:hideMark/>
          </w:tcPr>
          <w:p w14:paraId="3A81B647"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95" w:type="pct"/>
            <w:vAlign w:val="center"/>
            <w:hideMark/>
          </w:tcPr>
          <w:p w14:paraId="1D3A9C3C"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25" w:type="pct"/>
            <w:vAlign w:val="center"/>
            <w:hideMark/>
          </w:tcPr>
          <w:p w14:paraId="6C88667D"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708" w:type="pct"/>
            <w:vAlign w:val="center"/>
            <w:hideMark/>
          </w:tcPr>
          <w:p w14:paraId="47D0A832"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Align w:val="center"/>
            <w:hideMark/>
          </w:tcPr>
          <w:p w14:paraId="2AD15776"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719" w:type="pct"/>
            <w:vAlign w:val="center"/>
            <w:hideMark/>
          </w:tcPr>
          <w:p w14:paraId="3C1526C7"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127D8320"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056ECE9A" w14:textId="77777777" w:rsidTr="00652D7E">
        <w:trPr>
          <w:tblCellSpacing w:w="15" w:type="dxa"/>
        </w:trPr>
        <w:tc>
          <w:tcPr>
            <w:tcW w:w="275" w:type="pct"/>
            <w:hideMark/>
          </w:tcPr>
          <w:p w14:paraId="77E42E72"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3.1. valsts pamatbudžets</w:t>
            </w:r>
          </w:p>
        </w:tc>
        <w:tc>
          <w:tcPr>
            <w:tcW w:w="306" w:type="pct"/>
            <w:vAlign w:val="center"/>
            <w:hideMark/>
          </w:tcPr>
          <w:p w14:paraId="07D6C6AD"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95" w:type="pct"/>
            <w:vAlign w:val="center"/>
            <w:hideMark/>
          </w:tcPr>
          <w:p w14:paraId="559086AE"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25" w:type="pct"/>
            <w:vAlign w:val="center"/>
            <w:hideMark/>
          </w:tcPr>
          <w:p w14:paraId="248BA50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08" w:type="pct"/>
            <w:vAlign w:val="center"/>
            <w:hideMark/>
          </w:tcPr>
          <w:p w14:paraId="1C466232"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w:t>
            </w:r>
          </w:p>
        </w:tc>
        <w:tc>
          <w:tcPr>
            <w:tcW w:w="683" w:type="pct"/>
            <w:vAlign w:val="center"/>
            <w:hideMark/>
          </w:tcPr>
          <w:p w14:paraId="5331E68A"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719" w:type="pct"/>
            <w:vAlign w:val="center"/>
            <w:hideMark/>
          </w:tcPr>
          <w:p w14:paraId="3C6615D3"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33600363"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2FE4C8B5" w14:textId="77777777" w:rsidTr="00652D7E">
        <w:trPr>
          <w:tblCellSpacing w:w="15" w:type="dxa"/>
        </w:trPr>
        <w:tc>
          <w:tcPr>
            <w:tcW w:w="275" w:type="pct"/>
            <w:hideMark/>
          </w:tcPr>
          <w:p w14:paraId="06F89110"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3.2. speciālais budžets</w:t>
            </w:r>
          </w:p>
        </w:tc>
        <w:tc>
          <w:tcPr>
            <w:tcW w:w="306" w:type="pct"/>
            <w:vAlign w:val="center"/>
            <w:hideMark/>
          </w:tcPr>
          <w:p w14:paraId="08E1BF40"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95" w:type="pct"/>
            <w:vAlign w:val="center"/>
            <w:hideMark/>
          </w:tcPr>
          <w:p w14:paraId="5772A2B6"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25" w:type="pct"/>
            <w:vAlign w:val="center"/>
            <w:hideMark/>
          </w:tcPr>
          <w:p w14:paraId="63D8FD40"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08" w:type="pct"/>
            <w:vAlign w:val="center"/>
            <w:hideMark/>
          </w:tcPr>
          <w:p w14:paraId="167877FD"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Align w:val="center"/>
            <w:hideMark/>
          </w:tcPr>
          <w:p w14:paraId="269FE26E"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19" w:type="pct"/>
            <w:vAlign w:val="center"/>
            <w:hideMark/>
          </w:tcPr>
          <w:p w14:paraId="5EBE4E4E"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45CEF6F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2FF9A629" w14:textId="77777777" w:rsidTr="00652D7E">
        <w:trPr>
          <w:tblCellSpacing w:w="15" w:type="dxa"/>
        </w:trPr>
        <w:tc>
          <w:tcPr>
            <w:tcW w:w="275" w:type="pct"/>
            <w:hideMark/>
          </w:tcPr>
          <w:p w14:paraId="76F487F7"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xml:space="preserve">3.3. pašvaldību </w:t>
            </w:r>
            <w:r w:rsidRPr="00665C7F">
              <w:rPr>
                <w:rFonts w:ascii="Times New Roman" w:eastAsia="Times New Roman" w:hAnsi="Times New Roman" w:cs="Times New Roman"/>
                <w:sz w:val="24"/>
                <w:szCs w:val="24"/>
                <w:lang w:eastAsia="lv-LV"/>
              </w:rPr>
              <w:lastRenderedPageBreak/>
              <w:t>budžets</w:t>
            </w:r>
          </w:p>
        </w:tc>
        <w:tc>
          <w:tcPr>
            <w:tcW w:w="306" w:type="pct"/>
            <w:vAlign w:val="center"/>
            <w:hideMark/>
          </w:tcPr>
          <w:p w14:paraId="1E11021F"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lastRenderedPageBreak/>
              <w:t> 0</w:t>
            </w:r>
          </w:p>
        </w:tc>
        <w:tc>
          <w:tcPr>
            <w:tcW w:w="595" w:type="pct"/>
            <w:vAlign w:val="center"/>
            <w:hideMark/>
          </w:tcPr>
          <w:p w14:paraId="0D8B2E9D"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25" w:type="pct"/>
            <w:vAlign w:val="center"/>
            <w:hideMark/>
          </w:tcPr>
          <w:p w14:paraId="2F87FE39"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08" w:type="pct"/>
            <w:vAlign w:val="center"/>
            <w:hideMark/>
          </w:tcPr>
          <w:p w14:paraId="0F30AB99"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Align w:val="center"/>
            <w:hideMark/>
          </w:tcPr>
          <w:p w14:paraId="5933CCB8"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19" w:type="pct"/>
            <w:vAlign w:val="center"/>
            <w:hideMark/>
          </w:tcPr>
          <w:p w14:paraId="33419B4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76EE532C"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7F3D4E1F" w14:textId="77777777" w:rsidTr="00652D7E">
        <w:trPr>
          <w:tblCellSpacing w:w="15" w:type="dxa"/>
        </w:trPr>
        <w:tc>
          <w:tcPr>
            <w:tcW w:w="275" w:type="pct"/>
            <w:hideMark/>
          </w:tcPr>
          <w:p w14:paraId="17685162"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306" w:type="pct"/>
            <w:vAlign w:val="center"/>
            <w:hideMark/>
          </w:tcPr>
          <w:p w14:paraId="1806D1F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95" w:type="pct"/>
            <w:vAlign w:val="center"/>
            <w:hideMark/>
          </w:tcPr>
          <w:p w14:paraId="58B13DB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25" w:type="pct"/>
            <w:vAlign w:val="center"/>
            <w:hideMark/>
          </w:tcPr>
          <w:p w14:paraId="229907D8"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708" w:type="pct"/>
            <w:vAlign w:val="center"/>
            <w:hideMark/>
          </w:tcPr>
          <w:p w14:paraId="63CEC10F"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Align w:val="center"/>
            <w:hideMark/>
          </w:tcPr>
          <w:p w14:paraId="0DD14341"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719" w:type="pct"/>
            <w:vAlign w:val="center"/>
            <w:hideMark/>
          </w:tcPr>
          <w:p w14:paraId="300DD02F"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xml:space="preserve"> 0 </w:t>
            </w:r>
          </w:p>
        </w:tc>
        <w:tc>
          <w:tcPr>
            <w:tcW w:w="1040" w:type="pct"/>
            <w:vAlign w:val="center"/>
            <w:hideMark/>
          </w:tcPr>
          <w:p w14:paraId="1CF85E10"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0D5FF1F8" w14:textId="77777777" w:rsidTr="00652D7E">
        <w:trPr>
          <w:tblCellSpacing w:w="15" w:type="dxa"/>
        </w:trPr>
        <w:tc>
          <w:tcPr>
            <w:tcW w:w="275" w:type="pct"/>
            <w:hideMark/>
          </w:tcPr>
          <w:p w14:paraId="6DEAF1F2"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 Precizēta finansiālā ietekme</w:t>
            </w:r>
          </w:p>
        </w:tc>
        <w:tc>
          <w:tcPr>
            <w:tcW w:w="306" w:type="pct"/>
            <w:vMerge w:val="restart"/>
            <w:vAlign w:val="center"/>
            <w:hideMark/>
          </w:tcPr>
          <w:p w14:paraId="6950C653"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595" w:type="pct"/>
            <w:vAlign w:val="center"/>
            <w:hideMark/>
          </w:tcPr>
          <w:p w14:paraId="5AD5504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25" w:type="pct"/>
            <w:vMerge w:val="restart"/>
            <w:vAlign w:val="center"/>
            <w:hideMark/>
          </w:tcPr>
          <w:p w14:paraId="4475330B"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708" w:type="pct"/>
            <w:vAlign w:val="center"/>
            <w:hideMark/>
          </w:tcPr>
          <w:p w14:paraId="5F340DE0"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Merge w:val="restart"/>
            <w:vAlign w:val="center"/>
            <w:hideMark/>
          </w:tcPr>
          <w:p w14:paraId="6B054541"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719" w:type="pct"/>
            <w:vAlign w:val="center"/>
            <w:hideMark/>
          </w:tcPr>
          <w:p w14:paraId="443ECA9F"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37F000EA"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104A688A" w14:textId="77777777" w:rsidTr="00652D7E">
        <w:trPr>
          <w:tblCellSpacing w:w="15" w:type="dxa"/>
        </w:trPr>
        <w:tc>
          <w:tcPr>
            <w:tcW w:w="275" w:type="pct"/>
            <w:hideMark/>
          </w:tcPr>
          <w:p w14:paraId="34D26C38"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5.1. valsts pamat</w:t>
            </w:r>
            <w:r w:rsidRPr="00665C7F">
              <w:rPr>
                <w:rFonts w:ascii="Times New Roman" w:eastAsia="Times New Roman" w:hAnsi="Times New Roman" w:cs="Times New Roman"/>
                <w:sz w:val="24"/>
                <w:szCs w:val="24"/>
                <w:lang w:eastAsia="lv-LV"/>
              </w:rPr>
              <w:lastRenderedPageBreak/>
              <w:t>budžets</w:t>
            </w:r>
          </w:p>
        </w:tc>
        <w:tc>
          <w:tcPr>
            <w:tcW w:w="306" w:type="pct"/>
            <w:vMerge/>
            <w:vAlign w:val="center"/>
            <w:hideMark/>
          </w:tcPr>
          <w:p w14:paraId="078E71DF"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c>
          <w:tcPr>
            <w:tcW w:w="595" w:type="pct"/>
            <w:vAlign w:val="center"/>
            <w:hideMark/>
          </w:tcPr>
          <w:p w14:paraId="7EB31D19"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25" w:type="pct"/>
            <w:vMerge/>
            <w:vAlign w:val="center"/>
            <w:hideMark/>
          </w:tcPr>
          <w:p w14:paraId="387044EA"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c>
          <w:tcPr>
            <w:tcW w:w="708" w:type="pct"/>
            <w:vAlign w:val="center"/>
            <w:hideMark/>
          </w:tcPr>
          <w:p w14:paraId="46109029"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Merge/>
            <w:vAlign w:val="center"/>
            <w:hideMark/>
          </w:tcPr>
          <w:p w14:paraId="047755DB"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c>
          <w:tcPr>
            <w:tcW w:w="719" w:type="pct"/>
            <w:vAlign w:val="center"/>
            <w:hideMark/>
          </w:tcPr>
          <w:p w14:paraId="712567AE"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43077619"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54020200" w14:textId="77777777" w:rsidTr="00652D7E">
        <w:trPr>
          <w:tblCellSpacing w:w="15" w:type="dxa"/>
        </w:trPr>
        <w:tc>
          <w:tcPr>
            <w:tcW w:w="275" w:type="pct"/>
            <w:hideMark/>
          </w:tcPr>
          <w:p w14:paraId="1199263D"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5.2. speciālais budžets</w:t>
            </w:r>
          </w:p>
        </w:tc>
        <w:tc>
          <w:tcPr>
            <w:tcW w:w="306" w:type="pct"/>
            <w:vMerge/>
            <w:vAlign w:val="center"/>
            <w:hideMark/>
          </w:tcPr>
          <w:p w14:paraId="3B5CBD2A"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c>
          <w:tcPr>
            <w:tcW w:w="595" w:type="pct"/>
            <w:vAlign w:val="center"/>
            <w:hideMark/>
          </w:tcPr>
          <w:p w14:paraId="6FD1C747"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25" w:type="pct"/>
            <w:vMerge/>
            <w:vAlign w:val="center"/>
            <w:hideMark/>
          </w:tcPr>
          <w:p w14:paraId="5DD6D285"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c>
          <w:tcPr>
            <w:tcW w:w="708" w:type="pct"/>
            <w:vAlign w:val="center"/>
            <w:hideMark/>
          </w:tcPr>
          <w:p w14:paraId="15572F88"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Merge/>
            <w:vAlign w:val="center"/>
            <w:hideMark/>
          </w:tcPr>
          <w:p w14:paraId="4CC72782"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c>
          <w:tcPr>
            <w:tcW w:w="719" w:type="pct"/>
            <w:vAlign w:val="center"/>
            <w:hideMark/>
          </w:tcPr>
          <w:p w14:paraId="0F437B6C"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2AE2A5DE"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652D7E" w:rsidRPr="00665C7F" w14:paraId="2A86EB13" w14:textId="77777777" w:rsidTr="00652D7E">
        <w:trPr>
          <w:tblCellSpacing w:w="15" w:type="dxa"/>
        </w:trPr>
        <w:tc>
          <w:tcPr>
            <w:tcW w:w="275" w:type="pct"/>
            <w:hideMark/>
          </w:tcPr>
          <w:p w14:paraId="6C13975C"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5.3. pašvaldību budžets</w:t>
            </w:r>
          </w:p>
        </w:tc>
        <w:tc>
          <w:tcPr>
            <w:tcW w:w="306" w:type="pct"/>
            <w:vMerge/>
            <w:vAlign w:val="center"/>
            <w:hideMark/>
          </w:tcPr>
          <w:p w14:paraId="46A28AB3"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c>
          <w:tcPr>
            <w:tcW w:w="595" w:type="pct"/>
            <w:vAlign w:val="center"/>
            <w:hideMark/>
          </w:tcPr>
          <w:p w14:paraId="64AFCC9E"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25" w:type="pct"/>
            <w:vMerge/>
            <w:vAlign w:val="center"/>
            <w:hideMark/>
          </w:tcPr>
          <w:p w14:paraId="4749B033"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c>
          <w:tcPr>
            <w:tcW w:w="708" w:type="pct"/>
            <w:vAlign w:val="center"/>
            <w:hideMark/>
          </w:tcPr>
          <w:p w14:paraId="70F97675"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683" w:type="pct"/>
            <w:vMerge/>
            <w:vAlign w:val="center"/>
            <w:hideMark/>
          </w:tcPr>
          <w:p w14:paraId="2D424FDB"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c>
          <w:tcPr>
            <w:tcW w:w="719" w:type="pct"/>
            <w:vAlign w:val="center"/>
            <w:hideMark/>
          </w:tcPr>
          <w:p w14:paraId="63FE4705"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1040" w:type="pct"/>
            <w:vAlign w:val="center"/>
            <w:hideMark/>
          </w:tcPr>
          <w:p w14:paraId="2CF7691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FA3588" w:rsidRPr="00665C7F" w14:paraId="270E47E2" w14:textId="77777777" w:rsidTr="00652D7E">
        <w:trPr>
          <w:trHeight w:val="4088"/>
          <w:tblCellSpacing w:w="15" w:type="dxa"/>
        </w:trPr>
        <w:tc>
          <w:tcPr>
            <w:tcW w:w="275" w:type="pct"/>
            <w:hideMark/>
          </w:tcPr>
          <w:p w14:paraId="14F50455"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6. Detalizēts ieņēmumu un izdevumu aprēķins (ja nepieciešams, detalizētu ieņēmumu un izdevumu aprēķinu var pievie</w:t>
            </w:r>
            <w:r w:rsidRPr="00665C7F">
              <w:rPr>
                <w:rFonts w:ascii="Times New Roman" w:eastAsia="Times New Roman" w:hAnsi="Times New Roman" w:cs="Times New Roman"/>
                <w:sz w:val="24"/>
                <w:szCs w:val="24"/>
                <w:lang w:eastAsia="lv-LV"/>
              </w:rPr>
              <w:lastRenderedPageBreak/>
              <w:t>not anotācijas pielikumā)</w:t>
            </w:r>
          </w:p>
        </w:tc>
        <w:tc>
          <w:tcPr>
            <w:tcW w:w="4675" w:type="pct"/>
            <w:gridSpan w:val="7"/>
            <w:vMerge w:val="restart"/>
            <w:hideMark/>
          </w:tcPr>
          <w:p w14:paraId="513F465F" w14:textId="1809AA7A" w:rsidR="009842E4" w:rsidRPr="00665C7F" w:rsidRDefault="009842E4" w:rsidP="004917EC">
            <w:pPr>
              <w:spacing w:after="0" w:line="240" w:lineRule="auto"/>
              <w:jc w:val="both"/>
              <w:rPr>
                <w:rFonts w:ascii="Times New Roman" w:eastAsia="Times New Roman" w:hAnsi="Times New Roman" w:cs="Times New Roman"/>
                <w:color w:val="FF0000"/>
                <w:sz w:val="24"/>
                <w:szCs w:val="24"/>
                <w:lang w:eastAsia="lv-LV"/>
              </w:rPr>
            </w:pPr>
            <w:r w:rsidRPr="00350C2F">
              <w:rPr>
                <w:rFonts w:ascii="Times New Roman" w:eastAsia="Times New Roman" w:hAnsi="Times New Roman" w:cs="Times New Roman"/>
                <w:sz w:val="24"/>
                <w:szCs w:val="24"/>
                <w:lang w:eastAsia="lv-LV"/>
              </w:rPr>
              <w:lastRenderedPageBreak/>
              <w:t xml:space="preserve">Ieņēmumi valsts budžetā tiks nodrošināti, īstenojot kompleksu risinājumu: </w:t>
            </w:r>
            <w:r w:rsidRPr="006012A3">
              <w:rPr>
                <w:rFonts w:ascii="Times New Roman" w:eastAsia="Times New Roman" w:hAnsi="Times New Roman" w:cs="Times New Roman"/>
                <w:sz w:val="24"/>
                <w:szCs w:val="24"/>
                <w:lang w:eastAsia="lv-LV"/>
              </w:rPr>
              <w:t>g</w:t>
            </w:r>
            <w:r w:rsidRPr="00665C7F">
              <w:rPr>
                <w:rFonts w:ascii="Times New Roman" w:hAnsi="Times New Roman" w:cs="Times New Roman"/>
                <w:sz w:val="24"/>
                <w:szCs w:val="24"/>
              </w:rPr>
              <w:t xml:space="preserve">rozījumi Elektronisko sakaru likumā tiek virzīti vienlaicīgi ar grozījumiem Azartspēļu un izložu likumā, grozījumiem Latvijas </w:t>
            </w:r>
            <w:r w:rsidR="00D75A9A">
              <w:rPr>
                <w:rFonts w:ascii="Times New Roman" w:hAnsi="Times New Roman" w:cs="Times New Roman"/>
                <w:sz w:val="24"/>
                <w:szCs w:val="24"/>
              </w:rPr>
              <w:t>A</w:t>
            </w:r>
            <w:r w:rsidRPr="00665C7F">
              <w:rPr>
                <w:rFonts w:ascii="Times New Roman" w:hAnsi="Times New Roman" w:cs="Times New Roman"/>
                <w:sz w:val="24"/>
                <w:szCs w:val="24"/>
              </w:rPr>
              <w:t xml:space="preserve">dministratīvo pārkāpumu kodeksā, </w:t>
            </w:r>
            <w:r w:rsidR="00D75A9A">
              <w:rPr>
                <w:rFonts w:ascii="Times New Roman" w:hAnsi="Times New Roman" w:cs="Times New Roman"/>
                <w:sz w:val="24"/>
                <w:szCs w:val="24"/>
              </w:rPr>
              <w:t>g</w:t>
            </w:r>
            <w:r w:rsidR="00D75A9A" w:rsidRPr="00D75A9A">
              <w:rPr>
                <w:rFonts w:ascii="Times New Roman" w:hAnsi="Times New Roman" w:cs="Times New Roman"/>
                <w:sz w:val="24"/>
                <w:szCs w:val="24"/>
              </w:rPr>
              <w:t>rozījumi</w:t>
            </w:r>
            <w:r w:rsidR="00D75A9A">
              <w:rPr>
                <w:rFonts w:ascii="Times New Roman" w:hAnsi="Times New Roman" w:cs="Times New Roman"/>
                <w:sz w:val="24"/>
                <w:szCs w:val="24"/>
              </w:rPr>
              <w:t>em</w:t>
            </w:r>
            <w:r w:rsidR="00D75A9A" w:rsidRPr="00D75A9A">
              <w:rPr>
                <w:rFonts w:ascii="Times New Roman" w:hAnsi="Times New Roman" w:cs="Times New Roman"/>
                <w:sz w:val="24"/>
                <w:szCs w:val="24"/>
              </w:rPr>
              <w:t xml:space="preserve"> Maksājumu pakalpojumu un elektroniskās naudas likumā</w:t>
            </w:r>
            <w:r w:rsidRPr="00665C7F">
              <w:rPr>
                <w:rFonts w:ascii="Times New Roman" w:hAnsi="Times New Roman" w:cs="Times New Roman"/>
                <w:sz w:val="24"/>
                <w:szCs w:val="24"/>
              </w:rPr>
              <w:t>.</w:t>
            </w:r>
          </w:p>
          <w:p w14:paraId="0FDEB6A1"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6E10F003"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1AD4A5C4"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6AE821A6"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665FC827"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038E5AE9"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07424EDA"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15D7A923"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0D805013"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0E8CB0C3"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4665E3BC"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4DDE744B"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6A2048A5"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738FD541" w14:textId="77777777" w:rsidR="00FA3588" w:rsidRPr="00665C7F" w:rsidRDefault="00FA3588" w:rsidP="004917EC">
            <w:pPr>
              <w:spacing w:after="0" w:line="240" w:lineRule="auto"/>
              <w:jc w:val="both"/>
              <w:rPr>
                <w:rFonts w:ascii="Times New Roman" w:eastAsia="Times New Roman" w:hAnsi="Times New Roman" w:cs="Times New Roman"/>
                <w:sz w:val="24"/>
                <w:szCs w:val="24"/>
                <w:lang w:eastAsia="lv-LV"/>
              </w:rPr>
            </w:pPr>
          </w:p>
          <w:p w14:paraId="6FF50D5B" w14:textId="77777777" w:rsidR="00FA3588" w:rsidRPr="00665C7F" w:rsidRDefault="00FA3588" w:rsidP="004917EC">
            <w:pPr>
              <w:tabs>
                <w:tab w:val="left" w:pos="2540"/>
              </w:tabs>
              <w:spacing w:after="0" w:line="240" w:lineRule="auto"/>
              <w:jc w:val="both"/>
              <w:rPr>
                <w:rFonts w:ascii="Times New Roman" w:eastAsia="Times New Roman" w:hAnsi="Times New Roman" w:cs="Times New Roman"/>
                <w:sz w:val="24"/>
                <w:szCs w:val="24"/>
                <w:lang w:eastAsia="lv-LV"/>
              </w:rPr>
            </w:pPr>
          </w:p>
        </w:tc>
      </w:tr>
      <w:tr w:rsidR="00FA3588" w:rsidRPr="00665C7F" w14:paraId="6DF393A5" w14:textId="77777777" w:rsidTr="00652D7E">
        <w:trPr>
          <w:trHeight w:val="700"/>
          <w:tblCellSpacing w:w="15" w:type="dxa"/>
        </w:trPr>
        <w:tc>
          <w:tcPr>
            <w:tcW w:w="275" w:type="pct"/>
            <w:hideMark/>
          </w:tcPr>
          <w:p w14:paraId="69E86B43"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6.1. detalizēts ieņēmumu aprēķins</w:t>
            </w:r>
          </w:p>
        </w:tc>
        <w:tc>
          <w:tcPr>
            <w:tcW w:w="4675" w:type="pct"/>
            <w:gridSpan w:val="7"/>
            <w:vMerge/>
            <w:vAlign w:val="center"/>
            <w:hideMark/>
          </w:tcPr>
          <w:p w14:paraId="1467D218"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r>
      <w:tr w:rsidR="00FA3588" w:rsidRPr="00665C7F" w14:paraId="7C5993AE" w14:textId="77777777" w:rsidTr="00652D7E">
        <w:trPr>
          <w:tblCellSpacing w:w="15" w:type="dxa"/>
        </w:trPr>
        <w:tc>
          <w:tcPr>
            <w:tcW w:w="275" w:type="pct"/>
            <w:hideMark/>
          </w:tcPr>
          <w:p w14:paraId="3474123C"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6.2. detalizēts izdevumu aprēķins</w:t>
            </w:r>
          </w:p>
        </w:tc>
        <w:tc>
          <w:tcPr>
            <w:tcW w:w="4675" w:type="pct"/>
            <w:gridSpan w:val="7"/>
            <w:vMerge/>
            <w:vAlign w:val="center"/>
            <w:hideMark/>
          </w:tcPr>
          <w:p w14:paraId="63EC53D9"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p>
        </w:tc>
      </w:tr>
      <w:tr w:rsidR="00FA3588" w:rsidRPr="00665C7F" w14:paraId="59E0ADBF" w14:textId="77777777" w:rsidTr="00652D7E">
        <w:trPr>
          <w:tblCellSpacing w:w="15" w:type="dxa"/>
        </w:trPr>
        <w:tc>
          <w:tcPr>
            <w:tcW w:w="275" w:type="pct"/>
            <w:hideMark/>
          </w:tcPr>
          <w:p w14:paraId="138370FA"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7. Amata vietu skaita izmaiņas</w:t>
            </w:r>
          </w:p>
        </w:tc>
        <w:tc>
          <w:tcPr>
            <w:tcW w:w="4675" w:type="pct"/>
            <w:gridSpan w:val="7"/>
            <w:hideMark/>
          </w:tcPr>
          <w:p w14:paraId="3491D68D"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iCs/>
                <w:sz w:val="24"/>
                <w:szCs w:val="24"/>
                <w:lang w:eastAsia="lv-LV"/>
              </w:rPr>
              <w:t>Projekts šo jomu neskar.</w:t>
            </w:r>
          </w:p>
        </w:tc>
      </w:tr>
      <w:tr w:rsidR="00FA3588" w:rsidRPr="00665C7F" w14:paraId="7E520A4B" w14:textId="77777777" w:rsidTr="00652D7E">
        <w:trPr>
          <w:tblCellSpacing w:w="15" w:type="dxa"/>
        </w:trPr>
        <w:tc>
          <w:tcPr>
            <w:tcW w:w="275" w:type="pct"/>
            <w:hideMark/>
          </w:tcPr>
          <w:p w14:paraId="1B766004" w14:textId="77777777" w:rsidR="00FA3588" w:rsidRPr="00665C7F" w:rsidRDefault="00FA3588" w:rsidP="00FA3588">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8. Cita informācija</w:t>
            </w:r>
          </w:p>
        </w:tc>
        <w:tc>
          <w:tcPr>
            <w:tcW w:w="4675" w:type="pct"/>
            <w:gridSpan w:val="7"/>
            <w:hideMark/>
          </w:tcPr>
          <w:p w14:paraId="274E34F3" w14:textId="27E861E7" w:rsidR="00FA3588" w:rsidRPr="00665C7F" w:rsidRDefault="00A91E3E" w:rsidP="00A91E3E">
            <w:pPr>
              <w:spacing w:after="0" w:line="240" w:lineRule="auto"/>
              <w:jc w:val="both"/>
              <w:rPr>
                <w:rFonts w:ascii="Times New Roman" w:eastAsia="Times New Roman" w:hAnsi="Times New Roman" w:cs="Times New Roman"/>
                <w:sz w:val="24"/>
                <w:szCs w:val="24"/>
                <w:lang w:eastAsia="lv-LV"/>
              </w:rPr>
            </w:pPr>
            <w:r w:rsidRPr="00A91E3E">
              <w:rPr>
                <w:rFonts w:ascii="Times New Roman" w:eastAsia="Times New Roman" w:hAnsi="Times New Roman" w:cs="Times New Roman"/>
                <w:sz w:val="24"/>
                <w:szCs w:val="24"/>
                <w:lang w:eastAsia="lv-LV"/>
              </w:rPr>
              <w:t>Likumprojektā iekļautā normatīvā regulējuma ietekme uz budžetu atspoguļota likumprojektā “Grozījumi Maksājumu pakalpojumu un elektroniskās naudas likumā” sākotnējās ietekmes novērtējuma ziņojuma (anotācijas) III sadaļā.</w:t>
            </w:r>
          </w:p>
        </w:tc>
      </w:tr>
    </w:tbl>
    <w:p w14:paraId="2C61CC0B" w14:textId="4BA7888D" w:rsidR="003A099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9" w:type="pct"/>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2"/>
        <w:gridCol w:w="2971"/>
        <w:gridCol w:w="5684"/>
      </w:tblGrid>
      <w:tr w:rsidR="001A2AA6" w:rsidRPr="00320952" w14:paraId="4F26C3D4" w14:textId="77777777" w:rsidTr="00160219">
        <w:trPr>
          <w:tblCellSpacing w:w="15" w:type="dxa"/>
        </w:trPr>
        <w:tc>
          <w:tcPr>
            <w:tcW w:w="4967" w:type="pct"/>
            <w:gridSpan w:val="3"/>
            <w:vAlign w:val="center"/>
            <w:hideMark/>
          </w:tcPr>
          <w:p w14:paraId="004E1921" w14:textId="77777777" w:rsidR="001A2AA6" w:rsidRPr="00320952" w:rsidRDefault="001A2AA6" w:rsidP="00160219">
            <w:pPr>
              <w:spacing w:after="0" w:line="240" w:lineRule="auto"/>
              <w:jc w:val="both"/>
              <w:rPr>
                <w:rFonts w:ascii="Times New Roman" w:eastAsia="Times New Roman" w:hAnsi="Times New Roman" w:cs="Times New Roman"/>
                <w:b/>
                <w:bCs/>
                <w:sz w:val="24"/>
                <w:szCs w:val="24"/>
                <w:lang w:eastAsia="lv-LV"/>
              </w:rPr>
            </w:pPr>
            <w:r w:rsidRPr="00320952">
              <w:rPr>
                <w:rFonts w:ascii="Times New Roman" w:eastAsia="Times New Roman" w:hAnsi="Times New Roman" w:cs="Times New Roman"/>
                <w:b/>
                <w:bCs/>
                <w:sz w:val="24"/>
                <w:szCs w:val="24"/>
                <w:lang w:eastAsia="lv-LV"/>
              </w:rPr>
              <w:t>IV. Tiesību akta projekta ietekme uz spēkā esošo tiesību normu sistēmu</w:t>
            </w:r>
          </w:p>
        </w:tc>
      </w:tr>
      <w:tr w:rsidR="001A2AA6" w:rsidRPr="00BC78AF" w14:paraId="77B0FEFB" w14:textId="77777777" w:rsidTr="00160219">
        <w:trPr>
          <w:tblCellSpacing w:w="15" w:type="dxa"/>
        </w:trPr>
        <w:tc>
          <w:tcPr>
            <w:tcW w:w="209" w:type="pct"/>
            <w:hideMark/>
          </w:tcPr>
          <w:p w14:paraId="1D3388BE" w14:textId="77777777" w:rsidR="001A2AA6" w:rsidRPr="00320952" w:rsidRDefault="001A2AA6" w:rsidP="00160219">
            <w:pPr>
              <w:spacing w:after="0" w:line="240" w:lineRule="auto"/>
              <w:jc w:val="both"/>
              <w:rPr>
                <w:rFonts w:ascii="Times New Roman" w:eastAsia="Times New Roman" w:hAnsi="Times New Roman" w:cs="Times New Roman"/>
                <w:sz w:val="24"/>
                <w:szCs w:val="24"/>
                <w:lang w:eastAsia="lv-LV"/>
              </w:rPr>
            </w:pPr>
            <w:r w:rsidRPr="00320952">
              <w:rPr>
                <w:rFonts w:ascii="Times New Roman" w:eastAsia="Times New Roman" w:hAnsi="Times New Roman" w:cs="Times New Roman"/>
                <w:sz w:val="24"/>
                <w:szCs w:val="24"/>
                <w:lang w:eastAsia="lv-LV"/>
              </w:rPr>
              <w:t>1.</w:t>
            </w:r>
          </w:p>
        </w:tc>
        <w:tc>
          <w:tcPr>
            <w:tcW w:w="1631" w:type="pct"/>
            <w:hideMark/>
          </w:tcPr>
          <w:p w14:paraId="5D119206" w14:textId="77777777" w:rsidR="001A2AA6" w:rsidRPr="00C3138D" w:rsidRDefault="001A2AA6" w:rsidP="00160219">
            <w:pPr>
              <w:spacing w:before="75" w:after="75" w:line="240" w:lineRule="auto"/>
              <w:jc w:val="both"/>
              <w:rPr>
                <w:rFonts w:ascii="Times New Roman" w:eastAsia="Times New Roman" w:hAnsi="Times New Roman" w:cs="Times New Roman"/>
                <w:sz w:val="24"/>
                <w:szCs w:val="24"/>
                <w:lang w:eastAsia="lv-LV"/>
              </w:rPr>
            </w:pPr>
            <w:r w:rsidRPr="00C3138D">
              <w:rPr>
                <w:rFonts w:ascii="Times New Roman" w:eastAsia="Times New Roman" w:hAnsi="Times New Roman" w:cs="Times New Roman"/>
                <w:sz w:val="24"/>
                <w:szCs w:val="24"/>
                <w:lang w:eastAsia="lv-LV"/>
              </w:rPr>
              <w:t>Saistītie tiesību aktu projekti</w:t>
            </w:r>
          </w:p>
        </w:tc>
        <w:tc>
          <w:tcPr>
            <w:tcW w:w="3093" w:type="pct"/>
            <w:hideMark/>
          </w:tcPr>
          <w:p w14:paraId="061BE872" w14:textId="7339B177" w:rsidR="001A2AA6" w:rsidRPr="00C3138D" w:rsidRDefault="001A2AA6" w:rsidP="002624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Pr="00B35594">
              <w:rPr>
                <w:rFonts w:ascii="Times New Roman" w:eastAsia="Times New Roman" w:hAnsi="Times New Roman" w:cs="Times New Roman"/>
                <w:sz w:val="24"/>
                <w:szCs w:val="24"/>
                <w:lang w:eastAsia="lv-LV"/>
              </w:rPr>
              <w:t>rozījumie</w:t>
            </w:r>
            <w:r w:rsidR="0026243B">
              <w:rPr>
                <w:rFonts w:ascii="Times New Roman" w:eastAsia="Times New Roman" w:hAnsi="Times New Roman" w:cs="Times New Roman"/>
                <w:sz w:val="24"/>
                <w:szCs w:val="24"/>
                <w:lang w:eastAsia="lv-LV"/>
              </w:rPr>
              <w:t>m Azartspēļu un izložu likumā, G</w:t>
            </w:r>
            <w:r w:rsidRPr="00B35594">
              <w:rPr>
                <w:rFonts w:ascii="Times New Roman" w:eastAsia="Times New Roman" w:hAnsi="Times New Roman" w:cs="Times New Roman"/>
                <w:sz w:val="24"/>
                <w:szCs w:val="24"/>
                <w:lang w:eastAsia="lv-LV"/>
              </w:rPr>
              <w:t>rozījumi Latvijas Administratīvo pārkāpumu kodeksā</w:t>
            </w:r>
            <w:r>
              <w:rPr>
                <w:rFonts w:ascii="Times New Roman" w:eastAsia="Times New Roman" w:hAnsi="Times New Roman" w:cs="Times New Roman"/>
                <w:sz w:val="24"/>
                <w:szCs w:val="24"/>
                <w:lang w:eastAsia="lv-LV"/>
              </w:rPr>
              <w:t xml:space="preserve"> un</w:t>
            </w:r>
            <w:r w:rsidR="0026243B">
              <w:rPr>
                <w:rFonts w:ascii="Times New Roman" w:eastAsia="Times New Roman" w:hAnsi="Times New Roman" w:cs="Times New Roman"/>
                <w:sz w:val="24"/>
                <w:szCs w:val="24"/>
                <w:lang w:eastAsia="lv-LV"/>
              </w:rPr>
              <w:t xml:space="preserve"> Grozījumi</w:t>
            </w:r>
            <w:r w:rsidRPr="00B35594">
              <w:rPr>
                <w:rFonts w:ascii="Times New Roman" w:eastAsia="Times New Roman" w:hAnsi="Times New Roman" w:cs="Times New Roman"/>
                <w:sz w:val="24"/>
                <w:szCs w:val="24"/>
                <w:lang w:eastAsia="lv-LV"/>
              </w:rPr>
              <w:t xml:space="preserve"> Maksājumu pakalpojumu un elektroniskās naudas likumā.</w:t>
            </w:r>
          </w:p>
        </w:tc>
      </w:tr>
      <w:tr w:rsidR="001A2AA6" w:rsidRPr="00BC78AF" w14:paraId="424C2D8A" w14:textId="77777777" w:rsidTr="00160219">
        <w:trPr>
          <w:tblCellSpacing w:w="15" w:type="dxa"/>
        </w:trPr>
        <w:tc>
          <w:tcPr>
            <w:tcW w:w="209" w:type="pct"/>
            <w:hideMark/>
          </w:tcPr>
          <w:p w14:paraId="5C32CB68" w14:textId="77777777" w:rsidR="001A2AA6" w:rsidRPr="00320952" w:rsidRDefault="001A2AA6" w:rsidP="00160219">
            <w:pPr>
              <w:spacing w:after="0" w:line="240" w:lineRule="auto"/>
              <w:jc w:val="both"/>
              <w:rPr>
                <w:rFonts w:ascii="Times New Roman" w:eastAsia="Times New Roman" w:hAnsi="Times New Roman" w:cs="Times New Roman"/>
                <w:sz w:val="24"/>
                <w:szCs w:val="24"/>
                <w:lang w:eastAsia="lv-LV"/>
              </w:rPr>
            </w:pPr>
            <w:r w:rsidRPr="00320952">
              <w:rPr>
                <w:rFonts w:ascii="Times New Roman" w:eastAsia="Times New Roman" w:hAnsi="Times New Roman" w:cs="Times New Roman"/>
                <w:sz w:val="24"/>
                <w:szCs w:val="24"/>
                <w:lang w:eastAsia="lv-LV"/>
              </w:rPr>
              <w:t>2.</w:t>
            </w:r>
          </w:p>
        </w:tc>
        <w:tc>
          <w:tcPr>
            <w:tcW w:w="1631" w:type="pct"/>
            <w:hideMark/>
          </w:tcPr>
          <w:p w14:paraId="23B24819" w14:textId="77777777" w:rsidR="001A2AA6" w:rsidRPr="00320952" w:rsidRDefault="001A2AA6" w:rsidP="00160219">
            <w:pPr>
              <w:spacing w:before="75" w:after="75" w:line="240" w:lineRule="auto"/>
              <w:jc w:val="both"/>
              <w:rPr>
                <w:rFonts w:ascii="Times New Roman" w:eastAsia="Times New Roman" w:hAnsi="Times New Roman" w:cs="Times New Roman"/>
                <w:sz w:val="24"/>
                <w:szCs w:val="24"/>
                <w:lang w:eastAsia="lv-LV"/>
              </w:rPr>
            </w:pPr>
            <w:r w:rsidRPr="00320952">
              <w:rPr>
                <w:rFonts w:ascii="Times New Roman" w:eastAsia="Times New Roman" w:hAnsi="Times New Roman" w:cs="Times New Roman"/>
                <w:sz w:val="24"/>
                <w:szCs w:val="24"/>
                <w:lang w:eastAsia="lv-LV"/>
              </w:rPr>
              <w:t>Atbildīgā institūcija</w:t>
            </w:r>
          </w:p>
        </w:tc>
        <w:tc>
          <w:tcPr>
            <w:tcW w:w="3093" w:type="pct"/>
            <w:hideMark/>
          </w:tcPr>
          <w:p w14:paraId="0984AF77" w14:textId="77777777" w:rsidR="001A2AA6" w:rsidRPr="00BC78AF" w:rsidRDefault="001A2AA6" w:rsidP="00160219">
            <w:pPr>
              <w:spacing w:before="75" w:after="75"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Finanšu ministrija.</w:t>
            </w:r>
          </w:p>
        </w:tc>
      </w:tr>
      <w:tr w:rsidR="001A2AA6" w:rsidRPr="00BC78AF" w14:paraId="5247DA29" w14:textId="77777777" w:rsidTr="00160219">
        <w:trPr>
          <w:tblCellSpacing w:w="15" w:type="dxa"/>
        </w:trPr>
        <w:tc>
          <w:tcPr>
            <w:tcW w:w="209" w:type="pct"/>
            <w:hideMark/>
          </w:tcPr>
          <w:p w14:paraId="7F7BE1A5" w14:textId="77777777" w:rsidR="001A2AA6" w:rsidRPr="00320952" w:rsidRDefault="001A2AA6" w:rsidP="00160219">
            <w:pPr>
              <w:spacing w:after="0" w:line="240" w:lineRule="auto"/>
              <w:jc w:val="both"/>
              <w:rPr>
                <w:rFonts w:ascii="Times New Roman" w:eastAsia="Times New Roman" w:hAnsi="Times New Roman" w:cs="Times New Roman"/>
                <w:sz w:val="24"/>
                <w:szCs w:val="24"/>
                <w:lang w:eastAsia="lv-LV"/>
              </w:rPr>
            </w:pPr>
            <w:r w:rsidRPr="00320952">
              <w:rPr>
                <w:rFonts w:ascii="Times New Roman" w:eastAsia="Times New Roman" w:hAnsi="Times New Roman" w:cs="Times New Roman"/>
                <w:sz w:val="24"/>
                <w:szCs w:val="24"/>
                <w:lang w:eastAsia="lv-LV"/>
              </w:rPr>
              <w:t>3.</w:t>
            </w:r>
          </w:p>
        </w:tc>
        <w:tc>
          <w:tcPr>
            <w:tcW w:w="1631" w:type="pct"/>
            <w:hideMark/>
          </w:tcPr>
          <w:p w14:paraId="4E8C60F7" w14:textId="77777777" w:rsidR="001A2AA6" w:rsidRPr="00320952" w:rsidRDefault="001A2AA6" w:rsidP="00160219">
            <w:pPr>
              <w:spacing w:before="75" w:after="75" w:line="240" w:lineRule="auto"/>
              <w:jc w:val="both"/>
              <w:rPr>
                <w:rFonts w:ascii="Times New Roman" w:eastAsia="Times New Roman" w:hAnsi="Times New Roman" w:cs="Times New Roman"/>
                <w:sz w:val="24"/>
                <w:szCs w:val="24"/>
                <w:lang w:eastAsia="lv-LV"/>
              </w:rPr>
            </w:pPr>
            <w:r w:rsidRPr="00320952">
              <w:rPr>
                <w:rFonts w:ascii="Times New Roman" w:eastAsia="Times New Roman" w:hAnsi="Times New Roman" w:cs="Times New Roman"/>
                <w:sz w:val="24"/>
                <w:szCs w:val="24"/>
                <w:lang w:eastAsia="lv-LV"/>
              </w:rPr>
              <w:t>Cita informācija</w:t>
            </w:r>
          </w:p>
        </w:tc>
        <w:tc>
          <w:tcPr>
            <w:tcW w:w="3093" w:type="pct"/>
            <w:hideMark/>
          </w:tcPr>
          <w:p w14:paraId="7A70BE77" w14:textId="27B1A55C" w:rsidR="001A2AA6" w:rsidRPr="00BC78AF" w:rsidRDefault="001A2AA6" w:rsidP="00160219">
            <w:pPr>
              <w:tabs>
                <w:tab w:val="center" w:pos="4680"/>
                <w:tab w:val="right" w:pos="9360"/>
              </w:tabs>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Nav.</w:t>
            </w:r>
          </w:p>
        </w:tc>
      </w:tr>
    </w:tbl>
    <w:p w14:paraId="06B6FD46" w14:textId="77777777" w:rsidR="001A2AA6" w:rsidRPr="00665C7F" w:rsidRDefault="001A2AA6"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A0997" w:rsidRPr="00665C7F" w14:paraId="618CC10D" w14:textId="77777777" w:rsidTr="00553F2A">
        <w:tc>
          <w:tcPr>
            <w:tcW w:w="0" w:type="auto"/>
            <w:tcBorders>
              <w:top w:val="outset" w:sz="6" w:space="0" w:color="414142"/>
              <w:left w:val="outset" w:sz="6" w:space="0" w:color="414142"/>
              <w:bottom w:val="outset" w:sz="6" w:space="0" w:color="414142"/>
              <w:right w:val="outset" w:sz="6" w:space="0" w:color="414142"/>
            </w:tcBorders>
            <w:vAlign w:val="center"/>
            <w:hideMark/>
          </w:tcPr>
          <w:p w14:paraId="1C8CD324" w14:textId="77777777" w:rsidR="003A0997" w:rsidRPr="00665C7F" w:rsidRDefault="003A0997" w:rsidP="00553F2A">
            <w:pPr>
              <w:shd w:val="clear" w:color="auto" w:fill="FFFFFF"/>
              <w:spacing w:after="0" w:line="240" w:lineRule="auto"/>
              <w:ind w:firstLine="301"/>
              <w:rPr>
                <w:rFonts w:ascii="Times New Roman" w:eastAsia="Times New Roman" w:hAnsi="Times New Roman" w:cs="Times New Roman"/>
                <w:b/>
                <w:bCs/>
                <w:sz w:val="24"/>
                <w:szCs w:val="24"/>
                <w:lang w:eastAsia="lv-LV"/>
              </w:rPr>
            </w:pPr>
            <w:r w:rsidRPr="00665C7F">
              <w:rPr>
                <w:rFonts w:ascii="Times New Roman" w:eastAsia="Times New Roman" w:hAnsi="Times New Roman" w:cs="Times New Roman"/>
                <w:b/>
                <w:bCs/>
                <w:sz w:val="24"/>
                <w:szCs w:val="24"/>
                <w:lang w:eastAsia="lv-LV"/>
              </w:rPr>
              <w:t>V. Tiesību akta projekta atbilstība Latvijas Republikas starptautiskajām saistībām</w:t>
            </w:r>
          </w:p>
        </w:tc>
      </w:tr>
      <w:tr w:rsidR="003A0997" w:rsidRPr="00665C7F" w14:paraId="25350F2E" w14:textId="77777777" w:rsidTr="00553F2A">
        <w:tc>
          <w:tcPr>
            <w:tcW w:w="0" w:type="auto"/>
            <w:tcBorders>
              <w:top w:val="outset" w:sz="6" w:space="0" w:color="414142"/>
              <w:left w:val="outset" w:sz="6" w:space="0" w:color="414142"/>
              <w:bottom w:val="outset" w:sz="6" w:space="0" w:color="414142"/>
              <w:right w:val="outset" w:sz="6" w:space="0" w:color="414142"/>
            </w:tcBorders>
            <w:vAlign w:val="center"/>
          </w:tcPr>
          <w:p w14:paraId="6FD6F9AB" w14:textId="16F529EC" w:rsidR="003A0997" w:rsidRPr="00665C7F" w:rsidRDefault="004917EC" w:rsidP="00553F2A">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w:t>
            </w:r>
            <w:r w:rsidR="003A0997" w:rsidRPr="00665C7F">
              <w:rPr>
                <w:rFonts w:ascii="Times New Roman" w:eastAsia="Times New Roman" w:hAnsi="Times New Roman" w:cs="Times New Roman"/>
                <w:b/>
                <w:bCs/>
                <w:sz w:val="24"/>
                <w:szCs w:val="24"/>
                <w:lang w:eastAsia="lv-LV"/>
              </w:rPr>
              <w:t>rojekts šo jomu neskar</w:t>
            </w:r>
          </w:p>
        </w:tc>
      </w:tr>
    </w:tbl>
    <w:p w14:paraId="7F942D80" w14:textId="77777777" w:rsidR="003A0997" w:rsidRPr="00665C7F"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7"/>
        <w:gridCol w:w="2835"/>
        <w:gridCol w:w="5812"/>
      </w:tblGrid>
      <w:tr w:rsidR="003A0997" w:rsidRPr="00665C7F" w14:paraId="601D377C" w14:textId="77777777" w:rsidTr="00553F2A">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A286E0" w14:textId="77777777" w:rsidR="003A0997" w:rsidRPr="00665C7F" w:rsidRDefault="003A0997" w:rsidP="00553F2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65C7F">
              <w:rPr>
                <w:rFonts w:ascii="Times New Roman" w:eastAsia="Times New Roman" w:hAnsi="Times New Roman" w:cs="Times New Roman"/>
                <w:b/>
                <w:bCs/>
                <w:sz w:val="24"/>
                <w:szCs w:val="24"/>
                <w:lang w:eastAsia="lv-LV"/>
              </w:rPr>
              <w:t>VI. Sabiedrības līdzdalība un komunikācijas aktivitātes</w:t>
            </w:r>
          </w:p>
        </w:tc>
      </w:tr>
      <w:tr w:rsidR="003A0997" w:rsidRPr="00665C7F" w14:paraId="30BB36E1" w14:textId="77777777" w:rsidTr="00553F2A">
        <w:trPr>
          <w:trHeight w:val="432"/>
          <w:jc w:val="center"/>
        </w:trPr>
        <w:tc>
          <w:tcPr>
            <w:tcW w:w="230" w:type="pct"/>
            <w:tcBorders>
              <w:top w:val="outset" w:sz="6" w:space="0" w:color="414142"/>
              <w:left w:val="outset" w:sz="6" w:space="0" w:color="414142"/>
              <w:bottom w:val="outset" w:sz="6" w:space="0" w:color="414142"/>
              <w:right w:val="outset" w:sz="6" w:space="0" w:color="414142"/>
            </w:tcBorders>
            <w:hideMark/>
          </w:tcPr>
          <w:p w14:paraId="5BE6707A"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w:t>
            </w:r>
          </w:p>
        </w:tc>
        <w:tc>
          <w:tcPr>
            <w:tcW w:w="1564" w:type="pct"/>
            <w:tcBorders>
              <w:top w:val="outset" w:sz="6" w:space="0" w:color="414142"/>
              <w:left w:val="outset" w:sz="6" w:space="0" w:color="414142"/>
              <w:bottom w:val="outset" w:sz="6" w:space="0" w:color="414142"/>
              <w:right w:val="outset" w:sz="6" w:space="0" w:color="414142"/>
            </w:tcBorders>
            <w:hideMark/>
          </w:tcPr>
          <w:p w14:paraId="3275EFC2"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717BAD7B" w14:textId="3D40955B" w:rsidR="003A0997" w:rsidRPr="00665C7F" w:rsidRDefault="00294147" w:rsidP="00652D7E">
            <w:pPr>
              <w:spacing w:after="0" w:line="240" w:lineRule="auto"/>
              <w:jc w:val="both"/>
              <w:rPr>
                <w:rFonts w:ascii="Times New Roman" w:eastAsia="Times New Roman" w:hAnsi="Times New Roman" w:cs="Times New Roman"/>
                <w:sz w:val="24"/>
                <w:szCs w:val="24"/>
                <w:lang w:eastAsia="lv-LV"/>
              </w:rPr>
            </w:pPr>
            <w:r w:rsidRPr="00294147">
              <w:rPr>
                <w:rFonts w:ascii="Times New Roman" w:eastAsia="Times New Roman" w:hAnsi="Times New Roman" w:cs="Times New Roman"/>
                <w:sz w:val="24"/>
                <w:szCs w:val="24"/>
                <w:lang w:eastAsia="lv-LV"/>
              </w:rPr>
              <w:t>Likumprojekts izstrādāts, pamatojoties uz Ministru kabineta 201</w:t>
            </w:r>
            <w:r w:rsidR="00652D7E">
              <w:rPr>
                <w:rFonts w:ascii="Times New Roman" w:eastAsia="Times New Roman" w:hAnsi="Times New Roman" w:cs="Times New Roman"/>
                <w:sz w:val="24"/>
                <w:szCs w:val="24"/>
                <w:lang w:eastAsia="lv-LV"/>
              </w:rPr>
              <w:t>9</w:t>
            </w:r>
            <w:r w:rsidRPr="00294147">
              <w:rPr>
                <w:rFonts w:ascii="Times New Roman" w:eastAsia="Times New Roman" w:hAnsi="Times New Roman" w:cs="Times New Roman"/>
                <w:sz w:val="24"/>
                <w:szCs w:val="24"/>
                <w:lang w:eastAsia="lv-LV"/>
              </w:rPr>
              <w:t>.gada 5.februāra sēdes protokollēmuma (prot. Nr.</w:t>
            </w:r>
            <w:r w:rsidR="00652D7E">
              <w:rPr>
                <w:rFonts w:ascii="Times New Roman" w:eastAsia="Times New Roman" w:hAnsi="Times New Roman" w:cs="Times New Roman"/>
                <w:sz w:val="24"/>
                <w:szCs w:val="24"/>
                <w:lang w:eastAsia="lv-LV"/>
              </w:rPr>
              <w:t>5</w:t>
            </w:r>
            <w:r w:rsidRPr="00294147">
              <w:rPr>
                <w:rFonts w:ascii="Times New Roman" w:eastAsia="Times New Roman" w:hAnsi="Times New Roman" w:cs="Times New Roman"/>
                <w:sz w:val="24"/>
                <w:szCs w:val="24"/>
                <w:lang w:eastAsia="lv-LV"/>
              </w:rPr>
              <w:t xml:space="preserve"> </w:t>
            </w:r>
            <w:r w:rsidR="00652D7E">
              <w:rPr>
                <w:rFonts w:ascii="Times New Roman" w:eastAsia="Times New Roman" w:hAnsi="Times New Roman" w:cs="Times New Roman"/>
                <w:sz w:val="24"/>
                <w:szCs w:val="24"/>
                <w:lang w:eastAsia="lv-LV"/>
              </w:rPr>
              <w:t>30</w:t>
            </w:r>
            <w:r w:rsidRPr="00294147">
              <w:rPr>
                <w:rFonts w:ascii="Times New Roman" w:eastAsia="Times New Roman" w:hAnsi="Times New Roman" w:cs="Times New Roman"/>
                <w:sz w:val="24"/>
                <w:szCs w:val="24"/>
                <w:lang w:eastAsia="lv-LV"/>
              </w:rPr>
              <w:t xml:space="preserve">.§) “Informatīvais ziņojums “Par makroekonomisko rādītāju, ieņēmumu un vispārējās valdības budžeta bilances prognozēm 2019.-2021.gadā”” </w:t>
            </w:r>
            <w:r w:rsidR="0086171F">
              <w:rPr>
                <w:rFonts w:ascii="Times New Roman" w:eastAsia="Times New Roman" w:hAnsi="Times New Roman" w:cs="Times New Roman"/>
                <w:sz w:val="24"/>
                <w:szCs w:val="24"/>
                <w:lang w:eastAsia="lv-LV"/>
              </w:rPr>
              <w:t xml:space="preserve">8.2., </w:t>
            </w:r>
            <w:r w:rsidR="00422A16">
              <w:rPr>
                <w:rFonts w:ascii="Times New Roman" w:eastAsia="Times New Roman" w:hAnsi="Times New Roman" w:cs="Times New Roman"/>
                <w:sz w:val="24"/>
                <w:szCs w:val="24"/>
                <w:lang w:eastAsia="lv-LV"/>
              </w:rPr>
              <w:t xml:space="preserve">8.5. un </w:t>
            </w:r>
            <w:r w:rsidR="00652D7E">
              <w:rPr>
                <w:rFonts w:ascii="Times New Roman" w:eastAsia="Times New Roman" w:hAnsi="Times New Roman" w:cs="Times New Roman"/>
                <w:sz w:val="24"/>
                <w:szCs w:val="24"/>
                <w:lang w:eastAsia="lv-LV"/>
              </w:rPr>
              <w:t>8</w:t>
            </w:r>
            <w:r w:rsidRPr="00294147">
              <w:rPr>
                <w:rFonts w:ascii="Times New Roman" w:eastAsia="Times New Roman" w:hAnsi="Times New Roman" w:cs="Times New Roman"/>
                <w:sz w:val="24"/>
                <w:szCs w:val="24"/>
                <w:lang w:eastAsia="lv-LV"/>
              </w:rPr>
              <w:t>.6.apakšpunktā doto uzdevumu.</w:t>
            </w:r>
          </w:p>
        </w:tc>
      </w:tr>
      <w:tr w:rsidR="003A0997" w:rsidRPr="00665C7F" w14:paraId="18675B43" w14:textId="77777777" w:rsidTr="00553F2A">
        <w:trPr>
          <w:trHeight w:val="264"/>
          <w:jc w:val="center"/>
        </w:trPr>
        <w:tc>
          <w:tcPr>
            <w:tcW w:w="230" w:type="pct"/>
            <w:tcBorders>
              <w:top w:val="outset" w:sz="6" w:space="0" w:color="414142"/>
              <w:left w:val="outset" w:sz="6" w:space="0" w:color="414142"/>
              <w:bottom w:val="outset" w:sz="6" w:space="0" w:color="414142"/>
              <w:right w:val="outset" w:sz="6" w:space="0" w:color="414142"/>
            </w:tcBorders>
            <w:hideMark/>
          </w:tcPr>
          <w:p w14:paraId="19351E7F"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w:t>
            </w:r>
          </w:p>
        </w:tc>
        <w:tc>
          <w:tcPr>
            <w:tcW w:w="1564" w:type="pct"/>
            <w:tcBorders>
              <w:top w:val="outset" w:sz="6" w:space="0" w:color="414142"/>
              <w:left w:val="outset" w:sz="6" w:space="0" w:color="414142"/>
              <w:bottom w:val="outset" w:sz="6" w:space="0" w:color="414142"/>
              <w:right w:val="outset" w:sz="6" w:space="0" w:color="414142"/>
            </w:tcBorders>
            <w:hideMark/>
          </w:tcPr>
          <w:p w14:paraId="25DFAFED"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116CDD02" w14:textId="77777777" w:rsidR="003A0997" w:rsidRPr="00665C7F" w:rsidRDefault="003A0997" w:rsidP="00C06C87">
            <w:pPr>
              <w:spacing w:after="0" w:line="240" w:lineRule="auto"/>
              <w:jc w:val="both"/>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xml:space="preserve">Sabiedrības pārstāvji </w:t>
            </w:r>
            <w:r w:rsidR="00C06C87" w:rsidRPr="00665C7F">
              <w:rPr>
                <w:rFonts w:ascii="Times New Roman" w:eastAsia="Times New Roman" w:hAnsi="Times New Roman" w:cs="Times New Roman"/>
                <w:sz w:val="24"/>
                <w:szCs w:val="24"/>
                <w:lang w:eastAsia="lv-LV"/>
              </w:rPr>
              <w:t>par likumprojektu varēs sniegt savu viedokli</w:t>
            </w:r>
            <w:r w:rsidRPr="00665C7F">
              <w:rPr>
                <w:rFonts w:ascii="Times New Roman" w:eastAsia="Times New Roman" w:hAnsi="Times New Roman" w:cs="Times New Roman"/>
                <w:sz w:val="24"/>
                <w:szCs w:val="24"/>
                <w:lang w:eastAsia="lv-LV"/>
              </w:rPr>
              <w:t xml:space="preserve"> </w:t>
            </w:r>
            <w:r w:rsidR="00C06C87" w:rsidRPr="00665C7F">
              <w:rPr>
                <w:rFonts w:ascii="Times New Roman" w:hAnsi="Times New Roman" w:cs="Times New Roman"/>
                <w:bCs/>
                <w:color w:val="000000" w:themeColor="text1"/>
                <w:sz w:val="24"/>
                <w:szCs w:val="24"/>
              </w:rPr>
              <w:t>gadskārtējā valsts budžeta likumprojekta izskatīšanas procesā.</w:t>
            </w:r>
          </w:p>
        </w:tc>
      </w:tr>
      <w:tr w:rsidR="003A0997" w:rsidRPr="00665C7F" w14:paraId="7905BE13" w14:textId="77777777" w:rsidTr="00553F2A">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5024E265"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w:t>
            </w:r>
          </w:p>
        </w:tc>
        <w:tc>
          <w:tcPr>
            <w:tcW w:w="1564" w:type="pct"/>
            <w:tcBorders>
              <w:top w:val="outset" w:sz="6" w:space="0" w:color="414142"/>
              <w:left w:val="outset" w:sz="6" w:space="0" w:color="414142"/>
              <w:bottom w:val="outset" w:sz="6" w:space="0" w:color="414142"/>
              <w:right w:val="outset" w:sz="6" w:space="0" w:color="414142"/>
            </w:tcBorders>
            <w:hideMark/>
          </w:tcPr>
          <w:p w14:paraId="320E1A5A"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6215CA7B" w14:textId="0EB72987" w:rsidR="003A0997" w:rsidRPr="00665C7F" w:rsidRDefault="004917EC" w:rsidP="00D436AD">
            <w:pPr>
              <w:spacing w:after="0" w:line="240" w:lineRule="auto"/>
              <w:jc w:val="both"/>
              <w:rPr>
                <w:rFonts w:ascii="Times New Roman" w:eastAsia="Times New Roman" w:hAnsi="Times New Roman" w:cs="Times New Roman"/>
                <w:sz w:val="24"/>
                <w:szCs w:val="24"/>
                <w:lang w:eastAsia="lv-LV"/>
              </w:rPr>
            </w:pPr>
            <w:r w:rsidRPr="004917EC">
              <w:rPr>
                <w:rFonts w:ascii="Times New Roman" w:hAnsi="Times New Roman" w:cs="Times New Roman"/>
                <w:sz w:val="24"/>
                <w:szCs w:val="24"/>
              </w:rPr>
              <w:t>Sabiedrības pārstāvji varēs līdzdarboties likumprojekta izskatīšanas procesā, rakstveidā sniedzot viedokļus par likumprojektu.</w:t>
            </w:r>
          </w:p>
        </w:tc>
      </w:tr>
      <w:tr w:rsidR="003A0997" w:rsidRPr="00665C7F" w14:paraId="09954D2B" w14:textId="77777777" w:rsidTr="00553F2A">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6C59E698"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4.</w:t>
            </w:r>
          </w:p>
        </w:tc>
        <w:tc>
          <w:tcPr>
            <w:tcW w:w="1564" w:type="pct"/>
            <w:tcBorders>
              <w:top w:val="outset" w:sz="6" w:space="0" w:color="414142"/>
              <w:left w:val="outset" w:sz="6" w:space="0" w:color="414142"/>
              <w:bottom w:val="outset" w:sz="6" w:space="0" w:color="414142"/>
              <w:right w:val="outset" w:sz="6" w:space="0" w:color="414142"/>
            </w:tcBorders>
            <w:hideMark/>
          </w:tcPr>
          <w:p w14:paraId="4FF0539F"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51C4E516" w14:textId="137957D3" w:rsidR="003A0997" w:rsidRPr="00665C7F" w:rsidRDefault="00C06C87">
            <w:pPr>
              <w:spacing w:after="0" w:line="240" w:lineRule="auto"/>
              <w:rPr>
                <w:rFonts w:ascii="Times New Roman" w:eastAsia="Times New Roman" w:hAnsi="Times New Roman" w:cs="Times New Roman"/>
                <w:sz w:val="24"/>
                <w:szCs w:val="24"/>
                <w:lang w:eastAsia="lv-LV"/>
              </w:rPr>
            </w:pPr>
            <w:r w:rsidRPr="00665C7F">
              <w:rPr>
                <w:rFonts w:ascii="Times New Roman" w:hAnsi="Times New Roman" w:cs="Times New Roman"/>
                <w:sz w:val="24"/>
                <w:szCs w:val="24"/>
              </w:rPr>
              <w:t>Nav</w:t>
            </w:r>
          </w:p>
        </w:tc>
      </w:tr>
    </w:tbl>
    <w:p w14:paraId="3FBE2BBC" w14:textId="77777777" w:rsidR="003A0997" w:rsidRPr="00665C7F"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3A0997" w:rsidRPr="00665C7F" w14:paraId="1608EB9B" w14:textId="77777777" w:rsidTr="00553F2A">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A09F37" w14:textId="77777777" w:rsidR="003A0997" w:rsidRPr="00665C7F" w:rsidRDefault="003A0997" w:rsidP="00553F2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65C7F">
              <w:rPr>
                <w:rFonts w:ascii="Times New Roman" w:eastAsia="Times New Roman" w:hAnsi="Times New Roman" w:cs="Times New Roman"/>
                <w:b/>
                <w:bCs/>
                <w:sz w:val="24"/>
                <w:szCs w:val="24"/>
                <w:lang w:eastAsia="lv-LV"/>
              </w:rPr>
              <w:t>VII. Tiesību akta projekta izpildes nodrošināšana un tās ietekme uz institūcijām</w:t>
            </w:r>
          </w:p>
        </w:tc>
      </w:tr>
      <w:tr w:rsidR="003A0997" w:rsidRPr="00665C7F" w14:paraId="0DA4F79D" w14:textId="77777777" w:rsidTr="00553F2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F435F10"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06A2ED24"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70E7F4BD" w14:textId="332E04B9" w:rsidR="00C06C87" w:rsidRPr="00665C7F" w:rsidRDefault="003A0997" w:rsidP="00CE06BE">
            <w:pPr>
              <w:spacing w:after="0" w:line="240" w:lineRule="auto"/>
              <w:jc w:val="both"/>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Izložu un az</w:t>
            </w:r>
            <w:r w:rsidR="00C06C87" w:rsidRPr="00665C7F">
              <w:rPr>
                <w:rFonts w:ascii="Times New Roman" w:eastAsia="Times New Roman" w:hAnsi="Times New Roman" w:cs="Times New Roman"/>
                <w:sz w:val="24"/>
                <w:szCs w:val="24"/>
                <w:lang w:eastAsia="lv-LV"/>
              </w:rPr>
              <w:t>a</w:t>
            </w:r>
            <w:r w:rsidR="00CE06BE">
              <w:rPr>
                <w:rFonts w:ascii="Times New Roman" w:eastAsia="Times New Roman" w:hAnsi="Times New Roman" w:cs="Times New Roman"/>
                <w:sz w:val="24"/>
                <w:szCs w:val="24"/>
                <w:lang w:eastAsia="lv-LV"/>
              </w:rPr>
              <w:t>rtspēļu uzraudzības inspekcija.</w:t>
            </w:r>
          </w:p>
        </w:tc>
      </w:tr>
      <w:tr w:rsidR="003A0997" w:rsidRPr="00665C7F" w14:paraId="42BC4957" w14:textId="77777777" w:rsidTr="00553F2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CBC0CBE"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25418C2C"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Projekta izpildes ietekme uz pārvaldes funkcijām un institucionālo struktūru.</w:t>
            </w:r>
          </w:p>
          <w:p w14:paraId="5EAB41D5" w14:textId="77777777" w:rsidR="003A0997" w:rsidRPr="00665C7F" w:rsidRDefault="003A0997" w:rsidP="00553F2A">
            <w:pPr>
              <w:spacing w:before="100" w:beforeAutospacing="1" w:after="100" w:afterAutospacing="1" w:line="293" w:lineRule="atLeast"/>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7D89785A" w14:textId="7A58E487" w:rsidR="003A0997" w:rsidRPr="00665C7F" w:rsidRDefault="003A0997" w:rsidP="00553F2A">
            <w:pPr>
              <w:spacing w:after="0" w:line="240" w:lineRule="auto"/>
              <w:jc w:val="both"/>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Jaunu institūciju izveide, esošo institūciju likvidācija vai reorganizācija netiek paredzēta.</w:t>
            </w:r>
            <w:r w:rsidR="00BB128A" w:rsidRPr="00665C7F">
              <w:rPr>
                <w:rFonts w:ascii="Times New Roman" w:eastAsia="Times New Roman" w:hAnsi="Times New Roman" w:cs="Times New Roman"/>
                <w:sz w:val="24"/>
                <w:szCs w:val="24"/>
                <w:lang w:eastAsia="lv-LV"/>
              </w:rPr>
              <w:t xml:space="preserve"> Funkcijas un uzdevumi netiek grozīti.</w:t>
            </w:r>
            <w:r w:rsidR="004917EC">
              <w:rPr>
                <w:rFonts w:ascii="Times New Roman" w:eastAsia="Times New Roman" w:hAnsi="Times New Roman" w:cs="Times New Roman"/>
                <w:sz w:val="24"/>
                <w:szCs w:val="24"/>
                <w:lang w:eastAsia="lv-LV"/>
              </w:rPr>
              <w:t xml:space="preserve"> Likum</w:t>
            </w:r>
            <w:r w:rsidRPr="00665C7F">
              <w:rPr>
                <w:rFonts w:ascii="Times New Roman" w:eastAsia="Times New Roman" w:hAnsi="Times New Roman" w:cs="Times New Roman"/>
                <w:sz w:val="24"/>
                <w:szCs w:val="24"/>
                <w:lang w:eastAsia="lv-LV"/>
              </w:rPr>
              <w:t>projekts tiks realizēts esošo resursu ietvaros</w:t>
            </w:r>
            <w:r w:rsidR="00CE06BE">
              <w:rPr>
                <w:rFonts w:ascii="Times New Roman" w:eastAsia="Times New Roman" w:hAnsi="Times New Roman" w:cs="Times New Roman"/>
                <w:sz w:val="24"/>
                <w:szCs w:val="24"/>
                <w:lang w:eastAsia="lv-LV"/>
              </w:rPr>
              <w:t>.</w:t>
            </w:r>
          </w:p>
          <w:p w14:paraId="1DDB01CB" w14:textId="77777777" w:rsidR="003A0997" w:rsidRPr="00665C7F" w:rsidRDefault="003A0997" w:rsidP="00553F2A">
            <w:pPr>
              <w:rPr>
                <w:rFonts w:ascii="Times New Roman" w:eastAsia="Times New Roman" w:hAnsi="Times New Roman" w:cs="Times New Roman"/>
                <w:sz w:val="24"/>
                <w:szCs w:val="24"/>
                <w:lang w:eastAsia="lv-LV"/>
              </w:rPr>
            </w:pPr>
          </w:p>
          <w:p w14:paraId="75E08E34" w14:textId="77777777" w:rsidR="003A0997" w:rsidRPr="00665C7F" w:rsidRDefault="003A0997" w:rsidP="00553F2A">
            <w:pPr>
              <w:tabs>
                <w:tab w:val="left" w:pos="1751"/>
              </w:tabs>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ab/>
            </w:r>
          </w:p>
        </w:tc>
      </w:tr>
      <w:tr w:rsidR="003A0997" w:rsidRPr="00665C7F" w14:paraId="279E2BBA" w14:textId="77777777" w:rsidTr="00553F2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C567089"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2B28211F"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4F599E3CF705408F8E8641C32CAEDA40"/>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14:paraId="3D8B6493" w14:textId="77777777" w:rsidR="003A0997" w:rsidRPr="00665C7F" w:rsidRDefault="003A0997" w:rsidP="00553F2A">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Nav</w:t>
                </w:r>
              </w:p>
            </w:tc>
          </w:sdtContent>
        </w:sdt>
      </w:tr>
    </w:tbl>
    <w:p w14:paraId="7A004D9E" w14:textId="77777777" w:rsidR="003A0997" w:rsidRPr="00665C7F" w:rsidRDefault="003A0997" w:rsidP="003A0997">
      <w:pPr>
        <w:spacing w:after="0" w:line="240" w:lineRule="auto"/>
        <w:rPr>
          <w:rFonts w:ascii="Times New Roman" w:hAnsi="Times New Roman" w:cs="Times New Roman"/>
          <w:sz w:val="25"/>
          <w:szCs w:val="25"/>
        </w:rPr>
      </w:pPr>
    </w:p>
    <w:p w14:paraId="78AE9870" w14:textId="77777777" w:rsidR="003A0997" w:rsidRPr="00665C7F" w:rsidRDefault="003A0997" w:rsidP="003A0997">
      <w:pPr>
        <w:spacing w:after="0" w:line="240" w:lineRule="auto"/>
        <w:rPr>
          <w:rFonts w:ascii="Times New Roman" w:hAnsi="Times New Roman" w:cs="Times New Roman"/>
          <w:sz w:val="25"/>
          <w:szCs w:val="25"/>
        </w:rPr>
      </w:pPr>
    </w:p>
    <w:p w14:paraId="5D1AEC35" w14:textId="283C7F62" w:rsidR="003A0997" w:rsidRPr="00665C7F" w:rsidRDefault="00916094" w:rsidP="003A0997">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Finanšu ministrs</w:t>
      </w:r>
      <w:r w:rsidR="003A0997" w:rsidRPr="00665C7F">
        <w:rPr>
          <w:rFonts w:ascii="Times New Roman" w:hAnsi="Times New Roman" w:cs="Times New Roman"/>
          <w:sz w:val="24"/>
          <w:szCs w:val="24"/>
        </w:rPr>
        <w:t xml:space="preserve">                             </w:t>
      </w:r>
      <w:r w:rsidR="00B651D7" w:rsidRPr="00665C7F">
        <w:rPr>
          <w:rFonts w:ascii="Times New Roman" w:hAnsi="Times New Roman" w:cs="Times New Roman"/>
          <w:sz w:val="24"/>
          <w:szCs w:val="24"/>
        </w:rPr>
        <w:t xml:space="preserve">                         </w:t>
      </w:r>
      <w:r w:rsidR="003A0997" w:rsidRPr="00665C7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A0997" w:rsidRPr="00665C7F">
        <w:rPr>
          <w:rFonts w:ascii="Times New Roman" w:hAnsi="Times New Roman" w:cs="Times New Roman"/>
          <w:sz w:val="24"/>
          <w:szCs w:val="24"/>
        </w:rPr>
        <w:t xml:space="preserve">   </w:t>
      </w:r>
      <w:r>
        <w:rPr>
          <w:rFonts w:ascii="Times New Roman" w:hAnsi="Times New Roman" w:cs="Times New Roman"/>
          <w:sz w:val="24"/>
          <w:szCs w:val="24"/>
        </w:rPr>
        <w:t>J.Reirs</w:t>
      </w:r>
    </w:p>
    <w:p w14:paraId="6CE4A044" w14:textId="54030A4E" w:rsidR="003A0997" w:rsidRDefault="003A0997" w:rsidP="003A0997">
      <w:pPr>
        <w:tabs>
          <w:tab w:val="left" w:pos="6237"/>
        </w:tabs>
        <w:spacing w:after="0" w:line="240" w:lineRule="auto"/>
        <w:rPr>
          <w:rFonts w:ascii="Times New Roman" w:hAnsi="Times New Roman" w:cs="Times New Roman"/>
          <w:sz w:val="24"/>
          <w:szCs w:val="24"/>
        </w:rPr>
      </w:pPr>
    </w:p>
    <w:p w14:paraId="4A360F9C" w14:textId="12199FBF" w:rsidR="004917EC" w:rsidRPr="004917EC" w:rsidRDefault="00422A16" w:rsidP="004917EC">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Š</w:t>
      </w:r>
      <w:r w:rsidR="004917EC" w:rsidRPr="004917EC">
        <w:rPr>
          <w:rFonts w:ascii="Times New Roman" w:hAnsi="Times New Roman" w:cs="Times New Roman"/>
          <w:sz w:val="20"/>
          <w:szCs w:val="20"/>
        </w:rPr>
        <w:t>idlovskis, 67083894</w:t>
      </w:r>
    </w:p>
    <w:p w14:paraId="2F960507" w14:textId="425D40DA" w:rsidR="004917EC" w:rsidRDefault="00E95AC4" w:rsidP="004917EC">
      <w:pPr>
        <w:tabs>
          <w:tab w:val="left" w:pos="6237"/>
        </w:tabs>
        <w:spacing w:after="0" w:line="240" w:lineRule="auto"/>
      </w:pPr>
      <w:hyperlink r:id="rId8" w:history="1">
        <w:r w:rsidR="004917EC" w:rsidRPr="007A3D78">
          <w:rPr>
            <w:rStyle w:val="Hyperlink"/>
            <w:rFonts w:ascii="Times New Roman" w:hAnsi="Times New Roman" w:cs="Times New Roman"/>
            <w:sz w:val="20"/>
            <w:szCs w:val="20"/>
          </w:rPr>
          <w:t>Edgars.Sidlovskis@fm.gov.lv</w:t>
        </w:r>
      </w:hyperlink>
    </w:p>
    <w:sectPr w:rsidR="004917EC" w:rsidSect="00553F2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DCDB2" w14:textId="77777777" w:rsidR="002F4A7C" w:rsidRDefault="002F4A7C">
      <w:pPr>
        <w:spacing w:after="0" w:line="240" w:lineRule="auto"/>
      </w:pPr>
      <w:r>
        <w:separator/>
      </w:r>
    </w:p>
  </w:endnote>
  <w:endnote w:type="continuationSeparator" w:id="0">
    <w:p w14:paraId="02EEB4BC" w14:textId="77777777" w:rsidR="002F4A7C" w:rsidRDefault="002F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5EC1" w14:textId="77777777" w:rsidR="003414F0" w:rsidRDefault="00341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11A0" w14:textId="77777777" w:rsidR="002A6E86" w:rsidRPr="008D095A" w:rsidRDefault="002A6E86" w:rsidP="00553F2A">
    <w:pPr>
      <w:pStyle w:val="Footer"/>
    </w:pPr>
    <w:r>
      <w:rPr>
        <w:rFonts w:ascii="Times New Roman" w:hAnsi="Times New Roman" w:cs="Times New Roman"/>
        <w:sz w:val="20"/>
        <w:szCs w:val="20"/>
      </w:rPr>
      <w:tab/>
    </w:r>
  </w:p>
  <w:p w14:paraId="4A68EE28" w14:textId="499D661C" w:rsidR="002A6E86" w:rsidRPr="002E4044" w:rsidRDefault="00EA6C5E" w:rsidP="00EA6C5E">
    <w:pPr>
      <w:pStyle w:val="Footer"/>
      <w:tabs>
        <w:tab w:val="clear" w:pos="4153"/>
        <w:tab w:val="clear" w:pos="8306"/>
        <w:tab w:val="center" w:pos="4535"/>
      </w:tabs>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95AC4">
      <w:rPr>
        <w:rFonts w:ascii="Times New Roman" w:hAnsi="Times New Roman" w:cs="Times New Roman"/>
        <w:noProof/>
        <w:sz w:val="20"/>
        <w:szCs w:val="20"/>
      </w:rPr>
      <w:t>FMAnot_280119_ESL.docx</w:t>
    </w:r>
    <w:r>
      <w:rPr>
        <w:rFonts w:ascii="Times New Roman" w:hAnsi="Times New Roman" w:cs="Times New Roman"/>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9587" w14:textId="03428221" w:rsidR="002A6E86" w:rsidRPr="00EA6C5E" w:rsidRDefault="00EA6C5E" w:rsidP="00EA6C5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95AC4">
      <w:rPr>
        <w:rFonts w:ascii="Times New Roman" w:hAnsi="Times New Roman" w:cs="Times New Roman"/>
        <w:noProof/>
        <w:sz w:val="20"/>
        <w:szCs w:val="20"/>
      </w:rPr>
      <w:t>FMAnot_280119_ESL.docx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186AE" w14:textId="77777777" w:rsidR="002F4A7C" w:rsidRDefault="002F4A7C">
      <w:pPr>
        <w:spacing w:after="0" w:line="240" w:lineRule="auto"/>
      </w:pPr>
      <w:r>
        <w:separator/>
      </w:r>
    </w:p>
  </w:footnote>
  <w:footnote w:type="continuationSeparator" w:id="0">
    <w:p w14:paraId="0AA95196" w14:textId="77777777" w:rsidR="002F4A7C" w:rsidRDefault="002F4A7C">
      <w:pPr>
        <w:spacing w:after="0" w:line="240" w:lineRule="auto"/>
      </w:pPr>
      <w:r>
        <w:continuationSeparator/>
      </w:r>
    </w:p>
  </w:footnote>
  <w:footnote w:id="1">
    <w:p w14:paraId="110A3089" w14:textId="77777777" w:rsidR="002A6E86" w:rsidRPr="00AE0001" w:rsidRDefault="002A6E86" w:rsidP="007B3D6F">
      <w:pPr>
        <w:pStyle w:val="EndnoteText"/>
        <w:spacing w:after="120"/>
        <w:jc w:val="both"/>
        <w:rPr>
          <w:lang w:val="lv-LV"/>
        </w:rPr>
      </w:pPr>
      <w:r w:rsidRPr="00AE0001">
        <w:rPr>
          <w:rStyle w:val="FootnoteReference"/>
        </w:rPr>
        <w:footnoteRef/>
      </w:r>
      <w:r w:rsidRPr="00AE0001">
        <w:t xml:space="preserve"> </w:t>
      </w:r>
      <w:r w:rsidRPr="00AE0001">
        <w:rPr>
          <w:lang w:val="lv-LV"/>
        </w:rPr>
        <w:t>Dowling N. A., Merkouris S. S., Greenwood C. J., et al. Early risk and protective factors for problem gambling: a systematic review and meta-analysis of longitudinal studies. Clinical Psychology Review, 2017; 51: 109-124.</w:t>
      </w:r>
    </w:p>
  </w:footnote>
  <w:footnote w:id="2">
    <w:p w14:paraId="7A00BE75" w14:textId="77777777" w:rsidR="00393C76" w:rsidRPr="001E1FF2" w:rsidRDefault="00393C76" w:rsidP="00393C76">
      <w:pPr>
        <w:pStyle w:val="FootnoteText"/>
        <w:rPr>
          <w:rFonts w:ascii="Times New Roman" w:hAnsi="Times New Roman" w:cs="Times New Roman"/>
          <w:sz w:val="22"/>
        </w:rPr>
      </w:pPr>
      <w:r>
        <w:rPr>
          <w:rStyle w:val="FootnoteReference"/>
        </w:rPr>
        <w:footnoteRef/>
      </w:r>
      <w:r>
        <w:t xml:space="preserve"> </w:t>
      </w:r>
      <w:r w:rsidRPr="001E1FF2">
        <w:rPr>
          <w:rFonts w:ascii="Times New Roman" w:hAnsi="Times New Roman" w:cs="Times New Roman"/>
          <w:sz w:val="22"/>
        </w:rPr>
        <w:t>Roshler Carl (ed.), The Gambling Law Review, Law Bussines Research, 201</w:t>
      </w:r>
      <w:r>
        <w:rPr>
          <w:rFonts w:ascii="Times New Roman" w:hAnsi="Times New Roman" w:cs="Times New Roman"/>
          <w:sz w:val="22"/>
        </w:rPr>
        <w:t>6</w:t>
      </w:r>
      <w:r w:rsidRPr="001E1FF2">
        <w:rPr>
          <w:rFonts w:ascii="Times New Roman" w:hAnsi="Times New Roman" w:cs="Times New Roman"/>
          <w:sz w:val="22"/>
        </w:rPr>
        <w:t xml:space="preserve">, </w:t>
      </w:r>
      <w:r>
        <w:rPr>
          <w:rFonts w:ascii="Times New Roman" w:hAnsi="Times New Roman" w:cs="Times New Roman"/>
          <w:sz w:val="22"/>
        </w:rPr>
        <w:t>66</w:t>
      </w:r>
      <w:r w:rsidRPr="001E1FF2">
        <w:rPr>
          <w:rFonts w:ascii="Times New Roman" w:hAnsi="Times New Roman" w:cs="Times New Roman"/>
          <w:sz w:val="22"/>
        </w:rPr>
        <w:t>.lpp.</w:t>
      </w:r>
    </w:p>
  </w:footnote>
  <w:footnote w:id="3">
    <w:p w14:paraId="09978558" w14:textId="77777777" w:rsidR="00393C76" w:rsidRPr="001E1FF2" w:rsidRDefault="00393C76" w:rsidP="00393C76">
      <w:pPr>
        <w:pStyle w:val="FootnoteText"/>
        <w:rPr>
          <w:rFonts w:ascii="Times New Roman" w:hAnsi="Times New Roman" w:cs="Times New Roman"/>
          <w:sz w:val="22"/>
        </w:rPr>
      </w:pPr>
      <w:r>
        <w:rPr>
          <w:rStyle w:val="FootnoteReference"/>
        </w:rPr>
        <w:footnoteRef/>
      </w:r>
      <w:r>
        <w:t xml:space="preserve"> </w:t>
      </w:r>
      <w:r w:rsidRPr="001E1FF2">
        <w:rPr>
          <w:rFonts w:ascii="Times New Roman" w:hAnsi="Times New Roman" w:cs="Times New Roman"/>
          <w:sz w:val="22"/>
        </w:rPr>
        <w:t>Roshler Carl (ed.), The Gambling Law Review, Law Bussines</w:t>
      </w:r>
      <w:r w:rsidRPr="001E1FF2">
        <w:rPr>
          <w:rFonts w:ascii="Times New Roman" w:hAnsi="Times New Roman" w:cs="Times New Roman"/>
          <w:sz w:val="22"/>
        </w:rPr>
        <w:tab/>
        <w:t>Research,</w:t>
      </w:r>
      <w:r>
        <w:rPr>
          <w:rFonts w:ascii="Times New Roman" w:hAnsi="Times New Roman" w:cs="Times New Roman"/>
          <w:sz w:val="22"/>
        </w:rPr>
        <w:t xml:space="preserve"> </w:t>
      </w:r>
      <w:r w:rsidRPr="001E1FF2">
        <w:rPr>
          <w:rFonts w:ascii="Times New Roman" w:hAnsi="Times New Roman" w:cs="Times New Roman"/>
          <w:sz w:val="22"/>
        </w:rPr>
        <w:t>2016,</w:t>
      </w:r>
      <w:r w:rsidRPr="001E1FF2">
        <w:rPr>
          <w:rFonts w:ascii="Times New Roman" w:hAnsi="Times New Roman" w:cs="Times New Roman"/>
          <w:sz w:val="22"/>
        </w:rPr>
        <w:tab/>
        <w:t>110.lpp.</w:t>
      </w:r>
    </w:p>
  </w:footnote>
  <w:footnote w:id="4">
    <w:p w14:paraId="14E337BF" w14:textId="77777777" w:rsidR="00393C76" w:rsidRPr="001E1FF2" w:rsidRDefault="00393C76" w:rsidP="00393C76">
      <w:pPr>
        <w:pStyle w:val="FootnoteText"/>
        <w:rPr>
          <w:rFonts w:ascii="Times New Roman" w:hAnsi="Times New Roman" w:cs="Times New Roman"/>
          <w:sz w:val="22"/>
        </w:rPr>
      </w:pPr>
      <w:r>
        <w:rPr>
          <w:rStyle w:val="FootnoteReference"/>
        </w:rPr>
        <w:footnoteRef/>
      </w:r>
      <w:r>
        <w:t xml:space="preserve"> </w:t>
      </w:r>
      <w:r w:rsidRPr="001E1FF2">
        <w:rPr>
          <w:rFonts w:ascii="Times New Roman" w:hAnsi="Times New Roman" w:cs="Times New Roman"/>
          <w:sz w:val="22"/>
        </w:rPr>
        <w:t>Roshler Carl (ed.), The Gambling Law Review, Law Bussines Research, 2016, 255.lpp</w:t>
      </w:r>
    </w:p>
  </w:footnote>
  <w:footnote w:id="5">
    <w:p w14:paraId="248BB6C5" w14:textId="29DBFE13" w:rsidR="002A6E86" w:rsidRPr="000C1776" w:rsidRDefault="002A6E86" w:rsidP="009B7537">
      <w:pPr>
        <w:pStyle w:val="FootnoteText"/>
        <w:rPr>
          <w:rFonts w:ascii="Times New Roman" w:hAnsi="Times New Roman" w:cs="Times New Roman"/>
          <w:sz w:val="22"/>
        </w:rPr>
      </w:pPr>
      <w:r>
        <w:rPr>
          <w:rStyle w:val="FootnoteReference"/>
        </w:rPr>
        <w:footnoteRef/>
      </w:r>
      <w:r>
        <w:t xml:space="preserve"> </w:t>
      </w:r>
      <w:r w:rsidRPr="000C1776">
        <w:rPr>
          <w:rFonts w:ascii="Times New Roman" w:hAnsi="Times New Roman" w:cs="Times New Roman"/>
          <w:sz w:val="22"/>
        </w:rPr>
        <w:t>Sabiedrisko pakalpojumu regulēšanas komisijas mājas lapa https://www.sprk.gov.lv/lapas/Elektroniskie-sakari#Pakalpojumu-sniedzeji66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7BC8" w14:textId="77777777" w:rsidR="003414F0" w:rsidRDefault="0034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275B269" w14:textId="1981763A" w:rsidR="002A6E86" w:rsidRPr="00C25B49" w:rsidRDefault="002A6E8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95AC4">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40CB" w14:textId="77777777" w:rsidR="003414F0" w:rsidRDefault="00341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4C3"/>
    <w:multiLevelType w:val="hybridMultilevel"/>
    <w:tmpl w:val="1812D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302181"/>
    <w:multiLevelType w:val="hybridMultilevel"/>
    <w:tmpl w:val="62BC62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F0BAD"/>
    <w:multiLevelType w:val="hybridMultilevel"/>
    <w:tmpl w:val="83921850"/>
    <w:lvl w:ilvl="0" w:tplc="E110A6A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33D0F27"/>
    <w:multiLevelType w:val="hybridMultilevel"/>
    <w:tmpl w:val="21B230A2"/>
    <w:lvl w:ilvl="0" w:tplc="FEB86050">
      <w:start w:val="1"/>
      <w:numFmt w:val="decimal"/>
      <w:lvlText w:val="%1."/>
      <w:lvlJc w:val="left"/>
      <w:pPr>
        <w:ind w:left="432" w:hanging="360"/>
      </w:pPr>
      <w:rPr>
        <w:rFonts w:eastAsiaTheme="minorHAnsi" w:hint="default"/>
        <w:i w:val="0"/>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4" w15:restartNumberingAfterBreak="0">
    <w:nsid w:val="2C2E2B8A"/>
    <w:multiLevelType w:val="hybridMultilevel"/>
    <w:tmpl w:val="B308C0AE"/>
    <w:lvl w:ilvl="0" w:tplc="6A4ECC6A">
      <w:start w:val="1"/>
      <w:numFmt w:val="decimal"/>
      <w:lvlText w:val="%1."/>
      <w:lvlJc w:val="left"/>
      <w:pPr>
        <w:ind w:left="720" w:hanging="360"/>
      </w:pPr>
      <w:rPr>
        <w:rFonts w:eastAsia="Calibri"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3B5F29"/>
    <w:multiLevelType w:val="hybridMultilevel"/>
    <w:tmpl w:val="9C32C1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FB0947"/>
    <w:multiLevelType w:val="hybridMultilevel"/>
    <w:tmpl w:val="596AABFE"/>
    <w:lvl w:ilvl="0" w:tplc="FBAA75A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E062F53"/>
    <w:multiLevelType w:val="hybridMultilevel"/>
    <w:tmpl w:val="34D6668E"/>
    <w:lvl w:ilvl="0" w:tplc="7522291A">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43612860"/>
    <w:multiLevelType w:val="hybridMultilevel"/>
    <w:tmpl w:val="B48CF268"/>
    <w:lvl w:ilvl="0" w:tplc="6FACA634">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9121D1"/>
    <w:multiLevelType w:val="hybridMultilevel"/>
    <w:tmpl w:val="3F32F06A"/>
    <w:lvl w:ilvl="0" w:tplc="8AF42638">
      <w:start w:val="2"/>
      <w:numFmt w:val="decimal"/>
      <w:lvlText w:val="(%1)"/>
      <w:lvlJc w:val="left"/>
      <w:pPr>
        <w:ind w:left="720" w:hanging="360"/>
      </w:pPr>
      <w:rPr>
        <w:rFonts w:cstheme="minorBid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320E84"/>
    <w:multiLevelType w:val="hybridMultilevel"/>
    <w:tmpl w:val="B4D26582"/>
    <w:lvl w:ilvl="0" w:tplc="25A2035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5943B9"/>
    <w:multiLevelType w:val="multilevel"/>
    <w:tmpl w:val="999A13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8246F6"/>
    <w:multiLevelType w:val="hybridMultilevel"/>
    <w:tmpl w:val="D7EAAC74"/>
    <w:lvl w:ilvl="0" w:tplc="B4CEF370">
      <w:start w:val="2"/>
      <w:numFmt w:val="bullet"/>
      <w:lvlText w:val="-"/>
      <w:lvlJc w:val="left"/>
      <w:pPr>
        <w:ind w:left="492" w:hanging="360"/>
      </w:pPr>
      <w:rPr>
        <w:rFonts w:ascii="Times New Roman" w:eastAsiaTheme="minorHAnsi"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3" w15:restartNumberingAfterBreak="0">
    <w:nsid w:val="66CF5000"/>
    <w:multiLevelType w:val="hybridMultilevel"/>
    <w:tmpl w:val="EF4A73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316769"/>
    <w:multiLevelType w:val="hybridMultilevel"/>
    <w:tmpl w:val="5686B8D0"/>
    <w:lvl w:ilvl="0" w:tplc="B53A1E3C">
      <w:start w:val="1"/>
      <w:numFmt w:val="decimal"/>
      <w:lvlText w:val="%1)"/>
      <w:lvlJc w:val="left"/>
      <w:pPr>
        <w:ind w:left="1070" w:hanging="360"/>
      </w:pPr>
      <w:rPr>
        <w:rFonts w:hint="default"/>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9A62DAA"/>
    <w:multiLevelType w:val="hybridMultilevel"/>
    <w:tmpl w:val="5BEAADAA"/>
    <w:lvl w:ilvl="0" w:tplc="59C43220">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8"/>
  </w:num>
  <w:num w:numId="3">
    <w:abstractNumId w:val="15"/>
  </w:num>
  <w:num w:numId="4">
    <w:abstractNumId w:val="11"/>
  </w:num>
  <w:num w:numId="5">
    <w:abstractNumId w:val="5"/>
  </w:num>
  <w:num w:numId="6">
    <w:abstractNumId w:val="1"/>
  </w:num>
  <w:num w:numId="7">
    <w:abstractNumId w:val="7"/>
  </w:num>
  <w:num w:numId="8">
    <w:abstractNumId w:val="3"/>
  </w:num>
  <w:num w:numId="9">
    <w:abstractNumId w:val="9"/>
  </w:num>
  <w:num w:numId="10">
    <w:abstractNumId w:val="10"/>
  </w:num>
  <w:num w:numId="11">
    <w:abstractNumId w:val="4"/>
  </w:num>
  <w:num w:numId="12">
    <w:abstractNumId w:val="12"/>
  </w:num>
  <w:num w:numId="13">
    <w:abstractNumId w:val="6"/>
  </w:num>
  <w:num w:numId="14">
    <w:abstractNumId w:val="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97"/>
    <w:rsid w:val="0000077C"/>
    <w:rsid w:val="00016BCF"/>
    <w:rsid w:val="00020082"/>
    <w:rsid w:val="00022BF0"/>
    <w:rsid w:val="00040F89"/>
    <w:rsid w:val="000544F2"/>
    <w:rsid w:val="00057A0A"/>
    <w:rsid w:val="00062417"/>
    <w:rsid w:val="00063D8C"/>
    <w:rsid w:val="00072B46"/>
    <w:rsid w:val="00074DB4"/>
    <w:rsid w:val="0008345B"/>
    <w:rsid w:val="00084CB8"/>
    <w:rsid w:val="000904B7"/>
    <w:rsid w:val="0009306F"/>
    <w:rsid w:val="00096DAD"/>
    <w:rsid w:val="000A542B"/>
    <w:rsid w:val="000B5C3A"/>
    <w:rsid w:val="000C1776"/>
    <w:rsid w:val="000C77EA"/>
    <w:rsid w:val="000F0843"/>
    <w:rsid w:val="00103F88"/>
    <w:rsid w:val="001063B8"/>
    <w:rsid w:val="00117B11"/>
    <w:rsid w:val="00117C61"/>
    <w:rsid w:val="00122F66"/>
    <w:rsid w:val="00144C5A"/>
    <w:rsid w:val="0014662E"/>
    <w:rsid w:val="00150464"/>
    <w:rsid w:val="0015280F"/>
    <w:rsid w:val="00163BE5"/>
    <w:rsid w:val="0016402E"/>
    <w:rsid w:val="001849FF"/>
    <w:rsid w:val="0019665C"/>
    <w:rsid w:val="001A1ECF"/>
    <w:rsid w:val="001A2AA6"/>
    <w:rsid w:val="001A7867"/>
    <w:rsid w:val="001D1610"/>
    <w:rsid w:val="001D3D76"/>
    <w:rsid w:val="00201F24"/>
    <w:rsid w:val="00205262"/>
    <w:rsid w:val="00207E01"/>
    <w:rsid w:val="00214108"/>
    <w:rsid w:val="002203CA"/>
    <w:rsid w:val="002252E9"/>
    <w:rsid w:val="0026243B"/>
    <w:rsid w:val="00265682"/>
    <w:rsid w:val="002731BC"/>
    <w:rsid w:val="002762BF"/>
    <w:rsid w:val="00277972"/>
    <w:rsid w:val="00287F91"/>
    <w:rsid w:val="002933AB"/>
    <w:rsid w:val="00294147"/>
    <w:rsid w:val="0029665A"/>
    <w:rsid w:val="002A2D71"/>
    <w:rsid w:val="002A2E41"/>
    <w:rsid w:val="002A6E86"/>
    <w:rsid w:val="002B21E7"/>
    <w:rsid w:val="002B3BB5"/>
    <w:rsid w:val="002C12AD"/>
    <w:rsid w:val="002D3646"/>
    <w:rsid w:val="002D7A5C"/>
    <w:rsid w:val="002E4044"/>
    <w:rsid w:val="002E6976"/>
    <w:rsid w:val="002F1787"/>
    <w:rsid w:val="002F1C8A"/>
    <w:rsid w:val="002F4A7C"/>
    <w:rsid w:val="002F573D"/>
    <w:rsid w:val="00300A28"/>
    <w:rsid w:val="00306371"/>
    <w:rsid w:val="00313B02"/>
    <w:rsid w:val="0033752C"/>
    <w:rsid w:val="00341413"/>
    <w:rsid w:val="00341488"/>
    <w:rsid w:val="003414F0"/>
    <w:rsid w:val="00382E59"/>
    <w:rsid w:val="003843A4"/>
    <w:rsid w:val="003844E5"/>
    <w:rsid w:val="00393C76"/>
    <w:rsid w:val="00395A26"/>
    <w:rsid w:val="00396EB6"/>
    <w:rsid w:val="003A0997"/>
    <w:rsid w:val="003A21AE"/>
    <w:rsid w:val="003A4F83"/>
    <w:rsid w:val="003A6E8F"/>
    <w:rsid w:val="003B6237"/>
    <w:rsid w:val="003C51BA"/>
    <w:rsid w:val="003C7C58"/>
    <w:rsid w:val="003D10A6"/>
    <w:rsid w:val="003D7E47"/>
    <w:rsid w:val="003E0965"/>
    <w:rsid w:val="003E3767"/>
    <w:rsid w:val="003F2208"/>
    <w:rsid w:val="0040371C"/>
    <w:rsid w:val="004124E5"/>
    <w:rsid w:val="004128F1"/>
    <w:rsid w:val="00422A16"/>
    <w:rsid w:val="00440F6C"/>
    <w:rsid w:val="00442FF0"/>
    <w:rsid w:val="0044502F"/>
    <w:rsid w:val="00452AAC"/>
    <w:rsid w:val="00454B4C"/>
    <w:rsid w:val="004717E5"/>
    <w:rsid w:val="00481DBE"/>
    <w:rsid w:val="00485147"/>
    <w:rsid w:val="00485986"/>
    <w:rsid w:val="0048677B"/>
    <w:rsid w:val="00486EC8"/>
    <w:rsid w:val="004902C3"/>
    <w:rsid w:val="004917EC"/>
    <w:rsid w:val="00496DE6"/>
    <w:rsid w:val="004A1074"/>
    <w:rsid w:val="004A499A"/>
    <w:rsid w:val="004B2FF6"/>
    <w:rsid w:val="004B380D"/>
    <w:rsid w:val="004C4F67"/>
    <w:rsid w:val="004D74DE"/>
    <w:rsid w:val="004E03BB"/>
    <w:rsid w:val="004F05A5"/>
    <w:rsid w:val="004F0AD1"/>
    <w:rsid w:val="004F364B"/>
    <w:rsid w:val="004F5298"/>
    <w:rsid w:val="00501778"/>
    <w:rsid w:val="005076F8"/>
    <w:rsid w:val="0052289C"/>
    <w:rsid w:val="00525DBB"/>
    <w:rsid w:val="00536188"/>
    <w:rsid w:val="00536908"/>
    <w:rsid w:val="00540A63"/>
    <w:rsid w:val="0055302B"/>
    <w:rsid w:val="00553F2A"/>
    <w:rsid w:val="005543D8"/>
    <w:rsid w:val="00556865"/>
    <w:rsid w:val="00562FE2"/>
    <w:rsid w:val="00567BA4"/>
    <w:rsid w:val="00572CA1"/>
    <w:rsid w:val="00573CE0"/>
    <w:rsid w:val="0058291C"/>
    <w:rsid w:val="00587B9F"/>
    <w:rsid w:val="005A0AF6"/>
    <w:rsid w:val="005A48F6"/>
    <w:rsid w:val="005C127E"/>
    <w:rsid w:val="005D42C6"/>
    <w:rsid w:val="005F34BC"/>
    <w:rsid w:val="0061143A"/>
    <w:rsid w:val="00612D2E"/>
    <w:rsid w:val="00623061"/>
    <w:rsid w:val="006258CC"/>
    <w:rsid w:val="00630659"/>
    <w:rsid w:val="0064671D"/>
    <w:rsid w:val="00646DB9"/>
    <w:rsid w:val="00647717"/>
    <w:rsid w:val="00652D7E"/>
    <w:rsid w:val="00653F82"/>
    <w:rsid w:val="00663E05"/>
    <w:rsid w:val="00665C7F"/>
    <w:rsid w:val="00666EF3"/>
    <w:rsid w:val="00667672"/>
    <w:rsid w:val="00670E34"/>
    <w:rsid w:val="00683CFA"/>
    <w:rsid w:val="00685BE7"/>
    <w:rsid w:val="00686092"/>
    <w:rsid w:val="006975EF"/>
    <w:rsid w:val="006A0A19"/>
    <w:rsid w:val="006A32CB"/>
    <w:rsid w:val="006A5A30"/>
    <w:rsid w:val="006C2A9D"/>
    <w:rsid w:val="006C469F"/>
    <w:rsid w:val="006C7CD0"/>
    <w:rsid w:val="006D4B6F"/>
    <w:rsid w:val="006D5A47"/>
    <w:rsid w:val="006F0817"/>
    <w:rsid w:val="006F0CA1"/>
    <w:rsid w:val="006F0EC2"/>
    <w:rsid w:val="006F5EEC"/>
    <w:rsid w:val="00706525"/>
    <w:rsid w:val="0071475C"/>
    <w:rsid w:val="0072004C"/>
    <w:rsid w:val="00720B97"/>
    <w:rsid w:val="00720C69"/>
    <w:rsid w:val="0072317B"/>
    <w:rsid w:val="00727B72"/>
    <w:rsid w:val="0073262A"/>
    <w:rsid w:val="00743357"/>
    <w:rsid w:val="00747DFB"/>
    <w:rsid w:val="00751797"/>
    <w:rsid w:val="00763E9E"/>
    <w:rsid w:val="00767876"/>
    <w:rsid w:val="00784B7F"/>
    <w:rsid w:val="00785F85"/>
    <w:rsid w:val="00787679"/>
    <w:rsid w:val="00792065"/>
    <w:rsid w:val="00792BCA"/>
    <w:rsid w:val="007A48D6"/>
    <w:rsid w:val="007A4D3B"/>
    <w:rsid w:val="007A6A5A"/>
    <w:rsid w:val="007B3D6F"/>
    <w:rsid w:val="007D04D8"/>
    <w:rsid w:val="007D385D"/>
    <w:rsid w:val="007E222D"/>
    <w:rsid w:val="007F2E62"/>
    <w:rsid w:val="007F313D"/>
    <w:rsid w:val="00813DA5"/>
    <w:rsid w:val="00817C6D"/>
    <w:rsid w:val="00840757"/>
    <w:rsid w:val="0084230B"/>
    <w:rsid w:val="00844627"/>
    <w:rsid w:val="008477E7"/>
    <w:rsid w:val="0086171F"/>
    <w:rsid w:val="0086178B"/>
    <w:rsid w:val="0087294A"/>
    <w:rsid w:val="008764BC"/>
    <w:rsid w:val="00882097"/>
    <w:rsid w:val="0089020D"/>
    <w:rsid w:val="008A3104"/>
    <w:rsid w:val="008A7CF3"/>
    <w:rsid w:val="008C6672"/>
    <w:rsid w:val="008E0027"/>
    <w:rsid w:val="008E2F13"/>
    <w:rsid w:val="008E3EAA"/>
    <w:rsid w:val="00916094"/>
    <w:rsid w:val="00927EA6"/>
    <w:rsid w:val="009316F6"/>
    <w:rsid w:val="00932141"/>
    <w:rsid w:val="009362AC"/>
    <w:rsid w:val="00942DA8"/>
    <w:rsid w:val="00976C92"/>
    <w:rsid w:val="009842E4"/>
    <w:rsid w:val="00984B28"/>
    <w:rsid w:val="00992485"/>
    <w:rsid w:val="00997517"/>
    <w:rsid w:val="009B7537"/>
    <w:rsid w:val="009C368D"/>
    <w:rsid w:val="009D693F"/>
    <w:rsid w:val="009E62BE"/>
    <w:rsid w:val="009E66FB"/>
    <w:rsid w:val="009F1CEE"/>
    <w:rsid w:val="009F6D5C"/>
    <w:rsid w:val="00A00702"/>
    <w:rsid w:val="00A03540"/>
    <w:rsid w:val="00A06DEB"/>
    <w:rsid w:val="00A073E4"/>
    <w:rsid w:val="00A07C48"/>
    <w:rsid w:val="00A1019C"/>
    <w:rsid w:val="00A11B91"/>
    <w:rsid w:val="00A15864"/>
    <w:rsid w:val="00A40486"/>
    <w:rsid w:val="00A51AA3"/>
    <w:rsid w:val="00A5230A"/>
    <w:rsid w:val="00A52913"/>
    <w:rsid w:val="00A5395D"/>
    <w:rsid w:val="00A562EC"/>
    <w:rsid w:val="00A70E7E"/>
    <w:rsid w:val="00A75756"/>
    <w:rsid w:val="00A766E5"/>
    <w:rsid w:val="00A77AE8"/>
    <w:rsid w:val="00A8147D"/>
    <w:rsid w:val="00A8300C"/>
    <w:rsid w:val="00A84C62"/>
    <w:rsid w:val="00A85D0F"/>
    <w:rsid w:val="00A86BF6"/>
    <w:rsid w:val="00A91E3E"/>
    <w:rsid w:val="00AA5453"/>
    <w:rsid w:val="00AA6DC3"/>
    <w:rsid w:val="00AC7ACE"/>
    <w:rsid w:val="00AD45F0"/>
    <w:rsid w:val="00AE4509"/>
    <w:rsid w:val="00AF03E1"/>
    <w:rsid w:val="00AF5011"/>
    <w:rsid w:val="00B02A83"/>
    <w:rsid w:val="00B13745"/>
    <w:rsid w:val="00B200FE"/>
    <w:rsid w:val="00B464B6"/>
    <w:rsid w:val="00B4660C"/>
    <w:rsid w:val="00B51AD8"/>
    <w:rsid w:val="00B602D5"/>
    <w:rsid w:val="00B63152"/>
    <w:rsid w:val="00B651D7"/>
    <w:rsid w:val="00B70375"/>
    <w:rsid w:val="00B96751"/>
    <w:rsid w:val="00B974B9"/>
    <w:rsid w:val="00BA1030"/>
    <w:rsid w:val="00BA42C4"/>
    <w:rsid w:val="00BA7793"/>
    <w:rsid w:val="00BB128A"/>
    <w:rsid w:val="00BC6CBF"/>
    <w:rsid w:val="00BD7424"/>
    <w:rsid w:val="00BE6459"/>
    <w:rsid w:val="00BE72F6"/>
    <w:rsid w:val="00BE7652"/>
    <w:rsid w:val="00BF3920"/>
    <w:rsid w:val="00BF53F4"/>
    <w:rsid w:val="00BF5923"/>
    <w:rsid w:val="00C01E3B"/>
    <w:rsid w:val="00C06C87"/>
    <w:rsid w:val="00C23B0A"/>
    <w:rsid w:val="00C253C3"/>
    <w:rsid w:val="00C26093"/>
    <w:rsid w:val="00C34286"/>
    <w:rsid w:val="00C4727F"/>
    <w:rsid w:val="00C551C8"/>
    <w:rsid w:val="00C614E0"/>
    <w:rsid w:val="00C64817"/>
    <w:rsid w:val="00C752D2"/>
    <w:rsid w:val="00C834BE"/>
    <w:rsid w:val="00C9039B"/>
    <w:rsid w:val="00C90782"/>
    <w:rsid w:val="00C91CD6"/>
    <w:rsid w:val="00C936CD"/>
    <w:rsid w:val="00C97917"/>
    <w:rsid w:val="00C979A3"/>
    <w:rsid w:val="00CA2124"/>
    <w:rsid w:val="00CA28C6"/>
    <w:rsid w:val="00CB084D"/>
    <w:rsid w:val="00CB08AF"/>
    <w:rsid w:val="00CB4CFE"/>
    <w:rsid w:val="00CD2559"/>
    <w:rsid w:val="00CD4AAC"/>
    <w:rsid w:val="00CE06BE"/>
    <w:rsid w:val="00CE1F8F"/>
    <w:rsid w:val="00CF2FCD"/>
    <w:rsid w:val="00D00C98"/>
    <w:rsid w:val="00D01353"/>
    <w:rsid w:val="00D03639"/>
    <w:rsid w:val="00D27C76"/>
    <w:rsid w:val="00D436AD"/>
    <w:rsid w:val="00D47F66"/>
    <w:rsid w:val="00D50236"/>
    <w:rsid w:val="00D53B96"/>
    <w:rsid w:val="00D65EF4"/>
    <w:rsid w:val="00D71BA6"/>
    <w:rsid w:val="00D75A9A"/>
    <w:rsid w:val="00D81C7E"/>
    <w:rsid w:val="00D94BB1"/>
    <w:rsid w:val="00DA7D64"/>
    <w:rsid w:val="00DB70F1"/>
    <w:rsid w:val="00DC4E86"/>
    <w:rsid w:val="00DC542A"/>
    <w:rsid w:val="00DC7622"/>
    <w:rsid w:val="00DE4B45"/>
    <w:rsid w:val="00DF6E01"/>
    <w:rsid w:val="00E00E4C"/>
    <w:rsid w:val="00E06EB0"/>
    <w:rsid w:val="00E34383"/>
    <w:rsid w:val="00E51C48"/>
    <w:rsid w:val="00E5338E"/>
    <w:rsid w:val="00E61A3F"/>
    <w:rsid w:val="00E6231B"/>
    <w:rsid w:val="00E73477"/>
    <w:rsid w:val="00E80A92"/>
    <w:rsid w:val="00E9567F"/>
    <w:rsid w:val="00E95AC4"/>
    <w:rsid w:val="00E95B3D"/>
    <w:rsid w:val="00E962DA"/>
    <w:rsid w:val="00EA6C5E"/>
    <w:rsid w:val="00EC3A64"/>
    <w:rsid w:val="00EC5DC6"/>
    <w:rsid w:val="00ED47DC"/>
    <w:rsid w:val="00ED5134"/>
    <w:rsid w:val="00ED73D6"/>
    <w:rsid w:val="00EE2463"/>
    <w:rsid w:val="00EE5FF4"/>
    <w:rsid w:val="00EF0D56"/>
    <w:rsid w:val="00F000AA"/>
    <w:rsid w:val="00F05C94"/>
    <w:rsid w:val="00F31F9E"/>
    <w:rsid w:val="00F344EB"/>
    <w:rsid w:val="00F35D5B"/>
    <w:rsid w:val="00F63A56"/>
    <w:rsid w:val="00F66547"/>
    <w:rsid w:val="00F66BE1"/>
    <w:rsid w:val="00F672B6"/>
    <w:rsid w:val="00F82BB1"/>
    <w:rsid w:val="00F85CDD"/>
    <w:rsid w:val="00F93E3E"/>
    <w:rsid w:val="00FA3588"/>
    <w:rsid w:val="00FC4370"/>
    <w:rsid w:val="00FE3E2D"/>
    <w:rsid w:val="00FE49D0"/>
    <w:rsid w:val="00FE7B21"/>
    <w:rsid w:val="00FF217C"/>
    <w:rsid w:val="00FF346B"/>
    <w:rsid w:val="00FF3A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C6E5"/>
  <w15:chartTrackingRefBased/>
  <w15:docId w15:val="{9EDF96C3-519B-4924-83AB-0F6C0B0D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BF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9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0997"/>
    <w:rPr>
      <w:rFonts w:asciiTheme="minorHAnsi" w:hAnsiTheme="minorHAnsi"/>
      <w:sz w:val="22"/>
    </w:rPr>
  </w:style>
  <w:style w:type="paragraph" w:styleId="Footer">
    <w:name w:val="footer"/>
    <w:basedOn w:val="Normal"/>
    <w:link w:val="FooterChar"/>
    <w:uiPriority w:val="99"/>
    <w:unhideWhenUsed/>
    <w:rsid w:val="003A09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0997"/>
    <w:rPr>
      <w:rFonts w:asciiTheme="minorHAnsi" w:hAnsiTheme="minorHAnsi"/>
      <w:sz w:val="22"/>
    </w:rPr>
  </w:style>
  <w:style w:type="paragraph" w:styleId="ListParagraph">
    <w:name w:val="List Paragraph"/>
    <w:aliases w:val="2,Strip,Saraksta rindkopa,Saraksta rindkopa1,Numbered Para 1,Dot pt,No Spacing1,List Paragraph Char Char Char,Indicator Text,List Paragraph1,Bullet 1,Bullet Points,MAIN CONTENT,IFCL - List Paragraph,List Paragraph12,OBC Bullet"/>
    <w:basedOn w:val="Normal"/>
    <w:link w:val="ListParagraphChar"/>
    <w:uiPriority w:val="34"/>
    <w:qFormat/>
    <w:rsid w:val="003A0997"/>
    <w:pPr>
      <w:ind w:left="720"/>
      <w:contextualSpacing/>
    </w:pPr>
  </w:style>
  <w:style w:type="character" w:styleId="Hyperlink">
    <w:name w:val="Hyperlink"/>
    <w:basedOn w:val="DefaultParagraphFont"/>
    <w:uiPriority w:val="99"/>
    <w:unhideWhenUsed/>
    <w:rsid w:val="003A0997"/>
    <w:rPr>
      <w:color w:val="0563C1" w:themeColor="hyperlink"/>
      <w:u w:val="single"/>
    </w:rPr>
  </w:style>
  <w:style w:type="paragraph" w:customStyle="1" w:styleId="naislab">
    <w:name w:val="naislab"/>
    <w:basedOn w:val="Normal"/>
    <w:rsid w:val="00DC542A"/>
    <w:pPr>
      <w:spacing w:before="75" w:after="75"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12AD"/>
    <w:rPr>
      <w:sz w:val="16"/>
      <w:szCs w:val="16"/>
    </w:rPr>
  </w:style>
  <w:style w:type="paragraph" w:styleId="CommentText">
    <w:name w:val="annotation text"/>
    <w:basedOn w:val="Normal"/>
    <w:link w:val="CommentTextChar"/>
    <w:uiPriority w:val="99"/>
    <w:semiHidden/>
    <w:unhideWhenUsed/>
    <w:rsid w:val="002C12AD"/>
    <w:pPr>
      <w:spacing w:line="240" w:lineRule="auto"/>
    </w:pPr>
    <w:rPr>
      <w:sz w:val="20"/>
      <w:szCs w:val="20"/>
    </w:rPr>
  </w:style>
  <w:style w:type="character" w:customStyle="1" w:styleId="CommentTextChar">
    <w:name w:val="Comment Text Char"/>
    <w:basedOn w:val="DefaultParagraphFont"/>
    <w:link w:val="CommentText"/>
    <w:uiPriority w:val="99"/>
    <w:semiHidden/>
    <w:rsid w:val="002C12A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C12AD"/>
    <w:rPr>
      <w:b/>
      <w:bCs/>
    </w:rPr>
  </w:style>
  <w:style w:type="character" w:customStyle="1" w:styleId="CommentSubjectChar">
    <w:name w:val="Comment Subject Char"/>
    <w:basedOn w:val="CommentTextChar"/>
    <w:link w:val="CommentSubject"/>
    <w:uiPriority w:val="99"/>
    <w:semiHidden/>
    <w:rsid w:val="002C12AD"/>
    <w:rPr>
      <w:rFonts w:asciiTheme="minorHAnsi" w:hAnsiTheme="minorHAnsi"/>
      <w:b/>
      <w:bCs/>
      <w:sz w:val="20"/>
      <w:szCs w:val="20"/>
    </w:rPr>
  </w:style>
  <w:style w:type="paragraph" w:styleId="BalloonText">
    <w:name w:val="Balloon Text"/>
    <w:basedOn w:val="Normal"/>
    <w:link w:val="BalloonTextChar"/>
    <w:uiPriority w:val="99"/>
    <w:semiHidden/>
    <w:unhideWhenUsed/>
    <w:rsid w:val="002C1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AD"/>
    <w:rPr>
      <w:rFonts w:ascii="Segoe UI" w:hAnsi="Segoe UI" w:cs="Segoe UI"/>
      <w:sz w:val="18"/>
      <w:szCs w:val="18"/>
    </w:rPr>
  </w:style>
  <w:style w:type="character" w:customStyle="1" w:styleId="FootnoteTextChar">
    <w:name w:val="Footnote Text Char"/>
    <w:aliases w:val="Char Char Char Char Char Char Char Char Char Char Char Char Char,Footnote Char1,Footnote Char Char,Fußnote Char1,Fußnote Char Char,Reference Rakstz. Char Char Char Char Char Char Char Char,Vēres teksts Char Char Char Char,ft Char"/>
    <w:basedOn w:val="DefaultParagraphFont"/>
    <w:link w:val="FootnoteText"/>
    <w:uiPriority w:val="99"/>
    <w:locked/>
    <w:rsid w:val="00C752D2"/>
    <w:rPr>
      <w:rFonts w:ascii="Calibri" w:hAnsi="Calibri" w:cs="Calibri"/>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iPriority w:val="99"/>
    <w:unhideWhenUsed/>
    <w:qFormat/>
    <w:rsid w:val="00C752D2"/>
    <w:pPr>
      <w:spacing w:after="0" w:line="240" w:lineRule="auto"/>
    </w:pPr>
    <w:rPr>
      <w:rFonts w:ascii="Calibri" w:hAnsi="Calibri" w:cs="Calibri"/>
      <w:sz w:val="24"/>
    </w:rPr>
  </w:style>
  <w:style w:type="character" w:customStyle="1" w:styleId="FootnoteTextChar1">
    <w:name w:val="Footnote Text Char1"/>
    <w:basedOn w:val="DefaultParagraphFont"/>
    <w:uiPriority w:val="99"/>
    <w:semiHidden/>
    <w:rsid w:val="00C752D2"/>
    <w:rPr>
      <w:rFonts w:asciiTheme="minorHAnsi" w:hAnsiTheme="minorHAnsi"/>
      <w:sz w:val="20"/>
      <w:szCs w:val="20"/>
    </w:rPr>
  </w:style>
  <w:style w:type="character" w:styleId="FootnoteReference">
    <w:name w:val="footnote reference"/>
    <w:aliases w:val="BVI fnr,EN Footnote Reference,Exposant 3 Point,Footnote Reference Number,Footnote Reference Superscript,Footnote reference number,Footnote symbol,Ref,SUPERS,Times 10 Point,de nota al pie,fr,ftref,note TESI,Footnote Refernece,E"/>
    <w:basedOn w:val="DefaultParagraphFont"/>
    <w:link w:val="CharCharCharChar"/>
    <w:unhideWhenUsed/>
    <w:qFormat/>
    <w:rsid w:val="00C752D2"/>
    <w:rPr>
      <w:vertAlign w:val="superscript"/>
    </w:rPr>
  </w:style>
  <w:style w:type="paragraph" w:customStyle="1" w:styleId="CharCharCharChar">
    <w:name w:val="Char Char Char Char"/>
    <w:aliases w:val="Char2"/>
    <w:basedOn w:val="Normal"/>
    <w:link w:val="FootnoteReference"/>
    <w:rsid w:val="00C752D2"/>
    <w:pPr>
      <w:spacing w:line="240" w:lineRule="exact"/>
      <w:jc w:val="both"/>
    </w:pPr>
    <w:rPr>
      <w:rFonts w:ascii="Times New Roman" w:hAnsi="Times New Roman"/>
      <w:sz w:val="24"/>
      <w:vertAlign w:val="superscript"/>
    </w:rPr>
  </w:style>
  <w:style w:type="character" w:customStyle="1" w:styleId="ListParagraphChar">
    <w:name w:val="List Paragraph Char"/>
    <w:aliases w:val="2 Char,Strip Char,Saraksta rindkopa Char,Saraksta rindkopa1 Char,Numbered Para 1 Char,Dot pt Char,No Spacing1 Char,List Paragraph Char Char Char Char,Indicator Text Char,List Paragraph1 Char,Bullet 1 Char,Bullet Points Char"/>
    <w:link w:val="ListParagraph"/>
    <w:uiPriority w:val="34"/>
    <w:qFormat/>
    <w:rsid w:val="007B3D6F"/>
    <w:rPr>
      <w:rFonts w:asciiTheme="minorHAnsi" w:hAnsiTheme="minorHAnsi"/>
      <w:sz w:val="22"/>
    </w:rPr>
  </w:style>
  <w:style w:type="paragraph" w:styleId="EndnoteText">
    <w:name w:val="endnote text"/>
    <w:basedOn w:val="Normal"/>
    <w:link w:val="EndnoteTextChar1"/>
    <w:uiPriority w:val="99"/>
    <w:unhideWhenUsed/>
    <w:rsid w:val="007B3D6F"/>
    <w:pPr>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uiPriority w:val="99"/>
    <w:semiHidden/>
    <w:rsid w:val="007B3D6F"/>
    <w:rPr>
      <w:rFonts w:asciiTheme="minorHAnsi" w:hAnsiTheme="minorHAnsi"/>
      <w:sz w:val="20"/>
      <w:szCs w:val="20"/>
    </w:rPr>
  </w:style>
  <w:style w:type="character" w:customStyle="1" w:styleId="EndnoteTextChar1">
    <w:name w:val="Endnote Text Char1"/>
    <w:basedOn w:val="DefaultParagraphFont"/>
    <w:link w:val="EndnoteText"/>
    <w:uiPriority w:val="99"/>
    <w:rsid w:val="007B3D6F"/>
    <w:rPr>
      <w:rFont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5834">
      <w:bodyDiv w:val="1"/>
      <w:marLeft w:val="0"/>
      <w:marRight w:val="0"/>
      <w:marTop w:val="0"/>
      <w:marBottom w:val="0"/>
      <w:divBdr>
        <w:top w:val="none" w:sz="0" w:space="0" w:color="auto"/>
        <w:left w:val="none" w:sz="0" w:space="0" w:color="auto"/>
        <w:bottom w:val="none" w:sz="0" w:space="0" w:color="auto"/>
        <w:right w:val="none" w:sz="0" w:space="0" w:color="auto"/>
      </w:divBdr>
    </w:div>
    <w:div w:id="139541252">
      <w:bodyDiv w:val="1"/>
      <w:marLeft w:val="0"/>
      <w:marRight w:val="0"/>
      <w:marTop w:val="0"/>
      <w:marBottom w:val="0"/>
      <w:divBdr>
        <w:top w:val="none" w:sz="0" w:space="0" w:color="auto"/>
        <w:left w:val="none" w:sz="0" w:space="0" w:color="auto"/>
        <w:bottom w:val="none" w:sz="0" w:space="0" w:color="auto"/>
        <w:right w:val="none" w:sz="0" w:space="0" w:color="auto"/>
      </w:divBdr>
    </w:div>
    <w:div w:id="291404664">
      <w:bodyDiv w:val="1"/>
      <w:marLeft w:val="0"/>
      <w:marRight w:val="0"/>
      <w:marTop w:val="0"/>
      <w:marBottom w:val="0"/>
      <w:divBdr>
        <w:top w:val="none" w:sz="0" w:space="0" w:color="auto"/>
        <w:left w:val="none" w:sz="0" w:space="0" w:color="auto"/>
        <w:bottom w:val="none" w:sz="0" w:space="0" w:color="auto"/>
        <w:right w:val="none" w:sz="0" w:space="0" w:color="auto"/>
      </w:divBdr>
    </w:div>
    <w:div w:id="585965748">
      <w:bodyDiv w:val="1"/>
      <w:marLeft w:val="0"/>
      <w:marRight w:val="0"/>
      <w:marTop w:val="0"/>
      <w:marBottom w:val="0"/>
      <w:divBdr>
        <w:top w:val="none" w:sz="0" w:space="0" w:color="auto"/>
        <w:left w:val="none" w:sz="0" w:space="0" w:color="auto"/>
        <w:bottom w:val="none" w:sz="0" w:space="0" w:color="auto"/>
        <w:right w:val="none" w:sz="0" w:space="0" w:color="auto"/>
      </w:divBdr>
    </w:div>
    <w:div w:id="785461747">
      <w:bodyDiv w:val="1"/>
      <w:marLeft w:val="0"/>
      <w:marRight w:val="0"/>
      <w:marTop w:val="0"/>
      <w:marBottom w:val="0"/>
      <w:divBdr>
        <w:top w:val="none" w:sz="0" w:space="0" w:color="auto"/>
        <w:left w:val="none" w:sz="0" w:space="0" w:color="auto"/>
        <w:bottom w:val="none" w:sz="0" w:space="0" w:color="auto"/>
        <w:right w:val="none" w:sz="0" w:space="0" w:color="auto"/>
      </w:divBdr>
    </w:div>
    <w:div w:id="1186601629">
      <w:bodyDiv w:val="1"/>
      <w:marLeft w:val="0"/>
      <w:marRight w:val="0"/>
      <w:marTop w:val="0"/>
      <w:marBottom w:val="0"/>
      <w:divBdr>
        <w:top w:val="none" w:sz="0" w:space="0" w:color="auto"/>
        <w:left w:val="none" w:sz="0" w:space="0" w:color="auto"/>
        <w:bottom w:val="none" w:sz="0" w:space="0" w:color="auto"/>
        <w:right w:val="none" w:sz="0" w:space="0" w:color="auto"/>
      </w:divBdr>
    </w:div>
    <w:div w:id="1191383701">
      <w:bodyDiv w:val="1"/>
      <w:marLeft w:val="0"/>
      <w:marRight w:val="0"/>
      <w:marTop w:val="0"/>
      <w:marBottom w:val="0"/>
      <w:divBdr>
        <w:top w:val="none" w:sz="0" w:space="0" w:color="auto"/>
        <w:left w:val="none" w:sz="0" w:space="0" w:color="auto"/>
        <w:bottom w:val="none" w:sz="0" w:space="0" w:color="auto"/>
        <w:right w:val="none" w:sz="0" w:space="0" w:color="auto"/>
      </w:divBdr>
    </w:div>
    <w:div w:id="1334913682">
      <w:bodyDiv w:val="1"/>
      <w:marLeft w:val="0"/>
      <w:marRight w:val="0"/>
      <w:marTop w:val="0"/>
      <w:marBottom w:val="0"/>
      <w:divBdr>
        <w:top w:val="none" w:sz="0" w:space="0" w:color="auto"/>
        <w:left w:val="none" w:sz="0" w:space="0" w:color="auto"/>
        <w:bottom w:val="none" w:sz="0" w:space="0" w:color="auto"/>
        <w:right w:val="none" w:sz="0" w:space="0" w:color="auto"/>
      </w:divBdr>
      <w:divsChild>
        <w:div w:id="2039164617">
          <w:marLeft w:val="0"/>
          <w:marRight w:val="0"/>
          <w:marTop w:val="480"/>
          <w:marBottom w:val="240"/>
          <w:divBdr>
            <w:top w:val="none" w:sz="0" w:space="0" w:color="auto"/>
            <w:left w:val="none" w:sz="0" w:space="0" w:color="auto"/>
            <w:bottom w:val="none" w:sz="0" w:space="0" w:color="auto"/>
            <w:right w:val="none" w:sz="0" w:space="0" w:color="auto"/>
          </w:divBdr>
        </w:div>
        <w:div w:id="1828327300">
          <w:marLeft w:val="0"/>
          <w:marRight w:val="0"/>
          <w:marTop w:val="0"/>
          <w:marBottom w:val="567"/>
          <w:divBdr>
            <w:top w:val="none" w:sz="0" w:space="0" w:color="auto"/>
            <w:left w:val="none" w:sz="0" w:space="0" w:color="auto"/>
            <w:bottom w:val="none" w:sz="0" w:space="0" w:color="auto"/>
            <w:right w:val="none" w:sz="0" w:space="0" w:color="auto"/>
          </w:divBdr>
        </w:div>
        <w:div w:id="1216165841">
          <w:marLeft w:val="0"/>
          <w:marRight w:val="0"/>
          <w:marTop w:val="0"/>
          <w:marBottom w:val="567"/>
          <w:divBdr>
            <w:top w:val="none" w:sz="0" w:space="0" w:color="auto"/>
            <w:left w:val="none" w:sz="0" w:space="0" w:color="auto"/>
            <w:bottom w:val="none" w:sz="0" w:space="0" w:color="auto"/>
            <w:right w:val="none" w:sz="0" w:space="0" w:color="auto"/>
          </w:divBdr>
        </w:div>
        <w:div w:id="1407336668">
          <w:marLeft w:val="0"/>
          <w:marRight w:val="0"/>
          <w:marTop w:val="0"/>
          <w:marBottom w:val="0"/>
          <w:divBdr>
            <w:top w:val="none" w:sz="0" w:space="0" w:color="auto"/>
            <w:left w:val="none" w:sz="0" w:space="0" w:color="auto"/>
            <w:bottom w:val="none" w:sz="0" w:space="0" w:color="auto"/>
            <w:right w:val="none" w:sz="0" w:space="0" w:color="auto"/>
          </w:divBdr>
        </w:div>
      </w:divsChild>
    </w:div>
    <w:div w:id="1349287339">
      <w:bodyDiv w:val="1"/>
      <w:marLeft w:val="0"/>
      <w:marRight w:val="0"/>
      <w:marTop w:val="0"/>
      <w:marBottom w:val="0"/>
      <w:divBdr>
        <w:top w:val="none" w:sz="0" w:space="0" w:color="auto"/>
        <w:left w:val="none" w:sz="0" w:space="0" w:color="auto"/>
        <w:bottom w:val="none" w:sz="0" w:space="0" w:color="auto"/>
        <w:right w:val="none" w:sz="0" w:space="0" w:color="auto"/>
      </w:divBdr>
    </w:div>
    <w:div w:id="1463771474">
      <w:bodyDiv w:val="1"/>
      <w:marLeft w:val="0"/>
      <w:marRight w:val="0"/>
      <w:marTop w:val="0"/>
      <w:marBottom w:val="0"/>
      <w:divBdr>
        <w:top w:val="none" w:sz="0" w:space="0" w:color="auto"/>
        <w:left w:val="none" w:sz="0" w:space="0" w:color="auto"/>
        <w:bottom w:val="none" w:sz="0" w:space="0" w:color="auto"/>
        <w:right w:val="none" w:sz="0" w:space="0" w:color="auto"/>
      </w:divBdr>
    </w:div>
    <w:div w:id="1484154060">
      <w:bodyDiv w:val="1"/>
      <w:marLeft w:val="0"/>
      <w:marRight w:val="0"/>
      <w:marTop w:val="0"/>
      <w:marBottom w:val="0"/>
      <w:divBdr>
        <w:top w:val="none" w:sz="0" w:space="0" w:color="auto"/>
        <w:left w:val="none" w:sz="0" w:space="0" w:color="auto"/>
        <w:bottom w:val="none" w:sz="0" w:space="0" w:color="auto"/>
        <w:right w:val="none" w:sz="0" w:space="0" w:color="auto"/>
      </w:divBdr>
      <w:divsChild>
        <w:div w:id="91370345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Sidlovskis@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6FFE610C8459EB4205E5785F4F0A2"/>
        <w:category>
          <w:name w:val="General"/>
          <w:gallery w:val="placeholder"/>
        </w:category>
        <w:types>
          <w:type w:val="bbPlcHdr"/>
        </w:types>
        <w:behaviors>
          <w:behavior w:val="content"/>
        </w:behaviors>
        <w:guid w:val="{A1311CD0-7E59-4D5F-A879-1D4F559F6730}"/>
      </w:docPartPr>
      <w:docPartBody>
        <w:p w:rsidR="00B17131" w:rsidRPr="00894C55" w:rsidRDefault="00B17131" w:rsidP="00FB314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B69CC" w:rsidRDefault="00B17131" w:rsidP="00B17131">
          <w:pPr>
            <w:pStyle w:val="1C16FFE610C8459EB4205E5785F4F0A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9C2C97F21C4A4BADB3B12CDCBA5C8B17"/>
        <w:category>
          <w:name w:val="General"/>
          <w:gallery w:val="placeholder"/>
        </w:category>
        <w:types>
          <w:type w:val="bbPlcHdr"/>
        </w:types>
        <w:behaviors>
          <w:behavior w:val="content"/>
        </w:behaviors>
        <w:guid w:val="{36D16B46-322E-420F-B4E9-79A125B0D3AD}"/>
      </w:docPartPr>
      <w:docPartBody>
        <w:p w:rsidR="00B17131" w:rsidRPr="00894C55" w:rsidRDefault="00B17131" w:rsidP="00FB314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B69CC" w:rsidRDefault="00B17131" w:rsidP="00B17131">
          <w:pPr>
            <w:pStyle w:val="9C2C97F21C4A4BADB3B12CDCBA5C8B1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4F599E3CF705408F8E8641C32CAEDA40"/>
        <w:category>
          <w:name w:val="General"/>
          <w:gallery w:val="placeholder"/>
        </w:category>
        <w:types>
          <w:type w:val="bbPlcHdr"/>
        </w:types>
        <w:behaviors>
          <w:behavior w:val="content"/>
        </w:behaviors>
        <w:guid w:val="{559A3E6F-6308-4DD1-AAFC-6640EDFD3511}"/>
      </w:docPartPr>
      <w:docPartBody>
        <w:p w:rsidR="00B17131" w:rsidRPr="00894C55" w:rsidRDefault="00B17131" w:rsidP="00FB314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B69CC" w:rsidRDefault="00B17131" w:rsidP="00B17131">
          <w:pPr>
            <w:pStyle w:val="4F599E3CF705408F8E8641C32CAEDA4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31"/>
    <w:rsid w:val="00071011"/>
    <w:rsid w:val="000F0D94"/>
    <w:rsid w:val="001010EF"/>
    <w:rsid w:val="00171AFB"/>
    <w:rsid w:val="001A0124"/>
    <w:rsid w:val="00275629"/>
    <w:rsid w:val="002F6FB0"/>
    <w:rsid w:val="00337C4D"/>
    <w:rsid w:val="00396383"/>
    <w:rsid w:val="005378E5"/>
    <w:rsid w:val="005D11B6"/>
    <w:rsid w:val="00602D85"/>
    <w:rsid w:val="00603C4C"/>
    <w:rsid w:val="00750A92"/>
    <w:rsid w:val="00853C72"/>
    <w:rsid w:val="00867A42"/>
    <w:rsid w:val="008C26AF"/>
    <w:rsid w:val="0091316C"/>
    <w:rsid w:val="00962D63"/>
    <w:rsid w:val="0098154C"/>
    <w:rsid w:val="009B69CC"/>
    <w:rsid w:val="00A00B56"/>
    <w:rsid w:val="00A63BC0"/>
    <w:rsid w:val="00B17131"/>
    <w:rsid w:val="00B316D7"/>
    <w:rsid w:val="00B9466C"/>
    <w:rsid w:val="00BE62DC"/>
    <w:rsid w:val="00CA6000"/>
    <w:rsid w:val="00CB33EC"/>
    <w:rsid w:val="00FB314B"/>
    <w:rsid w:val="00FD2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16FFE610C8459EB4205E5785F4F0A2">
    <w:name w:val="1C16FFE610C8459EB4205E5785F4F0A2"/>
    <w:rsid w:val="00B17131"/>
  </w:style>
  <w:style w:type="paragraph" w:customStyle="1" w:styleId="9C2C97F21C4A4BADB3B12CDCBA5C8B17">
    <w:name w:val="9C2C97F21C4A4BADB3B12CDCBA5C8B17"/>
    <w:rsid w:val="00B17131"/>
  </w:style>
  <w:style w:type="paragraph" w:customStyle="1" w:styleId="6116055144B74DC0A1550F0FCFCD71FF">
    <w:name w:val="6116055144B74DC0A1550F0FCFCD71FF"/>
    <w:rsid w:val="00B17131"/>
  </w:style>
  <w:style w:type="paragraph" w:customStyle="1" w:styleId="4F599E3CF705408F8E8641C32CAEDA40">
    <w:name w:val="4F599E3CF705408F8E8641C32CAEDA40"/>
    <w:rsid w:val="00B17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3CE5A-9658-442C-8D07-88CEFBB6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13</Pages>
  <Words>13155</Words>
  <Characters>7499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Likumprojekta “Grozījumi Elektronisko sakaru likumā” sākotnējās ietekmes novērtējuma ziņojums (anotācija)</vt:lpstr>
    </vt:vector>
  </TitlesOfParts>
  <Company>Finanšu ministrija</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Elektronisko sakaru likumā” sākotnējās ietekmes novērtējuma ziņojums (anotācija)</dc:title>
  <dc:subject>Anotācija</dc:subject>
  <dc:creator>Edgars Šidlovskis</dc:creator>
  <cp:keywords/>
  <dc:description>Edgars.Sidlovskis@fm.gov.lv, 67083894</dc:description>
  <cp:lastModifiedBy>Jana Salmiņa</cp:lastModifiedBy>
  <cp:revision>74</cp:revision>
  <cp:lastPrinted>2019-02-11T11:20:00Z</cp:lastPrinted>
  <dcterms:created xsi:type="dcterms:W3CDTF">2019-01-28T11:54:00Z</dcterms:created>
  <dcterms:modified xsi:type="dcterms:W3CDTF">2019-02-15T14:47:00Z</dcterms:modified>
</cp:coreProperties>
</file>