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05" w:rsidRPr="00413EBC" w:rsidRDefault="00A139E9" w:rsidP="00B15F05">
      <w:pPr>
        <w:spacing w:before="100" w:beforeAutospacing="1" w:after="100" w:afterAutospacing="1"/>
        <w:jc w:val="center"/>
        <w:outlineLvl w:val="3"/>
        <w:rPr>
          <w:b/>
          <w:bCs/>
          <w:sz w:val="28"/>
          <w:szCs w:val="28"/>
        </w:rPr>
      </w:pPr>
      <w:bookmarkStart w:id="0" w:name="OLE_LINK1"/>
      <w:bookmarkStart w:id="1" w:name="OLE_LINK2"/>
      <w:r w:rsidRPr="00413EBC">
        <w:rPr>
          <w:b/>
          <w:bCs/>
          <w:sz w:val="28"/>
          <w:szCs w:val="28"/>
        </w:rPr>
        <w:t xml:space="preserve">Ministru kabineta noteikumu projekta </w:t>
      </w:r>
      <w:r w:rsidRPr="00413EBC">
        <w:rPr>
          <w:b/>
          <w:bCs/>
          <w:sz w:val="28"/>
          <w:szCs w:val="28"/>
        </w:rPr>
        <w:br/>
        <w:t>„</w:t>
      </w:r>
      <w:r w:rsidR="00E43F5A" w:rsidRPr="00E43F5A">
        <w:rPr>
          <w:b/>
          <w:sz w:val="28"/>
          <w:szCs w:val="28"/>
        </w:rPr>
        <w:t>Noteikumi par akcīzes nodokļa nodrošinājumiem</w:t>
      </w:r>
      <w:r w:rsidR="00507962" w:rsidRPr="00413EBC">
        <w:rPr>
          <w:b/>
          <w:bCs/>
          <w:sz w:val="28"/>
          <w:szCs w:val="28"/>
        </w:rPr>
        <w:t>”</w:t>
      </w:r>
      <w:r w:rsidRPr="00413EBC">
        <w:rPr>
          <w:b/>
          <w:bCs/>
          <w:sz w:val="28"/>
          <w:szCs w:val="28"/>
        </w:rPr>
        <w:t xml:space="preserve"> sākotnējās ietekmes novērtējuma ziņojums (anotācija)</w:t>
      </w:r>
      <w:bookmarkEnd w:id="0"/>
      <w:bookmarkEnd w:id="1"/>
    </w:p>
    <w:tbl>
      <w:tblPr>
        <w:tblW w:w="52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7"/>
        <w:gridCol w:w="5624"/>
      </w:tblGrid>
      <w:tr w:rsidR="00C636D1" w:rsidRPr="00413EBC" w:rsidTr="00C636D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636D1" w:rsidRPr="00413EBC" w:rsidRDefault="00C636D1" w:rsidP="00C8370E">
            <w:pPr>
              <w:spacing w:before="100" w:beforeAutospacing="1" w:after="100" w:afterAutospacing="1" w:line="360" w:lineRule="auto"/>
              <w:ind w:firstLine="300"/>
              <w:jc w:val="center"/>
              <w:rPr>
                <w:b/>
                <w:bCs/>
                <w:sz w:val="28"/>
                <w:szCs w:val="28"/>
              </w:rPr>
            </w:pPr>
            <w:r w:rsidRPr="00413EBC">
              <w:rPr>
                <w:b/>
                <w:bCs/>
                <w:sz w:val="28"/>
                <w:szCs w:val="28"/>
              </w:rPr>
              <w:t>Tiesību akta projekta anotācijas kopsavilkums</w:t>
            </w:r>
          </w:p>
        </w:tc>
      </w:tr>
      <w:tr w:rsidR="00C636D1" w:rsidRPr="00413EBC" w:rsidTr="00C636D1">
        <w:tc>
          <w:tcPr>
            <w:tcW w:w="2015" w:type="pct"/>
            <w:tcBorders>
              <w:top w:val="outset" w:sz="6" w:space="0" w:color="414142"/>
              <w:left w:val="outset" w:sz="6" w:space="0" w:color="414142"/>
              <w:bottom w:val="outset" w:sz="6" w:space="0" w:color="414142"/>
              <w:right w:val="outset" w:sz="6" w:space="0" w:color="414142"/>
            </w:tcBorders>
            <w:hideMark/>
          </w:tcPr>
          <w:p w:rsidR="00C636D1" w:rsidRPr="00413EBC" w:rsidRDefault="00C636D1" w:rsidP="00C636D1">
            <w:pPr>
              <w:jc w:val="both"/>
              <w:rPr>
                <w:color w:val="FF0000"/>
                <w:sz w:val="28"/>
                <w:szCs w:val="28"/>
              </w:rPr>
            </w:pPr>
            <w:r w:rsidRPr="00413EBC">
              <w:rPr>
                <w:sz w:val="28"/>
                <w:szCs w:val="28"/>
              </w:rPr>
              <w:t>Mērķis, risinājums un projekta spēkā stāšanās laiks (500 zīmes bez atstarpēm)</w:t>
            </w:r>
          </w:p>
        </w:tc>
        <w:tc>
          <w:tcPr>
            <w:tcW w:w="2985" w:type="pct"/>
            <w:tcBorders>
              <w:top w:val="outset" w:sz="6" w:space="0" w:color="414142"/>
              <w:left w:val="outset" w:sz="6" w:space="0" w:color="414142"/>
              <w:bottom w:val="outset" w:sz="6" w:space="0" w:color="414142"/>
              <w:right w:val="outset" w:sz="6" w:space="0" w:color="414142"/>
            </w:tcBorders>
            <w:hideMark/>
          </w:tcPr>
          <w:p w:rsidR="00C636D1" w:rsidRPr="00413EBC" w:rsidRDefault="00C636D1" w:rsidP="00E43F5A">
            <w:pPr>
              <w:ind w:left="109" w:firstLine="425"/>
              <w:jc w:val="both"/>
              <w:rPr>
                <w:color w:val="000000" w:themeColor="text1"/>
                <w:sz w:val="28"/>
                <w:szCs w:val="28"/>
              </w:rPr>
            </w:pPr>
            <w:r w:rsidRPr="00413EBC">
              <w:rPr>
                <w:sz w:val="28"/>
                <w:szCs w:val="28"/>
                <w:shd w:val="clear" w:color="auto" w:fill="FFFFFF"/>
              </w:rPr>
              <w:t xml:space="preserve">Ministru kabineta noteikumu projekts </w:t>
            </w:r>
            <w:r w:rsidRPr="00F57E5D">
              <w:rPr>
                <w:sz w:val="28"/>
                <w:szCs w:val="28"/>
                <w:shd w:val="clear" w:color="auto" w:fill="FFFFFF"/>
              </w:rPr>
              <w:t>„</w:t>
            </w:r>
            <w:r w:rsidR="00E43F5A" w:rsidRPr="00F57E5D">
              <w:rPr>
                <w:sz w:val="28"/>
                <w:szCs w:val="28"/>
                <w:shd w:val="clear" w:color="auto" w:fill="FFFFFF"/>
              </w:rPr>
              <w:t>Noteikumi par akcīzes nodokļa nodrošinājumiem</w:t>
            </w:r>
            <w:r w:rsidRPr="00F57E5D">
              <w:rPr>
                <w:sz w:val="28"/>
                <w:szCs w:val="28"/>
                <w:shd w:val="clear" w:color="auto" w:fill="FFFFFF"/>
              </w:rPr>
              <w:t>”</w:t>
            </w:r>
            <w:r w:rsidRPr="00413EBC">
              <w:rPr>
                <w:sz w:val="28"/>
                <w:szCs w:val="28"/>
                <w:shd w:val="clear" w:color="auto" w:fill="FFFFFF"/>
              </w:rPr>
              <w:t xml:space="preserve"> </w:t>
            </w:r>
            <w:r w:rsidRPr="00413EBC">
              <w:rPr>
                <w:color w:val="000000"/>
                <w:sz w:val="28"/>
                <w:szCs w:val="28"/>
              </w:rPr>
              <w:t xml:space="preserve">(turpmāk – noteikumu projekts) </w:t>
            </w:r>
            <w:r w:rsidRPr="00413EBC">
              <w:rPr>
                <w:sz w:val="28"/>
                <w:szCs w:val="28"/>
                <w:shd w:val="clear" w:color="auto" w:fill="FFFFFF"/>
              </w:rPr>
              <w:t>izstrādāts, ņemot vērā</w:t>
            </w:r>
            <w:r w:rsidR="00E43F5A">
              <w:rPr>
                <w:sz w:val="28"/>
                <w:szCs w:val="28"/>
                <w:shd w:val="clear" w:color="auto" w:fill="FFFFFF"/>
              </w:rPr>
              <w:t>, ka atbilstoši</w:t>
            </w:r>
            <w:r w:rsidRPr="00413EBC">
              <w:rPr>
                <w:sz w:val="28"/>
                <w:szCs w:val="28"/>
                <w:shd w:val="clear" w:color="auto" w:fill="FFFFFF"/>
              </w:rPr>
              <w:t xml:space="preserve"> </w:t>
            </w:r>
            <w:r w:rsidRPr="00413EBC">
              <w:rPr>
                <w:color w:val="000000" w:themeColor="text1"/>
                <w:sz w:val="28"/>
                <w:szCs w:val="28"/>
              </w:rPr>
              <w:t xml:space="preserve">2018.gada 25.oktobra </w:t>
            </w:r>
            <w:r w:rsidR="00E43F5A">
              <w:rPr>
                <w:color w:val="000000" w:themeColor="text1"/>
                <w:sz w:val="28"/>
                <w:szCs w:val="28"/>
              </w:rPr>
              <w:t xml:space="preserve">grozījumiem </w:t>
            </w:r>
            <w:r w:rsidR="00E43F5A" w:rsidRPr="00413EBC">
              <w:rPr>
                <w:color w:val="000000" w:themeColor="text1"/>
                <w:sz w:val="28"/>
                <w:szCs w:val="28"/>
              </w:rPr>
              <w:t>likum</w:t>
            </w:r>
            <w:r w:rsidR="00E43F5A">
              <w:rPr>
                <w:color w:val="000000" w:themeColor="text1"/>
                <w:sz w:val="28"/>
                <w:szCs w:val="28"/>
              </w:rPr>
              <w:t>ā</w:t>
            </w:r>
            <w:r w:rsidR="00E43F5A" w:rsidRPr="00413EBC">
              <w:rPr>
                <w:color w:val="000000" w:themeColor="text1"/>
                <w:sz w:val="28"/>
                <w:szCs w:val="28"/>
              </w:rPr>
              <w:t xml:space="preserve"> </w:t>
            </w:r>
            <w:r w:rsidRPr="00413EBC">
              <w:rPr>
                <w:sz w:val="28"/>
                <w:szCs w:val="28"/>
              </w:rPr>
              <w:t>„</w:t>
            </w:r>
            <w:r w:rsidRPr="00413EBC">
              <w:rPr>
                <w:color w:val="000000" w:themeColor="text1"/>
                <w:sz w:val="28"/>
                <w:szCs w:val="28"/>
              </w:rPr>
              <w:t xml:space="preserve">Par akcīzes nodokli”” </w:t>
            </w:r>
            <w:r w:rsidR="00E43F5A">
              <w:rPr>
                <w:color w:val="000000" w:themeColor="text1"/>
                <w:sz w:val="28"/>
                <w:szCs w:val="28"/>
              </w:rPr>
              <w:t>,</w:t>
            </w:r>
            <w:r w:rsidRPr="00413EBC">
              <w:rPr>
                <w:color w:val="000000" w:themeColor="text1"/>
                <w:sz w:val="28"/>
                <w:szCs w:val="28"/>
              </w:rPr>
              <w:t xml:space="preserve"> likuma 32.panta </w:t>
            </w:r>
            <w:r w:rsidR="00E43F5A" w:rsidRPr="00413EBC">
              <w:rPr>
                <w:color w:val="000000" w:themeColor="text1"/>
                <w:sz w:val="28"/>
                <w:szCs w:val="28"/>
              </w:rPr>
              <w:t>sest</w:t>
            </w:r>
            <w:r w:rsidR="00E43F5A">
              <w:rPr>
                <w:color w:val="000000" w:themeColor="text1"/>
                <w:sz w:val="28"/>
                <w:szCs w:val="28"/>
              </w:rPr>
              <w:t>ā daļa (šo noteikumu deleģējums) ir izteikta</w:t>
            </w:r>
            <w:r w:rsidR="00E43F5A" w:rsidRPr="00413EBC">
              <w:rPr>
                <w:color w:val="000000" w:themeColor="text1"/>
                <w:sz w:val="28"/>
                <w:szCs w:val="28"/>
              </w:rPr>
              <w:t xml:space="preserve"> </w:t>
            </w:r>
            <w:r w:rsidRPr="00413EBC">
              <w:rPr>
                <w:color w:val="000000" w:themeColor="text1"/>
                <w:sz w:val="28"/>
                <w:szCs w:val="28"/>
              </w:rPr>
              <w:t>jaunā redakcijā.</w:t>
            </w:r>
          </w:p>
        </w:tc>
      </w:tr>
    </w:tbl>
    <w:p w:rsidR="00C636D1" w:rsidRPr="00413EBC" w:rsidRDefault="00C636D1" w:rsidP="00C636D1">
      <w:pPr>
        <w:jc w:val="center"/>
        <w:outlineLvl w:val="3"/>
        <w:rPr>
          <w:b/>
          <w:bCs/>
          <w:sz w:val="28"/>
          <w:szCs w:val="28"/>
        </w:rPr>
      </w:pPr>
    </w:p>
    <w:p w:rsidR="00C636D1" w:rsidRPr="00413EBC" w:rsidRDefault="00C636D1" w:rsidP="00C636D1">
      <w:pPr>
        <w:jc w:val="center"/>
        <w:outlineLvl w:val="3"/>
        <w:rPr>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670"/>
      </w:tblGrid>
      <w:tr w:rsidR="00B253C1" w:rsidRPr="00413EBC" w:rsidTr="004030DF">
        <w:trPr>
          <w:trHeight w:val="427"/>
        </w:trPr>
        <w:tc>
          <w:tcPr>
            <w:tcW w:w="9464" w:type="dxa"/>
            <w:gridSpan w:val="3"/>
            <w:hideMark/>
          </w:tcPr>
          <w:p w:rsidR="00B15F05" w:rsidRPr="00413EBC" w:rsidRDefault="00A139E9" w:rsidP="00B15F05">
            <w:pPr>
              <w:numPr>
                <w:ilvl w:val="0"/>
                <w:numId w:val="1"/>
              </w:numPr>
              <w:jc w:val="center"/>
              <w:rPr>
                <w:b/>
                <w:bCs/>
                <w:sz w:val="28"/>
                <w:szCs w:val="28"/>
              </w:rPr>
            </w:pPr>
            <w:r w:rsidRPr="00413EBC">
              <w:rPr>
                <w:b/>
                <w:bCs/>
                <w:sz w:val="28"/>
                <w:szCs w:val="28"/>
              </w:rPr>
              <w:t>Tiesību akta projekta izstrādes nepieciešamība</w:t>
            </w:r>
          </w:p>
        </w:tc>
      </w:tr>
      <w:tr w:rsidR="00B253C1" w:rsidRPr="00413EBC" w:rsidTr="004030DF">
        <w:tc>
          <w:tcPr>
            <w:tcW w:w="496" w:type="dxa"/>
            <w:hideMark/>
          </w:tcPr>
          <w:p w:rsidR="00B15F05" w:rsidRPr="00413EBC" w:rsidRDefault="00A139E9" w:rsidP="00B15F05">
            <w:pPr>
              <w:rPr>
                <w:sz w:val="28"/>
                <w:szCs w:val="28"/>
              </w:rPr>
            </w:pPr>
            <w:r w:rsidRPr="00413EBC">
              <w:rPr>
                <w:sz w:val="28"/>
                <w:szCs w:val="28"/>
              </w:rPr>
              <w:t>1.</w:t>
            </w:r>
          </w:p>
        </w:tc>
        <w:tc>
          <w:tcPr>
            <w:tcW w:w="3298" w:type="dxa"/>
            <w:hideMark/>
          </w:tcPr>
          <w:p w:rsidR="00B15F05" w:rsidRPr="00413EBC" w:rsidRDefault="00A139E9" w:rsidP="00B15F05">
            <w:pPr>
              <w:rPr>
                <w:sz w:val="28"/>
                <w:szCs w:val="28"/>
              </w:rPr>
            </w:pPr>
            <w:r w:rsidRPr="00413EBC">
              <w:rPr>
                <w:sz w:val="28"/>
                <w:szCs w:val="28"/>
              </w:rPr>
              <w:t>Pamatojums</w:t>
            </w:r>
          </w:p>
        </w:tc>
        <w:tc>
          <w:tcPr>
            <w:tcW w:w="5670" w:type="dxa"/>
          </w:tcPr>
          <w:p w:rsidR="00F403B7" w:rsidRPr="00413EBC" w:rsidRDefault="001E2CC4" w:rsidP="00FC55C0">
            <w:pPr>
              <w:ind w:firstLine="567"/>
              <w:jc w:val="both"/>
              <w:rPr>
                <w:sz w:val="28"/>
                <w:szCs w:val="28"/>
              </w:rPr>
            </w:pPr>
            <w:r w:rsidRPr="00413EBC">
              <w:rPr>
                <w:color w:val="000000"/>
                <w:sz w:val="28"/>
                <w:szCs w:val="28"/>
              </w:rPr>
              <w:t>Ministru prezidenta Māra Kučinska 2018.gada 20.novembra rezolūcija Nr.12/2018-JUR-193.</w:t>
            </w:r>
          </w:p>
          <w:p w:rsidR="001E2CC4" w:rsidRPr="00413EBC" w:rsidRDefault="001E2CC4" w:rsidP="00FC55C0">
            <w:pPr>
              <w:pStyle w:val="ListParagraph"/>
              <w:ind w:left="0" w:firstLine="567"/>
              <w:jc w:val="both"/>
              <w:rPr>
                <w:sz w:val="28"/>
                <w:szCs w:val="28"/>
              </w:rPr>
            </w:pPr>
            <w:r w:rsidRPr="00413EBC">
              <w:rPr>
                <w:iCs/>
                <w:sz w:val="28"/>
                <w:szCs w:val="28"/>
                <w:shd w:val="clear" w:color="auto" w:fill="FFFFFF"/>
              </w:rPr>
              <w:t xml:space="preserve">Konceptuālais ziņojums </w:t>
            </w:r>
            <w:r w:rsidRPr="00413EBC">
              <w:rPr>
                <w:sz w:val="28"/>
                <w:szCs w:val="28"/>
                <w:shd w:val="clear" w:color="auto" w:fill="FFFFFF"/>
              </w:rPr>
              <w:t>„</w:t>
            </w:r>
            <w:r w:rsidRPr="00413EBC">
              <w:rPr>
                <w:iCs/>
                <w:sz w:val="28"/>
                <w:szCs w:val="28"/>
                <w:shd w:val="clear" w:color="auto" w:fill="FFFFFF"/>
              </w:rPr>
              <w:t>Par Padziļinātās sadarbības programmas darbību un tās attīstības modeli</w:t>
            </w:r>
            <w:r w:rsidRPr="00413EBC">
              <w:rPr>
                <w:sz w:val="28"/>
                <w:szCs w:val="28"/>
                <w:shd w:val="clear" w:color="auto" w:fill="FFFFFF"/>
              </w:rPr>
              <w:t>””</w:t>
            </w:r>
            <w:r w:rsidRPr="00413EBC">
              <w:rPr>
                <w:iCs/>
                <w:sz w:val="28"/>
                <w:szCs w:val="28"/>
                <w:shd w:val="clear" w:color="auto" w:fill="FFFFFF"/>
              </w:rPr>
              <w:t xml:space="preserve"> (Ministru kabineta 2018.gada 27.jūnija rīkojums Nr.290).</w:t>
            </w:r>
          </w:p>
          <w:p w:rsidR="0070267A" w:rsidRPr="00413EBC" w:rsidRDefault="001E2CC4" w:rsidP="00FC55C0">
            <w:pPr>
              <w:ind w:firstLine="567"/>
              <w:jc w:val="both"/>
              <w:rPr>
                <w:sz w:val="28"/>
                <w:szCs w:val="28"/>
              </w:rPr>
            </w:pPr>
            <w:r w:rsidRPr="00413EBC">
              <w:rPr>
                <w:sz w:val="28"/>
                <w:szCs w:val="28"/>
              </w:rPr>
              <w:t xml:space="preserve">Ministru kabineta 2018.gada 27.novembra noteikumi Nr.748 </w:t>
            </w:r>
            <w:r w:rsidRPr="00413EBC">
              <w:rPr>
                <w:sz w:val="28"/>
                <w:szCs w:val="28"/>
                <w:shd w:val="clear" w:color="auto" w:fill="FFFFFF"/>
              </w:rPr>
              <w:t>„Padziļinātās sadarbības programmas darbības noteikumi”.</w:t>
            </w:r>
          </w:p>
        </w:tc>
      </w:tr>
      <w:tr w:rsidR="00B253C1" w:rsidRPr="00413EBC" w:rsidTr="004030DF">
        <w:tc>
          <w:tcPr>
            <w:tcW w:w="496" w:type="dxa"/>
            <w:hideMark/>
          </w:tcPr>
          <w:p w:rsidR="00B15F05" w:rsidRPr="00413EBC" w:rsidRDefault="00A139E9" w:rsidP="00B15F05">
            <w:pPr>
              <w:rPr>
                <w:sz w:val="28"/>
                <w:szCs w:val="28"/>
              </w:rPr>
            </w:pPr>
            <w:r w:rsidRPr="00413EBC">
              <w:rPr>
                <w:sz w:val="28"/>
                <w:szCs w:val="28"/>
              </w:rPr>
              <w:t>2.</w:t>
            </w:r>
          </w:p>
        </w:tc>
        <w:tc>
          <w:tcPr>
            <w:tcW w:w="3298" w:type="dxa"/>
            <w:hideMark/>
          </w:tcPr>
          <w:p w:rsidR="00B15F05" w:rsidRPr="00413EBC" w:rsidRDefault="00A139E9" w:rsidP="00B15F05">
            <w:pPr>
              <w:jc w:val="both"/>
              <w:rPr>
                <w:sz w:val="28"/>
                <w:szCs w:val="28"/>
              </w:rPr>
            </w:pPr>
            <w:r w:rsidRPr="00413EBC">
              <w:rPr>
                <w:color w:val="000000"/>
                <w:sz w:val="28"/>
                <w:szCs w:val="28"/>
              </w:rPr>
              <w:t>Pašreizējā situācija un problēmas, kuru risināšanai tiesību akta projekts izstrādāts, tiesiskā regulējuma mērķis un būtība</w:t>
            </w:r>
          </w:p>
        </w:tc>
        <w:tc>
          <w:tcPr>
            <w:tcW w:w="5670" w:type="dxa"/>
          </w:tcPr>
          <w:p w:rsidR="00BF21EF" w:rsidRPr="00413EBC" w:rsidRDefault="00BF21EF" w:rsidP="00BC7635">
            <w:pPr>
              <w:ind w:firstLine="459"/>
              <w:jc w:val="both"/>
              <w:rPr>
                <w:color w:val="000000" w:themeColor="text1"/>
                <w:sz w:val="28"/>
                <w:szCs w:val="28"/>
              </w:rPr>
            </w:pPr>
            <w:r w:rsidRPr="00413EBC">
              <w:rPr>
                <w:color w:val="000000" w:themeColor="text1"/>
                <w:sz w:val="28"/>
                <w:szCs w:val="28"/>
              </w:rPr>
              <w:t xml:space="preserve">Saskaņā ar Ministru kabineta 2018.gada 4.janvāra sēdes protokola Nr.1 30.§ 2.punktu Finanšu ministrijai tika uzdots izstrādāt grozījumus likumā </w:t>
            </w:r>
            <w:r w:rsidRPr="00413EBC">
              <w:rPr>
                <w:sz w:val="28"/>
                <w:szCs w:val="28"/>
                <w:shd w:val="clear" w:color="auto" w:fill="FFFFFF"/>
              </w:rPr>
              <w:t>„</w:t>
            </w:r>
            <w:r w:rsidRPr="00413EBC">
              <w:rPr>
                <w:color w:val="000000" w:themeColor="text1"/>
                <w:sz w:val="28"/>
                <w:szCs w:val="28"/>
              </w:rPr>
              <w:t>Par akcīzes nodokli”, papildinot  likuma 32.panta sestās daļas deleģējumu. Atbilstoši uzdotajam, 2018.gada 25.oktobrī tika pieņemts likums „Grozījumi likumā „Par akcīzes nodokli”” saskaņā, ar kuru</w:t>
            </w:r>
            <w:r w:rsidR="00BD20F0" w:rsidRPr="00413EBC">
              <w:rPr>
                <w:color w:val="000000" w:themeColor="text1"/>
                <w:sz w:val="28"/>
                <w:szCs w:val="28"/>
              </w:rPr>
              <w:t xml:space="preserve"> </w:t>
            </w:r>
            <w:r w:rsidR="00BD20F0" w:rsidRPr="00413EBC">
              <w:rPr>
                <w:color w:val="000000"/>
                <w:sz w:val="28"/>
                <w:szCs w:val="28"/>
              </w:rPr>
              <w:t xml:space="preserve">Ministru kabineta </w:t>
            </w:r>
            <w:r w:rsidR="00BD20F0" w:rsidRPr="00413EBC">
              <w:rPr>
                <w:color w:val="000000" w:themeColor="text1"/>
                <w:sz w:val="28"/>
                <w:szCs w:val="28"/>
              </w:rPr>
              <w:t xml:space="preserve">2018.gada 4.janvāra noteikumu Nr.16 „Noteikumi par akcīzes nodokļa nodrošinājumiem” </w:t>
            </w:r>
            <w:r w:rsidR="00BD20F0" w:rsidRPr="00413EBC">
              <w:rPr>
                <w:color w:val="000000"/>
                <w:sz w:val="28"/>
                <w:szCs w:val="28"/>
              </w:rPr>
              <w:t>(turpmāk – MK noteikumi Nr.16) deleģējums tika izteikts jaunā redakcijā</w:t>
            </w:r>
            <w:r w:rsidRPr="00413EBC">
              <w:rPr>
                <w:color w:val="000000" w:themeColor="text1"/>
                <w:sz w:val="28"/>
                <w:szCs w:val="28"/>
              </w:rPr>
              <w:t xml:space="preserve">, paredzot Ministru kabinetam noteikt kārtību, kādā Valsts ieņēmumu dienests (turpmāk – VID) izsniedz, pārreģistrē, anulē nodrošinājuma apliecību, aptur un atjauno nodrošinājuma apliecības darbību, atsaka </w:t>
            </w:r>
            <w:r w:rsidRPr="00413EBC">
              <w:rPr>
                <w:color w:val="000000" w:themeColor="text1"/>
                <w:sz w:val="28"/>
                <w:szCs w:val="28"/>
              </w:rPr>
              <w:lastRenderedPageBreak/>
              <w:t>izsniegt vai pārreģistrēt nodrošinājuma apliecību, piešķir vai atceļ vispārējā nodrošinājuma samazinājumu, administrē, dzēš, novirza nodokļu parādu segšanai vai atdod nodrošinājumus, piešķir vai anulē nodrošinātāja statusu.</w:t>
            </w:r>
          </w:p>
          <w:p w:rsidR="00B1261D" w:rsidRPr="00413EBC" w:rsidRDefault="00B1261D" w:rsidP="00BC7635">
            <w:pPr>
              <w:ind w:firstLine="459"/>
              <w:jc w:val="both"/>
              <w:rPr>
                <w:color w:val="000000"/>
                <w:sz w:val="28"/>
                <w:szCs w:val="28"/>
              </w:rPr>
            </w:pPr>
            <w:r w:rsidRPr="00413EBC">
              <w:rPr>
                <w:color w:val="000000"/>
                <w:sz w:val="28"/>
                <w:szCs w:val="28"/>
              </w:rPr>
              <w:t>Oficiālo publikāciju un t</w:t>
            </w:r>
            <w:r w:rsidR="004A7EA7" w:rsidRPr="00413EBC">
              <w:rPr>
                <w:color w:val="000000"/>
                <w:sz w:val="28"/>
                <w:szCs w:val="28"/>
              </w:rPr>
              <w:t>iesiskās informācijas likuma 9.</w:t>
            </w:r>
            <w:r w:rsidRPr="00413EBC">
              <w:rPr>
                <w:color w:val="000000"/>
                <w:sz w:val="28"/>
                <w:szCs w:val="28"/>
              </w:rPr>
              <w:t>panta piektā daļa nosaka, ka gadījumā, ja spēku zaudē normatīvā akta izdošanas tiesiskais pamats (augstāka juridiska spēka tiesību norma, uz kuras pamata izdots cits normatīvais akts), tad spēku zaudē arī uz šā pamata izdotais normatīvais akts vai tā daļa.</w:t>
            </w:r>
          </w:p>
          <w:p w:rsidR="00507962" w:rsidRPr="00413EBC" w:rsidRDefault="00B1261D" w:rsidP="00602B8F">
            <w:pPr>
              <w:ind w:firstLine="459"/>
              <w:jc w:val="both"/>
              <w:rPr>
                <w:color w:val="000000"/>
                <w:sz w:val="28"/>
                <w:szCs w:val="28"/>
              </w:rPr>
            </w:pPr>
            <w:r w:rsidRPr="00413EBC">
              <w:rPr>
                <w:color w:val="000000"/>
                <w:sz w:val="28"/>
                <w:szCs w:val="28"/>
              </w:rPr>
              <w:t xml:space="preserve">Ņemot vērā iepriekš minēto, </w:t>
            </w:r>
            <w:r w:rsidR="00C636D1" w:rsidRPr="00413EBC">
              <w:rPr>
                <w:color w:val="000000"/>
                <w:sz w:val="28"/>
                <w:szCs w:val="28"/>
              </w:rPr>
              <w:t xml:space="preserve">sagatavots </w:t>
            </w:r>
            <w:r w:rsidRPr="00413EBC">
              <w:rPr>
                <w:color w:val="000000"/>
                <w:sz w:val="28"/>
                <w:szCs w:val="28"/>
              </w:rPr>
              <w:t>n</w:t>
            </w:r>
            <w:r w:rsidR="00C636D1" w:rsidRPr="00413EBC">
              <w:rPr>
                <w:color w:val="000000"/>
                <w:sz w:val="28"/>
                <w:szCs w:val="28"/>
              </w:rPr>
              <w:t>oteikumu projekts</w:t>
            </w:r>
            <w:r w:rsidRPr="00413EBC">
              <w:rPr>
                <w:color w:val="000000"/>
                <w:sz w:val="28"/>
                <w:szCs w:val="28"/>
              </w:rPr>
              <w:t>, kura</w:t>
            </w:r>
            <w:r w:rsidR="00CA778B">
              <w:rPr>
                <w:color w:val="000000"/>
                <w:sz w:val="28"/>
                <w:szCs w:val="28"/>
              </w:rPr>
              <w:t xml:space="preserve"> redakcija </w:t>
            </w:r>
            <w:r w:rsidR="00CA778B" w:rsidRPr="00413EBC">
              <w:rPr>
                <w:color w:val="000000"/>
                <w:sz w:val="28"/>
                <w:szCs w:val="28"/>
              </w:rPr>
              <w:t xml:space="preserve"> </w:t>
            </w:r>
            <w:r w:rsidR="00CA778B">
              <w:rPr>
                <w:color w:val="000000"/>
                <w:sz w:val="28"/>
                <w:szCs w:val="28"/>
              </w:rPr>
              <w:t xml:space="preserve">atbilst </w:t>
            </w:r>
            <w:r w:rsidR="004A6B89" w:rsidRPr="00413EBC">
              <w:rPr>
                <w:color w:val="000000"/>
                <w:sz w:val="28"/>
                <w:szCs w:val="28"/>
              </w:rPr>
              <w:t>MK</w:t>
            </w:r>
            <w:r w:rsidR="00595CA9" w:rsidRPr="00413EBC">
              <w:rPr>
                <w:color w:val="000000"/>
                <w:sz w:val="28"/>
                <w:szCs w:val="28"/>
              </w:rPr>
              <w:t xml:space="preserve"> </w:t>
            </w:r>
            <w:r w:rsidR="00CA778B" w:rsidRPr="00413EBC">
              <w:rPr>
                <w:color w:val="000000"/>
                <w:sz w:val="28"/>
                <w:szCs w:val="28"/>
              </w:rPr>
              <w:t>noteikum</w:t>
            </w:r>
            <w:r w:rsidR="00CA778B">
              <w:rPr>
                <w:color w:val="000000"/>
                <w:sz w:val="28"/>
                <w:szCs w:val="28"/>
              </w:rPr>
              <w:t>u</w:t>
            </w:r>
            <w:r w:rsidR="00CA778B" w:rsidRPr="00413EBC">
              <w:rPr>
                <w:color w:val="000000"/>
                <w:sz w:val="28"/>
                <w:szCs w:val="28"/>
              </w:rPr>
              <w:t xml:space="preserve"> </w:t>
            </w:r>
            <w:r w:rsidR="00595CA9" w:rsidRPr="00413EBC">
              <w:rPr>
                <w:color w:val="000000"/>
                <w:sz w:val="28"/>
                <w:szCs w:val="28"/>
              </w:rPr>
              <w:t>Nr.</w:t>
            </w:r>
            <w:r w:rsidR="00507962" w:rsidRPr="00413EBC">
              <w:rPr>
                <w:color w:val="000000"/>
                <w:sz w:val="28"/>
                <w:szCs w:val="28"/>
              </w:rPr>
              <w:t>16</w:t>
            </w:r>
            <w:r w:rsidR="00CA778B">
              <w:rPr>
                <w:color w:val="000000"/>
                <w:sz w:val="28"/>
                <w:szCs w:val="28"/>
              </w:rPr>
              <w:t xml:space="preserve"> redakcijai</w:t>
            </w:r>
            <w:r w:rsidR="00B7266D" w:rsidRPr="00413EBC">
              <w:rPr>
                <w:color w:val="000000"/>
                <w:sz w:val="28"/>
                <w:szCs w:val="28"/>
              </w:rPr>
              <w:t>,</w:t>
            </w:r>
            <w:r w:rsidR="00CA778B">
              <w:rPr>
                <w:color w:val="000000"/>
                <w:sz w:val="28"/>
                <w:szCs w:val="28"/>
              </w:rPr>
              <w:t xml:space="preserve"> jo </w:t>
            </w:r>
            <w:r w:rsidR="00B7266D" w:rsidRPr="00413EBC">
              <w:rPr>
                <w:color w:val="000000"/>
                <w:sz w:val="28"/>
                <w:szCs w:val="28"/>
              </w:rPr>
              <w:t xml:space="preserve"> </w:t>
            </w:r>
            <w:r w:rsidR="00CA778B" w:rsidRPr="00CA778B">
              <w:rPr>
                <w:color w:val="000000"/>
                <w:sz w:val="28"/>
                <w:szCs w:val="28"/>
              </w:rPr>
              <w:t>MK noteikumu Nr.16</w:t>
            </w:r>
            <w:r w:rsidR="00CA778B">
              <w:rPr>
                <w:color w:val="000000"/>
                <w:sz w:val="28"/>
                <w:szCs w:val="28"/>
              </w:rPr>
              <w:t xml:space="preserve"> redakcija jau pieņemšanas brīdī atbilda likuma </w:t>
            </w:r>
            <w:r w:rsidR="00E42A31" w:rsidRPr="00F57E5D">
              <w:rPr>
                <w:sz w:val="28"/>
                <w:szCs w:val="28"/>
                <w:shd w:val="clear" w:color="auto" w:fill="FFFFFF"/>
              </w:rPr>
              <w:t>„</w:t>
            </w:r>
            <w:r w:rsidR="00CA778B">
              <w:rPr>
                <w:color w:val="000000"/>
                <w:sz w:val="28"/>
                <w:szCs w:val="28"/>
              </w:rPr>
              <w:t>Par akcīzes nodokli” 32.panta sestās daļas deleģējumam</w:t>
            </w:r>
            <w:r w:rsidR="00886E14">
              <w:rPr>
                <w:color w:val="000000"/>
                <w:sz w:val="28"/>
                <w:szCs w:val="28"/>
              </w:rPr>
              <w:t>,</w:t>
            </w:r>
            <w:r w:rsidR="00CA778B">
              <w:rPr>
                <w:color w:val="000000"/>
                <w:sz w:val="28"/>
                <w:szCs w:val="28"/>
              </w:rPr>
              <w:t xml:space="preserve"> kāds tas ir šobrīd. </w:t>
            </w:r>
          </w:p>
          <w:p w:rsidR="00507962" w:rsidRPr="00413EBC" w:rsidRDefault="003161E5" w:rsidP="00DA7F0F">
            <w:pPr>
              <w:ind w:left="34" w:right="57" w:firstLine="425"/>
              <w:jc w:val="both"/>
              <w:rPr>
                <w:color w:val="000000" w:themeColor="text1"/>
                <w:sz w:val="28"/>
                <w:szCs w:val="28"/>
              </w:rPr>
            </w:pPr>
            <w:r w:rsidRPr="00413EBC">
              <w:rPr>
                <w:color w:val="000000" w:themeColor="text1"/>
                <w:sz w:val="28"/>
                <w:szCs w:val="28"/>
              </w:rPr>
              <w:t>MK noteikumu Nr.16 16.1.apakšpunktā noteikts, ka VID neizsniedz vai nepārreģistrē vispārējā nodrošinājuma apliecību, ja iesniegtais vispārējais nodrošinājums ir mazāks par šo noteikumu 32. vai 33.punktā norādīto iesniegtā vispārējā nodrošinājuma lielumu. Savukārt gadījumos, kad nodokļu maksātājs nav iesniedzis akcīzes nodokļa vispārējo nodrošinājumu, VID nav noteiktas tiesības atteikt akcīzes nodokļa vispārējā nodrošinājuma apliecības izsniegšanu vai pārreģistrēšanu – līdzīgi, kā tas šobrīd ir noteikts attiecībā uz vienreizējā nodrošinājuma neizsniegšanu vai nepārreģistrēšanu MK noteikumu Nr.16 48.1.apakšpunktā.</w:t>
            </w:r>
          </w:p>
          <w:p w:rsidR="003161E5" w:rsidRPr="00413EBC" w:rsidRDefault="003161E5" w:rsidP="00F91F7C">
            <w:pPr>
              <w:ind w:right="57" w:firstLine="459"/>
              <w:jc w:val="both"/>
              <w:rPr>
                <w:color w:val="000000" w:themeColor="text1"/>
                <w:sz w:val="28"/>
                <w:szCs w:val="28"/>
              </w:rPr>
            </w:pPr>
            <w:r w:rsidRPr="00413EBC">
              <w:rPr>
                <w:color w:val="000000" w:themeColor="text1"/>
                <w:sz w:val="28"/>
                <w:szCs w:val="28"/>
              </w:rPr>
              <w:t xml:space="preserve">Tādējādi </w:t>
            </w:r>
            <w:r w:rsidRPr="00413EBC">
              <w:rPr>
                <w:sz w:val="28"/>
                <w:szCs w:val="28"/>
                <w:shd w:val="clear" w:color="auto" w:fill="FFFFFF"/>
              </w:rPr>
              <w:t>n</w:t>
            </w:r>
            <w:r w:rsidRPr="00413EBC">
              <w:rPr>
                <w:color w:val="000000" w:themeColor="text1"/>
                <w:sz w:val="28"/>
                <w:szCs w:val="28"/>
              </w:rPr>
              <w:t>oteikumu projekt</w:t>
            </w:r>
            <w:r w:rsidR="00B7266D" w:rsidRPr="00413EBC">
              <w:rPr>
                <w:color w:val="000000" w:themeColor="text1"/>
                <w:sz w:val="28"/>
                <w:szCs w:val="28"/>
              </w:rPr>
              <w:t xml:space="preserve">a </w:t>
            </w:r>
            <w:r w:rsidRPr="00413EBC">
              <w:rPr>
                <w:color w:val="000000" w:themeColor="text1"/>
                <w:sz w:val="28"/>
                <w:szCs w:val="28"/>
              </w:rPr>
              <w:t>16.1.apakšpunktā vārd</w:t>
            </w:r>
            <w:r w:rsidR="00B7266D" w:rsidRPr="00413EBC">
              <w:rPr>
                <w:color w:val="000000" w:themeColor="text1"/>
                <w:sz w:val="28"/>
                <w:szCs w:val="28"/>
              </w:rPr>
              <w:t>s</w:t>
            </w:r>
            <w:r w:rsidRPr="00413EBC">
              <w:rPr>
                <w:color w:val="000000" w:themeColor="text1"/>
                <w:sz w:val="28"/>
                <w:szCs w:val="28"/>
              </w:rPr>
              <w:t xml:space="preserve"> „iesniegtais” </w:t>
            </w:r>
            <w:r w:rsidR="00B7266D" w:rsidRPr="00413EBC">
              <w:rPr>
                <w:color w:val="000000" w:themeColor="text1"/>
                <w:sz w:val="28"/>
                <w:szCs w:val="28"/>
              </w:rPr>
              <w:t xml:space="preserve">aizstāts </w:t>
            </w:r>
            <w:r w:rsidRPr="00413EBC">
              <w:rPr>
                <w:color w:val="000000" w:themeColor="text1"/>
                <w:sz w:val="28"/>
                <w:szCs w:val="28"/>
              </w:rPr>
              <w:t>ar vārdiem „vispārējais nodrošinājums nav iesniegts vai iesniegtais”.</w:t>
            </w:r>
          </w:p>
          <w:p w:rsidR="00B7266D" w:rsidRPr="00413EBC" w:rsidRDefault="00B7266D" w:rsidP="00DA7F0F">
            <w:pPr>
              <w:ind w:left="34" w:firstLine="425"/>
              <w:jc w:val="both"/>
              <w:rPr>
                <w:color w:val="000000" w:themeColor="text1"/>
                <w:sz w:val="28"/>
                <w:szCs w:val="28"/>
              </w:rPr>
            </w:pPr>
            <w:r w:rsidRPr="00413EBC">
              <w:rPr>
                <w:color w:val="000000" w:themeColor="text1"/>
                <w:sz w:val="28"/>
                <w:szCs w:val="28"/>
              </w:rPr>
              <w:t xml:space="preserve">Pašreiz saskaņā ar MK noteikumu Nr.16 30.punkta nosacījumiem VID iesniedzamā vispārējā nodrošinājuma samazināšanai jāizvērtē komersanta atbilstība katram no 30.punkta apakšpunktu nosacījumiem, un tikai izpildoties visiem normā minētajiem kritērijiem, ir tiesīgs  </w:t>
            </w:r>
            <w:r w:rsidRPr="00413EBC">
              <w:rPr>
                <w:color w:val="000000" w:themeColor="text1"/>
                <w:sz w:val="28"/>
                <w:szCs w:val="28"/>
              </w:rPr>
              <w:lastRenderedPageBreak/>
              <w:t>samazināt iesniedzamo vispārējo nodrošinājumu. Tas rada ievērojamu administratīvo slogu  akcīzes preču apritē iesaistītajiem komersantiem gadījumā, ja objektīvu iemeslu dēļ komersants neatbilst kādam no šiem nosacījumiem (piemēram, divus gadus pirms iesnieguma iesniegšanas komersantam bijušas spēkā vairākas speciālās atļaujas (licences), taču to darbības laikā bijis mēneša pārtraukums komersanta saimnieciskās darbības izmaiņu rezultātā).</w:t>
            </w:r>
          </w:p>
          <w:p w:rsidR="003161E5" w:rsidRPr="00413EBC" w:rsidRDefault="00B7266D" w:rsidP="004624D0">
            <w:pPr>
              <w:ind w:left="34" w:right="57" w:firstLine="425"/>
              <w:jc w:val="both"/>
              <w:rPr>
                <w:color w:val="000000"/>
                <w:sz w:val="28"/>
                <w:szCs w:val="28"/>
              </w:rPr>
            </w:pPr>
            <w:r w:rsidRPr="00413EBC">
              <w:rPr>
                <w:color w:val="000000" w:themeColor="text1"/>
                <w:sz w:val="28"/>
                <w:szCs w:val="28"/>
              </w:rPr>
              <w:t xml:space="preserve">Lai iesniedzamā vispārējā nodrošinājuma samazināšanai vērtētu katru no 30.punkta apakšpunktu nosacījumiem atsevišķi un tādējādi samazinātu administratīvo slogu akcīzes preču apritē iesaistītajiem komersantiem, </w:t>
            </w:r>
            <w:r w:rsidRPr="00413EBC">
              <w:rPr>
                <w:sz w:val="28"/>
                <w:szCs w:val="28"/>
                <w:shd w:val="clear" w:color="auto" w:fill="FFFFFF"/>
              </w:rPr>
              <w:t>n</w:t>
            </w:r>
            <w:r w:rsidRPr="00413EBC">
              <w:rPr>
                <w:color w:val="000000" w:themeColor="text1"/>
                <w:sz w:val="28"/>
                <w:szCs w:val="28"/>
              </w:rPr>
              <w:t>oteikumu projekta 30.punkta ievaddaļa izteikta jaunā redakcijā.</w:t>
            </w:r>
          </w:p>
          <w:p w:rsidR="001C637D" w:rsidRDefault="00413CB8" w:rsidP="00991D17">
            <w:pPr>
              <w:ind w:left="34" w:firstLine="425"/>
              <w:jc w:val="both"/>
              <w:rPr>
                <w:color w:val="000000" w:themeColor="text1"/>
                <w:sz w:val="28"/>
                <w:szCs w:val="28"/>
              </w:rPr>
            </w:pPr>
            <w:r>
              <w:rPr>
                <w:color w:val="000000"/>
                <w:sz w:val="28"/>
                <w:szCs w:val="28"/>
              </w:rPr>
              <w:t>N</w:t>
            </w:r>
            <w:r w:rsidR="00991D17" w:rsidRPr="00413EBC">
              <w:rPr>
                <w:color w:val="000000" w:themeColor="text1"/>
                <w:sz w:val="28"/>
                <w:szCs w:val="28"/>
              </w:rPr>
              <w:t xml:space="preserve">oteikumu projektā precizēta 18.punkta redakcija, </w:t>
            </w:r>
            <w:r>
              <w:rPr>
                <w:color w:val="000000" w:themeColor="text1"/>
                <w:sz w:val="28"/>
                <w:szCs w:val="28"/>
              </w:rPr>
              <w:t xml:space="preserve">papildus </w:t>
            </w:r>
            <w:r w:rsidR="00991D17" w:rsidRPr="00413EBC">
              <w:rPr>
                <w:color w:val="000000" w:themeColor="text1"/>
                <w:sz w:val="28"/>
                <w:szCs w:val="28"/>
              </w:rPr>
              <w:t>paredzot VID tiesības apturēt vispārējā nodrošinājuma apliecības darbību uz laiku līdz 90 dienām</w:t>
            </w:r>
            <w:r>
              <w:rPr>
                <w:color w:val="000000" w:themeColor="text1"/>
                <w:sz w:val="28"/>
                <w:szCs w:val="28"/>
              </w:rPr>
              <w:t>,</w:t>
            </w:r>
            <w:r w:rsidR="00991D17" w:rsidRPr="00413EBC">
              <w:rPr>
                <w:color w:val="000000" w:themeColor="text1"/>
                <w:sz w:val="28"/>
                <w:szCs w:val="28"/>
              </w:rPr>
              <w:t xml:space="preserve"> </w:t>
            </w:r>
            <w:r w:rsidR="001C637D" w:rsidRPr="001C637D">
              <w:rPr>
                <w:color w:val="000000" w:themeColor="text1"/>
                <w:sz w:val="28"/>
                <w:szCs w:val="28"/>
              </w:rPr>
              <w:t>ja pārsniegts vispārēj</w:t>
            </w:r>
            <w:r w:rsidR="001C637D">
              <w:rPr>
                <w:color w:val="000000" w:themeColor="text1"/>
                <w:sz w:val="28"/>
                <w:szCs w:val="28"/>
              </w:rPr>
              <w:t>ā</w:t>
            </w:r>
            <w:r w:rsidR="001C637D" w:rsidRPr="001C637D">
              <w:rPr>
                <w:color w:val="000000" w:themeColor="text1"/>
                <w:sz w:val="28"/>
                <w:szCs w:val="28"/>
              </w:rPr>
              <w:t xml:space="preserve"> nodrošinājum</w:t>
            </w:r>
            <w:r w:rsidR="001C637D">
              <w:rPr>
                <w:color w:val="000000" w:themeColor="text1"/>
                <w:sz w:val="28"/>
                <w:szCs w:val="28"/>
              </w:rPr>
              <w:t>a apmērs.</w:t>
            </w:r>
            <w:r w:rsidR="001C637D" w:rsidRPr="001C637D">
              <w:rPr>
                <w:color w:val="000000" w:themeColor="text1"/>
                <w:sz w:val="28"/>
                <w:szCs w:val="28"/>
              </w:rPr>
              <w:t xml:space="preserve"> </w:t>
            </w:r>
          </w:p>
          <w:p w:rsidR="00FF2E40" w:rsidRPr="00413EBC" w:rsidRDefault="00FF2E40" w:rsidP="000367E3">
            <w:pPr>
              <w:ind w:left="34" w:firstLine="425"/>
              <w:jc w:val="both"/>
              <w:rPr>
                <w:color w:val="000000" w:themeColor="text1"/>
                <w:sz w:val="28"/>
                <w:szCs w:val="28"/>
              </w:rPr>
            </w:pPr>
            <w:r w:rsidRPr="00413EBC">
              <w:rPr>
                <w:color w:val="000000" w:themeColor="text1"/>
                <w:sz w:val="28"/>
                <w:szCs w:val="28"/>
              </w:rPr>
              <w:t xml:space="preserve">Saeima 2018.gada 27.septembrī pieņēma likumprojektu </w:t>
            </w:r>
            <w:r w:rsidRPr="00413EBC">
              <w:rPr>
                <w:sz w:val="28"/>
                <w:szCs w:val="28"/>
                <w:shd w:val="clear" w:color="auto" w:fill="FFFFFF"/>
              </w:rPr>
              <w:t>„</w:t>
            </w:r>
            <w:r w:rsidRPr="00413EBC">
              <w:rPr>
                <w:color w:val="000000" w:themeColor="text1"/>
                <w:sz w:val="28"/>
                <w:szCs w:val="28"/>
              </w:rPr>
              <w:t xml:space="preserve">Grozījumi likumā </w:t>
            </w:r>
            <w:r w:rsidRPr="00413EBC">
              <w:rPr>
                <w:sz w:val="28"/>
                <w:szCs w:val="28"/>
                <w:shd w:val="clear" w:color="auto" w:fill="FFFFFF"/>
              </w:rPr>
              <w:t>„</w:t>
            </w:r>
            <w:r w:rsidRPr="00413EBC">
              <w:rPr>
                <w:color w:val="000000" w:themeColor="text1"/>
                <w:sz w:val="28"/>
                <w:szCs w:val="28"/>
              </w:rPr>
              <w:t>Par nodokļiem un nodevām</w:t>
            </w:r>
            <w:r w:rsidRPr="00413EBC">
              <w:rPr>
                <w:sz w:val="28"/>
                <w:szCs w:val="28"/>
                <w:shd w:val="clear" w:color="auto" w:fill="FFFFFF"/>
              </w:rPr>
              <w:t>””</w:t>
            </w:r>
            <w:r w:rsidRPr="00413EBC">
              <w:rPr>
                <w:color w:val="000000" w:themeColor="text1"/>
                <w:sz w:val="28"/>
                <w:szCs w:val="28"/>
              </w:rPr>
              <w:t xml:space="preserve">, kas paredzēja noteikt jaunu Padziļinātās sadarbības programmas modeli. Atbilstoši </w:t>
            </w:r>
            <w:r w:rsidRPr="00413EBC">
              <w:rPr>
                <w:iCs/>
                <w:color w:val="000000" w:themeColor="text1"/>
                <w:sz w:val="28"/>
                <w:szCs w:val="28"/>
              </w:rPr>
              <w:t xml:space="preserve">konceptuālajam ziņojumam </w:t>
            </w:r>
            <w:r w:rsidRPr="00413EBC">
              <w:rPr>
                <w:sz w:val="28"/>
                <w:szCs w:val="28"/>
                <w:shd w:val="clear" w:color="auto" w:fill="FFFFFF"/>
              </w:rPr>
              <w:t>„</w:t>
            </w:r>
            <w:r w:rsidRPr="00413EBC">
              <w:rPr>
                <w:iCs/>
                <w:color w:val="000000" w:themeColor="text1"/>
                <w:sz w:val="28"/>
                <w:szCs w:val="28"/>
              </w:rPr>
              <w:t>Par Padziļinātās sadarbības programmas darbību un tās attīstības modeli</w:t>
            </w:r>
            <w:r w:rsidRPr="00413EBC">
              <w:rPr>
                <w:sz w:val="28"/>
                <w:szCs w:val="28"/>
              </w:rPr>
              <w:t>”</w:t>
            </w:r>
            <w:r w:rsidRPr="00413EBC">
              <w:rPr>
                <w:iCs/>
                <w:color w:val="000000" w:themeColor="text1"/>
                <w:sz w:val="28"/>
                <w:szCs w:val="28"/>
              </w:rPr>
              <w:t xml:space="preserve"> (Ministru kabineta 2018.gada 27.jūnija rīkojums Nr.290)</w:t>
            </w:r>
            <w:r w:rsidRPr="00413EBC">
              <w:rPr>
                <w:color w:val="000000" w:themeColor="text1"/>
                <w:sz w:val="28"/>
                <w:szCs w:val="28"/>
              </w:rPr>
              <w:t xml:space="preserve"> </w:t>
            </w:r>
            <w:r w:rsidRPr="00413EBC">
              <w:rPr>
                <w:sz w:val="28"/>
                <w:szCs w:val="28"/>
              </w:rPr>
              <w:t>ar jauno Padziļinātās sadarbības programmas modeli ieviesta uzņēmumu trīs līmeņu grupēšana, paredzot Padziļinātās sadarbības programmas Bronzas, Sudraba un Zelta līmeņa dalībnieku grupēšanu.</w:t>
            </w:r>
          </w:p>
          <w:p w:rsidR="002B4F57" w:rsidRPr="00413EBC" w:rsidRDefault="00FF2E40" w:rsidP="00FF2E40">
            <w:pPr>
              <w:ind w:left="34" w:firstLine="425"/>
              <w:jc w:val="both"/>
              <w:rPr>
                <w:sz w:val="28"/>
                <w:szCs w:val="28"/>
              </w:rPr>
            </w:pPr>
            <w:r w:rsidRPr="00413EBC">
              <w:rPr>
                <w:iCs/>
                <w:sz w:val="28"/>
                <w:szCs w:val="28"/>
              </w:rPr>
              <w:t xml:space="preserve">Katra līmeņa priekšrocības </w:t>
            </w:r>
            <w:r w:rsidRPr="00413EBC">
              <w:rPr>
                <w:sz w:val="28"/>
                <w:szCs w:val="28"/>
              </w:rPr>
              <w:t xml:space="preserve">ir noteiktas konceptuālajā ziņojumā </w:t>
            </w:r>
            <w:r w:rsidRPr="00413EBC">
              <w:rPr>
                <w:sz w:val="28"/>
                <w:szCs w:val="28"/>
                <w:shd w:val="clear" w:color="auto" w:fill="FFFFFF"/>
              </w:rPr>
              <w:t>„</w:t>
            </w:r>
            <w:r w:rsidRPr="00413EBC">
              <w:rPr>
                <w:sz w:val="28"/>
                <w:szCs w:val="28"/>
              </w:rPr>
              <w:t xml:space="preserve">Par Padziļinātās sadarbības programmas darbību un tās attīstības modeli”, </w:t>
            </w:r>
            <w:r w:rsidR="00903EBD" w:rsidRPr="00413EBC">
              <w:rPr>
                <w:sz w:val="28"/>
                <w:szCs w:val="28"/>
              </w:rPr>
              <w:t>tostarp</w:t>
            </w:r>
            <w:r w:rsidRPr="00413EBC">
              <w:rPr>
                <w:sz w:val="28"/>
                <w:szCs w:val="28"/>
              </w:rPr>
              <w:t xml:space="preserve"> paredzētas priekšrocības akcīzes nodokļa vispārējā nodrošinājuma apmēra piemērošanā </w:t>
            </w:r>
            <w:r w:rsidRPr="00413EBC">
              <w:rPr>
                <w:sz w:val="28"/>
                <w:szCs w:val="28"/>
                <w:shd w:val="clear" w:color="auto" w:fill="FFFFFF"/>
              </w:rPr>
              <w:t>Padziļinātās sadarbības programmas</w:t>
            </w:r>
            <w:r w:rsidRPr="00413EBC">
              <w:rPr>
                <w:sz w:val="28"/>
                <w:szCs w:val="28"/>
              </w:rPr>
              <w:t xml:space="preserve"> Sudraba un Zelta līmeņa dalībniekiem.</w:t>
            </w:r>
          </w:p>
          <w:p w:rsidR="00B319AC" w:rsidRPr="00413EBC" w:rsidRDefault="00B319AC" w:rsidP="00FF2E40">
            <w:pPr>
              <w:ind w:left="34" w:firstLine="425"/>
              <w:jc w:val="both"/>
              <w:rPr>
                <w:sz w:val="28"/>
                <w:szCs w:val="28"/>
              </w:rPr>
            </w:pPr>
            <w:r w:rsidRPr="00413EBC">
              <w:rPr>
                <w:sz w:val="28"/>
                <w:szCs w:val="28"/>
              </w:rPr>
              <w:lastRenderedPageBreak/>
              <w:t>Tomēr šobrīd saskaņā ar MK noteikumu Nr.16 33. un 34.punkta nosacījumiem, priekšrocības akcīzes nodokļa vispārējā nodrošinājuma apmēra piemērošanā ir noteiktas visiem Padziļinātās sadarbības programmas dalībniekiem.</w:t>
            </w:r>
          </w:p>
          <w:p w:rsidR="00B319AC" w:rsidRPr="00413EBC" w:rsidRDefault="00B319AC" w:rsidP="00FF2E40">
            <w:pPr>
              <w:ind w:left="34" w:firstLine="425"/>
              <w:jc w:val="both"/>
              <w:rPr>
                <w:sz w:val="28"/>
                <w:szCs w:val="28"/>
              </w:rPr>
            </w:pPr>
            <w:r w:rsidRPr="00413EBC">
              <w:rPr>
                <w:sz w:val="28"/>
                <w:szCs w:val="28"/>
              </w:rPr>
              <w:t xml:space="preserve">Lai nodrošinātu, ka priekšrocības akcīzes nodokļa vispārējā nodrošinājuma apmēra piemērošanā ir noteiktas </w:t>
            </w:r>
            <w:r w:rsidRPr="00413EBC">
              <w:rPr>
                <w:sz w:val="28"/>
                <w:szCs w:val="28"/>
                <w:shd w:val="clear" w:color="auto" w:fill="FFFFFF"/>
              </w:rPr>
              <w:t>Padziļinātās sadarbības programmas</w:t>
            </w:r>
            <w:r w:rsidRPr="00413EBC">
              <w:rPr>
                <w:sz w:val="28"/>
                <w:szCs w:val="28"/>
              </w:rPr>
              <w:t xml:space="preserve"> Sudraba un Zelta līmeņa dalībniekiem, noteikumu projektā 33.punkta norma izteikta jaunā redakcijā, bet 34.punkta redakcijā vārdi „</w:t>
            </w:r>
            <w:r w:rsidRPr="00413EBC">
              <w:rPr>
                <w:sz w:val="28"/>
                <w:szCs w:val="28"/>
                <w:shd w:val="clear" w:color="auto" w:fill="FFFFFF"/>
              </w:rPr>
              <w:t>padziļinātās sadarbības programmas</w:t>
            </w:r>
            <w:r w:rsidRPr="00413EBC">
              <w:rPr>
                <w:sz w:val="28"/>
                <w:szCs w:val="28"/>
              </w:rPr>
              <w:t>”</w:t>
            </w:r>
            <w:r w:rsidRPr="00413EBC">
              <w:rPr>
                <w:sz w:val="28"/>
                <w:szCs w:val="28"/>
                <w:shd w:val="clear" w:color="auto" w:fill="FFFFFF"/>
              </w:rPr>
              <w:t xml:space="preserve"> aizstāti ar vārdiem </w:t>
            </w:r>
            <w:r w:rsidRPr="00413EBC">
              <w:rPr>
                <w:sz w:val="28"/>
                <w:szCs w:val="28"/>
              </w:rPr>
              <w:t>„</w:t>
            </w:r>
            <w:r w:rsidRPr="00413EBC">
              <w:rPr>
                <w:sz w:val="28"/>
                <w:szCs w:val="28"/>
                <w:shd w:val="clear" w:color="auto" w:fill="FFFFFF"/>
              </w:rPr>
              <w:t xml:space="preserve">Padziļinātās sadarbības programmas </w:t>
            </w:r>
            <w:r w:rsidRPr="00413EBC">
              <w:rPr>
                <w:sz w:val="28"/>
                <w:szCs w:val="28"/>
              </w:rPr>
              <w:t>Sudraba vai Zelta līmeņa”.</w:t>
            </w:r>
          </w:p>
          <w:p w:rsidR="00B319AC" w:rsidRPr="00413EBC" w:rsidRDefault="00854C2D" w:rsidP="00DA564A">
            <w:pPr>
              <w:ind w:left="34" w:firstLine="425"/>
              <w:jc w:val="both"/>
              <w:rPr>
                <w:color w:val="000000" w:themeColor="text1"/>
                <w:sz w:val="28"/>
                <w:szCs w:val="28"/>
              </w:rPr>
            </w:pPr>
            <w:r w:rsidRPr="00413EBC">
              <w:rPr>
                <w:color w:val="000000" w:themeColor="text1"/>
                <w:sz w:val="28"/>
                <w:szCs w:val="28"/>
              </w:rPr>
              <w:t>Pašreiz MK noteikumu Nr.16 54.punkts nosaka kārtību, kādā VID izmanto akcīzes nodokļa vispārējā nodrošinājuma apliecības saņemšanai iemaksāto drošības naudu, tostarp atbilstoši MK noteikumu Nr.16 68.punktā noteiktajai kārtībai.</w:t>
            </w:r>
          </w:p>
          <w:p w:rsidR="00854C2D" w:rsidRPr="00413EBC" w:rsidRDefault="00854C2D" w:rsidP="00DA564A">
            <w:pPr>
              <w:ind w:left="34" w:firstLine="425"/>
              <w:jc w:val="both"/>
              <w:rPr>
                <w:color w:val="000000" w:themeColor="text1"/>
                <w:sz w:val="28"/>
                <w:szCs w:val="28"/>
              </w:rPr>
            </w:pPr>
            <w:r w:rsidRPr="00413EBC">
              <w:rPr>
                <w:color w:val="000000" w:themeColor="text1"/>
                <w:sz w:val="28"/>
                <w:szCs w:val="28"/>
              </w:rPr>
              <w:t>Taču MK noteikumu Nr.16 68.punktā noteikts pienākums nodrošinātājam segt nodrošinājuma iesniedzēja akcīzes nodokļa pamatparādu un atbildība, ja tas netiek samaksāts mēneša laikā pēc VID rakstveida pieprasījuma saņemšanas.</w:t>
            </w:r>
          </w:p>
          <w:p w:rsidR="00B7266D" w:rsidRPr="00413EBC" w:rsidRDefault="00854C2D" w:rsidP="00DA564A">
            <w:pPr>
              <w:ind w:left="34" w:right="57" w:firstLine="425"/>
              <w:jc w:val="both"/>
              <w:rPr>
                <w:color w:val="000000" w:themeColor="text1"/>
                <w:sz w:val="28"/>
                <w:szCs w:val="28"/>
              </w:rPr>
            </w:pPr>
            <w:r w:rsidRPr="00413EBC">
              <w:rPr>
                <w:color w:val="000000" w:themeColor="text1"/>
                <w:sz w:val="28"/>
                <w:szCs w:val="28"/>
              </w:rPr>
              <w:t>Atbilstoši MK noteikumu Nr.16 2.1.apakšpunktam  nodrošinātājs</w:t>
            </w:r>
            <w:r w:rsidRPr="00413EBC">
              <w:rPr>
                <w:sz w:val="28"/>
                <w:szCs w:val="28"/>
              </w:rPr>
              <w:t xml:space="preserve"> </w:t>
            </w:r>
            <w:r w:rsidRPr="00413EBC">
              <w:rPr>
                <w:color w:val="000000" w:themeColor="text1"/>
                <w:sz w:val="28"/>
                <w:szCs w:val="28"/>
              </w:rPr>
              <w:t>ir persona, kura ieguvusi nodrošinātāja statusu.</w:t>
            </w:r>
          </w:p>
          <w:p w:rsidR="00B7266D" w:rsidRPr="00413EBC" w:rsidRDefault="00854C2D" w:rsidP="00DA564A">
            <w:pPr>
              <w:ind w:left="34" w:right="57" w:firstLine="425"/>
              <w:jc w:val="both"/>
              <w:rPr>
                <w:color w:val="000000" w:themeColor="text1"/>
                <w:sz w:val="28"/>
                <w:szCs w:val="28"/>
              </w:rPr>
            </w:pPr>
            <w:r w:rsidRPr="00413EBC">
              <w:rPr>
                <w:color w:val="000000" w:themeColor="text1"/>
                <w:sz w:val="28"/>
                <w:szCs w:val="28"/>
              </w:rPr>
              <w:t xml:space="preserve">Ievērojot to, ka nodokļu maksātājs, kas par nodrošinājumu izmanto drošības naudu, </w:t>
            </w:r>
            <w:r w:rsidR="00E841CA" w:rsidRPr="00413EBC">
              <w:rPr>
                <w:color w:val="000000" w:themeColor="text1"/>
                <w:sz w:val="28"/>
                <w:szCs w:val="28"/>
              </w:rPr>
              <w:t xml:space="preserve">neiegūst nodrošinātāja statusu, </w:t>
            </w:r>
            <w:r w:rsidRPr="00413EBC">
              <w:rPr>
                <w:color w:val="000000" w:themeColor="text1"/>
                <w:sz w:val="28"/>
                <w:szCs w:val="28"/>
              </w:rPr>
              <w:t>noteikumu projekta 54.punkt</w:t>
            </w:r>
            <w:r w:rsidR="00E841CA" w:rsidRPr="00413EBC">
              <w:rPr>
                <w:color w:val="000000" w:themeColor="text1"/>
                <w:sz w:val="28"/>
                <w:szCs w:val="28"/>
              </w:rPr>
              <w:t xml:space="preserve">ā skaitlis „68” aizstāts ar skaitli „67”, tādējādi svītrojot atsauci uz </w:t>
            </w:r>
            <w:r w:rsidRPr="00413EBC">
              <w:rPr>
                <w:color w:val="000000" w:themeColor="text1"/>
                <w:sz w:val="28"/>
                <w:szCs w:val="28"/>
              </w:rPr>
              <w:t>68.punktu</w:t>
            </w:r>
            <w:r w:rsidR="00A32B50" w:rsidRPr="00413EBC">
              <w:rPr>
                <w:color w:val="000000" w:themeColor="text1"/>
                <w:sz w:val="28"/>
                <w:szCs w:val="28"/>
              </w:rPr>
              <w:t>, lai piemērotu vienādus nosacījumus nodrošinātājiem un nodokļu maksātājiem, kas par nodrošinājumu izmanto iemaksāto drošības naudu,</w:t>
            </w:r>
            <w:r w:rsidR="00573890" w:rsidRPr="00413EBC">
              <w:rPr>
                <w:color w:val="000000" w:themeColor="text1"/>
                <w:sz w:val="28"/>
                <w:szCs w:val="28"/>
              </w:rPr>
              <w:t xml:space="preserve"> </w:t>
            </w:r>
            <w:r w:rsidR="00E841CA" w:rsidRPr="00413EBC">
              <w:rPr>
                <w:color w:val="000000" w:themeColor="text1"/>
                <w:sz w:val="28"/>
                <w:szCs w:val="28"/>
              </w:rPr>
              <w:t>un</w:t>
            </w:r>
            <w:r w:rsidR="00573890" w:rsidRPr="00413EBC">
              <w:rPr>
                <w:color w:val="000000" w:themeColor="text1"/>
                <w:sz w:val="28"/>
                <w:szCs w:val="28"/>
              </w:rPr>
              <w:t xml:space="preserve">, lai noteiktu, ka </w:t>
            </w:r>
            <w:r w:rsidR="00E841CA" w:rsidRPr="00413EBC">
              <w:rPr>
                <w:color w:val="000000" w:themeColor="text1"/>
                <w:sz w:val="28"/>
                <w:szCs w:val="28"/>
              </w:rPr>
              <w:t xml:space="preserve">VID ir tiesīgs izmantot </w:t>
            </w:r>
            <w:r w:rsidR="00573890" w:rsidRPr="00413EBC">
              <w:rPr>
                <w:color w:val="000000" w:themeColor="text1"/>
                <w:sz w:val="28"/>
                <w:szCs w:val="28"/>
              </w:rPr>
              <w:t xml:space="preserve">iemaksāto drošības naudu ne vēlāk kā sešu mēnešu laikā no nodrošinājuma apliecības pārreģistrācijas, ja attiecīgo nodrošinājumu pēc nodrošinājuma apliecības pārreģistrācijas vairs </w:t>
            </w:r>
            <w:r w:rsidR="00573890" w:rsidRPr="00413EBC">
              <w:rPr>
                <w:color w:val="000000" w:themeColor="text1"/>
                <w:sz w:val="28"/>
                <w:szCs w:val="28"/>
              </w:rPr>
              <w:lastRenderedPageBreak/>
              <w:t>neizmanto, vai pēc nodrošinājuma apliecības spēka zaudēšanas.</w:t>
            </w:r>
          </w:p>
          <w:p w:rsidR="00CA7642" w:rsidRPr="00413EBC" w:rsidRDefault="001C637D" w:rsidP="00DA564A">
            <w:pPr>
              <w:ind w:left="34" w:right="57" w:firstLine="425"/>
              <w:jc w:val="both"/>
              <w:rPr>
                <w:color w:val="000000" w:themeColor="text1"/>
                <w:sz w:val="28"/>
                <w:szCs w:val="28"/>
              </w:rPr>
            </w:pPr>
            <w:r>
              <w:rPr>
                <w:color w:val="000000" w:themeColor="text1"/>
                <w:sz w:val="28"/>
                <w:szCs w:val="28"/>
              </w:rPr>
              <w:t>Attiecīgi</w:t>
            </w:r>
            <w:r w:rsidR="000F0459" w:rsidRPr="00413EBC">
              <w:rPr>
                <w:color w:val="000000" w:themeColor="text1"/>
                <w:sz w:val="28"/>
                <w:szCs w:val="28"/>
              </w:rPr>
              <w:t>, lai noteiktu VID tiesības pieprasīt samaksāt akcīzes nodokļa parādu ar iemaksāto drošības naudu</w:t>
            </w:r>
            <w:r w:rsidR="00CA7642" w:rsidRPr="00413EBC">
              <w:rPr>
                <w:color w:val="000000" w:themeColor="text1"/>
                <w:sz w:val="28"/>
                <w:szCs w:val="28"/>
              </w:rPr>
              <w:t>,</w:t>
            </w:r>
            <w:r w:rsidR="000F0459" w:rsidRPr="00413EBC">
              <w:rPr>
                <w:color w:val="000000" w:themeColor="text1"/>
                <w:sz w:val="28"/>
                <w:szCs w:val="28"/>
              </w:rPr>
              <w:t xml:space="preserve"> noteikumu projekta 67.punkts aiz vārda „parādu” papildināts ar vārdiem „vai pārskaitīt iemaksāto drošības naudu nodokļa parāda segšanai”</w:t>
            </w:r>
            <w:r w:rsidR="008E71B9" w:rsidRPr="00413EBC">
              <w:rPr>
                <w:color w:val="000000" w:themeColor="text1"/>
                <w:sz w:val="28"/>
                <w:szCs w:val="28"/>
              </w:rPr>
              <w:t>.</w:t>
            </w:r>
          </w:p>
          <w:p w:rsidR="008E32DD" w:rsidRPr="00413EBC" w:rsidRDefault="008E32DD" w:rsidP="00DA564A">
            <w:pPr>
              <w:ind w:left="34" w:right="57" w:firstLine="425"/>
              <w:jc w:val="both"/>
              <w:rPr>
                <w:color w:val="000000" w:themeColor="text1"/>
                <w:sz w:val="28"/>
                <w:szCs w:val="28"/>
              </w:rPr>
            </w:pPr>
            <w:r w:rsidRPr="00413EBC">
              <w:rPr>
                <w:color w:val="000000" w:themeColor="text1"/>
                <w:sz w:val="28"/>
                <w:szCs w:val="28"/>
              </w:rPr>
              <w:t>Vienlaikus, lai vienādotu akcīzes nodokļa vispārējam nodrošinājumam un vienreizējam nodrošinājumam iemaksātās drošības naudas atmaksas nosacījumus, noteikumu projekta 55.punktā noteiktais drošības naudas atmaksas termiņš 15 darbdienu laikā pielīdzināts 52.punktā noteiktajam 10 darbdienu termiņam.</w:t>
            </w:r>
          </w:p>
          <w:p w:rsidR="008E32DD" w:rsidRPr="00413EBC" w:rsidRDefault="004146DC" w:rsidP="00DA564A">
            <w:pPr>
              <w:ind w:left="34" w:right="57" w:firstLine="425"/>
              <w:jc w:val="both"/>
              <w:rPr>
                <w:color w:val="000000" w:themeColor="text1"/>
                <w:sz w:val="28"/>
                <w:szCs w:val="28"/>
              </w:rPr>
            </w:pPr>
            <w:r w:rsidRPr="00413EBC">
              <w:rPr>
                <w:color w:val="000000" w:themeColor="text1"/>
                <w:sz w:val="28"/>
                <w:szCs w:val="28"/>
              </w:rPr>
              <w:t xml:space="preserve">Saskaņā ar MK noteikumu Nr.16 61.punkta nosacījumiem kredītiestādes un apdrošinātāji galvojumus un apdrošināšanas polises izsniedz elektroniska dokumenta veidā saskaņā ar MK noteikumu 6., 7., 8. un 9.pielikumu uz laikposmu, kas nepārsniedz 12 mēnešus no attiecīgā dokumenta izsniegšanas dienas. Tomēr pašreizējā situācijā saistību izpildes apdrošināšanas polises un galvojumi tiek izsniegti </w:t>
            </w:r>
            <w:r w:rsidR="002C75D2">
              <w:rPr>
                <w:color w:val="000000" w:themeColor="text1"/>
                <w:sz w:val="28"/>
                <w:szCs w:val="28"/>
              </w:rPr>
              <w:t xml:space="preserve">pirms šajos dokumentos norādītā </w:t>
            </w:r>
            <w:r w:rsidRPr="00413EBC">
              <w:rPr>
                <w:color w:val="000000" w:themeColor="text1"/>
                <w:sz w:val="28"/>
                <w:szCs w:val="28"/>
              </w:rPr>
              <w:t xml:space="preserve"> spēkā stāšanās </w:t>
            </w:r>
            <w:r w:rsidR="002C75D2" w:rsidRPr="00413EBC">
              <w:rPr>
                <w:color w:val="000000" w:themeColor="text1"/>
                <w:sz w:val="28"/>
                <w:szCs w:val="28"/>
              </w:rPr>
              <w:t>datum</w:t>
            </w:r>
            <w:r w:rsidR="002C75D2">
              <w:rPr>
                <w:color w:val="000000" w:themeColor="text1"/>
                <w:sz w:val="28"/>
                <w:szCs w:val="28"/>
              </w:rPr>
              <w:t>a</w:t>
            </w:r>
            <w:r w:rsidRPr="00413EBC">
              <w:rPr>
                <w:color w:val="000000" w:themeColor="text1"/>
                <w:sz w:val="28"/>
                <w:szCs w:val="28"/>
              </w:rPr>
              <w:t>. Līdz ar to saistību izpildes apdrošināšanas polises un galvojumi nav izmantojami par akcīzes nodokļa nodrošinājumu visus 12 mēnešus atbilstoši MK noteikumu Nr.16 61.punkta nosacījumiem.</w:t>
            </w:r>
          </w:p>
          <w:p w:rsidR="004146DC" w:rsidRPr="00413EBC" w:rsidRDefault="004146DC" w:rsidP="00DA564A">
            <w:pPr>
              <w:ind w:left="34" w:right="57" w:firstLine="459"/>
              <w:jc w:val="both"/>
              <w:rPr>
                <w:color w:val="000000" w:themeColor="text1"/>
                <w:sz w:val="28"/>
                <w:szCs w:val="28"/>
              </w:rPr>
            </w:pPr>
            <w:r w:rsidRPr="00413EBC">
              <w:rPr>
                <w:color w:val="000000" w:themeColor="text1"/>
                <w:sz w:val="28"/>
                <w:szCs w:val="28"/>
              </w:rPr>
              <w:t xml:space="preserve">Lai novērstu šo situāciju un nodrošinātu saistību izpildes apdrošināšanas polišu un galvojumu izmantošanu par akcīzes nodokļa nodrošinājumu pilnu tajās norādīto spēkā esības laiku, kā arī ļautu nodokļu maksātājiem savlaicīgi šos dokumentus iesniegt VID, precizēta noteikumu projekta 61.punkta redakcija, nosakot, ka saistību izpildes apdrošināšanas polises un galvojumus apdrošināšanas sabiedrības un kredītiestādes izsniedz uz laikposmu, kas nepārsniedz 12 mēnešus no attiecīgā dokumenta spēkā stāšanās dienas, nevis </w:t>
            </w:r>
            <w:r w:rsidR="002C75D2">
              <w:rPr>
                <w:color w:val="000000" w:themeColor="text1"/>
                <w:sz w:val="28"/>
                <w:szCs w:val="28"/>
              </w:rPr>
              <w:t xml:space="preserve">no </w:t>
            </w:r>
            <w:r w:rsidRPr="00413EBC">
              <w:rPr>
                <w:color w:val="000000" w:themeColor="text1"/>
                <w:sz w:val="28"/>
                <w:szCs w:val="28"/>
              </w:rPr>
              <w:t>izsniegšanas dienas.</w:t>
            </w:r>
          </w:p>
          <w:p w:rsidR="00506882" w:rsidRDefault="002C75D2" w:rsidP="00DA564A">
            <w:pPr>
              <w:ind w:left="34" w:right="57" w:firstLine="425"/>
              <w:jc w:val="both"/>
              <w:rPr>
                <w:sz w:val="28"/>
                <w:szCs w:val="28"/>
              </w:rPr>
            </w:pPr>
            <w:r>
              <w:rPr>
                <w:color w:val="000000"/>
                <w:sz w:val="28"/>
                <w:szCs w:val="28"/>
              </w:rPr>
              <w:lastRenderedPageBreak/>
              <w:t>Tā kā</w:t>
            </w:r>
            <w:r w:rsidR="00A51A7E" w:rsidRPr="00413EBC">
              <w:rPr>
                <w:color w:val="000000"/>
                <w:sz w:val="28"/>
                <w:szCs w:val="28"/>
              </w:rPr>
              <w:t xml:space="preserve"> pēc </w:t>
            </w:r>
            <w:r w:rsidR="00A51A7E" w:rsidRPr="00413EBC">
              <w:rPr>
                <w:sz w:val="28"/>
                <w:szCs w:val="28"/>
              </w:rPr>
              <w:t xml:space="preserve">Ministru kabineta 2018.gada 27.novembra noteikumu Nr.748 </w:t>
            </w:r>
            <w:r w:rsidR="00A51A7E" w:rsidRPr="00413EBC">
              <w:rPr>
                <w:sz w:val="28"/>
                <w:szCs w:val="28"/>
                <w:shd w:val="clear" w:color="auto" w:fill="FFFFFF"/>
              </w:rPr>
              <w:t xml:space="preserve">„Padziļinātās sadarbības programmas darbības noteikumi” stāšanās spēkā 2019.gada 1.janvārī VID </w:t>
            </w:r>
            <w:r w:rsidR="00E067FD" w:rsidRPr="00413EBC">
              <w:rPr>
                <w:sz w:val="28"/>
                <w:szCs w:val="28"/>
                <w:shd w:val="clear" w:color="auto" w:fill="FFFFFF"/>
              </w:rPr>
              <w:t xml:space="preserve">pārvērtē esošos </w:t>
            </w:r>
            <w:r w:rsidR="00E067FD" w:rsidRPr="00413EBC">
              <w:rPr>
                <w:color w:val="000000" w:themeColor="text1"/>
                <w:sz w:val="28"/>
                <w:szCs w:val="28"/>
              </w:rPr>
              <w:t xml:space="preserve">Padziļinātās sadarbības programmas dalībniekus un tādējādi šiem nodokļu maksātājiem iespējama VID piedāvāto pakalpojumu izmantošanas priekšrocību maiņa, noteikumu projektā iekļautie pārejas noteikumi paredz esošajiem Padziļinātās sadarbības programmas dalībniekiem izsniegtās spēkā esošās nodrošinājuma apliecības pārreģistrēt līdz 2019.gada 1.aprīlim, </w:t>
            </w:r>
            <w:r w:rsidR="00E067FD" w:rsidRPr="00413EBC">
              <w:rPr>
                <w:sz w:val="28"/>
                <w:szCs w:val="28"/>
              </w:rPr>
              <w:t>lai iespējamo izmaiņu rezultātā</w:t>
            </w:r>
            <w:r w:rsidR="00356E5E" w:rsidRPr="00413EBC">
              <w:rPr>
                <w:sz w:val="28"/>
                <w:szCs w:val="28"/>
              </w:rPr>
              <w:t xml:space="preserve"> </w:t>
            </w:r>
            <w:r w:rsidR="00A25712" w:rsidRPr="00413EBC">
              <w:rPr>
                <w:sz w:val="28"/>
                <w:szCs w:val="28"/>
              </w:rPr>
              <w:t xml:space="preserve">akcīzes preču apritē iesaistītajiem komersantiem </w:t>
            </w:r>
            <w:r w:rsidR="00E067FD" w:rsidRPr="00413EBC">
              <w:rPr>
                <w:sz w:val="28"/>
                <w:szCs w:val="28"/>
              </w:rPr>
              <w:t>neradītu pārmērīgu administratīvo slogu un nodrošinātu vienlīdzīgus konkurences apstākļus</w:t>
            </w:r>
            <w:r w:rsidR="00B66A48" w:rsidRPr="00413EBC">
              <w:rPr>
                <w:sz w:val="28"/>
                <w:szCs w:val="28"/>
              </w:rPr>
              <w:t>, ja pārvērtēšanas rezultātā VID piedāvātā priekšrocība samazināt iesniedzamo vispārējo nodrošinājumu 100 procentu apmērā uz kādu no Padziļinātās sadarbības programmas dalībniekiem vairs nebūtu attiecināma.</w:t>
            </w:r>
          </w:p>
          <w:p w:rsidR="00DE027A" w:rsidRPr="00413EBC" w:rsidRDefault="00DE027A" w:rsidP="00B6320F">
            <w:pPr>
              <w:ind w:left="34" w:right="57"/>
              <w:jc w:val="both"/>
              <w:rPr>
                <w:color w:val="000000"/>
                <w:sz w:val="28"/>
                <w:szCs w:val="28"/>
              </w:rPr>
            </w:pPr>
            <w:r>
              <w:rPr>
                <w:color w:val="000000"/>
                <w:sz w:val="28"/>
                <w:szCs w:val="28"/>
              </w:rPr>
              <w:t>Noteikumu projekta 76.punkts paredz, ka n</w:t>
            </w:r>
            <w:r w:rsidRPr="00DE027A">
              <w:rPr>
                <w:color w:val="000000"/>
                <w:sz w:val="28"/>
                <w:szCs w:val="28"/>
              </w:rPr>
              <w:t xml:space="preserve">odrošinājums, kas </w:t>
            </w:r>
            <w:r>
              <w:rPr>
                <w:color w:val="000000"/>
                <w:sz w:val="28"/>
                <w:szCs w:val="28"/>
              </w:rPr>
              <w:t>būs za</w:t>
            </w:r>
            <w:r w:rsidRPr="00DE027A">
              <w:rPr>
                <w:color w:val="000000"/>
                <w:sz w:val="28"/>
                <w:szCs w:val="28"/>
              </w:rPr>
              <w:t xml:space="preserve">udējis spēku līdz šo noteikumu spēkā stāšanās brīdim, </w:t>
            </w:r>
            <w:r>
              <w:rPr>
                <w:color w:val="000000"/>
                <w:sz w:val="28"/>
                <w:szCs w:val="28"/>
              </w:rPr>
              <w:t>būs</w:t>
            </w:r>
            <w:r w:rsidRPr="00DE027A">
              <w:rPr>
                <w:color w:val="000000"/>
                <w:sz w:val="28"/>
                <w:szCs w:val="28"/>
              </w:rPr>
              <w:t xml:space="preserve"> izmantojams šo noteikumu VII.nodaļā noteiktajā kārtībā.</w:t>
            </w:r>
          </w:p>
        </w:tc>
      </w:tr>
      <w:tr w:rsidR="00B253C1" w:rsidRPr="00413EBC" w:rsidTr="004030DF">
        <w:tc>
          <w:tcPr>
            <w:tcW w:w="496" w:type="dxa"/>
            <w:hideMark/>
          </w:tcPr>
          <w:p w:rsidR="00B15F05" w:rsidRPr="00413EBC" w:rsidRDefault="00A139E9" w:rsidP="00B15F05">
            <w:pPr>
              <w:rPr>
                <w:sz w:val="28"/>
                <w:szCs w:val="28"/>
              </w:rPr>
            </w:pPr>
            <w:r w:rsidRPr="00413EBC">
              <w:rPr>
                <w:sz w:val="28"/>
                <w:szCs w:val="28"/>
              </w:rPr>
              <w:lastRenderedPageBreak/>
              <w:t>3.</w:t>
            </w:r>
          </w:p>
        </w:tc>
        <w:tc>
          <w:tcPr>
            <w:tcW w:w="3298" w:type="dxa"/>
            <w:hideMark/>
          </w:tcPr>
          <w:p w:rsidR="00B15F05" w:rsidRPr="00413EBC" w:rsidRDefault="00A139E9" w:rsidP="00BC6983">
            <w:pPr>
              <w:jc w:val="both"/>
              <w:rPr>
                <w:sz w:val="28"/>
                <w:szCs w:val="28"/>
              </w:rPr>
            </w:pPr>
            <w:r w:rsidRPr="00413EBC">
              <w:rPr>
                <w:color w:val="000000"/>
                <w:sz w:val="28"/>
                <w:szCs w:val="28"/>
              </w:rPr>
              <w:t>Projekta izstrādē iesaistītās institūcijas</w:t>
            </w:r>
            <w:r w:rsidR="00BC6983" w:rsidRPr="00413EBC">
              <w:rPr>
                <w:color w:val="000000"/>
                <w:sz w:val="28"/>
                <w:szCs w:val="28"/>
              </w:rPr>
              <w:t xml:space="preserve"> </w:t>
            </w:r>
            <w:r w:rsidR="00BC6983" w:rsidRPr="00413EBC">
              <w:rPr>
                <w:sz w:val="28"/>
                <w:szCs w:val="28"/>
              </w:rPr>
              <w:t>un publiskās personas kapitālsabiedrības</w:t>
            </w:r>
          </w:p>
        </w:tc>
        <w:tc>
          <w:tcPr>
            <w:tcW w:w="5670" w:type="dxa"/>
          </w:tcPr>
          <w:p w:rsidR="00B15F05" w:rsidRPr="00413EBC" w:rsidRDefault="007627F4" w:rsidP="00423AC5">
            <w:pPr>
              <w:ind w:left="34"/>
              <w:jc w:val="both"/>
              <w:rPr>
                <w:sz w:val="28"/>
                <w:szCs w:val="28"/>
              </w:rPr>
            </w:pPr>
            <w:r w:rsidRPr="00413EBC">
              <w:rPr>
                <w:sz w:val="28"/>
                <w:szCs w:val="28"/>
              </w:rPr>
              <w:t>VID</w:t>
            </w:r>
          </w:p>
        </w:tc>
      </w:tr>
      <w:tr w:rsidR="00B253C1" w:rsidRPr="00413EBC" w:rsidTr="004030DF">
        <w:tc>
          <w:tcPr>
            <w:tcW w:w="496" w:type="dxa"/>
            <w:hideMark/>
          </w:tcPr>
          <w:p w:rsidR="00B15F05" w:rsidRPr="00413EBC" w:rsidRDefault="00A139E9" w:rsidP="00B15F05">
            <w:pPr>
              <w:rPr>
                <w:sz w:val="28"/>
                <w:szCs w:val="28"/>
              </w:rPr>
            </w:pPr>
            <w:r w:rsidRPr="00413EBC">
              <w:rPr>
                <w:sz w:val="28"/>
                <w:szCs w:val="28"/>
              </w:rPr>
              <w:t>4.</w:t>
            </w:r>
          </w:p>
        </w:tc>
        <w:tc>
          <w:tcPr>
            <w:tcW w:w="3298" w:type="dxa"/>
            <w:hideMark/>
          </w:tcPr>
          <w:p w:rsidR="00B15F05" w:rsidRPr="00413EBC" w:rsidRDefault="00A139E9" w:rsidP="00B15F05">
            <w:pPr>
              <w:rPr>
                <w:sz w:val="28"/>
                <w:szCs w:val="28"/>
              </w:rPr>
            </w:pPr>
            <w:r w:rsidRPr="00413EBC">
              <w:rPr>
                <w:sz w:val="28"/>
                <w:szCs w:val="28"/>
              </w:rPr>
              <w:t>Cita informācija</w:t>
            </w:r>
          </w:p>
        </w:tc>
        <w:tc>
          <w:tcPr>
            <w:tcW w:w="5670" w:type="dxa"/>
          </w:tcPr>
          <w:p w:rsidR="00B15F05" w:rsidRPr="00413EBC" w:rsidRDefault="00A139E9" w:rsidP="00423AC5">
            <w:pPr>
              <w:ind w:left="34"/>
              <w:jc w:val="both"/>
              <w:rPr>
                <w:sz w:val="28"/>
                <w:szCs w:val="28"/>
              </w:rPr>
            </w:pPr>
            <w:r w:rsidRPr="00413EBC">
              <w:rPr>
                <w:sz w:val="28"/>
                <w:szCs w:val="28"/>
              </w:rPr>
              <w:t>Nav.</w:t>
            </w:r>
          </w:p>
        </w:tc>
      </w:tr>
    </w:tbl>
    <w:p w:rsidR="00CB6C4D" w:rsidRPr="00413EBC" w:rsidRDefault="00CB6C4D" w:rsidP="00B15F05">
      <w:pPr>
        <w:spacing w:line="270" w:lineRule="atLeast"/>
        <w:jc w:val="both"/>
        <w:rPr>
          <w:rStyle w:val="apple-style-span"/>
          <w:color w:val="000000"/>
          <w:sz w:val="28"/>
          <w:szCs w:val="28"/>
        </w:rPr>
      </w:pPr>
    </w:p>
    <w:p w:rsidR="003E65B9" w:rsidRPr="00413EBC" w:rsidRDefault="003E65B9" w:rsidP="00B15F05">
      <w:pPr>
        <w:spacing w:line="270" w:lineRule="atLeast"/>
        <w:jc w:val="both"/>
        <w:rPr>
          <w:rStyle w:val="apple-style-span"/>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3233"/>
        <w:gridCol w:w="5623"/>
      </w:tblGrid>
      <w:tr w:rsidR="00B253C1" w:rsidRPr="00413EBC" w:rsidTr="00413EBC">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B15F05" w:rsidRPr="00413EBC" w:rsidRDefault="00A139E9" w:rsidP="00B15F05">
            <w:pPr>
              <w:pStyle w:val="NormalWeb"/>
              <w:jc w:val="center"/>
              <w:rPr>
                <w:b/>
                <w:bCs/>
                <w:sz w:val="28"/>
                <w:szCs w:val="28"/>
              </w:rPr>
            </w:pPr>
            <w:r w:rsidRPr="00413EBC">
              <w:rPr>
                <w:b/>
                <w:bCs/>
                <w:sz w:val="28"/>
                <w:szCs w:val="28"/>
              </w:rPr>
              <w:t>II. Tiesību akta projekta ietekme uz sabiedrību, tautsaimniecības attīstību un administratīvo slogu</w:t>
            </w:r>
          </w:p>
        </w:tc>
      </w:tr>
      <w:tr w:rsidR="00B253C1" w:rsidRPr="00413EBC" w:rsidTr="00413EBC">
        <w:tc>
          <w:tcPr>
            <w:tcW w:w="299" w:type="pct"/>
            <w:tcBorders>
              <w:top w:val="outset" w:sz="6" w:space="0" w:color="000000"/>
              <w:left w:val="outset" w:sz="6" w:space="0" w:color="000000"/>
              <w:bottom w:val="outset" w:sz="6" w:space="0" w:color="000000"/>
              <w:right w:val="outset" w:sz="6" w:space="0" w:color="000000"/>
            </w:tcBorders>
          </w:tcPr>
          <w:p w:rsidR="00B15F05" w:rsidRPr="00413EBC" w:rsidRDefault="00A139E9" w:rsidP="00B15F05">
            <w:pPr>
              <w:pStyle w:val="NormalWeb"/>
              <w:rPr>
                <w:sz w:val="28"/>
                <w:szCs w:val="28"/>
              </w:rPr>
            </w:pPr>
            <w:r w:rsidRPr="00413EBC">
              <w:rPr>
                <w:sz w:val="28"/>
                <w:szCs w:val="28"/>
              </w:rPr>
              <w:t>1.</w:t>
            </w:r>
          </w:p>
        </w:tc>
        <w:tc>
          <w:tcPr>
            <w:tcW w:w="1716" w:type="pct"/>
            <w:tcBorders>
              <w:top w:val="outset" w:sz="6" w:space="0" w:color="000000"/>
              <w:left w:val="outset" w:sz="6" w:space="0" w:color="000000"/>
              <w:bottom w:val="outset" w:sz="6" w:space="0" w:color="000000"/>
              <w:right w:val="outset" w:sz="6" w:space="0" w:color="000000"/>
            </w:tcBorders>
          </w:tcPr>
          <w:p w:rsidR="00B15F05" w:rsidRPr="00413EBC" w:rsidRDefault="00A139E9" w:rsidP="001A3E52">
            <w:pPr>
              <w:pStyle w:val="NormalWeb"/>
              <w:ind w:right="113"/>
              <w:jc w:val="both"/>
              <w:rPr>
                <w:sz w:val="28"/>
                <w:szCs w:val="28"/>
              </w:rPr>
            </w:pPr>
            <w:r w:rsidRPr="00413EBC">
              <w:rPr>
                <w:sz w:val="28"/>
                <w:szCs w:val="28"/>
              </w:rPr>
              <w:t>Sabiedrības mērķgrupas, kuras tiesiskais regulējums ietekmē vai varētu ietekmēt</w:t>
            </w:r>
          </w:p>
        </w:tc>
        <w:tc>
          <w:tcPr>
            <w:tcW w:w="2985" w:type="pct"/>
            <w:tcBorders>
              <w:top w:val="outset" w:sz="6" w:space="0" w:color="000000"/>
              <w:left w:val="outset" w:sz="6" w:space="0" w:color="000000"/>
              <w:bottom w:val="outset" w:sz="6" w:space="0" w:color="000000"/>
              <w:right w:val="outset" w:sz="6" w:space="0" w:color="000000"/>
            </w:tcBorders>
          </w:tcPr>
          <w:p w:rsidR="00B15F05" w:rsidRPr="00413EBC" w:rsidRDefault="00A139E9" w:rsidP="00423AC5">
            <w:pPr>
              <w:suppressAutoHyphens/>
              <w:ind w:left="109" w:right="112" w:firstLine="429"/>
              <w:jc w:val="both"/>
              <w:rPr>
                <w:sz w:val="28"/>
                <w:szCs w:val="28"/>
              </w:rPr>
            </w:pPr>
            <w:r w:rsidRPr="00413EBC">
              <w:rPr>
                <w:sz w:val="28"/>
                <w:szCs w:val="28"/>
              </w:rPr>
              <w:t>Noteikumu projekta tiesiskais regulējums ietekmēs nodokļu maksātājus, kuriem izsniegtas speciālās atļaujas (licences) apstiprināta noliktavas turētāja, reģistrēta saņēmēja un</w:t>
            </w:r>
            <w:r w:rsidR="00933F10" w:rsidRPr="00413EBC">
              <w:rPr>
                <w:sz w:val="28"/>
                <w:szCs w:val="28"/>
              </w:rPr>
              <w:t xml:space="preserve"> reģistrēta </w:t>
            </w:r>
            <w:r w:rsidRPr="00413EBC">
              <w:rPr>
                <w:sz w:val="28"/>
                <w:szCs w:val="28"/>
              </w:rPr>
              <w:t>nosūtītāja darbībai, kā arī īslaicīgi reģistrētus saņēmējus</w:t>
            </w:r>
            <w:r w:rsidR="000F666B" w:rsidRPr="00413EBC">
              <w:rPr>
                <w:sz w:val="28"/>
                <w:szCs w:val="28"/>
              </w:rPr>
              <w:t xml:space="preserve"> </w:t>
            </w:r>
            <w:r w:rsidRPr="00413EBC">
              <w:rPr>
                <w:sz w:val="28"/>
                <w:szCs w:val="28"/>
              </w:rPr>
              <w:t>un personas atbilstoši</w:t>
            </w:r>
            <w:r w:rsidR="00E94BE0" w:rsidRPr="00413EBC">
              <w:rPr>
                <w:sz w:val="28"/>
                <w:szCs w:val="28"/>
              </w:rPr>
              <w:t xml:space="preserve"> </w:t>
            </w:r>
            <w:r w:rsidR="007627F4" w:rsidRPr="00413EBC">
              <w:rPr>
                <w:sz w:val="28"/>
                <w:szCs w:val="28"/>
              </w:rPr>
              <w:t xml:space="preserve">likuma </w:t>
            </w:r>
            <w:r w:rsidR="007627F4" w:rsidRPr="00413EBC">
              <w:rPr>
                <w:sz w:val="28"/>
                <w:szCs w:val="28"/>
                <w:shd w:val="clear" w:color="auto" w:fill="FFFFFF"/>
              </w:rPr>
              <w:t xml:space="preserve">„Par akcīzes nodokli” </w:t>
            </w:r>
            <w:r w:rsidRPr="00413EBC">
              <w:rPr>
                <w:sz w:val="28"/>
                <w:szCs w:val="28"/>
              </w:rPr>
              <w:t>23.panta septiņpadsmitajai daļai un 26.panta pirmajai daļai.</w:t>
            </w:r>
          </w:p>
          <w:p w:rsidR="00B15F05" w:rsidRPr="00413EBC" w:rsidRDefault="00A139E9" w:rsidP="00423AC5">
            <w:pPr>
              <w:suppressAutoHyphens/>
              <w:ind w:left="109" w:right="112" w:firstLine="429"/>
              <w:jc w:val="both"/>
              <w:rPr>
                <w:sz w:val="28"/>
                <w:szCs w:val="28"/>
              </w:rPr>
            </w:pPr>
            <w:r w:rsidRPr="00413EBC">
              <w:rPr>
                <w:sz w:val="28"/>
                <w:szCs w:val="28"/>
              </w:rPr>
              <w:lastRenderedPageBreak/>
              <w:t xml:space="preserve">Saskaņā ar </w:t>
            </w:r>
            <w:r w:rsidR="00B15F05" w:rsidRPr="00413EBC">
              <w:rPr>
                <w:sz w:val="28"/>
                <w:szCs w:val="28"/>
              </w:rPr>
              <w:t>VID</w:t>
            </w:r>
            <w:r w:rsidRPr="00413EBC">
              <w:rPr>
                <w:sz w:val="28"/>
                <w:szCs w:val="28"/>
              </w:rPr>
              <w:t xml:space="preserve"> rīcībā esošo informāciju, komersantu skaits, kuriem</w:t>
            </w:r>
            <w:r w:rsidR="00934EE9" w:rsidRPr="00413EBC">
              <w:rPr>
                <w:sz w:val="28"/>
                <w:szCs w:val="28"/>
              </w:rPr>
              <w:t xml:space="preserve"> ir</w:t>
            </w:r>
            <w:r w:rsidRPr="00413EBC">
              <w:rPr>
                <w:sz w:val="28"/>
                <w:szCs w:val="28"/>
              </w:rPr>
              <w:t xml:space="preserve"> izsniegtas nodrošinājuma apliecības:</w:t>
            </w:r>
          </w:p>
          <w:p w:rsidR="00B15F05" w:rsidRPr="00413EBC" w:rsidRDefault="00A139E9" w:rsidP="00234B16">
            <w:pPr>
              <w:pStyle w:val="ListParagraph"/>
              <w:numPr>
                <w:ilvl w:val="0"/>
                <w:numId w:val="16"/>
              </w:numPr>
              <w:suppressAutoHyphens/>
              <w:ind w:left="821" w:right="112" w:hanging="427"/>
              <w:jc w:val="both"/>
              <w:rPr>
                <w:sz w:val="28"/>
                <w:szCs w:val="28"/>
              </w:rPr>
            </w:pPr>
            <w:r w:rsidRPr="00413EBC">
              <w:rPr>
                <w:sz w:val="28"/>
                <w:szCs w:val="28"/>
              </w:rPr>
              <w:t>noliktavas turētāja darbībai, sasniedz 2</w:t>
            </w:r>
            <w:r w:rsidR="008D2F1C" w:rsidRPr="00413EBC">
              <w:rPr>
                <w:sz w:val="28"/>
                <w:szCs w:val="28"/>
              </w:rPr>
              <w:t>78</w:t>
            </w:r>
            <w:r w:rsidRPr="00413EBC">
              <w:rPr>
                <w:sz w:val="28"/>
                <w:szCs w:val="28"/>
              </w:rPr>
              <w:t>;</w:t>
            </w:r>
          </w:p>
          <w:p w:rsidR="00B15F05" w:rsidRPr="00413EBC" w:rsidRDefault="00A139E9" w:rsidP="00234B16">
            <w:pPr>
              <w:pStyle w:val="ListParagraph"/>
              <w:numPr>
                <w:ilvl w:val="0"/>
                <w:numId w:val="16"/>
              </w:numPr>
              <w:suppressAutoHyphens/>
              <w:ind w:left="821" w:right="112" w:hanging="427"/>
              <w:jc w:val="both"/>
              <w:rPr>
                <w:sz w:val="28"/>
                <w:szCs w:val="28"/>
              </w:rPr>
            </w:pPr>
            <w:r w:rsidRPr="00413EBC">
              <w:rPr>
                <w:sz w:val="28"/>
                <w:szCs w:val="28"/>
              </w:rPr>
              <w:t xml:space="preserve">reģistrēta saņēmēja darbībai, sasniedz </w:t>
            </w:r>
            <w:r w:rsidR="008D2F1C" w:rsidRPr="00413EBC">
              <w:rPr>
                <w:sz w:val="28"/>
                <w:szCs w:val="28"/>
              </w:rPr>
              <w:t>8</w:t>
            </w:r>
            <w:r w:rsidRPr="00413EBC">
              <w:rPr>
                <w:sz w:val="28"/>
                <w:szCs w:val="28"/>
              </w:rPr>
              <w:t>;</w:t>
            </w:r>
          </w:p>
          <w:p w:rsidR="00B15F05" w:rsidRPr="00413EBC" w:rsidRDefault="00A139E9" w:rsidP="00234B16">
            <w:pPr>
              <w:pStyle w:val="ListParagraph"/>
              <w:numPr>
                <w:ilvl w:val="0"/>
                <w:numId w:val="16"/>
              </w:numPr>
              <w:suppressAutoHyphens/>
              <w:ind w:left="821" w:right="112" w:hanging="427"/>
              <w:jc w:val="both"/>
              <w:rPr>
                <w:sz w:val="28"/>
                <w:szCs w:val="28"/>
              </w:rPr>
            </w:pPr>
            <w:r w:rsidRPr="00413EBC">
              <w:rPr>
                <w:sz w:val="28"/>
                <w:szCs w:val="28"/>
              </w:rPr>
              <w:t xml:space="preserve">reģistrēta nosūtītāja darbībai, sasniedz </w:t>
            </w:r>
            <w:r w:rsidR="008D2F1C" w:rsidRPr="00413EBC">
              <w:rPr>
                <w:sz w:val="28"/>
                <w:szCs w:val="28"/>
              </w:rPr>
              <w:t>6</w:t>
            </w:r>
            <w:r w:rsidRPr="00413EBC">
              <w:rPr>
                <w:sz w:val="28"/>
                <w:szCs w:val="28"/>
              </w:rPr>
              <w:t>;</w:t>
            </w:r>
          </w:p>
          <w:p w:rsidR="00B15F05" w:rsidRPr="00413EBC" w:rsidRDefault="00A139E9" w:rsidP="00234B16">
            <w:pPr>
              <w:pStyle w:val="ListParagraph"/>
              <w:numPr>
                <w:ilvl w:val="0"/>
                <w:numId w:val="16"/>
              </w:numPr>
              <w:suppressAutoHyphens/>
              <w:ind w:left="821" w:right="112" w:hanging="427"/>
              <w:jc w:val="both"/>
              <w:rPr>
                <w:sz w:val="28"/>
                <w:szCs w:val="28"/>
              </w:rPr>
            </w:pPr>
            <w:r w:rsidRPr="00413EBC">
              <w:rPr>
                <w:sz w:val="28"/>
                <w:szCs w:val="28"/>
              </w:rPr>
              <w:t xml:space="preserve">citas personas darbībai, sasniedz </w:t>
            </w:r>
            <w:r w:rsidR="008A199E" w:rsidRPr="00413EBC">
              <w:rPr>
                <w:sz w:val="28"/>
                <w:szCs w:val="28"/>
              </w:rPr>
              <w:t>6</w:t>
            </w:r>
            <w:r w:rsidRPr="00413EBC">
              <w:rPr>
                <w:sz w:val="28"/>
                <w:szCs w:val="28"/>
              </w:rPr>
              <w:t>;</w:t>
            </w:r>
          </w:p>
          <w:p w:rsidR="00B15F05" w:rsidRPr="00413EBC" w:rsidRDefault="00A139E9" w:rsidP="00B151DF">
            <w:pPr>
              <w:pStyle w:val="ListParagraph"/>
              <w:numPr>
                <w:ilvl w:val="0"/>
                <w:numId w:val="16"/>
              </w:numPr>
              <w:suppressAutoHyphens/>
              <w:ind w:left="821" w:right="112" w:hanging="427"/>
              <w:jc w:val="both"/>
              <w:rPr>
                <w:sz w:val="28"/>
                <w:szCs w:val="28"/>
              </w:rPr>
            </w:pPr>
            <w:r w:rsidRPr="00413EBC">
              <w:rPr>
                <w:sz w:val="28"/>
                <w:szCs w:val="28"/>
              </w:rPr>
              <w:t xml:space="preserve">īslaicīgi reģistrēta saņēmēja darbībai, sasniedz </w:t>
            </w:r>
            <w:r w:rsidR="00B151DF" w:rsidRPr="00413EBC">
              <w:rPr>
                <w:sz w:val="28"/>
                <w:szCs w:val="28"/>
              </w:rPr>
              <w:t>23</w:t>
            </w:r>
            <w:r w:rsidRPr="00413EBC">
              <w:rPr>
                <w:sz w:val="28"/>
                <w:szCs w:val="28"/>
              </w:rPr>
              <w:t>.</w:t>
            </w:r>
          </w:p>
        </w:tc>
      </w:tr>
      <w:tr w:rsidR="00B253C1" w:rsidRPr="00413EBC" w:rsidTr="00413EBC">
        <w:tc>
          <w:tcPr>
            <w:tcW w:w="299" w:type="pct"/>
            <w:tcBorders>
              <w:top w:val="outset" w:sz="6" w:space="0" w:color="000000"/>
              <w:left w:val="outset" w:sz="6" w:space="0" w:color="000000"/>
              <w:bottom w:val="outset" w:sz="6" w:space="0" w:color="000000"/>
              <w:right w:val="outset" w:sz="6" w:space="0" w:color="000000"/>
            </w:tcBorders>
          </w:tcPr>
          <w:p w:rsidR="00B15F05" w:rsidRPr="00413EBC" w:rsidRDefault="00A139E9" w:rsidP="00B15F05">
            <w:pPr>
              <w:pStyle w:val="NormalWeb"/>
              <w:rPr>
                <w:sz w:val="28"/>
                <w:szCs w:val="28"/>
              </w:rPr>
            </w:pPr>
            <w:r w:rsidRPr="00413EBC">
              <w:rPr>
                <w:sz w:val="28"/>
                <w:szCs w:val="28"/>
              </w:rPr>
              <w:lastRenderedPageBreak/>
              <w:t>2.</w:t>
            </w:r>
          </w:p>
        </w:tc>
        <w:tc>
          <w:tcPr>
            <w:tcW w:w="1716" w:type="pct"/>
            <w:tcBorders>
              <w:top w:val="outset" w:sz="6" w:space="0" w:color="000000"/>
              <w:left w:val="outset" w:sz="6" w:space="0" w:color="000000"/>
              <w:bottom w:val="outset" w:sz="6" w:space="0" w:color="000000"/>
              <w:right w:val="outset" w:sz="6" w:space="0" w:color="000000"/>
            </w:tcBorders>
          </w:tcPr>
          <w:p w:rsidR="00B15F05" w:rsidRPr="00413EBC" w:rsidRDefault="00A139E9" w:rsidP="00B15F05">
            <w:pPr>
              <w:pStyle w:val="NormalWeb"/>
              <w:ind w:right="113"/>
              <w:jc w:val="both"/>
              <w:rPr>
                <w:sz w:val="28"/>
                <w:szCs w:val="28"/>
              </w:rPr>
            </w:pPr>
            <w:r w:rsidRPr="00413EBC">
              <w:rPr>
                <w:sz w:val="28"/>
                <w:szCs w:val="28"/>
              </w:rPr>
              <w:t>Tiesiskā regulējuma ietekme uz tautsaimniecību un administratīvo slogu</w:t>
            </w:r>
          </w:p>
        </w:tc>
        <w:tc>
          <w:tcPr>
            <w:tcW w:w="2985" w:type="pct"/>
            <w:tcBorders>
              <w:top w:val="outset" w:sz="6" w:space="0" w:color="000000"/>
              <w:left w:val="outset" w:sz="6" w:space="0" w:color="000000"/>
              <w:bottom w:val="outset" w:sz="6" w:space="0" w:color="000000"/>
              <w:right w:val="outset" w:sz="6" w:space="0" w:color="000000"/>
            </w:tcBorders>
          </w:tcPr>
          <w:p w:rsidR="00423AC5" w:rsidRPr="00413EBC" w:rsidRDefault="00423AC5" w:rsidP="00423AC5">
            <w:pPr>
              <w:pStyle w:val="ListParagraph"/>
              <w:tabs>
                <w:tab w:val="left" w:pos="405"/>
              </w:tabs>
              <w:ind w:left="121" w:firstLine="413"/>
              <w:jc w:val="both"/>
              <w:rPr>
                <w:sz w:val="28"/>
                <w:szCs w:val="28"/>
              </w:rPr>
            </w:pPr>
            <w:r w:rsidRPr="00413EBC">
              <w:rPr>
                <w:sz w:val="28"/>
                <w:szCs w:val="28"/>
              </w:rPr>
              <w:t>Noteikumu projekts paredz noteikt atvieglotus nosacījumus akcīzes nodokļa vispārējā nodrošinājuma saņemšanai Padziļinātās sadarbības programmas Sudraba un Zelta līmeņa dalībniekiem.</w:t>
            </w:r>
          </w:p>
          <w:p w:rsidR="00423AC5" w:rsidRPr="00413EBC" w:rsidRDefault="00423AC5" w:rsidP="00423AC5">
            <w:pPr>
              <w:pStyle w:val="ListParagraph"/>
              <w:tabs>
                <w:tab w:val="left" w:pos="405"/>
              </w:tabs>
              <w:ind w:left="121"/>
              <w:jc w:val="both"/>
              <w:rPr>
                <w:sz w:val="28"/>
                <w:szCs w:val="28"/>
              </w:rPr>
            </w:pPr>
            <w:r w:rsidRPr="00413EBC">
              <w:rPr>
                <w:sz w:val="28"/>
                <w:szCs w:val="28"/>
              </w:rPr>
              <w:t>Savukārt administratīvais slogs palielināsies tiem Padziļinātās programmas dalībniekiem, kurus pārcels uz Bronzas līmeni un kuri līdz šim izmantoja atvieglotus nosacījumus akcīzes nodokļa vispārējā nodrošinājuma saņemšanai.</w:t>
            </w:r>
          </w:p>
          <w:p w:rsidR="00B15F05" w:rsidRPr="00413EBC" w:rsidRDefault="00423AC5" w:rsidP="00423AC5">
            <w:pPr>
              <w:pStyle w:val="NormalWeb"/>
              <w:spacing w:before="0" w:beforeAutospacing="0" w:after="0" w:afterAutospacing="0"/>
              <w:ind w:left="109" w:firstLine="429"/>
              <w:jc w:val="both"/>
              <w:rPr>
                <w:sz w:val="28"/>
                <w:szCs w:val="28"/>
              </w:rPr>
            </w:pPr>
            <w:r w:rsidRPr="00413EBC">
              <w:rPr>
                <w:sz w:val="28"/>
                <w:szCs w:val="28"/>
              </w:rPr>
              <w:t xml:space="preserve">Noteikumu projekts samazinās administratīvo slogu kredītiestādēm un apdrošināšanas sabiedrībām, jo tām galvojumos un saistību izpildes apdrošināšanas polisēs vairs nevajadzēs norādīt attiecīgo dokumentu izsniegšanas laiku, ņemot vērā Noteikumu projektā paredzēto, ka </w:t>
            </w:r>
            <w:r w:rsidRPr="00413EBC">
              <w:rPr>
                <w:color w:val="000000" w:themeColor="text1"/>
                <w:sz w:val="28"/>
                <w:szCs w:val="28"/>
              </w:rPr>
              <w:t>saistību izpildes apdrošināšanas polišu un galvojumu izmantošanas laikposms nepārsniedz 12 mēnešus no attiecīgā dokumenta spēkā stāšanās dienas.</w:t>
            </w:r>
          </w:p>
        </w:tc>
      </w:tr>
      <w:tr w:rsidR="00B253C1" w:rsidRPr="00413EBC" w:rsidTr="00413EBC">
        <w:tc>
          <w:tcPr>
            <w:tcW w:w="299" w:type="pct"/>
            <w:tcBorders>
              <w:top w:val="outset" w:sz="6" w:space="0" w:color="000000"/>
              <w:left w:val="outset" w:sz="6" w:space="0" w:color="000000"/>
              <w:bottom w:val="outset" w:sz="6" w:space="0" w:color="000000"/>
              <w:right w:val="outset" w:sz="6" w:space="0" w:color="000000"/>
            </w:tcBorders>
          </w:tcPr>
          <w:p w:rsidR="00B15F05" w:rsidRPr="00413EBC" w:rsidRDefault="00A139E9" w:rsidP="00B15F05">
            <w:pPr>
              <w:pStyle w:val="NormalWeb"/>
              <w:rPr>
                <w:sz w:val="28"/>
                <w:szCs w:val="28"/>
              </w:rPr>
            </w:pPr>
            <w:r w:rsidRPr="00413EBC">
              <w:rPr>
                <w:sz w:val="28"/>
                <w:szCs w:val="28"/>
              </w:rPr>
              <w:t>3.</w:t>
            </w:r>
          </w:p>
        </w:tc>
        <w:tc>
          <w:tcPr>
            <w:tcW w:w="1716" w:type="pct"/>
            <w:tcBorders>
              <w:top w:val="outset" w:sz="6" w:space="0" w:color="000000"/>
              <w:left w:val="outset" w:sz="6" w:space="0" w:color="000000"/>
              <w:bottom w:val="outset" w:sz="6" w:space="0" w:color="000000"/>
              <w:right w:val="outset" w:sz="6" w:space="0" w:color="000000"/>
            </w:tcBorders>
          </w:tcPr>
          <w:p w:rsidR="00B15F05" w:rsidRPr="00413EBC" w:rsidRDefault="00A139E9" w:rsidP="001A3E52">
            <w:pPr>
              <w:pStyle w:val="NormalWeb"/>
              <w:ind w:right="113"/>
              <w:jc w:val="both"/>
              <w:rPr>
                <w:sz w:val="28"/>
                <w:szCs w:val="28"/>
              </w:rPr>
            </w:pPr>
            <w:r w:rsidRPr="00413EBC">
              <w:rPr>
                <w:sz w:val="28"/>
                <w:szCs w:val="28"/>
              </w:rPr>
              <w:t>Administratīvo izmaksu monetārs novērtējums</w:t>
            </w:r>
          </w:p>
        </w:tc>
        <w:tc>
          <w:tcPr>
            <w:tcW w:w="2985" w:type="pct"/>
            <w:tcBorders>
              <w:top w:val="outset" w:sz="6" w:space="0" w:color="000000"/>
              <w:left w:val="outset" w:sz="6" w:space="0" w:color="000000"/>
              <w:bottom w:val="outset" w:sz="6" w:space="0" w:color="000000"/>
              <w:right w:val="outset" w:sz="6" w:space="0" w:color="000000"/>
            </w:tcBorders>
          </w:tcPr>
          <w:p w:rsidR="00B15F05" w:rsidRPr="00413EBC" w:rsidRDefault="006E1558" w:rsidP="006E1558">
            <w:pPr>
              <w:pStyle w:val="NormalWeb"/>
              <w:spacing w:before="0" w:beforeAutospacing="0" w:after="0" w:afterAutospacing="0"/>
              <w:ind w:left="109" w:firstLine="425"/>
              <w:jc w:val="both"/>
              <w:rPr>
                <w:sz w:val="28"/>
                <w:szCs w:val="28"/>
              </w:rPr>
            </w:pPr>
            <w:r w:rsidRPr="00413EBC">
              <w:rPr>
                <w:iCs/>
                <w:sz w:val="28"/>
                <w:szCs w:val="28"/>
              </w:rPr>
              <w:t xml:space="preserve">Ņemot vērā to, ka nav iespējams prognozēt, cik un kuri no esošajiem Padziļinātās sadarbības programmas dalībniekiem neatbildīs Sudraba vai Zelta līmeņa nosacījumiem, </w:t>
            </w:r>
            <w:r w:rsidRPr="00413EBC">
              <w:rPr>
                <w:color w:val="000000" w:themeColor="text1"/>
                <w:sz w:val="28"/>
                <w:szCs w:val="28"/>
              </w:rPr>
              <w:t>nevar veikt administratīvo izmaksu monetāro novērtējumu, aprēķinot administratīvo izmaksu apjomu, jo katram no esošajiem Padziļinātās sadarbības programmas dalībniekiem ir atšķirīgs nepieciešamais akcīzes nodokļa vispārējā nodrošinājuma apmērs, kas tiek aprēķināts atkarībā no attiecīgā akcīzes preču apritē iesaistītā komersanta uzņēmējdarbības specifikas.</w:t>
            </w:r>
          </w:p>
        </w:tc>
      </w:tr>
      <w:tr w:rsidR="00B253C1" w:rsidRPr="00413EBC" w:rsidTr="00413EBC">
        <w:tc>
          <w:tcPr>
            <w:tcW w:w="299" w:type="pct"/>
            <w:tcBorders>
              <w:top w:val="outset" w:sz="6" w:space="0" w:color="000000"/>
              <w:left w:val="outset" w:sz="6" w:space="0" w:color="000000"/>
              <w:bottom w:val="outset" w:sz="6" w:space="0" w:color="000000"/>
              <w:right w:val="outset" w:sz="6" w:space="0" w:color="000000"/>
            </w:tcBorders>
          </w:tcPr>
          <w:p w:rsidR="00B15F05" w:rsidRPr="00413EBC" w:rsidRDefault="00A139E9" w:rsidP="00B15F05">
            <w:pPr>
              <w:pStyle w:val="NormalWeb"/>
              <w:rPr>
                <w:sz w:val="28"/>
                <w:szCs w:val="28"/>
              </w:rPr>
            </w:pPr>
            <w:r w:rsidRPr="00413EBC">
              <w:rPr>
                <w:sz w:val="28"/>
                <w:szCs w:val="28"/>
              </w:rPr>
              <w:lastRenderedPageBreak/>
              <w:t>4.</w:t>
            </w:r>
          </w:p>
        </w:tc>
        <w:tc>
          <w:tcPr>
            <w:tcW w:w="1716" w:type="pct"/>
            <w:tcBorders>
              <w:top w:val="outset" w:sz="6" w:space="0" w:color="000000"/>
              <w:left w:val="outset" w:sz="6" w:space="0" w:color="000000"/>
              <w:bottom w:val="outset" w:sz="6" w:space="0" w:color="000000"/>
              <w:right w:val="outset" w:sz="6" w:space="0" w:color="000000"/>
            </w:tcBorders>
          </w:tcPr>
          <w:p w:rsidR="00B15F05" w:rsidRPr="00413EBC" w:rsidRDefault="006E1558" w:rsidP="001A3E52">
            <w:pPr>
              <w:pStyle w:val="NormalWeb"/>
              <w:ind w:right="113"/>
              <w:jc w:val="both"/>
              <w:rPr>
                <w:sz w:val="28"/>
                <w:szCs w:val="28"/>
              </w:rPr>
            </w:pPr>
            <w:r w:rsidRPr="00413EBC">
              <w:rPr>
                <w:sz w:val="28"/>
                <w:szCs w:val="28"/>
              </w:rPr>
              <w:t>Atbilstības izmaksu monetārs novērtējums</w:t>
            </w:r>
          </w:p>
        </w:tc>
        <w:tc>
          <w:tcPr>
            <w:tcW w:w="2985" w:type="pct"/>
            <w:tcBorders>
              <w:top w:val="outset" w:sz="6" w:space="0" w:color="000000"/>
              <w:left w:val="outset" w:sz="6" w:space="0" w:color="000000"/>
              <w:bottom w:val="outset" w:sz="6" w:space="0" w:color="000000"/>
              <w:right w:val="outset" w:sz="6" w:space="0" w:color="000000"/>
            </w:tcBorders>
          </w:tcPr>
          <w:p w:rsidR="00B15F05" w:rsidRPr="00413EBC" w:rsidRDefault="006E1558" w:rsidP="006E1558">
            <w:pPr>
              <w:pStyle w:val="NormalWeb"/>
              <w:ind w:left="109" w:firstLine="425"/>
              <w:jc w:val="both"/>
              <w:rPr>
                <w:sz w:val="28"/>
                <w:szCs w:val="28"/>
              </w:rPr>
            </w:pPr>
            <w:r w:rsidRPr="00413EBC">
              <w:rPr>
                <w:iCs/>
                <w:sz w:val="28"/>
                <w:szCs w:val="28"/>
              </w:rPr>
              <w:t>Ņemot vērā šīs sadaļas 3.punktā norādīto informāciju, noteikumu projekts šo jomu neskar.</w:t>
            </w:r>
          </w:p>
        </w:tc>
      </w:tr>
      <w:tr w:rsidR="004F7B6F" w:rsidRPr="00413EBC" w:rsidTr="00413EBC">
        <w:tc>
          <w:tcPr>
            <w:tcW w:w="299" w:type="pct"/>
            <w:tcBorders>
              <w:top w:val="outset" w:sz="6" w:space="0" w:color="000000"/>
              <w:left w:val="outset" w:sz="6" w:space="0" w:color="000000"/>
              <w:bottom w:val="outset" w:sz="6" w:space="0" w:color="000000"/>
              <w:right w:val="outset" w:sz="6" w:space="0" w:color="000000"/>
            </w:tcBorders>
          </w:tcPr>
          <w:p w:rsidR="004F7B6F" w:rsidRPr="00413EBC" w:rsidRDefault="004F7B6F" w:rsidP="00B15F05">
            <w:pPr>
              <w:pStyle w:val="NormalWeb"/>
              <w:rPr>
                <w:sz w:val="28"/>
                <w:szCs w:val="28"/>
              </w:rPr>
            </w:pPr>
            <w:r w:rsidRPr="00413EBC">
              <w:rPr>
                <w:sz w:val="28"/>
                <w:szCs w:val="28"/>
              </w:rPr>
              <w:t>5.</w:t>
            </w:r>
          </w:p>
        </w:tc>
        <w:tc>
          <w:tcPr>
            <w:tcW w:w="1716" w:type="pct"/>
            <w:tcBorders>
              <w:top w:val="outset" w:sz="6" w:space="0" w:color="000000"/>
              <w:left w:val="outset" w:sz="6" w:space="0" w:color="000000"/>
              <w:bottom w:val="outset" w:sz="6" w:space="0" w:color="000000"/>
              <w:right w:val="outset" w:sz="6" w:space="0" w:color="000000"/>
            </w:tcBorders>
          </w:tcPr>
          <w:p w:rsidR="004F7B6F" w:rsidRPr="00413EBC" w:rsidRDefault="004F7B6F" w:rsidP="00B15F05">
            <w:pPr>
              <w:pStyle w:val="NormalWeb"/>
              <w:ind w:right="113"/>
              <w:rPr>
                <w:sz w:val="28"/>
                <w:szCs w:val="28"/>
              </w:rPr>
            </w:pPr>
            <w:r w:rsidRPr="00413EBC">
              <w:rPr>
                <w:sz w:val="28"/>
                <w:szCs w:val="28"/>
              </w:rPr>
              <w:t>Cita informācija</w:t>
            </w:r>
          </w:p>
        </w:tc>
        <w:tc>
          <w:tcPr>
            <w:tcW w:w="2985" w:type="pct"/>
            <w:tcBorders>
              <w:top w:val="outset" w:sz="6" w:space="0" w:color="000000"/>
              <w:left w:val="outset" w:sz="6" w:space="0" w:color="000000"/>
              <w:bottom w:val="outset" w:sz="6" w:space="0" w:color="000000"/>
              <w:right w:val="outset" w:sz="6" w:space="0" w:color="000000"/>
            </w:tcBorders>
          </w:tcPr>
          <w:p w:rsidR="004F7B6F" w:rsidRPr="00413EBC" w:rsidRDefault="004F7B6F" w:rsidP="004F7B6F">
            <w:pPr>
              <w:pStyle w:val="NormalWeb"/>
              <w:ind w:left="109"/>
              <w:jc w:val="both"/>
              <w:rPr>
                <w:iCs/>
                <w:sz w:val="28"/>
                <w:szCs w:val="28"/>
              </w:rPr>
            </w:pPr>
            <w:r w:rsidRPr="00413EBC">
              <w:rPr>
                <w:iCs/>
                <w:sz w:val="28"/>
                <w:szCs w:val="28"/>
              </w:rPr>
              <w:t>Nav.</w:t>
            </w:r>
          </w:p>
        </w:tc>
      </w:tr>
      <w:tr w:rsidR="00C52989" w:rsidRPr="00413EBC" w:rsidTr="00413EBC">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52989" w:rsidRPr="00413EBC" w:rsidRDefault="00C52989" w:rsidP="00C8370E">
            <w:pPr>
              <w:spacing w:before="100" w:beforeAutospacing="1" w:after="100" w:afterAutospacing="1" w:line="293" w:lineRule="atLeast"/>
              <w:jc w:val="center"/>
              <w:rPr>
                <w:b/>
                <w:bCs/>
                <w:sz w:val="28"/>
                <w:szCs w:val="28"/>
              </w:rPr>
            </w:pPr>
            <w:r w:rsidRPr="00413EBC">
              <w:rPr>
                <w:b/>
                <w:bCs/>
                <w:sz w:val="28"/>
                <w:szCs w:val="28"/>
              </w:rPr>
              <w:t>III. Tiesību akta projekta ietekme uz valsts budžetu un pašvaldību budžetiem</w:t>
            </w:r>
          </w:p>
        </w:tc>
      </w:tr>
      <w:tr w:rsidR="00C52989" w:rsidRPr="00413EBC" w:rsidTr="00413EBC">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C52989" w:rsidRPr="00413EBC" w:rsidRDefault="00C52989" w:rsidP="00C8370E">
            <w:pPr>
              <w:spacing w:before="100" w:beforeAutospacing="1" w:after="100" w:afterAutospacing="1" w:line="293" w:lineRule="atLeast"/>
              <w:jc w:val="center"/>
              <w:rPr>
                <w:bCs/>
                <w:sz w:val="28"/>
                <w:szCs w:val="28"/>
              </w:rPr>
            </w:pPr>
            <w:r w:rsidRPr="00413EBC">
              <w:rPr>
                <w:bCs/>
                <w:sz w:val="28"/>
                <w:szCs w:val="28"/>
              </w:rPr>
              <w:t>Noteikumu projekts šo jomu neskar.</w:t>
            </w:r>
          </w:p>
        </w:tc>
      </w:tr>
    </w:tbl>
    <w:p w:rsidR="003E65B9" w:rsidRPr="00413EBC" w:rsidRDefault="003E65B9" w:rsidP="00B15F05">
      <w:pPr>
        <w:rPr>
          <w:sz w:val="28"/>
          <w:szCs w:val="28"/>
        </w:rPr>
      </w:pPr>
    </w:p>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12"/>
      </w:tblGrid>
      <w:tr w:rsidR="00A85CE7" w:rsidRPr="00413EBC" w:rsidTr="00B15F05">
        <w:trPr>
          <w:trHeight w:val="288"/>
        </w:trPr>
        <w:tc>
          <w:tcPr>
            <w:tcW w:w="5000" w:type="pct"/>
            <w:tcBorders>
              <w:top w:val="outset" w:sz="6" w:space="0" w:color="000000"/>
              <w:left w:val="outset" w:sz="6" w:space="0" w:color="000000"/>
              <w:bottom w:val="outset" w:sz="6" w:space="0" w:color="000000"/>
              <w:right w:val="outset" w:sz="6" w:space="0" w:color="000000"/>
            </w:tcBorders>
            <w:hideMark/>
          </w:tcPr>
          <w:p w:rsidR="00A85CE7" w:rsidRPr="00413EBC" w:rsidRDefault="00A85CE7" w:rsidP="00B15F05">
            <w:pPr>
              <w:spacing w:before="100" w:beforeAutospacing="1" w:after="100" w:afterAutospacing="1"/>
              <w:jc w:val="center"/>
              <w:rPr>
                <w:b/>
                <w:bCs/>
                <w:sz w:val="28"/>
                <w:szCs w:val="28"/>
              </w:rPr>
            </w:pPr>
            <w:r w:rsidRPr="00413EBC">
              <w:rPr>
                <w:b/>
                <w:bCs/>
                <w:sz w:val="28"/>
                <w:szCs w:val="28"/>
              </w:rPr>
              <w:t>IV. Tiesību akta projekta ietekme uz spēkā esošo tiesību normu sistēmu</w:t>
            </w:r>
          </w:p>
        </w:tc>
      </w:tr>
      <w:tr w:rsidR="00A85CE7" w:rsidRPr="00413EBC" w:rsidTr="004030DF">
        <w:trPr>
          <w:trHeight w:val="274"/>
        </w:trPr>
        <w:tc>
          <w:tcPr>
            <w:tcW w:w="5000" w:type="pct"/>
            <w:tcBorders>
              <w:top w:val="outset" w:sz="6" w:space="0" w:color="000000"/>
              <w:left w:val="single" w:sz="4" w:space="0" w:color="auto"/>
              <w:bottom w:val="outset" w:sz="6" w:space="0" w:color="000000"/>
              <w:right w:val="outset" w:sz="6" w:space="0" w:color="000000"/>
            </w:tcBorders>
            <w:vAlign w:val="center"/>
          </w:tcPr>
          <w:p w:rsidR="00A85CE7" w:rsidRPr="00413EBC" w:rsidRDefault="00A85CE7" w:rsidP="00B15F05">
            <w:pPr>
              <w:spacing w:before="100" w:beforeAutospacing="1" w:after="100" w:afterAutospacing="1"/>
              <w:ind w:right="136" w:firstLine="425"/>
              <w:jc w:val="center"/>
              <w:rPr>
                <w:sz w:val="28"/>
                <w:szCs w:val="28"/>
              </w:rPr>
            </w:pPr>
            <w:r w:rsidRPr="00413EBC">
              <w:rPr>
                <w:sz w:val="28"/>
                <w:szCs w:val="28"/>
              </w:rPr>
              <w:t>Projekts šo jomu neskar</w:t>
            </w:r>
            <w:r w:rsidR="00C52989" w:rsidRPr="00413EBC">
              <w:rPr>
                <w:sz w:val="28"/>
                <w:szCs w:val="28"/>
              </w:rPr>
              <w:t>.</w:t>
            </w:r>
          </w:p>
        </w:tc>
      </w:tr>
    </w:tbl>
    <w:p w:rsidR="00750AE3" w:rsidRPr="00413EBC" w:rsidRDefault="00750AE3" w:rsidP="00B15F05">
      <w:pPr>
        <w:rPr>
          <w:sz w:val="28"/>
          <w:szCs w:val="28"/>
        </w:rPr>
      </w:pPr>
    </w:p>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12"/>
      </w:tblGrid>
      <w:tr w:rsidR="00750AE3" w:rsidRPr="00413EBC" w:rsidTr="00C8370E">
        <w:trPr>
          <w:trHeight w:val="288"/>
        </w:trPr>
        <w:tc>
          <w:tcPr>
            <w:tcW w:w="5000" w:type="pct"/>
            <w:tcBorders>
              <w:top w:val="outset" w:sz="6" w:space="0" w:color="000000"/>
              <w:left w:val="outset" w:sz="6" w:space="0" w:color="000000"/>
              <w:bottom w:val="outset" w:sz="6" w:space="0" w:color="000000"/>
              <w:right w:val="outset" w:sz="6" w:space="0" w:color="000000"/>
            </w:tcBorders>
            <w:hideMark/>
          </w:tcPr>
          <w:p w:rsidR="00750AE3" w:rsidRPr="00413EBC" w:rsidRDefault="00750AE3" w:rsidP="00C8370E">
            <w:pPr>
              <w:spacing w:before="100" w:beforeAutospacing="1" w:after="100" w:afterAutospacing="1"/>
              <w:jc w:val="center"/>
              <w:rPr>
                <w:b/>
                <w:bCs/>
                <w:sz w:val="28"/>
                <w:szCs w:val="28"/>
              </w:rPr>
            </w:pPr>
            <w:r w:rsidRPr="00413EBC">
              <w:rPr>
                <w:b/>
                <w:bCs/>
                <w:sz w:val="28"/>
                <w:szCs w:val="28"/>
              </w:rPr>
              <w:t>V. Tiesību akta projekta atbilstība Latvijas Republikas starptautiskajām saistībām</w:t>
            </w:r>
          </w:p>
        </w:tc>
      </w:tr>
      <w:tr w:rsidR="00750AE3" w:rsidRPr="00413EBC" w:rsidTr="00C8370E">
        <w:trPr>
          <w:trHeight w:val="224"/>
        </w:trPr>
        <w:tc>
          <w:tcPr>
            <w:tcW w:w="5000" w:type="pct"/>
            <w:tcBorders>
              <w:top w:val="outset" w:sz="6" w:space="0" w:color="000000"/>
              <w:left w:val="single" w:sz="4" w:space="0" w:color="auto"/>
              <w:bottom w:val="outset" w:sz="6" w:space="0" w:color="000000"/>
              <w:right w:val="outset" w:sz="6" w:space="0" w:color="000000"/>
            </w:tcBorders>
            <w:vAlign w:val="center"/>
          </w:tcPr>
          <w:p w:rsidR="00750AE3" w:rsidRPr="00413EBC" w:rsidRDefault="00750AE3" w:rsidP="00C8370E">
            <w:pPr>
              <w:spacing w:before="100" w:beforeAutospacing="1" w:after="100" w:afterAutospacing="1"/>
              <w:ind w:right="136" w:firstLine="425"/>
              <w:jc w:val="center"/>
              <w:rPr>
                <w:sz w:val="28"/>
                <w:szCs w:val="28"/>
              </w:rPr>
            </w:pPr>
            <w:r w:rsidRPr="00413EBC">
              <w:rPr>
                <w:sz w:val="28"/>
                <w:szCs w:val="28"/>
              </w:rPr>
              <w:t>Projekts šo jomu neskar.</w:t>
            </w:r>
          </w:p>
        </w:tc>
      </w:tr>
    </w:tbl>
    <w:p w:rsidR="003E65B9" w:rsidRPr="00413EBC" w:rsidRDefault="003E65B9" w:rsidP="00B15F05">
      <w:pPr>
        <w:rPr>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5"/>
        <w:gridCol w:w="3372"/>
        <w:gridCol w:w="5482"/>
      </w:tblGrid>
      <w:tr w:rsidR="00B253C1" w:rsidRPr="00413EBC" w:rsidTr="004030DF">
        <w:tc>
          <w:tcPr>
            <w:tcW w:w="5000" w:type="pct"/>
            <w:gridSpan w:val="3"/>
            <w:tcBorders>
              <w:top w:val="single" w:sz="6" w:space="0" w:color="auto"/>
              <w:left w:val="single" w:sz="6" w:space="0" w:color="auto"/>
              <w:bottom w:val="single" w:sz="6" w:space="0" w:color="auto"/>
              <w:right w:val="single" w:sz="6" w:space="0" w:color="auto"/>
            </w:tcBorders>
            <w:hideMark/>
          </w:tcPr>
          <w:p w:rsidR="00B15F05" w:rsidRPr="00413EBC" w:rsidRDefault="00A139E9" w:rsidP="00B15F05">
            <w:pPr>
              <w:tabs>
                <w:tab w:val="center" w:pos="4648"/>
                <w:tab w:val="left" w:pos="8395"/>
              </w:tabs>
              <w:spacing w:before="100" w:beforeAutospacing="1" w:after="100" w:afterAutospacing="1"/>
              <w:rPr>
                <w:b/>
                <w:bCs/>
                <w:sz w:val="28"/>
                <w:szCs w:val="28"/>
              </w:rPr>
            </w:pPr>
            <w:r w:rsidRPr="00413EBC">
              <w:rPr>
                <w:b/>
                <w:bCs/>
                <w:sz w:val="28"/>
                <w:szCs w:val="28"/>
              </w:rPr>
              <w:tab/>
              <w:t>VI. Sabiedrības līdzdalība un komunikācijas aktivitātes</w:t>
            </w:r>
            <w:r w:rsidRPr="00413EBC">
              <w:rPr>
                <w:b/>
                <w:bCs/>
                <w:sz w:val="28"/>
                <w:szCs w:val="28"/>
              </w:rPr>
              <w:tab/>
            </w:r>
          </w:p>
        </w:tc>
      </w:tr>
      <w:tr w:rsidR="00B253C1" w:rsidRPr="00413EBC" w:rsidTr="004030DF">
        <w:tc>
          <w:tcPr>
            <w:tcW w:w="300" w:type="pct"/>
            <w:tcBorders>
              <w:top w:val="single" w:sz="6" w:space="0" w:color="auto"/>
              <w:left w:val="single" w:sz="6" w:space="0" w:color="auto"/>
              <w:bottom w:val="single" w:sz="6" w:space="0" w:color="auto"/>
              <w:right w:val="single" w:sz="4" w:space="0" w:color="auto"/>
            </w:tcBorders>
          </w:tcPr>
          <w:p w:rsidR="00B15F05" w:rsidRPr="00413EBC" w:rsidRDefault="00A139E9" w:rsidP="00B15F05">
            <w:pPr>
              <w:spacing w:before="100" w:beforeAutospacing="1" w:after="100" w:afterAutospacing="1"/>
              <w:jc w:val="center"/>
              <w:rPr>
                <w:bCs/>
                <w:sz w:val="28"/>
                <w:szCs w:val="28"/>
              </w:rPr>
            </w:pPr>
            <w:r w:rsidRPr="00413EBC">
              <w:rPr>
                <w:bCs/>
                <w:sz w:val="28"/>
                <w:szCs w:val="28"/>
              </w:rPr>
              <w:t>1.</w:t>
            </w:r>
          </w:p>
        </w:tc>
        <w:tc>
          <w:tcPr>
            <w:tcW w:w="1790" w:type="pct"/>
            <w:tcBorders>
              <w:top w:val="single" w:sz="6" w:space="0" w:color="auto"/>
              <w:left w:val="single" w:sz="4" w:space="0" w:color="auto"/>
              <w:bottom w:val="single" w:sz="6" w:space="0" w:color="auto"/>
              <w:right w:val="single" w:sz="4" w:space="0" w:color="auto"/>
            </w:tcBorders>
          </w:tcPr>
          <w:p w:rsidR="00B15F05" w:rsidRPr="00413EBC" w:rsidRDefault="00A139E9" w:rsidP="00750AE3">
            <w:pPr>
              <w:spacing w:before="100" w:beforeAutospacing="1" w:after="100" w:afterAutospacing="1"/>
              <w:ind w:right="-31"/>
              <w:jc w:val="both"/>
              <w:rPr>
                <w:bCs/>
                <w:sz w:val="28"/>
                <w:szCs w:val="28"/>
              </w:rPr>
            </w:pPr>
            <w:r w:rsidRPr="00413EBC">
              <w:rPr>
                <w:bCs/>
                <w:sz w:val="28"/>
                <w:szCs w:val="28"/>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rsidR="003E65B9" w:rsidRPr="00413EBC" w:rsidRDefault="00C52989" w:rsidP="00EF7C51">
            <w:pPr>
              <w:ind w:left="122" w:firstLine="262"/>
              <w:jc w:val="both"/>
              <w:rPr>
                <w:color w:val="000000" w:themeColor="text1"/>
                <w:sz w:val="28"/>
                <w:szCs w:val="28"/>
              </w:rPr>
            </w:pPr>
            <w:r w:rsidRPr="00413EBC">
              <w:rPr>
                <w:color w:val="000000" w:themeColor="text1"/>
                <w:sz w:val="28"/>
                <w:szCs w:val="28"/>
              </w:rPr>
              <w:t>Informācija par noteikumu projekt</w:t>
            </w:r>
            <w:r w:rsidR="003E65B9" w:rsidRPr="00413EBC">
              <w:rPr>
                <w:color w:val="000000" w:themeColor="text1"/>
                <w:sz w:val="28"/>
                <w:szCs w:val="28"/>
              </w:rPr>
              <w:t xml:space="preserve">a izstrādi publicēta Finanšu ministrijas mājaslapas sadaļā </w:t>
            </w:r>
            <w:r w:rsidR="003E65B9" w:rsidRPr="00413EBC">
              <w:rPr>
                <w:sz w:val="28"/>
                <w:szCs w:val="28"/>
                <w:shd w:val="clear" w:color="auto" w:fill="FFFFFF"/>
              </w:rPr>
              <w:t>„</w:t>
            </w:r>
            <w:r w:rsidR="003E65B9" w:rsidRPr="00413EBC">
              <w:rPr>
                <w:color w:val="000000" w:themeColor="text1"/>
                <w:sz w:val="28"/>
                <w:szCs w:val="28"/>
              </w:rPr>
              <w:t>Sabiedrības līdzdalība</w:t>
            </w:r>
            <w:r w:rsidR="003E65B9" w:rsidRPr="00413EBC">
              <w:rPr>
                <w:sz w:val="28"/>
                <w:szCs w:val="28"/>
                <w:shd w:val="clear" w:color="auto" w:fill="FFFFFF"/>
              </w:rPr>
              <w:t>”</w:t>
            </w:r>
            <w:r w:rsidR="003E65B9" w:rsidRPr="00413EBC">
              <w:rPr>
                <w:color w:val="000000" w:themeColor="text1"/>
                <w:sz w:val="28"/>
                <w:szCs w:val="28"/>
              </w:rPr>
              <w:t xml:space="preserve"> – </w:t>
            </w:r>
            <w:r w:rsidR="003E65B9" w:rsidRPr="00413EBC">
              <w:rPr>
                <w:sz w:val="28"/>
                <w:szCs w:val="28"/>
                <w:shd w:val="clear" w:color="auto" w:fill="FFFFFF"/>
              </w:rPr>
              <w:t>„</w:t>
            </w:r>
            <w:r w:rsidR="003E65B9" w:rsidRPr="00413EBC">
              <w:rPr>
                <w:color w:val="000000" w:themeColor="text1"/>
                <w:sz w:val="28"/>
                <w:szCs w:val="28"/>
              </w:rPr>
              <w:t>Tiesību aktu projekti</w:t>
            </w:r>
            <w:r w:rsidR="003E65B9" w:rsidRPr="00413EBC">
              <w:rPr>
                <w:sz w:val="28"/>
                <w:szCs w:val="28"/>
                <w:shd w:val="clear" w:color="auto" w:fill="FFFFFF"/>
              </w:rPr>
              <w:t>”</w:t>
            </w:r>
            <w:r w:rsidR="003E65B9" w:rsidRPr="00413EBC">
              <w:rPr>
                <w:color w:val="000000" w:themeColor="text1"/>
                <w:sz w:val="28"/>
                <w:szCs w:val="28"/>
              </w:rPr>
              <w:t xml:space="preserve"> – </w:t>
            </w:r>
            <w:r w:rsidR="003E65B9" w:rsidRPr="00413EBC">
              <w:rPr>
                <w:sz w:val="28"/>
                <w:szCs w:val="28"/>
                <w:shd w:val="clear" w:color="auto" w:fill="FFFFFF"/>
              </w:rPr>
              <w:t>„</w:t>
            </w:r>
            <w:r w:rsidR="003E65B9" w:rsidRPr="00413EBC">
              <w:rPr>
                <w:color w:val="000000" w:themeColor="text1"/>
                <w:sz w:val="28"/>
                <w:szCs w:val="28"/>
              </w:rPr>
              <w:t>Nodokļu politika</w:t>
            </w:r>
            <w:r w:rsidR="003E65B9" w:rsidRPr="00413EBC">
              <w:rPr>
                <w:sz w:val="28"/>
                <w:szCs w:val="28"/>
                <w:shd w:val="clear" w:color="auto" w:fill="FFFFFF"/>
              </w:rPr>
              <w:t>”, adrese</w:t>
            </w:r>
            <w:r w:rsidR="003E65B9" w:rsidRPr="00413EBC">
              <w:rPr>
                <w:color w:val="000000" w:themeColor="text1"/>
                <w:sz w:val="28"/>
                <w:szCs w:val="28"/>
              </w:rPr>
              <w:t>:</w:t>
            </w:r>
          </w:p>
          <w:p w:rsidR="00B15F05" w:rsidRPr="00413EBC" w:rsidRDefault="005F71B2" w:rsidP="003E65B9">
            <w:pPr>
              <w:ind w:left="122"/>
              <w:jc w:val="both"/>
              <w:rPr>
                <w:rStyle w:val="Hyperlink"/>
                <w:sz w:val="28"/>
                <w:szCs w:val="28"/>
              </w:rPr>
            </w:pPr>
            <w:hyperlink r:id="rId8" w:anchor="project511" w:history="1">
              <w:r w:rsidR="003E65B9" w:rsidRPr="00413EBC">
                <w:rPr>
                  <w:rStyle w:val="Hyperlink"/>
                  <w:sz w:val="28"/>
                  <w:szCs w:val="28"/>
                </w:rPr>
                <w:t>http://www.fm.gov.lv/lv/sabiedribas_lidzdaliba/tiesibu_aktu_projekti/nodoklu_politika#project511</w:t>
              </w:r>
            </w:hyperlink>
          </w:p>
          <w:p w:rsidR="003E65B9" w:rsidRPr="00413EBC" w:rsidRDefault="003E65B9" w:rsidP="003E65B9">
            <w:pPr>
              <w:ind w:left="122"/>
              <w:jc w:val="both"/>
              <w:rPr>
                <w:color w:val="0000FF"/>
                <w:sz w:val="28"/>
                <w:szCs w:val="28"/>
                <w:u w:val="single"/>
              </w:rPr>
            </w:pPr>
            <w:r w:rsidRPr="00413EBC">
              <w:rPr>
                <w:color w:val="000000" w:themeColor="text1"/>
                <w:sz w:val="28"/>
                <w:szCs w:val="28"/>
              </w:rPr>
              <w:t>Tāpat sabiedrības pārstāvji varēja sniegt viedokļus par noteikumu projektu pēc tā izsludināšanas Valsts sekretāru sanāksmē.</w:t>
            </w:r>
          </w:p>
        </w:tc>
      </w:tr>
      <w:tr w:rsidR="00B253C1" w:rsidRPr="00413EBC" w:rsidTr="004030DF">
        <w:tc>
          <w:tcPr>
            <w:tcW w:w="300" w:type="pct"/>
            <w:tcBorders>
              <w:top w:val="single" w:sz="6" w:space="0" w:color="auto"/>
              <w:left w:val="single" w:sz="6" w:space="0" w:color="auto"/>
              <w:bottom w:val="single" w:sz="6" w:space="0" w:color="auto"/>
              <w:right w:val="single" w:sz="4" w:space="0" w:color="auto"/>
            </w:tcBorders>
          </w:tcPr>
          <w:p w:rsidR="00B15F05" w:rsidRPr="00413EBC" w:rsidRDefault="00A139E9" w:rsidP="00B15F05">
            <w:pPr>
              <w:spacing w:before="100" w:beforeAutospacing="1" w:after="100" w:afterAutospacing="1"/>
              <w:jc w:val="center"/>
              <w:rPr>
                <w:bCs/>
                <w:color w:val="000000"/>
                <w:sz w:val="28"/>
                <w:szCs w:val="28"/>
              </w:rPr>
            </w:pPr>
            <w:r w:rsidRPr="00413EBC">
              <w:rPr>
                <w:bCs/>
                <w:color w:val="000000"/>
                <w:sz w:val="28"/>
                <w:szCs w:val="28"/>
              </w:rPr>
              <w:t>2.</w:t>
            </w:r>
          </w:p>
        </w:tc>
        <w:tc>
          <w:tcPr>
            <w:tcW w:w="1790" w:type="pct"/>
            <w:tcBorders>
              <w:top w:val="single" w:sz="6" w:space="0" w:color="auto"/>
              <w:left w:val="single" w:sz="4" w:space="0" w:color="auto"/>
              <w:bottom w:val="single" w:sz="6" w:space="0" w:color="auto"/>
              <w:right w:val="single" w:sz="4" w:space="0" w:color="auto"/>
            </w:tcBorders>
          </w:tcPr>
          <w:p w:rsidR="00B15F05" w:rsidRPr="00413EBC" w:rsidRDefault="00A139E9" w:rsidP="00750AE3">
            <w:pPr>
              <w:spacing w:before="100" w:beforeAutospacing="1" w:after="100" w:afterAutospacing="1"/>
              <w:ind w:right="-31"/>
              <w:jc w:val="both"/>
              <w:rPr>
                <w:bCs/>
                <w:color w:val="000000"/>
                <w:sz w:val="28"/>
                <w:szCs w:val="28"/>
              </w:rPr>
            </w:pPr>
            <w:r w:rsidRPr="00413EBC">
              <w:rPr>
                <w:bCs/>
                <w:color w:val="000000"/>
                <w:sz w:val="28"/>
                <w:szCs w:val="28"/>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rsidR="00603C5A" w:rsidRPr="00413EBC" w:rsidRDefault="003E65B9" w:rsidP="003E65B9">
            <w:pPr>
              <w:ind w:left="113" w:firstLine="312"/>
              <w:jc w:val="both"/>
              <w:rPr>
                <w:rFonts w:eastAsia="Calibri"/>
                <w:b/>
                <w:color w:val="FF0000"/>
                <w:sz w:val="28"/>
                <w:szCs w:val="28"/>
                <w:lang w:eastAsia="en-US"/>
              </w:rPr>
            </w:pPr>
            <w:r w:rsidRPr="00413EBC">
              <w:rPr>
                <w:color w:val="000000" w:themeColor="text1"/>
                <w:sz w:val="28"/>
                <w:szCs w:val="28"/>
              </w:rPr>
              <w:t>Sabiedrības pārstāvji varēja līdzdarboties noteikumu projekta izstrādē, sniedzot priekšlikumus par nepieciešamajiem grozījumiem MK noteikumos.</w:t>
            </w:r>
          </w:p>
        </w:tc>
      </w:tr>
      <w:tr w:rsidR="00B253C1" w:rsidRPr="00413EBC" w:rsidTr="004030DF">
        <w:tc>
          <w:tcPr>
            <w:tcW w:w="300" w:type="pct"/>
            <w:tcBorders>
              <w:top w:val="single" w:sz="6" w:space="0" w:color="auto"/>
              <w:left w:val="single" w:sz="6" w:space="0" w:color="auto"/>
              <w:bottom w:val="outset" w:sz="6" w:space="0" w:color="000000"/>
              <w:right w:val="single" w:sz="4" w:space="0" w:color="auto"/>
            </w:tcBorders>
          </w:tcPr>
          <w:p w:rsidR="00B15F05" w:rsidRPr="00413EBC" w:rsidRDefault="00A139E9" w:rsidP="00B15F05">
            <w:pPr>
              <w:spacing w:before="100" w:beforeAutospacing="1" w:after="100" w:afterAutospacing="1"/>
              <w:jc w:val="center"/>
              <w:rPr>
                <w:bCs/>
                <w:color w:val="000000"/>
                <w:sz w:val="28"/>
                <w:szCs w:val="28"/>
              </w:rPr>
            </w:pPr>
            <w:r w:rsidRPr="00413EBC">
              <w:rPr>
                <w:bCs/>
                <w:color w:val="000000"/>
                <w:sz w:val="28"/>
                <w:szCs w:val="28"/>
              </w:rPr>
              <w:t>3.</w:t>
            </w:r>
          </w:p>
        </w:tc>
        <w:tc>
          <w:tcPr>
            <w:tcW w:w="1790" w:type="pct"/>
            <w:tcBorders>
              <w:top w:val="single" w:sz="6" w:space="0" w:color="auto"/>
              <w:left w:val="single" w:sz="4" w:space="0" w:color="auto"/>
              <w:bottom w:val="outset" w:sz="6" w:space="0" w:color="000000"/>
              <w:right w:val="single" w:sz="4" w:space="0" w:color="auto"/>
            </w:tcBorders>
          </w:tcPr>
          <w:p w:rsidR="00B15F05" w:rsidRPr="00413EBC" w:rsidRDefault="00A139E9" w:rsidP="00750AE3">
            <w:pPr>
              <w:spacing w:before="100" w:beforeAutospacing="1" w:after="100" w:afterAutospacing="1"/>
              <w:ind w:right="-31"/>
              <w:jc w:val="both"/>
              <w:rPr>
                <w:bCs/>
                <w:color w:val="000000"/>
                <w:sz w:val="28"/>
                <w:szCs w:val="28"/>
              </w:rPr>
            </w:pPr>
            <w:r w:rsidRPr="00413EBC">
              <w:rPr>
                <w:bCs/>
                <w:color w:val="000000"/>
                <w:sz w:val="28"/>
                <w:szCs w:val="28"/>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rsidR="00C737B8" w:rsidRPr="00413EBC" w:rsidRDefault="003E65B9" w:rsidP="003E65B9">
            <w:pPr>
              <w:ind w:left="113" w:right="113" w:firstLine="312"/>
              <w:jc w:val="both"/>
              <w:rPr>
                <w:b/>
                <w:sz w:val="28"/>
                <w:szCs w:val="28"/>
              </w:rPr>
            </w:pPr>
            <w:r w:rsidRPr="00413EBC">
              <w:rPr>
                <w:iCs/>
                <w:color w:val="000000" w:themeColor="text1"/>
                <w:sz w:val="28"/>
                <w:szCs w:val="28"/>
              </w:rPr>
              <w:t xml:space="preserve">Pēc noteikumu projekta izsludināšanas </w:t>
            </w:r>
            <w:r w:rsidRPr="00413EBC">
              <w:rPr>
                <w:color w:val="000000" w:themeColor="text1"/>
                <w:sz w:val="28"/>
                <w:szCs w:val="28"/>
              </w:rPr>
              <w:t>Valsts sekretāru sanāksmē saņemts Latvijas Biodegvielu un bioenerģijas asociācijas un Latvijas Degvielas tirgotāju asociācijas viedoklis, kas nav ņemts vērā, jo pēc būtības nav attiecināms  uz noteikumu projektu.</w:t>
            </w:r>
          </w:p>
        </w:tc>
      </w:tr>
      <w:tr w:rsidR="00B253C1" w:rsidRPr="00413EBC" w:rsidTr="004030DF">
        <w:tc>
          <w:tcPr>
            <w:tcW w:w="300" w:type="pct"/>
            <w:tcBorders>
              <w:top w:val="single" w:sz="6" w:space="0" w:color="auto"/>
              <w:left w:val="single" w:sz="6" w:space="0" w:color="auto"/>
              <w:bottom w:val="outset" w:sz="6" w:space="0" w:color="000000"/>
              <w:right w:val="single" w:sz="4" w:space="0" w:color="auto"/>
            </w:tcBorders>
          </w:tcPr>
          <w:p w:rsidR="00B15F05" w:rsidRPr="00413EBC" w:rsidRDefault="00A139E9" w:rsidP="00B15F05">
            <w:pPr>
              <w:spacing w:before="100" w:beforeAutospacing="1" w:after="100" w:afterAutospacing="1"/>
              <w:jc w:val="center"/>
              <w:rPr>
                <w:bCs/>
                <w:color w:val="000000"/>
                <w:sz w:val="28"/>
                <w:szCs w:val="28"/>
              </w:rPr>
            </w:pPr>
            <w:r w:rsidRPr="00413EBC">
              <w:rPr>
                <w:bCs/>
                <w:color w:val="000000"/>
                <w:sz w:val="28"/>
                <w:szCs w:val="28"/>
              </w:rPr>
              <w:t>4.</w:t>
            </w:r>
          </w:p>
        </w:tc>
        <w:tc>
          <w:tcPr>
            <w:tcW w:w="1790" w:type="pct"/>
            <w:tcBorders>
              <w:top w:val="single" w:sz="6" w:space="0" w:color="auto"/>
              <w:left w:val="single" w:sz="4" w:space="0" w:color="auto"/>
              <w:bottom w:val="outset" w:sz="6" w:space="0" w:color="000000"/>
              <w:right w:val="single" w:sz="4" w:space="0" w:color="auto"/>
            </w:tcBorders>
          </w:tcPr>
          <w:p w:rsidR="00B15F05" w:rsidRPr="00413EBC" w:rsidRDefault="00A139E9" w:rsidP="00B15F05">
            <w:pPr>
              <w:spacing w:before="100" w:beforeAutospacing="1" w:after="100" w:afterAutospacing="1"/>
              <w:rPr>
                <w:bCs/>
                <w:color w:val="000000"/>
                <w:sz w:val="28"/>
                <w:szCs w:val="28"/>
              </w:rPr>
            </w:pPr>
            <w:r w:rsidRPr="00413EBC">
              <w:rPr>
                <w:bCs/>
                <w:color w:val="000000"/>
                <w:sz w:val="28"/>
                <w:szCs w:val="28"/>
              </w:rPr>
              <w:t>Cita informācija</w:t>
            </w:r>
          </w:p>
        </w:tc>
        <w:tc>
          <w:tcPr>
            <w:tcW w:w="2911" w:type="pct"/>
            <w:tcBorders>
              <w:top w:val="single" w:sz="6" w:space="0" w:color="auto"/>
              <w:left w:val="single" w:sz="4" w:space="0" w:color="auto"/>
              <w:bottom w:val="outset" w:sz="6" w:space="0" w:color="000000"/>
              <w:right w:val="single" w:sz="6" w:space="0" w:color="auto"/>
            </w:tcBorders>
          </w:tcPr>
          <w:p w:rsidR="00B15F05" w:rsidRPr="00413EBC" w:rsidRDefault="003E65B9" w:rsidP="00C82A90">
            <w:pPr>
              <w:spacing w:before="100" w:beforeAutospacing="1" w:after="100" w:afterAutospacing="1"/>
              <w:ind w:left="113" w:firstLine="284"/>
              <w:jc w:val="both"/>
              <w:rPr>
                <w:sz w:val="28"/>
                <w:szCs w:val="28"/>
              </w:rPr>
            </w:pPr>
            <w:r w:rsidRPr="00413EBC">
              <w:rPr>
                <w:color w:val="000000" w:themeColor="text1"/>
                <w:sz w:val="28"/>
                <w:szCs w:val="28"/>
              </w:rPr>
              <w:t xml:space="preserve">Sabiedrība pēc normatīvā akta pieņemšanas tiks informēta par publikāciju </w:t>
            </w:r>
            <w:r w:rsidR="00C82A90">
              <w:rPr>
                <w:color w:val="000000" w:themeColor="text1"/>
                <w:sz w:val="28"/>
                <w:szCs w:val="28"/>
              </w:rPr>
              <w:t>Latvijas Republikas oficiālajā elektroniskajā izdevumā</w:t>
            </w:r>
            <w:r w:rsidR="00C82A90" w:rsidRPr="00413EBC">
              <w:rPr>
                <w:color w:val="000000" w:themeColor="text1"/>
                <w:sz w:val="28"/>
                <w:szCs w:val="28"/>
              </w:rPr>
              <w:t xml:space="preserve"> </w:t>
            </w:r>
            <w:r w:rsidR="00BC7244" w:rsidRPr="00413EBC">
              <w:rPr>
                <w:sz w:val="28"/>
                <w:szCs w:val="28"/>
                <w:shd w:val="clear" w:color="auto" w:fill="FFFFFF"/>
              </w:rPr>
              <w:t>„</w:t>
            </w:r>
            <w:r w:rsidRPr="00413EBC">
              <w:rPr>
                <w:color w:val="000000" w:themeColor="text1"/>
                <w:sz w:val="28"/>
                <w:szCs w:val="28"/>
              </w:rPr>
              <w:t xml:space="preserve">Latvijas Vēstnesis”, kā arī tas tiks ievietos bezmaksas normatīvo aktu datubāzē </w:t>
            </w:r>
            <w:hyperlink r:id="rId9" w:history="1">
              <w:r w:rsidRPr="00413EBC">
                <w:rPr>
                  <w:rStyle w:val="Hyperlink"/>
                  <w:sz w:val="28"/>
                  <w:szCs w:val="28"/>
                </w:rPr>
                <w:t>www.likumi.lv</w:t>
              </w:r>
            </w:hyperlink>
          </w:p>
        </w:tc>
      </w:tr>
    </w:tbl>
    <w:p w:rsidR="0030766F" w:rsidRPr="00413EBC" w:rsidRDefault="0030766F">
      <w:pPr>
        <w:rPr>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344"/>
        <w:gridCol w:w="5482"/>
      </w:tblGrid>
      <w:tr w:rsidR="00A85CE7" w:rsidRPr="00413EBC" w:rsidTr="004030DF">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rsidR="00A85CE7" w:rsidRPr="00413EBC" w:rsidRDefault="00A85CE7" w:rsidP="00B15F05">
            <w:pPr>
              <w:spacing w:before="100" w:beforeAutospacing="1" w:after="100" w:afterAutospacing="1"/>
              <w:jc w:val="center"/>
              <w:rPr>
                <w:b/>
                <w:bCs/>
                <w:sz w:val="28"/>
                <w:szCs w:val="28"/>
              </w:rPr>
            </w:pPr>
            <w:r w:rsidRPr="00413EBC">
              <w:rPr>
                <w:b/>
                <w:bCs/>
                <w:sz w:val="28"/>
                <w:szCs w:val="28"/>
              </w:rPr>
              <w:t>VII. Tiesību akta projekta izpildes nodrošināšana un tās ietekme uz institūcijām</w:t>
            </w:r>
          </w:p>
        </w:tc>
      </w:tr>
      <w:tr w:rsidR="00A85CE7" w:rsidRPr="00413EBC" w:rsidTr="004030DF">
        <w:trPr>
          <w:trHeight w:val="577"/>
        </w:trPr>
        <w:tc>
          <w:tcPr>
            <w:tcW w:w="315" w:type="pct"/>
            <w:tcBorders>
              <w:top w:val="outset" w:sz="6" w:space="0" w:color="000000"/>
              <w:left w:val="outset" w:sz="6" w:space="0" w:color="000000"/>
              <w:bottom w:val="outset" w:sz="6" w:space="0" w:color="000000"/>
              <w:right w:val="single" w:sz="4" w:space="0" w:color="auto"/>
            </w:tcBorders>
          </w:tcPr>
          <w:p w:rsidR="00A85CE7" w:rsidRPr="00413EBC" w:rsidRDefault="00A85CE7" w:rsidP="00B15F05">
            <w:pPr>
              <w:spacing w:before="100" w:beforeAutospacing="1" w:after="100" w:afterAutospacing="1"/>
              <w:jc w:val="center"/>
              <w:rPr>
                <w:sz w:val="28"/>
                <w:szCs w:val="28"/>
              </w:rPr>
            </w:pPr>
            <w:r w:rsidRPr="00413EBC">
              <w:rPr>
                <w:sz w:val="28"/>
                <w:szCs w:val="28"/>
              </w:rPr>
              <w:t>1.</w:t>
            </w:r>
          </w:p>
        </w:tc>
        <w:tc>
          <w:tcPr>
            <w:tcW w:w="1775" w:type="pct"/>
            <w:tcBorders>
              <w:top w:val="outset" w:sz="6" w:space="0" w:color="000000"/>
              <w:left w:val="single" w:sz="4" w:space="0" w:color="auto"/>
              <w:bottom w:val="outset" w:sz="6" w:space="0" w:color="000000"/>
              <w:right w:val="single" w:sz="4" w:space="0" w:color="auto"/>
            </w:tcBorders>
          </w:tcPr>
          <w:p w:rsidR="00A85CE7" w:rsidRPr="00413EBC" w:rsidRDefault="00A85CE7" w:rsidP="00B15F05">
            <w:pPr>
              <w:spacing w:before="100" w:beforeAutospacing="1" w:after="100" w:afterAutospacing="1"/>
              <w:rPr>
                <w:sz w:val="28"/>
                <w:szCs w:val="28"/>
              </w:rPr>
            </w:pPr>
            <w:r w:rsidRPr="00413EBC">
              <w:rPr>
                <w:sz w:val="28"/>
                <w:szCs w:val="28"/>
              </w:rPr>
              <w:t>Projekta izpildē iesaistītās institūcijas</w:t>
            </w:r>
          </w:p>
        </w:tc>
        <w:tc>
          <w:tcPr>
            <w:tcW w:w="2910" w:type="pct"/>
            <w:tcBorders>
              <w:top w:val="outset" w:sz="6" w:space="0" w:color="000000"/>
              <w:left w:val="single" w:sz="4" w:space="0" w:color="auto"/>
              <w:bottom w:val="outset" w:sz="6" w:space="0" w:color="000000"/>
              <w:right w:val="outset" w:sz="6" w:space="0" w:color="000000"/>
            </w:tcBorders>
          </w:tcPr>
          <w:p w:rsidR="00A85CE7" w:rsidRPr="00413EBC" w:rsidRDefault="00A85CE7" w:rsidP="003E65B9">
            <w:pPr>
              <w:spacing w:before="100" w:beforeAutospacing="1" w:after="100" w:afterAutospacing="1"/>
              <w:ind w:right="136" w:firstLine="113"/>
              <w:jc w:val="both"/>
              <w:rPr>
                <w:sz w:val="28"/>
                <w:szCs w:val="28"/>
              </w:rPr>
            </w:pPr>
            <w:r w:rsidRPr="00413EBC">
              <w:rPr>
                <w:sz w:val="28"/>
                <w:szCs w:val="28"/>
              </w:rPr>
              <w:t xml:space="preserve">Normatīvā akta izpildi nodrošinās </w:t>
            </w:r>
            <w:r w:rsidR="004A6B89" w:rsidRPr="00413EBC">
              <w:rPr>
                <w:color w:val="000000" w:themeColor="text1"/>
                <w:sz w:val="28"/>
                <w:szCs w:val="28"/>
              </w:rPr>
              <w:t>VID</w:t>
            </w:r>
            <w:r w:rsidRPr="00413EBC">
              <w:rPr>
                <w:color w:val="000000" w:themeColor="text1"/>
                <w:sz w:val="28"/>
                <w:szCs w:val="28"/>
              </w:rPr>
              <w:t>.</w:t>
            </w:r>
          </w:p>
        </w:tc>
      </w:tr>
      <w:tr w:rsidR="00A85CE7" w:rsidRPr="00413EBC" w:rsidTr="004030DF">
        <w:trPr>
          <w:trHeight w:val="2050"/>
        </w:trPr>
        <w:tc>
          <w:tcPr>
            <w:tcW w:w="315" w:type="pct"/>
            <w:tcBorders>
              <w:top w:val="outset" w:sz="6" w:space="0" w:color="000000"/>
              <w:left w:val="outset" w:sz="6" w:space="0" w:color="000000"/>
              <w:bottom w:val="single" w:sz="4" w:space="0" w:color="auto"/>
              <w:right w:val="single" w:sz="4" w:space="0" w:color="auto"/>
            </w:tcBorders>
          </w:tcPr>
          <w:p w:rsidR="00A85CE7" w:rsidRPr="00413EBC" w:rsidRDefault="00A85CE7" w:rsidP="00B15F05">
            <w:pPr>
              <w:spacing w:before="100" w:beforeAutospacing="1" w:after="100" w:afterAutospacing="1"/>
              <w:jc w:val="center"/>
              <w:rPr>
                <w:sz w:val="28"/>
                <w:szCs w:val="28"/>
              </w:rPr>
            </w:pPr>
            <w:r w:rsidRPr="00413EBC">
              <w:rPr>
                <w:sz w:val="28"/>
                <w:szCs w:val="28"/>
              </w:rPr>
              <w:t>2.</w:t>
            </w:r>
          </w:p>
        </w:tc>
        <w:tc>
          <w:tcPr>
            <w:tcW w:w="1775" w:type="pct"/>
            <w:tcBorders>
              <w:top w:val="outset" w:sz="6" w:space="0" w:color="000000"/>
              <w:left w:val="single" w:sz="4" w:space="0" w:color="auto"/>
              <w:bottom w:val="single" w:sz="4" w:space="0" w:color="auto"/>
              <w:right w:val="single" w:sz="4" w:space="0" w:color="auto"/>
            </w:tcBorders>
          </w:tcPr>
          <w:p w:rsidR="00750AE3" w:rsidRPr="00413EBC" w:rsidRDefault="00A85CE7" w:rsidP="00B15F05">
            <w:pPr>
              <w:ind w:right="109"/>
              <w:jc w:val="both"/>
              <w:rPr>
                <w:sz w:val="28"/>
                <w:szCs w:val="28"/>
              </w:rPr>
            </w:pPr>
            <w:r w:rsidRPr="00413EBC">
              <w:rPr>
                <w:sz w:val="28"/>
                <w:szCs w:val="28"/>
              </w:rPr>
              <w:t>Projekta izpildes ietekme uz pārvaldes funkcijām un institucionālo struktūru.</w:t>
            </w:r>
          </w:p>
          <w:p w:rsidR="00750AE3" w:rsidRPr="00413EBC" w:rsidRDefault="00750AE3" w:rsidP="00B15F05">
            <w:pPr>
              <w:ind w:right="109"/>
              <w:jc w:val="both"/>
              <w:rPr>
                <w:sz w:val="28"/>
                <w:szCs w:val="28"/>
              </w:rPr>
            </w:pPr>
          </w:p>
          <w:p w:rsidR="00A85CE7" w:rsidRPr="00413EBC" w:rsidRDefault="00A85CE7" w:rsidP="00B15F05">
            <w:pPr>
              <w:ind w:right="109"/>
              <w:jc w:val="both"/>
              <w:rPr>
                <w:sz w:val="28"/>
                <w:szCs w:val="28"/>
              </w:rPr>
            </w:pPr>
            <w:r w:rsidRPr="00413EBC">
              <w:rPr>
                <w:sz w:val="28"/>
                <w:szCs w:val="28"/>
              </w:rPr>
              <w:t>Jaunu institūciju izveide, esošo institūciju likvidācija vai reorganizācija, to ietekme uz institūcijas cilvēkresursiem</w:t>
            </w:r>
          </w:p>
        </w:tc>
        <w:tc>
          <w:tcPr>
            <w:tcW w:w="2910" w:type="pct"/>
            <w:tcBorders>
              <w:top w:val="outset" w:sz="6" w:space="0" w:color="000000"/>
              <w:left w:val="single" w:sz="4" w:space="0" w:color="auto"/>
              <w:bottom w:val="single" w:sz="4" w:space="0" w:color="auto"/>
              <w:right w:val="outset" w:sz="6" w:space="0" w:color="000000"/>
            </w:tcBorders>
          </w:tcPr>
          <w:p w:rsidR="003E65B9" w:rsidRPr="00413EBC" w:rsidRDefault="003E65B9" w:rsidP="003E65B9">
            <w:pPr>
              <w:ind w:left="121" w:firstLine="276"/>
              <w:jc w:val="both"/>
              <w:rPr>
                <w:sz w:val="28"/>
                <w:szCs w:val="28"/>
              </w:rPr>
            </w:pPr>
            <w:r w:rsidRPr="00413EBC">
              <w:rPr>
                <w:sz w:val="28"/>
                <w:szCs w:val="28"/>
              </w:rPr>
              <w:t>Normatīvā akta izpildi nodrošinās esošo institūciju līdzšinējo funkciju un cilvēkresursu ietvaros.</w:t>
            </w:r>
          </w:p>
          <w:p w:rsidR="00A85CE7" w:rsidRPr="00413EBC" w:rsidRDefault="003E65B9" w:rsidP="003E65B9">
            <w:pPr>
              <w:spacing w:before="100" w:beforeAutospacing="1" w:after="100" w:afterAutospacing="1"/>
              <w:ind w:left="113" w:firstLine="283"/>
              <w:jc w:val="both"/>
              <w:rPr>
                <w:sz w:val="28"/>
                <w:szCs w:val="28"/>
              </w:rPr>
            </w:pPr>
            <w:r w:rsidRPr="00413EBC">
              <w:rPr>
                <w:sz w:val="28"/>
                <w:szCs w:val="28"/>
              </w:rPr>
              <w:t>Jaunu valsts institūciju izveidošana, kā arī esošu institūciju likvidācija vai reorganizācija nav nepieciešama, kā arī nav nepieciešams papildu finansējums.</w:t>
            </w:r>
          </w:p>
        </w:tc>
      </w:tr>
      <w:tr w:rsidR="00A85CE7" w:rsidRPr="00413EBC" w:rsidTr="004030DF">
        <w:trPr>
          <w:trHeight w:val="288"/>
        </w:trPr>
        <w:tc>
          <w:tcPr>
            <w:tcW w:w="315" w:type="pct"/>
            <w:tcBorders>
              <w:top w:val="single" w:sz="4" w:space="0" w:color="auto"/>
              <w:left w:val="single" w:sz="4" w:space="0" w:color="auto"/>
              <w:bottom w:val="single" w:sz="4" w:space="0" w:color="auto"/>
              <w:right w:val="single" w:sz="4" w:space="0" w:color="auto"/>
            </w:tcBorders>
          </w:tcPr>
          <w:p w:rsidR="00A85CE7" w:rsidRPr="00413EBC" w:rsidRDefault="00A85CE7" w:rsidP="00B15F05">
            <w:pPr>
              <w:spacing w:before="100" w:beforeAutospacing="1" w:after="100" w:afterAutospacing="1"/>
              <w:jc w:val="center"/>
              <w:rPr>
                <w:sz w:val="28"/>
                <w:szCs w:val="28"/>
              </w:rPr>
            </w:pPr>
            <w:r w:rsidRPr="00413EBC">
              <w:rPr>
                <w:sz w:val="28"/>
                <w:szCs w:val="28"/>
              </w:rPr>
              <w:t>3.</w:t>
            </w:r>
          </w:p>
        </w:tc>
        <w:tc>
          <w:tcPr>
            <w:tcW w:w="1775" w:type="pct"/>
            <w:tcBorders>
              <w:top w:val="single" w:sz="4" w:space="0" w:color="auto"/>
              <w:left w:val="single" w:sz="4" w:space="0" w:color="auto"/>
              <w:bottom w:val="single" w:sz="4" w:space="0" w:color="auto"/>
              <w:right w:val="single" w:sz="4" w:space="0" w:color="auto"/>
            </w:tcBorders>
          </w:tcPr>
          <w:p w:rsidR="00A85CE7" w:rsidRPr="00413EBC" w:rsidRDefault="00A85CE7" w:rsidP="00B15F05">
            <w:pPr>
              <w:jc w:val="both"/>
              <w:rPr>
                <w:sz w:val="28"/>
                <w:szCs w:val="28"/>
              </w:rPr>
            </w:pPr>
            <w:r w:rsidRPr="00413EBC">
              <w:rPr>
                <w:sz w:val="28"/>
                <w:szCs w:val="28"/>
              </w:rPr>
              <w:t>Cita informācija</w:t>
            </w:r>
          </w:p>
        </w:tc>
        <w:tc>
          <w:tcPr>
            <w:tcW w:w="2910" w:type="pct"/>
            <w:tcBorders>
              <w:top w:val="single" w:sz="4" w:space="0" w:color="auto"/>
              <w:left w:val="single" w:sz="4" w:space="0" w:color="auto"/>
              <w:bottom w:val="single" w:sz="4" w:space="0" w:color="auto"/>
              <w:right w:val="single" w:sz="4" w:space="0" w:color="auto"/>
            </w:tcBorders>
          </w:tcPr>
          <w:p w:rsidR="00A85CE7" w:rsidRPr="00413EBC" w:rsidRDefault="00A85CE7" w:rsidP="003E65B9">
            <w:pPr>
              <w:spacing w:before="100" w:beforeAutospacing="1" w:after="100" w:afterAutospacing="1"/>
              <w:ind w:left="113"/>
              <w:jc w:val="both"/>
              <w:rPr>
                <w:sz w:val="28"/>
                <w:szCs w:val="28"/>
              </w:rPr>
            </w:pPr>
            <w:r w:rsidRPr="00413EBC">
              <w:rPr>
                <w:sz w:val="28"/>
                <w:szCs w:val="28"/>
              </w:rPr>
              <w:t>Nav.</w:t>
            </w:r>
          </w:p>
        </w:tc>
      </w:tr>
    </w:tbl>
    <w:p w:rsidR="00B15F05" w:rsidRPr="00413EBC" w:rsidRDefault="00B15F05" w:rsidP="00B15F05">
      <w:pPr>
        <w:rPr>
          <w:sz w:val="28"/>
          <w:szCs w:val="28"/>
        </w:rPr>
      </w:pPr>
    </w:p>
    <w:p w:rsidR="004030DF" w:rsidRPr="00413EBC" w:rsidRDefault="004030DF" w:rsidP="00B15F05">
      <w:pPr>
        <w:rPr>
          <w:sz w:val="28"/>
          <w:szCs w:val="28"/>
        </w:rPr>
      </w:pPr>
    </w:p>
    <w:p w:rsidR="00B15F05" w:rsidRPr="00413EBC" w:rsidRDefault="005F71B2" w:rsidP="00AC672D">
      <w:pPr>
        <w:tabs>
          <w:tab w:val="right" w:pos="8222"/>
        </w:tabs>
        <w:spacing w:after="540"/>
        <w:jc w:val="both"/>
        <w:rPr>
          <w:sz w:val="28"/>
          <w:szCs w:val="28"/>
        </w:rPr>
      </w:pPr>
      <w:r>
        <w:rPr>
          <w:sz w:val="28"/>
          <w:szCs w:val="28"/>
        </w:rPr>
        <w:t>Finanšu ministrs</w:t>
      </w:r>
      <w:r w:rsidR="00A139E9" w:rsidRPr="00413EBC">
        <w:rPr>
          <w:sz w:val="28"/>
          <w:szCs w:val="28"/>
        </w:rPr>
        <w:tab/>
      </w:r>
      <w:r>
        <w:rPr>
          <w:sz w:val="28"/>
          <w:szCs w:val="28"/>
        </w:rPr>
        <w:t>J.Reirs</w:t>
      </w:r>
      <w:bookmarkStart w:id="2" w:name="_GoBack"/>
      <w:bookmarkEnd w:id="2"/>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F74707" w:rsidRDefault="00F74707" w:rsidP="00B15F05">
      <w:pPr>
        <w:jc w:val="both"/>
        <w:rPr>
          <w:szCs w:val="20"/>
        </w:rPr>
      </w:pPr>
    </w:p>
    <w:p w:rsidR="00B15F05" w:rsidRPr="00F74707" w:rsidRDefault="00A139E9" w:rsidP="00B15F05">
      <w:pPr>
        <w:jc w:val="both"/>
        <w:rPr>
          <w:sz w:val="22"/>
          <w:szCs w:val="22"/>
        </w:rPr>
      </w:pPr>
      <w:r w:rsidRPr="00F74707">
        <w:rPr>
          <w:sz w:val="22"/>
          <w:szCs w:val="22"/>
        </w:rPr>
        <w:t>Bormanis 67120109</w:t>
      </w:r>
    </w:p>
    <w:p w:rsidR="00B15F05" w:rsidRPr="00F74707" w:rsidRDefault="00A139E9" w:rsidP="00B15F05">
      <w:pPr>
        <w:pStyle w:val="ListParagraph"/>
        <w:ind w:left="0"/>
        <w:jc w:val="both"/>
        <w:rPr>
          <w:sz w:val="22"/>
          <w:szCs w:val="22"/>
        </w:rPr>
      </w:pPr>
      <w:r w:rsidRPr="00F74707">
        <w:rPr>
          <w:sz w:val="22"/>
          <w:szCs w:val="22"/>
        </w:rPr>
        <w:t>Janis.Bormanis@vid.gov.lv</w:t>
      </w:r>
    </w:p>
    <w:sectPr w:rsidR="00B15F05" w:rsidRPr="00F74707" w:rsidSect="00B15F05">
      <w:headerReference w:type="even" r:id="rId10"/>
      <w:headerReference w:type="default" r:id="rId11"/>
      <w:footerReference w:type="default" r:id="rId12"/>
      <w:footerReference w:type="first" r:id="rId13"/>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08" w:rsidRDefault="00B15E08">
      <w:r>
        <w:separator/>
      </w:r>
    </w:p>
  </w:endnote>
  <w:endnote w:type="continuationSeparator" w:id="0">
    <w:p w:rsidR="00B15E08" w:rsidRDefault="00B1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Default="00B15F05">
    <w:pPr>
      <w:pStyle w:val="Footer"/>
    </w:pPr>
    <w:r w:rsidRPr="00547E88">
      <w:rPr>
        <w:noProof/>
        <w:sz w:val="20"/>
      </w:rPr>
      <w:t>FManot_</w:t>
    </w:r>
    <w:r w:rsidR="00F74E75" w:rsidRPr="00F74E75">
      <w:rPr>
        <w:color w:val="333333"/>
        <w:sz w:val="20"/>
        <w:szCs w:val="20"/>
      </w:rPr>
      <w:t>220119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Pr="000837B5" w:rsidRDefault="00B15F05" w:rsidP="00B15F05">
    <w:pPr>
      <w:pStyle w:val="Footer"/>
      <w:jc w:val="both"/>
      <w:rPr>
        <w:noProof/>
        <w:sz w:val="20"/>
      </w:rPr>
    </w:pPr>
    <w:r w:rsidRPr="00547E88">
      <w:rPr>
        <w:noProof/>
        <w:sz w:val="20"/>
      </w:rPr>
      <w:t>FManot_</w:t>
    </w:r>
    <w:r w:rsidR="00F74E75" w:rsidRPr="00F74E75">
      <w:rPr>
        <w:noProof/>
        <w:sz w:val="20"/>
      </w:rPr>
      <w:t>220119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08" w:rsidRDefault="00B15E08">
      <w:r>
        <w:separator/>
      </w:r>
    </w:p>
  </w:footnote>
  <w:footnote w:type="continuationSeparator" w:id="0">
    <w:p w:rsidR="00B15E08" w:rsidRDefault="00B1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Default="00B15F05"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F05" w:rsidRDefault="00B1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Default="00B15F05"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1B2">
      <w:rPr>
        <w:rStyle w:val="PageNumber"/>
        <w:noProof/>
      </w:rPr>
      <w:t>9</w:t>
    </w:r>
    <w:r>
      <w:rPr>
        <w:rStyle w:val="PageNumber"/>
      </w:rPr>
      <w:fldChar w:fldCharType="end"/>
    </w:r>
  </w:p>
  <w:p w:rsidR="00B15F05" w:rsidRDefault="00B1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1C9E3E1E">
      <w:start w:val="5"/>
      <w:numFmt w:val="decimal"/>
      <w:lvlText w:val="%1."/>
      <w:lvlJc w:val="left"/>
      <w:pPr>
        <w:ind w:left="927" w:hanging="360"/>
      </w:pPr>
      <w:rPr>
        <w:rFonts w:hint="default"/>
      </w:rPr>
    </w:lvl>
    <w:lvl w:ilvl="1" w:tplc="6C126760" w:tentative="1">
      <w:start w:val="1"/>
      <w:numFmt w:val="lowerLetter"/>
      <w:lvlText w:val="%2."/>
      <w:lvlJc w:val="left"/>
      <w:pPr>
        <w:ind w:left="1647" w:hanging="360"/>
      </w:pPr>
    </w:lvl>
    <w:lvl w:ilvl="2" w:tplc="34B0D554" w:tentative="1">
      <w:start w:val="1"/>
      <w:numFmt w:val="lowerRoman"/>
      <w:lvlText w:val="%3."/>
      <w:lvlJc w:val="right"/>
      <w:pPr>
        <w:ind w:left="2367" w:hanging="180"/>
      </w:pPr>
    </w:lvl>
    <w:lvl w:ilvl="3" w:tplc="8BDAB5A8" w:tentative="1">
      <w:start w:val="1"/>
      <w:numFmt w:val="decimal"/>
      <w:lvlText w:val="%4."/>
      <w:lvlJc w:val="left"/>
      <w:pPr>
        <w:ind w:left="3087" w:hanging="360"/>
      </w:pPr>
    </w:lvl>
    <w:lvl w:ilvl="4" w:tplc="5CAEEE26" w:tentative="1">
      <w:start w:val="1"/>
      <w:numFmt w:val="lowerLetter"/>
      <w:lvlText w:val="%5."/>
      <w:lvlJc w:val="left"/>
      <w:pPr>
        <w:ind w:left="3807" w:hanging="360"/>
      </w:pPr>
    </w:lvl>
    <w:lvl w:ilvl="5" w:tplc="C3F2A398" w:tentative="1">
      <w:start w:val="1"/>
      <w:numFmt w:val="lowerRoman"/>
      <w:lvlText w:val="%6."/>
      <w:lvlJc w:val="right"/>
      <w:pPr>
        <w:ind w:left="4527" w:hanging="180"/>
      </w:pPr>
    </w:lvl>
    <w:lvl w:ilvl="6" w:tplc="8362CE4E" w:tentative="1">
      <w:start w:val="1"/>
      <w:numFmt w:val="decimal"/>
      <w:lvlText w:val="%7."/>
      <w:lvlJc w:val="left"/>
      <w:pPr>
        <w:ind w:left="5247" w:hanging="360"/>
      </w:pPr>
    </w:lvl>
    <w:lvl w:ilvl="7" w:tplc="226E5C68" w:tentative="1">
      <w:start w:val="1"/>
      <w:numFmt w:val="lowerLetter"/>
      <w:lvlText w:val="%8."/>
      <w:lvlJc w:val="left"/>
      <w:pPr>
        <w:ind w:left="5967" w:hanging="360"/>
      </w:pPr>
    </w:lvl>
    <w:lvl w:ilvl="8" w:tplc="9C804758" w:tentative="1">
      <w:start w:val="1"/>
      <w:numFmt w:val="lowerRoman"/>
      <w:lvlText w:val="%9."/>
      <w:lvlJc w:val="right"/>
      <w:pPr>
        <w:ind w:left="6687" w:hanging="180"/>
      </w:pPr>
    </w:lvl>
  </w:abstractNum>
  <w:abstractNum w:abstractNumId="1" w15:restartNumberingAfterBreak="0">
    <w:nsid w:val="12323451"/>
    <w:multiLevelType w:val="hybridMultilevel"/>
    <w:tmpl w:val="5CBE5E48"/>
    <w:lvl w:ilvl="0" w:tplc="619875AE">
      <w:start w:val="15"/>
      <w:numFmt w:val="bullet"/>
      <w:lvlText w:val="-"/>
      <w:lvlJc w:val="left"/>
      <w:pPr>
        <w:ind w:left="754" w:hanging="360"/>
      </w:pPr>
      <w:rPr>
        <w:rFonts w:ascii="Times New Roman" w:eastAsia="Times New Roman" w:hAnsi="Times New Roman" w:cs="Times New Roman" w:hint="default"/>
      </w:rPr>
    </w:lvl>
    <w:lvl w:ilvl="1" w:tplc="38267BB6" w:tentative="1">
      <w:start w:val="1"/>
      <w:numFmt w:val="bullet"/>
      <w:lvlText w:val="o"/>
      <w:lvlJc w:val="left"/>
      <w:pPr>
        <w:ind w:left="1474" w:hanging="360"/>
      </w:pPr>
      <w:rPr>
        <w:rFonts w:ascii="Courier New" w:hAnsi="Courier New" w:cs="Courier New" w:hint="default"/>
      </w:rPr>
    </w:lvl>
    <w:lvl w:ilvl="2" w:tplc="6E4A9820" w:tentative="1">
      <w:start w:val="1"/>
      <w:numFmt w:val="bullet"/>
      <w:lvlText w:val=""/>
      <w:lvlJc w:val="left"/>
      <w:pPr>
        <w:ind w:left="2194" w:hanging="360"/>
      </w:pPr>
      <w:rPr>
        <w:rFonts w:ascii="Wingdings" w:hAnsi="Wingdings" w:hint="default"/>
      </w:rPr>
    </w:lvl>
    <w:lvl w:ilvl="3" w:tplc="9228898C" w:tentative="1">
      <w:start w:val="1"/>
      <w:numFmt w:val="bullet"/>
      <w:lvlText w:val=""/>
      <w:lvlJc w:val="left"/>
      <w:pPr>
        <w:ind w:left="2914" w:hanging="360"/>
      </w:pPr>
      <w:rPr>
        <w:rFonts w:ascii="Symbol" w:hAnsi="Symbol" w:hint="default"/>
      </w:rPr>
    </w:lvl>
    <w:lvl w:ilvl="4" w:tplc="56BE2F9A" w:tentative="1">
      <w:start w:val="1"/>
      <w:numFmt w:val="bullet"/>
      <w:lvlText w:val="o"/>
      <w:lvlJc w:val="left"/>
      <w:pPr>
        <w:ind w:left="3634" w:hanging="360"/>
      </w:pPr>
      <w:rPr>
        <w:rFonts w:ascii="Courier New" w:hAnsi="Courier New" w:cs="Courier New" w:hint="default"/>
      </w:rPr>
    </w:lvl>
    <w:lvl w:ilvl="5" w:tplc="B262D880" w:tentative="1">
      <w:start w:val="1"/>
      <w:numFmt w:val="bullet"/>
      <w:lvlText w:val=""/>
      <w:lvlJc w:val="left"/>
      <w:pPr>
        <w:ind w:left="4354" w:hanging="360"/>
      </w:pPr>
      <w:rPr>
        <w:rFonts w:ascii="Wingdings" w:hAnsi="Wingdings" w:hint="default"/>
      </w:rPr>
    </w:lvl>
    <w:lvl w:ilvl="6" w:tplc="40964052" w:tentative="1">
      <w:start w:val="1"/>
      <w:numFmt w:val="bullet"/>
      <w:lvlText w:val=""/>
      <w:lvlJc w:val="left"/>
      <w:pPr>
        <w:ind w:left="5074" w:hanging="360"/>
      </w:pPr>
      <w:rPr>
        <w:rFonts w:ascii="Symbol" w:hAnsi="Symbol" w:hint="default"/>
      </w:rPr>
    </w:lvl>
    <w:lvl w:ilvl="7" w:tplc="F2461FBC" w:tentative="1">
      <w:start w:val="1"/>
      <w:numFmt w:val="bullet"/>
      <w:lvlText w:val="o"/>
      <w:lvlJc w:val="left"/>
      <w:pPr>
        <w:ind w:left="5794" w:hanging="360"/>
      </w:pPr>
      <w:rPr>
        <w:rFonts w:ascii="Courier New" w:hAnsi="Courier New" w:cs="Courier New" w:hint="default"/>
      </w:rPr>
    </w:lvl>
    <w:lvl w:ilvl="8" w:tplc="C166FF84" w:tentative="1">
      <w:start w:val="1"/>
      <w:numFmt w:val="bullet"/>
      <w:lvlText w:val=""/>
      <w:lvlJc w:val="left"/>
      <w:pPr>
        <w:ind w:left="6514" w:hanging="360"/>
      </w:pPr>
      <w:rPr>
        <w:rFonts w:ascii="Wingdings" w:hAnsi="Wingdings" w:hint="default"/>
      </w:rPr>
    </w:lvl>
  </w:abstractNum>
  <w:abstractNum w:abstractNumId="2" w15:restartNumberingAfterBreak="0">
    <w:nsid w:val="20C13987"/>
    <w:multiLevelType w:val="hybridMultilevel"/>
    <w:tmpl w:val="CAF21920"/>
    <w:lvl w:ilvl="0" w:tplc="141017AE">
      <w:numFmt w:val="bullet"/>
      <w:lvlText w:val="-"/>
      <w:lvlJc w:val="left"/>
      <w:pPr>
        <w:ind w:left="819" w:hanging="360"/>
      </w:pPr>
      <w:rPr>
        <w:rFonts w:ascii="Times New Roman" w:eastAsia="Times New Roman" w:hAnsi="Times New Roman" w:cs="Times New Roman" w:hint="default"/>
      </w:rPr>
    </w:lvl>
    <w:lvl w:ilvl="1" w:tplc="CB028218" w:tentative="1">
      <w:start w:val="1"/>
      <w:numFmt w:val="bullet"/>
      <w:lvlText w:val="o"/>
      <w:lvlJc w:val="left"/>
      <w:pPr>
        <w:ind w:left="1539" w:hanging="360"/>
      </w:pPr>
      <w:rPr>
        <w:rFonts w:ascii="Courier New" w:hAnsi="Courier New" w:cs="Courier New" w:hint="default"/>
      </w:rPr>
    </w:lvl>
    <w:lvl w:ilvl="2" w:tplc="63E819C2" w:tentative="1">
      <w:start w:val="1"/>
      <w:numFmt w:val="bullet"/>
      <w:lvlText w:val=""/>
      <w:lvlJc w:val="left"/>
      <w:pPr>
        <w:ind w:left="2259" w:hanging="360"/>
      </w:pPr>
      <w:rPr>
        <w:rFonts w:ascii="Wingdings" w:hAnsi="Wingdings" w:hint="default"/>
      </w:rPr>
    </w:lvl>
    <w:lvl w:ilvl="3" w:tplc="A678BB7A" w:tentative="1">
      <w:start w:val="1"/>
      <w:numFmt w:val="bullet"/>
      <w:lvlText w:val=""/>
      <w:lvlJc w:val="left"/>
      <w:pPr>
        <w:ind w:left="2979" w:hanging="360"/>
      </w:pPr>
      <w:rPr>
        <w:rFonts w:ascii="Symbol" w:hAnsi="Symbol" w:hint="default"/>
      </w:rPr>
    </w:lvl>
    <w:lvl w:ilvl="4" w:tplc="C2523DEC" w:tentative="1">
      <w:start w:val="1"/>
      <w:numFmt w:val="bullet"/>
      <w:lvlText w:val="o"/>
      <w:lvlJc w:val="left"/>
      <w:pPr>
        <w:ind w:left="3699" w:hanging="360"/>
      </w:pPr>
      <w:rPr>
        <w:rFonts w:ascii="Courier New" w:hAnsi="Courier New" w:cs="Courier New" w:hint="default"/>
      </w:rPr>
    </w:lvl>
    <w:lvl w:ilvl="5" w:tplc="FB743950" w:tentative="1">
      <w:start w:val="1"/>
      <w:numFmt w:val="bullet"/>
      <w:lvlText w:val=""/>
      <w:lvlJc w:val="left"/>
      <w:pPr>
        <w:ind w:left="4419" w:hanging="360"/>
      </w:pPr>
      <w:rPr>
        <w:rFonts w:ascii="Wingdings" w:hAnsi="Wingdings" w:hint="default"/>
      </w:rPr>
    </w:lvl>
    <w:lvl w:ilvl="6" w:tplc="3A32ED66" w:tentative="1">
      <w:start w:val="1"/>
      <w:numFmt w:val="bullet"/>
      <w:lvlText w:val=""/>
      <w:lvlJc w:val="left"/>
      <w:pPr>
        <w:ind w:left="5139" w:hanging="360"/>
      </w:pPr>
      <w:rPr>
        <w:rFonts w:ascii="Symbol" w:hAnsi="Symbol" w:hint="default"/>
      </w:rPr>
    </w:lvl>
    <w:lvl w:ilvl="7" w:tplc="FA7A9E52" w:tentative="1">
      <w:start w:val="1"/>
      <w:numFmt w:val="bullet"/>
      <w:lvlText w:val="o"/>
      <w:lvlJc w:val="left"/>
      <w:pPr>
        <w:ind w:left="5859" w:hanging="360"/>
      </w:pPr>
      <w:rPr>
        <w:rFonts w:ascii="Courier New" w:hAnsi="Courier New" w:cs="Courier New" w:hint="default"/>
      </w:rPr>
    </w:lvl>
    <w:lvl w:ilvl="8" w:tplc="55DEA43A" w:tentative="1">
      <w:start w:val="1"/>
      <w:numFmt w:val="bullet"/>
      <w:lvlText w:val=""/>
      <w:lvlJc w:val="left"/>
      <w:pPr>
        <w:ind w:left="6579" w:hanging="360"/>
      </w:pPr>
      <w:rPr>
        <w:rFonts w:ascii="Wingdings" w:hAnsi="Wingdings" w:hint="default"/>
      </w:rPr>
    </w:lvl>
  </w:abstractNum>
  <w:abstractNum w:abstractNumId="3" w15:restartNumberingAfterBreak="0">
    <w:nsid w:val="241B46AC"/>
    <w:multiLevelType w:val="hybridMultilevel"/>
    <w:tmpl w:val="43EE90FC"/>
    <w:lvl w:ilvl="0" w:tplc="E5D01562">
      <w:start w:val="1"/>
      <w:numFmt w:val="decimal"/>
      <w:lvlText w:val="%1."/>
      <w:lvlJc w:val="left"/>
      <w:pPr>
        <w:ind w:left="927" w:hanging="360"/>
      </w:pPr>
      <w:rPr>
        <w:rFonts w:hint="default"/>
      </w:rPr>
    </w:lvl>
    <w:lvl w:ilvl="1" w:tplc="D5AA8C40" w:tentative="1">
      <w:start w:val="1"/>
      <w:numFmt w:val="lowerLetter"/>
      <w:lvlText w:val="%2."/>
      <w:lvlJc w:val="left"/>
      <w:pPr>
        <w:ind w:left="1647" w:hanging="360"/>
      </w:pPr>
    </w:lvl>
    <w:lvl w:ilvl="2" w:tplc="05980B2E" w:tentative="1">
      <w:start w:val="1"/>
      <w:numFmt w:val="lowerRoman"/>
      <w:lvlText w:val="%3."/>
      <w:lvlJc w:val="right"/>
      <w:pPr>
        <w:ind w:left="2367" w:hanging="180"/>
      </w:pPr>
    </w:lvl>
    <w:lvl w:ilvl="3" w:tplc="602A935A" w:tentative="1">
      <w:start w:val="1"/>
      <w:numFmt w:val="decimal"/>
      <w:lvlText w:val="%4."/>
      <w:lvlJc w:val="left"/>
      <w:pPr>
        <w:ind w:left="3087" w:hanging="360"/>
      </w:pPr>
    </w:lvl>
    <w:lvl w:ilvl="4" w:tplc="78F00FA4" w:tentative="1">
      <w:start w:val="1"/>
      <w:numFmt w:val="lowerLetter"/>
      <w:lvlText w:val="%5."/>
      <w:lvlJc w:val="left"/>
      <w:pPr>
        <w:ind w:left="3807" w:hanging="360"/>
      </w:pPr>
    </w:lvl>
    <w:lvl w:ilvl="5" w:tplc="7C80AA7E" w:tentative="1">
      <w:start w:val="1"/>
      <w:numFmt w:val="lowerRoman"/>
      <w:lvlText w:val="%6."/>
      <w:lvlJc w:val="right"/>
      <w:pPr>
        <w:ind w:left="4527" w:hanging="180"/>
      </w:pPr>
    </w:lvl>
    <w:lvl w:ilvl="6" w:tplc="58D2E072" w:tentative="1">
      <w:start w:val="1"/>
      <w:numFmt w:val="decimal"/>
      <w:lvlText w:val="%7."/>
      <w:lvlJc w:val="left"/>
      <w:pPr>
        <w:ind w:left="5247" w:hanging="360"/>
      </w:pPr>
    </w:lvl>
    <w:lvl w:ilvl="7" w:tplc="13C4B77C" w:tentative="1">
      <w:start w:val="1"/>
      <w:numFmt w:val="lowerLetter"/>
      <w:lvlText w:val="%8."/>
      <w:lvlJc w:val="left"/>
      <w:pPr>
        <w:ind w:left="5967" w:hanging="360"/>
      </w:pPr>
    </w:lvl>
    <w:lvl w:ilvl="8" w:tplc="9A8ED360" w:tentative="1">
      <w:start w:val="1"/>
      <w:numFmt w:val="lowerRoman"/>
      <w:lvlText w:val="%9."/>
      <w:lvlJc w:val="right"/>
      <w:pPr>
        <w:ind w:left="6687" w:hanging="180"/>
      </w:pPr>
    </w:lvl>
  </w:abstractNum>
  <w:abstractNum w:abstractNumId="4" w15:restartNumberingAfterBreak="0">
    <w:nsid w:val="25D213EC"/>
    <w:multiLevelType w:val="hybridMultilevel"/>
    <w:tmpl w:val="F1585C62"/>
    <w:lvl w:ilvl="0" w:tplc="D3981466">
      <w:start w:val="1"/>
      <w:numFmt w:val="bullet"/>
      <w:lvlText w:val=""/>
      <w:lvlJc w:val="left"/>
      <w:pPr>
        <w:ind w:left="720" w:hanging="360"/>
      </w:pPr>
      <w:rPr>
        <w:rFonts w:ascii="Symbol" w:hAnsi="Symbol" w:hint="default"/>
      </w:rPr>
    </w:lvl>
    <w:lvl w:ilvl="1" w:tplc="F64EAABA" w:tentative="1">
      <w:start w:val="1"/>
      <w:numFmt w:val="bullet"/>
      <w:lvlText w:val="o"/>
      <w:lvlJc w:val="left"/>
      <w:pPr>
        <w:ind w:left="1440" w:hanging="360"/>
      </w:pPr>
      <w:rPr>
        <w:rFonts w:ascii="Courier New" w:hAnsi="Courier New" w:cs="Courier New" w:hint="default"/>
      </w:rPr>
    </w:lvl>
    <w:lvl w:ilvl="2" w:tplc="188871D4" w:tentative="1">
      <w:start w:val="1"/>
      <w:numFmt w:val="bullet"/>
      <w:lvlText w:val=""/>
      <w:lvlJc w:val="left"/>
      <w:pPr>
        <w:ind w:left="2160" w:hanging="360"/>
      </w:pPr>
      <w:rPr>
        <w:rFonts w:ascii="Wingdings" w:hAnsi="Wingdings" w:hint="default"/>
      </w:rPr>
    </w:lvl>
    <w:lvl w:ilvl="3" w:tplc="4B72BE5C" w:tentative="1">
      <w:start w:val="1"/>
      <w:numFmt w:val="bullet"/>
      <w:lvlText w:val=""/>
      <w:lvlJc w:val="left"/>
      <w:pPr>
        <w:ind w:left="2880" w:hanging="360"/>
      </w:pPr>
      <w:rPr>
        <w:rFonts w:ascii="Symbol" w:hAnsi="Symbol" w:hint="default"/>
      </w:rPr>
    </w:lvl>
    <w:lvl w:ilvl="4" w:tplc="44586FF8" w:tentative="1">
      <w:start w:val="1"/>
      <w:numFmt w:val="bullet"/>
      <w:lvlText w:val="o"/>
      <w:lvlJc w:val="left"/>
      <w:pPr>
        <w:ind w:left="3600" w:hanging="360"/>
      </w:pPr>
      <w:rPr>
        <w:rFonts w:ascii="Courier New" w:hAnsi="Courier New" w:cs="Courier New" w:hint="default"/>
      </w:rPr>
    </w:lvl>
    <w:lvl w:ilvl="5" w:tplc="E90E6404" w:tentative="1">
      <w:start w:val="1"/>
      <w:numFmt w:val="bullet"/>
      <w:lvlText w:val=""/>
      <w:lvlJc w:val="left"/>
      <w:pPr>
        <w:ind w:left="4320" w:hanging="360"/>
      </w:pPr>
      <w:rPr>
        <w:rFonts w:ascii="Wingdings" w:hAnsi="Wingdings" w:hint="default"/>
      </w:rPr>
    </w:lvl>
    <w:lvl w:ilvl="6" w:tplc="50788172" w:tentative="1">
      <w:start w:val="1"/>
      <w:numFmt w:val="bullet"/>
      <w:lvlText w:val=""/>
      <w:lvlJc w:val="left"/>
      <w:pPr>
        <w:ind w:left="5040" w:hanging="360"/>
      </w:pPr>
      <w:rPr>
        <w:rFonts w:ascii="Symbol" w:hAnsi="Symbol" w:hint="default"/>
      </w:rPr>
    </w:lvl>
    <w:lvl w:ilvl="7" w:tplc="96581596" w:tentative="1">
      <w:start w:val="1"/>
      <w:numFmt w:val="bullet"/>
      <w:lvlText w:val="o"/>
      <w:lvlJc w:val="left"/>
      <w:pPr>
        <w:ind w:left="5760" w:hanging="360"/>
      </w:pPr>
      <w:rPr>
        <w:rFonts w:ascii="Courier New" w:hAnsi="Courier New" w:cs="Courier New" w:hint="default"/>
      </w:rPr>
    </w:lvl>
    <w:lvl w:ilvl="8" w:tplc="617436E0" w:tentative="1">
      <w:start w:val="1"/>
      <w:numFmt w:val="bullet"/>
      <w:lvlText w:val=""/>
      <w:lvlJc w:val="left"/>
      <w:pPr>
        <w:ind w:left="6480" w:hanging="360"/>
      </w:pPr>
      <w:rPr>
        <w:rFonts w:ascii="Wingdings" w:hAnsi="Wingdings" w:hint="default"/>
      </w:rPr>
    </w:lvl>
  </w:abstractNum>
  <w:abstractNum w:abstractNumId="5" w15:restartNumberingAfterBreak="0">
    <w:nsid w:val="2C044AEA"/>
    <w:multiLevelType w:val="hybridMultilevel"/>
    <w:tmpl w:val="7076CFD6"/>
    <w:lvl w:ilvl="0" w:tplc="58948DB6">
      <w:start w:val="1"/>
      <w:numFmt w:val="decimal"/>
      <w:lvlText w:val="%1)"/>
      <w:lvlJc w:val="left"/>
      <w:pPr>
        <w:ind w:left="750" w:hanging="390"/>
      </w:pPr>
    </w:lvl>
    <w:lvl w:ilvl="1" w:tplc="F378E134">
      <w:start w:val="1"/>
      <w:numFmt w:val="lowerLetter"/>
      <w:lvlText w:val="%2."/>
      <w:lvlJc w:val="left"/>
      <w:pPr>
        <w:ind w:left="1440" w:hanging="360"/>
      </w:pPr>
    </w:lvl>
    <w:lvl w:ilvl="2" w:tplc="16B0CBEC">
      <w:start w:val="1"/>
      <w:numFmt w:val="lowerRoman"/>
      <w:lvlText w:val="%3."/>
      <w:lvlJc w:val="right"/>
      <w:pPr>
        <w:ind w:left="2160" w:hanging="180"/>
      </w:pPr>
    </w:lvl>
    <w:lvl w:ilvl="3" w:tplc="BCCA0F34">
      <w:start w:val="1"/>
      <w:numFmt w:val="decimal"/>
      <w:lvlText w:val="%4."/>
      <w:lvlJc w:val="left"/>
      <w:pPr>
        <w:ind w:left="2880" w:hanging="360"/>
      </w:pPr>
    </w:lvl>
    <w:lvl w:ilvl="4" w:tplc="94ACF966">
      <w:start w:val="1"/>
      <w:numFmt w:val="lowerLetter"/>
      <w:lvlText w:val="%5."/>
      <w:lvlJc w:val="left"/>
      <w:pPr>
        <w:ind w:left="3600" w:hanging="360"/>
      </w:pPr>
    </w:lvl>
    <w:lvl w:ilvl="5" w:tplc="708AC452">
      <w:start w:val="1"/>
      <w:numFmt w:val="lowerRoman"/>
      <w:lvlText w:val="%6."/>
      <w:lvlJc w:val="right"/>
      <w:pPr>
        <w:ind w:left="4320" w:hanging="180"/>
      </w:pPr>
    </w:lvl>
    <w:lvl w:ilvl="6" w:tplc="F3EA0E54">
      <w:start w:val="1"/>
      <w:numFmt w:val="decimal"/>
      <w:lvlText w:val="%7."/>
      <w:lvlJc w:val="left"/>
      <w:pPr>
        <w:ind w:left="5040" w:hanging="360"/>
      </w:pPr>
    </w:lvl>
    <w:lvl w:ilvl="7" w:tplc="21AAF2A4">
      <w:start w:val="1"/>
      <w:numFmt w:val="lowerLetter"/>
      <w:lvlText w:val="%8."/>
      <w:lvlJc w:val="left"/>
      <w:pPr>
        <w:ind w:left="5760" w:hanging="360"/>
      </w:pPr>
    </w:lvl>
    <w:lvl w:ilvl="8" w:tplc="2796F1DC">
      <w:start w:val="1"/>
      <w:numFmt w:val="lowerRoman"/>
      <w:lvlText w:val="%9."/>
      <w:lvlJc w:val="right"/>
      <w:pPr>
        <w:ind w:left="6480" w:hanging="180"/>
      </w:pPr>
    </w:lvl>
  </w:abstractNum>
  <w:abstractNum w:abstractNumId="6" w15:restartNumberingAfterBreak="0">
    <w:nsid w:val="30FB4702"/>
    <w:multiLevelType w:val="hybridMultilevel"/>
    <w:tmpl w:val="B3A2CE00"/>
    <w:lvl w:ilvl="0" w:tplc="B3A09952">
      <w:start w:val="1"/>
      <w:numFmt w:val="bullet"/>
      <w:lvlText w:val=""/>
      <w:lvlJc w:val="left"/>
      <w:pPr>
        <w:ind w:left="720" w:hanging="360"/>
      </w:pPr>
      <w:rPr>
        <w:rFonts w:ascii="Symbol" w:hAnsi="Symbol" w:hint="default"/>
      </w:rPr>
    </w:lvl>
    <w:lvl w:ilvl="1" w:tplc="44C227D6" w:tentative="1">
      <w:start w:val="1"/>
      <w:numFmt w:val="bullet"/>
      <w:lvlText w:val="o"/>
      <w:lvlJc w:val="left"/>
      <w:pPr>
        <w:ind w:left="1440" w:hanging="360"/>
      </w:pPr>
      <w:rPr>
        <w:rFonts w:ascii="Courier New" w:hAnsi="Courier New" w:cs="Courier New" w:hint="default"/>
      </w:rPr>
    </w:lvl>
    <w:lvl w:ilvl="2" w:tplc="83721E38" w:tentative="1">
      <w:start w:val="1"/>
      <w:numFmt w:val="bullet"/>
      <w:lvlText w:val=""/>
      <w:lvlJc w:val="left"/>
      <w:pPr>
        <w:ind w:left="2160" w:hanging="360"/>
      </w:pPr>
      <w:rPr>
        <w:rFonts w:ascii="Wingdings" w:hAnsi="Wingdings" w:hint="default"/>
      </w:rPr>
    </w:lvl>
    <w:lvl w:ilvl="3" w:tplc="CF707730" w:tentative="1">
      <w:start w:val="1"/>
      <w:numFmt w:val="bullet"/>
      <w:lvlText w:val=""/>
      <w:lvlJc w:val="left"/>
      <w:pPr>
        <w:ind w:left="2880" w:hanging="360"/>
      </w:pPr>
      <w:rPr>
        <w:rFonts w:ascii="Symbol" w:hAnsi="Symbol" w:hint="default"/>
      </w:rPr>
    </w:lvl>
    <w:lvl w:ilvl="4" w:tplc="DD128A38" w:tentative="1">
      <w:start w:val="1"/>
      <w:numFmt w:val="bullet"/>
      <w:lvlText w:val="o"/>
      <w:lvlJc w:val="left"/>
      <w:pPr>
        <w:ind w:left="3600" w:hanging="360"/>
      </w:pPr>
      <w:rPr>
        <w:rFonts w:ascii="Courier New" w:hAnsi="Courier New" w:cs="Courier New" w:hint="default"/>
      </w:rPr>
    </w:lvl>
    <w:lvl w:ilvl="5" w:tplc="2CB44882" w:tentative="1">
      <w:start w:val="1"/>
      <w:numFmt w:val="bullet"/>
      <w:lvlText w:val=""/>
      <w:lvlJc w:val="left"/>
      <w:pPr>
        <w:ind w:left="4320" w:hanging="360"/>
      </w:pPr>
      <w:rPr>
        <w:rFonts w:ascii="Wingdings" w:hAnsi="Wingdings" w:hint="default"/>
      </w:rPr>
    </w:lvl>
    <w:lvl w:ilvl="6" w:tplc="09ECEFB2" w:tentative="1">
      <w:start w:val="1"/>
      <w:numFmt w:val="bullet"/>
      <w:lvlText w:val=""/>
      <w:lvlJc w:val="left"/>
      <w:pPr>
        <w:ind w:left="5040" w:hanging="360"/>
      </w:pPr>
      <w:rPr>
        <w:rFonts w:ascii="Symbol" w:hAnsi="Symbol" w:hint="default"/>
      </w:rPr>
    </w:lvl>
    <w:lvl w:ilvl="7" w:tplc="34F02D46" w:tentative="1">
      <w:start w:val="1"/>
      <w:numFmt w:val="bullet"/>
      <w:lvlText w:val="o"/>
      <w:lvlJc w:val="left"/>
      <w:pPr>
        <w:ind w:left="5760" w:hanging="360"/>
      </w:pPr>
      <w:rPr>
        <w:rFonts w:ascii="Courier New" w:hAnsi="Courier New" w:cs="Courier New" w:hint="default"/>
      </w:rPr>
    </w:lvl>
    <w:lvl w:ilvl="8" w:tplc="1E527508" w:tentative="1">
      <w:start w:val="1"/>
      <w:numFmt w:val="bullet"/>
      <w:lvlText w:val=""/>
      <w:lvlJc w:val="left"/>
      <w:pPr>
        <w:ind w:left="6480" w:hanging="360"/>
      </w:pPr>
      <w:rPr>
        <w:rFonts w:ascii="Wingdings" w:hAnsi="Wingdings" w:hint="default"/>
      </w:rPr>
    </w:lvl>
  </w:abstractNum>
  <w:abstractNum w:abstractNumId="7" w15:restartNumberingAfterBreak="0">
    <w:nsid w:val="323E2313"/>
    <w:multiLevelType w:val="hybridMultilevel"/>
    <w:tmpl w:val="CC42B868"/>
    <w:lvl w:ilvl="0" w:tplc="C3BEC0FC">
      <w:numFmt w:val="bullet"/>
      <w:lvlText w:val="-"/>
      <w:lvlJc w:val="left"/>
      <w:pPr>
        <w:ind w:left="720" w:hanging="360"/>
      </w:pPr>
      <w:rPr>
        <w:rFonts w:ascii="Times New Roman" w:eastAsia="Times New Roman" w:hAnsi="Times New Roman" w:cs="Times New Roman" w:hint="default"/>
      </w:rPr>
    </w:lvl>
    <w:lvl w:ilvl="1" w:tplc="3CE0BAC2" w:tentative="1">
      <w:start w:val="1"/>
      <w:numFmt w:val="bullet"/>
      <w:lvlText w:val="o"/>
      <w:lvlJc w:val="left"/>
      <w:pPr>
        <w:ind w:left="1440" w:hanging="360"/>
      </w:pPr>
      <w:rPr>
        <w:rFonts w:ascii="Courier New" w:hAnsi="Courier New" w:cs="Courier New" w:hint="default"/>
      </w:rPr>
    </w:lvl>
    <w:lvl w:ilvl="2" w:tplc="3F2494E6" w:tentative="1">
      <w:start w:val="1"/>
      <w:numFmt w:val="bullet"/>
      <w:lvlText w:val=""/>
      <w:lvlJc w:val="left"/>
      <w:pPr>
        <w:ind w:left="2160" w:hanging="360"/>
      </w:pPr>
      <w:rPr>
        <w:rFonts w:ascii="Wingdings" w:hAnsi="Wingdings" w:hint="default"/>
      </w:rPr>
    </w:lvl>
    <w:lvl w:ilvl="3" w:tplc="BBB0BECE" w:tentative="1">
      <w:start w:val="1"/>
      <w:numFmt w:val="bullet"/>
      <w:lvlText w:val=""/>
      <w:lvlJc w:val="left"/>
      <w:pPr>
        <w:ind w:left="2880" w:hanging="360"/>
      </w:pPr>
      <w:rPr>
        <w:rFonts w:ascii="Symbol" w:hAnsi="Symbol" w:hint="default"/>
      </w:rPr>
    </w:lvl>
    <w:lvl w:ilvl="4" w:tplc="86DAD652" w:tentative="1">
      <w:start w:val="1"/>
      <w:numFmt w:val="bullet"/>
      <w:lvlText w:val="o"/>
      <w:lvlJc w:val="left"/>
      <w:pPr>
        <w:ind w:left="3600" w:hanging="360"/>
      </w:pPr>
      <w:rPr>
        <w:rFonts w:ascii="Courier New" w:hAnsi="Courier New" w:cs="Courier New" w:hint="default"/>
      </w:rPr>
    </w:lvl>
    <w:lvl w:ilvl="5" w:tplc="9B3CCED0" w:tentative="1">
      <w:start w:val="1"/>
      <w:numFmt w:val="bullet"/>
      <w:lvlText w:val=""/>
      <w:lvlJc w:val="left"/>
      <w:pPr>
        <w:ind w:left="4320" w:hanging="360"/>
      </w:pPr>
      <w:rPr>
        <w:rFonts w:ascii="Wingdings" w:hAnsi="Wingdings" w:hint="default"/>
      </w:rPr>
    </w:lvl>
    <w:lvl w:ilvl="6" w:tplc="7800016E" w:tentative="1">
      <w:start w:val="1"/>
      <w:numFmt w:val="bullet"/>
      <w:lvlText w:val=""/>
      <w:lvlJc w:val="left"/>
      <w:pPr>
        <w:ind w:left="5040" w:hanging="360"/>
      </w:pPr>
      <w:rPr>
        <w:rFonts w:ascii="Symbol" w:hAnsi="Symbol" w:hint="default"/>
      </w:rPr>
    </w:lvl>
    <w:lvl w:ilvl="7" w:tplc="365252DC" w:tentative="1">
      <w:start w:val="1"/>
      <w:numFmt w:val="bullet"/>
      <w:lvlText w:val="o"/>
      <w:lvlJc w:val="left"/>
      <w:pPr>
        <w:ind w:left="5760" w:hanging="360"/>
      </w:pPr>
      <w:rPr>
        <w:rFonts w:ascii="Courier New" w:hAnsi="Courier New" w:cs="Courier New" w:hint="default"/>
      </w:rPr>
    </w:lvl>
    <w:lvl w:ilvl="8" w:tplc="2B68A4B2" w:tentative="1">
      <w:start w:val="1"/>
      <w:numFmt w:val="bullet"/>
      <w:lvlText w:val=""/>
      <w:lvlJc w:val="left"/>
      <w:pPr>
        <w:ind w:left="6480" w:hanging="360"/>
      </w:pPr>
      <w:rPr>
        <w:rFonts w:ascii="Wingdings" w:hAnsi="Wingdings" w:hint="default"/>
      </w:rPr>
    </w:lvl>
  </w:abstractNum>
  <w:abstractNum w:abstractNumId="8" w15:restartNumberingAfterBreak="0">
    <w:nsid w:val="35AD5C1C"/>
    <w:multiLevelType w:val="hybridMultilevel"/>
    <w:tmpl w:val="D3BED12E"/>
    <w:lvl w:ilvl="0" w:tplc="0FA80C22">
      <w:start w:val="1"/>
      <w:numFmt w:val="bullet"/>
      <w:lvlText w:val="–"/>
      <w:lvlJc w:val="left"/>
      <w:pPr>
        <w:ind w:left="720" w:hanging="360"/>
      </w:pPr>
      <w:rPr>
        <w:rFonts w:ascii="Times New Roman" w:hAnsi="Times New Roman" w:cs="Times New Roman" w:hint="default"/>
      </w:rPr>
    </w:lvl>
    <w:lvl w:ilvl="1" w:tplc="EDC43F98" w:tentative="1">
      <w:start w:val="1"/>
      <w:numFmt w:val="bullet"/>
      <w:lvlText w:val="o"/>
      <w:lvlJc w:val="left"/>
      <w:pPr>
        <w:ind w:left="1440" w:hanging="360"/>
      </w:pPr>
      <w:rPr>
        <w:rFonts w:ascii="Courier New" w:hAnsi="Courier New" w:cs="Courier New" w:hint="default"/>
      </w:rPr>
    </w:lvl>
    <w:lvl w:ilvl="2" w:tplc="39FCF2A6" w:tentative="1">
      <w:start w:val="1"/>
      <w:numFmt w:val="bullet"/>
      <w:lvlText w:val=""/>
      <w:lvlJc w:val="left"/>
      <w:pPr>
        <w:ind w:left="2160" w:hanging="360"/>
      </w:pPr>
      <w:rPr>
        <w:rFonts w:ascii="Wingdings" w:hAnsi="Wingdings" w:hint="default"/>
      </w:rPr>
    </w:lvl>
    <w:lvl w:ilvl="3" w:tplc="66CE8C1E" w:tentative="1">
      <w:start w:val="1"/>
      <w:numFmt w:val="bullet"/>
      <w:lvlText w:val=""/>
      <w:lvlJc w:val="left"/>
      <w:pPr>
        <w:ind w:left="2880" w:hanging="360"/>
      </w:pPr>
      <w:rPr>
        <w:rFonts w:ascii="Symbol" w:hAnsi="Symbol" w:hint="default"/>
      </w:rPr>
    </w:lvl>
    <w:lvl w:ilvl="4" w:tplc="D43A7362" w:tentative="1">
      <w:start w:val="1"/>
      <w:numFmt w:val="bullet"/>
      <w:lvlText w:val="o"/>
      <w:lvlJc w:val="left"/>
      <w:pPr>
        <w:ind w:left="3600" w:hanging="360"/>
      </w:pPr>
      <w:rPr>
        <w:rFonts w:ascii="Courier New" w:hAnsi="Courier New" w:cs="Courier New" w:hint="default"/>
      </w:rPr>
    </w:lvl>
    <w:lvl w:ilvl="5" w:tplc="E5020996" w:tentative="1">
      <w:start w:val="1"/>
      <w:numFmt w:val="bullet"/>
      <w:lvlText w:val=""/>
      <w:lvlJc w:val="left"/>
      <w:pPr>
        <w:ind w:left="4320" w:hanging="360"/>
      </w:pPr>
      <w:rPr>
        <w:rFonts w:ascii="Wingdings" w:hAnsi="Wingdings" w:hint="default"/>
      </w:rPr>
    </w:lvl>
    <w:lvl w:ilvl="6" w:tplc="2096821A" w:tentative="1">
      <w:start w:val="1"/>
      <w:numFmt w:val="bullet"/>
      <w:lvlText w:val=""/>
      <w:lvlJc w:val="left"/>
      <w:pPr>
        <w:ind w:left="5040" w:hanging="360"/>
      </w:pPr>
      <w:rPr>
        <w:rFonts w:ascii="Symbol" w:hAnsi="Symbol" w:hint="default"/>
      </w:rPr>
    </w:lvl>
    <w:lvl w:ilvl="7" w:tplc="A9B06B40" w:tentative="1">
      <w:start w:val="1"/>
      <w:numFmt w:val="bullet"/>
      <w:lvlText w:val="o"/>
      <w:lvlJc w:val="left"/>
      <w:pPr>
        <w:ind w:left="5760" w:hanging="360"/>
      </w:pPr>
      <w:rPr>
        <w:rFonts w:ascii="Courier New" w:hAnsi="Courier New" w:cs="Courier New" w:hint="default"/>
      </w:rPr>
    </w:lvl>
    <w:lvl w:ilvl="8" w:tplc="DBD632D0" w:tentative="1">
      <w:start w:val="1"/>
      <w:numFmt w:val="bullet"/>
      <w:lvlText w:val=""/>
      <w:lvlJc w:val="left"/>
      <w:pPr>
        <w:ind w:left="6480" w:hanging="360"/>
      </w:pPr>
      <w:rPr>
        <w:rFonts w:ascii="Wingdings" w:hAnsi="Wingdings" w:hint="default"/>
      </w:rPr>
    </w:lvl>
  </w:abstractNum>
  <w:abstractNum w:abstractNumId="9" w15:restartNumberingAfterBreak="0">
    <w:nsid w:val="36D55466"/>
    <w:multiLevelType w:val="hybridMultilevel"/>
    <w:tmpl w:val="874E5F7A"/>
    <w:lvl w:ilvl="0" w:tplc="07B4E742">
      <w:start w:val="1"/>
      <w:numFmt w:val="decimal"/>
      <w:lvlText w:val="%1)"/>
      <w:lvlJc w:val="left"/>
      <w:pPr>
        <w:ind w:left="470" w:hanging="360"/>
      </w:pPr>
      <w:rPr>
        <w:rFonts w:hint="default"/>
        <w:color w:val="auto"/>
      </w:rPr>
    </w:lvl>
    <w:lvl w:ilvl="1" w:tplc="7450B98A" w:tentative="1">
      <w:start w:val="1"/>
      <w:numFmt w:val="lowerLetter"/>
      <w:lvlText w:val="%2."/>
      <w:lvlJc w:val="left"/>
      <w:pPr>
        <w:ind w:left="1190" w:hanging="360"/>
      </w:pPr>
    </w:lvl>
    <w:lvl w:ilvl="2" w:tplc="607CF9EE" w:tentative="1">
      <w:start w:val="1"/>
      <w:numFmt w:val="lowerRoman"/>
      <w:lvlText w:val="%3."/>
      <w:lvlJc w:val="right"/>
      <w:pPr>
        <w:ind w:left="1910" w:hanging="180"/>
      </w:pPr>
    </w:lvl>
    <w:lvl w:ilvl="3" w:tplc="ACE2ED28" w:tentative="1">
      <w:start w:val="1"/>
      <w:numFmt w:val="decimal"/>
      <w:lvlText w:val="%4."/>
      <w:lvlJc w:val="left"/>
      <w:pPr>
        <w:ind w:left="2630" w:hanging="360"/>
      </w:pPr>
    </w:lvl>
    <w:lvl w:ilvl="4" w:tplc="A9829532" w:tentative="1">
      <w:start w:val="1"/>
      <w:numFmt w:val="lowerLetter"/>
      <w:lvlText w:val="%5."/>
      <w:lvlJc w:val="left"/>
      <w:pPr>
        <w:ind w:left="3350" w:hanging="360"/>
      </w:pPr>
    </w:lvl>
    <w:lvl w:ilvl="5" w:tplc="0966EAAC" w:tentative="1">
      <w:start w:val="1"/>
      <w:numFmt w:val="lowerRoman"/>
      <w:lvlText w:val="%6."/>
      <w:lvlJc w:val="right"/>
      <w:pPr>
        <w:ind w:left="4070" w:hanging="180"/>
      </w:pPr>
    </w:lvl>
    <w:lvl w:ilvl="6" w:tplc="62ACB972" w:tentative="1">
      <w:start w:val="1"/>
      <w:numFmt w:val="decimal"/>
      <w:lvlText w:val="%7."/>
      <w:lvlJc w:val="left"/>
      <w:pPr>
        <w:ind w:left="4790" w:hanging="360"/>
      </w:pPr>
    </w:lvl>
    <w:lvl w:ilvl="7" w:tplc="CB82E60E" w:tentative="1">
      <w:start w:val="1"/>
      <w:numFmt w:val="lowerLetter"/>
      <w:lvlText w:val="%8."/>
      <w:lvlJc w:val="left"/>
      <w:pPr>
        <w:ind w:left="5510" w:hanging="360"/>
      </w:pPr>
    </w:lvl>
    <w:lvl w:ilvl="8" w:tplc="643CEBBC" w:tentative="1">
      <w:start w:val="1"/>
      <w:numFmt w:val="lowerRoman"/>
      <w:lvlText w:val="%9."/>
      <w:lvlJc w:val="right"/>
      <w:pPr>
        <w:ind w:left="6230" w:hanging="180"/>
      </w:pPr>
    </w:lvl>
  </w:abstractNum>
  <w:abstractNum w:abstractNumId="10" w15:restartNumberingAfterBreak="0">
    <w:nsid w:val="37113DA6"/>
    <w:multiLevelType w:val="hybridMultilevel"/>
    <w:tmpl w:val="4470F150"/>
    <w:lvl w:ilvl="0" w:tplc="7B7A6D44">
      <w:start w:val="1"/>
      <w:numFmt w:val="decimal"/>
      <w:lvlText w:val="%1)"/>
      <w:lvlJc w:val="left"/>
      <w:pPr>
        <w:ind w:left="360" w:hanging="360"/>
      </w:pPr>
      <w:rPr>
        <w:rFonts w:hint="default"/>
      </w:rPr>
    </w:lvl>
    <w:lvl w:ilvl="1" w:tplc="248EB464" w:tentative="1">
      <w:start w:val="1"/>
      <w:numFmt w:val="lowerLetter"/>
      <w:lvlText w:val="%2."/>
      <w:lvlJc w:val="left"/>
      <w:pPr>
        <w:ind w:left="1080" w:hanging="360"/>
      </w:pPr>
    </w:lvl>
    <w:lvl w:ilvl="2" w:tplc="D9901110" w:tentative="1">
      <w:start w:val="1"/>
      <w:numFmt w:val="lowerRoman"/>
      <w:lvlText w:val="%3."/>
      <w:lvlJc w:val="right"/>
      <w:pPr>
        <w:ind w:left="1800" w:hanging="180"/>
      </w:pPr>
    </w:lvl>
    <w:lvl w:ilvl="3" w:tplc="EBB2CA12" w:tentative="1">
      <w:start w:val="1"/>
      <w:numFmt w:val="decimal"/>
      <w:lvlText w:val="%4."/>
      <w:lvlJc w:val="left"/>
      <w:pPr>
        <w:ind w:left="2520" w:hanging="360"/>
      </w:pPr>
    </w:lvl>
    <w:lvl w:ilvl="4" w:tplc="90DE01DC" w:tentative="1">
      <w:start w:val="1"/>
      <w:numFmt w:val="lowerLetter"/>
      <w:lvlText w:val="%5."/>
      <w:lvlJc w:val="left"/>
      <w:pPr>
        <w:ind w:left="3240" w:hanging="360"/>
      </w:pPr>
    </w:lvl>
    <w:lvl w:ilvl="5" w:tplc="A9CC96A8" w:tentative="1">
      <w:start w:val="1"/>
      <w:numFmt w:val="lowerRoman"/>
      <w:lvlText w:val="%6."/>
      <w:lvlJc w:val="right"/>
      <w:pPr>
        <w:ind w:left="3960" w:hanging="180"/>
      </w:pPr>
    </w:lvl>
    <w:lvl w:ilvl="6" w:tplc="447E1B8E" w:tentative="1">
      <w:start w:val="1"/>
      <w:numFmt w:val="decimal"/>
      <w:lvlText w:val="%7."/>
      <w:lvlJc w:val="left"/>
      <w:pPr>
        <w:ind w:left="4680" w:hanging="360"/>
      </w:pPr>
    </w:lvl>
    <w:lvl w:ilvl="7" w:tplc="9866029A" w:tentative="1">
      <w:start w:val="1"/>
      <w:numFmt w:val="lowerLetter"/>
      <w:lvlText w:val="%8."/>
      <w:lvlJc w:val="left"/>
      <w:pPr>
        <w:ind w:left="5400" w:hanging="360"/>
      </w:pPr>
    </w:lvl>
    <w:lvl w:ilvl="8" w:tplc="2446D6F4" w:tentative="1">
      <w:start w:val="1"/>
      <w:numFmt w:val="lowerRoman"/>
      <w:lvlText w:val="%9."/>
      <w:lvlJc w:val="right"/>
      <w:pPr>
        <w:ind w:left="6120" w:hanging="180"/>
      </w:pPr>
    </w:lvl>
  </w:abstractNum>
  <w:abstractNum w:abstractNumId="11" w15:restartNumberingAfterBreak="0">
    <w:nsid w:val="3B2C3A4B"/>
    <w:multiLevelType w:val="hybridMultilevel"/>
    <w:tmpl w:val="D8C21B5A"/>
    <w:lvl w:ilvl="0" w:tplc="6DC209F2">
      <w:start w:val="1"/>
      <w:numFmt w:val="upperRoman"/>
      <w:lvlText w:val="%1."/>
      <w:lvlJc w:val="left"/>
      <w:pPr>
        <w:ind w:left="1080" w:hanging="720"/>
      </w:pPr>
      <w:rPr>
        <w:rFonts w:hint="default"/>
      </w:rPr>
    </w:lvl>
    <w:lvl w:ilvl="1" w:tplc="F9F843F4" w:tentative="1">
      <w:start w:val="1"/>
      <w:numFmt w:val="lowerLetter"/>
      <w:lvlText w:val="%2."/>
      <w:lvlJc w:val="left"/>
      <w:pPr>
        <w:ind w:left="1440" w:hanging="360"/>
      </w:pPr>
    </w:lvl>
    <w:lvl w:ilvl="2" w:tplc="7E726800" w:tentative="1">
      <w:start w:val="1"/>
      <w:numFmt w:val="lowerRoman"/>
      <w:lvlText w:val="%3."/>
      <w:lvlJc w:val="right"/>
      <w:pPr>
        <w:ind w:left="2160" w:hanging="180"/>
      </w:pPr>
    </w:lvl>
    <w:lvl w:ilvl="3" w:tplc="619E7EF0" w:tentative="1">
      <w:start w:val="1"/>
      <w:numFmt w:val="decimal"/>
      <w:lvlText w:val="%4."/>
      <w:lvlJc w:val="left"/>
      <w:pPr>
        <w:ind w:left="2880" w:hanging="360"/>
      </w:pPr>
    </w:lvl>
    <w:lvl w:ilvl="4" w:tplc="1A6CEC84" w:tentative="1">
      <w:start w:val="1"/>
      <w:numFmt w:val="lowerLetter"/>
      <w:lvlText w:val="%5."/>
      <w:lvlJc w:val="left"/>
      <w:pPr>
        <w:ind w:left="3600" w:hanging="360"/>
      </w:pPr>
    </w:lvl>
    <w:lvl w:ilvl="5" w:tplc="106C6506" w:tentative="1">
      <w:start w:val="1"/>
      <w:numFmt w:val="lowerRoman"/>
      <w:lvlText w:val="%6."/>
      <w:lvlJc w:val="right"/>
      <w:pPr>
        <w:ind w:left="4320" w:hanging="180"/>
      </w:pPr>
    </w:lvl>
    <w:lvl w:ilvl="6" w:tplc="1342191C" w:tentative="1">
      <w:start w:val="1"/>
      <w:numFmt w:val="decimal"/>
      <w:lvlText w:val="%7."/>
      <w:lvlJc w:val="left"/>
      <w:pPr>
        <w:ind w:left="5040" w:hanging="360"/>
      </w:pPr>
    </w:lvl>
    <w:lvl w:ilvl="7" w:tplc="B38689D8" w:tentative="1">
      <w:start w:val="1"/>
      <w:numFmt w:val="lowerLetter"/>
      <w:lvlText w:val="%8."/>
      <w:lvlJc w:val="left"/>
      <w:pPr>
        <w:ind w:left="5760" w:hanging="360"/>
      </w:pPr>
    </w:lvl>
    <w:lvl w:ilvl="8" w:tplc="B2F4C5DE" w:tentative="1">
      <w:start w:val="1"/>
      <w:numFmt w:val="lowerRoman"/>
      <w:lvlText w:val="%9."/>
      <w:lvlJc w:val="right"/>
      <w:pPr>
        <w:ind w:left="6480" w:hanging="180"/>
      </w:pPr>
    </w:lvl>
  </w:abstractNum>
  <w:abstractNum w:abstractNumId="12" w15:restartNumberingAfterBreak="0">
    <w:nsid w:val="3C0722D9"/>
    <w:multiLevelType w:val="hybridMultilevel"/>
    <w:tmpl w:val="0F3CC864"/>
    <w:lvl w:ilvl="0" w:tplc="D0502F7C">
      <w:start w:val="1"/>
      <w:numFmt w:val="decimal"/>
      <w:lvlText w:val="%1."/>
      <w:lvlJc w:val="left"/>
      <w:pPr>
        <w:ind w:left="1069" w:hanging="360"/>
      </w:pPr>
      <w:rPr>
        <w:rFonts w:hint="default"/>
      </w:rPr>
    </w:lvl>
    <w:lvl w:ilvl="1" w:tplc="1BA6231C" w:tentative="1">
      <w:start w:val="1"/>
      <w:numFmt w:val="lowerLetter"/>
      <w:lvlText w:val="%2."/>
      <w:lvlJc w:val="left"/>
      <w:pPr>
        <w:ind w:left="1789" w:hanging="360"/>
      </w:pPr>
    </w:lvl>
    <w:lvl w:ilvl="2" w:tplc="376A32F8" w:tentative="1">
      <w:start w:val="1"/>
      <w:numFmt w:val="lowerRoman"/>
      <w:lvlText w:val="%3."/>
      <w:lvlJc w:val="right"/>
      <w:pPr>
        <w:ind w:left="2509" w:hanging="180"/>
      </w:pPr>
    </w:lvl>
    <w:lvl w:ilvl="3" w:tplc="AD3E8DBA" w:tentative="1">
      <w:start w:val="1"/>
      <w:numFmt w:val="decimal"/>
      <w:lvlText w:val="%4."/>
      <w:lvlJc w:val="left"/>
      <w:pPr>
        <w:ind w:left="3229" w:hanging="360"/>
      </w:pPr>
    </w:lvl>
    <w:lvl w:ilvl="4" w:tplc="AE9E8FC4" w:tentative="1">
      <w:start w:val="1"/>
      <w:numFmt w:val="lowerLetter"/>
      <w:lvlText w:val="%5."/>
      <w:lvlJc w:val="left"/>
      <w:pPr>
        <w:ind w:left="3949" w:hanging="360"/>
      </w:pPr>
    </w:lvl>
    <w:lvl w:ilvl="5" w:tplc="F2149B5C" w:tentative="1">
      <w:start w:val="1"/>
      <w:numFmt w:val="lowerRoman"/>
      <w:lvlText w:val="%6."/>
      <w:lvlJc w:val="right"/>
      <w:pPr>
        <w:ind w:left="4669" w:hanging="180"/>
      </w:pPr>
    </w:lvl>
    <w:lvl w:ilvl="6" w:tplc="8410FA50" w:tentative="1">
      <w:start w:val="1"/>
      <w:numFmt w:val="decimal"/>
      <w:lvlText w:val="%7."/>
      <w:lvlJc w:val="left"/>
      <w:pPr>
        <w:ind w:left="5389" w:hanging="360"/>
      </w:pPr>
    </w:lvl>
    <w:lvl w:ilvl="7" w:tplc="89609268" w:tentative="1">
      <w:start w:val="1"/>
      <w:numFmt w:val="lowerLetter"/>
      <w:lvlText w:val="%8."/>
      <w:lvlJc w:val="left"/>
      <w:pPr>
        <w:ind w:left="6109" w:hanging="360"/>
      </w:pPr>
    </w:lvl>
    <w:lvl w:ilvl="8" w:tplc="1C12581A" w:tentative="1">
      <w:start w:val="1"/>
      <w:numFmt w:val="lowerRoman"/>
      <w:lvlText w:val="%9."/>
      <w:lvlJc w:val="right"/>
      <w:pPr>
        <w:ind w:left="6829" w:hanging="180"/>
      </w:pPr>
    </w:lvl>
  </w:abstractNum>
  <w:abstractNum w:abstractNumId="13" w15:restartNumberingAfterBreak="0">
    <w:nsid w:val="47205271"/>
    <w:multiLevelType w:val="hybridMultilevel"/>
    <w:tmpl w:val="0428ED54"/>
    <w:lvl w:ilvl="0" w:tplc="C1322008">
      <w:start w:val="1"/>
      <w:numFmt w:val="bullet"/>
      <w:lvlText w:val=""/>
      <w:lvlJc w:val="left"/>
      <w:pPr>
        <w:ind w:left="720" w:hanging="360"/>
      </w:pPr>
      <w:rPr>
        <w:rFonts w:ascii="Symbol" w:hAnsi="Symbol" w:hint="default"/>
      </w:rPr>
    </w:lvl>
    <w:lvl w:ilvl="1" w:tplc="1B0E68C2" w:tentative="1">
      <w:start w:val="1"/>
      <w:numFmt w:val="bullet"/>
      <w:lvlText w:val="o"/>
      <w:lvlJc w:val="left"/>
      <w:pPr>
        <w:ind w:left="1440" w:hanging="360"/>
      </w:pPr>
      <w:rPr>
        <w:rFonts w:ascii="Courier New" w:hAnsi="Courier New" w:cs="Courier New" w:hint="default"/>
      </w:rPr>
    </w:lvl>
    <w:lvl w:ilvl="2" w:tplc="4AF875E6" w:tentative="1">
      <w:start w:val="1"/>
      <w:numFmt w:val="bullet"/>
      <w:lvlText w:val=""/>
      <w:lvlJc w:val="left"/>
      <w:pPr>
        <w:ind w:left="2160" w:hanging="360"/>
      </w:pPr>
      <w:rPr>
        <w:rFonts w:ascii="Wingdings" w:hAnsi="Wingdings" w:hint="default"/>
      </w:rPr>
    </w:lvl>
    <w:lvl w:ilvl="3" w:tplc="7A465424" w:tentative="1">
      <w:start w:val="1"/>
      <w:numFmt w:val="bullet"/>
      <w:lvlText w:val=""/>
      <w:lvlJc w:val="left"/>
      <w:pPr>
        <w:ind w:left="2880" w:hanging="360"/>
      </w:pPr>
      <w:rPr>
        <w:rFonts w:ascii="Symbol" w:hAnsi="Symbol" w:hint="default"/>
      </w:rPr>
    </w:lvl>
    <w:lvl w:ilvl="4" w:tplc="83BC3D5C" w:tentative="1">
      <w:start w:val="1"/>
      <w:numFmt w:val="bullet"/>
      <w:lvlText w:val="o"/>
      <w:lvlJc w:val="left"/>
      <w:pPr>
        <w:ind w:left="3600" w:hanging="360"/>
      </w:pPr>
      <w:rPr>
        <w:rFonts w:ascii="Courier New" w:hAnsi="Courier New" w:cs="Courier New" w:hint="default"/>
      </w:rPr>
    </w:lvl>
    <w:lvl w:ilvl="5" w:tplc="6F5A45F2" w:tentative="1">
      <w:start w:val="1"/>
      <w:numFmt w:val="bullet"/>
      <w:lvlText w:val=""/>
      <w:lvlJc w:val="left"/>
      <w:pPr>
        <w:ind w:left="4320" w:hanging="360"/>
      </w:pPr>
      <w:rPr>
        <w:rFonts w:ascii="Wingdings" w:hAnsi="Wingdings" w:hint="default"/>
      </w:rPr>
    </w:lvl>
    <w:lvl w:ilvl="6" w:tplc="E4DC70D0" w:tentative="1">
      <w:start w:val="1"/>
      <w:numFmt w:val="bullet"/>
      <w:lvlText w:val=""/>
      <w:lvlJc w:val="left"/>
      <w:pPr>
        <w:ind w:left="5040" w:hanging="360"/>
      </w:pPr>
      <w:rPr>
        <w:rFonts w:ascii="Symbol" w:hAnsi="Symbol" w:hint="default"/>
      </w:rPr>
    </w:lvl>
    <w:lvl w:ilvl="7" w:tplc="4EFECDC4" w:tentative="1">
      <w:start w:val="1"/>
      <w:numFmt w:val="bullet"/>
      <w:lvlText w:val="o"/>
      <w:lvlJc w:val="left"/>
      <w:pPr>
        <w:ind w:left="5760" w:hanging="360"/>
      </w:pPr>
      <w:rPr>
        <w:rFonts w:ascii="Courier New" w:hAnsi="Courier New" w:cs="Courier New" w:hint="default"/>
      </w:rPr>
    </w:lvl>
    <w:lvl w:ilvl="8" w:tplc="8FD67AA2" w:tentative="1">
      <w:start w:val="1"/>
      <w:numFmt w:val="bullet"/>
      <w:lvlText w:val=""/>
      <w:lvlJc w:val="left"/>
      <w:pPr>
        <w:ind w:left="6480" w:hanging="360"/>
      </w:pPr>
      <w:rPr>
        <w:rFonts w:ascii="Wingdings" w:hAnsi="Wingdings" w:hint="default"/>
      </w:rPr>
    </w:lvl>
  </w:abstractNum>
  <w:abstractNum w:abstractNumId="14" w15:restartNumberingAfterBreak="0">
    <w:nsid w:val="4BFD62AA"/>
    <w:multiLevelType w:val="hybridMultilevel"/>
    <w:tmpl w:val="1D7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832AE0"/>
    <w:multiLevelType w:val="hybridMultilevel"/>
    <w:tmpl w:val="45FA10E6"/>
    <w:lvl w:ilvl="0" w:tplc="8E5E376E">
      <w:start w:val="1"/>
      <w:numFmt w:val="decimal"/>
      <w:lvlText w:val="%1."/>
      <w:lvlJc w:val="left"/>
      <w:pPr>
        <w:ind w:left="720" w:hanging="360"/>
      </w:pPr>
      <w:rPr>
        <w:rFonts w:hint="default"/>
        <w:sz w:val="26"/>
      </w:rPr>
    </w:lvl>
    <w:lvl w:ilvl="1" w:tplc="E26A8024" w:tentative="1">
      <w:start w:val="1"/>
      <w:numFmt w:val="lowerLetter"/>
      <w:lvlText w:val="%2."/>
      <w:lvlJc w:val="left"/>
      <w:pPr>
        <w:ind w:left="1440" w:hanging="360"/>
      </w:pPr>
    </w:lvl>
    <w:lvl w:ilvl="2" w:tplc="7EA64D62" w:tentative="1">
      <w:start w:val="1"/>
      <w:numFmt w:val="lowerRoman"/>
      <w:lvlText w:val="%3."/>
      <w:lvlJc w:val="right"/>
      <w:pPr>
        <w:ind w:left="2160" w:hanging="180"/>
      </w:pPr>
    </w:lvl>
    <w:lvl w:ilvl="3" w:tplc="14543052" w:tentative="1">
      <w:start w:val="1"/>
      <w:numFmt w:val="decimal"/>
      <w:lvlText w:val="%4."/>
      <w:lvlJc w:val="left"/>
      <w:pPr>
        <w:ind w:left="2880" w:hanging="360"/>
      </w:pPr>
    </w:lvl>
    <w:lvl w:ilvl="4" w:tplc="0FF2FAA6" w:tentative="1">
      <w:start w:val="1"/>
      <w:numFmt w:val="lowerLetter"/>
      <w:lvlText w:val="%5."/>
      <w:lvlJc w:val="left"/>
      <w:pPr>
        <w:ind w:left="3600" w:hanging="360"/>
      </w:pPr>
    </w:lvl>
    <w:lvl w:ilvl="5" w:tplc="38C0A5D4" w:tentative="1">
      <w:start w:val="1"/>
      <w:numFmt w:val="lowerRoman"/>
      <w:lvlText w:val="%6."/>
      <w:lvlJc w:val="right"/>
      <w:pPr>
        <w:ind w:left="4320" w:hanging="180"/>
      </w:pPr>
    </w:lvl>
    <w:lvl w:ilvl="6" w:tplc="2FDED826" w:tentative="1">
      <w:start w:val="1"/>
      <w:numFmt w:val="decimal"/>
      <w:lvlText w:val="%7."/>
      <w:lvlJc w:val="left"/>
      <w:pPr>
        <w:ind w:left="5040" w:hanging="360"/>
      </w:pPr>
    </w:lvl>
    <w:lvl w:ilvl="7" w:tplc="D1A89538" w:tentative="1">
      <w:start w:val="1"/>
      <w:numFmt w:val="lowerLetter"/>
      <w:lvlText w:val="%8."/>
      <w:lvlJc w:val="left"/>
      <w:pPr>
        <w:ind w:left="5760" w:hanging="360"/>
      </w:pPr>
    </w:lvl>
    <w:lvl w:ilvl="8" w:tplc="F09068FC" w:tentative="1">
      <w:start w:val="1"/>
      <w:numFmt w:val="lowerRoman"/>
      <w:lvlText w:val="%9."/>
      <w:lvlJc w:val="right"/>
      <w:pPr>
        <w:ind w:left="6480" w:hanging="180"/>
      </w:pPr>
    </w:lvl>
  </w:abstractNum>
  <w:abstractNum w:abstractNumId="16" w15:restartNumberingAfterBreak="0">
    <w:nsid w:val="50DC3EC3"/>
    <w:multiLevelType w:val="hybridMultilevel"/>
    <w:tmpl w:val="C4B00F14"/>
    <w:lvl w:ilvl="0" w:tplc="95208778">
      <w:start w:val="1"/>
      <w:numFmt w:val="decimal"/>
      <w:lvlText w:val="%1)"/>
      <w:lvlJc w:val="left"/>
      <w:pPr>
        <w:ind w:left="252" w:hanging="360"/>
      </w:pPr>
      <w:rPr>
        <w:rFonts w:hint="default"/>
      </w:rPr>
    </w:lvl>
    <w:lvl w:ilvl="1" w:tplc="88DE2140" w:tentative="1">
      <w:start w:val="1"/>
      <w:numFmt w:val="lowerLetter"/>
      <w:lvlText w:val="%2."/>
      <w:lvlJc w:val="left"/>
      <w:pPr>
        <w:ind w:left="972" w:hanging="360"/>
      </w:pPr>
    </w:lvl>
    <w:lvl w:ilvl="2" w:tplc="F0E63680" w:tentative="1">
      <w:start w:val="1"/>
      <w:numFmt w:val="lowerRoman"/>
      <w:lvlText w:val="%3."/>
      <w:lvlJc w:val="right"/>
      <w:pPr>
        <w:ind w:left="1692" w:hanging="180"/>
      </w:pPr>
    </w:lvl>
    <w:lvl w:ilvl="3" w:tplc="53683812" w:tentative="1">
      <w:start w:val="1"/>
      <w:numFmt w:val="decimal"/>
      <w:lvlText w:val="%4."/>
      <w:lvlJc w:val="left"/>
      <w:pPr>
        <w:ind w:left="2412" w:hanging="360"/>
      </w:pPr>
    </w:lvl>
    <w:lvl w:ilvl="4" w:tplc="9404DC42" w:tentative="1">
      <w:start w:val="1"/>
      <w:numFmt w:val="lowerLetter"/>
      <w:lvlText w:val="%5."/>
      <w:lvlJc w:val="left"/>
      <w:pPr>
        <w:ind w:left="3132" w:hanging="360"/>
      </w:pPr>
    </w:lvl>
    <w:lvl w:ilvl="5" w:tplc="4B88EE84" w:tentative="1">
      <w:start w:val="1"/>
      <w:numFmt w:val="lowerRoman"/>
      <w:lvlText w:val="%6."/>
      <w:lvlJc w:val="right"/>
      <w:pPr>
        <w:ind w:left="3852" w:hanging="180"/>
      </w:pPr>
    </w:lvl>
    <w:lvl w:ilvl="6" w:tplc="E52E9F00" w:tentative="1">
      <w:start w:val="1"/>
      <w:numFmt w:val="decimal"/>
      <w:lvlText w:val="%7."/>
      <w:lvlJc w:val="left"/>
      <w:pPr>
        <w:ind w:left="4572" w:hanging="360"/>
      </w:pPr>
    </w:lvl>
    <w:lvl w:ilvl="7" w:tplc="425AFEA8" w:tentative="1">
      <w:start w:val="1"/>
      <w:numFmt w:val="lowerLetter"/>
      <w:lvlText w:val="%8."/>
      <w:lvlJc w:val="left"/>
      <w:pPr>
        <w:ind w:left="5292" w:hanging="360"/>
      </w:pPr>
    </w:lvl>
    <w:lvl w:ilvl="8" w:tplc="363AD866" w:tentative="1">
      <w:start w:val="1"/>
      <w:numFmt w:val="lowerRoman"/>
      <w:lvlText w:val="%9."/>
      <w:lvlJc w:val="right"/>
      <w:pPr>
        <w:ind w:left="6012" w:hanging="180"/>
      </w:pPr>
    </w:lvl>
  </w:abstractNum>
  <w:abstractNum w:abstractNumId="17" w15:restartNumberingAfterBreak="0">
    <w:nsid w:val="66632543"/>
    <w:multiLevelType w:val="hybridMultilevel"/>
    <w:tmpl w:val="B3287EDC"/>
    <w:lvl w:ilvl="0" w:tplc="D8BA000E">
      <w:start w:val="1"/>
      <w:numFmt w:val="decimal"/>
      <w:lvlText w:val="%1)"/>
      <w:lvlJc w:val="left"/>
      <w:pPr>
        <w:ind w:left="720" w:hanging="360"/>
      </w:pPr>
      <w:rPr>
        <w:rFonts w:hint="default"/>
      </w:rPr>
    </w:lvl>
    <w:lvl w:ilvl="1" w:tplc="77382ED4" w:tentative="1">
      <w:start w:val="1"/>
      <w:numFmt w:val="lowerLetter"/>
      <w:lvlText w:val="%2."/>
      <w:lvlJc w:val="left"/>
      <w:pPr>
        <w:ind w:left="1440" w:hanging="360"/>
      </w:pPr>
    </w:lvl>
    <w:lvl w:ilvl="2" w:tplc="F27CFEA6" w:tentative="1">
      <w:start w:val="1"/>
      <w:numFmt w:val="lowerRoman"/>
      <w:lvlText w:val="%3."/>
      <w:lvlJc w:val="right"/>
      <w:pPr>
        <w:ind w:left="2160" w:hanging="180"/>
      </w:pPr>
    </w:lvl>
    <w:lvl w:ilvl="3" w:tplc="E6FE30EA" w:tentative="1">
      <w:start w:val="1"/>
      <w:numFmt w:val="decimal"/>
      <w:lvlText w:val="%4."/>
      <w:lvlJc w:val="left"/>
      <w:pPr>
        <w:ind w:left="2880" w:hanging="360"/>
      </w:pPr>
    </w:lvl>
    <w:lvl w:ilvl="4" w:tplc="0B88D3D6" w:tentative="1">
      <w:start w:val="1"/>
      <w:numFmt w:val="lowerLetter"/>
      <w:lvlText w:val="%5."/>
      <w:lvlJc w:val="left"/>
      <w:pPr>
        <w:ind w:left="3600" w:hanging="360"/>
      </w:pPr>
    </w:lvl>
    <w:lvl w:ilvl="5" w:tplc="455C6EC2" w:tentative="1">
      <w:start w:val="1"/>
      <w:numFmt w:val="lowerRoman"/>
      <w:lvlText w:val="%6."/>
      <w:lvlJc w:val="right"/>
      <w:pPr>
        <w:ind w:left="4320" w:hanging="180"/>
      </w:pPr>
    </w:lvl>
    <w:lvl w:ilvl="6" w:tplc="6A5E1E96" w:tentative="1">
      <w:start w:val="1"/>
      <w:numFmt w:val="decimal"/>
      <w:lvlText w:val="%7."/>
      <w:lvlJc w:val="left"/>
      <w:pPr>
        <w:ind w:left="5040" w:hanging="360"/>
      </w:pPr>
    </w:lvl>
    <w:lvl w:ilvl="7" w:tplc="EB1E8170" w:tentative="1">
      <w:start w:val="1"/>
      <w:numFmt w:val="lowerLetter"/>
      <w:lvlText w:val="%8."/>
      <w:lvlJc w:val="left"/>
      <w:pPr>
        <w:ind w:left="5760" w:hanging="360"/>
      </w:pPr>
    </w:lvl>
    <w:lvl w:ilvl="8" w:tplc="1D964DF2" w:tentative="1">
      <w:start w:val="1"/>
      <w:numFmt w:val="lowerRoman"/>
      <w:lvlText w:val="%9."/>
      <w:lvlJc w:val="right"/>
      <w:pPr>
        <w:ind w:left="6480" w:hanging="180"/>
      </w:pPr>
    </w:lvl>
  </w:abstractNum>
  <w:abstractNum w:abstractNumId="18" w15:restartNumberingAfterBreak="0">
    <w:nsid w:val="6D48421A"/>
    <w:multiLevelType w:val="hybridMultilevel"/>
    <w:tmpl w:val="987444FA"/>
    <w:lvl w:ilvl="0" w:tplc="4DF07452">
      <w:start w:val="1"/>
      <w:numFmt w:val="decimal"/>
      <w:lvlText w:val="%1)"/>
      <w:lvlJc w:val="left"/>
      <w:pPr>
        <w:ind w:left="720" w:hanging="360"/>
      </w:pPr>
      <w:rPr>
        <w:rFonts w:hint="default"/>
      </w:rPr>
    </w:lvl>
    <w:lvl w:ilvl="1" w:tplc="E8A20DDA" w:tentative="1">
      <w:start w:val="1"/>
      <w:numFmt w:val="lowerLetter"/>
      <w:lvlText w:val="%2."/>
      <w:lvlJc w:val="left"/>
      <w:pPr>
        <w:ind w:left="1440" w:hanging="360"/>
      </w:pPr>
    </w:lvl>
    <w:lvl w:ilvl="2" w:tplc="A8E2610C" w:tentative="1">
      <w:start w:val="1"/>
      <w:numFmt w:val="lowerRoman"/>
      <w:lvlText w:val="%3."/>
      <w:lvlJc w:val="right"/>
      <w:pPr>
        <w:ind w:left="2160" w:hanging="180"/>
      </w:pPr>
    </w:lvl>
    <w:lvl w:ilvl="3" w:tplc="6FDCB50E" w:tentative="1">
      <w:start w:val="1"/>
      <w:numFmt w:val="decimal"/>
      <w:lvlText w:val="%4."/>
      <w:lvlJc w:val="left"/>
      <w:pPr>
        <w:ind w:left="2880" w:hanging="360"/>
      </w:pPr>
    </w:lvl>
    <w:lvl w:ilvl="4" w:tplc="8EDE5E2C" w:tentative="1">
      <w:start w:val="1"/>
      <w:numFmt w:val="lowerLetter"/>
      <w:lvlText w:val="%5."/>
      <w:lvlJc w:val="left"/>
      <w:pPr>
        <w:ind w:left="3600" w:hanging="360"/>
      </w:pPr>
    </w:lvl>
    <w:lvl w:ilvl="5" w:tplc="5C325C46" w:tentative="1">
      <w:start w:val="1"/>
      <w:numFmt w:val="lowerRoman"/>
      <w:lvlText w:val="%6."/>
      <w:lvlJc w:val="right"/>
      <w:pPr>
        <w:ind w:left="4320" w:hanging="180"/>
      </w:pPr>
    </w:lvl>
    <w:lvl w:ilvl="6" w:tplc="6486CA2E" w:tentative="1">
      <w:start w:val="1"/>
      <w:numFmt w:val="decimal"/>
      <w:lvlText w:val="%7."/>
      <w:lvlJc w:val="left"/>
      <w:pPr>
        <w:ind w:left="5040" w:hanging="360"/>
      </w:pPr>
    </w:lvl>
    <w:lvl w:ilvl="7" w:tplc="E60E2752" w:tentative="1">
      <w:start w:val="1"/>
      <w:numFmt w:val="lowerLetter"/>
      <w:lvlText w:val="%8."/>
      <w:lvlJc w:val="left"/>
      <w:pPr>
        <w:ind w:left="5760" w:hanging="360"/>
      </w:pPr>
    </w:lvl>
    <w:lvl w:ilvl="8" w:tplc="E932D548" w:tentative="1">
      <w:start w:val="1"/>
      <w:numFmt w:val="lowerRoman"/>
      <w:lvlText w:val="%9."/>
      <w:lvlJc w:val="right"/>
      <w:pPr>
        <w:ind w:left="6480" w:hanging="180"/>
      </w:pPr>
    </w:lvl>
  </w:abstractNum>
  <w:abstractNum w:abstractNumId="19" w15:restartNumberingAfterBreak="0">
    <w:nsid w:val="70DA36F4"/>
    <w:multiLevelType w:val="hybridMultilevel"/>
    <w:tmpl w:val="0F3CC864"/>
    <w:lvl w:ilvl="0" w:tplc="D2E2E2A2">
      <w:start w:val="1"/>
      <w:numFmt w:val="decimal"/>
      <w:lvlText w:val="%1."/>
      <w:lvlJc w:val="left"/>
      <w:pPr>
        <w:ind w:left="1069" w:hanging="360"/>
      </w:pPr>
      <w:rPr>
        <w:rFonts w:hint="default"/>
      </w:rPr>
    </w:lvl>
    <w:lvl w:ilvl="1" w:tplc="E1200958" w:tentative="1">
      <w:start w:val="1"/>
      <w:numFmt w:val="lowerLetter"/>
      <w:lvlText w:val="%2."/>
      <w:lvlJc w:val="left"/>
      <w:pPr>
        <w:ind w:left="1789" w:hanging="360"/>
      </w:pPr>
    </w:lvl>
    <w:lvl w:ilvl="2" w:tplc="EB20BC14" w:tentative="1">
      <w:start w:val="1"/>
      <w:numFmt w:val="lowerRoman"/>
      <w:lvlText w:val="%3."/>
      <w:lvlJc w:val="right"/>
      <w:pPr>
        <w:ind w:left="2509" w:hanging="180"/>
      </w:pPr>
    </w:lvl>
    <w:lvl w:ilvl="3" w:tplc="FDCE8DD8" w:tentative="1">
      <w:start w:val="1"/>
      <w:numFmt w:val="decimal"/>
      <w:lvlText w:val="%4."/>
      <w:lvlJc w:val="left"/>
      <w:pPr>
        <w:ind w:left="3229" w:hanging="360"/>
      </w:pPr>
    </w:lvl>
    <w:lvl w:ilvl="4" w:tplc="04FA2D10" w:tentative="1">
      <w:start w:val="1"/>
      <w:numFmt w:val="lowerLetter"/>
      <w:lvlText w:val="%5."/>
      <w:lvlJc w:val="left"/>
      <w:pPr>
        <w:ind w:left="3949" w:hanging="360"/>
      </w:pPr>
    </w:lvl>
    <w:lvl w:ilvl="5" w:tplc="47D646AE" w:tentative="1">
      <w:start w:val="1"/>
      <w:numFmt w:val="lowerRoman"/>
      <w:lvlText w:val="%6."/>
      <w:lvlJc w:val="right"/>
      <w:pPr>
        <w:ind w:left="4669" w:hanging="180"/>
      </w:pPr>
    </w:lvl>
    <w:lvl w:ilvl="6" w:tplc="0994BE98" w:tentative="1">
      <w:start w:val="1"/>
      <w:numFmt w:val="decimal"/>
      <w:lvlText w:val="%7."/>
      <w:lvlJc w:val="left"/>
      <w:pPr>
        <w:ind w:left="5389" w:hanging="360"/>
      </w:pPr>
    </w:lvl>
    <w:lvl w:ilvl="7" w:tplc="77CC6314" w:tentative="1">
      <w:start w:val="1"/>
      <w:numFmt w:val="lowerLetter"/>
      <w:lvlText w:val="%8."/>
      <w:lvlJc w:val="left"/>
      <w:pPr>
        <w:ind w:left="6109" w:hanging="360"/>
      </w:pPr>
    </w:lvl>
    <w:lvl w:ilvl="8" w:tplc="50321A0E" w:tentative="1">
      <w:start w:val="1"/>
      <w:numFmt w:val="lowerRoman"/>
      <w:lvlText w:val="%9."/>
      <w:lvlJc w:val="right"/>
      <w:pPr>
        <w:ind w:left="6829" w:hanging="180"/>
      </w:pPr>
    </w:lvl>
  </w:abstractNum>
  <w:abstractNum w:abstractNumId="20" w15:restartNumberingAfterBreak="0">
    <w:nsid w:val="71261E0B"/>
    <w:multiLevelType w:val="hybridMultilevel"/>
    <w:tmpl w:val="0C06B638"/>
    <w:lvl w:ilvl="0" w:tplc="11707A64">
      <w:start w:val="1"/>
      <w:numFmt w:val="bullet"/>
      <w:lvlText w:val=""/>
      <w:lvlJc w:val="left"/>
      <w:pPr>
        <w:ind w:left="720" w:hanging="360"/>
      </w:pPr>
      <w:rPr>
        <w:rFonts w:ascii="Symbol" w:hAnsi="Symbol" w:hint="default"/>
      </w:rPr>
    </w:lvl>
    <w:lvl w:ilvl="1" w:tplc="C052B634" w:tentative="1">
      <w:start w:val="1"/>
      <w:numFmt w:val="bullet"/>
      <w:lvlText w:val="o"/>
      <w:lvlJc w:val="left"/>
      <w:pPr>
        <w:ind w:left="1440" w:hanging="360"/>
      </w:pPr>
      <w:rPr>
        <w:rFonts w:ascii="Courier New" w:hAnsi="Courier New" w:cs="Courier New" w:hint="default"/>
      </w:rPr>
    </w:lvl>
    <w:lvl w:ilvl="2" w:tplc="6F7EBDA2" w:tentative="1">
      <w:start w:val="1"/>
      <w:numFmt w:val="bullet"/>
      <w:lvlText w:val=""/>
      <w:lvlJc w:val="left"/>
      <w:pPr>
        <w:ind w:left="2160" w:hanging="360"/>
      </w:pPr>
      <w:rPr>
        <w:rFonts w:ascii="Wingdings" w:hAnsi="Wingdings" w:hint="default"/>
      </w:rPr>
    </w:lvl>
    <w:lvl w:ilvl="3" w:tplc="96C0CEC6" w:tentative="1">
      <w:start w:val="1"/>
      <w:numFmt w:val="bullet"/>
      <w:lvlText w:val=""/>
      <w:lvlJc w:val="left"/>
      <w:pPr>
        <w:ind w:left="2880" w:hanging="360"/>
      </w:pPr>
      <w:rPr>
        <w:rFonts w:ascii="Symbol" w:hAnsi="Symbol" w:hint="default"/>
      </w:rPr>
    </w:lvl>
    <w:lvl w:ilvl="4" w:tplc="FD9C0460" w:tentative="1">
      <w:start w:val="1"/>
      <w:numFmt w:val="bullet"/>
      <w:lvlText w:val="o"/>
      <w:lvlJc w:val="left"/>
      <w:pPr>
        <w:ind w:left="3600" w:hanging="360"/>
      </w:pPr>
      <w:rPr>
        <w:rFonts w:ascii="Courier New" w:hAnsi="Courier New" w:cs="Courier New" w:hint="default"/>
      </w:rPr>
    </w:lvl>
    <w:lvl w:ilvl="5" w:tplc="49A0FC96" w:tentative="1">
      <w:start w:val="1"/>
      <w:numFmt w:val="bullet"/>
      <w:lvlText w:val=""/>
      <w:lvlJc w:val="left"/>
      <w:pPr>
        <w:ind w:left="4320" w:hanging="360"/>
      </w:pPr>
      <w:rPr>
        <w:rFonts w:ascii="Wingdings" w:hAnsi="Wingdings" w:hint="default"/>
      </w:rPr>
    </w:lvl>
    <w:lvl w:ilvl="6" w:tplc="B7CA3504" w:tentative="1">
      <w:start w:val="1"/>
      <w:numFmt w:val="bullet"/>
      <w:lvlText w:val=""/>
      <w:lvlJc w:val="left"/>
      <w:pPr>
        <w:ind w:left="5040" w:hanging="360"/>
      </w:pPr>
      <w:rPr>
        <w:rFonts w:ascii="Symbol" w:hAnsi="Symbol" w:hint="default"/>
      </w:rPr>
    </w:lvl>
    <w:lvl w:ilvl="7" w:tplc="529A74C0" w:tentative="1">
      <w:start w:val="1"/>
      <w:numFmt w:val="bullet"/>
      <w:lvlText w:val="o"/>
      <w:lvlJc w:val="left"/>
      <w:pPr>
        <w:ind w:left="5760" w:hanging="360"/>
      </w:pPr>
      <w:rPr>
        <w:rFonts w:ascii="Courier New" w:hAnsi="Courier New" w:cs="Courier New" w:hint="default"/>
      </w:rPr>
    </w:lvl>
    <w:lvl w:ilvl="8" w:tplc="460E1422" w:tentative="1">
      <w:start w:val="1"/>
      <w:numFmt w:val="bullet"/>
      <w:lvlText w:val=""/>
      <w:lvlJc w:val="left"/>
      <w:pPr>
        <w:ind w:left="6480" w:hanging="360"/>
      </w:pPr>
      <w:rPr>
        <w:rFonts w:ascii="Wingdings" w:hAnsi="Wingdings" w:hint="default"/>
      </w:rPr>
    </w:lvl>
  </w:abstractNum>
  <w:abstractNum w:abstractNumId="21" w15:restartNumberingAfterBreak="0">
    <w:nsid w:val="795E656A"/>
    <w:multiLevelType w:val="hybridMultilevel"/>
    <w:tmpl w:val="641AAAF4"/>
    <w:lvl w:ilvl="0" w:tplc="25101D84">
      <w:start w:val="1"/>
      <w:numFmt w:val="decimal"/>
      <w:lvlText w:val="%1)"/>
      <w:lvlJc w:val="left"/>
      <w:pPr>
        <w:ind w:left="1069" w:hanging="360"/>
      </w:pPr>
      <w:rPr>
        <w:rFonts w:hint="default"/>
      </w:rPr>
    </w:lvl>
    <w:lvl w:ilvl="1" w:tplc="BCAC987E" w:tentative="1">
      <w:start w:val="1"/>
      <w:numFmt w:val="lowerLetter"/>
      <w:lvlText w:val="%2."/>
      <w:lvlJc w:val="left"/>
      <w:pPr>
        <w:ind w:left="1789" w:hanging="360"/>
      </w:pPr>
    </w:lvl>
    <w:lvl w:ilvl="2" w:tplc="8DF8DB3C" w:tentative="1">
      <w:start w:val="1"/>
      <w:numFmt w:val="lowerRoman"/>
      <w:lvlText w:val="%3."/>
      <w:lvlJc w:val="right"/>
      <w:pPr>
        <w:ind w:left="2509" w:hanging="180"/>
      </w:pPr>
    </w:lvl>
    <w:lvl w:ilvl="3" w:tplc="1C624286" w:tentative="1">
      <w:start w:val="1"/>
      <w:numFmt w:val="decimal"/>
      <w:lvlText w:val="%4."/>
      <w:lvlJc w:val="left"/>
      <w:pPr>
        <w:ind w:left="3229" w:hanging="360"/>
      </w:pPr>
    </w:lvl>
    <w:lvl w:ilvl="4" w:tplc="8EC6AE00" w:tentative="1">
      <w:start w:val="1"/>
      <w:numFmt w:val="lowerLetter"/>
      <w:lvlText w:val="%5."/>
      <w:lvlJc w:val="left"/>
      <w:pPr>
        <w:ind w:left="3949" w:hanging="360"/>
      </w:pPr>
    </w:lvl>
    <w:lvl w:ilvl="5" w:tplc="E8887058" w:tentative="1">
      <w:start w:val="1"/>
      <w:numFmt w:val="lowerRoman"/>
      <w:lvlText w:val="%6."/>
      <w:lvlJc w:val="right"/>
      <w:pPr>
        <w:ind w:left="4669" w:hanging="180"/>
      </w:pPr>
    </w:lvl>
    <w:lvl w:ilvl="6" w:tplc="79F8AC8C" w:tentative="1">
      <w:start w:val="1"/>
      <w:numFmt w:val="decimal"/>
      <w:lvlText w:val="%7."/>
      <w:lvlJc w:val="left"/>
      <w:pPr>
        <w:ind w:left="5389" w:hanging="360"/>
      </w:pPr>
    </w:lvl>
    <w:lvl w:ilvl="7" w:tplc="EDD4A7C8" w:tentative="1">
      <w:start w:val="1"/>
      <w:numFmt w:val="lowerLetter"/>
      <w:lvlText w:val="%8."/>
      <w:lvlJc w:val="left"/>
      <w:pPr>
        <w:ind w:left="6109" w:hanging="360"/>
      </w:pPr>
    </w:lvl>
    <w:lvl w:ilvl="8" w:tplc="54A6CF04" w:tentative="1">
      <w:start w:val="1"/>
      <w:numFmt w:val="lowerRoman"/>
      <w:lvlText w:val="%9."/>
      <w:lvlJc w:val="right"/>
      <w:pPr>
        <w:ind w:left="6829" w:hanging="180"/>
      </w:pPr>
    </w:lvl>
  </w:abstractNum>
  <w:num w:numId="1">
    <w:abstractNumId w:val="11"/>
  </w:num>
  <w:num w:numId="2">
    <w:abstractNumId w:val="8"/>
  </w:num>
  <w:num w:numId="3">
    <w:abstractNumId w:val="15"/>
  </w:num>
  <w:num w:numId="4">
    <w:abstractNumId w:val="19"/>
  </w:num>
  <w:num w:numId="5">
    <w:abstractNumId w:val="12"/>
  </w:num>
  <w:num w:numId="6">
    <w:abstractNumId w:val="21"/>
  </w:num>
  <w:num w:numId="7">
    <w:abstractNumId w:val="3"/>
  </w:num>
  <w:num w:numId="8">
    <w:abstractNumId w:val="0"/>
  </w:num>
  <w:num w:numId="9">
    <w:abstractNumId w:val="18"/>
  </w:num>
  <w:num w:numId="10">
    <w:abstractNumId w:val="7"/>
  </w:num>
  <w:num w:numId="11">
    <w:abstractNumId w:val="10"/>
  </w:num>
  <w:num w:numId="12">
    <w:abstractNumId w:val="9"/>
  </w:num>
  <w:num w:numId="13">
    <w:abstractNumId w:val="16"/>
  </w:num>
  <w:num w:numId="14">
    <w:abstractNumId w:val="17"/>
  </w:num>
  <w:num w:numId="15">
    <w:abstractNumId w:val="20"/>
  </w:num>
  <w:num w:numId="16">
    <w:abstractNumId w:val="1"/>
  </w:num>
  <w:num w:numId="17">
    <w:abstractNumId w:val="2"/>
  </w:num>
  <w:num w:numId="18">
    <w:abstractNumId w:val="13"/>
  </w:num>
  <w:num w:numId="19">
    <w:abstractNumId w:val="4"/>
  </w:num>
  <w:num w:numId="20">
    <w:abstractNumId w:val="6"/>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C1"/>
    <w:rsid w:val="00001055"/>
    <w:rsid w:val="00030FAF"/>
    <w:rsid w:val="00032356"/>
    <w:rsid w:val="00034519"/>
    <w:rsid w:val="000367E3"/>
    <w:rsid w:val="0004246D"/>
    <w:rsid w:val="00062906"/>
    <w:rsid w:val="00080567"/>
    <w:rsid w:val="00080B80"/>
    <w:rsid w:val="00090920"/>
    <w:rsid w:val="00095C45"/>
    <w:rsid w:val="000B3426"/>
    <w:rsid w:val="000F0459"/>
    <w:rsid w:val="000F666B"/>
    <w:rsid w:val="00103534"/>
    <w:rsid w:val="00103C6C"/>
    <w:rsid w:val="00105720"/>
    <w:rsid w:val="001248C0"/>
    <w:rsid w:val="00124DC9"/>
    <w:rsid w:val="001340F2"/>
    <w:rsid w:val="00135F83"/>
    <w:rsid w:val="00136961"/>
    <w:rsid w:val="00140E9D"/>
    <w:rsid w:val="00144347"/>
    <w:rsid w:val="0015151A"/>
    <w:rsid w:val="00154FAF"/>
    <w:rsid w:val="00157F2C"/>
    <w:rsid w:val="00174202"/>
    <w:rsid w:val="00182B45"/>
    <w:rsid w:val="00194BC2"/>
    <w:rsid w:val="00196D03"/>
    <w:rsid w:val="001A3E52"/>
    <w:rsid w:val="001B2F53"/>
    <w:rsid w:val="001C637D"/>
    <w:rsid w:val="001D087E"/>
    <w:rsid w:val="001D1FC6"/>
    <w:rsid w:val="001E2CC4"/>
    <w:rsid w:val="001E5F6B"/>
    <w:rsid w:val="00204656"/>
    <w:rsid w:val="00212C01"/>
    <w:rsid w:val="00234B16"/>
    <w:rsid w:val="00236FA6"/>
    <w:rsid w:val="002541B6"/>
    <w:rsid w:val="00257C79"/>
    <w:rsid w:val="0026407B"/>
    <w:rsid w:val="00274916"/>
    <w:rsid w:val="002918E3"/>
    <w:rsid w:val="002B4F57"/>
    <w:rsid w:val="002C0123"/>
    <w:rsid w:val="002C4A97"/>
    <w:rsid w:val="002C75D2"/>
    <w:rsid w:val="00302FEA"/>
    <w:rsid w:val="0030766F"/>
    <w:rsid w:val="003161E5"/>
    <w:rsid w:val="00355222"/>
    <w:rsid w:val="00356E5E"/>
    <w:rsid w:val="00383F86"/>
    <w:rsid w:val="00391995"/>
    <w:rsid w:val="00391F30"/>
    <w:rsid w:val="0039357E"/>
    <w:rsid w:val="003A3915"/>
    <w:rsid w:val="003B42DC"/>
    <w:rsid w:val="003C6728"/>
    <w:rsid w:val="003C7715"/>
    <w:rsid w:val="003D7BD0"/>
    <w:rsid w:val="003E65B9"/>
    <w:rsid w:val="003F1608"/>
    <w:rsid w:val="004030DF"/>
    <w:rsid w:val="0040652B"/>
    <w:rsid w:val="00413CB8"/>
    <w:rsid w:val="00413EBC"/>
    <w:rsid w:val="004146DC"/>
    <w:rsid w:val="0041580D"/>
    <w:rsid w:val="00423AC5"/>
    <w:rsid w:val="00453D23"/>
    <w:rsid w:val="004624D0"/>
    <w:rsid w:val="00471DA1"/>
    <w:rsid w:val="004878B3"/>
    <w:rsid w:val="004A0BF9"/>
    <w:rsid w:val="004A6B89"/>
    <w:rsid w:val="004A7EA7"/>
    <w:rsid w:val="004B4A29"/>
    <w:rsid w:val="004B7A52"/>
    <w:rsid w:val="004C2BB4"/>
    <w:rsid w:val="004E2768"/>
    <w:rsid w:val="004F7B6F"/>
    <w:rsid w:val="00506882"/>
    <w:rsid w:val="00507962"/>
    <w:rsid w:val="00512840"/>
    <w:rsid w:val="005436F7"/>
    <w:rsid w:val="00547E88"/>
    <w:rsid w:val="0055098E"/>
    <w:rsid w:val="00550E06"/>
    <w:rsid w:val="0055785A"/>
    <w:rsid w:val="005619BC"/>
    <w:rsid w:val="00573890"/>
    <w:rsid w:val="00595CA9"/>
    <w:rsid w:val="00597D55"/>
    <w:rsid w:val="005A6F24"/>
    <w:rsid w:val="005B4203"/>
    <w:rsid w:val="005E2165"/>
    <w:rsid w:val="005F0085"/>
    <w:rsid w:val="005F71B2"/>
    <w:rsid w:val="00602B8F"/>
    <w:rsid w:val="00603C5A"/>
    <w:rsid w:val="00613FA8"/>
    <w:rsid w:val="006226A6"/>
    <w:rsid w:val="00631F83"/>
    <w:rsid w:val="00633A54"/>
    <w:rsid w:val="00655C57"/>
    <w:rsid w:val="00656332"/>
    <w:rsid w:val="00666D43"/>
    <w:rsid w:val="006913F0"/>
    <w:rsid w:val="00694D07"/>
    <w:rsid w:val="006D2988"/>
    <w:rsid w:val="006E1558"/>
    <w:rsid w:val="00700BD3"/>
    <w:rsid w:val="007016D5"/>
    <w:rsid w:val="0070267A"/>
    <w:rsid w:val="00707576"/>
    <w:rsid w:val="00707A73"/>
    <w:rsid w:val="00735160"/>
    <w:rsid w:val="0074427C"/>
    <w:rsid w:val="00744BA8"/>
    <w:rsid w:val="00750AE3"/>
    <w:rsid w:val="007538FB"/>
    <w:rsid w:val="007627F4"/>
    <w:rsid w:val="00774125"/>
    <w:rsid w:val="00780C69"/>
    <w:rsid w:val="007947FC"/>
    <w:rsid w:val="007A0C3D"/>
    <w:rsid w:val="007A5A88"/>
    <w:rsid w:val="007A7A20"/>
    <w:rsid w:val="007C6816"/>
    <w:rsid w:val="007F19DE"/>
    <w:rsid w:val="008067A8"/>
    <w:rsid w:val="00810891"/>
    <w:rsid w:val="0081474F"/>
    <w:rsid w:val="008521AE"/>
    <w:rsid w:val="00854C2D"/>
    <w:rsid w:val="0086069E"/>
    <w:rsid w:val="00865985"/>
    <w:rsid w:val="008817E9"/>
    <w:rsid w:val="00886E14"/>
    <w:rsid w:val="008A199E"/>
    <w:rsid w:val="008B481C"/>
    <w:rsid w:val="008D2F1C"/>
    <w:rsid w:val="008E32DD"/>
    <w:rsid w:val="008E4FEC"/>
    <w:rsid w:val="008E71B9"/>
    <w:rsid w:val="008F32BF"/>
    <w:rsid w:val="00903EBD"/>
    <w:rsid w:val="00910272"/>
    <w:rsid w:val="009175D4"/>
    <w:rsid w:val="00933F10"/>
    <w:rsid w:val="00934C63"/>
    <w:rsid w:val="00934EE9"/>
    <w:rsid w:val="0096073B"/>
    <w:rsid w:val="009765D1"/>
    <w:rsid w:val="0097666A"/>
    <w:rsid w:val="00991D17"/>
    <w:rsid w:val="009D671A"/>
    <w:rsid w:val="00A0648F"/>
    <w:rsid w:val="00A10BDE"/>
    <w:rsid w:val="00A139E9"/>
    <w:rsid w:val="00A25712"/>
    <w:rsid w:val="00A27158"/>
    <w:rsid w:val="00A2759A"/>
    <w:rsid w:val="00A278D9"/>
    <w:rsid w:val="00A32B50"/>
    <w:rsid w:val="00A41A21"/>
    <w:rsid w:val="00A51A7E"/>
    <w:rsid w:val="00A628D5"/>
    <w:rsid w:val="00A62D4D"/>
    <w:rsid w:val="00A85CE7"/>
    <w:rsid w:val="00AB2563"/>
    <w:rsid w:val="00AC672D"/>
    <w:rsid w:val="00AD7A5C"/>
    <w:rsid w:val="00AE3F06"/>
    <w:rsid w:val="00AF11B2"/>
    <w:rsid w:val="00AF4813"/>
    <w:rsid w:val="00B03962"/>
    <w:rsid w:val="00B107E4"/>
    <w:rsid w:val="00B1261D"/>
    <w:rsid w:val="00B151DF"/>
    <w:rsid w:val="00B15E08"/>
    <w:rsid w:val="00B15F05"/>
    <w:rsid w:val="00B253C1"/>
    <w:rsid w:val="00B319AC"/>
    <w:rsid w:val="00B35F8F"/>
    <w:rsid w:val="00B6320F"/>
    <w:rsid w:val="00B66A48"/>
    <w:rsid w:val="00B7266D"/>
    <w:rsid w:val="00BA006B"/>
    <w:rsid w:val="00BA4452"/>
    <w:rsid w:val="00BB4769"/>
    <w:rsid w:val="00BC24EA"/>
    <w:rsid w:val="00BC6983"/>
    <w:rsid w:val="00BC7244"/>
    <w:rsid w:val="00BC7635"/>
    <w:rsid w:val="00BD20F0"/>
    <w:rsid w:val="00BD5E17"/>
    <w:rsid w:val="00BE075F"/>
    <w:rsid w:val="00BF21EF"/>
    <w:rsid w:val="00BF385B"/>
    <w:rsid w:val="00BF47D0"/>
    <w:rsid w:val="00C04A74"/>
    <w:rsid w:val="00C125DD"/>
    <w:rsid w:val="00C12F64"/>
    <w:rsid w:val="00C201CB"/>
    <w:rsid w:val="00C20965"/>
    <w:rsid w:val="00C20F03"/>
    <w:rsid w:val="00C2497E"/>
    <w:rsid w:val="00C2514A"/>
    <w:rsid w:val="00C52989"/>
    <w:rsid w:val="00C52AE9"/>
    <w:rsid w:val="00C636D1"/>
    <w:rsid w:val="00C737B8"/>
    <w:rsid w:val="00C770CD"/>
    <w:rsid w:val="00C82A90"/>
    <w:rsid w:val="00CA7642"/>
    <w:rsid w:val="00CA778B"/>
    <w:rsid w:val="00CB6C4D"/>
    <w:rsid w:val="00CF1AA7"/>
    <w:rsid w:val="00CF3E66"/>
    <w:rsid w:val="00CF4DC9"/>
    <w:rsid w:val="00CF733A"/>
    <w:rsid w:val="00CF7BBD"/>
    <w:rsid w:val="00D04739"/>
    <w:rsid w:val="00D112A4"/>
    <w:rsid w:val="00D20948"/>
    <w:rsid w:val="00D213FE"/>
    <w:rsid w:val="00D240D4"/>
    <w:rsid w:val="00D3092E"/>
    <w:rsid w:val="00D70870"/>
    <w:rsid w:val="00DA49EA"/>
    <w:rsid w:val="00DA564A"/>
    <w:rsid w:val="00DA7F0F"/>
    <w:rsid w:val="00DB7322"/>
    <w:rsid w:val="00DC5B15"/>
    <w:rsid w:val="00DD2377"/>
    <w:rsid w:val="00DE027A"/>
    <w:rsid w:val="00DE1978"/>
    <w:rsid w:val="00DE4FAF"/>
    <w:rsid w:val="00DF1782"/>
    <w:rsid w:val="00DF7DF8"/>
    <w:rsid w:val="00E067FD"/>
    <w:rsid w:val="00E06C5A"/>
    <w:rsid w:val="00E25C1F"/>
    <w:rsid w:val="00E2683F"/>
    <w:rsid w:val="00E3004E"/>
    <w:rsid w:val="00E42A31"/>
    <w:rsid w:val="00E43F5A"/>
    <w:rsid w:val="00E5139A"/>
    <w:rsid w:val="00E61FC4"/>
    <w:rsid w:val="00E71B5A"/>
    <w:rsid w:val="00E8181F"/>
    <w:rsid w:val="00E841CA"/>
    <w:rsid w:val="00E84C4A"/>
    <w:rsid w:val="00E9206E"/>
    <w:rsid w:val="00E94BE0"/>
    <w:rsid w:val="00E95828"/>
    <w:rsid w:val="00EC1220"/>
    <w:rsid w:val="00EC3F37"/>
    <w:rsid w:val="00EF4E1C"/>
    <w:rsid w:val="00EF7C51"/>
    <w:rsid w:val="00F04699"/>
    <w:rsid w:val="00F076C3"/>
    <w:rsid w:val="00F27D98"/>
    <w:rsid w:val="00F403B7"/>
    <w:rsid w:val="00F40F50"/>
    <w:rsid w:val="00F419EB"/>
    <w:rsid w:val="00F46836"/>
    <w:rsid w:val="00F57E5D"/>
    <w:rsid w:val="00F74707"/>
    <w:rsid w:val="00F74E75"/>
    <w:rsid w:val="00F91F7C"/>
    <w:rsid w:val="00FA59CF"/>
    <w:rsid w:val="00FA6135"/>
    <w:rsid w:val="00FC223A"/>
    <w:rsid w:val="00FC55C0"/>
    <w:rsid w:val="00FD445B"/>
    <w:rsid w:val="00FE65F0"/>
    <w:rsid w:val="00FF2E40"/>
    <w:rsid w:val="00FF3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097E"/>
  <w15:docId w15:val="{442C49BA-6432-4BA3-A5AC-0B9D5B4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Nobeigums">
    <w:name w:val="Nobeigums"/>
    <w:basedOn w:val="Normal"/>
    <w:rsid w:val="00C14719"/>
    <w:rPr>
      <w:szCs w:val="20"/>
      <w:lang w:val="en-US" w:eastAsia="en-US"/>
    </w:rPr>
  </w:style>
  <w:style w:type="paragraph" w:customStyle="1" w:styleId="tv213">
    <w:name w:val="tv213"/>
    <w:basedOn w:val="Normal"/>
    <w:rsid w:val="007C68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8B38-C21F-4970-8ACD-D80BECA0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9633</Words>
  <Characters>5492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akcīzes nodokļa nodrošinājumiem" sākotnējās ietekmes novērtējuma ziņojums (anotācija)</vt:lpstr>
    </vt:vector>
  </TitlesOfParts>
  <Company>Valsts ieņēmumu dienests</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akcīzes nodokļa nodrošinājumiem" sākotnējās ietekmes novērtējuma ziņojums (anotācija)</dc:title>
  <dc:subject>Anotācija</dc:subject>
  <dc:creator>Jānis Bormanis</dc:creator>
  <dc:description>Janis.Bormanis@vid.gov.lv; 67120109</dc:description>
  <cp:lastModifiedBy>Ilmars Kukurs</cp:lastModifiedBy>
  <cp:revision>2</cp:revision>
  <cp:lastPrinted>2019-01-07T11:59:00Z</cp:lastPrinted>
  <dcterms:created xsi:type="dcterms:W3CDTF">2019-01-23T08:10:00Z</dcterms:created>
  <dcterms:modified xsi:type="dcterms:W3CDTF">2019-01-23T08:10:00Z</dcterms:modified>
</cp:coreProperties>
</file>