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80"/>
        <w:gridCol w:w="1980"/>
        <w:gridCol w:w="567"/>
        <w:gridCol w:w="2268"/>
      </w:tblGrid>
      <w:tr w:rsidR="00412762" w14:paraId="6239DF4E" w14:textId="77777777" w:rsidTr="004C0807">
        <w:trPr>
          <w:trHeight w:val="567"/>
        </w:trPr>
        <w:tc>
          <w:tcPr>
            <w:tcW w:w="680" w:type="dxa"/>
            <w:hideMark/>
          </w:tcPr>
          <w:p w14:paraId="2DD9F990" w14:textId="77777777" w:rsidR="00412762" w:rsidRDefault="00412762">
            <w:pPr>
              <w:pStyle w:val="Header"/>
              <w:rPr>
                <w:rFonts w:ascii="Times New Roman" w:eastAsia="Times New Roman" w:hAnsi="Times New Roman"/>
                <w:spacing w:val="20"/>
                <w:sz w:val="16"/>
                <w:szCs w:val="16"/>
              </w:rPr>
            </w:pPr>
            <w:r>
              <w:rPr>
                <w:rFonts w:ascii="Times New Roman" w:eastAsia="Times New Roman" w:hAnsi="Times New Roman"/>
              </w:rPr>
              <w:t>Rīgā</w:t>
            </w:r>
          </w:p>
        </w:tc>
        <w:tc>
          <w:tcPr>
            <w:tcW w:w="1980" w:type="dxa"/>
            <w:tcBorders>
              <w:top w:val="nil"/>
              <w:left w:val="nil"/>
              <w:bottom w:val="dashed" w:sz="4" w:space="0" w:color="auto"/>
              <w:right w:val="nil"/>
            </w:tcBorders>
            <w:hideMark/>
          </w:tcPr>
          <w:p w14:paraId="1E47E1A8" w14:textId="16585A9B" w:rsidR="00412762" w:rsidRPr="0002063E" w:rsidRDefault="0002063E" w:rsidP="0054256A">
            <w:pPr>
              <w:spacing w:after="0" w:line="240" w:lineRule="auto"/>
              <w:rPr>
                <w:rFonts w:ascii="Times New Roman" w:eastAsia="Times New Roman" w:hAnsi="Times New Roman"/>
                <w:spacing w:val="20"/>
                <w:sz w:val="24"/>
                <w:szCs w:val="24"/>
              </w:rPr>
            </w:pPr>
            <w:r w:rsidRPr="0002063E">
              <w:rPr>
                <w:rFonts w:ascii="Times New Roman" w:eastAsia="Times New Roman" w:hAnsi="Times New Roman"/>
                <w:spacing w:val="20"/>
                <w:sz w:val="24"/>
                <w:szCs w:val="24"/>
              </w:rPr>
              <w:t>16.01.2019.</w:t>
            </w:r>
          </w:p>
        </w:tc>
        <w:tc>
          <w:tcPr>
            <w:tcW w:w="567" w:type="dxa"/>
            <w:hideMark/>
          </w:tcPr>
          <w:p w14:paraId="46A8A36D" w14:textId="77777777" w:rsidR="00412762" w:rsidRDefault="00412762" w:rsidP="0054256A">
            <w:pPr>
              <w:pStyle w:val="Header"/>
              <w:rPr>
                <w:rFonts w:ascii="Times New Roman" w:eastAsia="Times New Roman" w:hAnsi="Times New Roman"/>
                <w:spacing w:val="20"/>
                <w:sz w:val="16"/>
                <w:szCs w:val="16"/>
              </w:rPr>
            </w:pPr>
            <w:r>
              <w:rPr>
                <w:rFonts w:ascii="Times New Roman" w:eastAsia="Times New Roman" w:hAnsi="Times New Roman"/>
              </w:rPr>
              <w:t>Nr.</w:t>
            </w:r>
          </w:p>
        </w:tc>
        <w:tc>
          <w:tcPr>
            <w:tcW w:w="2268" w:type="dxa"/>
            <w:tcBorders>
              <w:top w:val="nil"/>
              <w:left w:val="nil"/>
              <w:bottom w:val="dashed" w:sz="4" w:space="0" w:color="auto"/>
              <w:right w:val="nil"/>
            </w:tcBorders>
          </w:tcPr>
          <w:p w14:paraId="4E926BAE" w14:textId="5698B7AF" w:rsidR="00412762" w:rsidRPr="0002063E" w:rsidRDefault="0002063E" w:rsidP="0054256A">
            <w:pPr>
              <w:rPr>
                <w:rFonts w:ascii="Times New Roman" w:eastAsia="Times New Roman" w:hAnsi="Times New Roman"/>
                <w:spacing w:val="20"/>
                <w:sz w:val="24"/>
                <w:szCs w:val="24"/>
              </w:rPr>
            </w:pPr>
            <w:r w:rsidRPr="0002063E">
              <w:rPr>
                <w:rFonts w:ascii="Times New Roman" w:eastAsia="Times New Roman" w:hAnsi="Times New Roman"/>
                <w:spacing w:val="20"/>
                <w:sz w:val="24"/>
                <w:szCs w:val="24"/>
              </w:rPr>
              <w:t>4-3.1/19/167</w:t>
            </w:r>
          </w:p>
        </w:tc>
      </w:tr>
      <w:tr w:rsidR="00412762" w14:paraId="6B3693FF" w14:textId="77777777" w:rsidTr="004C0807">
        <w:trPr>
          <w:trHeight w:val="284"/>
        </w:trPr>
        <w:tc>
          <w:tcPr>
            <w:tcW w:w="680" w:type="dxa"/>
            <w:hideMark/>
          </w:tcPr>
          <w:p w14:paraId="61389F28" w14:textId="77777777" w:rsidR="00412762" w:rsidRDefault="00412762">
            <w:pPr>
              <w:pStyle w:val="Header"/>
              <w:rPr>
                <w:rFonts w:ascii="Times New Roman" w:eastAsia="Times New Roman" w:hAnsi="Times New Roman"/>
                <w:spacing w:val="20"/>
                <w:sz w:val="16"/>
                <w:szCs w:val="16"/>
              </w:rPr>
            </w:pPr>
            <w:r>
              <w:rPr>
                <w:rFonts w:ascii="Times New Roman" w:eastAsia="Times New Roman" w:hAnsi="Times New Roman"/>
              </w:rPr>
              <w:t>Uz</w:t>
            </w:r>
          </w:p>
        </w:tc>
        <w:tc>
          <w:tcPr>
            <w:tcW w:w="1980" w:type="dxa"/>
            <w:tcBorders>
              <w:top w:val="dashed" w:sz="4" w:space="0" w:color="auto"/>
              <w:left w:val="nil"/>
              <w:bottom w:val="dashed" w:sz="4" w:space="0" w:color="auto"/>
              <w:right w:val="nil"/>
            </w:tcBorders>
          </w:tcPr>
          <w:p w14:paraId="543EA9FB" w14:textId="77777777" w:rsidR="00412762" w:rsidRPr="0002063E" w:rsidRDefault="00412762">
            <w:pPr>
              <w:pStyle w:val="Header"/>
              <w:rPr>
                <w:rFonts w:ascii="Times New Roman" w:eastAsia="Times New Roman" w:hAnsi="Times New Roman"/>
                <w:spacing w:val="20"/>
                <w:sz w:val="24"/>
                <w:szCs w:val="24"/>
              </w:rPr>
            </w:pPr>
          </w:p>
        </w:tc>
        <w:tc>
          <w:tcPr>
            <w:tcW w:w="567" w:type="dxa"/>
            <w:hideMark/>
          </w:tcPr>
          <w:p w14:paraId="030BE3F8" w14:textId="77777777" w:rsidR="00412762" w:rsidRDefault="00412762" w:rsidP="0054256A">
            <w:pPr>
              <w:pStyle w:val="Header"/>
              <w:rPr>
                <w:rFonts w:ascii="Times New Roman" w:eastAsia="Times New Roman" w:hAnsi="Times New Roman"/>
                <w:spacing w:val="20"/>
                <w:sz w:val="16"/>
                <w:szCs w:val="16"/>
              </w:rPr>
            </w:pPr>
            <w:r>
              <w:rPr>
                <w:rFonts w:ascii="Times New Roman" w:eastAsia="Times New Roman" w:hAnsi="Times New Roman"/>
              </w:rPr>
              <w:t>Nr.</w:t>
            </w:r>
          </w:p>
        </w:tc>
        <w:tc>
          <w:tcPr>
            <w:tcW w:w="2268" w:type="dxa"/>
            <w:tcBorders>
              <w:top w:val="dashed" w:sz="4" w:space="0" w:color="auto"/>
              <w:left w:val="nil"/>
              <w:bottom w:val="dashed" w:sz="4" w:space="0" w:color="auto"/>
              <w:right w:val="nil"/>
            </w:tcBorders>
          </w:tcPr>
          <w:p w14:paraId="7A355624" w14:textId="77777777" w:rsidR="00412762" w:rsidRDefault="00412762" w:rsidP="0054256A">
            <w:pPr>
              <w:pStyle w:val="Header"/>
              <w:rPr>
                <w:rFonts w:ascii="Times New Roman" w:eastAsia="Times New Roman" w:hAnsi="Times New Roman"/>
                <w:spacing w:val="20"/>
                <w:sz w:val="28"/>
                <w:szCs w:val="28"/>
              </w:rPr>
            </w:pPr>
          </w:p>
        </w:tc>
      </w:tr>
    </w:tbl>
    <w:p w14:paraId="27D88437" w14:textId="77777777" w:rsidR="00412762" w:rsidRDefault="00412762" w:rsidP="0054256A">
      <w:pPr>
        <w:tabs>
          <w:tab w:val="left" w:pos="1515"/>
        </w:tabs>
        <w:spacing w:after="0" w:line="240" w:lineRule="auto"/>
        <w:rPr>
          <w:rFonts w:ascii="Times New Roman" w:hAnsi="Times New Roman"/>
          <w:sz w:val="24"/>
          <w:szCs w:val="24"/>
        </w:rPr>
      </w:pPr>
    </w:p>
    <w:p w14:paraId="3854FF15" w14:textId="77777777" w:rsidR="0054256A" w:rsidRDefault="0054256A" w:rsidP="0054256A">
      <w:pPr>
        <w:tabs>
          <w:tab w:val="left" w:pos="1515"/>
        </w:tabs>
        <w:spacing w:after="0" w:line="240" w:lineRule="auto"/>
        <w:rPr>
          <w:rFonts w:ascii="Times New Roman" w:hAnsi="Times New Roman"/>
          <w:sz w:val="24"/>
          <w:szCs w:val="24"/>
        </w:rPr>
      </w:pPr>
    </w:p>
    <w:p w14:paraId="2FCA9EF3" w14:textId="77777777" w:rsidR="00416C1E" w:rsidRPr="00A614A4" w:rsidRDefault="00416C1E" w:rsidP="00416C1E">
      <w:pPr>
        <w:spacing w:after="0" w:line="240" w:lineRule="auto"/>
        <w:jc w:val="right"/>
        <w:rPr>
          <w:rFonts w:ascii="Times New Roman" w:hAnsi="Times New Roman"/>
          <w:sz w:val="28"/>
          <w:szCs w:val="28"/>
        </w:rPr>
      </w:pPr>
      <w:r w:rsidRPr="00A614A4">
        <w:rPr>
          <w:rFonts w:ascii="Times New Roman" w:hAnsi="Times New Roman"/>
          <w:noProof/>
          <w:sz w:val="28"/>
          <w:szCs w:val="28"/>
        </w:rPr>
        <w:t>Valsts kancelejai</w:t>
      </w:r>
    </w:p>
    <w:p w14:paraId="0B408D59" w14:textId="77777777" w:rsidR="00447057" w:rsidRPr="00A614A4" w:rsidRDefault="00447057" w:rsidP="00447057">
      <w:pPr>
        <w:spacing w:after="0" w:line="240" w:lineRule="auto"/>
        <w:jc w:val="both"/>
        <w:rPr>
          <w:rFonts w:ascii="Times New Roman" w:hAnsi="Times New Roman"/>
          <w:sz w:val="28"/>
          <w:szCs w:val="28"/>
        </w:rPr>
      </w:pPr>
    </w:p>
    <w:tbl>
      <w:tblPr>
        <w:tblW w:w="10003" w:type="dxa"/>
        <w:tblLook w:val="04A0" w:firstRow="1" w:lastRow="0" w:firstColumn="1" w:lastColumn="0" w:noHBand="0" w:noVBand="1"/>
      </w:tblPr>
      <w:tblGrid>
        <w:gridCol w:w="5211"/>
        <w:gridCol w:w="4792"/>
      </w:tblGrid>
      <w:tr w:rsidR="00447057" w:rsidRPr="00A614A4" w14:paraId="3F99B053" w14:textId="77777777" w:rsidTr="0050182A">
        <w:tc>
          <w:tcPr>
            <w:tcW w:w="5211" w:type="dxa"/>
          </w:tcPr>
          <w:p w14:paraId="467B443B" w14:textId="082A3B36" w:rsidR="00447057" w:rsidRPr="00A614A4" w:rsidRDefault="00447057" w:rsidP="00A13854">
            <w:pPr>
              <w:spacing w:after="0" w:line="240" w:lineRule="auto"/>
              <w:jc w:val="both"/>
              <w:rPr>
                <w:rFonts w:ascii="Times New Roman" w:hAnsi="Times New Roman"/>
                <w:color w:val="000000"/>
                <w:sz w:val="28"/>
                <w:szCs w:val="28"/>
              </w:rPr>
            </w:pPr>
            <w:bookmarkStart w:id="0" w:name="_GoBack" w:colFirst="0" w:colLast="0"/>
            <w:r w:rsidRPr="00447057">
              <w:rPr>
                <w:rFonts w:ascii="Times New Roman" w:hAnsi="Times New Roman"/>
                <w:color w:val="000000"/>
                <w:sz w:val="28"/>
                <w:szCs w:val="28"/>
              </w:rPr>
              <w:t xml:space="preserve">Par Ministru kabineta sēdes protokollēmuma projektu saistībā ar </w:t>
            </w:r>
            <w:r w:rsidRPr="00A614A4">
              <w:rPr>
                <w:rFonts w:ascii="Times New Roman" w:hAnsi="Times New Roman"/>
                <w:color w:val="000000"/>
                <w:sz w:val="28"/>
                <w:szCs w:val="28"/>
              </w:rPr>
              <w:t>2016.gada 26.janvāra</w:t>
            </w:r>
            <w:r w:rsidRPr="00447057">
              <w:rPr>
                <w:rFonts w:ascii="Times New Roman" w:hAnsi="Times New Roman"/>
                <w:color w:val="000000"/>
                <w:sz w:val="28"/>
                <w:szCs w:val="28"/>
              </w:rPr>
              <w:t xml:space="preserve"> sēdes protokollēmumā dotā uzdevuma (prot.</w:t>
            </w:r>
            <w:r w:rsidRPr="00A614A4">
              <w:rPr>
                <w:rFonts w:ascii="Times New Roman" w:hAnsi="Times New Roman"/>
                <w:color w:val="000000"/>
                <w:sz w:val="28"/>
                <w:szCs w:val="28"/>
              </w:rPr>
              <w:t xml:space="preserve"> Nr.4 91</w:t>
            </w:r>
            <w:r w:rsidRPr="00447057">
              <w:rPr>
                <w:rFonts w:ascii="Times New Roman" w:hAnsi="Times New Roman"/>
                <w:color w:val="000000"/>
                <w:sz w:val="28"/>
                <w:szCs w:val="28"/>
              </w:rPr>
              <w:t xml:space="preserve">.§) </w:t>
            </w:r>
            <w:r w:rsidR="00A13854" w:rsidRPr="00A614A4">
              <w:rPr>
                <w:rFonts w:ascii="Times New Roman" w:eastAsia="Times New Roman" w:hAnsi="Times New Roman"/>
                <w:sz w:val="28"/>
                <w:szCs w:val="28"/>
              </w:rPr>
              <w:t>izpildes termiņa pagarināšanu</w:t>
            </w:r>
            <w:r w:rsidR="00A13854" w:rsidRPr="00447057">
              <w:rPr>
                <w:rFonts w:ascii="Times New Roman" w:hAnsi="Times New Roman"/>
                <w:color w:val="000000"/>
                <w:sz w:val="28"/>
                <w:szCs w:val="28"/>
              </w:rPr>
              <w:t xml:space="preserve"> </w:t>
            </w:r>
          </w:p>
        </w:tc>
        <w:tc>
          <w:tcPr>
            <w:tcW w:w="4792" w:type="dxa"/>
          </w:tcPr>
          <w:p w14:paraId="01F56E6B" w14:textId="77777777" w:rsidR="00447057" w:rsidRPr="00A614A4" w:rsidRDefault="00447057" w:rsidP="0050182A">
            <w:pPr>
              <w:spacing w:after="0" w:line="240" w:lineRule="auto"/>
              <w:jc w:val="both"/>
              <w:rPr>
                <w:rFonts w:ascii="Times New Roman" w:hAnsi="Times New Roman"/>
                <w:sz w:val="28"/>
                <w:szCs w:val="28"/>
              </w:rPr>
            </w:pPr>
          </w:p>
        </w:tc>
      </w:tr>
      <w:bookmarkEnd w:id="0"/>
    </w:tbl>
    <w:p w14:paraId="060E3580" w14:textId="77777777" w:rsidR="00416C1E" w:rsidRPr="00A614A4" w:rsidRDefault="00416C1E" w:rsidP="00447057">
      <w:pPr>
        <w:spacing w:after="0" w:line="240" w:lineRule="auto"/>
        <w:jc w:val="both"/>
        <w:rPr>
          <w:rFonts w:ascii="Times New Roman" w:hAnsi="Times New Roman"/>
          <w:sz w:val="28"/>
          <w:szCs w:val="28"/>
        </w:rPr>
      </w:pPr>
    </w:p>
    <w:p w14:paraId="6A2735B5" w14:textId="5C610B81" w:rsidR="00416C1E" w:rsidRPr="00A614A4" w:rsidRDefault="00416C1E" w:rsidP="00416C1E">
      <w:pPr>
        <w:spacing w:after="0" w:line="240" w:lineRule="auto"/>
        <w:ind w:firstLine="720"/>
        <w:jc w:val="both"/>
        <w:rPr>
          <w:rFonts w:ascii="Times New Roman" w:eastAsia="Times New Roman" w:hAnsi="Times New Roman"/>
          <w:sz w:val="28"/>
          <w:szCs w:val="28"/>
          <w:lang w:eastAsia="lv-LV"/>
        </w:rPr>
      </w:pPr>
      <w:r w:rsidRPr="00A614A4">
        <w:rPr>
          <w:rFonts w:ascii="Times New Roman" w:eastAsia="Times New Roman" w:hAnsi="Times New Roman"/>
          <w:sz w:val="28"/>
          <w:szCs w:val="28"/>
        </w:rPr>
        <w:t xml:space="preserve">Pamatojoties uz Ministru kabineta 2009. gada 7. aprīļa noteikumu Nr. 300 "Ministru kabineta kārtības rullis" 164.4. apakšpunktu iesniedzu izskatīšanai </w:t>
      </w:r>
      <w:r w:rsidR="00A72000" w:rsidRPr="00A72000">
        <w:rPr>
          <w:rFonts w:ascii="Times New Roman" w:eastAsia="Times New Roman" w:hAnsi="Times New Roman"/>
          <w:b/>
          <w:sz w:val="28"/>
          <w:szCs w:val="28"/>
        </w:rPr>
        <w:t>tuvākajā</w:t>
      </w:r>
      <w:r w:rsidR="00A72000">
        <w:rPr>
          <w:rFonts w:ascii="Times New Roman" w:eastAsia="Times New Roman" w:hAnsi="Times New Roman"/>
          <w:sz w:val="28"/>
          <w:szCs w:val="28"/>
        </w:rPr>
        <w:t xml:space="preserve"> </w:t>
      </w:r>
      <w:r w:rsidRPr="00A614A4">
        <w:rPr>
          <w:rFonts w:ascii="Times New Roman" w:eastAsia="Times New Roman" w:hAnsi="Times New Roman"/>
          <w:sz w:val="28"/>
          <w:szCs w:val="28"/>
        </w:rPr>
        <w:t>Ministru kabineta sēdē Ministru kabineta sēdes protokollēmuma projektu “</w:t>
      </w:r>
      <w:r w:rsidRPr="00A614A4">
        <w:rPr>
          <w:rFonts w:ascii="Times New Roman" w:eastAsia="Times New Roman" w:hAnsi="Times New Roman"/>
          <w:bCs/>
          <w:sz w:val="28"/>
          <w:szCs w:val="28"/>
          <w:lang w:eastAsia="lv-LV"/>
        </w:rPr>
        <w:t xml:space="preserve">Par Ministru kabineta 2016.gada 26.janvāra sēdes protokollēmuma </w:t>
      </w:r>
      <w:r w:rsidRPr="00A614A4">
        <w:rPr>
          <w:rFonts w:ascii="Times New Roman" w:eastAsia="Times New Roman" w:hAnsi="Times New Roman"/>
          <w:noProof/>
          <w:sz w:val="28"/>
          <w:szCs w:val="28"/>
          <w:lang w:eastAsia="lv-LV"/>
        </w:rPr>
        <w:t>(prot. Nr. 4, 91. §)</w:t>
      </w:r>
      <w:r w:rsidRPr="00A614A4">
        <w:rPr>
          <w:rFonts w:ascii="Times New Roman" w:eastAsia="Times New Roman" w:hAnsi="Times New Roman"/>
          <w:bCs/>
          <w:sz w:val="28"/>
          <w:szCs w:val="28"/>
          <w:lang w:eastAsia="lv-LV"/>
        </w:rPr>
        <w:t xml:space="preserve"> “</w:t>
      </w:r>
      <w:r w:rsidRPr="00A614A4">
        <w:rPr>
          <w:rFonts w:ascii="Times New Roman" w:eastAsia="Times New Roman" w:hAnsi="Times New Roman"/>
          <w:sz w:val="28"/>
          <w:szCs w:val="28"/>
          <w:lang w:eastAsia="lv-LV"/>
        </w:rPr>
        <w:t>Informatīvais ziņojums "Par Saeimas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izvērtējumu”</w:t>
      </w:r>
      <w:r w:rsidRPr="00A614A4">
        <w:rPr>
          <w:rFonts w:ascii="Times New Roman" w:eastAsia="Times New Roman" w:hAnsi="Times New Roman"/>
          <w:bCs/>
          <w:sz w:val="28"/>
          <w:szCs w:val="28"/>
          <w:lang w:eastAsia="lv-LV"/>
        </w:rPr>
        <w:t xml:space="preserve"> 2.punktā dotā uzdevuma</w:t>
      </w:r>
      <w:r w:rsidRPr="00A614A4">
        <w:rPr>
          <w:rFonts w:ascii="Times New Roman" w:eastAsia="Times New Roman" w:hAnsi="Times New Roman"/>
          <w:sz w:val="28"/>
          <w:szCs w:val="28"/>
        </w:rPr>
        <w:t xml:space="preserve"> izpildes termiņa pagarināšanu</w:t>
      </w:r>
      <w:r w:rsidRPr="00A614A4">
        <w:rPr>
          <w:rFonts w:ascii="Times New Roman" w:eastAsia="Times New Roman" w:hAnsi="Times New Roman"/>
          <w:bCs/>
          <w:sz w:val="28"/>
          <w:szCs w:val="28"/>
          <w:lang w:eastAsia="lv-LV"/>
        </w:rPr>
        <w:t>”</w:t>
      </w:r>
      <w:r w:rsidRPr="00A614A4">
        <w:rPr>
          <w:rFonts w:ascii="Times New Roman" w:eastAsia="Times New Roman" w:hAnsi="Times New Roman"/>
          <w:sz w:val="28"/>
          <w:szCs w:val="28"/>
        </w:rPr>
        <w:t xml:space="preserve"> (turpmāk – projekts).</w:t>
      </w:r>
    </w:p>
    <w:p w14:paraId="7D444228" w14:textId="77777777" w:rsidR="00416C1E" w:rsidRPr="00A614A4" w:rsidRDefault="00416C1E" w:rsidP="00416C1E">
      <w:pPr>
        <w:spacing w:before="60" w:after="60" w:line="240" w:lineRule="auto"/>
        <w:ind w:left="-142" w:right="437" w:firstLine="862"/>
        <w:jc w:val="both"/>
        <w:rPr>
          <w:rFonts w:ascii="Times New Roman" w:eastAsia="Times New Roman" w:hAnsi="Times New Roman"/>
          <w:sz w:val="28"/>
          <w:szCs w:val="28"/>
        </w:rPr>
      </w:pPr>
    </w:p>
    <w:tbl>
      <w:tblPr>
        <w:tblW w:w="5074"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266"/>
        <w:gridCol w:w="6662"/>
      </w:tblGrid>
      <w:tr w:rsidR="00416C1E" w:rsidRPr="00A614A4" w14:paraId="2E6CB420" w14:textId="77777777" w:rsidTr="0048295D">
        <w:tc>
          <w:tcPr>
            <w:tcW w:w="296" w:type="pct"/>
            <w:tcBorders>
              <w:top w:val="outset" w:sz="6" w:space="0" w:color="auto"/>
              <w:left w:val="outset" w:sz="6" w:space="0" w:color="auto"/>
              <w:bottom w:val="outset" w:sz="6" w:space="0" w:color="auto"/>
              <w:right w:val="outset" w:sz="6" w:space="0" w:color="auto"/>
            </w:tcBorders>
            <w:hideMark/>
          </w:tcPr>
          <w:p w14:paraId="3EAAFDD4" w14:textId="77777777" w:rsidR="00416C1E" w:rsidRPr="00A614A4" w:rsidRDefault="00416C1E" w:rsidP="00416C1E">
            <w:pPr>
              <w:spacing w:after="0" w:line="360" w:lineRule="auto"/>
              <w:jc w:val="both"/>
              <w:rPr>
                <w:rFonts w:ascii="Times New Roman" w:hAnsi="Times New Roman"/>
                <w:sz w:val="28"/>
                <w:szCs w:val="28"/>
              </w:rPr>
            </w:pPr>
            <w:r w:rsidRPr="00A614A4">
              <w:rPr>
                <w:rFonts w:ascii="Times New Roman" w:hAnsi="Times New Roman"/>
                <w:sz w:val="28"/>
                <w:szCs w:val="28"/>
              </w:rPr>
              <w:t>1.</w:t>
            </w:r>
          </w:p>
        </w:tc>
        <w:tc>
          <w:tcPr>
            <w:tcW w:w="1194" w:type="pct"/>
            <w:tcBorders>
              <w:top w:val="outset" w:sz="6" w:space="0" w:color="auto"/>
              <w:left w:val="outset" w:sz="6" w:space="0" w:color="auto"/>
              <w:bottom w:val="outset" w:sz="6" w:space="0" w:color="auto"/>
              <w:right w:val="outset" w:sz="6" w:space="0" w:color="auto"/>
            </w:tcBorders>
            <w:hideMark/>
          </w:tcPr>
          <w:p w14:paraId="40D88D40" w14:textId="77777777" w:rsidR="00416C1E" w:rsidRPr="00A614A4" w:rsidRDefault="00416C1E" w:rsidP="00416C1E">
            <w:pPr>
              <w:spacing w:after="0" w:line="240" w:lineRule="auto"/>
              <w:jc w:val="both"/>
              <w:rPr>
                <w:rFonts w:ascii="Times New Roman" w:hAnsi="Times New Roman"/>
                <w:sz w:val="28"/>
                <w:szCs w:val="28"/>
              </w:rPr>
            </w:pPr>
            <w:r w:rsidRPr="00A614A4">
              <w:rPr>
                <w:rFonts w:ascii="Times New Roman" w:hAnsi="Times New Roman"/>
                <w:sz w:val="28"/>
                <w:szCs w:val="28"/>
              </w:rPr>
              <w:t>Iesniegšanas pamatojums</w:t>
            </w:r>
          </w:p>
        </w:tc>
        <w:tc>
          <w:tcPr>
            <w:tcW w:w="3510" w:type="pct"/>
            <w:tcBorders>
              <w:top w:val="outset" w:sz="6" w:space="0" w:color="auto"/>
              <w:left w:val="outset" w:sz="6" w:space="0" w:color="auto"/>
              <w:bottom w:val="outset" w:sz="6" w:space="0" w:color="auto"/>
              <w:right w:val="outset" w:sz="6" w:space="0" w:color="auto"/>
            </w:tcBorders>
            <w:hideMark/>
          </w:tcPr>
          <w:p w14:paraId="4EAFA4EB" w14:textId="77777777" w:rsidR="00416C1E" w:rsidRPr="00A614A4" w:rsidRDefault="00416C1E" w:rsidP="00447057">
            <w:pPr>
              <w:pStyle w:val="ListParagraph"/>
              <w:widowControl/>
              <w:numPr>
                <w:ilvl w:val="0"/>
                <w:numId w:val="12"/>
              </w:numPr>
              <w:tabs>
                <w:tab w:val="left" w:pos="377"/>
              </w:tabs>
              <w:spacing w:after="0" w:line="240" w:lineRule="auto"/>
              <w:ind w:left="-48" w:firstLine="48"/>
              <w:jc w:val="both"/>
              <w:rPr>
                <w:rFonts w:ascii="Times New Roman" w:eastAsia="Times New Roman" w:hAnsi="Times New Roman"/>
                <w:sz w:val="28"/>
                <w:szCs w:val="28"/>
                <w:lang w:eastAsia="lv-LV"/>
              </w:rPr>
            </w:pPr>
            <w:r w:rsidRPr="00A614A4">
              <w:rPr>
                <w:rFonts w:ascii="Times New Roman" w:hAnsi="Times New Roman"/>
                <w:sz w:val="28"/>
                <w:szCs w:val="28"/>
              </w:rPr>
              <w:t xml:space="preserve">Atbilstoši Ministru kabineta </w:t>
            </w:r>
            <w:r w:rsidRPr="00A614A4">
              <w:rPr>
                <w:rFonts w:ascii="Times New Roman" w:eastAsia="Times New Roman" w:hAnsi="Times New Roman"/>
                <w:bCs/>
                <w:sz w:val="28"/>
                <w:szCs w:val="28"/>
                <w:lang w:eastAsia="lv-LV"/>
              </w:rPr>
              <w:t>2016.gada 26.janvāra sēdes</w:t>
            </w:r>
            <w:r w:rsidRPr="00A614A4">
              <w:rPr>
                <w:rFonts w:ascii="Times New Roman" w:hAnsi="Times New Roman"/>
                <w:sz w:val="28"/>
                <w:szCs w:val="28"/>
              </w:rPr>
              <w:t xml:space="preserve"> protokola </w:t>
            </w:r>
            <w:r w:rsidRPr="00A614A4">
              <w:rPr>
                <w:rFonts w:ascii="Times New Roman" w:eastAsia="Times New Roman" w:hAnsi="Times New Roman"/>
                <w:noProof/>
                <w:sz w:val="28"/>
                <w:szCs w:val="28"/>
                <w:lang w:eastAsia="lv-LV"/>
              </w:rPr>
              <w:t>Nr. 4, 91. §</w:t>
            </w:r>
            <w:r w:rsidRPr="00A614A4">
              <w:rPr>
                <w:rFonts w:ascii="Times New Roman" w:eastAsia="Times New Roman" w:hAnsi="Times New Roman"/>
                <w:bCs/>
                <w:sz w:val="28"/>
                <w:szCs w:val="28"/>
                <w:lang w:eastAsia="lv-LV"/>
              </w:rPr>
              <w:t xml:space="preserve"> “</w:t>
            </w:r>
            <w:r w:rsidRPr="00A614A4">
              <w:rPr>
                <w:rFonts w:ascii="Times New Roman" w:eastAsia="Times New Roman" w:hAnsi="Times New Roman"/>
                <w:sz w:val="28"/>
                <w:szCs w:val="28"/>
                <w:lang w:eastAsia="lv-LV"/>
              </w:rPr>
              <w:t xml:space="preserve">Informatīvais ziņojums "Par Saeimas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izvērtējumu”” (turpmāk  - protokollēmums) </w:t>
            </w:r>
            <w:r w:rsidRPr="00A614A4">
              <w:rPr>
                <w:rFonts w:ascii="Times New Roman" w:hAnsi="Times New Roman"/>
                <w:sz w:val="28"/>
                <w:szCs w:val="28"/>
              </w:rPr>
              <w:t xml:space="preserve"> 2. punktam </w:t>
            </w:r>
            <w:r w:rsidRPr="00A614A4">
              <w:rPr>
                <w:rFonts w:ascii="Times New Roman" w:eastAsia="Times New Roman" w:hAnsi="Times New Roman"/>
                <w:sz w:val="28"/>
                <w:szCs w:val="28"/>
                <w:lang w:eastAsia="lv-LV"/>
              </w:rPr>
              <w:t xml:space="preserve">ministrijām un citām atbildīgajām institūcijām tām piešķirto budžeta līdzekļu ietvaros nodrošināt informatīvajā </w:t>
            </w:r>
            <w:r w:rsidRPr="00A614A4">
              <w:rPr>
                <w:rFonts w:ascii="Times New Roman" w:eastAsia="Times New Roman" w:hAnsi="Times New Roman"/>
                <w:sz w:val="28"/>
                <w:szCs w:val="28"/>
                <w:lang w:eastAsia="lv-LV"/>
              </w:rPr>
              <w:lastRenderedPageBreak/>
              <w:t>ziņojumā ietverto uzdevumu apkopojumā paredzēto pasākumu izpildi noteiktajos termiņos.</w:t>
            </w:r>
          </w:p>
          <w:p w14:paraId="4356AEF3" w14:textId="3F1D62AF" w:rsidR="00416C1E" w:rsidRPr="00EF3967" w:rsidRDefault="00416C1E" w:rsidP="00EF3967">
            <w:pPr>
              <w:pStyle w:val="ListParagraph"/>
              <w:numPr>
                <w:ilvl w:val="0"/>
                <w:numId w:val="12"/>
              </w:numPr>
              <w:tabs>
                <w:tab w:val="left" w:pos="377"/>
              </w:tabs>
              <w:autoSpaceDE w:val="0"/>
              <w:autoSpaceDN w:val="0"/>
              <w:adjustRightInd w:val="0"/>
              <w:spacing w:after="0" w:line="240" w:lineRule="auto"/>
              <w:ind w:left="-48" w:firstLine="48"/>
              <w:jc w:val="both"/>
              <w:rPr>
                <w:rFonts w:ascii="Times New Roman" w:eastAsia="Times New Roman" w:hAnsi="Times New Roman"/>
                <w:bCs/>
                <w:sz w:val="28"/>
                <w:szCs w:val="28"/>
              </w:rPr>
            </w:pPr>
            <w:r w:rsidRPr="00A614A4">
              <w:rPr>
                <w:rFonts w:ascii="Times New Roman" w:eastAsia="Times New Roman" w:hAnsi="Times New Roman"/>
                <w:sz w:val="28"/>
                <w:szCs w:val="28"/>
                <w:lang w:eastAsia="lv-LV"/>
              </w:rPr>
              <w:t xml:space="preserve">Informatīvā ziņojuma uzdevumu apkopojuma 10.2.1.uzdevums paredz Izglītības un zinātnes ministrijai </w:t>
            </w:r>
            <w:r w:rsidRPr="00A614A4">
              <w:rPr>
                <w:rFonts w:ascii="Times New Roman" w:eastAsia="Times New Roman" w:hAnsi="Times New Roman"/>
                <w:bCs/>
                <w:sz w:val="28"/>
                <w:szCs w:val="28"/>
              </w:rPr>
              <w:t>līdz 2017.gada 31.decembrim iesniegt Ministru kabinetā informatīvo ziņojumu par iespēju samazināt vispārizglītojošo studiju kursu apjomu kredītpunktos, ko paredz Ministru kabineta 2001.gada 20.marta noteikumi Nr.141 “Noteikumi par pirmā līmeņa profesionālās augstākās izglītības valsts standartu” un Ministru kabineta 2014.gada 26.augusta noteikumi Nr.512 “Noteikumi par otrā līmeņa profesionālās augstākās izglītības valsts standartu”</w:t>
            </w:r>
            <w:r w:rsidR="00D6418E" w:rsidRPr="00A614A4">
              <w:rPr>
                <w:rFonts w:ascii="Times New Roman" w:eastAsia="Times New Roman" w:hAnsi="Times New Roman"/>
                <w:bCs/>
                <w:sz w:val="28"/>
                <w:szCs w:val="28"/>
              </w:rPr>
              <w:t xml:space="preserve"> </w:t>
            </w:r>
            <w:r w:rsidR="00D6418E" w:rsidRPr="00EF3967">
              <w:rPr>
                <w:rFonts w:ascii="Times New Roman" w:eastAsia="Times New Roman" w:hAnsi="Times New Roman"/>
                <w:bCs/>
                <w:sz w:val="28"/>
                <w:szCs w:val="28"/>
              </w:rPr>
              <w:t xml:space="preserve">(turpmāk – </w:t>
            </w:r>
            <w:r w:rsidR="00EF3967">
              <w:rPr>
                <w:rFonts w:ascii="Times New Roman" w:eastAsia="Times New Roman" w:hAnsi="Times New Roman"/>
                <w:bCs/>
                <w:sz w:val="28"/>
                <w:szCs w:val="28"/>
              </w:rPr>
              <w:t>ministrijas uzdevums</w:t>
            </w:r>
            <w:r w:rsidR="00D6418E" w:rsidRPr="00EF3967">
              <w:rPr>
                <w:rFonts w:ascii="Times New Roman" w:eastAsia="Times New Roman" w:hAnsi="Times New Roman"/>
                <w:bCs/>
                <w:sz w:val="28"/>
                <w:szCs w:val="28"/>
              </w:rPr>
              <w:t>)</w:t>
            </w:r>
            <w:r w:rsidR="00447057" w:rsidRPr="00EF3967">
              <w:rPr>
                <w:rFonts w:ascii="Times New Roman" w:eastAsia="Times New Roman" w:hAnsi="Times New Roman"/>
                <w:bCs/>
                <w:sz w:val="28"/>
                <w:szCs w:val="28"/>
              </w:rPr>
              <w:t>.</w:t>
            </w:r>
          </w:p>
          <w:p w14:paraId="6F828979" w14:textId="77777777" w:rsidR="00D1721C" w:rsidRPr="00A614A4" w:rsidRDefault="00D1721C" w:rsidP="00D1721C">
            <w:pPr>
              <w:widowControl/>
              <w:spacing w:after="0" w:line="240" w:lineRule="auto"/>
              <w:ind w:left="-48"/>
              <w:jc w:val="both"/>
              <w:rPr>
                <w:rFonts w:ascii="Times New Roman" w:hAnsi="Times New Roman"/>
                <w:sz w:val="28"/>
                <w:szCs w:val="28"/>
              </w:rPr>
            </w:pPr>
          </w:p>
          <w:p w14:paraId="73237223" w14:textId="3F28818D" w:rsidR="00D53FF1" w:rsidRDefault="00EF3967" w:rsidP="00327E1D">
            <w:pPr>
              <w:spacing w:after="0" w:line="240" w:lineRule="auto"/>
              <w:jc w:val="both"/>
              <w:rPr>
                <w:rFonts w:ascii="Times New Roman" w:hAnsi="Times New Roman"/>
                <w:sz w:val="28"/>
                <w:szCs w:val="28"/>
              </w:rPr>
            </w:pPr>
            <w:r w:rsidRPr="00D53FF1">
              <w:rPr>
                <w:rFonts w:ascii="Times New Roman" w:hAnsi="Times New Roman"/>
                <w:sz w:val="28"/>
                <w:szCs w:val="28"/>
              </w:rPr>
              <w:t>Izvērtējot ministrijas</w:t>
            </w:r>
            <w:r w:rsidR="00327E1D" w:rsidRPr="00D53FF1">
              <w:rPr>
                <w:rFonts w:ascii="Times New Roman" w:hAnsi="Times New Roman"/>
                <w:sz w:val="28"/>
                <w:szCs w:val="28"/>
              </w:rPr>
              <w:t xml:space="preserve"> uzdevumu </w:t>
            </w:r>
            <w:r w:rsidRPr="00D53FF1">
              <w:rPr>
                <w:rFonts w:ascii="Times New Roman" w:hAnsi="Times New Roman"/>
                <w:sz w:val="28"/>
                <w:szCs w:val="28"/>
              </w:rPr>
              <w:t xml:space="preserve">par </w:t>
            </w:r>
            <w:r w:rsidRPr="00D53FF1">
              <w:rPr>
                <w:rFonts w:ascii="Times New Roman" w:eastAsia="Times New Roman" w:hAnsi="Times New Roman"/>
                <w:bCs/>
                <w:sz w:val="28"/>
                <w:szCs w:val="28"/>
              </w:rPr>
              <w:t xml:space="preserve">iespēju samazināt vispārizglītojošo studiju kursu apjomu kredītpunktos, ministrija </w:t>
            </w:r>
            <w:r w:rsidR="00D53FF1" w:rsidRPr="00D53FF1">
              <w:rPr>
                <w:rFonts w:ascii="Times New Roman" w:eastAsia="Times New Roman" w:hAnsi="Times New Roman"/>
                <w:bCs/>
                <w:sz w:val="28"/>
                <w:szCs w:val="28"/>
              </w:rPr>
              <w:t>secināja</w:t>
            </w:r>
            <w:r w:rsidRPr="00D53FF1">
              <w:rPr>
                <w:rFonts w:ascii="Times New Roman" w:eastAsia="Times New Roman" w:hAnsi="Times New Roman"/>
                <w:bCs/>
                <w:sz w:val="28"/>
                <w:szCs w:val="28"/>
              </w:rPr>
              <w:t xml:space="preserve">, ka jautājuma būtība </w:t>
            </w:r>
            <w:r w:rsidR="00D53FF1">
              <w:rPr>
                <w:rFonts w:ascii="Times New Roman" w:eastAsia="Times New Roman" w:hAnsi="Times New Roman"/>
                <w:bCs/>
                <w:sz w:val="28"/>
                <w:szCs w:val="28"/>
              </w:rPr>
              <w:t>ir ne</w:t>
            </w:r>
            <w:r w:rsidRPr="00D53FF1">
              <w:rPr>
                <w:rFonts w:ascii="Times New Roman" w:eastAsia="Times New Roman" w:hAnsi="Times New Roman"/>
                <w:bCs/>
                <w:sz w:val="28"/>
                <w:szCs w:val="28"/>
              </w:rPr>
              <w:t xml:space="preserve"> tikai programmas un mācību kursu (vispārizglītojošie un nozares) apjoma, kas izte</w:t>
            </w:r>
            <w:r w:rsidR="00327E1D" w:rsidRPr="00D53FF1">
              <w:rPr>
                <w:rFonts w:ascii="Times New Roman" w:eastAsia="Times New Roman" w:hAnsi="Times New Roman"/>
                <w:bCs/>
                <w:sz w:val="28"/>
                <w:szCs w:val="28"/>
              </w:rPr>
              <w:t xml:space="preserve">ikts kredītpunktos, </w:t>
            </w:r>
            <w:r w:rsidRPr="00D53FF1">
              <w:rPr>
                <w:rFonts w:ascii="Times New Roman" w:eastAsia="Times New Roman" w:hAnsi="Times New Roman"/>
                <w:bCs/>
                <w:sz w:val="28"/>
                <w:szCs w:val="28"/>
              </w:rPr>
              <w:t>sad</w:t>
            </w:r>
            <w:r w:rsidR="00327E1D" w:rsidRPr="00D53FF1">
              <w:rPr>
                <w:rFonts w:ascii="Times New Roman" w:eastAsia="Times New Roman" w:hAnsi="Times New Roman"/>
                <w:bCs/>
                <w:sz w:val="28"/>
                <w:szCs w:val="28"/>
              </w:rPr>
              <w:t>alījuma proporcijā</w:t>
            </w:r>
            <w:r w:rsidRPr="00D53FF1">
              <w:rPr>
                <w:rFonts w:ascii="Times New Roman" w:eastAsia="Times New Roman" w:hAnsi="Times New Roman"/>
                <w:bCs/>
                <w:sz w:val="28"/>
                <w:szCs w:val="28"/>
              </w:rPr>
              <w:t xml:space="preserve">, </w:t>
            </w:r>
            <w:r w:rsidR="00327E1D" w:rsidRPr="00D53FF1">
              <w:rPr>
                <w:rFonts w:ascii="Times New Roman" w:eastAsia="Times New Roman" w:hAnsi="Times New Roman"/>
                <w:bCs/>
                <w:sz w:val="28"/>
                <w:szCs w:val="28"/>
              </w:rPr>
              <w:t>bet</w:t>
            </w:r>
            <w:r w:rsidR="00327E1D" w:rsidRPr="00D53FF1">
              <w:rPr>
                <w:rFonts w:ascii="Times New Roman" w:hAnsi="Times New Roman"/>
                <w:sz w:val="28"/>
                <w:szCs w:val="28"/>
              </w:rPr>
              <w:t xml:space="preserve"> gan </w:t>
            </w:r>
            <w:r w:rsidR="00D53FF1">
              <w:rPr>
                <w:rFonts w:ascii="Times New Roman" w:hAnsi="Times New Roman"/>
                <w:sz w:val="28"/>
                <w:szCs w:val="28"/>
              </w:rPr>
              <w:t>vēl šādu apstākļu esamībai, kas ir pārskatāmi normatīvo aktu ietvaros:</w:t>
            </w:r>
          </w:p>
          <w:p w14:paraId="35715458" w14:textId="1EEBD991" w:rsidR="00EF3967" w:rsidRPr="00D53FF1" w:rsidRDefault="00D53FF1" w:rsidP="00327E1D">
            <w:pPr>
              <w:spacing w:after="0" w:line="240" w:lineRule="auto"/>
              <w:jc w:val="both"/>
              <w:rPr>
                <w:rFonts w:ascii="Times New Roman" w:hAnsi="Times New Roman"/>
                <w:color w:val="262626"/>
                <w:sz w:val="28"/>
                <w:szCs w:val="28"/>
                <w:shd w:val="clear" w:color="auto" w:fill="FFFFFF"/>
              </w:rPr>
            </w:pPr>
            <w:r>
              <w:rPr>
                <w:rFonts w:ascii="Times New Roman" w:hAnsi="Times New Roman"/>
                <w:sz w:val="28"/>
                <w:szCs w:val="28"/>
              </w:rPr>
              <w:t>1)</w:t>
            </w:r>
            <w:r w:rsidR="00327E1D" w:rsidRPr="00D53FF1">
              <w:rPr>
                <w:rFonts w:ascii="Times New Roman" w:hAnsi="Times New Roman"/>
                <w:sz w:val="28"/>
                <w:szCs w:val="28"/>
              </w:rPr>
              <w:t xml:space="preserve"> nepieciešams pārskatīt profesionālās speci</w:t>
            </w:r>
            <w:r>
              <w:rPr>
                <w:rFonts w:ascii="Times New Roman" w:hAnsi="Times New Roman"/>
                <w:sz w:val="28"/>
                <w:szCs w:val="28"/>
              </w:rPr>
              <w:t>alizācijas kursu satura izstrād</w:t>
            </w:r>
            <w:r w:rsidR="00327E1D" w:rsidRPr="00D53FF1">
              <w:rPr>
                <w:rFonts w:ascii="Times New Roman" w:hAnsi="Times New Roman"/>
                <w:sz w:val="28"/>
                <w:szCs w:val="28"/>
              </w:rPr>
              <w:t>i un šī satura</w:t>
            </w:r>
            <w:r>
              <w:rPr>
                <w:rFonts w:ascii="Times New Roman" w:hAnsi="Times New Roman"/>
                <w:sz w:val="28"/>
                <w:szCs w:val="28"/>
              </w:rPr>
              <w:t xml:space="preserve"> īstenošanas kvalitāt</w:t>
            </w:r>
            <w:r w:rsidR="00327E1D" w:rsidRPr="00D53FF1">
              <w:rPr>
                <w:rFonts w:ascii="Times New Roman" w:hAnsi="Times New Roman"/>
                <w:sz w:val="28"/>
                <w:szCs w:val="28"/>
              </w:rPr>
              <w:t>i attiecībā uz atbilstību nozares vajadzībām un profesijai izvirzītajām prasībām</w:t>
            </w:r>
            <w:r>
              <w:rPr>
                <w:rFonts w:ascii="Times New Roman" w:hAnsi="Times New Roman"/>
                <w:sz w:val="28"/>
                <w:szCs w:val="28"/>
              </w:rPr>
              <w:t xml:space="preserve">, ievērojot, ka </w:t>
            </w:r>
            <w:r w:rsidR="00327E1D" w:rsidRPr="00D53FF1">
              <w:rPr>
                <w:rFonts w:ascii="Times New Roman" w:hAnsi="Times New Roman"/>
                <w:sz w:val="28"/>
                <w:szCs w:val="28"/>
              </w:rPr>
              <w:t xml:space="preserve">profesionālās </w:t>
            </w:r>
            <w:r w:rsidR="00EF3967" w:rsidRPr="00D53FF1">
              <w:rPr>
                <w:rFonts w:ascii="Times New Roman" w:hAnsi="Times New Roman"/>
                <w:sz w:val="28"/>
                <w:szCs w:val="28"/>
              </w:rPr>
              <w:t>augstākās izglītības studiju programmu absolventi saņem gan diplomu, kas dod iespējas turpināt studijas nākamajā līmenī, gan</w:t>
            </w:r>
            <w:r w:rsidR="00D509F2">
              <w:rPr>
                <w:rFonts w:ascii="Times New Roman" w:hAnsi="Times New Roman"/>
                <w:sz w:val="28"/>
                <w:szCs w:val="28"/>
              </w:rPr>
              <w:t xml:space="preserve"> kvalifikāciju</w:t>
            </w:r>
            <w:r w:rsidR="00EF3967" w:rsidRPr="00D53FF1">
              <w:rPr>
                <w:rFonts w:ascii="Times New Roman" w:hAnsi="Times New Roman"/>
                <w:sz w:val="28"/>
                <w:szCs w:val="28"/>
              </w:rPr>
              <w:t>, kas ir nepieciešam</w:t>
            </w:r>
            <w:r w:rsidR="00D509F2">
              <w:rPr>
                <w:rFonts w:ascii="Times New Roman" w:hAnsi="Times New Roman"/>
                <w:sz w:val="28"/>
                <w:szCs w:val="28"/>
              </w:rPr>
              <w:t>a</w:t>
            </w:r>
            <w:r w:rsidR="00EF3967" w:rsidRPr="00D53FF1">
              <w:rPr>
                <w:rFonts w:ascii="Times New Roman" w:hAnsi="Times New Roman"/>
                <w:sz w:val="28"/>
                <w:szCs w:val="28"/>
              </w:rPr>
              <w:t xml:space="preserve"> nodarbinātībai nozares profesijā. </w:t>
            </w:r>
            <w:r w:rsidR="00327E1D" w:rsidRPr="00D53FF1">
              <w:rPr>
                <w:rFonts w:ascii="Times New Roman" w:hAnsi="Times New Roman"/>
                <w:sz w:val="28"/>
                <w:szCs w:val="28"/>
              </w:rPr>
              <w:t xml:space="preserve">Līdz ar jāņem vērā, ka vispārizglītojošo mācību kurss sagatavo </w:t>
            </w:r>
            <w:r w:rsidRPr="00D53FF1">
              <w:rPr>
                <w:rFonts w:ascii="Times New Roman" w:hAnsi="Times New Roman"/>
                <w:sz w:val="28"/>
                <w:szCs w:val="28"/>
              </w:rPr>
              <w:t xml:space="preserve">personu </w:t>
            </w:r>
            <w:r>
              <w:rPr>
                <w:rFonts w:ascii="Times New Roman" w:hAnsi="Times New Roman"/>
                <w:sz w:val="28"/>
                <w:szCs w:val="28"/>
              </w:rPr>
              <w:t>nākamajam izglītības līmenim;</w:t>
            </w:r>
          </w:p>
          <w:p w14:paraId="25FA27B3" w14:textId="0D2CB335" w:rsidR="006806C3" w:rsidRPr="00A614A4" w:rsidRDefault="00D53FF1" w:rsidP="00D04379">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2) </w:t>
            </w:r>
            <w:r w:rsidR="00D6418E" w:rsidRPr="00A614A4">
              <w:rPr>
                <w:rFonts w:ascii="Times New Roman" w:eastAsia="Times New Roman" w:hAnsi="Times New Roman"/>
                <w:bCs/>
                <w:sz w:val="28"/>
                <w:szCs w:val="28"/>
              </w:rPr>
              <w:t xml:space="preserve">jānodrošina </w:t>
            </w:r>
            <w:r w:rsidR="00D6418E" w:rsidRPr="00A614A4">
              <w:rPr>
                <w:rFonts w:ascii="Times New Roman" w:eastAsia="Times New Roman" w:hAnsi="Times New Roman"/>
                <w:color w:val="000000" w:themeColor="text1"/>
                <w:sz w:val="28"/>
                <w:szCs w:val="28"/>
              </w:rPr>
              <w:t>augstākās profesionālās izglītības studiju programmu satura atbilstība nozaru attīstības vajadzībām kvalificē</w:t>
            </w:r>
            <w:r>
              <w:rPr>
                <w:rFonts w:ascii="Times New Roman" w:eastAsia="Times New Roman" w:hAnsi="Times New Roman"/>
                <w:color w:val="000000" w:themeColor="text1"/>
                <w:sz w:val="28"/>
                <w:szCs w:val="28"/>
              </w:rPr>
              <w:t xml:space="preserve">ta cilvēkresursu sagatavošanai, ievērojot, ka </w:t>
            </w:r>
            <w:r w:rsidR="006806C3" w:rsidRPr="00A614A4">
              <w:rPr>
                <w:rFonts w:ascii="Times New Roman" w:eastAsia="Times New Roman" w:hAnsi="Times New Roman"/>
                <w:color w:val="000000" w:themeColor="text1"/>
                <w:sz w:val="28"/>
                <w:szCs w:val="28"/>
              </w:rPr>
              <w:t>pašlaik notiek virkne</w:t>
            </w:r>
            <w:r>
              <w:rPr>
                <w:rFonts w:ascii="Times New Roman" w:eastAsia="Times New Roman" w:hAnsi="Times New Roman"/>
                <w:color w:val="000000" w:themeColor="text1"/>
                <w:sz w:val="28"/>
                <w:szCs w:val="28"/>
              </w:rPr>
              <w:t xml:space="preserve"> savstarpēji saistītu</w:t>
            </w:r>
            <w:r w:rsidR="006806C3" w:rsidRPr="00A614A4">
              <w:rPr>
                <w:rFonts w:ascii="Times New Roman" w:eastAsia="Times New Roman" w:hAnsi="Times New Roman"/>
                <w:color w:val="000000" w:themeColor="text1"/>
                <w:sz w:val="28"/>
                <w:szCs w:val="28"/>
              </w:rPr>
              <w:t xml:space="preserve"> profesionālās izglītī</w:t>
            </w:r>
            <w:r>
              <w:rPr>
                <w:rFonts w:ascii="Times New Roman" w:eastAsia="Times New Roman" w:hAnsi="Times New Roman"/>
                <w:color w:val="000000" w:themeColor="text1"/>
                <w:sz w:val="28"/>
                <w:szCs w:val="28"/>
              </w:rPr>
              <w:t>bas sistēmas pilnveides pasākumu</w:t>
            </w:r>
            <w:r w:rsidR="006806C3" w:rsidRPr="00A614A4">
              <w:rPr>
                <w:rFonts w:ascii="Times New Roman" w:eastAsia="Times New Roman" w:hAnsi="Times New Roman"/>
                <w:color w:val="000000" w:themeColor="text1"/>
                <w:sz w:val="28"/>
                <w:szCs w:val="28"/>
              </w:rPr>
              <w:t>, kas vērsti uz nozaru loma</w:t>
            </w:r>
            <w:r w:rsidR="00A614A4" w:rsidRPr="00A614A4">
              <w:rPr>
                <w:rFonts w:ascii="Times New Roman" w:eastAsia="Times New Roman" w:hAnsi="Times New Roman"/>
                <w:color w:val="000000" w:themeColor="text1"/>
                <w:sz w:val="28"/>
                <w:szCs w:val="28"/>
              </w:rPr>
              <w:t>s (</w:t>
            </w:r>
            <w:r w:rsidR="00A614A4" w:rsidRPr="00A614A4">
              <w:rPr>
                <w:rFonts w:ascii="Times New Roman" w:eastAsia="ArialMT" w:hAnsi="Times New Roman"/>
                <w:sz w:val="28"/>
                <w:szCs w:val="28"/>
              </w:rPr>
              <w:t>nozaru ekspertu padome</w:t>
            </w:r>
            <w:r w:rsidR="00A614A4" w:rsidRPr="00A614A4">
              <w:rPr>
                <w:sz w:val="28"/>
                <w:szCs w:val="28"/>
              </w:rPr>
              <w:t>s</w:t>
            </w:r>
            <w:r w:rsidR="00A614A4" w:rsidRPr="00A614A4">
              <w:rPr>
                <w:rFonts w:ascii="Times New Roman" w:eastAsia="Times New Roman" w:hAnsi="Times New Roman"/>
                <w:color w:val="000000" w:themeColor="text1"/>
                <w:sz w:val="28"/>
                <w:szCs w:val="28"/>
              </w:rPr>
              <w:t xml:space="preserve">, </w:t>
            </w:r>
            <w:r w:rsidR="00A614A4" w:rsidRPr="00A614A4">
              <w:rPr>
                <w:rFonts w:ascii="Times New Roman" w:eastAsia="ArialMT" w:hAnsi="Times New Roman"/>
                <w:sz w:val="28"/>
                <w:szCs w:val="28"/>
              </w:rPr>
              <w:t xml:space="preserve">Nacionālās trīspusējās sadarbības padomes Profesionālās izglītības un nodarbinātības trīspusējās sadarbības apakšpadome (PINTSA), </w:t>
            </w:r>
            <w:r w:rsidR="00A614A4" w:rsidRPr="00A614A4">
              <w:rPr>
                <w:rFonts w:ascii="Times New Roman" w:eastAsia="Times New Roman" w:hAnsi="Times New Roman"/>
                <w:color w:val="000000" w:themeColor="text1"/>
                <w:sz w:val="28"/>
                <w:szCs w:val="28"/>
              </w:rPr>
              <w:t>nozares profesionālās organizācijas</w:t>
            </w:r>
            <w:r w:rsidR="00A614A4" w:rsidRPr="00A614A4">
              <w:rPr>
                <w:rFonts w:ascii="Times New Roman" w:eastAsia="ArialMT" w:hAnsi="Times New Roman"/>
                <w:sz w:val="28"/>
                <w:szCs w:val="28"/>
              </w:rPr>
              <w:t>)</w:t>
            </w:r>
            <w:r w:rsidR="006806C3" w:rsidRPr="00A614A4">
              <w:rPr>
                <w:rFonts w:ascii="Times New Roman" w:eastAsia="Times New Roman" w:hAnsi="Times New Roman"/>
                <w:color w:val="000000" w:themeColor="text1"/>
                <w:sz w:val="28"/>
                <w:szCs w:val="28"/>
              </w:rPr>
              <w:t xml:space="preserve"> stiprināšanu profesionālajā izglītībā, tostarp augs</w:t>
            </w:r>
            <w:r>
              <w:rPr>
                <w:rFonts w:ascii="Times New Roman" w:eastAsia="Times New Roman" w:hAnsi="Times New Roman"/>
                <w:color w:val="000000" w:themeColor="text1"/>
                <w:sz w:val="28"/>
                <w:szCs w:val="28"/>
              </w:rPr>
              <w:t>tākajā profesionālajā izglītībā, tas ir,</w:t>
            </w:r>
            <w:r w:rsidR="006806C3" w:rsidRPr="00A614A4">
              <w:rPr>
                <w:rFonts w:ascii="Times New Roman" w:eastAsia="Times New Roman" w:hAnsi="Times New Roman"/>
                <w:color w:val="000000" w:themeColor="text1"/>
                <w:sz w:val="28"/>
                <w:szCs w:val="28"/>
              </w:rPr>
              <w:t xml:space="preserve"> ir izveidotas nozaru ekspertu </w:t>
            </w:r>
            <w:r w:rsidR="006806C3" w:rsidRPr="00A614A4">
              <w:rPr>
                <w:rFonts w:ascii="Times New Roman" w:eastAsia="Times New Roman" w:hAnsi="Times New Roman"/>
                <w:color w:val="000000" w:themeColor="text1"/>
                <w:sz w:val="28"/>
                <w:szCs w:val="28"/>
              </w:rPr>
              <w:lastRenderedPageBreak/>
              <w:t>padomes, kuru pamatfunkcijas ir nostiprinātas Profesionālās izglītības likumā; nozaru ekspertu padomju darbība tiek institucionalizēta, izstrādājot un pieņemot atbilstošus Ministru kabineta noteikumus; saikne ar nozarēm tiek stiprināta, pilnveidojot kārtību, kādā tiek izstrādātas, licencētas, īstenotas un akreditētas profesionā</w:t>
            </w:r>
            <w:r w:rsidR="00534914">
              <w:rPr>
                <w:rFonts w:ascii="Times New Roman" w:eastAsia="Times New Roman" w:hAnsi="Times New Roman"/>
                <w:color w:val="000000" w:themeColor="text1"/>
                <w:sz w:val="28"/>
                <w:szCs w:val="28"/>
              </w:rPr>
              <w:t>lās studiju programmas;</w:t>
            </w:r>
          </w:p>
          <w:p w14:paraId="74AF58B0" w14:textId="682E8BDF" w:rsidR="0048295D" w:rsidRPr="00624F4B" w:rsidRDefault="00534914" w:rsidP="0048295D">
            <w:pPr>
              <w:spacing w:after="0" w:line="240" w:lineRule="auto"/>
              <w:jc w:val="both"/>
              <w:rPr>
                <w:rFonts w:ascii="Times New Roman" w:eastAsia="ArialMT" w:hAnsi="Times New Roman"/>
                <w:sz w:val="28"/>
                <w:szCs w:val="28"/>
              </w:rPr>
            </w:pPr>
            <w:r>
              <w:rPr>
                <w:rFonts w:ascii="Times New Roman" w:eastAsia="Times New Roman" w:hAnsi="Times New Roman"/>
                <w:color w:val="000000" w:themeColor="text1"/>
                <w:sz w:val="28"/>
                <w:szCs w:val="28"/>
              </w:rPr>
              <w:t xml:space="preserve">3) </w:t>
            </w:r>
            <w:r w:rsidR="0048295D" w:rsidRPr="00624F4B">
              <w:rPr>
                <w:rFonts w:ascii="Times New Roman" w:eastAsia="Times New Roman" w:hAnsi="Times New Roman"/>
                <w:color w:val="000000" w:themeColor="text1"/>
                <w:sz w:val="28"/>
                <w:szCs w:val="28"/>
              </w:rPr>
              <w:t xml:space="preserve">Pasaules Banku ekspertu ieteikumi par augstākās izglītības institūciju </w:t>
            </w:r>
            <w:r w:rsidR="0048295D" w:rsidRPr="00624F4B">
              <w:rPr>
                <w:rFonts w:ascii="Times New Roman" w:eastAsia="ArialMT" w:hAnsi="Times New Roman"/>
                <w:sz w:val="28"/>
                <w:szCs w:val="28"/>
              </w:rPr>
              <w:t xml:space="preserve">sadarbības ar nozari pilnveidi ir iestrādāti Eiropas Sociālā fonda  </w:t>
            </w:r>
            <w:hyperlink r:id="rId7" w:history="1">
              <w:r w:rsidR="0048295D" w:rsidRPr="00624F4B">
                <w:rPr>
                  <w:rStyle w:val="Hyperlink"/>
                  <w:rFonts w:ascii="Times New Roman" w:eastAsia="Times New Roman" w:hAnsi="Times New Roman"/>
                  <w:color w:val="auto"/>
                  <w:sz w:val="28"/>
                  <w:szCs w:val="28"/>
                  <w:u w:val="none"/>
                </w:rPr>
                <w:t>8.2.2. specifiskā atbalsta mērķa “Stiprināt augstākās izglītības institūciju akadēmisko personālu stratēģiskās specializācijas jomās”</w:t>
              </w:r>
            </w:hyperlink>
            <w:r w:rsidR="0048295D" w:rsidRPr="00624F4B">
              <w:rPr>
                <w:rStyle w:val="FootnoteReference"/>
                <w:rFonts w:ascii="Times New Roman" w:eastAsia="Times New Roman" w:hAnsi="Times New Roman"/>
                <w:sz w:val="28"/>
                <w:szCs w:val="28"/>
              </w:rPr>
              <w:footnoteReference w:id="1"/>
            </w:r>
            <w:r w:rsidR="0048295D" w:rsidRPr="00624F4B">
              <w:rPr>
                <w:rFonts w:ascii="Times New Roman" w:eastAsia="Times New Roman" w:hAnsi="Times New Roman"/>
                <w:sz w:val="28"/>
                <w:szCs w:val="28"/>
              </w:rPr>
              <w:t xml:space="preserve"> un </w:t>
            </w:r>
            <w:r w:rsidR="0048295D" w:rsidRPr="00624F4B">
              <w:rPr>
                <w:rStyle w:val="Hyperlink"/>
                <w:rFonts w:ascii="Times New Roman" w:eastAsia="Times New Roman" w:hAnsi="Times New Roman"/>
                <w:color w:val="auto"/>
                <w:sz w:val="28"/>
                <w:szCs w:val="28"/>
                <w:u w:val="none"/>
              </w:rPr>
              <w:t>8.2.3. specifiskā atbalsta mērķa “Nodrošināt labāku pārvaldību augstākās izglītības institūcijās”</w:t>
            </w:r>
            <w:r w:rsidR="0048295D" w:rsidRPr="00624F4B">
              <w:rPr>
                <w:rStyle w:val="FootnoteReference"/>
                <w:rFonts w:ascii="Times New Roman" w:eastAsia="ArialMT" w:hAnsi="Times New Roman"/>
                <w:sz w:val="28"/>
                <w:szCs w:val="28"/>
              </w:rPr>
              <w:footnoteReference w:id="2"/>
            </w:r>
            <w:r w:rsidR="00624F4B" w:rsidRPr="00624F4B">
              <w:rPr>
                <w:rFonts w:ascii="Times New Roman" w:eastAsia="Times New Roman" w:hAnsi="Times New Roman"/>
                <w:sz w:val="28"/>
                <w:szCs w:val="28"/>
              </w:rPr>
              <w:t xml:space="preserve">, veicot </w:t>
            </w:r>
            <w:r w:rsidR="0048295D" w:rsidRPr="00624F4B">
              <w:rPr>
                <w:rFonts w:ascii="Times New Roman" w:eastAsia="ArialMT" w:hAnsi="Times New Roman"/>
                <w:sz w:val="28"/>
                <w:szCs w:val="28"/>
              </w:rPr>
              <w:t>studiju virzienā ietverto studiju programmu struktūras analīzi un priekšlikumu izstrādi studiju programmu pārstrukturizācijai un konsolidācijai; studiju virzienā ietverto studiju programmu satura analīzi, atbilstības novērtējumu nozares attīstības vajadzībām, tostarp nozarei nepieciešamajām profesionālajām kompetencēm, un priekšlikumu izstrādi studiju programmu satura pilnveidei; inovatīvu mācību metožu, studiju kursu un prakses izstrādi; starptautisku studiju programmu satura inovācijas konferenču organizēšanu Latvijā, kā arī nozares cilvēkresursu attīstības vajadzību un prasmju izpēti un prognozēšanu.</w:t>
            </w:r>
          </w:p>
          <w:p w14:paraId="05EA5C6A" w14:textId="77777777" w:rsidR="0048295D" w:rsidRPr="00A614A4" w:rsidRDefault="0048295D" w:rsidP="00D04379">
            <w:pPr>
              <w:spacing w:after="0" w:line="240" w:lineRule="auto"/>
              <w:jc w:val="both"/>
              <w:rPr>
                <w:rFonts w:ascii="Times New Roman" w:eastAsia="Times New Roman" w:hAnsi="Times New Roman"/>
                <w:color w:val="000000" w:themeColor="text1"/>
                <w:sz w:val="28"/>
                <w:szCs w:val="28"/>
              </w:rPr>
            </w:pPr>
          </w:p>
          <w:p w14:paraId="0AE80762" w14:textId="765189E8" w:rsidR="00D04379" w:rsidRPr="00A614A4" w:rsidRDefault="006806C3" w:rsidP="00D04379">
            <w:pPr>
              <w:spacing w:after="0" w:line="240" w:lineRule="auto"/>
              <w:jc w:val="both"/>
              <w:rPr>
                <w:rFonts w:ascii="Times New Roman" w:eastAsia="Times New Roman" w:hAnsi="Times New Roman"/>
                <w:color w:val="000000" w:themeColor="text1"/>
                <w:sz w:val="28"/>
                <w:szCs w:val="28"/>
              </w:rPr>
            </w:pPr>
            <w:r w:rsidRPr="00A614A4">
              <w:rPr>
                <w:rFonts w:ascii="Times New Roman" w:eastAsia="Times New Roman" w:hAnsi="Times New Roman"/>
                <w:color w:val="000000" w:themeColor="text1"/>
                <w:sz w:val="28"/>
                <w:szCs w:val="28"/>
              </w:rPr>
              <w:t>I</w:t>
            </w:r>
            <w:r w:rsidR="00D6418E" w:rsidRPr="00A614A4">
              <w:rPr>
                <w:rFonts w:ascii="Times New Roman" w:eastAsia="Times New Roman" w:hAnsi="Times New Roman"/>
                <w:color w:val="000000" w:themeColor="text1"/>
                <w:sz w:val="28"/>
                <w:szCs w:val="28"/>
              </w:rPr>
              <w:t xml:space="preserve">evērojot minēto, lai </w:t>
            </w:r>
            <w:r w:rsidRPr="00A614A4">
              <w:rPr>
                <w:rFonts w:ascii="Times New Roman" w:hAnsi="Times New Roman"/>
                <w:color w:val="262626"/>
                <w:sz w:val="28"/>
                <w:szCs w:val="28"/>
                <w:shd w:val="clear" w:color="auto" w:fill="FFFFFF"/>
              </w:rPr>
              <w:t xml:space="preserve">sekmīgi izpildītu </w:t>
            </w:r>
            <w:r w:rsidR="00534914">
              <w:rPr>
                <w:rFonts w:ascii="Times New Roman" w:hAnsi="Times New Roman"/>
                <w:color w:val="262626"/>
                <w:sz w:val="28"/>
                <w:szCs w:val="28"/>
                <w:shd w:val="clear" w:color="auto" w:fill="FFFFFF"/>
              </w:rPr>
              <w:t>ministrijas</w:t>
            </w:r>
            <w:r w:rsidRPr="00A614A4">
              <w:rPr>
                <w:rFonts w:ascii="Times New Roman" w:hAnsi="Times New Roman"/>
                <w:color w:val="262626"/>
                <w:sz w:val="28"/>
                <w:szCs w:val="28"/>
                <w:shd w:val="clear" w:color="auto" w:fill="FFFFFF"/>
              </w:rPr>
              <w:t xml:space="preserve"> uzdevumu vienkopus ir rūpīgi </w:t>
            </w:r>
            <w:r w:rsidRPr="00A614A4">
              <w:rPr>
                <w:rFonts w:ascii="Times New Roman" w:hAnsi="Times New Roman"/>
                <w:sz w:val="28"/>
                <w:szCs w:val="28"/>
              </w:rPr>
              <w:t xml:space="preserve">izvērtējami ne tikai </w:t>
            </w:r>
            <w:r w:rsidRPr="00A614A4">
              <w:rPr>
                <w:rFonts w:ascii="Times New Roman" w:hAnsi="Times New Roman"/>
                <w:bCs/>
                <w:sz w:val="28"/>
                <w:szCs w:val="28"/>
              </w:rPr>
              <w:t xml:space="preserve">izglītības standartu regulējošie normatīvi par </w:t>
            </w:r>
            <w:r w:rsidRPr="00A614A4">
              <w:rPr>
                <w:rFonts w:ascii="Times New Roman" w:hAnsi="Times New Roman"/>
                <w:sz w:val="28"/>
                <w:szCs w:val="28"/>
              </w:rPr>
              <w:t>vispārizglītojošo</w:t>
            </w:r>
            <w:r w:rsidR="00534914">
              <w:rPr>
                <w:rFonts w:ascii="Times New Roman" w:hAnsi="Times New Roman"/>
                <w:sz w:val="28"/>
                <w:szCs w:val="28"/>
              </w:rPr>
              <w:t xml:space="preserve"> mācību kursu kredītpunktu apjomu</w:t>
            </w:r>
            <w:r w:rsidR="00534914">
              <w:rPr>
                <w:rFonts w:ascii="Times New Roman" w:hAnsi="Times New Roman"/>
                <w:bCs/>
                <w:sz w:val="28"/>
                <w:szCs w:val="28"/>
              </w:rPr>
              <w:t xml:space="preserve"> studiju programmas ietvaros</w:t>
            </w:r>
            <w:r w:rsidRPr="00A614A4">
              <w:rPr>
                <w:rFonts w:ascii="Times New Roman" w:hAnsi="Times New Roman"/>
                <w:bCs/>
                <w:sz w:val="28"/>
                <w:szCs w:val="28"/>
              </w:rPr>
              <w:t xml:space="preserve">, bet arī </w:t>
            </w:r>
            <w:r w:rsidR="00D6418E" w:rsidRPr="00A614A4">
              <w:rPr>
                <w:rFonts w:ascii="Times New Roman" w:eastAsia="Times New Roman" w:hAnsi="Times New Roman"/>
                <w:color w:val="000000" w:themeColor="text1"/>
                <w:sz w:val="28"/>
                <w:szCs w:val="28"/>
              </w:rPr>
              <w:t xml:space="preserve">augstākās profesionālās izglītības saturu atbilstoši nozaru </w:t>
            </w:r>
            <w:r w:rsidRPr="00A614A4">
              <w:rPr>
                <w:rFonts w:ascii="Times New Roman" w:eastAsia="Times New Roman" w:hAnsi="Times New Roman"/>
                <w:color w:val="000000" w:themeColor="text1"/>
                <w:sz w:val="28"/>
                <w:szCs w:val="28"/>
              </w:rPr>
              <w:t xml:space="preserve">attīstības </w:t>
            </w:r>
            <w:r w:rsidR="00D6418E" w:rsidRPr="00A614A4">
              <w:rPr>
                <w:rFonts w:ascii="Times New Roman" w:eastAsia="Times New Roman" w:hAnsi="Times New Roman"/>
                <w:color w:val="000000" w:themeColor="text1"/>
                <w:sz w:val="28"/>
                <w:szCs w:val="28"/>
              </w:rPr>
              <w:t>vajadzībām</w:t>
            </w:r>
            <w:r w:rsidR="00624F4B">
              <w:rPr>
                <w:rFonts w:ascii="Times New Roman" w:eastAsia="Times New Roman" w:hAnsi="Times New Roman"/>
                <w:color w:val="000000" w:themeColor="text1"/>
                <w:sz w:val="28"/>
                <w:szCs w:val="28"/>
              </w:rPr>
              <w:t>, kura mērķis ir</w:t>
            </w:r>
            <w:r w:rsidRPr="00A614A4">
              <w:rPr>
                <w:rFonts w:ascii="Times New Roman" w:eastAsia="Times New Roman" w:hAnsi="Times New Roman"/>
                <w:color w:val="000000" w:themeColor="text1"/>
                <w:sz w:val="28"/>
                <w:szCs w:val="28"/>
              </w:rPr>
              <w:t xml:space="preserve"> kvalificētu </w:t>
            </w:r>
            <w:r w:rsidR="00624F4B">
              <w:rPr>
                <w:rFonts w:ascii="Times New Roman" w:eastAsia="Times New Roman" w:hAnsi="Times New Roman"/>
                <w:color w:val="000000" w:themeColor="text1"/>
                <w:sz w:val="28"/>
                <w:szCs w:val="28"/>
              </w:rPr>
              <w:t>cilvēkresursu sagatavošana</w:t>
            </w:r>
            <w:r w:rsidR="00534914">
              <w:rPr>
                <w:rFonts w:ascii="Times New Roman" w:eastAsia="Times New Roman" w:hAnsi="Times New Roman"/>
                <w:color w:val="000000" w:themeColor="text1"/>
                <w:sz w:val="28"/>
                <w:szCs w:val="28"/>
              </w:rPr>
              <w:t>, iesaistot</w:t>
            </w:r>
            <w:r w:rsidR="00A614A4" w:rsidRPr="00A614A4">
              <w:rPr>
                <w:rFonts w:ascii="Times New Roman" w:eastAsia="Times New Roman" w:hAnsi="Times New Roman"/>
                <w:color w:val="000000" w:themeColor="text1"/>
                <w:sz w:val="28"/>
                <w:szCs w:val="28"/>
              </w:rPr>
              <w:t xml:space="preserve"> </w:t>
            </w:r>
            <w:r w:rsidR="00534914">
              <w:rPr>
                <w:rFonts w:ascii="Times New Roman" w:eastAsia="Times New Roman" w:hAnsi="Times New Roman"/>
                <w:color w:val="000000" w:themeColor="text1"/>
                <w:sz w:val="28"/>
                <w:szCs w:val="28"/>
              </w:rPr>
              <w:t xml:space="preserve">un veidojot sadarbību ar </w:t>
            </w:r>
            <w:r w:rsidR="00534914">
              <w:rPr>
                <w:rFonts w:ascii="Times New Roman" w:eastAsia="ArialMT" w:hAnsi="Times New Roman"/>
                <w:sz w:val="28"/>
                <w:szCs w:val="28"/>
              </w:rPr>
              <w:t>nozaru ekspertu padomēm, nozaru organizācijām</w:t>
            </w:r>
            <w:r w:rsidR="00A614A4" w:rsidRPr="00A614A4">
              <w:rPr>
                <w:rFonts w:ascii="Times New Roman" w:eastAsia="Times New Roman" w:hAnsi="Times New Roman"/>
                <w:color w:val="000000" w:themeColor="text1"/>
                <w:sz w:val="28"/>
                <w:szCs w:val="28"/>
              </w:rPr>
              <w:t xml:space="preserve"> un </w:t>
            </w:r>
            <w:r w:rsidR="00A614A4" w:rsidRPr="00A614A4">
              <w:rPr>
                <w:rFonts w:ascii="Times New Roman" w:eastAsia="ArialMT" w:hAnsi="Times New Roman"/>
                <w:sz w:val="28"/>
                <w:szCs w:val="28"/>
              </w:rPr>
              <w:t>Nacionālās trīspusējās sadarbības padomes Profesionālās izglītības un nodarbinātības tr</w:t>
            </w:r>
            <w:r w:rsidR="00534914">
              <w:rPr>
                <w:rFonts w:ascii="Times New Roman" w:eastAsia="ArialMT" w:hAnsi="Times New Roman"/>
                <w:sz w:val="28"/>
                <w:szCs w:val="28"/>
              </w:rPr>
              <w:t>īspusējās sadarbības apakšpadomi</w:t>
            </w:r>
            <w:r w:rsidR="00A614A4" w:rsidRPr="00A614A4">
              <w:rPr>
                <w:rFonts w:ascii="Times New Roman" w:eastAsia="ArialMT" w:hAnsi="Times New Roman"/>
                <w:sz w:val="28"/>
                <w:szCs w:val="28"/>
              </w:rPr>
              <w:t xml:space="preserve"> (PINTSA).</w:t>
            </w:r>
          </w:p>
          <w:p w14:paraId="026FE8E9" w14:textId="77777777" w:rsidR="00D6418E" w:rsidRPr="00A614A4" w:rsidRDefault="00D6418E" w:rsidP="00D04379">
            <w:pPr>
              <w:spacing w:after="0" w:line="240" w:lineRule="auto"/>
              <w:jc w:val="both"/>
              <w:rPr>
                <w:rFonts w:ascii="Times New Roman" w:hAnsi="Times New Roman"/>
                <w:color w:val="262626"/>
                <w:sz w:val="28"/>
                <w:szCs w:val="28"/>
                <w:shd w:val="clear" w:color="auto" w:fill="FFFFFF"/>
              </w:rPr>
            </w:pPr>
          </w:p>
          <w:p w14:paraId="1A46EFDD" w14:textId="4DDDF6EE" w:rsidR="00416C1E" w:rsidRPr="00A614A4" w:rsidRDefault="00416C1E" w:rsidP="00D407F3">
            <w:pPr>
              <w:widowControl/>
              <w:spacing w:after="0" w:line="240" w:lineRule="auto"/>
              <w:jc w:val="both"/>
              <w:rPr>
                <w:rFonts w:ascii="Times New Roman" w:hAnsi="Times New Roman"/>
                <w:sz w:val="28"/>
                <w:szCs w:val="28"/>
                <w:shd w:val="clear" w:color="auto" w:fill="FFFFFF"/>
              </w:rPr>
            </w:pPr>
            <w:r w:rsidRPr="00A614A4">
              <w:rPr>
                <w:rFonts w:ascii="Times New Roman" w:hAnsi="Times New Roman"/>
                <w:color w:val="262626"/>
                <w:sz w:val="28"/>
                <w:szCs w:val="28"/>
                <w:shd w:val="clear" w:color="auto" w:fill="FFFFFF"/>
              </w:rPr>
              <w:lastRenderedPageBreak/>
              <w:t xml:space="preserve">Ņemot vērā minēto, protokollēmuma 2.punktā </w:t>
            </w:r>
            <w:r w:rsidRPr="00A614A4">
              <w:rPr>
                <w:rFonts w:ascii="Times New Roman" w:hAnsi="Times New Roman"/>
                <w:sz w:val="28"/>
                <w:szCs w:val="28"/>
              </w:rPr>
              <w:t>dotā uzdevuma izpildes termiņu daļā par informatīvā ziņojuma uzdevuma apkopojuma 10.2.1.uzdevumu</w:t>
            </w:r>
            <w:r w:rsidR="00A614A4">
              <w:rPr>
                <w:rFonts w:ascii="Times New Roman" w:hAnsi="Times New Roman"/>
                <w:sz w:val="28"/>
                <w:szCs w:val="28"/>
              </w:rPr>
              <w:t xml:space="preserve"> ir nepieciešams pagarināt</w:t>
            </w:r>
            <w:r w:rsidR="004367F2">
              <w:rPr>
                <w:rFonts w:ascii="Times New Roman" w:hAnsi="Times New Roman"/>
                <w:sz w:val="28"/>
                <w:szCs w:val="28"/>
              </w:rPr>
              <w:t xml:space="preserve"> līdz </w:t>
            </w:r>
            <w:r w:rsidR="00EF3967" w:rsidRPr="00EF3967">
              <w:rPr>
                <w:rFonts w:ascii="Times New Roman" w:hAnsi="Times New Roman"/>
                <w:sz w:val="28"/>
                <w:szCs w:val="28"/>
              </w:rPr>
              <w:t>2019.gada 31</w:t>
            </w:r>
            <w:r w:rsidR="004367F2" w:rsidRPr="00EF3967">
              <w:rPr>
                <w:rFonts w:ascii="Times New Roman" w:hAnsi="Times New Roman"/>
                <w:sz w:val="28"/>
                <w:szCs w:val="28"/>
              </w:rPr>
              <w:t>.decembrim</w:t>
            </w:r>
            <w:r w:rsidRPr="00EF3967">
              <w:rPr>
                <w:rFonts w:ascii="Times New Roman" w:hAnsi="Times New Roman"/>
                <w:sz w:val="28"/>
                <w:szCs w:val="28"/>
              </w:rPr>
              <w:t>.</w:t>
            </w:r>
          </w:p>
        </w:tc>
      </w:tr>
      <w:tr w:rsidR="00416C1E" w:rsidRPr="00A614A4" w14:paraId="4281EBCA" w14:textId="77777777" w:rsidTr="0048295D">
        <w:tc>
          <w:tcPr>
            <w:tcW w:w="296" w:type="pct"/>
            <w:tcBorders>
              <w:top w:val="outset" w:sz="6" w:space="0" w:color="auto"/>
              <w:left w:val="outset" w:sz="6" w:space="0" w:color="auto"/>
              <w:bottom w:val="outset" w:sz="6" w:space="0" w:color="auto"/>
              <w:right w:val="outset" w:sz="6" w:space="0" w:color="auto"/>
            </w:tcBorders>
            <w:hideMark/>
          </w:tcPr>
          <w:p w14:paraId="1B46FB01" w14:textId="31DEAC4A" w:rsidR="00416C1E" w:rsidRPr="00A614A4" w:rsidRDefault="00416C1E" w:rsidP="00416C1E">
            <w:pPr>
              <w:pStyle w:val="ListParagraph"/>
              <w:numPr>
                <w:ilvl w:val="0"/>
                <w:numId w:val="12"/>
              </w:numPr>
              <w:spacing w:after="0" w:line="360" w:lineRule="auto"/>
              <w:jc w:val="both"/>
              <w:rPr>
                <w:rFonts w:ascii="Times New Roman" w:hAnsi="Times New Roman"/>
                <w:sz w:val="28"/>
                <w:szCs w:val="28"/>
              </w:rPr>
            </w:pPr>
          </w:p>
        </w:tc>
        <w:tc>
          <w:tcPr>
            <w:tcW w:w="1194" w:type="pct"/>
            <w:tcBorders>
              <w:top w:val="outset" w:sz="6" w:space="0" w:color="auto"/>
              <w:left w:val="outset" w:sz="6" w:space="0" w:color="auto"/>
              <w:bottom w:val="outset" w:sz="6" w:space="0" w:color="auto"/>
              <w:right w:val="outset" w:sz="6" w:space="0" w:color="auto"/>
            </w:tcBorders>
            <w:hideMark/>
          </w:tcPr>
          <w:p w14:paraId="0D1824DE" w14:textId="77777777" w:rsidR="00416C1E" w:rsidRPr="00A614A4" w:rsidRDefault="00416C1E" w:rsidP="00416C1E">
            <w:pPr>
              <w:spacing w:after="0" w:line="240" w:lineRule="auto"/>
              <w:jc w:val="both"/>
              <w:rPr>
                <w:rFonts w:ascii="Times New Roman" w:hAnsi="Times New Roman"/>
                <w:sz w:val="28"/>
                <w:szCs w:val="28"/>
              </w:rPr>
            </w:pPr>
            <w:r w:rsidRPr="00A614A4">
              <w:rPr>
                <w:rFonts w:ascii="Times New Roman" w:hAnsi="Times New Roman"/>
                <w:sz w:val="28"/>
                <w:szCs w:val="28"/>
              </w:rPr>
              <w:t>Valsts sekretāru sanāksmes datums un numurs</w:t>
            </w:r>
          </w:p>
        </w:tc>
        <w:tc>
          <w:tcPr>
            <w:tcW w:w="3510" w:type="pct"/>
            <w:tcBorders>
              <w:top w:val="outset" w:sz="6" w:space="0" w:color="auto"/>
              <w:left w:val="outset" w:sz="6" w:space="0" w:color="auto"/>
              <w:bottom w:val="outset" w:sz="6" w:space="0" w:color="auto"/>
              <w:right w:val="outset" w:sz="6" w:space="0" w:color="auto"/>
            </w:tcBorders>
            <w:hideMark/>
          </w:tcPr>
          <w:p w14:paraId="724B0168" w14:textId="77777777" w:rsidR="00416C1E" w:rsidRPr="00A614A4" w:rsidRDefault="00416C1E" w:rsidP="00416C1E">
            <w:pPr>
              <w:spacing w:after="0" w:line="240" w:lineRule="auto"/>
              <w:jc w:val="both"/>
              <w:rPr>
                <w:rFonts w:ascii="Times New Roman" w:hAnsi="Times New Roman"/>
                <w:b/>
                <w:sz w:val="28"/>
                <w:szCs w:val="28"/>
                <w:u w:val="single"/>
              </w:rPr>
            </w:pPr>
            <w:r w:rsidRPr="00A614A4">
              <w:rPr>
                <w:rFonts w:ascii="Times New Roman" w:hAnsi="Times New Roman"/>
                <w:sz w:val="28"/>
                <w:szCs w:val="28"/>
              </w:rPr>
              <w:t>Nav attiecināms.</w:t>
            </w:r>
          </w:p>
        </w:tc>
      </w:tr>
      <w:tr w:rsidR="00416C1E" w:rsidRPr="00A614A4" w14:paraId="39AA9F36" w14:textId="77777777" w:rsidTr="0048295D">
        <w:tc>
          <w:tcPr>
            <w:tcW w:w="296" w:type="pct"/>
            <w:tcBorders>
              <w:top w:val="outset" w:sz="6" w:space="0" w:color="auto"/>
              <w:left w:val="outset" w:sz="6" w:space="0" w:color="auto"/>
              <w:bottom w:val="outset" w:sz="6" w:space="0" w:color="auto"/>
              <w:right w:val="outset" w:sz="6" w:space="0" w:color="auto"/>
            </w:tcBorders>
            <w:hideMark/>
          </w:tcPr>
          <w:p w14:paraId="0D3F8BB6" w14:textId="77777777" w:rsidR="00416C1E" w:rsidRPr="00A614A4" w:rsidRDefault="00416C1E" w:rsidP="00416C1E">
            <w:pPr>
              <w:spacing w:after="0" w:line="360" w:lineRule="auto"/>
              <w:jc w:val="both"/>
              <w:rPr>
                <w:rFonts w:ascii="Times New Roman" w:hAnsi="Times New Roman"/>
                <w:sz w:val="28"/>
                <w:szCs w:val="28"/>
              </w:rPr>
            </w:pPr>
            <w:r w:rsidRPr="00A614A4">
              <w:rPr>
                <w:rFonts w:ascii="Times New Roman" w:hAnsi="Times New Roman"/>
                <w:sz w:val="28"/>
                <w:szCs w:val="28"/>
              </w:rPr>
              <w:t>3.</w:t>
            </w:r>
          </w:p>
        </w:tc>
        <w:tc>
          <w:tcPr>
            <w:tcW w:w="1194" w:type="pct"/>
            <w:tcBorders>
              <w:top w:val="outset" w:sz="6" w:space="0" w:color="auto"/>
              <w:left w:val="outset" w:sz="6" w:space="0" w:color="auto"/>
              <w:bottom w:val="outset" w:sz="6" w:space="0" w:color="auto"/>
              <w:right w:val="outset" w:sz="6" w:space="0" w:color="auto"/>
            </w:tcBorders>
            <w:hideMark/>
          </w:tcPr>
          <w:p w14:paraId="59DF8B19" w14:textId="77777777" w:rsidR="00416C1E" w:rsidRPr="00A614A4" w:rsidRDefault="00416C1E" w:rsidP="00416C1E">
            <w:pPr>
              <w:spacing w:after="0" w:line="240" w:lineRule="auto"/>
              <w:jc w:val="both"/>
              <w:rPr>
                <w:rFonts w:ascii="Times New Roman" w:hAnsi="Times New Roman"/>
                <w:sz w:val="28"/>
                <w:szCs w:val="28"/>
              </w:rPr>
            </w:pPr>
            <w:r w:rsidRPr="00A614A4">
              <w:rPr>
                <w:rFonts w:ascii="Times New Roman" w:hAnsi="Times New Roman"/>
                <w:sz w:val="28"/>
                <w:szCs w:val="28"/>
              </w:rPr>
              <w:t>Informācija par saskaņojumiem</w:t>
            </w:r>
          </w:p>
        </w:tc>
        <w:tc>
          <w:tcPr>
            <w:tcW w:w="3510" w:type="pct"/>
            <w:tcBorders>
              <w:top w:val="outset" w:sz="6" w:space="0" w:color="auto"/>
              <w:left w:val="outset" w:sz="6" w:space="0" w:color="auto"/>
              <w:bottom w:val="outset" w:sz="6" w:space="0" w:color="auto"/>
              <w:right w:val="outset" w:sz="6" w:space="0" w:color="auto"/>
            </w:tcBorders>
            <w:hideMark/>
          </w:tcPr>
          <w:p w14:paraId="6FE830F2" w14:textId="77777777" w:rsidR="00416C1E" w:rsidRPr="00A614A4" w:rsidRDefault="00A614A4" w:rsidP="00416C1E">
            <w:pPr>
              <w:spacing w:after="0" w:line="240" w:lineRule="auto"/>
              <w:jc w:val="both"/>
              <w:rPr>
                <w:rFonts w:ascii="Times New Roman" w:hAnsi="Times New Roman"/>
                <w:sz w:val="28"/>
                <w:szCs w:val="28"/>
              </w:rPr>
            </w:pPr>
            <w:r w:rsidRPr="00A614A4">
              <w:rPr>
                <w:rFonts w:ascii="Times New Roman" w:hAnsi="Times New Roman"/>
                <w:sz w:val="28"/>
                <w:szCs w:val="28"/>
              </w:rPr>
              <w:t>Nav attiecināms.</w:t>
            </w:r>
            <w:r w:rsidR="00416C1E" w:rsidRPr="00A614A4">
              <w:rPr>
                <w:rFonts w:ascii="Times New Roman" w:hAnsi="Times New Roman"/>
                <w:sz w:val="28"/>
                <w:szCs w:val="28"/>
              </w:rPr>
              <w:t xml:space="preserve"> </w:t>
            </w:r>
          </w:p>
        </w:tc>
      </w:tr>
      <w:tr w:rsidR="00416C1E" w:rsidRPr="00A614A4" w14:paraId="0C9EB552" w14:textId="77777777" w:rsidTr="0048295D">
        <w:tc>
          <w:tcPr>
            <w:tcW w:w="296" w:type="pct"/>
            <w:tcBorders>
              <w:top w:val="outset" w:sz="6" w:space="0" w:color="auto"/>
              <w:left w:val="outset" w:sz="6" w:space="0" w:color="auto"/>
              <w:bottom w:val="outset" w:sz="6" w:space="0" w:color="auto"/>
              <w:right w:val="outset" w:sz="6" w:space="0" w:color="auto"/>
            </w:tcBorders>
            <w:hideMark/>
          </w:tcPr>
          <w:p w14:paraId="61AAB8A7" w14:textId="77777777" w:rsidR="00416C1E" w:rsidRPr="00A614A4" w:rsidRDefault="00416C1E" w:rsidP="00416C1E">
            <w:pPr>
              <w:spacing w:after="0" w:line="360" w:lineRule="auto"/>
              <w:jc w:val="both"/>
              <w:rPr>
                <w:rFonts w:ascii="Times New Roman" w:hAnsi="Times New Roman"/>
                <w:sz w:val="28"/>
                <w:szCs w:val="28"/>
              </w:rPr>
            </w:pPr>
            <w:r w:rsidRPr="00A614A4">
              <w:rPr>
                <w:rFonts w:ascii="Times New Roman" w:hAnsi="Times New Roman"/>
                <w:sz w:val="28"/>
                <w:szCs w:val="28"/>
              </w:rPr>
              <w:t>4.</w:t>
            </w:r>
          </w:p>
        </w:tc>
        <w:tc>
          <w:tcPr>
            <w:tcW w:w="1194" w:type="pct"/>
            <w:tcBorders>
              <w:top w:val="outset" w:sz="6" w:space="0" w:color="auto"/>
              <w:left w:val="outset" w:sz="6" w:space="0" w:color="auto"/>
              <w:bottom w:val="outset" w:sz="6" w:space="0" w:color="auto"/>
              <w:right w:val="outset" w:sz="6" w:space="0" w:color="auto"/>
            </w:tcBorders>
            <w:hideMark/>
          </w:tcPr>
          <w:p w14:paraId="6D7AB6EE" w14:textId="77777777" w:rsidR="00416C1E" w:rsidRPr="00A614A4" w:rsidRDefault="00416C1E" w:rsidP="00416C1E">
            <w:pPr>
              <w:spacing w:after="0" w:line="240" w:lineRule="auto"/>
              <w:jc w:val="both"/>
              <w:rPr>
                <w:rFonts w:ascii="Times New Roman" w:hAnsi="Times New Roman"/>
                <w:sz w:val="28"/>
                <w:szCs w:val="28"/>
              </w:rPr>
            </w:pPr>
            <w:r w:rsidRPr="00A614A4">
              <w:rPr>
                <w:rFonts w:ascii="Times New Roman" w:hAnsi="Times New Roman"/>
                <w:sz w:val="28"/>
                <w:szCs w:val="28"/>
              </w:rPr>
              <w:t>Informācija par saskaņojumu ar Eiropas Savienības institūcijām</w:t>
            </w:r>
          </w:p>
        </w:tc>
        <w:tc>
          <w:tcPr>
            <w:tcW w:w="3510" w:type="pct"/>
            <w:tcBorders>
              <w:top w:val="outset" w:sz="6" w:space="0" w:color="auto"/>
              <w:left w:val="outset" w:sz="6" w:space="0" w:color="auto"/>
              <w:bottom w:val="outset" w:sz="6" w:space="0" w:color="auto"/>
              <w:right w:val="outset" w:sz="6" w:space="0" w:color="auto"/>
            </w:tcBorders>
            <w:hideMark/>
          </w:tcPr>
          <w:p w14:paraId="17C8C79E" w14:textId="77777777" w:rsidR="00416C1E" w:rsidRPr="00A614A4" w:rsidRDefault="00416C1E" w:rsidP="00416C1E">
            <w:pPr>
              <w:spacing w:after="0" w:line="240" w:lineRule="auto"/>
              <w:jc w:val="both"/>
              <w:rPr>
                <w:rFonts w:ascii="Times New Roman" w:hAnsi="Times New Roman"/>
                <w:sz w:val="28"/>
                <w:szCs w:val="28"/>
              </w:rPr>
            </w:pPr>
            <w:r w:rsidRPr="00A614A4">
              <w:rPr>
                <w:rFonts w:ascii="Times New Roman" w:hAnsi="Times New Roman"/>
                <w:sz w:val="28"/>
                <w:szCs w:val="28"/>
              </w:rPr>
              <w:t>Nav attiecināms.</w:t>
            </w:r>
          </w:p>
        </w:tc>
      </w:tr>
      <w:tr w:rsidR="00416C1E" w:rsidRPr="00A614A4" w14:paraId="742FC110" w14:textId="77777777" w:rsidTr="0048295D">
        <w:tc>
          <w:tcPr>
            <w:tcW w:w="296" w:type="pct"/>
            <w:tcBorders>
              <w:top w:val="outset" w:sz="6" w:space="0" w:color="auto"/>
              <w:left w:val="outset" w:sz="6" w:space="0" w:color="auto"/>
              <w:bottom w:val="outset" w:sz="6" w:space="0" w:color="auto"/>
              <w:right w:val="outset" w:sz="6" w:space="0" w:color="auto"/>
            </w:tcBorders>
            <w:hideMark/>
          </w:tcPr>
          <w:p w14:paraId="3F9EB1C1" w14:textId="77777777" w:rsidR="00416C1E" w:rsidRPr="00A614A4" w:rsidRDefault="00416C1E" w:rsidP="00416C1E">
            <w:pPr>
              <w:spacing w:after="0" w:line="360" w:lineRule="auto"/>
              <w:jc w:val="both"/>
              <w:rPr>
                <w:rFonts w:ascii="Times New Roman" w:hAnsi="Times New Roman"/>
                <w:sz w:val="28"/>
                <w:szCs w:val="28"/>
              </w:rPr>
            </w:pPr>
            <w:r w:rsidRPr="00A614A4">
              <w:rPr>
                <w:rFonts w:ascii="Times New Roman" w:hAnsi="Times New Roman"/>
                <w:sz w:val="28"/>
                <w:szCs w:val="28"/>
              </w:rPr>
              <w:t>5.</w:t>
            </w:r>
          </w:p>
        </w:tc>
        <w:tc>
          <w:tcPr>
            <w:tcW w:w="1194" w:type="pct"/>
            <w:tcBorders>
              <w:top w:val="outset" w:sz="6" w:space="0" w:color="auto"/>
              <w:left w:val="outset" w:sz="6" w:space="0" w:color="auto"/>
              <w:bottom w:val="outset" w:sz="6" w:space="0" w:color="auto"/>
              <w:right w:val="outset" w:sz="6" w:space="0" w:color="auto"/>
            </w:tcBorders>
            <w:hideMark/>
          </w:tcPr>
          <w:p w14:paraId="4615FDF9" w14:textId="77777777" w:rsidR="00416C1E" w:rsidRPr="00A614A4" w:rsidRDefault="00416C1E" w:rsidP="00416C1E">
            <w:pPr>
              <w:spacing w:after="0" w:line="240" w:lineRule="auto"/>
              <w:jc w:val="both"/>
              <w:rPr>
                <w:rFonts w:ascii="Times New Roman" w:hAnsi="Times New Roman"/>
                <w:sz w:val="28"/>
                <w:szCs w:val="28"/>
              </w:rPr>
            </w:pPr>
            <w:r w:rsidRPr="00A614A4">
              <w:rPr>
                <w:rFonts w:ascii="Times New Roman" w:hAnsi="Times New Roman"/>
                <w:sz w:val="28"/>
                <w:szCs w:val="28"/>
              </w:rPr>
              <w:t>Politikas joma</w:t>
            </w:r>
          </w:p>
        </w:tc>
        <w:tc>
          <w:tcPr>
            <w:tcW w:w="3510" w:type="pct"/>
            <w:tcBorders>
              <w:top w:val="outset" w:sz="6" w:space="0" w:color="auto"/>
              <w:left w:val="outset" w:sz="6" w:space="0" w:color="auto"/>
              <w:bottom w:val="outset" w:sz="6" w:space="0" w:color="auto"/>
              <w:right w:val="outset" w:sz="6" w:space="0" w:color="auto"/>
            </w:tcBorders>
            <w:hideMark/>
          </w:tcPr>
          <w:p w14:paraId="54BD1086" w14:textId="77777777" w:rsidR="00416C1E" w:rsidRPr="00A614A4" w:rsidRDefault="00416C1E" w:rsidP="00416C1E">
            <w:pPr>
              <w:spacing w:after="0" w:line="240" w:lineRule="auto"/>
              <w:jc w:val="both"/>
              <w:rPr>
                <w:rFonts w:ascii="Times New Roman" w:hAnsi="Times New Roman"/>
                <w:sz w:val="28"/>
                <w:szCs w:val="28"/>
              </w:rPr>
            </w:pPr>
            <w:r w:rsidRPr="00A614A4">
              <w:rPr>
                <w:rFonts w:ascii="Times New Roman" w:hAnsi="Times New Roman"/>
                <w:sz w:val="28"/>
                <w:szCs w:val="28"/>
              </w:rPr>
              <w:t>Izglītības un zinātnes politika.</w:t>
            </w:r>
          </w:p>
        </w:tc>
      </w:tr>
      <w:tr w:rsidR="00416C1E" w:rsidRPr="00A614A4" w14:paraId="1D72F6D4" w14:textId="77777777" w:rsidTr="0048295D">
        <w:tc>
          <w:tcPr>
            <w:tcW w:w="296" w:type="pct"/>
            <w:tcBorders>
              <w:top w:val="outset" w:sz="6" w:space="0" w:color="auto"/>
              <w:left w:val="outset" w:sz="6" w:space="0" w:color="auto"/>
              <w:bottom w:val="outset" w:sz="6" w:space="0" w:color="auto"/>
              <w:right w:val="outset" w:sz="6" w:space="0" w:color="auto"/>
            </w:tcBorders>
            <w:hideMark/>
          </w:tcPr>
          <w:p w14:paraId="670E8197" w14:textId="77777777" w:rsidR="00416C1E" w:rsidRPr="00A614A4" w:rsidRDefault="00416C1E" w:rsidP="00416C1E">
            <w:pPr>
              <w:spacing w:after="0" w:line="360" w:lineRule="auto"/>
              <w:jc w:val="both"/>
              <w:rPr>
                <w:rFonts w:ascii="Times New Roman" w:hAnsi="Times New Roman"/>
                <w:sz w:val="28"/>
                <w:szCs w:val="28"/>
              </w:rPr>
            </w:pPr>
            <w:r w:rsidRPr="00A614A4">
              <w:rPr>
                <w:rFonts w:ascii="Times New Roman" w:hAnsi="Times New Roman"/>
                <w:sz w:val="28"/>
                <w:szCs w:val="28"/>
              </w:rPr>
              <w:t>6.</w:t>
            </w:r>
          </w:p>
        </w:tc>
        <w:tc>
          <w:tcPr>
            <w:tcW w:w="1194" w:type="pct"/>
            <w:tcBorders>
              <w:top w:val="outset" w:sz="6" w:space="0" w:color="auto"/>
              <w:left w:val="outset" w:sz="6" w:space="0" w:color="auto"/>
              <w:bottom w:val="outset" w:sz="6" w:space="0" w:color="auto"/>
              <w:right w:val="outset" w:sz="6" w:space="0" w:color="auto"/>
            </w:tcBorders>
            <w:hideMark/>
          </w:tcPr>
          <w:p w14:paraId="328E6495" w14:textId="77777777" w:rsidR="00416C1E" w:rsidRPr="00A614A4" w:rsidRDefault="00416C1E" w:rsidP="00416C1E">
            <w:pPr>
              <w:spacing w:after="0" w:line="240" w:lineRule="auto"/>
              <w:jc w:val="both"/>
              <w:rPr>
                <w:rFonts w:ascii="Times New Roman" w:hAnsi="Times New Roman"/>
                <w:sz w:val="28"/>
                <w:szCs w:val="28"/>
              </w:rPr>
            </w:pPr>
            <w:r w:rsidRPr="00A614A4">
              <w:rPr>
                <w:rFonts w:ascii="Times New Roman" w:hAnsi="Times New Roman"/>
                <w:sz w:val="28"/>
                <w:szCs w:val="28"/>
              </w:rPr>
              <w:t>Atbildīgā amatpersona</w:t>
            </w:r>
          </w:p>
        </w:tc>
        <w:tc>
          <w:tcPr>
            <w:tcW w:w="3510" w:type="pct"/>
            <w:tcBorders>
              <w:top w:val="outset" w:sz="6" w:space="0" w:color="auto"/>
              <w:left w:val="outset" w:sz="6" w:space="0" w:color="auto"/>
              <w:bottom w:val="outset" w:sz="6" w:space="0" w:color="auto"/>
              <w:right w:val="outset" w:sz="6" w:space="0" w:color="auto"/>
            </w:tcBorders>
            <w:hideMark/>
          </w:tcPr>
          <w:p w14:paraId="1BB58318" w14:textId="77777777" w:rsidR="00416C1E" w:rsidRPr="00A614A4" w:rsidRDefault="00416C1E" w:rsidP="00416C1E">
            <w:pPr>
              <w:spacing w:after="0" w:line="240" w:lineRule="auto"/>
              <w:jc w:val="both"/>
              <w:rPr>
                <w:rFonts w:ascii="Times New Roman" w:hAnsi="Times New Roman"/>
                <w:sz w:val="28"/>
                <w:szCs w:val="28"/>
              </w:rPr>
            </w:pPr>
            <w:r w:rsidRPr="00A614A4">
              <w:rPr>
                <w:rFonts w:ascii="Times New Roman" w:eastAsia="Times New Roman" w:hAnsi="Times New Roman"/>
                <w:sz w:val="28"/>
                <w:szCs w:val="28"/>
                <w:lang w:eastAsia="lv-LV"/>
              </w:rPr>
              <w:t xml:space="preserve">Izglītības un zinātnes ministrijas </w:t>
            </w:r>
            <w:r w:rsidRPr="00A614A4">
              <w:rPr>
                <w:rFonts w:ascii="Times New Roman" w:hAnsi="Times New Roman"/>
                <w:iCs/>
                <w:sz w:val="28"/>
                <w:szCs w:val="28"/>
              </w:rPr>
              <w:t>Augstākās izglītības, zinātnes un inovāciju departamenta</w:t>
            </w:r>
            <w:r w:rsidRPr="00A614A4">
              <w:rPr>
                <w:rFonts w:ascii="Times New Roman" w:hAnsi="Times New Roman"/>
                <w:iCs/>
                <w:sz w:val="28"/>
                <w:szCs w:val="28"/>
              </w:rPr>
              <w:br/>
              <w:t>direktora vietniece augstākās izglītības jomā Dace Jansone.</w:t>
            </w:r>
          </w:p>
        </w:tc>
      </w:tr>
      <w:tr w:rsidR="00416C1E" w:rsidRPr="00A614A4" w14:paraId="5C655332" w14:textId="77777777" w:rsidTr="0048295D">
        <w:tc>
          <w:tcPr>
            <w:tcW w:w="296" w:type="pct"/>
            <w:tcBorders>
              <w:top w:val="outset" w:sz="6" w:space="0" w:color="auto"/>
              <w:left w:val="outset" w:sz="6" w:space="0" w:color="auto"/>
              <w:bottom w:val="outset" w:sz="6" w:space="0" w:color="auto"/>
              <w:right w:val="outset" w:sz="6" w:space="0" w:color="auto"/>
            </w:tcBorders>
            <w:hideMark/>
          </w:tcPr>
          <w:p w14:paraId="5E73E4F3" w14:textId="77777777" w:rsidR="00416C1E" w:rsidRPr="00A614A4" w:rsidRDefault="00416C1E" w:rsidP="00416C1E">
            <w:pPr>
              <w:spacing w:after="0" w:line="360" w:lineRule="auto"/>
              <w:jc w:val="both"/>
              <w:rPr>
                <w:rFonts w:ascii="Times New Roman" w:hAnsi="Times New Roman"/>
                <w:sz w:val="28"/>
                <w:szCs w:val="28"/>
              </w:rPr>
            </w:pPr>
            <w:r w:rsidRPr="00A614A4">
              <w:rPr>
                <w:rFonts w:ascii="Times New Roman" w:hAnsi="Times New Roman"/>
                <w:sz w:val="28"/>
                <w:szCs w:val="28"/>
              </w:rPr>
              <w:t>7.</w:t>
            </w:r>
          </w:p>
        </w:tc>
        <w:tc>
          <w:tcPr>
            <w:tcW w:w="1194" w:type="pct"/>
            <w:tcBorders>
              <w:top w:val="outset" w:sz="6" w:space="0" w:color="auto"/>
              <w:left w:val="outset" w:sz="6" w:space="0" w:color="auto"/>
              <w:bottom w:val="outset" w:sz="6" w:space="0" w:color="auto"/>
              <w:right w:val="outset" w:sz="6" w:space="0" w:color="auto"/>
            </w:tcBorders>
            <w:hideMark/>
          </w:tcPr>
          <w:p w14:paraId="1F23387D" w14:textId="77777777" w:rsidR="00416C1E" w:rsidRPr="00A614A4" w:rsidRDefault="00416C1E" w:rsidP="00416C1E">
            <w:pPr>
              <w:spacing w:after="0" w:line="240" w:lineRule="auto"/>
              <w:jc w:val="both"/>
              <w:rPr>
                <w:rFonts w:ascii="Times New Roman" w:hAnsi="Times New Roman"/>
                <w:sz w:val="28"/>
                <w:szCs w:val="28"/>
              </w:rPr>
            </w:pPr>
            <w:r w:rsidRPr="00A614A4">
              <w:rPr>
                <w:rFonts w:ascii="Times New Roman" w:hAnsi="Times New Roman"/>
                <w:sz w:val="28"/>
                <w:szCs w:val="28"/>
              </w:rPr>
              <w:t>Uzaicināmās personas</w:t>
            </w:r>
          </w:p>
        </w:tc>
        <w:tc>
          <w:tcPr>
            <w:tcW w:w="3510" w:type="pct"/>
            <w:tcBorders>
              <w:top w:val="outset" w:sz="6" w:space="0" w:color="auto"/>
              <w:left w:val="outset" w:sz="6" w:space="0" w:color="auto"/>
              <w:bottom w:val="outset" w:sz="6" w:space="0" w:color="auto"/>
              <w:right w:val="outset" w:sz="6" w:space="0" w:color="auto"/>
            </w:tcBorders>
            <w:hideMark/>
          </w:tcPr>
          <w:p w14:paraId="253AD0B4" w14:textId="77777777" w:rsidR="00416C1E" w:rsidRPr="00A614A4" w:rsidRDefault="00416C1E" w:rsidP="00416C1E">
            <w:pPr>
              <w:spacing w:after="0" w:line="240" w:lineRule="auto"/>
              <w:jc w:val="both"/>
              <w:rPr>
                <w:rFonts w:ascii="Times New Roman" w:hAnsi="Times New Roman"/>
                <w:sz w:val="28"/>
                <w:szCs w:val="28"/>
              </w:rPr>
            </w:pPr>
            <w:r w:rsidRPr="00A614A4">
              <w:rPr>
                <w:rFonts w:ascii="Times New Roman" w:hAnsi="Times New Roman"/>
                <w:iCs/>
                <w:sz w:val="28"/>
                <w:szCs w:val="28"/>
              </w:rPr>
              <w:t>Izglītības un zinātnes ministrijas</w:t>
            </w:r>
            <w:r w:rsidRPr="00A614A4">
              <w:rPr>
                <w:rFonts w:ascii="Times New Roman" w:hAnsi="Times New Roman"/>
                <w:iCs/>
                <w:sz w:val="28"/>
                <w:szCs w:val="28"/>
              </w:rPr>
              <w:br/>
              <w:t>valsts sekretāra vietnieka - Augstākās izglītības, zinātnes un inovāciju departamenta</w:t>
            </w:r>
            <w:r w:rsidRPr="00A614A4">
              <w:rPr>
                <w:rFonts w:ascii="Times New Roman" w:hAnsi="Times New Roman"/>
                <w:iCs/>
                <w:sz w:val="28"/>
                <w:szCs w:val="28"/>
              </w:rPr>
              <w:br/>
              <w:t>direktora pienākumu izpildītājs, Augstākās izglītības, zinātnes un inovāciju departamenta</w:t>
            </w:r>
            <w:r w:rsidRPr="00A614A4">
              <w:rPr>
                <w:rFonts w:ascii="Times New Roman" w:hAnsi="Times New Roman"/>
                <w:iCs/>
                <w:sz w:val="28"/>
                <w:szCs w:val="28"/>
              </w:rPr>
              <w:br/>
              <w:t>vietnieks zinātnes jomā Dmitrijs Stepanovs.</w:t>
            </w:r>
          </w:p>
        </w:tc>
      </w:tr>
      <w:tr w:rsidR="00416C1E" w:rsidRPr="00A614A4" w14:paraId="5C7305E6" w14:textId="77777777" w:rsidTr="0048295D">
        <w:tc>
          <w:tcPr>
            <w:tcW w:w="296" w:type="pct"/>
            <w:tcBorders>
              <w:top w:val="outset" w:sz="6" w:space="0" w:color="auto"/>
              <w:left w:val="outset" w:sz="6" w:space="0" w:color="auto"/>
              <w:bottom w:val="outset" w:sz="6" w:space="0" w:color="auto"/>
              <w:right w:val="outset" w:sz="6" w:space="0" w:color="auto"/>
            </w:tcBorders>
            <w:hideMark/>
          </w:tcPr>
          <w:p w14:paraId="36357BC8" w14:textId="77777777" w:rsidR="00416C1E" w:rsidRPr="00A614A4" w:rsidRDefault="00416C1E" w:rsidP="00416C1E">
            <w:pPr>
              <w:spacing w:after="0" w:line="360" w:lineRule="auto"/>
              <w:jc w:val="both"/>
              <w:rPr>
                <w:rFonts w:ascii="Times New Roman" w:hAnsi="Times New Roman"/>
                <w:sz w:val="28"/>
                <w:szCs w:val="28"/>
              </w:rPr>
            </w:pPr>
            <w:r w:rsidRPr="00A614A4">
              <w:rPr>
                <w:rFonts w:ascii="Times New Roman" w:hAnsi="Times New Roman"/>
                <w:sz w:val="28"/>
                <w:szCs w:val="28"/>
              </w:rPr>
              <w:t>8.</w:t>
            </w:r>
          </w:p>
        </w:tc>
        <w:tc>
          <w:tcPr>
            <w:tcW w:w="1194" w:type="pct"/>
            <w:tcBorders>
              <w:top w:val="outset" w:sz="6" w:space="0" w:color="auto"/>
              <w:left w:val="outset" w:sz="6" w:space="0" w:color="auto"/>
              <w:bottom w:val="outset" w:sz="6" w:space="0" w:color="auto"/>
              <w:right w:val="outset" w:sz="6" w:space="0" w:color="auto"/>
            </w:tcBorders>
            <w:hideMark/>
          </w:tcPr>
          <w:p w14:paraId="3CDA8099" w14:textId="77777777" w:rsidR="00416C1E" w:rsidRPr="00A614A4" w:rsidRDefault="00416C1E" w:rsidP="00416C1E">
            <w:pPr>
              <w:spacing w:after="0" w:line="240" w:lineRule="auto"/>
              <w:jc w:val="both"/>
              <w:rPr>
                <w:rFonts w:ascii="Times New Roman" w:hAnsi="Times New Roman"/>
                <w:sz w:val="28"/>
                <w:szCs w:val="28"/>
              </w:rPr>
            </w:pPr>
            <w:r w:rsidRPr="00A614A4">
              <w:rPr>
                <w:rFonts w:ascii="Times New Roman" w:hAnsi="Times New Roman"/>
                <w:sz w:val="28"/>
                <w:szCs w:val="28"/>
              </w:rPr>
              <w:t>Projekta ierobežotas pieejamības statuss</w:t>
            </w:r>
          </w:p>
        </w:tc>
        <w:tc>
          <w:tcPr>
            <w:tcW w:w="3510" w:type="pct"/>
            <w:tcBorders>
              <w:top w:val="outset" w:sz="6" w:space="0" w:color="auto"/>
              <w:left w:val="outset" w:sz="6" w:space="0" w:color="auto"/>
              <w:bottom w:val="outset" w:sz="6" w:space="0" w:color="auto"/>
              <w:right w:val="outset" w:sz="6" w:space="0" w:color="auto"/>
            </w:tcBorders>
            <w:hideMark/>
          </w:tcPr>
          <w:p w14:paraId="2584385D" w14:textId="77777777" w:rsidR="00416C1E" w:rsidRPr="00A614A4" w:rsidRDefault="00416C1E" w:rsidP="00416C1E">
            <w:pPr>
              <w:spacing w:after="0" w:line="240" w:lineRule="auto"/>
              <w:jc w:val="both"/>
              <w:rPr>
                <w:rFonts w:ascii="Times New Roman" w:hAnsi="Times New Roman"/>
                <w:sz w:val="28"/>
                <w:szCs w:val="28"/>
              </w:rPr>
            </w:pPr>
            <w:r w:rsidRPr="00A614A4">
              <w:rPr>
                <w:rFonts w:ascii="Times New Roman" w:hAnsi="Times New Roman"/>
                <w:sz w:val="28"/>
                <w:szCs w:val="28"/>
              </w:rPr>
              <w:t>Projektam nav piešķirts ierobežotas pieejamības statuss.</w:t>
            </w:r>
          </w:p>
        </w:tc>
      </w:tr>
      <w:tr w:rsidR="00416C1E" w:rsidRPr="00A614A4" w14:paraId="5C62DBCB" w14:textId="77777777" w:rsidTr="0048295D">
        <w:tc>
          <w:tcPr>
            <w:tcW w:w="296" w:type="pct"/>
            <w:tcBorders>
              <w:top w:val="outset" w:sz="6" w:space="0" w:color="auto"/>
              <w:left w:val="outset" w:sz="6" w:space="0" w:color="auto"/>
              <w:bottom w:val="outset" w:sz="6" w:space="0" w:color="auto"/>
              <w:right w:val="outset" w:sz="6" w:space="0" w:color="auto"/>
            </w:tcBorders>
            <w:hideMark/>
          </w:tcPr>
          <w:p w14:paraId="43B638A6" w14:textId="77777777" w:rsidR="00416C1E" w:rsidRPr="00A614A4" w:rsidRDefault="00416C1E" w:rsidP="00416C1E">
            <w:pPr>
              <w:spacing w:after="0" w:line="360" w:lineRule="auto"/>
              <w:jc w:val="both"/>
              <w:rPr>
                <w:rFonts w:ascii="Times New Roman" w:hAnsi="Times New Roman"/>
                <w:sz w:val="28"/>
                <w:szCs w:val="28"/>
              </w:rPr>
            </w:pPr>
            <w:r w:rsidRPr="00A614A4">
              <w:rPr>
                <w:rFonts w:ascii="Times New Roman" w:hAnsi="Times New Roman"/>
                <w:sz w:val="28"/>
                <w:szCs w:val="28"/>
              </w:rPr>
              <w:t>9.</w:t>
            </w:r>
          </w:p>
        </w:tc>
        <w:tc>
          <w:tcPr>
            <w:tcW w:w="1194" w:type="pct"/>
            <w:tcBorders>
              <w:top w:val="outset" w:sz="6" w:space="0" w:color="auto"/>
              <w:left w:val="outset" w:sz="6" w:space="0" w:color="auto"/>
              <w:bottom w:val="outset" w:sz="6" w:space="0" w:color="auto"/>
              <w:right w:val="outset" w:sz="6" w:space="0" w:color="auto"/>
            </w:tcBorders>
            <w:hideMark/>
          </w:tcPr>
          <w:p w14:paraId="40A807F4" w14:textId="77777777" w:rsidR="00416C1E" w:rsidRPr="00A614A4" w:rsidRDefault="00416C1E" w:rsidP="00416C1E">
            <w:pPr>
              <w:spacing w:after="0" w:line="240" w:lineRule="auto"/>
              <w:jc w:val="both"/>
              <w:rPr>
                <w:rFonts w:ascii="Times New Roman" w:hAnsi="Times New Roman"/>
                <w:sz w:val="28"/>
                <w:szCs w:val="28"/>
              </w:rPr>
            </w:pPr>
            <w:r w:rsidRPr="00A614A4">
              <w:rPr>
                <w:rFonts w:ascii="Times New Roman" w:hAnsi="Times New Roman"/>
                <w:sz w:val="28"/>
                <w:szCs w:val="28"/>
              </w:rPr>
              <w:t>Cita informācija</w:t>
            </w:r>
          </w:p>
        </w:tc>
        <w:tc>
          <w:tcPr>
            <w:tcW w:w="3510" w:type="pct"/>
            <w:tcBorders>
              <w:top w:val="outset" w:sz="6" w:space="0" w:color="auto"/>
              <w:left w:val="outset" w:sz="6" w:space="0" w:color="auto"/>
              <w:bottom w:val="outset" w:sz="6" w:space="0" w:color="auto"/>
              <w:right w:val="outset" w:sz="6" w:space="0" w:color="auto"/>
            </w:tcBorders>
            <w:hideMark/>
          </w:tcPr>
          <w:p w14:paraId="0945F8B5" w14:textId="77777777" w:rsidR="00416C1E" w:rsidRPr="00A614A4" w:rsidRDefault="00416C1E" w:rsidP="00416C1E">
            <w:pPr>
              <w:spacing w:after="0" w:line="240" w:lineRule="auto"/>
              <w:jc w:val="both"/>
              <w:rPr>
                <w:rFonts w:ascii="Times New Roman" w:hAnsi="Times New Roman"/>
                <w:sz w:val="28"/>
                <w:szCs w:val="28"/>
              </w:rPr>
            </w:pPr>
            <w:r w:rsidRPr="00A614A4">
              <w:rPr>
                <w:rFonts w:ascii="Times New Roman" w:hAnsi="Times New Roman"/>
                <w:sz w:val="28"/>
                <w:szCs w:val="28"/>
              </w:rPr>
              <w:t>Nav.</w:t>
            </w:r>
          </w:p>
        </w:tc>
      </w:tr>
    </w:tbl>
    <w:p w14:paraId="5796E2BF" w14:textId="77777777" w:rsidR="00416C1E" w:rsidRPr="00A614A4" w:rsidRDefault="00416C1E" w:rsidP="00416C1E">
      <w:pPr>
        <w:spacing w:after="0" w:line="240" w:lineRule="auto"/>
        <w:jc w:val="both"/>
        <w:rPr>
          <w:rFonts w:ascii="Times New Roman" w:hAnsi="Times New Roman"/>
          <w:sz w:val="28"/>
          <w:szCs w:val="28"/>
        </w:rPr>
      </w:pPr>
    </w:p>
    <w:p w14:paraId="528597B8" w14:textId="62569DF5" w:rsidR="00416C1E" w:rsidRPr="00A614A4" w:rsidRDefault="00416C1E" w:rsidP="00A614A4">
      <w:pPr>
        <w:spacing w:after="0" w:line="240" w:lineRule="auto"/>
        <w:ind w:firstLine="720"/>
        <w:jc w:val="both"/>
        <w:rPr>
          <w:rFonts w:ascii="Times New Roman" w:hAnsi="Times New Roman"/>
          <w:sz w:val="28"/>
          <w:szCs w:val="28"/>
        </w:rPr>
      </w:pPr>
      <w:r w:rsidRPr="00A614A4">
        <w:rPr>
          <w:rFonts w:ascii="Times New Roman" w:hAnsi="Times New Roman"/>
          <w:sz w:val="28"/>
          <w:szCs w:val="28"/>
        </w:rPr>
        <w:t>Pielikumā: Projekts uz 1 lapas (datne:</w:t>
      </w:r>
      <w:r w:rsidR="00374A7E">
        <w:rPr>
          <w:rFonts w:ascii="Times New Roman" w:hAnsi="Times New Roman"/>
          <w:sz w:val="28"/>
          <w:szCs w:val="28"/>
        </w:rPr>
        <w:t>IZM</w:t>
      </w:r>
      <w:r w:rsidRPr="00A614A4">
        <w:rPr>
          <w:rFonts w:ascii="Times New Roman" w:hAnsi="Times New Roman"/>
          <w:sz w:val="28"/>
          <w:szCs w:val="28"/>
        </w:rPr>
        <w:t>prot_140119_kreditpunkti).</w:t>
      </w:r>
    </w:p>
    <w:p w14:paraId="6A1A61FB" w14:textId="77777777" w:rsidR="00416C1E" w:rsidRPr="00416C1E" w:rsidRDefault="00416C1E" w:rsidP="00416C1E">
      <w:pPr>
        <w:spacing w:after="0" w:line="240" w:lineRule="auto"/>
        <w:jc w:val="both"/>
        <w:rPr>
          <w:rFonts w:ascii="Times New Roman" w:hAnsi="Times New Roman"/>
          <w:sz w:val="28"/>
          <w:szCs w:val="28"/>
        </w:rPr>
      </w:pPr>
    </w:p>
    <w:p w14:paraId="112DC8DB" w14:textId="77777777" w:rsidR="00416C1E" w:rsidRDefault="00416C1E" w:rsidP="00416C1E">
      <w:pPr>
        <w:tabs>
          <w:tab w:val="right" w:pos="9074"/>
        </w:tabs>
        <w:spacing w:after="0" w:line="240" w:lineRule="auto"/>
        <w:jc w:val="both"/>
        <w:rPr>
          <w:rFonts w:ascii="Times New Roman" w:hAnsi="Times New Roman"/>
          <w:sz w:val="28"/>
          <w:szCs w:val="28"/>
        </w:rPr>
      </w:pPr>
    </w:p>
    <w:p w14:paraId="247F37E7" w14:textId="77777777" w:rsidR="00A614A4" w:rsidRPr="00416C1E" w:rsidRDefault="00A614A4" w:rsidP="00416C1E">
      <w:pPr>
        <w:tabs>
          <w:tab w:val="right" w:pos="9074"/>
        </w:tabs>
        <w:spacing w:after="0" w:line="240" w:lineRule="auto"/>
        <w:jc w:val="both"/>
        <w:rPr>
          <w:rFonts w:ascii="Times New Roman" w:hAnsi="Times New Roman"/>
          <w:sz w:val="28"/>
          <w:szCs w:val="28"/>
        </w:rPr>
      </w:pPr>
    </w:p>
    <w:p w14:paraId="3F905131" w14:textId="77777777" w:rsidR="00416C1E" w:rsidRPr="00416C1E" w:rsidRDefault="00416C1E" w:rsidP="00416C1E">
      <w:pPr>
        <w:widowControl/>
        <w:spacing w:after="0" w:line="240" w:lineRule="auto"/>
        <w:ind w:firstLine="720"/>
        <w:rPr>
          <w:rFonts w:ascii="Times New Roman" w:eastAsia="Times New Roman" w:hAnsi="Times New Roman"/>
          <w:sz w:val="28"/>
          <w:szCs w:val="28"/>
          <w:lang w:eastAsia="lv-LV"/>
        </w:rPr>
      </w:pPr>
      <w:r w:rsidRPr="00416C1E">
        <w:rPr>
          <w:rFonts w:ascii="Times New Roman" w:eastAsia="Times New Roman" w:hAnsi="Times New Roman"/>
          <w:sz w:val="28"/>
          <w:szCs w:val="28"/>
          <w:lang w:eastAsia="lv-LV"/>
        </w:rPr>
        <w:t>Izglītības un zinātnes ministra vietā –</w:t>
      </w:r>
    </w:p>
    <w:p w14:paraId="1E878817" w14:textId="77777777" w:rsidR="00416C1E" w:rsidRPr="00416C1E" w:rsidRDefault="00416C1E" w:rsidP="00416C1E">
      <w:pPr>
        <w:widowControl/>
        <w:spacing w:after="0" w:line="240" w:lineRule="auto"/>
        <w:ind w:firstLine="720"/>
        <w:rPr>
          <w:rFonts w:ascii="Times New Roman" w:eastAsia="Times New Roman" w:hAnsi="Times New Roman"/>
          <w:sz w:val="28"/>
          <w:szCs w:val="28"/>
          <w:lang w:eastAsia="lv-LV"/>
        </w:rPr>
      </w:pPr>
      <w:r w:rsidRPr="00416C1E">
        <w:rPr>
          <w:rFonts w:ascii="Times New Roman" w:eastAsia="Times New Roman" w:hAnsi="Times New Roman"/>
          <w:sz w:val="28"/>
          <w:szCs w:val="28"/>
          <w:lang w:eastAsia="lv-LV"/>
        </w:rPr>
        <w:t xml:space="preserve">labklājības ministrs </w:t>
      </w:r>
      <w:r w:rsidRPr="00416C1E">
        <w:rPr>
          <w:rFonts w:ascii="Times New Roman" w:eastAsia="Times New Roman" w:hAnsi="Times New Roman"/>
          <w:sz w:val="28"/>
          <w:szCs w:val="28"/>
          <w:lang w:eastAsia="lv-LV"/>
        </w:rPr>
        <w:tab/>
      </w:r>
      <w:r w:rsidRPr="00416C1E">
        <w:rPr>
          <w:rFonts w:ascii="Times New Roman" w:eastAsia="Times New Roman" w:hAnsi="Times New Roman"/>
          <w:sz w:val="28"/>
          <w:szCs w:val="28"/>
          <w:lang w:eastAsia="lv-LV"/>
        </w:rPr>
        <w:tab/>
      </w:r>
      <w:r w:rsidRPr="00416C1E">
        <w:rPr>
          <w:rFonts w:ascii="Times New Roman" w:eastAsia="Times New Roman" w:hAnsi="Times New Roman"/>
          <w:sz w:val="28"/>
          <w:szCs w:val="28"/>
          <w:lang w:eastAsia="lv-LV"/>
        </w:rPr>
        <w:tab/>
      </w:r>
      <w:r w:rsidRPr="00416C1E">
        <w:rPr>
          <w:rFonts w:ascii="Times New Roman" w:eastAsia="Times New Roman" w:hAnsi="Times New Roman"/>
          <w:sz w:val="28"/>
          <w:szCs w:val="28"/>
          <w:lang w:eastAsia="lv-LV"/>
        </w:rPr>
        <w:tab/>
      </w:r>
      <w:r w:rsidRPr="00416C1E">
        <w:rPr>
          <w:rFonts w:ascii="Times New Roman" w:eastAsia="Times New Roman" w:hAnsi="Times New Roman"/>
          <w:sz w:val="28"/>
          <w:szCs w:val="28"/>
          <w:lang w:eastAsia="lv-LV"/>
        </w:rPr>
        <w:tab/>
        <w:t>Jānis Reirs</w:t>
      </w:r>
    </w:p>
    <w:p w14:paraId="507C922D" w14:textId="77777777" w:rsidR="00416C1E" w:rsidRPr="00416C1E" w:rsidRDefault="00416C1E" w:rsidP="00416C1E">
      <w:pPr>
        <w:widowControl/>
        <w:spacing w:after="0" w:line="240" w:lineRule="auto"/>
        <w:rPr>
          <w:rFonts w:ascii="Times New Roman" w:eastAsia="Times New Roman" w:hAnsi="Times New Roman"/>
          <w:sz w:val="28"/>
          <w:szCs w:val="28"/>
          <w:lang w:eastAsia="lv-LV"/>
        </w:rPr>
      </w:pPr>
    </w:p>
    <w:p w14:paraId="5600AE8C" w14:textId="77777777" w:rsidR="00A614A4" w:rsidRDefault="00A614A4" w:rsidP="00624F4B">
      <w:pPr>
        <w:spacing w:after="0" w:line="240" w:lineRule="auto"/>
        <w:rPr>
          <w:rFonts w:ascii="Times New Roman" w:hAnsi="Times New Roman"/>
          <w:sz w:val="20"/>
          <w:szCs w:val="24"/>
        </w:rPr>
      </w:pPr>
    </w:p>
    <w:p w14:paraId="733527C5" w14:textId="77777777" w:rsidR="00A614A4" w:rsidRDefault="00A614A4" w:rsidP="003B6B02">
      <w:pPr>
        <w:spacing w:after="0" w:line="240" w:lineRule="auto"/>
        <w:ind w:firstLine="851"/>
        <w:rPr>
          <w:rFonts w:ascii="Times New Roman" w:hAnsi="Times New Roman"/>
          <w:sz w:val="20"/>
          <w:szCs w:val="24"/>
        </w:rPr>
      </w:pPr>
    </w:p>
    <w:p w14:paraId="59439485" w14:textId="77777777" w:rsidR="00A614A4" w:rsidRDefault="00A614A4" w:rsidP="003B6B02">
      <w:pPr>
        <w:spacing w:after="0" w:line="240" w:lineRule="auto"/>
        <w:ind w:firstLine="851"/>
        <w:rPr>
          <w:rFonts w:ascii="Times New Roman" w:hAnsi="Times New Roman"/>
          <w:sz w:val="20"/>
          <w:szCs w:val="24"/>
        </w:rPr>
      </w:pPr>
    </w:p>
    <w:p w14:paraId="10A59826" w14:textId="77777777" w:rsidR="00A614A4" w:rsidRDefault="00A614A4" w:rsidP="003B6B02">
      <w:pPr>
        <w:spacing w:after="0" w:line="240" w:lineRule="auto"/>
        <w:ind w:firstLine="851"/>
        <w:rPr>
          <w:rFonts w:ascii="Times New Roman" w:hAnsi="Times New Roman"/>
          <w:sz w:val="20"/>
          <w:szCs w:val="24"/>
        </w:rPr>
      </w:pPr>
      <w:r>
        <w:rPr>
          <w:rFonts w:ascii="Times New Roman" w:hAnsi="Times New Roman"/>
          <w:sz w:val="20"/>
          <w:szCs w:val="24"/>
        </w:rPr>
        <w:t>Depkovska, 67047772</w:t>
      </w:r>
    </w:p>
    <w:p w14:paraId="3BCA9783" w14:textId="77777777" w:rsidR="00A614A4" w:rsidRPr="004C0807" w:rsidRDefault="0056526A" w:rsidP="003B6B02">
      <w:pPr>
        <w:spacing w:after="0" w:line="240" w:lineRule="auto"/>
        <w:ind w:firstLine="851"/>
        <w:rPr>
          <w:rFonts w:ascii="Times New Roman" w:hAnsi="Times New Roman"/>
          <w:sz w:val="20"/>
          <w:szCs w:val="24"/>
        </w:rPr>
      </w:pPr>
      <w:hyperlink r:id="rId8" w:history="1">
        <w:r w:rsidR="00A614A4" w:rsidRPr="000C2734">
          <w:rPr>
            <w:rStyle w:val="Hyperlink"/>
            <w:rFonts w:ascii="Times New Roman" w:hAnsi="Times New Roman"/>
            <w:sz w:val="20"/>
            <w:szCs w:val="24"/>
          </w:rPr>
          <w:t>anita.depkovska@izm.gov.lv</w:t>
        </w:r>
      </w:hyperlink>
      <w:r w:rsidR="00A614A4">
        <w:rPr>
          <w:rFonts w:ascii="Times New Roman" w:hAnsi="Times New Roman"/>
          <w:sz w:val="20"/>
          <w:szCs w:val="24"/>
        </w:rPr>
        <w:t xml:space="preserve"> </w:t>
      </w:r>
    </w:p>
    <w:sectPr w:rsidR="00A614A4" w:rsidRPr="004C0807" w:rsidSect="00A614A4">
      <w:headerReference w:type="default" r:id="rId9"/>
      <w:footerReference w:type="default" r:id="rId10"/>
      <w:headerReference w:type="first" r:id="rId11"/>
      <w:footerReference w:type="first" r:id="rId12"/>
      <w:type w:val="continuous"/>
      <w:pgSz w:w="11920" w:h="16840"/>
      <w:pgMar w:top="1134" w:right="851" w:bottom="1134" w:left="1701" w:header="709"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29740" w14:textId="77777777" w:rsidR="0056526A" w:rsidRDefault="0056526A">
      <w:pPr>
        <w:spacing w:after="0" w:line="240" w:lineRule="auto"/>
      </w:pPr>
      <w:r>
        <w:separator/>
      </w:r>
    </w:p>
  </w:endnote>
  <w:endnote w:type="continuationSeparator" w:id="0">
    <w:p w14:paraId="4D610576" w14:textId="77777777" w:rsidR="0056526A" w:rsidRDefault="00565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3E997" w14:textId="77777777" w:rsidR="00A614A4" w:rsidRPr="00A614A4" w:rsidRDefault="00416C1E" w:rsidP="00A614A4">
    <w:pPr>
      <w:pStyle w:val="Footer"/>
      <w:jc w:val="both"/>
      <w:rPr>
        <w:rFonts w:ascii="Times New Roman" w:hAnsi="Times New Roman"/>
      </w:rPr>
    </w:pPr>
    <w:r w:rsidRPr="00A614A4">
      <w:rPr>
        <w:rFonts w:ascii="Times New Roman" w:hAnsi="Times New Roman"/>
      </w:rPr>
      <w:t>IZMpav_140119_kreditpunkti</w:t>
    </w:r>
    <w:r w:rsidR="00A614A4">
      <w:rPr>
        <w:rFonts w:ascii="Times New Roman" w:hAnsi="Times New Roman"/>
      </w:rPr>
      <w:t xml:space="preserve">; </w:t>
    </w:r>
    <w:r w:rsidR="00A614A4" w:rsidRPr="00447057">
      <w:rPr>
        <w:rFonts w:ascii="Times New Roman" w:hAnsi="Times New Roman"/>
        <w:color w:val="000000"/>
      </w:rPr>
      <w:t xml:space="preserve">Par Ministru kabineta sēdes protokollēmuma projektu saistībā ar </w:t>
    </w:r>
    <w:r w:rsidR="00A614A4" w:rsidRPr="00A614A4">
      <w:rPr>
        <w:rFonts w:ascii="Times New Roman" w:hAnsi="Times New Roman"/>
        <w:color w:val="000000"/>
      </w:rPr>
      <w:t>2016.gada 26.janvāra</w:t>
    </w:r>
    <w:r w:rsidR="00A614A4" w:rsidRPr="00447057">
      <w:rPr>
        <w:rFonts w:ascii="Times New Roman" w:hAnsi="Times New Roman"/>
        <w:color w:val="000000"/>
      </w:rPr>
      <w:t xml:space="preserve"> sēdes protokollēmumā dotā uzdevuma (prot.</w:t>
    </w:r>
    <w:r w:rsidR="00A614A4" w:rsidRPr="00A614A4">
      <w:rPr>
        <w:rFonts w:ascii="Times New Roman" w:hAnsi="Times New Roman"/>
        <w:color w:val="000000"/>
      </w:rPr>
      <w:t xml:space="preserve"> Nr.4 91</w:t>
    </w:r>
    <w:r w:rsidR="00A614A4" w:rsidRPr="00447057">
      <w:rPr>
        <w:rFonts w:ascii="Times New Roman" w:hAnsi="Times New Roman"/>
        <w:color w:val="000000"/>
      </w:rPr>
      <w:t>.§) izpildi</w:t>
    </w:r>
  </w:p>
  <w:p w14:paraId="3CF5337A" w14:textId="77777777" w:rsidR="00A614A4" w:rsidRPr="00A614A4" w:rsidRDefault="00A614A4" w:rsidP="00A614A4">
    <w:pPr>
      <w:pStyle w:val="Footer"/>
      <w:rPr>
        <w:rFonts w:ascii="Times New Roman" w:hAnsi="Times New Roman"/>
      </w:rPr>
    </w:pPr>
  </w:p>
  <w:p w14:paraId="25C49F32" w14:textId="77777777" w:rsidR="00416C1E" w:rsidRPr="00A614A4" w:rsidRDefault="00416C1E" w:rsidP="00416C1E">
    <w:pPr>
      <w:pStyle w:val="Footer"/>
      <w:rPr>
        <w:rFonts w:ascii="Times New Roman" w:hAnsi="Times New Roman"/>
      </w:rPr>
    </w:pPr>
  </w:p>
  <w:p w14:paraId="031C0CC5" w14:textId="77777777" w:rsidR="00416C1E" w:rsidRDefault="00416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D85C" w14:textId="77777777" w:rsidR="00416C1E" w:rsidRPr="00A614A4" w:rsidRDefault="00416C1E" w:rsidP="00A614A4">
    <w:pPr>
      <w:pStyle w:val="Footer"/>
      <w:jc w:val="both"/>
      <w:rPr>
        <w:rFonts w:ascii="Times New Roman" w:hAnsi="Times New Roman"/>
      </w:rPr>
    </w:pPr>
    <w:r w:rsidRPr="00A614A4">
      <w:rPr>
        <w:rFonts w:ascii="Times New Roman" w:hAnsi="Times New Roman"/>
      </w:rPr>
      <w:t>IZMpav_140119_kreditpunkti</w:t>
    </w:r>
    <w:r w:rsidR="00A614A4" w:rsidRPr="00A614A4">
      <w:rPr>
        <w:rFonts w:ascii="Times New Roman" w:hAnsi="Times New Roman"/>
      </w:rPr>
      <w:t>;</w:t>
    </w:r>
    <w:r w:rsidR="00A614A4" w:rsidRPr="00A614A4">
      <w:rPr>
        <w:rFonts w:ascii="Times New Roman" w:hAnsi="Times New Roman"/>
        <w:color w:val="000000"/>
      </w:rPr>
      <w:t xml:space="preserve"> </w:t>
    </w:r>
    <w:r w:rsidR="00A614A4" w:rsidRPr="00447057">
      <w:rPr>
        <w:rFonts w:ascii="Times New Roman" w:hAnsi="Times New Roman"/>
        <w:color w:val="000000"/>
      </w:rPr>
      <w:t xml:space="preserve">Par Ministru kabineta sēdes protokollēmuma projektu saistībā ar </w:t>
    </w:r>
    <w:r w:rsidR="00A614A4" w:rsidRPr="00A614A4">
      <w:rPr>
        <w:rFonts w:ascii="Times New Roman" w:hAnsi="Times New Roman"/>
        <w:color w:val="000000"/>
      </w:rPr>
      <w:t>2016.gada 26.janvāra</w:t>
    </w:r>
    <w:r w:rsidR="00A614A4" w:rsidRPr="00447057">
      <w:rPr>
        <w:rFonts w:ascii="Times New Roman" w:hAnsi="Times New Roman"/>
        <w:color w:val="000000"/>
      </w:rPr>
      <w:t xml:space="preserve"> sēdes protokollēmumā dotā uzdevuma (prot.</w:t>
    </w:r>
    <w:r w:rsidR="00A614A4" w:rsidRPr="00A614A4">
      <w:rPr>
        <w:rFonts w:ascii="Times New Roman" w:hAnsi="Times New Roman"/>
        <w:color w:val="000000"/>
      </w:rPr>
      <w:t xml:space="preserve"> Nr.4 91</w:t>
    </w:r>
    <w:r w:rsidR="00A614A4" w:rsidRPr="00447057">
      <w:rPr>
        <w:rFonts w:ascii="Times New Roman" w:hAnsi="Times New Roman"/>
        <w:color w:val="000000"/>
      </w:rPr>
      <w:t>.§) izpildi</w:t>
    </w:r>
  </w:p>
  <w:p w14:paraId="072C30FE" w14:textId="77777777" w:rsidR="00A614A4" w:rsidRPr="00A614A4" w:rsidRDefault="00A614A4">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924F6" w14:textId="77777777" w:rsidR="0056526A" w:rsidRDefault="0056526A">
      <w:pPr>
        <w:spacing w:after="0" w:line="240" w:lineRule="auto"/>
      </w:pPr>
      <w:r>
        <w:separator/>
      </w:r>
    </w:p>
  </w:footnote>
  <w:footnote w:type="continuationSeparator" w:id="0">
    <w:p w14:paraId="45A255A5" w14:textId="77777777" w:rsidR="0056526A" w:rsidRDefault="0056526A">
      <w:pPr>
        <w:spacing w:after="0" w:line="240" w:lineRule="auto"/>
      </w:pPr>
      <w:r>
        <w:continuationSeparator/>
      </w:r>
    </w:p>
  </w:footnote>
  <w:footnote w:id="1">
    <w:p w14:paraId="1F55D401" w14:textId="77777777" w:rsidR="0048295D" w:rsidRPr="000013C9" w:rsidRDefault="0048295D" w:rsidP="0048295D">
      <w:pPr>
        <w:pStyle w:val="FootnoteText"/>
        <w:rPr>
          <w:rFonts w:ascii="Times New Roman" w:hAnsi="Times New Roman"/>
        </w:rPr>
      </w:pPr>
      <w:r w:rsidRPr="000013C9">
        <w:rPr>
          <w:rStyle w:val="FootnoteReference"/>
          <w:rFonts w:ascii="Times New Roman" w:hAnsi="Times New Roman"/>
        </w:rPr>
        <w:footnoteRef/>
      </w:r>
      <w:r w:rsidRPr="000013C9">
        <w:rPr>
          <w:rFonts w:ascii="Times New Roman" w:hAnsi="Times New Roman"/>
        </w:rPr>
        <w:t xml:space="preserve"> Skat. </w:t>
      </w:r>
      <w:hyperlink r:id="rId1" w:history="1">
        <w:r w:rsidRPr="000013C9">
          <w:rPr>
            <w:rStyle w:val="Hyperlink"/>
            <w:rFonts w:ascii="Times New Roman" w:hAnsi="Times New Roman"/>
          </w:rPr>
          <w:t>https://www.cfla.gov.lv/CFLA2/item.php?itemID=91</w:t>
        </w:r>
      </w:hyperlink>
      <w:r w:rsidRPr="000013C9">
        <w:rPr>
          <w:rFonts w:ascii="Times New Roman" w:hAnsi="Times New Roman"/>
        </w:rPr>
        <w:t xml:space="preserve"> </w:t>
      </w:r>
    </w:p>
  </w:footnote>
  <w:footnote w:id="2">
    <w:p w14:paraId="3AB2FC56" w14:textId="77777777" w:rsidR="0048295D" w:rsidRPr="000013C9" w:rsidRDefault="0048295D" w:rsidP="0048295D">
      <w:pPr>
        <w:pStyle w:val="FootnoteText"/>
        <w:rPr>
          <w:rFonts w:ascii="Times New Roman" w:hAnsi="Times New Roman"/>
        </w:rPr>
      </w:pPr>
      <w:r w:rsidRPr="000013C9">
        <w:rPr>
          <w:rStyle w:val="FootnoteReference"/>
          <w:rFonts w:ascii="Times New Roman" w:hAnsi="Times New Roman"/>
        </w:rPr>
        <w:footnoteRef/>
      </w:r>
      <w:r w:rsidRPr="000013C9">
        <w:rPr>
          <w:rFonts w:ascii="Times New Roman" w:hAnsi="Times New Roman"/>
        </w:rPr>
        <w:t xml:space="preserve"> Skat. </w:t>
      </w:r>
      <w:hyperlink r:id="rId2" w:history="1">
        <w:r w:rsidRPr="000013C9">
          <w:rPr>
            <w:rStyle w:val="Hyperlink"/>
            <w:rFonts w:ascii="Times New Roman" w:hAnsi="Times New Roman"/>
          </w:rPr>
          <w:t>https://www.cfla.gov.lv/CFLA2/item.php?itemID=92</w:t>
        </w:r>
      </w:hyperlink>
      <w:r w:rsidRPr="000013C9">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rPr>
      <w:id w:val="754090406"/>
      <w:docPartObj>
        <w:docPartGallery w:val="Page Numbers (Top of Page)"/>
        <w:docPartUnique/>
      </w:docPartObj>
    </w:sdtPr>
    <w:sdtEndPr>
      <w:rPr>
        <w:noProof/>
      </w:rPr>
    </w:sdtEndPr>
    <w:sdtContent>
      <w:p w14:paraId="64AFF673" w14:textId="77777777" w:rsidR="004C0807" w:rsidRPr="004C0807" w:rsidRDefault="004C0807">
        <w:pPr>
          <w:pStyle w:val="Header"/>
          <w:jc w:val="center"/>
          <w:rPr>
            <w:rFonts w:ascii="Times New Roman" w:hAnsi="Times New Roman"/>
            <w:sz w:val="28"/>
          </w:rPr>
        </w:pPr>
        <w:r w:rsidRPr="004C0807">
          <w:rPr>
            <w:rFonts w:ascii="Times New Roman" w:hAnsi="Times New Roman"/>
            <w:sz w:val="28"/>
          </w:rPr>
          <w:fldChar w:fldCharType="begin"/>
        </w:r>
        <w:r w:rsidRPr="004C0807">
          <w:rPr>
            <w:rFonts w:ascii="Times New Roman" w:hAnsi="Times New Roman"/>
            <w:sz w:val="28"/>
          </w:rPr>
          <w:instrText xml:space="preserve"> PAGE   \* MERGEFORMAT </w:instrText>
        </w:r>
        <w:r w:rsidRPr="004C0807">
          <w:rPr>
            <w:rFonts w:ascii="Times New Roman" w:hAnsi="Times New Roman"/>
            <w:sz w:val="28"/>
          </w:rPr>
          <w:fldChar w:fldCharType="separate"/>
        </w:r>
        <w:r w:rsidR="0002063E">
          <w:rPr>
            <w:rFonts w:ascii="Times New Roman" w:hAnsi="Times New Roman"/>
            <w:noProof/>
            <w:sz w:val="28"/>
          </w:rPr>
          <w:t>4</w:t>
        </w:r>
        <w:r w:rsidRPr="004C0807">
          <w:rPr>
            <w:rFonts w:ascii="Times New Roman" w:hAnsi="Times New Roman"/>
            <w:noProof/>
            <w:sz w:val="28"/>
          </w:rPr>
          <w:fldChar w:fldCharType="end"/>
        </w:r>
      </w:p>
    </w:sdtContent>
  </w:sdt>
  <w:p w14:paraId="4D8E818D" w14:textId="77777777" w:rsidR="004C0807" w:rsidRDefault="004C0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1E66F" w14:textId="77777777" w:rsidR="0029154C" w:rsidRDefault="0029154C" w:rsidP="0029154C">
    <w:pPr>
      <w:pStyle w:val="Header"/>
      <w:rPr>
        <w:rFonts w:ascii="Times New Roman" w:hAnsi="Times New Roman"/>
      </w:rPr>
    </w:pPr>
  </w:p>
  <w:p w14:paraId="36021B19" w14:textId="77777777" w:rsidR="0029154C" w:rsidRDefault="0029154C" w:rsidP="0029154C">
    <w:pPr>
      <w:pStyle w:val="Header"/>
      <w:rPr>
        <w:rFonts w:ascii="Times New Roman" w:hAnsi="Times New Roman"/>
      </w:rPr>
    </w:pPr>
  </w:p>
  <w:p w14:paraId="09D661B5" w14:textId="77777777" w:rsidR="0029154C" w:rsidRDefault="0029154C" w:rsidP="0029154C">
    <w:pPr>
      <w:pStyle w:val="Header"/>
      <w:rPr>
        <w:rFonts w:ascii="Times New Roman" w:hAnsi="Times New Roman"/>
      </w:rPr>
    </w:pPr>
  </w:p>
  <w:p w14:paraId="006F0525" w14:textId="77777777" w:rsidR="0029154C" w:rsidRDefault="0029154C" w:rsidP="0029154C">
    <w:pPr>
      <w:pStyle w:val="Header"/>
      <w:rPr>
        <w:rFonts w:ascii="Times New Roman" w:hAnsi="Times New Roman"/>
      </w:rPr>
    </w:pPr>
  </w:p>
  <w:p w14:paraId="3E250C3F" w14:textId="77777777" w:rsidR="0029154C" w:rsidRDefault="0029154C" w:rsidP="0029154C">
    <w:pPr>
      <w:pStyle w:val="Header"/>
      <w:rPr>
        <w:rFonts w:ascii="Times New Roman" w:hAnsi="Times New Roman"/>
      </w:rPr>
    </w:pPr>
  </w:p>
  <w:p w14:paraId="2E53A262" w14:textId="77777777" w:rsidR="0029154C" w:rsidRDefault="0029154C" w:rsidP="0029154C">
    <w:pPr>
      <w:pStyle w:val="Header"/>
      <w:rPr>
        <w:rFonts w:ascii="Times New Roman" w:hAnsi="Times New Roman"/>
      </w:rPr>
    </w:pPr>
  </w:p>
  <w:p w14:paraId="59895235" w14:textId="77777777" w:rsidR="0029154C" w:rsidRDefault="0029154C" w:rsidP="0029154C">
    <w:pPr>
      <w:pStyle w:val="Header"/>
      <w:rPr>
        <w:rFonts w:ascii="Times New Roman" w:hAnsi="Times New Roman"/>
      </w:rPr>
    </w:pPr>
  </w:p>
  <w:p w14:paraId="04239579" w14:textId="77777777" w:rsidR="0029154C" w:rsidRDefault="0029154C" w:rsidP="0029154C">
    <w:pPr>
      <w:pStyle w:val="Header"/>
      <w:rPr>
        <w:rFonts w:ascii="Times New Roman" w:hAnsi="Times New Roman"/>
      </w:rPr>
    </w:pPr>
  </w:p>
  <w:p w14:paraId="6429EABE" w14:textId="77777777" w:rsidR="0029154C" w:rsidRDefault="0029154C" w:rsidP="0029154C">
    <w:pPr>
      <w:pStyle w:val="Header"/>
      <w:rPr>
        <w:rFonts w:ascii="Times New Roman" w:hAnsi="Times New Roman"/>
      </w:rPr>
    </w:pPr>
  </w:p>
  <w:p w14:paraId="371F662C" w14:textId="77777777" w:rsidR="0029154C" w:rsidRDefault="0029154C" w:rsidP="0029154C">
    <w:pPr>
      <w:pStyle w:val="Header"/>
      <w:rPr>
        <w:rFonts w:ascii="Times New Roman" w:hAnsi="Times New Roman"/>
      </w:rPr>
    </w:pPr>
  </w:p>
  <w:p w14:paraId="4A9F7615" w14:textId="77777777" w:rsidR="0029154C" w:rsidRPr="00815277" w:rsidRDefault="00CD6899" w:rsidP="0029154C">
    <w:pPr>
      <w:pStyle w:val="Header"/>
      <w:rPr>
        <w:rFonts w:ascii="Times New Roman" w:hAnsi="Times New Roman"/>
      </w:rPr>
    </w:pPr>
    <w:r>
      <w:rPr>
        <w:noProof/>
        <w:lang w:eastAsia="lv-LV"/>
      </w:rPr>
      <w:drawing>
        <wp:anchor distT="0" distB="0" distL="114300" distR="114300" simplePos="0" relativeHeight="251656704" behindDoc="1" locked="0" layoutInCell="1" allowOverlap="1" wp14:anchorId="3648609A" wp14:editId="11AECE9D">
          <wp:simplePos x="0" y="0"/>
          <wp:positionH relativeFrom="page">
            <wp:posOffset>1217930</wp:posOffset>
          </wp:positionH>
          <wp:positionV relativeFrom="page">
            <wp:posOffset>742950</wp:posOffset>
          </wp:positionV>
          <wp:extent cx="5671820" cy="1033145"/>
          <wp:effectExtent l="0" t="0" r="508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r w:rsidR="00FA4C56">
      <w:rPr>
        <w:noProof/>
        <w:lang w:eastAsia="lv-LV"/>
      </w:rPr>
      <mc:AlternateContent>
        <mc:Choice Requires="wps">
          <w:drawing>
            <wp:anchor distT="0" distB="0" distL="114300" distR="114300" simplePos="0" relativeHeight="251658752" behindDoc="1" locked="0" layoutInCell="1" allowOverlap="1" wp14:anchorId="7A390844" wp14:editId="78FF117C">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7CF30" w14:textId="77777777" w:rsidR="0029154C" w:rsidRDefault="0029154C" w:rsidP="0029154C">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 tālr. 67226209, fakss 67223905, e-pasts pasts@izm.gov.lv, www.izm.gov.lv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29154C" w:rsidRDefault="0029154C" w:rsidP="0029154C">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 tālr. 67226209, fakss 67223905, e-pasts pasts@izm.gov.lv, www.izm.gov.lv</w:t>
                    </w:r>
                  </w:p>
                </w:txbxContent>
              </v:textbox>
              <w10:wrap anchorx="page" anchory="page"/>
            </v:shape>
          </w:pict>
        </mc:Fallback>
      </mc:AlternateContent>
    </w:r>
    <w:r w:rsidR="00FA4C56">
      <w:rPr>
        <w:noProof/>
        <w:lang w:eastAsia="lv-LV"/>
      </w:rPr>
      <mc:AlternateContent>
        <mc:Choice Requires="wpg">
          <w:drawing>
            <wp:anchor distT="0" distB="0" distL="114300" distR="114300" simplePos="0" relativeHeight="251657728" behindDoc="1" locked="0" layoutInCell="1" allowOverlap="1" wp14:anchorId="6C4EBAC1" wp14:editId="235F6FEE">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068E6"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6281E422" w14:textId="77777777" w:rsidR="0029154C" w:rsidRDefault="00291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505CF2"/>
    <w:multiLevelType w:val="hybridMultilevel"/>
    <w:tmpl w:val="E6EEF768"/>
    <w:lvl w:ilvl="0" w:tplc="5148AD9C">
      <w:start w:val="1"/>
      <w:numFmt w:val="decimal"/>
      <w:lvlText w:val="%1."/>
      <w:lvlJc w:val="left"/>
      <w:pPr>
        <w:ind w:left="1023" w:hanging="360"/>
      </w:pPr>
      <w:rPr>
        <w:rFonts w:eastAsia="Calibri" w:hint="default"/>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3470"/>
    <w:rsid w:val="00006384"/>
    <w:rsid w:val="0002063E"/>
    <w:rsid w:val="00030349"/>
    <w:rsid w:val="00041BF9"/>
    <w:rsid w:val="000B0F3E"/>
    <w:rsid w:val="0010478F"/>
    <w:rsid w:val="00124173"/>
    <w:rsid w:val="0021556E"/>
    <w:rsid w:val="00275B9E"/>
    <w:rsid w:val="0029154C"/>
    <w:rsid w:val="002B3077"/>
    <w:rsid w:val="002E1474"/>
    <w:rsid w:val="00304A60"/>
    <w:rsid w:val="00327E1D"/>
    <w:rsid w:val="00335032"/>
    <w:rsid w:val="00374A7E"/>
    <w:rsid w:val="003B6B02"/>
    <w:rsid w:val="00404D5B"/>
    <w:rsid w:val="00412762"/>
    <w:rsid w:val="00416C1E"/>
    <w:rsid w:val="004367F2"/>
    <w:rsid w:val="00445E09"/>
    <w:rsid w:val="00447057"/>
    <w:rsid w:val="0048295D"/>
    <w:rsid w:val="00493308"/>
    <w:rsid w:val="00497A62"/>
    <w:rsid w:val="004C0807"/>
    <w:rsid w:val="004C56C6"/>
    <w:rsid w:val="004D7D93"/>
    <w:rsid w:val="00534914"/>
    <w:rsid w:val="00535564"/>
    <w:rsid w:val="0054256A"/>
    <w:rsid w:val="0056448F"/>
    <w:rsid w:val="0056526A"/>
    <w:rsid w:val="005D2E7A"/>
    <w:rsid w:val="006234ED"/>
    <w:rsid w:val="00624F4B"/>
    <w:rsid w:val="00632B22"/>
    <w:rsid w:val="00663C3A"/>
    <w:rsid w:val="006806C3"/>
    <w:rsid w:val="006C1639"/>
    <w:rsid w:val="006D2609"/>
    <w:rsid w:val="00703980"/>
    <w:rsid w:val="00747CCB"/>
    <w:rsid w:val="007654D1"/>
    <w:rsid w:val="007704BD"/>
    <w:rsid w:val="00787C7E"/>
    <w:rsid w:val="007B3BA5"/>
    <w:rsid w:val="007B48EC"/>
    <w:rsid w:val="007E4D1F"/>
    <w:rsid w:val="00815277"/>
    <w:rsid w:val="00876C21"/>
    <w:rsid w:val="00923887"/>
    <w:rsid w:val="00950DDC"/>
    <w:rsid w:val="00954D5A"/>
    <w:rsid w:val="00A13854"/>
    <w:rsid w:val="00A17275"/>
    <w:rsid w:val="00A614A4"/>
    <w:rsid w:val="00A72000"/>
    <w:rsid w:val="00A86954"/>
    <w:rsid w:val="00AD2D59"/>
    <w:rsid w:val="00B92BE3"/>
    <w:rsid w:val="00BA38D4"/>
    <w:rsid w:val="00C47F57"/>
    <w:rsid w:val="00C94648"/>
    <w:rsid w:val="00CA6C67"/>
    <w:rsid w:val="00CD6899"/>
    <w:rsid w:val="00D04379"/>
    <w:rsid w:val="00D1721C"/>
    <w:rsid w:val="00D21FA6"/>
    <w:rsid w:val="00D314DC"/>
    <w:rsid w:val="00D407F3"/>
    <w:rsid w:val="00D509F2"/>
    <w:rsid w:val="00D53FF1"/>
    <w:rsid w:val="00D55B4B"/>
    <w:rsid w:val="00D6418E"/>
    <w:rsid w:val="00D76A6A"/>
    <w:rsid w:val="00E365CE"/>
    <w:rsid w:val="00E47290"/>
    <w:rsid w:val="00E71656"/>
    <w:rsid w:val="00EF3967"/>
    <w:rsid w:val="00F20335"/>
    <w:rsid w:val="00F60586"/>
    <w:rsid w:val="00F64EC3"/>
    <w:rsid w:val="00F84204"/>
    <w:rsid w:val="00FA4C56"/>
    <w:rsid w:val="00FC4A77"/>
    <w:rsid w:val="00FD73EE"/>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C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416C1E"/>
    <w:pPr>
      <w:ind w:left="720"/>
      <w:contextualSpacing/>
    </w:pPr>
  </w:style>
  <w:style w:type="paragraph" w:styleId="FootnoteText">
    <w:name w:val="footnote text"/>
    <w:basedOn w:val="Normal"/>
    <w:link w:val="FootnoteTextChar"/>
    <w:uiPriority w:val="99"/>
    <w:unhideWhenUsed/>
    <w:rsid w:val="00A614A4"/>
    <w:pPr>
      <w:widowControl/>
      <w:spacing w:after="0" w:line="240" w:lineRule="auto"/>
    </w:pPr>
    <w:rPr>
      <w:sz w:val="20"/>
      <w:szCs w:val="20"/>
    </w:rPr>
  </w:style>
  <w:style w:type="character" w:customStyle="1" w:styleId="FootnoteTextChar">
    <w:name w:val="Footnote Text Char"/>
    <w:basedOn w:val="DefaultParagraphFont"/>
    <w:link w:val="FootnoteText"/>
    <w:uiPriority w:val="99"/>
    <w:rsid w:val="00A614A4"/>
    <w:rPr>
      <w:lang w:eastAsia="en-US"/>
    </w:rPr>
  </w:style>
  <w:style w:type="character" w:styleId="FootnoteReference">
    <w:name w:val="footnote reference"/>
    <w:basedOn w:val="DefaultParagraphFont"/>
    <w:uiPriority w:val="99"/>
    <w:unhideWhenUsed/>
    <w:rsid w:val="00A614A4"/>
    <w:rPr>
      <w:vertAlign w:val="superscript"/>
    </w:rPr>
  </w:style>
  <w:style w:type="character" w:styleId="CommentReference">
    <w:name w:val="annotation reference"/>
    <w:basedOn w:val="DefaultParagraphFont"/>
    <w:uiPriority w:val="99"/>
    <w:semiHidden/>
    <w:unhideWhenUsed/>
    <w:rsid w:val="004367F2"/>
    <w:rPr>
      <w:sz w:val="16"/>
      <w:szCs w:val="16"/>
    </w:rPr>
  </w:style>
  <w:style w:type="paragraph" w:styleId="CommentText">
    <w:name w:val="annotation text"/>
    <w:basedOn w:val="Normal"/>
    <w:link w:val="CommentTextChar"/>
    <w:uiPriority w:val="99"/>
    <w:semiHidden/>
    <w:unhideWhenUsed/>
    <w:rsid w:val="004367F2"/>
    <w:pPr>
      <w:spacing w:line="240" w:lineRule="auto"/>
    </w:pPr>
    <w:rPr>
      <w:sz w:val="20"/>
      <w:szCs w:val="20"/>
    </w:rPr>
  </w:style>
  <w:style w:type="character" w:customStyle="1" w:styleId="CommentTextChar">
    <w:name w:val="Comment Text Char"/>
    <w:basedOn w:val="DefaultParagraphFont"/>
    <w:link w:val="CommentText"/>
    <w:uiPriority w:val="99"/>
    <w:semiHidden/>
    <w:rsid w:val="004367F2"/>
    <w:rPr>
      <w:lang w:eastAsia="en-US"/>
    </w:rPr>
  </w:style>
  <w:style w:type="paragraph" w:styleId="CommentSubject">
    <w:name w:val="annotation subject"/>
    <w:basedOn w:val="CommentText"/>
    <w:next w:val="CommentText"/>
    <w:link w:val="CommentSubjectChar"/>
    <w:uiPriority w:val="99"/>
    <w:semiHidden/>
    <w:unhideWhenUsed/>
    <w:rsid w:val="004367F2"/>
    <w:rPr>
      <w:b/>
      <w:bCs/>
    </w:rPr>
  </w:style>
  <w:style w:type="character" w:customStyle="1" w:styleId="CommentSubjectChar">
    <w:name w:val="Comment Subject Char"/>
    <w:basedOn w:val="CommentTextChar"/>
    <w:link w:val="CommentSubject"/>
    <w:uiPriority w:val="99"/>
    <w:semiHidden/>
    <w:rsid w:val="004367F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04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depkovska@iz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fla.gov.lv/CFLA2/item.php?itemID=9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fla.gov.lv/CFLA2/item.php?itemID=92" TargetMode="External"/><Relationship Id="rId1" Type="http://schemas.openxmlformats.org/officeDocument/2006/relationships/hyperlink" Target="https://www.cfla.gov.lv/CFLA2/item.php?itemID=9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4587</Words>
  <Characters>2615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2019-01-15T11:00:00Z</dcterms:created>
  <dcterms:modified xsi:type="dcterms:W3CDTF">2019-01-16T12:52:00Z</dcterms:modified>
</cp:coreProperties>
</file>