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BA" w:rsidRPr="0088747A" w:rsidRDefault="00AB31BA" w:rsidP="00AB31BA">
      <w:pPr>
        <w:spacing w:after="0" w:line="240" w:lineRule="auto"/>
        <w:jc w:val="center"/>
        <w:rPr>
          <w:rFonts w:ascii="Times New Roman" w:hAnsi="Times New Roman"/>
          <w:b/>
          <w:sz w:val="28"/>
          <w:szCs w:val="28"/>
        </w:rPr>
      </w:pPr>
      <w:r w:rsidRPr="0088747A">
        <w:rPr>
          <w:rFonts w:ascii="Times New Roman" w:hAnsi="Times New Roman"/>
          <w:b/>
          <w:sz w:val="28"/>
          <w:szCs w:val="28"/>
        </w:rPr>
        <w:t>Ministru kabineta noteikumu projekta „Grozījumi Ministru kabineta</w:t>
      </w:r>
    </w:p>
    <w:p w:rsidR="00AB31BA" w:rsidRPr="0088747A" w:rsidRDefault="00AB31BA" w:rsidP="00AB31BA">
      <w:pPr>
        <w:spacing w:after="0" w:line="240" w:lineRule="auto"/>
        <w:jc w:val="center"/>
        <w:rPr>
          <w:rFonts w:ascii="Times New Roman" w:hAnsi="Times New Roman"/>
          <w:b/>
          <w:sz w:val="28"/>
          <w:szCs w:val="28"/>
        </w:rPr>
      </w:pPr>
      <w:r w:rsidRPr="0088747A">
        <w:rPr>
          <w:rFonts w:ascii="Times New Roman" w:hAnsi="Times New Roman"/>
          <w:b/>
          <w:sz w:val="28"/>
          <w:szCs w:val="28"/>
        </w:rPr>
        <w:t>2002.gada 23.aprīļa noteikumos Nr.165 „Apdrošināšanas periodu</w:t>
      </w:r>
    </w:p>
    <w:p w:rsidR="00AB31BA" w:rsidRPr="0088747A" w:rsidRDefault="00AB31BA" w:rsidP="00AB31BA">
      <w:pPr>
        <w:spacing w:after="0" w:line="240" w:lineRule="auto"/>
        <w:jc w:val="center"/>
        <w:rPr>
          <w:rFonts w:ascii="Times New Roman" w:hAnsi="Times New Roman"/>
          <w:b/>
          <w:sz w:val="28"/>
          <w:szCs w:val="28"/>
        </w:rPr>
      </w:pPr>
      <w:r w:rsidRPr="0088747A">
        <w:rPr>
          <w:rFonts w:ascii="Times New Roman" w:hAnsi="Times New Roman"/>
          <w:b/>
          <w:sz w:val="28"/>
          <w:szCs w:val="28"/>
        </w:rPr>
        <w:t>pierādīšanas, aprēķināšanas un uzskaites kārtība””</w:t>
      </w:r>
    </w:p>
    <w:p w:rsidR="00AB31BA" w:rsidRPr="0088747A" w:rsidRDefault="00AB31BA" w:rsidP="00AB31BA">
      <w:pPr>
        <w:spacing w:after="0" w:line="240" w:lineRule="auto"/>
        <w:jc w:val="center"/>
        <w:rPr>
          <w:rFonts w:ascii="Times New Roman" w:hAnsi="Times New Roman"/>
          <w:b/>
          <w:sz w:val="28"/>
          <w:szCs w:val="28"/>
        </w:rPr>
      </w:pPr>
      <w:r w:rsidRPr="0088747A">
        <w:rPr>
          <w:rFonts w:ascii="Times New Roman" w:hAnsi="Times New Roman"/>
          <w:b/>
          <w:sz w:val="28"/>
          <w:szCs w:val="28"/>
        </w:rPr>
        <w:t>sākotnējās ietekmes novērtējuma ziņojums (anotācija)</w:t>
      </w:r>
    </w:p>
    <w:p w:rsidR="00AB31BA" w:rsidRPr="0088747A" w:rsidRDefault="00AB31BA" w:rsidP="00AB31BA">
      <w:pPr>
        <w:spacing w:after="0" w:line="240" w:lineRule="auto"/>
        <w:rPr>
          <w:rFonts w:ascii="Times New Roman" w:hAnsi="Times New Roman"/>
          <w:iCs/>
          <w:noProof/>
          <w:color w:val="000000"/>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053"/>
        <w:gridCol w:w="6168"/>
      </w:tblGrid>
      <w:tr w:rsidR="00AB31BA" w:rsidRPr="0088747A" w:rsidTr="00C06B07">
        <w:trPr>
          <w:tblCellSpacing w:w="15" w:type="dxa"/>
        </w:trPr>
        <w:tc>
          <w:tcPr>
            <w:tcW w:w="0" w:type="auto"/>
            <w:gridSpan w:val="2"/>
            <w:tcBorders>
              <w:top w:val="outset" w:sz="6" w:space="0" w:color="auto"/>
              <w:bottom w:val="outset" w:sz="6" w:space="0" w:color="auto"/>
            </w:tcBorders>
            <w:vAlign w:val="center"/>
          </w:tcPr>
          <w:p w:rsidR="00AB31BA" w:rsidRPr="0088747A" w:rsidRDefault="00AB31BA" w:rsidP="00C06B07">
            <w:pPr>
              <w:spacing w:after="0" w:line="276" w:lineRule="auto"/>
              <w:rPr>
                <w:rFonts w:ascii="Times New Roman" w:hAnsi="Times New Roman"/>
                <w:b/>
                <w:bCs/>
                <w:iCs/>
                <w:sz w:val="28"/>
                <w:szCs w:val="28"/>
                <w:lang w:val="sv-SE"/>
              </w:rPr>
            </w:pPr>
            <w:r w:rsidRPr="0088747A">
              <w:rPr>
                <w:rFonts w:ascii="Times New Roman" w:hAnsi="Times New Roman"/>
                <w:b/>
                <w:bCs/>
                <w:iCs/>
                <w:sz w:val="28"/>
                <w:szCs w:val="28"/>
                <w:lang w:val="sv-SE"/>
              </w:rPr>
              <w:t>Tiesību akta projekta anotācijas kopsavilkums</w:t>
            </w:r>
          </w:p>
        </w:tc>
      </w:tr>
      <w:tr w:rsidR="00AB31BA" w:rsidRPr="0088747A" w:rsidTr="00C06B07">
        <w:trPr>
          <w:tblCellSpacing w:w="15" w:type="dxa"/>
        </w:trPr>
        <w:tc>
          <w:tcPr>
            <w:tcW w:w="1631" w:type="pct"/>
            <w:tcBorders>
              <w:top w:val="outset" w:sz="6" w:space="0" w:color="auto"/>
              <w:bottom w:val="outset" w:sz="6" w:space="0" w:color="auto"/>
              <w:right w:val="outset" w:sz="6" w:space="0" w:color="auto"/>
            </w:tcBorders>
          </w:tcPr>
          <w:p w:rsidR="00AB31BA" w:rsidRPr="0088747A" w:rsidRDefault="00AB31BA" w:rsidP="00C06B07">
            <w:pPr>
              <w:spacing w:after="0" w:line="276" w:lineRule="auto"/>
              <w:rPr>
                <w:rFonts w:ascii="Times New Roman" w:hAnsi="Times New Roman"/>
                <w:iCs/>
                <w:sz w:val="28"/>
                <w:szCs w:val="28"/>
                <w:lang w:val="sv-SE"/>
              </w:rPr>
            </w:pPr>
            <w:r w:rsidRPr="0088747A">
              <w:rPr>
                <w:rFonts w:ascii="Times New Roman" w:hAnsi="Times New Roman"/>
                <w:iCs/>
                <w:sz w:val="28"/>
                <w:szCs w:val="28"/>
                <w:lang w:val="sv-SE"/>
              </w:rPr>
              <w:t xml:space="preserve">Mērķis, risinājums un projekta spēkā stāšanās laiks </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xml:space="preserve">Ministru kabineta noteikumu projekts „Grozījumi Ministru kabineta 2002.gada 23.aprīļa noteikumos Nr.165 „Apdrošināšanas periodu pierādīšanas, aprēķināšanas un uzskaites kārtība”” (turpmāk – noteikumu projekts) izstrādāts, lai precizētu normas attiecībā uz darba un tam pielīdzināto periodu, kas uzkrāti līdz 1995.gada 31.decembrim, t.i., laikā līdz sociālās apdrošināšanas iemaksu personificētās uzskaites ieviešanai, noteikšanu un precizētu norādes uz dokumentiem, ar kuriem šie periodi ir pierādāmi. Noteikumu projekts izstrādāts pēc Labklājības ministrijas iniciatīvas. </w:t>
            </w:r>
          </w:p>
          <w:p w:rsidR="00AB31BA" w:rsidRPr="0088747A" w:rsidRDefault="00AB31BA" w:rsidP="00C06B07">
            <w:pPr>
              <w:spacing w:after="0" w:line="240" w:lineRule="auto"/>
              <w:jc w:val="both"/>
              <w:rPr>
                <w:rFonts w:ascii="Times New Roman" w:hAnsi="Times New Roman"/>
                <w:iCs/>
                <w:noProof/>
                <w:color w:val="000000"/>
                <w:sz w:val="28"/>
                <w:szCs w:val="28"/>
                <w:lang w:eastAsia="lv-LV"/>
              </w:rPr>
            </w:pPr>
          </w:p>
          <w:p w:rsidR="00AB31BA" w:rsidRPr="0088747A" w:rsidRDefault="00AB31BA" w:rsidP="00C06B07">
            <w:pPr>
              <w:spacing w:after="0" w:line="240" w:lineRule="auto"/>
              <w:jc w:val="both"/>
              <w:rPr>
                <w:sz w:val="28"/>
                <w:szCs w:val="28"/>
              </w:rPr>
            </w:pPr>
            <w:r w:rsidRPr="0088747A">
              <w:rPr>
                <w:rFonts w:ascii="Times New Roman" w:hAnsi="Times New Roman"/>
                <w:iCs/>
                <w:noProof/>
                <w:color w:val="000000"/>
                <w:sz w:val="28"/>
                <w:szCs w:val="28"/>
                <w:lang w:eastAsia="lv-LV"/>
              </w:rPr>
              <w:t>Paredzēts, ka noteikumi stāsies spēkā 2019. gadā vispārējā kārtībā.</w:t>
            </w:r>
          </w:p>
        </w:tc>
      </w:tr>
    </w:tbl>
    <w:p w:rsidR="00AB31BA" w:rsidRPr="0088747A" w:rsidRDefault="00AB31BA" w:rsidP="00AB31BA">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xml:space="preserve"> </w:t>
      </w:r>
    </w:p>
    <w:tbl>
      <w:tblPr>
        <w:tblW w:w="5000"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AB31BA" w:rsidRPr="0088747A" w:rsidTr="00C06B07">
        <w:trPr>
          <w:tblCellSpacing w:w="15" w:type="dxa"/>
        </w:trPr>
        <w:tc>
          <w:tcPr>
            <w:tcW w:w="0" w:type="auto"/>
            <w:gridSpan w:val="3"/>
            <w:tcBorders>
              <w:top w:val="outset" w:sz="6" w:space="0" w:color="auto"/>
              <w:bottom w:val="outset" w:sz="6" w:space="0" w:color="auto"/>
            </w:tcBorders>
            <w:vAlign w:val="center"/>
          </w:tcPr>
          <w:p w:rsidR="00AB31BA" w:rsidRPr="0088747A" w:rsidRDefault="00AB31BA" w:rsidP="00C06B07">
            <w:pPr>
              <w:spacing w:after="0" w:line="240" w:lineRule="auto"/>
              <w:rPr>
                <w:rFonts w:ascii="Times New Roman" w:hAnsi="Times New Roman"/>
                <w:b/>
                <w:bCs/>
                <w:iCs/>
                <w:noProof/>
                <w:color w:val="000000"/>
                <w:sz w:val="28"/>
                <w:szCs w:val="28"/>
                <w:lang w:eastAsia="lv-LV"/>
              </w:rPr>
            </w:pPr>
            <w:r w:rsidRPr="0088747A">
              <w:rPr>
                <w:rFonts w:ascii="Times New Roman" w:hAnsi="Times New Roman"/>
                <w:b/>
                <w:bCs/>
                <w:iCs/>
                <w:noProof/>
                <w:color w:val="000000"/>
                <w:sz w:val="28"/>
                <w:szCs w:val="28"/>
                <w:lang w:eastAsia="lv-LV"/>
              </w:rPr>
              <w:t>I. Tiesību akta projekta izstrādes nepieciešamība</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Pamatojums</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iCs/>
                <w:noProof/>
                <w:sz w:val="28"/>
                <w:szCs w:val="28"/>
                <w:lang w:eastAsia="lv-LV"/>
              </w:rPr>
              <w:t xml:space="preserve">Noteikumu projekts izstrādāts, </w:t>
            </w:r>
            <w:r w:rsidRPr="0088747A">
              <w:rPr>
                <w:rFonts w:ascii="Times New Roman" w:hAnsi="Times New Roman"/>
                <w:iCs/>
                <w:noProof/>
                <w:color w:val="000000"/>
                <w:sz w:val="28"/>
                <w:szCs w:val="28"/>
                <w:lang w:eastAsia="lv-LV"/>
              </w:rPr>
              <w:t xml:space="preserve">ņemot vērā gan esošā regulējuma piemērošanas laikā konstatētās neskaidrības, gan izveidojušos judikatūru. Noteikumu projekts nepieciešams, </w:t>
            </w:r>
            <w:r w:rsidRPr="0088747A">
              <w:rPr>
                <w:rFonts w:ascii="Times New Roman" w:hAnsi="Times New Roman"/>
                <w:iCs/>
                <w:noProof/>
                <w:sz w:val="28"/>
                <w:szCs w:val="28"/>
                <w:lang w:eastAsia="lv-LV"/>
              </w:rPr>
              <w:t>lai papildinātu</w:t>
            </w:r>
            <w:r w:rsidRPr="0088747A">
              <w:rPr>
                <w:rFonts w:ascii="Times New Roman" w:hAnsi="Times New Roman"/>
                <w:iCs/>
                <w:noProof/>
                <w:color w:val="000000"/>
                <w:sz w:val="28"/>
                <w:szCs w:val="28"/>
                <w:lang w:eastAsia="lv-LV"/>
              </w:rPr>
              <w:t xml:space="preserve"> Ministru kabineta 2002.gada 23.aprīļa noteikumus Nr.165 „Apdrošināšanas periodu pierādīšanas, aprēķināšanas un uzskaites kārtība” (turpmāk – Noteikumi) </w:t>
            </w:r>
            <w:r w:rsidRPr="0088747A">
              <w:rPr>
                <w:rFonts w:ascii="Times New Roman" w:hAnsi="Times New Roman"/>
                <w:iCs/>
                <w:noProof/>
                <w:sz w:val="28"/>
                <w:szCs w:val="28"/>
                <w:lang w:eastAsia="lv-LV"/>
              </w:rPr>
              <w:t>ar precizējumiem pastāvošajā regulējumā attiecībā uz nepieciešamo informāciju dokumentos, ar kuriem pierādāms apdrošināšanas stāžs - darba un tam pielīdzināmie periodi, kas uzkrāti līdz 1995.gada 31.decembrim, kas ņemams vērā tiesību uz sociālās apdrošināšanas pakalpojumiem noteikšanā.</w:t>
            </w:r>
          </w:p>
          <w:p w:rsidR="00AB31BA" w:rsidRPr="0088747A" w:rsidRDefault="00AB31BA" w:rsidP="00C06B07">
            <w:pPr>
              <w:spacing w:after="0" w:line="240" w:lineRule="auto"/>
              <w:jc w:val="both"/>
              <w:rPr>
                <w:rFonts w:ascii="Times New Roman" w:hAnsi="Times New Roman"/>
                <w:iCs/>
                <w:noProof/>
                <w:sz w:val="28"/>
                <w:szCs w:val="28"/>
                <w:lang w:eastAsia="lv-LV"/>
              </w:rPr>
            </w:pP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xml:space="preserve">Pašreizējā situācija un problēmas, kuru risināšanai tiesību akta projekts </w:t>
            </w:r>
            <w:r w:rsidRPr="0088747A">
              <w:rPr>
                <w:rFonts w:ascii="Times New Roman" w:hAnsi="Times New Roman"/>
                <w:iCs/>
                <w:noProof/>
                <w:color w:val="000000"/>
                <w:sz w:val="28"/>
                <w:szCs w:val="28"/>
                <w:lang w:eastAsia="lv-LV"/>
              </w:rPr>
              <w:lastRenderedPageBreak/>
              <w:t>izstrādāts, tiesiskā regulējuma mērķis un būtība</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lastRenderedPageBreak/>
              <w:t xml:space="preserve">Noteikumi reglamentē likuma „Par valsts pensijām” (turpmāk – Likums) pārejas noteikumu 1. un 2.punktā noteikto, apdrošināšanas stāžam pielīdzināto periodu pierādīšanas, aprēķināšanas un uzskaites </w:t>
            </w:r>
            <w:r w:rsidRPr="0088747A">
              <w:rPr>
                <w:rFonts w:ascii="Times New Roman" w:hAnsi="Times New Roman"/>
                <w:iCs/>
                <w:noProof/>
                <w:color w:val="000000"/>
                <w:sz w:val="28"/>
                <w:szCs w:val="28"/>
                <w:lang w:eastAsia="lv-LV"/>
              </w:rPr>
              <w:lastRenderedPageBreak/>
              <w:t xml:space="preserve">kārtību. Tas attiecas uz darba un tam pielīdzināmiem periodiem, kas uzkrāti līdz 1995.gada 31.decembrim. </w:t>
            </w:r>
          </w:p>
          <w:p w:rsidR="00AB31BA" w:rsidRPr="0088747A" w:rsidRDefault="00AB31B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sz w:val="28"/>
                <w:szCs w:val="28"/>
                <w:lang w:eastAsia="lv-LV"/>
              </w:rPr>
              <w:t xml:space="preserve">Atbilstoši Saeimas 2018.gada 27.septembrī pieņemto grozījumu likumā „Par valsts pensijām” noteiktajam, kur grozīts pārejas noteikumu 1.punkta 2.apakšpunkts un 2.punkta 2.apakšpunkts (stāsies spēkā 01.01.2019.), nepieciešams svītrot Noteikumu 5.19. apakšpunktu sakarā ar to, ka ar šajā apakšpunktā minēto dokumentu Latvijas pilsonis varēja pierādīt sociālās apdrošināšanas stāžam pielīdzināmos periodus, kas līdz ar iepriekšminētajiem grozījumiem vairs nav aktuāli. </w:t>
            </w:r>
          </w:p>
          <w:p w:rsidR="00AB31BA" w:rsidRPr="0088747A" w:rsidRDefault="00AB31B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xml:space="preserve">Šobrīd Noteikumu 14.1.apakšpunkts paredz, ka ierakstu darba grāmatiņā par darbu [..] ņem vērā apdrošināšanas perioda ieskaitīšanai, ja ieraksts par pieņemšanu darbā un atlaišanu no darba ir pamatots ar atsauci uz dokumentu, norādīts tā numurs un izsniegšanas datums, bet ieraksts par atlaišanu apstiprināts ar attiecīgā uzņēmuma, organizācijas vai iestādes vadītāja vai viņa pilnvarotas personas parakstu un uzņēmuma, organizācijas vai iestādes zīmogu vai personāla nodaļas zīmogu. Piemērojot šo Noteikumu punktu, praksē rodas problēmsituācijas ar periodu no 1992.gada 31.jūlija, kad pēc izmaiņām tā laika tiesību aktos personu atlaišana vairs nebija jāpamato ar atlaišanas dokumentu (rīkojumu vai pavēli), bet bija pietiekami, ka darba grāmatiņā norādīja atlaišanas iemeslu. Līdz ar to juridiskās skaidrības labad nodalītas prasības, kāda informācija darba grāmatiņā nepieciešama periodā līdz 1992.gada 30.jūlijam, un kāda informācija ir nepieciešama periodā, kas ar darba grāmatiņu pierādāms no 1992.gada 31.jūlija. </w:t>
            </w:r>
          </w:p>
          <w:p w:rsidR="00AB31BA" w:rsidRPr="0088747A" w:rsidRDefault="00AB31B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xml:space="preserve">Šobrīd Noteikumu 14.3.apakšpunkts paredz, ka ierakstā par obligāto militāro dienestu ir norādīts dienesta sākuma un beigu datums, karaklausības apliecības numurs un izsniegšanas datums. Praksē nereti darba grāmatiņā karaklausības apliecības izsniegšanas datums nav uzrādīts, kas formāli liedz ieskaitīt personas apdrošināšanas stāžā militāro dienestu, kaut arī visa pārējā informācija par periodu, kurā persona dienējusi, ir pieejama. Piemērojot attiecīgo normu, secināts, ka šāda prasība nav </w:t>
            </w:r>
            <w:r w:rsidRPr="0088747A">
              <w:rPr>
                <w:rFonts w:ascii="Times New Roman" w:hAnsi="Times New Roman"/>
                <w:iCs/>
                <w:noProof/>
                <w:color w:val="000000"/>
                <w:sz w:val="28"/>
                <w:szCs w:val="28"/>
                <w:lang w:eastAsia="lv-LV"/>
              </w:rPr>
              <w:lastRenderedPageBreak/>
              <w:t xml:space="preserve">samērīga un pēc būtības liedz personai pielīdzināt militārā dienesta periodu apdrošināšanas stāžam. Līdz ar to nepieciešams precizēt apakšpunkta redakciju, lai šādos gadījumos personai ar darba grāmatiņu, kurā nav norādīts apliecības izdošanas datums, būtu iespējams ieskaitīt apdrošināšanas stāžā attiecīgo periodu. </w:t>
            </w:r>
          </w:p>
          <w:p w:rsidR="00AB31BA" w:rsidRPr="0088747A" w:rsidRDefault="00AB31BA" w:rsidP="00C06B07">
            <w:pPr>
              <w:spacing w:after="0" w:line="240" w:lineRule="auto"/>
              <w:jc w:val="both"/>
              <w:rPr>
                <w:rFonts w:ascii="Times New Roman" w:hAnsi="Times New Roman"/>
                <w:sz w:val="28"/>
                <w:szCs w:val="28"/>
                <w:lang w:eastAsia="lv-LV"/>
              </w:rPr>
            </w:pPr>
            <w:r w:rsidRPr="0088747A">
              <w:rPr>
                <w:rFonts w:ascii="Times New Roman" w:hAnsi="Times New Roman"/>
                <w:sz w:val="28"/>
                <w:szCs w:val="28"/>
                <w:lang w:eastAsia="lv-LV"/>
              </w:rPr>
              <w:t>Noteikumu 20.</w:t>
            </w:r>
            <w:r w:rsidRPr="0088747A">
              <w:rPr>
                <w:rFonts w:ascii="Times New Roman" w:hAnsi="Times New Roman"/>
                <w:sz w:val="28"/>
                <w:szCs w:val="28"/>
                <w:vertAlign w:val="superscript"/>
                <w:lang w:eastAsia="lv-LV"/>
              </w:rPr>
              <w:t>1</w:t>
            </w:r>
            <w:r w:rsidRPr="0088747A">
              <w:rPr>
                <w:rFonts w:ascii="Times New Roman" w:hAnsi="Times New Roman"/>
                <w:sz w:val="28"/>
                <w:szCs w:val="28"/>
                <w:lang w:eastAsia="lv-LV"/>
              </w:rPr>
              <w:t xml:space="preserve"> punkts skar jautājumu par speciālo stāžu saskaņā ar Likuma pārejas noteikumu 9. un 60.punktu, ko veido darbs, kas saistīts ar sevišķi kaitīgiem un sevišķi smagiem vai kaitīgiem un smagiem darba apstākļiem. Juridiskās skaidrības nodrošināšanai minētā punkta otrais teikums papildināms ar atsauci uz KPFSR Sociālās nodrošināšanas ministrijas Zinātniski tehniskās informācijas un propagandas centrālā nozares biroja (turpmāk – birojs) skaidrojumiem. Tas nepieciešams, jo attiecīgā biroja skaidrojumi, kurus izdeva līdz 1990.gada 4.maijam, bija piemērojami visā bijušās PSRS teritorijā, tostarp arī bijušās Latvijas PSR teritorijā, pensiju ar atvieglotiem noteikumiem piešķiršanā. Piemērojot šo Noteikumu punktu, nākas secināt, ka tiesu praksē ir lietas, kad šī biroja skaidrojumi netiek ņemti vērā un attiecināti uz darba periodiem, kas uzkrāti bijušās Latvijas PSR teritorijā, jo birojs bijis bijušās Krievijas PFSR iestāde un šobrīd tiesību aktos nav sniegta atsauce, ka šī biroja skaidrojumi ir piemērojami bijušās Latvijas PSR teritorijā. Tas neveicina vienādu attieksmi pret salīdzināmās situācijās uzkrātiem darba periodiem. </w:t>
            </w:r>
          </w:p>
          <w:p w:rsidR="00E85D1A" w:rsidRPr="0088747A" w:rsidRDefault="00AB31BA" w:rsidP="00E85D1A">
            <w:pPr>
              <w:pStyle w:val="western"/>
              <w:spacing w:before="0" w:beforeAutospacing="0" w:after="0" w:line="240" w:lineRule="auto"/>
              <w:jc w:val="both"/>
              <w:rPr>
                <w:rFonts w:ascii="Times New Roman" w:hAnsi="Times New Roman"/>
                <w:color w:val="auto"/>
                <w:sz w:val="28"/>
                <w:szCs w:val="28"/>
              </w:rPr>
            </w:pPr>
            <w:r w:rsidRPr="0088747A">
              <w:rPr>
                <w:rFonts w:ascii="Times New Roman" w:hAnsi="Times New Roman"/>
                <w:iCs/>
                <w:noProof/>
                <w:sz w:val="28"/>
                <w:szCs w:val="28"/>
              </w:rPr>
              <w:t xml:space="preserve">Nepieciešams precizēt Noteikumu </w:t>
            </w:r>
            <w:r w:rsidRPr="0088747A">
              <w:rPr>
                <w:rFonts w:ascii="Times New Roman" w:hAnsi="Times New Roman"/>
                <w:sz w:val="28"/>
                <w:szCs w:val="28"/>
              </w:rPr>
              <w:t>20.</w:t>
            </w:r>
            <w:r w:rsidRPr="0088747A">
              <w:rPr>
                <w:rFonts w:ascii="Times New Roman" w:hAnsi="Times New Roman"/>
                <w:sz w:val="28"/>
                <w:szCs w:val="28"/>
                <w:vertAlign w:val="superscript"/>
              </w:rPr>
              <w:t>3</w:t>
            </w:r>
            <w:r w:rsidRPr="0088747A">
              <w:rPr>
                <w:rFonts w:ascii="Times New Roman" w:hAnsi="Times New Roman"/>
                <w:sz w:val="28"/>
                <w:szCs w:val="28"/>
              </w:rPr>
              <w:t xml:space="preserve">1.apakšpunktu, kura mērķis ir noteikt, ka speciālo stāžu veido tādi periodi, kad persona visā tās darba laikā strādājusi kaitīgos un smagos vai </w:t>
            </w:r>
            <w:r w:rsidR="00CD295A" w:rsidRPr="0088747A">
              <w:rPr>
                <w:rFonts w:ascii="Times New Roman" w:hAnsi="Times New Roman"/>
                <w:sz w:val="28"/>
                <w:szCs w:val="28"/>
              </w:rPr>
              <w:t>sevišķi</w:t>
            </w:r>
            <w:r w:rsidRPr="0088747A">
              <w:rPr>
                <w:rFonts w:ascii="Times New Roman" w:hAnsi="Times New Roman"/>
                <w:sz w:val="28"/>
                <w:szCs w:val="28"/>
              </w:rPr>
              <w:t xml:space="preserve"> kaitīgos un </w:t>
            </w:r>
            <w:r w:rsidR="00CD295A" w:rsidRPr="0088747A">
              <w:rPr>
                <w:rFonts w:ascii="Times New Roman" w:hAnsi="Times New Roman"/>
                <w:sz w:val="28"/>
                <w:szCs w:val="28"/>
              </w:rPr>
              <w:t>sevišķi smagos</w:t>
            </w:r>
            <w:r w:rsidRPr="0088747A">
              <w:rPr>
                <w:rFonts w:ascii="Times New Roman" w:hAnsi="Times New Roman"/>
                <w:sz w:val="28"/>
                <w:szCs w:val="28"/>
              </w:rPr>
              <w:t xml:space="preserve"> darbos. </w:t>
            </w:r>
            <w:r w:rsidR="00E85D1A" w:rsidRPr="0088747A">
              <w:rPr>
                <w:rFonts w:ascii="Times New Roman" w:hAnsi="Times New Roman"/>
                <w:color w:val="auto"/>
                <w:sz w:val="28"/>
                <w:szCs w:val="28"/>
              </w:rPr>
              <w:t xml:space="preserve">Darba likumu kodeksā, kas bija spēkā laikā, par kuru piešķir vecuma pensiju ar atvieglotiem noteikumiem (līdz 1996.gadam), bija noteikti termini “normālais darba laiks” un “saīsinātais darba laiks”.  Darba likumu kodeksa 45.pants noteica, ka normālais darba laiks uzņēmumu darbiniekiem nevarēja pārsniegt 41 stundas nedēļā (no 1992.gada - 40 stundu nedēļā), savukārt 46.pants noteica, ka saīsināto darba laiku – </w:t>
            </w:r>
            <w:r w:rsidR="00E85D1A" w:rsidRPr="0088747A">
              <w:rPr>
                <w:rFonts w:ascii="Times New Roman" w:hAnsi="Times New Roman"/>
                <w:color w:val="auto"/>
                <w:sz w:val="28"/>
                <w:szCs w:val="28"/>
              </w:rPr>
              <w:lastRenderedPageBreak/>
              <w:t xml:space="preserve">ne vairāk par 36 stundām nedēļā, noteica atsevišķu kategoriju darbiniekiem par darbu kaitīgos darba apstākļos. Taču ne visiem darbiniekiem, kas bija nodarbināti kaitīgos un smagos darba apstākļos, bija noteikts </w:t>
            </w:r>
            <w:r w:rsidR="00CD295A" w:rsidRPr="0088747A">
              <w:rPr>
                <w:rFonts w:ascii="Times New Roman" w:hAnsi="Times New Roman"/>
                <w:color w:val="auto"/>
                <w:sz w:val="28"/>
                <w:szCs w:val="28"/>
              </w:rPr>
              <w:t>normālais</w:t>
            </w:r>
            <w:r w:rsidR="00E85D1A" w:rsidRPr="0088747A">
              <w:rPr>
                <w:rFonts w:ascii="Times New Roman" w:hAnsi="Times New Roman"/>
                <w:color w:val="auto"/>
                <w:sz w:val="28"/>
                <w:szCs w:val="28"/>
              </w:rPr>
              <w:t xml:space="preserve"> darba laiks, eksistēja darbi un profesijas, par darbu, kuros tika noteikts </w:t>
            </w:r>
            <w:r w:rsidR="00CD295A" w:rsidRPr="0088747A">
              <w:rPr>
                <w:rFonts w:ascii="Times New Roman" w:hAnsi="Times New Roman"/>
                <w:color w:val="auto"/>
                <w:sz w:val="28"/>
                <w:szCs w:val="28"/>
              </w:rPr>
              <w:t>saīsinātais</w:t>
            </w:r>
            <w:r w:rsidR="00E85D1A" w:rsidRPr="0088747A">
              <w:rPr>
                <w:rFonts w:ascii="Times New Roman" w:hAnsi="Times New Roman"/>
                <w:color w:val="auto"/>
                <w:sz w:val="28"/>
                <w:szCs w:val="28"/>
              </w:rPr>
              <w:t xml:space="preserve"> darba laiks. </w:t>
            </w:r>
            <w:r w:rsidR="00AB11EE" w:rsidRPr="0088747A">
              <w:rPr>
                <w:rFonts w:ascii="Times New Roman" w:hAnsi="Times New Roman"/>
                <w:color w:val="auto"/>
                <w:sz w:val="28"/>
                <w:szCs w:val="28"/>
              </w:rPr>
              <w:t>D</w:t>
            </w:r>
            <w:r w:rsidR="00E85D1A" w:rsidRPr="0088747A">
              <w:rPr>
                <w:rFonts w:ascii="Times New Roman" w:hAnsi="Times New Roman"/>
                <w:color w:val="auto"/>
                <w:sz w:val="28"/>
                <w:szCs w:val="28"/>
              </w:rPr>
              <w:t xml:space="preserve">arbiniekiem, kuriem darba periodā (saskaņā ar tajā laikā spēkā esošām tiesību normām) bija noteikts normālais darba </w:t>
            </w:r>
            <w:r w:rsidR="00910D1F" w:rsidRPr="0088747A">
              <w:rPr>
                <w:rFonts w:ascii="Times New Roman" w:hAnsi="Times New Roman"/>
                <w:color w:val="auto"/>
                <w:sz w:val="28"/>
                <w:szCs w:val="28"/>
              </w:rPr>
              <w:t>laiks</w:t>
            </w:r>
            <w:r w:rsidR="00E85D1A" w:rsidRPr="0088747A">
              <w:rPr>
                <w:rFonts w:ascii="Times New Roman" w:hAnsi="Times New Roman"/>
                <w:color w:val="auto"/>
                <w:sz w:val="28"/>
                <w:szCs w:val="28"/>
              </w:rPr>
              <w:t xml:space="preserve">, vai saīsinātais darba </w:t>
            </w:r>
            <w:r w:rsidR="00910D1F" w:rsidRPr="0088747A">
              <w:rPr>
                <w:rFonts w:ascii="Times New Roman" w:hAnsi="Times New Roman"/>
                <w:color w:val="auto"/>
                <w:sz w:val="28"/>
                <w:szCs w:val="28"/>
              </w:rPr>
              <w:t>laiks</w:t>
            </w:r>
            <w:r w:rsidR="00E85D1A" w:rsidRPr="0088747A">
              <w:rPr>
                <w:rFonts w:ascii="Times New Roman" w:hAnsi="Times New Roman"/>
                <w:color w:val="auto"/>
                <w:sz w:val="28"/>
                <w:szCs w:val="28"/>
              </w:rPr>
              <w:t xml:space="preserve">, </w:t>
            </w:r>
            <w:r w:rsidR="00773ACE" w:rsidRPr="0088747A">
              <w:rPr>
                <w:rFonts w:ascii="Times New Roman" w:hAnsi="Times New Roman"/>
                <w:color w:val="auto"/>
                <w:sz w:val="28"/>
                <w:szCs w:val="28"/>
              </w:rPr>
              <w:t>veicot s</w:t>
            </w:r>
            <w:r w:rsidR="00CD295A" w:rsidRPr="0088747A">
              <w:rPr>
                <w:rFonts w:ascii="Times New Roman" w:hAnsi="Times New Roman"/>
                <w:color w:val="auto"/>
                <w:sz w:val="28"/>
                <w:szCs w:val="28"/>
              </w:rPr>
              <w:t>arakstā Nr.1 un Nr.2 minētos darbus</w:t>
            </w:r>
            <w:r w:rsidR="00910D1F" w:rsidRPr="0088747A">
              <w:rPr>
                <w:rFonts w:ascii="Times New Roman" w:hAnsi="Times New Roman"/>
                <w:color w:val="auto"/>
                <w:sz w:val="28"/>
                <w:szCs w:val="28"/>
              </w:rPr>
              <w:t xml:space="preserve"> visā šajā noteiktajā darba laikā</w:t>
            </w:r>
            <w:r w:rsidR="00CD295A" w:rsidRPr="0088747A">
              <w:rPr>
                <w:rFonts w:ascii="Times New Roman" w:hAnsi="Times New Roman"/>
                <w:color w:val="auto"/>
                <w:sz w:val="28"/>
                <w:szCs w:val="28"/>
              </w:rPr>
              <w:t xml:space="preserve">, </w:t>
            </w:r>
            <w:r w:rsidR="00E85D1A" w:rsidRPr="0088747A">
              <w:rPr>
                <w:rFonts w:ascii="Times New Roman" w:hAnsi="Times New Roman"/>
                <w:color w:val="auto"/>
                <w:sz w:val="28"/>
                <w:szCs w:val="28"/>
              </w:rPr>
              <w:t>ir tiesības uz vecuma pensiju ar at</w:t>
            </w:r>
            <w:r w:rsidR="00AB11EE" w:rsidRPr="0088747A">
              <w:rPr>
                <w:rFonts w:ascii="Times New Roman" w:hAnsi="Times New Roman"/>
                <w:color w:val="auto"/>
                <w:sz w:val="28"/>
                <w:szCs w:val="28"/>
              </w:rPr>
              <w:t xml:space="preserve">vieglotiem noteikumiem. </w:t>
            </w:r>
          </w:p>
          <w:p w:rsidR="00AB31BA" w:rsidRPr="0088747A" w:rsidRDefault="00AB31BA" w:rsidP="00C06B07">
            <w:pPr>
              <w:spacing w:after="0" w:line="240" w:lineRule="auto"/>
              <w:jc w:val="both"/>
              <w:rPr>
                <w:rFonts w:ascii="Times New Roman" w:hAnsi="Times New Roman"/>
                <w:sz w:val="28"/>
                <w:szCs w:val="28"/>
                <w:lang w:eastAsia="lv-LV"/>
              </w:rPr>
            </w:pPr>
            <w:r w:rsidRPr="0088747A">
              <w:rPr>
                <w:rFonts w:ascii="Times New Roman" w:hAnsi="Times New Roman"/>
                <w:sz w:val="28"/>
                <w:szCs w:val="28"/>
                <w:lang w:eastAsia="lv-LV"/>
              </w:rPr>
              <w:t xml:space="preserve">Tāpat nepieciešams precīzi noteikt, kā tiek noteikts speciālais stāžs, ja persona strādājusi apvienojot vairākas profesijas, no kurām viena no profesijām ir iekļauta sarakstā Nr.1 vai Nr.2, otra nē. Noteikumu projekts paredz šādu situāciju precizēt, nosakot, ka šāds periods ieskaitāms speciālajā stāžā tikai gadījumā, ja attiecīgajos dokumentos ir atsauce, ka persona minētajā periodā otru darbu veikusi kā papildus pienākumus un piemaksa pie darba algas ir saņemta sakarā ar darba apjoma palielinājumu par darbu profesijā, kas nav iekļauta sarakstā Nr.1 vai Nr.2, kā to paredzēja tajā laikā spēkā esošais regulējums. </w:t>
            </w:r>
          </w:p>
          <w:p w:rsidR="00AB31BA" w:rsidRPr="0088747A" w:rsidRDefault="00AB31BA" w:rsidP="00C06B07">
            <w:pPr>
              <w:spacing w:after="0" w:line="240" w:lineRule="auto"/>
              <w:jc w:val="both"/>
              <w:rPr>
                <w:rFonts w:ascii="Times New Roman" w:hAnsi="Times New Roman"/>
                <w:sz w:val="28"/>
                <w:szCs w:val="28"/>
                <w:lang w:eastAsia="lv-LV"/>
              </w:rPr>
            </w:pPr>
            <w:r w:rsidRPr="0088747A">
              <w:rPr>
                <w:rFonts w:ascii="Times New Roman" w:hAnsi="Times New Roman"/>
                <w:sz w:val="28"/>
                <w:szCs w:val="28"/>
                <w:lang w:eastAsia="lv-LV"/>
              </w:rPr>
              <w:t xml:space="preserve">Atbilstoši Saeimas 2018.gada 27.septembrī pieņemtajiem grozījumiem likuma „Par valsts pensijām” pārejas noteikumu 1.punkta 2.apakšpunktā un 2.punkta 2.apakšpunktā Latvijas pilsoņiem apdrošināšanas stāžam pielīdzināts ne tikai obligātais aktīvais militārais dienests, bet viss dienesta laiks PSRS Bruņotajos spēkos. Attiecīgi nepieciešams veikt arī precizējumu Noteikumu 26.punkta ievaddaļā un 26.1.apakšpunktā, ka arī izteikt 26.2.apakšpunktu jaunā redakcijā, paredzot pielīdzināt apdrošināšanas stāžam minētos dienesta periodus. </w:t>
            </w:r>
          </w:p>
          <w:p w:rsidR="00AB31BA" w:rsidRPr="0088747A" w:rsidRDefault="00AB31B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xml:space="preserve">Lai novērstu atšķirīgu interpretāciju attiecībā uz periodiem, kad kolhoza biedrs (iestājoties kolhozā tajā laikā normatīvajos aktos paredzētajā vecumā), mācoties profesionālās vai vidējās speciālās izglības iestādē pēc pamatskolas pabeigšanas, saņēma kolhoza stipendiju, nepieciešams papildināt Noteikumu 28.punktu ar 28.3.apakšpunktu nosakot, </w:t>
            </w:r>
            <w:r w:rsidRPr="0088747A">
              <w:rPr>
                <w:rFonts w:ascii="Times New Roman" w:hAnsi="Times New Roman"/>
                <w:iCs/>
                <w:noProof/>
                <w:color w:val="000000"/>
                <w:sz w:val="28"/>
                <w:szCs w:val="28"/>
                <w:lang w:eastAsia="lv-LV"/>
              </w:rPr>
              <w:lastRenderedPageBreak/>
              <w:t xml:space="preserve">ka kolhoza biedriem, kuri mācījušies, saņemot kolhoza stipendiju, apdrošināšanas periodu veido faktiski nostrādātais laiks kolhozā, proti mēneši, kuros ir reģistrētas izstrādes dienas vai saņemts atalgojums.  </w:t>
            </w:r>
          </w:p>
          <w:p w:rsidR="00AB31BA" w:rsidRPr="0088747A" w:rsidRDefault="00AB31B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Šobrīd Noteikumu 30.punkts nosaka ka par bērna audzināšanas vietu uzskatāma valsts, kurā bērna māte ir pastāvīgi dzīvojusi. Praksē piemērojot šo nosacījumu, nākas secināt, ka nereti personām ir sarežģīti pierādīt pastāvīgās dzīvesvietas faktu. Lai ieviestu skaidrību kritērijos, kādi ņemami vērā nosakot, vai attiecīgajā laika periodā Latvijas teritorija bija bērna audzināšanas valsts, nepieciešams papildināt Noteikumus ar 30.</w:t>
            </w:r>
            <w:r w:rsidRPr="0088747A">
              <w:rPr>
                <w:rFonts w:ascii="Times New Roman" w:hAnsi="Times New Roman"/>
                <w:iCs/>
                <w:noProof/>
                <w:color w:val="000000"/>
                <w:sz w:val="28"/>
                <w:szCs w:val="28"/>
                <w:vertAlign w:val="superscript"/>
                <w:lang w:eastAsia="lv-LV"/>
              </w:rPr>
              <w:t>1</w:t>
            </w:r>
            <w:r w:rsidRPr="0088747A">
              <w:rPr>
                <w:rFonts w:ascii="Times New Roman" w:hAnsi="Times New Roman"/>
                <w:iCs/>
                <w:noProof/>
                <w:color w:val="000000"/>
                <w:sz w:val="28"/>
                <w:szCs w:val="28"/>
                <w:lang w:eastAsia="lv-LV"/>
              </w:rPr>
              <w:t xml:space="preserve"> punktu, kurā noteikts, ka jāvērtē bērna dzimšanas vieta, mātes pedējā nodarbinātības vai izglītības iestādes vieta pirms bērna piedzimšanas un pēc bērna audzināšanas perioda, atsākot darbu vai mācības. Ja ir pierādāms, ka šie fakti ir norisinājušies Latvijā, par bērna audzināšanas vietu uzskata Latviju. </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Valsts sociālās apdrošināšanas aģentūra (turpmāk  - VSAA).</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4.</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Cita informācija</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Nav.</w:t>
            </w:r>
          </w:p>
        </w:tc>
      </w:tr>
    </w:tbl>
    <w:p w:rsidR="00AB31BA" w:rsidRPr="0088747A" w:rsidRDefault="00AB31BA" w:rsidP="00AB31BA">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xml:space="preserve">  </w:t>
      </w:r>
    </w:p>
    <w:p w:rsidR="00AB31BA" w:rsidRPr="0088747A" w:rsidRDefault="00AB31BA" w:rsidP="00AB31BA">
      <w:pPr>
        <w:spacing w:after="0" w:line="240" w:lineRule="auto"/>
        <w:rPr>
          <w:rFonts w:ascii="Times New Roman" w:hAnsi="Times New Roman"/>
          <w:iCs/>
          <w:noProof/>
          <w:color w:val="000000"/>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AB31BA" w:rsidRPr="0088747A" w:rsidTr="00C06B07">
        <w:trPr>
          <w:tblCellSpacing w:w="15" w:type="dxa"/>
        </w:trPr>
        <w:tc>
          <w:tcPr>
            <w:tcW w:w="0" w:type="auto"/>
            <w:gridSpan w:val="3"/>
            <w:tcBorders>
              <w:top w:val="outset" w:sz="6" w:space="0" w:color="auto"/>
              <w:bottom w:val="outset" w:sz="6" w:space="0" w:color="auto"/>
            </w:tcBorders>
            <w:vAlign w:val="center"/>
          </w:tcPr>
          <w:p w:rsidR="00AB31BA" w:rsidRPr="0088747A" w:rsidRDefault="00AB31BA" w:rsidP="00C06B07">
            <w:pPr>
              <w:spacing w:after="0" w:line="240" w:lineRule="auto"/>
              <w:rPr>
                <w:rFonts w:ascii="Times New Roman" w:hAnsi="Times New Roman"/>
                <w:b/>
                <w:bCs/>
                <w:iCs/>
                <w:noProof/>
                <w:color w:val="000000"/>
                <w:sz w:val="28"/>
                <w:szCs w:val="28"/>
                <w:lang w:eastAsia="lv-LV"/>
              </w:rPr>
            </w:pPr>
            <w:r w:rsidRPr="0088747A">
              <w:rPr>
                <w:rFonts w:ascii="Times New Roman" w:hAnsi="Times New Roman"/>
                <w:b/>
                <w:bCs/>
                <w:iCs/>
                <w:noProof/>
                <w:color w:val="000000"/>
                <w:sz w:val="28"/>
                <w:szCs w:val="28"/>
                <w:lang w:eastAsia="lv-LV"/>
              </w:rPr>
              <w:t>II. Tiesību akta projekta ietekme uz sabiedrību, tautsaimniecības attīstību un administratīvo slogu</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tcBorders>
          </w:tcPr>
          <w:p w:rsidR="00AB31BA" w:rsidRPr="0088747A" w:rsidRDefault="00AB31BA" w:rsidP="00C06B07">
            <w:pPr>
              <w:ind w:firstLine="317"/>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Noteikumu projekta mērķgrupa ir personas, kurām saskaņā ar Likumu tiks piešķirta vai pārrēķināta valsts pensija un kurām ir uzkrāti darba un tam pielīdzinātie periodi līdz 1995.gada 31.decembrim. Jāatzīmē, ka ar katru gadu jaunpiešķirtajām pensijām samazinās līdz 1995.gada 31.decembrim uzkrātais apdrošināšanas stāžs, bet palielinās stāžs, kas uzkrāts</w:t>
            </w:r>
            <w:r w:rsidR="00E85D1A" w:rsidRPr="0088747A">
              <w:rPr>
                <w:rFonts w:ascii="Times New Roman" w:hAnsi="Times New Roman"/>
                <w:iCs/>
                <w:noProof/>
                <w:color w:val="000000"/>
                <w:sz w:val="28"/>
                <w:szCs w:val="28"/>
                <w:lang w:eastAsia="lv-LV"/>
              </w:rPr>
              <w:t>,</w:t>
            </w:r>
            <w:r w:rsidRPr="0088747A">
              <w:rPr>
                <w:rFonts w:ascii="Times New Roman" w:hAnsi="Times New Roman"/>
                <w:iCs/>
                <w:noProof/>
                <w:color w:val="000000"/>
                <w:sz w:val="28"/>
                <w:szCs w:val="28"/>
                <w:lang w:eastAsia="lv-LV"/>
              </w:rPr>
              <w:t xml:space="preserve"> sākot ar 1996.gadu, kad tika ieviesta sociālās apdrošināšanas iemaksu personificētā uzskaite.</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xml:space="preserve">Tiesiskā regulējuma </w:t>
            </w:r>
            <w:r w:rsidRPr="0088747A">
              <w:rPr>
                <w:rFonts w:ascii="Times New Roman" w:hAnsi="Times New Roman"/>
                <w:iCs/>
                <w:noProof/>
                <w:color w:val="000000"/>
                <w:sz w:val="28"/>
                <w:szCs w:val="28"/>
                <w:lang w:eastAsia="lv-LV"/>
              </w:rPr>
              <w:lastRenderedPageBreak/>
              <w:t>ietekme uz tautsaimniecību un administratīvo slogu</w:t>
            </w:r>
          </w:p>
        </w:tc>
        <w:tc>
          <w:tcPr>
            <w:tcW w:w="3321" w:type="pct"/>
            <w:tcBorders>
              <w:top w:val="outset" w:sz="6" w:space="0" w:color="auto"/>
              <w:left w:val="outset" w:sz="6" w:space="0" w:color="auto"/>
              <w:bottom w:val="outset" w:sz="6" w:space="0" w:color="auto"/>
            </w:tcBorders>
          </w:tcPr>
          <w:p w:rsidR="00AB31BA" w:rsidRPr="0088747A" w:rsidRDefault="00AB31BA" w:rsidP="00C06B07">
            <w:pPr>
              <w:ind w:firstLine="179"/>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lastRenderedPageBreak/>
              <w:t xml:space="preserve">Grozījumi noteikumos dos iespēju personām, kuras </w:t>
            </w:r>
            <w:r w:rsidRPr="0088747A">
              <w:rPr>
                <w:rFonts w:ascii="Times New Roman" w:hAnsi="Times New Roman"/>
                <w:iCs/>
                <w:noProof/>
                <w:color w:val="000000"/>
                <w:sz w:val="28"/>
                <w:szCs w:val="28"/>
                <w:lang w:eastAsia="lv-LV"/>
              </w:rPr>
              <w:lastRenderedPageBreak/>
              <w:t xml:space="preserve">gatavojas saņemt sociālās apdrošināšanas pakalpojumus, precīzāk novērtēt un pierādīt savas tiesības  attiecībā uz periodiem, kas uzkrāti līdz 1995.gada 31.decembrim un ieskaitāmi apdrošināšanas stāžā. </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Administratīvo izmaksu monetārs novērtējums</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Noteikumu projekts šo jomu neskar.</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4.</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Atbilstības izmaksu monetārs novērtējums</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Noteikumu projekts šo jomu neskar.</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5.</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Cita informācija</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Nav.</w:t>
            </w:r>
          </w:p>
        </w:tc>
      </w:tr>
    </w:tbl>
    <w:p w:rsidR="00AB31BA" w:rsidRPr="0088747A" w:rsidRDefault="00AB31BA" w:rsidP="00AB31BA">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21"/>
      </w:tblGrid>
      <w:tr w:rsidR="00AB31BA" w:rsidRPr="0088747A" w:rsidTr="00C06B07">
        <w:trPr>
          <w:tblCellSpacing w:w="15" w:type="dxa"/>
        </w:trPr>
        <w:tc>
          <w:tcPr>
            <w:tcW w:w="0" w:type="auto"/>
            <w:tcBorders>
              <w:top w:val="outset" w:sz="6" w:space="0" w:color="auto"/>
              <w:bottom w:val="outset" w:sz="6" w:space="0" w:color="auto"/>
            </w:tcBorders>
            <w:vAlign w:val="center"/>
          </w:tcPr>
          <w:p w:rsidR="00AB31BA" w:rsidRPr="0088747A" w:rsidRDefault="00AB31BA" w:rsidP="00C06B07">
            <w:pPr>
              <w:spacing w:after="0" w:line="240" w:lineRule="auto"/>
              <w:jc w:val="center"/>
              <w:rPr>
                <w:rFonts w:ascii="Times New Roman" w:hAnsi="Times New Roman"/>
                <w:b/>
                <w:bCs/>
                <w:iCs/>
                <w:color w:val="414142"/>
                <w:sz w:val="28"/>
                <w:szCs w:val="28"/>
                <w:lang w:eastAsia="lv-LV"/>
              </w:rPr>
            </w:pPr>
            <w:r w:rsidRPr="0088747A">
              <w:rPr>
                <w:rFonts w:ascii="Times New Roman" w:hAnsi="Times New Roman"/>
                <w:b/>
                <w:bCs/>
                <w:iCs/>
                <w:color w:val="414142"/>
                <w:sz w:val="28"/>
                <w:szCs w:val="28"/>
                <w:lang w:eastAsia="lv-LV"/>
              </w:rPr>
              <w:t>III. Tiesību akta projekta ietekme uz valsts budžetu un pašvaldību budžetiem</w:t>
            </w:r>
          </w:p>
        </w:tc>
      </w:tr>
      <w:tr w:rsidR="00AB31BA" w:rsidRPr="0088747A" w:rsidTr="00C06B07">
        <w:trPr>
          <w:tblCellSpacing w:w="15" w:type="dxa"/>
        </w:trPr>
        <w:tc>
          <w:tcPr>
            <w:tcW w:w="0" w:type="auto"/>
            <w:tcBorders>
              <w:top w:val="outset" w:sz="6" w:space="0" w:color="auto"/>
              <w:bottom w:val="outset" w:sz="6" w:space="0" w:color="auto"/>
            </w:tcBorders>
            <w:vAlign w:val="center"/>
          </w:tcPr>
          <w:p w:rsidR="00AB31BA" w:rsidRPr="0088747A" w:rsidRDefault="00AB31BA" w:rsidP="00C06B07">
            <w:pPr>
              <w:spacing w:after="0" w:line="240" w:lineRule="auto"/>
              <w:jc w:val="center"/>
              <w:rPr>
                <w:rFonts w:ascii="Times New Roman" w:hAnsi="Times New Roman"/>
                <w:bCs/>
                <w:iCs/>
                <w:color w:val="414142"/>
                <w:sz w:val="28"/>
                <w:szCs w:val="28"/>
                <w:lang w:eastAsia="lv-LV"/>
              </w:rPr>
            </w:pPr>
            <w:r w:rsidRPr="0088747A">
              <w:rPr>
                <w:rFonts w:ascii="Times New Roman" w:hAnsi="Times New Roman"/>
                <w:bCs/>
                <w:iCs/>
                <w:color w:val="414142"/>
                <w:sz w:val="28"/>
                <w:szCs w:val="28"/>
                <w:lang w:eastAsia="lv-LV"/>
              </w:rPr>
              <w:t>Noteikumu projekts šo jomu neskar</w:t>
            </w:r>
          </w:p>
        </w:tc>
      </w:tr>
    </w:tbl>
    <w:p w:rsidR="00AB31BA" w:rsidRPr="0088747A" w:rsidRDefault="00AB31BA" w:rsidP="00AB31BA">
      <w:pPr>
        <w:spacing w:after="0" w:line="240" w:lineRule="auto"/>
        <w:rPr>
          <w:rFonts w:ascii="Times New Roman" w:hAnsi="Times New Roman"/>
          <w:iCs/>
          <w:color w:val="414142"/>
          <w:sz w:val="28"/>
          <w:szCs w:val="28"/>
          <w:lang w:eastAsia="lv-LV"/>
        </w:rPr>
      </w:pPr>
      <w:r w:rsidRPr="0088747A">
        <w:rPr>
          <w:rFonts w:ascii="Times New Roman" w:hAnsi="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21"/>
      </w:tblGrid>
      <w:tr w:rsidR="00AB31BA" w:rsidRPr="0088747A" w:rsidTr="00C06B07">
        <w:trPr>
          <w:tblCellSpacing w:w="15" w:type="dxa"/>
        </w:trPr>
        <w:tc>
          <w:tcPr>
            <w:tcW w:w="0" w:type="auto"/>
            <w:tcBorders>
              <w:top w:val="outset" w:sz="6" w:space="0" w:color="auto"/>
              <w:bottom w:val="outset" w:sz="6" w:space="0" w:color="auto"/>
            </w:tcBorders>
            <w:vAlign w:val="center"/>
          </w:tcPr>
          <w:p w:rsidR="00AB31BA" w:rsidRPr="0088747A" w:rsidRDefault="00AB31BA" w:rsidP="00C06B07">
            <w:pPr>
              <w:spacing w:after="0" w:line="240" w:lineRule="auto"/>
              <w:jc w:val="center"/>
              <w:rPr>
                <w:rFonts w:ascii="Times New Roman" w:hAnsi="Times New Roman"/>
                <w:b/>
                <w:bCs/>
                <w:iCs/>
                <w:color w:val="414142"/>
                <w:sz w:val="28"/>
                <w:szCs w:val="28"/>
                <w:lang w:eastAsia="lv-LV"/>
              </w:rPr>
            </w:pPr>
            <w:r w:rsidRPr="0088747A">
              <w:rPr>
                <w:rFonts w:ascii="Times New Roman" w:hAnsi="Times New Roman"/>
                <w:b/>
                <w:bCs/>
                <w:iCs/>
                <w:color w:val="414142"/>
                <w:sz w:val="28"/>
                <w:szCs w:val="28"/>
                <w:lang w:eastAsia="lv-LV"/>
              </w:rPr>
              <w:t>IV. Tiesību akta projekta ietekme uz spēkā esošo tiesību normu sistēmu</w:t>
            </w:r>
          </w:p>
        </w:tc>
      </w:tr>
      <w:tr w:rsidR="00AB31BA" w:rsidRPr="0088747A" w:rsidTr="00C06B07">
        <w:trPr>
          <w:tblCellSpacing w:w="15" w:type="dxa"/>
        </w:trPr>
        <w:tc>
          <w:tcPr>
            <w:tcW w:w="0" w:type="auto"/>
            <w:tcBorders>
              <w:top w:val="outset" w:sz="6" w:space="0" w:color="auto"/>
              <w:bottom w:val="outset" w:sz="6" w:space="0" w:color="auto"/>
            </w:tcBorders>
            <w:vAlign w:val="center"/>
          </w:tcPr>
          <w:p w:rsidR="00AB31BA" w:rsidRPr="0088747A" w:rsidRDefault="00AB31BA" w:rsidP="00C06B07">
            <w:pPr>
              <w:spacing w:after="0" w:line="240" w:lineRule="auto"/>
              <w:jc w:val="center"/>
              <w:rPr>
                <w:rFonts w:ascii="Times New Roman" w:hAnsi="Times New Roman"/>
                <w:bCs/>
                <w:iCs/>
                <w:color w:val="414142"/>
                <w:sz w:val="28"/>
                <w:szCs w:val="28"/>
                <w:lang w:eastAsia="lv-LV"/>
              </w:rPr>
            </w:pPr>
            <w:r w:rsidRPr="0088747A">
              <w:rPr>
                <w:rFonts w:ascii="Times New Roman" w:hAnsi="Times New Roman"/>
                <w:bCs/>
                <w:iCs/>
                <w:color w:val="414142"/>
                <w:sz w:val="28"/>
                <w:szCs w:val="28"/>
                <w:lang w:eastAsia="lv-LV"/>
              </w:rPr>
              <w:t>Noteikumu projekts šo jomu neskar</w:t>
            </w:r>
          </w:p>
        </w:tc>
      </w:tr>
    </w:tbl>
    <w:p w:rsidR="00AB31BA" w:rsidRPr="0088747A" w:rsidRDefault="00AB31BA" w:rsidP="00AB31BA">
      <w:pPr>
        <w:spacing w:after="0" w:line="240" w:lineRule="auto"/>
        <w:rPr>
          <w:rFonts w:ascii="Times New Roman" w:hAnsi="Times New Roman"/>
          <w:iCs/>
          <w:color w:val="414142"/>
          <w:sz w:val="28"/>
          <w:szCs w:val="28"/>
          <w:lang w:eastAsia="lv-LV"/>
        </w:rPr>
      </w:pPr>
      <w:r w:rsidRPr="0088747A">
        <w:rPr>
          <w:rFonts w:ascii="Times New Roman" w:hAnsi="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21"/>
      </w:tblGrid>
      <w:tr w:rsidR="00AB31BA" w:rsidRPr="0088747A" w:rsidTr="00C06B07">
        <w:trPr>
          <w:tblCellSpacing w:w="15" w:type="dxa"/>
        </w:trPr>
        <w:tc>
          <w:tcPr>
            <w:tcW w:w="0" w:type="auto"/>
            <w:tcBorders>
              <w:top w:val="outset" w:sz="6" w:space="0" w:color="auto"/>
              <w:bottom w:val="outset" w:sz="6" w:space="0" w:color="auto"/>
            </w:tcBorders>
            <w:vAlign w:val="center"/>
          </w:tcPr>
          <w:p w:rsidR="00AB31BA" w:rsidRPr="0088747A" w:rsidRDefault="00AB31BA" w:rsidP="00C06B07">
            <w:pPr>
              <w:spacing w:after="0" w:line="240" w:lineRule="auto"/>
              <w:jc w:val="center"/>
              <w:rPr>
                <w:rFonts w:ascii="Times New Roman" w:hAnsi="Times New Roman"/>
                <w:b/>
                <w:bCs/>
                <w:iCs/>
                <w:color w:val="414142"/>
                <w:sz w:val="28"/>
                <w:szCs w:val="28"/>
                <w:lang w:eastAsia="lv-LV"/>
              </w:rPr>
            </w:pPr>
            <w:r w:rsidRPr="0088747A">
              <w:rPr>
                <w:rFonts w:ascii="Times New Roman" w:hAnsi="Times New Roman"/>
                <w:b/>
                <w:bCs/>
                <w:iCs/>
                <w:color w:val="414142"/>
                <w:sz w:val="28"/>
                <w:szCs w:val="28"/>
                <w:lang w:eastAsia="lv-LV"/>
              </w:rPr>
              <w:t>V. Tiesību akta projekta atbilstība Latvijas Republikas starptautiskajām saistībām</w:t>
            </w:r>
          </w:p>
        </w:tc>
      </w:tr>
      <w:tr w:rsidR="00AB31BA" w:rsidRPr="0088747A" w:rsidTr="00C06B07">
        <w:trPr>
          <w:tblCellSpacing w:w="15" w:type="dxa"/>
        </w:trPr>
        <w:tc>
          <w:tcPr>
            <w:tcW w:w="0" w:type="auto"/>
            <w:tcBorders>
              <w:top w:val="outset" w:sz="6" w:space="0" w:color="auto"/>
              <w:bottom w:val="outset" w:sz="6" w:space="0" w:color="auto"/>
            </w:tcBorders>
            <w:vAlign w:val="center"/>
          </w:tcPr>
          <w:p w:rsidR="00AB31BA" w:rsidRPr="0088747A" w:rsidRDefault="00AB31BA" w:rsidP="00C06B07">
            <w:pPr>
              <w:spacing w:after="0" w:line="240" w:lineRule="auto"/>
              <w:jc w:val="center"/>
              <w:rPr>
                <w:rFonts w:ascii="Times New Roman" w:hAnsi="Times New Roman"/>
                <w:bCs/>
                <w:iCs/>
                <w:color w:val="414142"/>
                <w:sz w:val="28"/>
                <w:szCs w:val="28"/>
                <w:lang w:eastAsia="lv-LV"/>
              </w:rPr>
            </w:pPr>
            <w:r w:rsidRPr="0088747A">
              <w:rPr>
                <w:rFonts w:ascii="Times New Roman" w:hAnsi="Times New Roman"/>
                <w:bCs/>
                <w:iCs/>
                <w:color w:val="414142"/>
                <w:sz w:val="28"/>
                <w:szCs w:val="28"/>
                <w:lang w:eastAsia="lv-LV"/>
              </w:rPr>
              <w:t>Noteikumu projekts šo jomu neskar</w:t>
            </w:r>
          </w:p>
        </w:tc>
      </w:tr>
    </w:tbl>
    <w:p w:rsidR="00AB31BA" w:rsidRPr="0088747A" w:rsidRDefault="00AB31BA" w:rsidP="00AB31BA">
      <w:pPr>
        <w:spacing w:after="0" w:line="240" w:lineRule="auto"/>
        <w:rPr>
          <w:rFonts w:ascii="Times New Roman" w:hAnsi="Times New Roman"/>
          <w:iCs/>
          <w:color w:val="414142"/>
          <w:sz w:val="28"/>
          <w:szCs w:val="28"/>
          <w:lang w:eastAsia="lv-LV"/>
        </w:rPr>
      </w:pPr>
      <w:r w:rsidRPr="0088747A">
        <w:rPr>
          <w:rFonts w:ascii="Times New Roman" w:hAnsi="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3124"/>
        <w:gridCol w:w="5506"/>
      </w:tblGrid>
      <w:tr w:rsidR="00AB31BA" w:rsidRPr="0088747A" w:rsidTr="00C06B07">
        <w:trPr>
          <w:tblCellSpacing w:w="15" w:type="dxa"/>
        </w:trPr>
        <w:tc>
          <w:tcPr>
            <w:tcW w:w="0" w:type="auto"/>
            <w:gridSpan w:val="3"/>
            <w:tcBorders>
              <w:top w:val="outset" w:sz="6" w:space="0" w:color="auto"/>
              <w:bottom w:val="outset" w:sz="6" w:space="0" w:color="auto"/>
            </w:tcBorders>
            <w:vAlign w:val="center"/>
          </w:tcPr>
          <w:p w:rsidR="00AB31BA" w:rsidRPr="0088747A" w:rsidRDefault="00AB31BA" w:rsidP="00C06B07">
            <w:pPr>
              <w:spacing w:after="0" w:line="240" w:lineRule="auto"/>
              <w:rPr>
                <w:rFonts w:ascii="Times New Roman" w:hAnsi="Times New Roman"/>
                <w:b/>
                <w:bCs/>
                <w:iCs/>
                <w:noProof/>
                <w:color w:val="000000"/>
                <w:sz w:val="28"/>
                <w:szCs w:val="28"/>
                <w:lang w:eastAsia="lv-LV"/>
              </w:rPr>
            </w:pPr>
            <w:r w:rsidRPr="0088747A">
              <w:rPr>
                <w:rFonts w:ascii="Times New Roman" w:hAnsi="Times New Roman"/>
                <w:b/>
                <w:bCs/>
                <w:iCs/>
                <w:noProof/>
                <w:color w:val="000000"/>
                <w:sz w:val="28"/>
                <w:szCs w:val="28"/>
                <w:lang w:eastAsia="lv-LV"/>
              </w:rPr>
              <w:t>VI. Sabiedrības līdzdalība un komunikācijas aktivitātes</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Sabiedrības līdzdalība ir nodrošināta, publicējot uzziņu par noteikumu projektu Labklājības ministrijas mājas lapā internetā,</w:t>
            </w:r>
            <w:r w:rsidRPr="0088747A">
              <w:rPr>
                <w:rFonts w:ascii="Times New Roman" w:hAnsi="Times New Roman"/>
                <w:sz w:val="28"/>
                <w:szCs w:val="28"/>
              </w:rPr>
              <w:t xml:space="preserve"> </w:t>
            </w:r>
            <w:r w:rsidRPr="0088747A">
              <w:rPr>
                <w:rFonts w:ascii="Times New Roman" w:hAnsi="Times New Roman"/>
                <w:iCs/>
                <w:noProof/>
                <w:color w:val="000000"/>
                <w:sz w:val="28"/>
                <w:szCs w:val="28"/>
                <w:lang w:eastAsia="lv-LV"/>
              </w:rPr>
              <w:t xml:space="preserve">tīmekļa vietnē sadaļā “LM dokumentu projekti”, kā arī Ministru kabineta tīmekļa vietnē sadaļā “Sabiedrības līdzdalība”, tādējādi dodot iespēju sabiedrībai līdzdarboties noteikumu projekta izstrādes procesā. </w:t>
            </w:r>
          </w:p>
          <w:p w:rsidR="00AB31BA" w:rsidRPr="0088747A" w:rsidRDefault="00AB31BA" w:rsidP="00C06B07">
            <w:pPr>
              <w:spacing w:after="0" w:line="240" w:lineRule="auto"/>
              <w:rPr>
                <w:rFonts w:ascii="Times New Roman" w:hAnsi="Times New Roman"/>
                <w:iCs/>
                <w:noProof/>
                <w:color w:val="000000"/>
                <w:sz w:val="28"/>
                <w:szCs w:val="28"/>
                <w:lang w:eastAsia="lv-LV"/>
              </w:rPr>
            </w:pP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Sabiedrības līdzdalība projekta izstrādē</w:t>
            </w:r>
          </w:p>
        </w:tc>
        <w:tc>
          <w:tcPr>
            <w:tcW w:w="296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xml:space="preserve">Lai informētu sabiedrību par noteikumu projektu un dotu iespēju izteikt par to viedokļus, projekts 2018. gada 1.novembrī </w:t>
            </w:r>
            <w:r w:rsidRPr="0088747A">
              <w:rPr>
                <w:rFonts w:ascii="Times New Roman" w:hAnsi="Times New Roman"/>
                <w:iCs/>
                <w:noProof/>
                <w:color w:val="000000"/>
                <w:sz w:val="28"/>
                <w:szCs w:val="28"/>
                <w:lang w:eastAsia="lv-LV"/>
              </w:rPr>
              <w:lastRenderedPageBreak/>
              <w:t>ievietots Labklājības ministrijas tīmekļa vietnē, termiņš viedokļa izteikšanai noteikts 2018. gada 16.novembris.</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Sabiedrības līdzdalības rezultāti</w:t>
            </w:r>
          </w:p>
        </w:tc>
        <w:tc>
          <w:tcPr>
            <w:tcW w:w="2961" w:type="pct"/>
            <w:tcBorders>
              <w:top w:val="outset" w:sz="6" w:space="0" w:color="auto"/>
              <w:left w:val="outset" w:sz="6" w:space="0" w:color="auto"/>
              <w:bottom w:val="outset" w:sz="6" w:space="0" w:color="auto"/>
            </w:tcBorders>
          </w:tcPr>
          <w:p w:rsidR="00AB31BA" w:rsidRPr="0088747A" w:rsidRDefault="0096064A" w:rsidP="00C06B07">
            <w:pPr>
              <w:spacing w:after="0" w:line="240" w:lineRule="auto"/>
              <w:jc w:val="both"/>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Iebildumi un priekšlikumi par noteikumu projektu netika saņemti.</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Cita informācija</w:t>
            </w:r>
          </w:p>
        </w:tc>
        <w:tc>
          <w:tcPr>
            <w:tcW w:w="296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Nav.</w:t>
            </w:r>
          </w:p>
        </w:tc>
      </w:tr>
    </w:tbl>
    <w:p w:rsidR="00AB31BA" w:rsidRPr="0088747A" w:rsidRDefault="00AB31BA" w:rsidP="00AB31BA">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AB31BA" w:rsidRPr="0088747A" w:rsidTr="00C06B07">
        <w:trPr>
          <w:tblCellSpacing w:w="15" w:type="dxa"/>
        </w:trPr>
        <w:tc>
          <w:tcPr>
            <w:tcW w:w="0" w:type="auto"/>
            <w:gridSpan w:val="3"/>
            <w:tcBorders>
              <w:top w:val="outset" w:sz="6" w:space="0" w:color="auto"/>
              <w:bottom w:val="outset" w:sz="6" w:space="0" w:color="auto"/>
            </w:tcBorders>
            <w:vAlign w:val="center"/>
          </w:tcPr>
          <w:p w:rsidR="00AB31BA" w:rsidRPr="0088747A" w:rsidRDefault="00AB31BA" w:rsidP="00C06B07">
            <w:pPr>
              <w:spacing w:after="0" w:line="240" w:lineRule="auto"/>
              <w:rPr>
                <w:rFonts w:ascii="Times New Roman" w:hAnsi="Times New Roman"/>
                <w:b/>
                <w:bCs/>
                <w:iCs/>
                <w:noProof/>
                <w:color w:val="000000"/>
                <w:sz w:val="28"/>
                <w:szCs w:val="28"/>
                <w:lang w:eastAsia="lv-LV"/>
              </w:rPr>
            </w:pPr>
            <w:r w:rsidRPr="0088747A">
              <w:rPr>
                <w:rFonts w:ascii="Times New Roman" w:hAnsi="Times New Roman"/>
                <w:b/>
                <w:bCs/>
                <w:iCs/>
                <w:noProof/>
                <w:color w:val="000000"/>
                <w:sz w:val="28"/>
                <w:szCs w:val="28"/>
                <w:lang w:eastAsia="lv-LV"/>
              </w:rPr>
              <w:t>VII. Tiesību akta projekta izpildes nodrošināšana un tās ietekme uz institūcijām</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Projekta izpildē iesaistītās institūcijas</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VSAA.</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Projekta izpildes ietekme uz pārvaldes funkcijām un institucionālo struktūru.</w:t>
            </w:r>
            <w:r w:rsidRPr="0088747A">
              <w:rPr>
                <w:rFonts w:ascii="Times New Roman" w:hAnsi="Times New Roman"/>
                <w:iCs/>
                <w:noProof/>
                <w:color w:val="000000"/>
                <w:sz w:val="28"/>
                <w:szCs w:val="28"/>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Nav plānota esošo institūciju likvidācija vai reorganizācija. Pēc noteikumu projekta spēkā stāšanās tā īstenošana notiks, izmantojot esošos cilvēkresursus.</w:t>
            </w:r>
          </w:p>
        </w:tc>
      </w:tr>
      <w:tr w:rsidR="00AB31BA" w:rsidRPr="0088747A" w:rsidTr="00C06B07">
        <w:trPr>
          <w:tblCellSpacing w:w="15" w:type="dxa"/>
        </w:trPr>
        <w:tc>
          <w:tcPr>
            <w:tcW w:w="296" w:type="pct"/>
            <w:tcBorders>
              <w:top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Cita informācija</w:t>
            </w:r>
          </w:p>
        </w:tc>
        <w:tc>
          <w:tcPr>
            <w:tcW w:w="3321" w:type="pct"/>
            <w:tcBorders>
              <w:top w:val="outset" w:sz="6" w:space="0" w:color="auto"/>
              <w:left w:val="outset" w:sz="6" w:space="0" w:color="auto"/>
              <w:bottom w:val="outset" w:sz="6" w:space="0" w:color="auto"/>
            </w:tcBorders>
          </w:tcPr>
          <w:p w:rsidR="00AB31BA" w:rsidRPr="0088747A" w:rsidRDefault="00AB31BA" w:rsidP="00C06B07">
            <w:pPr>
              <w:spacing w:after="0" w:line="240" w:lineRule="auto"/>
              <w:rPr>
                <w:rFonts w:ascii="Times New Roman" w:hAnsi="Times New Roman"/>
                <w:iCs/>
                <w:noProof/>
                <w:color w:val="000000"/>
                <w:sz w:val="28"/>
                <w:szCs w:val="28"/>
                <w:lang w:eastAsia="lv-LV"/>
              </w:rPr>
            </w:pPr>
            <w:r w:rsidRPr="0088747A">
              <w:rPr>
                <w:rFonts w:ascii="Times New Roman" w:hAnsi="Times New Roman"/>
                <w:iCs/>
                <w:noProof/>
                <w:color w:val="000000"/>
                <w:sz w:val="28"/>
                <w:szCs w:val="28"/>
                <w:lang w:eastAsia="lv-LV"/>
              </w:rPr>
              <w:t>Nav.</w:t>
            </w:r>
          </w:p>
        </w:tc>
      </w:tr>
    </w:tbl>
    <w:p w:rsidR="00AB31BA" w:rsidRPr="0088747A" w:rsidRDefault="00AB31BA" w:rsidP="00AB31BA">
      <w:pPr>
        <w:spacing w:after="0" w:line="240" w:lineRule="auto"/>
        <w:rPr>
          <w:rFonts w:ascii="Times New Roman" w:hAnsi="Times New Roman"/>
          <w:noProof/>
          <w:color w:val="000000"/>
          <w:sz w:val="28"/>
          <w:szCs w:val="28"/>
        </w:rPr>
      </w:pPr>
    </w:p>
    <w:p w:rsidR="00AB31BA" w:rsidRDefault="00AB31BA" w:rsidP="00AB31BA">
      <w:pPr>
        <w:spacing w:after="0" w:line="240" w:lineRule="auto"/>
        <w:rPr>
          <w:rFonts w:ascii="Times New Roman" w:hAnsi="Times New Roman"/>
          <w:noProof/>
          <w:color w:val="000000"/>
          <w:sz w:val="28"/>
          <w:szCs w:val="28"/>
        </w:rPr>
      </w:pPr>
    </w:p>
    <w:p w:rsidR="0088747A" w:rsidRPr="0088747A" w:rsidRDefault="0088747A" w:rsidP="00AB31BA">
      <w:pPr>
        <w:spacing w:after="0" w:line="240" w:lineRule="auto"/>
        <w:rPr>
          <w:rFonts w:ascii="Times New Roman" w:hAnsi="Times New Roman"/>
          <w:noProof/>
          <w:color w:val="000000"/>
          <w:sz w:val="28"/>
          <w:szCs w:val="28"/>
        </w:rPr>
      </w:pPr>
    </w:p>
    <w:p w:rsidR="00AB31BA" w:rsidRPr="0088747A" w:rsidRDefault="00AB31BA" w:rsidP="00AB31BA">
      <w:pPr>
        <w:tabs>
          <w:tab w:val="left" w:pos="6237"/>
        </w:tabs>
        <w:spacing w:after="0" w:line="240" w:lineRule="auto"/>
        <w:ind w:firstLine="720"/>
        <w:rPr>
          <w:rFonts w:ascii="Times New Roman" w:hAnsi="Times New Roman"/>
          <w:noProof/>
          <w:color w:val="000000"/>
          <w:sz w:val="28"/>
          <w:szCs w:val="28"/>
        </w:rPr>
      </w:pPr>
      <w:r w:rsidRPr="0088747A">
        <w:rPr>
          <w:rFonts w:ascii="Times New Roman" w:hAnsi="Times New Roman"/>
          <w:noProof/>
          <w:color w:val="000000"/>
          <w:sz w:val="28"/>
          <w:szCs w:val="28"/>
        </w:rPr>
        <w:t>Labklājības ministr</w:t>
      </w:r>
      <w:r w:rsidR="0088747A">
        <w:rPr>
          <w:rFonts w:ascii="Times New Roman" w:hAnsi="Times New Roman"/>
          <w:noProof/>
          <w:color w:val="000000"/>
          <w:sz w:val="28"/>
          <w:szCs w:val="28"/>
        </w:rPr>
        <w:t>e</w:t>
      </w:r>
      <w:r w:rsidRPr="0088747A">
        <w:rPr>
          <w:rFonts w:ascii="Times New Roman" w:hAnsi="Times New Roman"/>
          <w:noProof/>
          <w:color w:val="000000"/>
          <w:sz w:val="28"/>
          <w:szCs w:val="28"/>
        </w:rPr>
        <w:tab/>
        <w:t xml:space="preserve">                 </w:t>
      </w:r>
      <w:r w:rsidR="0088747A">
        <w:rPr>
          <w:rFonts w:ascii="Times New Roman" w:hAnsi="Times New Roman"/>
          <w:noProof/>
          <w:color w:val="000000"/>
          <w:sz w:val="28"/>
          <w:szCs w:val="28"/>
        </w:rPr>
        <w:t>R.Petraviča</w:t>
      </w:r>
    </w:p>
    <w:p w:rsidR="00AB31BA" w:rsidRPr="0088747A" w:rsidRDefault="00AB31BA" w:rsidP="00AB31BA">
      <w:pPr>
        <w:spacing w:after="0" w:line="240" w:lineRule="auto"/>
        <w:ind w:firstLine="720"/>
        <w:rPr>
          <w:rFonts w:ascii="Times New Roman" w:hAnsi="Times New Roman"/>
          <w:noProof/>
          <w:color w:val="000000"/>
          <w:sz w:val="28"/>
          <w:szCs w:val="28"/>
        </w:rPr>
      </w:pPr>
    </w:p>
    <w:p w:rsidR="00AB31BA" w:rsidRDefault="00AB31BA" w:rsidP="00AB31BA">
      <w:pPr>
        <w:tabs>
          <w:tab w:val="left" w:pos="6237"/>
        </w:tabs>
        <w:spacing w:after="0" w:line="240" w:lineRule="auto"/>
        <w:rPr>
          <w:rFonts w:ascii="Times New Roman" w:hAnsi="Times New Roman"/>
          <w:noProof/>
          <w:color w:val="000000"/>
          <w:sz w:val="28"/>
          <w:szCs w:val="28"/>
        </w:rPr>
      </w:pPr>
    </w:p>
    <w:p w:rsidR="0088747A" w:rsidRPr="0088747A" w:rsidRDefault="0088747A" w:rsidP="00AB31BA">
      <w:pPr>
        <w:tabs>
          <w:tab w:val="left" w:pos="6237"/>
        </w:tabs>
        <w:spacing w:after="0" w:line="240" w:lineRule="auto"/>
        <w:rPr>
          <w:rFonts w:ascii="Times New Roman" w:hAnsi="Times New Roman"/>
          <w:noProof/>
          <w:color w:val="000000"/>
          <w:sz w:val="28"/>
          <w:szCs w:val="28"/>
        </w:rPr>
      </w:pPr>
    </w:p>
    <w:p w:rsidR="00AB31BA" w:rsidRPr="0088747A" w:rsidRDefault="00AB31BA" w:rsidP="00AB31BA">
      <w:pPr>
        <w:tabs>
          <w:tab w:val="left" w:pos="6237"/>
        </w:tabs>
        <w:spacing w:after="0" w:line="240" w:lineRule="auto"/>
        <w:ind w:firstLine="720"/>
        <w:rPr>
          <w:rFonts w:ascii="Times New Roman" w:hAnsi="Times New Roman"/>
          <w:noProof/>
          <w:color w:val="000000"/>
          <w:sz w:val="28"/>
          <w:szCs w:val="28"/>
        </w:rPr>
      </w:pPr>
    </w:p>
    <w:p w:rsidR="005B66AD" w:rsidRDefault="005B66AD" w:rsidP="00AB31BA">
      <w:pPr>
        <w:pStyle w:val="NormalWeb"/>
        <w:spacing w:before="0" w:beforeAutospacing="0" w:after="0" w:afterAutospacing="0"/>
        <w:jc w:val="both"/>
      </w:pPr>
      <w:r>
        <w:t>28.01.2019 14:02</w:t>
      </w:r>
      <w:bookmarkStart w:id="0" w:name="_GoBack"/>
      <w:bookmarkEnd w:id="0"/>
    </w:p>
    <w:p w:rsidR="00AB31BA" w:rsidRPr="0088747A" w:rsidRDefault="00AB31BA" w:rsidP="00AB31BA">
      <w:pPr>
        <w:pStyle w:val="NormalWeb"/>
        <w:spacing w:before="0" w:beforeAutospacing="0" w:after="0" w:afterAutospacing="0"/>
        <w:jc w:val="both"/>
      </w:pPr>
      <w:r w:rsidRPr="0088747A">
        <w:t>1</w:t>
      </w:r>
      <w:r w:rsidR="0088747A">
        <w:t>537</w:t>
      </w:r>
    </w:p>
    <w:p w:rsidR="00AB31BA" w:rsidRPr="0088747A" w:rsidRDefault="0096064A" w:rsidP="00AB31BA">
      <w:pPr>
        <w:pStyle w:val="NormalWeb"/>
        <w:spacing w:before="0" w:beforeAutospacing="0" w:after="0" w:afterAutospacing="0"/>
        <w:jc w:val="both"/>
      </w:pPr>
      <w:proofErr w:type="spellStart"/>
      <w:r w:rsidRPr="0088747A">
        <w:t>D.Trušinska</w:t>
      </w:r>
      <w:proofErr w:type="spellEnd"/>
      <w:r w:rsidR="00AB31BA" w:rsidRPr="0088747A">
        <w:t>, 67021</w:t>
      </w:r>
      <w:r w:rsidRPr="0088747A">
        <w:t>553</w:t>
      </w:r>
    </w:p>
    <w:p w:rsidR="00AB31BA" w:rsidRPr="0088747A" w:rsidRDefault="0096064A" w:rsidP="00AB31BA">
      <w:pPr>
        <w:pStyle w:val="NormalWeb"/>
        <w:spacing w:before="0" w:beforeAutospacing="0" w:after="0" w:afterAutospacing="0"/>
        <w:jc w:val="both"/>
      </w:pPr>
      <w:r w:rsidRPr="0088747A">
        <w:t>Dace.Trusinska</w:t>
      </w:r>
      <w:r w:rsidR="00AB31BA" w:rsidRPr="0088747A">
        <w:t>@lm.gov.lv</w:t>
      </w:r>
    </w:p>
    <w:p w:rsidR="00AB31BA" w:rsidRPr="0088747A" w:rsidRDefault="00AB31BA" w:rsidP="00AB31BA">
      <w:pPr>
        <w:tabs>
          <w:tab w:val="left" w:pos="6237"/>
        </w:tabs>
        <w:spacing w:after="0" w:line="240" w:lineRule="auto"/>
        <w:rPr>
          <w:rStyle w:val="Hyperlink"/>
          <w:rFonts w:ascii="Times New Roman" w:hAnsi="Times New Roman"/>
          <w:noProof/>
          <w:sz w:val="28"/>
          <w:szCs w:val="28"/>
        </w:rPr>
      </w:pPr>
    </w:p>
    <w:p w:rsidR="00905ACF" w:rsidRPr="0088747A" w:rsidRDefault="00905ACF">
      <w:pPr>
        <w:rPr>
          <w:rFonts w:ascii="Times New Roman" w:hAnsi="Times New Roman"/>
          <w:sz w:val="28"/>
          <w:szCs w:val="28"/>
        </w:rPr>
      </w:pPr>
    </w:p>
    <w:sectPr w:rsidR="00905ACF" w:rsidRPr="0088747A" w:rsidSect="00B75C9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A1" w:rsidRDefault="00A874A1" w:rsidP="0096064A">
      <w:pPr>
        <w:spacing w:after="0" w:line="240" w:lineRule="auto"/>
      </w:pPr>
      <w:r>
        <w:separator/>
      </w:r>
    </w:p>
  </w:endnote>
  <w:endnote w:type="continuationSeparator" w:id="0">
    <w:p w:rsidR="00A874A1" w:rsidRDefault="00A874A1" w:rsidP="0096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59" w:rsidRPr="0096064A" w:rsidRDefault="0096064A" w:rsidP="0096064A">
    <w:pPr>
      <w:pStyle w:val="Footer"/>
      <w:rPr>
        <w:rFonts w:ascii="Times New Roman" w:hAnsi="Times New Roman"/>
        <w:sz w:val="20"/>
        <w:szCs w:val="20"/>
      </w:rPr>
    </w:pPr>
    <w:r w:rsidRPr="00115EFE">
      <w:rPr>
        <w:rFonts w:ascii="Times New Roman" w:hAnsi="Times New Roman"/>
        <w:sz w:val="20"/>
        <w:szCs w:val="20"/>
      </w:rPr>
      <w:t>LM</w:t>
    </w:r>
    <w:r>
      <w:rPr>
        <w:rFonts w:ascii="Times New Roman" w:hAnsi="Times New Roman"/>
        <w:sz w:val="20"/>
        <w:szCs w:val="20"/>
      </w:rPr>
      <w:t>a</w:t>
    </w:r>
    <w:r w:rsidRPr="00115EFE">
      <w:rPr>
        <w:rFonts w:ascii="Times New Roman" w:hAnsi="Times New Roman"/>
        <w:sz w:val="20"/>
        <w:szCs w:val="20"/>
      </w:rPr>
      <w:t>not_</w:t>
    </w:r>
    <w:r w:rsidR="00910D1F">
      <w:rPr>
        <w:rFonts w:ascii="Times New Roman" w:hAnsi="Times New Roman"/>
        <w:sz w:val="20"/>
        <w:szCs w:val="20"/>
      </w:rPr>
      <w:t>2</w:t>
    </w:r>
    <w:r w:rsidR="00AB11EE">
      <w:rPr>
        <w:rFonts w:ascii="Times New Roman" w:hAnsi="Times New Roman"/>
        <w:sz w:val="20"/>
        <w:szCs w:val="20"/>
      </w:rPr>
      <w:t>80119</w:t>
    </w:r>
    <w:r w:rsidRPr="00115EFE">
      <w:rPr>
        <w:rFonts w:ascii="Times New Roman" w:hAnsi="Times New Roman"/>
        <w:sz w:val="20"/>
        <w:szCs w:val="20"/>
      </w:rPr>
      <w:t>; Grozījumi Ministru kabineta 2002.gada 23.aprīļa noteikumos Nr. 165 „Apdrošināšanas periodu pierādīšanas, aprēķināšanas un uzskaites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59" w:rsidRPr="0096064A" w:rsidRDefault="0096064A" w:rsidP="0096064A">
    <w:pPr>
      <w:pStyle w:val="Footer"/>
      <w:rPr>
        <w:rFonts w:ascii="Times New Roman" w:hAnsi="Times New Roman"/>
        <w:sz w:val="20"/>
        <w:szCs w:val="20"/>
      </w:rPr>
    </w:pPr>
    <w:r w:rsidRPr="00115EFE">
      <w:rPr>
        <w:rFonts w:ascii="Times New Roman" w:hAnsi="Times New Roman"/>
        <w:sz w:val="20"/>
        <w:szCs w:val="20"/>
      </w:rPr>
      <w:t>LM</w:t>
    </w:r>
    <w:r>
      <w:rPr>
        <w:rFonts w:ascii="Times New Roman" w:hAnsi="Times New Roman"/>
        <w:sz w:val="20"/>
        <w:szCs w:val="20"/>
      </w:rPr>
      <w:t>a</w:t>
    </w:r>
    <w:r w:rsidRPr="00115EFE">
      <w:rPr>
        <w:rFonts w:ascii="Times New Roman" w:hAnsi="Times New Roman"/>
        <w:sz w:val="20"/>
        <w:szCs w:val="20"/>
      </w:rPr>
      <w:t>not_</w:t>
    </w:r>
    <w:r w:rsidR="00910D1F">
      <w:rPr>
        <w:rFonts w:ascii="Times New Roman" w:hAnsi="Times New Roman"/>
        <w:sz w:val="20"/>
        <w:szCs w:val="20"/>
      </w:rPr>
      <w:t>2</w:t>
    </w:r>
    <w:r w:rsidR="00AB11EE">
      <w:rPr>
        <w:rFonts w:ascii="Times New Roman" w:hAnsi="Times New Roman"/>
        <w:sz w:val="20"/>
        <w:szCs w:val="20"/>
      </w:rPr>
      <w:t>80119</w:t>
    </w:r>
    <w:r w:rsidRPr="00115EFE">
      <w:rPr>
        <w:rFonts w:ascii="Times New Roman" w:hAnsi="Times New Roman"/>
        <w:sz w:val="20"/>
        <w:szCs w:val="20"/>
      </w:rPr>
      <w:t>; Grozījumi Ministru kabineta 2002.gada 23.aprīļa noteikumos Nr. 165 „Apdrošināšanas periodu pierādīšanas, aprēķināšanas un uzskaites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A1" w:rsidRDefault="00A874A1" w:rsidP="0096064A">
      <w:pPr>
        <w:spacing w:after="0" w:line="240" w:lineRule="auto"/>
      </w:pPr>
      <w:r>
        <w:separator/>
      </w:r>
    </w:p>
  </w:footnote>
  <w:footnote w:type="continuationSeparator" w:id="0">
    <w:p w:rsidR="00A874A1" w:rsidRDefault="00A874A1" w:rsidP="00960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59" w:rsidRPr="00C25B49" w:rsidRDefault="00A4512D">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5B66AD">
      <w:rPr>
        <w:rFonts w:ascii="Times New Roman" w:hAnsi="Times New Roman"/>
        <w:noProof/>
        <w:sz w:val="24"/>
        <w:szCs w:val="20"/>
      </w:rPr>
      <w:t>7</w:t>
    </w:r>
    <w:r w:rsidRPr="00C25B49">
      <w:rPr>
        <w:rFonts w:ascii="Times New Roman" w:hAnsi="Times New Roman"/>
        <w:sz w:val="24"/>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BA"/>
    <w:rsid w:val="000007D1"/>
    <w:rsid w:val="00002048"/>
    <w:rsid w:val="00003790"/>
    <w:rsid w:val="0000383E"/>
    <w:rsid w:val="00005F51"/>
    <w:rsid w:val="00011342"/>
    <w:rsid w:val="00013003"/>
    <w:rsid w:val="0001453B"/>
    <w:rsid w:val="00016458"/>
    <w:rsid w:val="000251DA"/>
    <w:rsid w:val="0003096D"/>
    <w:rsid w:val="0003315A"/>
    <w:rsid w:val="00034C32"/>
    <w:rsid w:val="00041368"/>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4600"/>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6B3C"/>
    <w:rsid w:val="00145599"/>
    <w:rsid w:val="00145AE7"/>
    <w:rsid w:val="00146E5F"/>
    <w:rsid w:val="0015027A"/>
    <w:rsid w:val="00152651"/>
    <w:rsid w:val="0015430F"/>
    <w:rsid w:val="00155211"/>
    <w:rsid w:val="00160473"/>
    <w:rsid w:val="00161E51"/>
    <w:rsid w:val="001677DF"/>
    <w:rsid w:val="00171268"/>
    <w:rsid w:val="0017149A"/>
    <w:rsid w:val="00180E23"/>
    <w:rsid w:val="001877A1"/>
    <w:rsid w:val="0019570A"/>
    <w:rsid w:val="001A0666"/>
    <w:rsid w:val="001A32C8"/>
    <w:rsid w:val="001A49F2"/>
    <w:rsid w:val="001A4F97"/>
    <w:rsid w:val="001A7073"/>
    <w:rsid w:val="001A7B85"/>
    <w:rsid w:val="001B0C2A"/>
    <w:rsid w:val="001B2115"/>
    <w:rsid w:val="001B27C5"/>
    <w:rsid w:val="001B5C66"/>
    <w:rsid w:val="001B73F2"/>
    <w:rsid w:val="001C011B"/>
    <w:rsid w:val="001C13AC"/>
    <w:rsid w:val="001C2260"/>
    <w:rsid w:val="001C7804"/>
    <w:rsid w:val="001D3509"/>
    <w:rsid w:val="001D4F8C"/>
    <w:rsid w:val="001D66EF"/>
    <w:rsid w:val="001D6B38"/>
    <w:rsid w:val="001E16AD"/>
    <w:rsid w:val="001E6583"/>
    <w:rsid w:val="001F1061"/>
    <w:rsid w:val="001F366A"/>
    <w:rsid w:val="001F64A4"/>
    <w:rsid w:val="00200EFB"/>
    <w:rsid w:val="002025C4"/>
    <w:rsid w:val="002075AD"/>
    <w:rsid w:val="00216D1B"/>
    <w:rsid w:val="00220916"/>
    <w:rsid w:val="00221E9F"/>
    <w:rsid w:val="00222BD6"/>
    <w:rsid w:val="002242B3"/>
    <w:rsid w:val="00224F59"/>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71E13"/>
    <w:rsid w:val="002727D5"/>
    <w:rsid w:val="00272F11"/>
    <w:rsid w:val="00273BB1"/>
    <w:rsid w:val="00274BD0"/>
    <w:rsid w:val="00277A72"/>
    <w:rsid w:val="00280692"/>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CAA"/>
    <w:rsid w:val="002C72D7"/>
    <w:rsid w:val="002D0FBC"/>
    <w:rsid w:val="002D58D5"/>
    <w:rsid w:val="002D6BC3"/>
    <w:rsid w:val="002D753D"/>
    <w:rsid w:val="002F1A31"/>
    <w:rsid w:val="00304010"/>
    <w:rsid w:val="00306B6E"/>
    <w:rsid w:val="003071F8"/>
    <w:rsid w:val="00314020"/>
    <w:rsid w:val="0031423A"/>
    <w:rsid w:val="00324B4F"/>
    <w:rsid w:val="00325132"/>
    <w:rsid w:val="003324D3"/>
    <w:rsid w:val="003338A4"/>
    <w:rsid w:val="0033493D"/>
    <w:rsid w:val="00344821"/>
    <w:rsid w:val="00344A68"/>
    <w:rsid w:val="00347F41"/>
    <w:rsid w:val="003508AC"/>
    <w:rsid w:val="003578FA"/>
    <w:rsid w:val="003651B1"/>
    <w:rsid w:val="00365AC6"/>
    <w:rsid w:val="00365BC5"/>
    <w:rsid w:val="003671D6"/>
    <w:rsid w:val="00371332"/>
    <w:rsid w:val="003770FD"/>
    <w:rsid w:val="00391E15"/>
    <w:rsid w:val="00392694"/>
    <w:rsid w:val="00393F09"/>
    <w:rsid w:val="003A2114"/>
    <w:rsid w:val="003A3670"/>
    <w:rsid w:val="003A3DE6"/>
    <w:rsid w:val="003A54CC"/>
    <w:rsid w:val="003A5C4D"/>
    <w:rsid w:val="003A76BA"/>
    <w:rsid w:val="003B1B92"/>
    <w:rsid w:val="003B1B9D"/>
    <w:rsid w:val="003B241F"/>
    <w:rsid w:val="003B3271"/>
    <w:rsid w:val="003B3D57"/>
    <w:rsid w:val="003B405E"/>
    <w:rsid w:val="003B518A"/>
    <w:rsid w:val="003B72BC"/>
    <w:rsid w:val="003C15F9"/>
    <w:rsid w:val="003C4417"/>
    <w:rsid w:val="003C7369"/>
    <w:rsid w:val="003D1C5A"/>
    <w:rsid w:val="003D22E1"/>
    <w:rsid w:val="003D2E11"/>
    <w:rsid w:val="003E12E1"/>
    <w:rsid w:val="003E5FDF"/>
    <w:rsid w:val="003F0A60"/>
    <w:rsid w:val="003F166A"/>
    <w:rsid w:val="003F1980"/>
    <w:rsid w:val="003F2D83"/>
    <w:rsid w:val="003F3126"/>
    <w:rsid w:val="003F66B5"/>
    <w:rsid w:val="003F7418"/>
    <w:rsid w:val="0040021E"/>
    <w:rsid w:val="00405272"/>
    <w:rsid w:val="00405EFD"/>
    <w:rsid w:val="00412455"/>
    <w:rsid w:val="00417035"/>
    <w:rsid w:val="004220D5"/>
    <w:rsid w:val="0042414D"/>
    <w:rsid w:val="00426F66"/>
    <w:rsid w:val="00431574"/>
    <w:rsid w:val="00432CEF"/>
    <w:rsid w:val="0043302D"/>
    <w:rsid w:val="00433C24"/>
    <w:rsid w:val="004401C8"/>
    <w:rsid w:val="004406B4"/>
    <w:rsid w:val="00443227"/>
    <w:rsid w:val="00444C27"/>
    <w:rsid w:val="00445425"/>
    <w:rsid w:val="004511B8"/>
    <w:rsid w:val="00452DB7"/>
    <w:rsid w:val="00453FB8"/>
    <w:rsid w:val="00454159"/>
    <w:rsid w:val="004638D6"/>
    <w:rsid w:val="0046701B"/>
    <w:rsid w:val="004672D6"/>
    <w:rsid w:val="0047156D"/>
    <w:rsid w:val="004715AD"/>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7AE1"/>
    <w:rsid w:val="004A7D9C"/>
    <w:rsid w:val="004A7E40"/>
    <w:rsid w:val="004B3CBF"/>
    <w:rsid w:val="004C2AFD"/>
    <w:rsid w:val="004C43AD"/>
    <w:rsid w:val="004C48D9"/>
    <w:rsid w:val="004C5BA8"/>
    <w:rsid w:val="004C6BDF"/>
    <w:rsid w:val="004D1803"/>
    <w:rsid w:val="004D2852"/>
    <w:rsid w:val="004D2E6B"/>
    <w:rsid w:val="004D2F15"/>
    <w:rsid w:val="004D5932"/>
    <w:rsid w:val="004D64CD"/>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72EEC"/>
    <w:rsid w:val="00577C5D"/>
    <w:rsid w:val="00583219"/>
    <w:rsid w:val="0058365E"/>
    <w:rsid w:val="005843B0"/>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66AD"/>
    <w:rsid w:val="005B7417"/>
    <w:rsid w:val="005D549E"/>
    <w:rsid w:val="005E0804"/>
    <w:rsid w:val="005E10A4"/>
    <w:rsid w:val="005E3464"/>
    <w:rsid w:val="005E3ABC"/>
    <w:rsid w:val="005E52E3"/>
    <w:rsid w:val="005F0731"/>
    <w:rsid w:val="005F11A9"/>
    <w:rsid w:val="005F5584"/>
    <w:rsid w:val="005F598A"/>
    <w:rsid w:val="00600882"/>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302D8"/>
    <w:rsid w:val="00630727"/>
    <w:rsid w:val="00631302"/>
    <w:rsid w:val="0063174D"/>
    <w:rsid w:val="00631CB3"/>
    <w:rsid w:val="00633934"/>
    <w:rsid w:val="00634643"/>
    <w:rsid w:val="006358C3"/>
    <w:rsid w:val="006462B0"/>
    <w:rsid w:val="006545E1"/>
    <w:rsid w:val="006551DE"/>
    <w:rsid w:val="00655F02"/>
    <w:rsid w:val="00656093"/>
    <w:rsid w:val="006564BB"/>
    <w:rsid w:val="00656961"/>
    <w:rsid w:val="00657532"/>
    <w:rsid w:val="00657C10"/>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62EB"/>
    <w:rsid w:val="006D1174"/>
    <w:rsid w:val="006D238C"/>
    <w:rsid w:val="006E110E"/>
    <w:rsid w:val="006E23B2"/>
    <w:rsid w:val="006E7373"/>
    <w:rsid w:val="006F17FC"/>
    <w:rsid w:val="006F1C23"/>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60642"/>
    <w:rsid w:val="00761191"/>
    <w:rsid w:val="00766256"/>
    <w:rsid w:val="00770931"/>
    <w:rsid w:val="00773ACE"/>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C7AD3"/>
    <w:rsid w:val="007D02C0"/>
    <w:rsid w:val="007D344D"/>
    <w:rsid w:val="007D5538"/>
    <w:rsid w:val="007D5ABB"/>
    <w:rsid w:val="007F21DA"/>
    <w:rsid w:val="007F7820"/>
    <w:rsid w:val="007F7EB5"/>
    <w:rsid w:val="0080360C"/>
    <w:rsid w:val="00803EDE"/>
    <w:rsid w:val="00806204"/>
    <w:rsid w:val="00807BCE"/>
    <w:rsid w:val="00810812"/>
    <w:rsid w:val="0081595C"/>
    <w:rsid w:val="0081608E"/>
    <w:rsid w:val="00820598"/>
    <w:rsid w:val="00821B64"/>
    <w:rsid w:val="00821E4E"/>
    <w:rsid w:val="008259BF"/>
    <w:rsid w:val="008266F2"/>
    <w:rsid w:val="008307B7"/>
    <w:rsid w:val="008317AF"/>
    <w:rsid w:val="00840775"/>
    <w:rsid w:val="00852400"/>
    <w:rsid w:val="00852CD8"/>
    <w:rsid w:val="008545E7"/>
    <w:rsid w:val="008554B7"/>
    <w:rsid w:val="00856A03"/>
    <w:rsid w:val="0086647B"/>
    <w:rsid w:val="00867AD1"/>
    <w:rsid w:val="00872B06"/>
    <w:rsid w:val="008751E1"/>
    <w:rsid w:val="00881F00"/>
    <w:rsid w:val="008835A9"/>
    <w:rsid w:val="00885048"/>
    <w:rsid w:val="0088747A"/>
    <w:rsid w:val="008923D4"/>
    <w:rsid w:val="00892440"/>
    <w:rsid w:val="00892575"/>
    <w:rsid w:val="00894316"/>
    <w:rsid w:val="00895010"/>
    <w:rsid w:val="00895EFC"/>
    <w:rsid w:val="008961D2"/>
    <w:rsid w:val="008A0BB4"/>
    <w:rsid w:val="008A157B"/>
    <w:rsid w:val="008A2BAC"/>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D8E"/>
    <w:rsid w:val="008E6551"/>
    <w:rsid w:val="008F0FC4"/>
    <w:rsid w:val="008F1A3A"/>
    <w:rsid w:val="008F4F4F"/>
    <w:rsid w:val="0090081F"/>
    <w:rsid w:val="00901762"/>
    <w:rsid w:val="009020E7"/>
    <w:rsid w:val="009041DC"/>
    <w:rsid w:val="009041FF"/>
    <w:rsid w:val="00905ACF"/>
    <w:rsid w:val="00906953"/>
    <w:rsid w:val="00906E2A"/>
    <w:rsid w:val="00906EC7"/>
    <w:rsid w:val="009074DC"/>
    <w:rsid w:val="00910D1F"/>
    <w:rsid w:val="009142A9"/>
    <w:rsid w:val="00915542"/>
    <w:rsid w:val="00915B2A"/>
    <w:rsid w:val="0091674B"/>
    <w:rsid w:val="00925295"/>
    <w:rsid w:val="00930514"/>
    <w:rsid w:val="00930ABC"/>
    <w:rsid w:val="009315B7"/>
    <w:rsid w:val="0093474C"/>
    <w:rsid w:val="00936A2A"/>
    <w:rsid w:val="00936F7D"/>
    <w:rsid w:val="009455D0"/>
    <w:rsid w:val="0095102F"/>
    <w:rsid w:val="00951910"/>
    <w:rsid w:val="0095309A"/>
    <w:rsid w:val="009566E1"/>
    <w:rsid w:val="00960509"/>
    <w:rsid w:val="0096064A"/>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1993"/>
    <w:rsid w:val="009A27ED"/>
    <w:rsid w:val="009A396E"/>
    <w:rsid w:val="009A5222"/>
    <w:rsid w:val="009A62C8"/>
    <w:rsid w:val="009B2BFA"/>
    <w:rsid w:val="009B4BE5"/>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A00D32"/>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12D"/>
    <w:rsid w:val="00A45CA8"/>
    <w:rsid w:val="00A4751A"/>
    <w:rsid w:val="00A475C0"/>
    <w:rsid w:val="00A563BB"/>
    <w:rsid w:val="00A62DF0"/>
    <w:rsid w:val="00A631E8"/>
    <w:rsid w:val="00A66E9D"/>
    <w:rsid w:val="00A705C7"/>
    <w:rsid w:val="00A70DED"/>
    <w:rsid w:val="00A7104F"/>
    <w:rsid w:val="00A72E00"/>
    <w:rsid w:val="00A75F2F"/>
    <w:rsid w:val="00A80E85"/>
    <w:rsid w:val="00A81FA4"/>
    <w:rsid w:val="00A82F32"/>
    <w:rsid w:val="00A84FDA"/>
    <w:rsid w:val="00A874A1"/>
    <w:rsid w:val="00A875CC"/>
    <w:rsid w:val="00A9162B"/>
    <w:rsid w:val="00A919F9"/>
    <w:rsid w:val="00AA1BEF"/>
    <w:rsid w:val="00AA1DEC"/>
    <w:rsid w:val="00AA1EE9"/>
    <w:rsid w:val="00AA32DE"/>
    <w:rsid w:val="00AA747F"/>
    <w:rsid w:val="00AB077B"/>
    <w:rsid w:val="00AB11EE"/>
    <w:rsid w:val="00AB1C7E"/>
    <w:rsid w:val="00AB31BA"/>
    <w:rsid w:val="00AC348C"/>
    <w:rsid w:val="00AC457A"/>
    <w:rsid w:val="00AC53B8"/>
    <w:rsid w:val="00AC5678"/>
    <w:rsid w:val="00AC6541"/>
    <w:rsid w:val="00AC7928"/>
    <w:rsid w:val="00AD536E"/>
    <w:rsid w:val="00AD5BC5"/>
    <w:rsid w:val="00AD60E5"/>
    <w:rsid w:val="00AD74AA"/>
    <w:rsid w:val="00AD7B09"/>
    <w:rsid w:val="00AE2415"/>
    <w:rsid w:val="00AE3131"/>
    <w:rsid w:val="00AE3B35"/>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2107"/>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25A5"/>
    <w:rsid w:val="00C62771"/>
    <w:rsid w:val="00C71C6E"/>
    <w:rsid w:val="00C7211E"/>
    <w:rsid w:val="00C72669"/>
    <w:rsid w:val="00C74DCE"/>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69AF"/>
    <w:rsid w:val="00CB7C96"/>
    <w:rsid w:val="00CC285D"/>
    <w:rsid w:val="00CC5928"/>
    <w:rsid w:val="00CD04E0"/>
    <w:rsid w:val="00CD10B6"/>
    <w:rsid w:val="00CD1587"/>
    <w:rsid w:val="00CD295A"/>
    <w:rsid w:val="00CD4D39"/>
    <w:rsid w:val="00CD6471"/>
    <w:rsid w:val="00CE19E0"/>
    <w:rsid w:val="00CE2583"/>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3A3"/>
    <w:rsid w:val="00D649A7"/>
    <w:rsid w:val="00D72144"/>
    <w:rsid w:val="00D7528F"/>
    <w:rsid w:val="00D75E1E"/>
    <w:rsid w:val="00D7660B"/>
    <w:rsid w:val="00D81EBE"/>
    <w:rsid w:val="00D8494A"/>
    <w:rsid w:val="00D9041A"/>
    <w:rsid w:val="00D93AD9"/>
    <w:rsid w:val="00D94B6A"/>
    <w:rsid w:val="00D95D63"/>
    <w:rsid w:val="00D95F8B"/>
    <w:rsid w:val="00D9607E"/>
    <w:rsid w:val="00D97758"/>
    <w:rsid w:val="00DA0352"/>
    <w:rsid w:val="00DA4F10"/>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70D31"/>
    <w:rsid w:val="00E7274C"/>
    <w:rsid w:val="00E73DA5"/>
    <w:rsid w:val="00E747D8"/>
    <w:rsid w:val="00E76268"/>
    <w:rsid w:val="00E76A48"/>
    <w:rsid w:val="00E846D2"/>
    <w:rsid w:val="00E85D1A"/>
    <w:rsid w:val="00E86C0F"/>
    <w:rsid w:val="00E91E80"/>
    <w:rsid w:val="00E93DFB"/>
    <w:rsid w:val="00E95284"/>
    <w:rsid w:val="00E956E5"/>
    <w:rsid w:val="00E96E01"/>
    <w:rsid w:val="00EA37B5"/>
    <w:rsid w:val="00EA7718"/>
    <w:rsid w:val="00EB44DC"/>
    <w:rsid w:val="00EB46CC"/>
    <w:rsid w:val="00EC11A8"/>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F00"/>
    <w:rsid w:val="00F60525"/>
    <w:rsid w:val="00F60566"/>
    <w:rsid w:val="00F60EC9"/>
    <w:rsid w:val="00F62117"/>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B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31BA"/>
    <w:rPr>
      <w:rFonts w:cs="Times New Roman"/>
      <w:color w:val="0000FF"/>
      <w:u w:val="single"/>
    </w:rPr>
  </w:style>
  <w:style w:type="paragraph" w:styleId="Header">
    <w:name w:val="header"/>
    <w:basedOn w:val="Normal"/>
    <w:link w:val="HeaderChar"/>
    <w:uiPriority w:val="99"/>
    <w:rsid w:val="00AB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1BA"/>
    <w:rPr>
      <w:rFonts w:ascii="Calibri" w:eastAsia="Calibri" w:hAnsi="Calibri" w:cs="Times New Roman"/>
    </w:rPr>
  </w:style>
  <w:style w:type="paragraph" w:styleId="Footer">
    <w:name w:val="footer"/>
    <w:basedOn w:val="Normal"/>
    <w:link w:val="FooterChar"/>
    <w:uiPriority w:val="99"/>
    <w:rsid w:val="00AB31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1BA"/>
    <w:rPr>
      <w:rFonts w:ascii="Calibri" w:eastAsia="Calibri" w:hAnsi="Calibri" w:cs="Times New Roman"/>
    </w:rPr>
  </w:style>
  <w:style w:type="paragraph" w:styleId="NormalWeb">
    <w:name w:val="Normal (Web)"/>
    <w:aliases w:val="sākums"/>
    <w:basedOn w:val="Normal"/>
    <w:uiPriority w:val="99"/>
    <w:rsid w:val="00AB31B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estern">
    <w:name w:val="western"/>
    <w:basedOn w:val="Normal"/>
    <w:rsid w:val="00E85D1A"/>
    <w:pPr>
      <w:spacing w:before="100" w:beforeAutospacing="1" w:after="142" w:line="288" w:lineRule="auto"/>
    </w:pPr>
    <w:rPr>
      <w:rFonts w:eastAsia="Times New Roman"/>
      <w:color w:val="00000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B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31BA"/>
    <w:rPr>
      <w:rFonts w:cs="Times New Roman"/>
      <w:color w:val="0000FF"/>
      <w:u w:val="single"/>
    </w:rPr>
  </w:style>
  <w:style w:type="paragraph" w:styleId="Header">
    <w:name w:val="header"/>
    <w:basedOn w:val="Normal"/>
    <w:link w:val="HeaderChar"/>
    <w:uiPriority w:val="99"/>
    <w:rsid w:val="00AB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1BA"/>
    <w:rPr>
      <w:rFonts w:ascii="Calibri" w:eastAsia="Calibri" w:hAnsi="Calibri" w:cs="Times New Roman"/>
    </w:rPr>
  </w:style>
  <w:style w:type="paragraph" w:styleId="Footer">
    <w:name w:val="footer"/>
    <w:basedOn w:val="Normal"/>
    <w:link w:val="FooterChar"/>
    <w:uiPriority w:val="99"/>
    <w:rsid w:val="00AB31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1BA"/>
    <w:rPr>
      <w:rFonts w:ascii="Calibri" w:eastAsia="Calibri" w:hAnsi="Calibri" w:cs="Times New Roman"/>
    </w:rPr>
  </w:style>
  <w:style w:type="paragraph" w:styleId="NormalWeb">
    <w:name w:val="Normal (Web)"/>
    <w:aliases w:val="sākums"/>
    <w:basedOn w:val="Normal"/>
    <w:uiPriority w:val="99"/>
    <w:rsid w:val="00AB31B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estern">
    <w:name w:val="western"/>
    <w:basedOn w:val="Normal"/>
    <w:rsid w:val="00E85D1A"/>
    <w:pPr>
      <w:spacing w:before="100" w:beforeAutospacing="1" w:after="142" w:line="288" w:lineRule="auto"/>
    </w:pPr>
    <w:rPr>
      <w:rFonts w:eastAsia="Times New Roman"/>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7922</Words>
  <Characters>4517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23.aprīļa noteikumos Nr. 165 „Apdrošināšanas periodu pierādīšanas, aprēķināšanas un uzskaites kārtība”</dc:title>
  <dc:subject>anotācija</dc:subject>
  <dc:creator>Dace Trusinska</dc:creator>
  <dc:description>D.Trušinska, 67021553
Dace.Trusinska@lm.gov.lv</dc:description>
  <cp:lastModifiedBy>Dace Trusinska</cp:lastModifiedBy>
  <cp:revision>9</cp:revision>
  <cp:lastPrinted>2018-12-27T12:20:00Z</cp:lastPrinted>
  <dcterms:created xsi:type="dcterms:W3CDTF">2018-12-27T08:23:00Z</dcterms:created>
  <dcterms:modified xsi:type="dcterms:W3CDTF">2019-01-28T12:02:00Z</dcterms:modified>
</cp:coreProperties>
</file>