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DF19" w14:textId="77777777" w:rsidR="002B64FD" w:rsidRPr="00445B31" w:rsidRDefault="00504E5B" w:rsidP="00B01164">
      <w:pPr>
        <w:tabs>
          <w:tab w:val="left" w:pos="3544"/>
        </w:tabs>
        <w:jc w:val="center"/>
        <w:rPr>
          <w:b/>
          <w:sz w:val="26"/>
          <w:szCs w:val="26"/>
        </w:rPr>
      </w:pPr>
      <w:r w:rsidRPr="00445B31">
        <w:rPr>
          <w:b/>
          <w:sz w:val="26"/>
          <w:szCs w:val="26"/>
        </w:rPr>
        <w:t xml:space="preserve">Informatīvais ziņojums </w:t>
      </w:r>
    </w:p>
    <w:p w14:paraId="47B1AB6E" w14:textId="003E8F89" w:rsidR="00572A87" w:rsidRPr="008B1D8D" w:rsidRDefault="00632F80" w:rsidP="00B01164">
      <w:pPr>
        <w:tabs>
          <w:tab w:val="left" w:pos="3544"/>
        </w:tabs>
        <w:jc w:val="center"/>
        <w:rPr>
          <w:b/>
          <w:sz w:val="26"/>
          <w:szCs w:val="26"/>
        </w:rPr>
      </w:pPr>
      <w:r w:rsidRPr="008B1D8D">
        <w:rPr>
          <w:b/>
          <w:sz w:val="26"/>
          <w:szCs w:val="26"/>
        </w:rPr>
        <w:t>p</w:t>
      </w:r>
      <w:r w:rsidR="00504E5B" w:rsidRPr="008B1D8D">
        <w:rPr>
          <w:b/>
          <w:sz w:val="26"/>
          <w:szCs w:val="26"/>
        </w:rPr>
        <w:t>ar</w:t>
      </w:r>
      <w:r w:rsidR="00F7090B" w:rsidRPr="008B1D8D">
        <w:rPr>
          <w:b/>
          <w:sz w:val="26"/>
          <w:szCs w:val="26"/>
        </w:rPr>
        <w:t xml:space="preserve"> </w:t>
      </w:r>
      <w:r w:rsidR="008B1D8D" w:rsidRPr="008B1D8D">
        <w:rPr>
          <w:rFonts w:eastAsia="Calibri"/>
          <w:b/>
        </w:rPr>
        <w:t xml:space="preserve">Valsts pārvaldes reformu plāna 2020 </w:t>
      </w:r>
      <w:r w:rsidR="006D1BF6" w:rsidRPr="004316E3">
        <w:rPr>
          <w:rFonts w:eastAsia="Calibri"/>
          <w:b/>
        </w:rPr>
        <w:t xml:space="preserve">sadaļas </w:t>
      </w:r>
      <w:r w:rsidR="004316E3">
        <w:rPr>
          <w:rFonts w:eastAsia="Calibri"/>
          <w:b/>
        </w:rPr>
        <w:t>“</w:t>
      </w:r>
      <w:r w:rsidR="006D1BF6" w:rsidRPr="004316E3">
        <w:rPr>
          <w:rFonts w:eastAsia="Calibri"/>
          <w:b/>
        </w:rPr>
        <w:t>Pasākumi mērķu sasniegšanai</w:t>
      </w:r>
      <w:r w:rsidR="004316E3">
        <w:rPr>
          <w:rFonts w:eastAsia="Calibri"/>
          <w:b/>
        </w:rPr>
        <w:t>”</w:t>
      </w:r>
      <w:r w:rsidR="006D1BF6" w:rsidRPr="008B1D8D" w:rsidDel="006D1BF6">
        <w:rPr>
          <w:rFonts w:eastAsia="Calibri"/>
          <w:b/>
        </w:rPr>
        <w:t xml:space="preserve"> </w:t>
      </w:r>
      <w:r w:rsidR="008B1D8D" w:rsidRPr="008B1D8D">
        <w:rPr>
          <w:rFonts w:eastAsia="Calibri"/>
          <w:b/>
        </w:rPr>
        <w:t>4.4.</w:t>
      </w:r>
      <w:r w:rsidR="006D1BF6">
        <w:rPr>
          <w:rFonts w:eastAsia="Calibri"/>
          <w:b/>
        </w:rPr>
        <w:t> </w:t>
      </w:r>
      <w:r w:rsidR="008B1D8D" w:rsidRPr="008B1D8D">
        <w:rPr>
          <w:rFonts w:eastAsia="Calibri"/>
          <w:b/>
        </w:rPr>
        <w:t xml:space="preserve">apakšpunktā </w:t>
      </w:r>
      <w:r w:rsidR="00664A8B" w:rsidRPr="008B1D8D">
        <w:rPr>
          <w:b/>
          <w:sz w:val="26"/>
          <w:szCs w:val="26"/>
        </w:rPr>
        <w:t xml:space="preserve">dotā uzdevuma </w:t>
      </w:r>
      <w:r w:rsidR="00386846" w:rsidRPr="008B1D8D">
        <w:rPr>
          <w:b/>
          <w:sz w:val="26"/>
          <w:szCs w:val="26"/>
        </w:rPr>
        <w:t>izpildi</w:t>
      </w:r>
    </w:p>
    <w:p w14:paraId="240C9748" w14:textId="77777777" w:rsidR="008B1D8D" w:rsidRDefault="008B1D8D" w:rsidP="008B1D8D">
      <w:pPr>
        <w:widowControl w:val="0"/>
        <w:spacing w:after="120"/>
        <w:ind w:firstLine="720"/>
        <w:contextualSpacing/>
        <w:jc w:val="both"/>
        <w:rPr>
          <w:rFonts w:eastAsia="Calibri"/>
        </w:rPr>
      </w:pPr>
    </w:p>
    <w:p w14:paraId="19509449" w14:textId="43282EDA" w:rsidR="008B1D8D" w:rsidRDefault="008B1D8D" w:rsidP="008B1D8D">
      <w:pPr>
        <w:widowControl w:val="0"/>
        <w:spacing w:after="120"/>
        <w:ind w:firstLine="720"/>
        <w:contextualSpacing/>
        <w:jc w:val="both"/>
        <w:rPr>
          <w:rFonts w:eastAsia="Calibri"/>
        </w:rPr>
      </w:pPr>
      <w:r>
        <w:rPr>
          <w:rFonts w:eastAsia="Calibri"/>
        </w:rPr>
        <w:t xml:space="preserve">Ar </w:t>
      </w:r>
      <w:r w:rsidRPr="008B1D8D">
        <w:rPr>
          <w:rFonts w:eastAsia="Calibri"/>
        </w:rPr>
        <w:t>Valsts pārvaldes reformu plāna 2020 (apstiprināts ar Ministru kabineta 2017.</w:t>
      </w:r>
      <w:r w:rsidR="005C784C">
        <w:rPr>
          <w:rFonts w:eastAsia="Calibri"/>
        </w:rPr>
        <w:t xml:space="preserve"> gada 24. novembra rīkojumu </w:t>
      </w:r>
      <w:r w:rsidRPr="008B1D8D">
        <w:rPr>
          <w:rFonts w:eastAsia="Calibri"/>
        </w:rPr>
        <w:t>Nr. 701 (prot.</w:t>
      </w:r>
      <w:r w:rsidR="00753948">
        <w:rPr>
          <w:rFonts w:eastAsia="Calibri"/>
        </w:rPr>
        <w:t xml:space="preserve"> Nr. 57 54. §)) </w:t>
      </w:r>
      <w:r w:rsidR="006D1BF6">
        <w:t xml:space="preserve">sadaļas </w:t>
      </w:r>
      <w:r w:rsidR="004316E3">
        <w:t>“</w:t>
      </w:r>
      <w:r w:rsidR="006D1BF6">
        <w:t>Pasākumi mērķu sasniegšanai</w:t>
      </w:r>
      <w:r w:rsidR="004316E3">
        <w:t>”</w:t>
      </w:r>
      <w:r w:rsidR="006D1BF6">
        <w:rPr>
          <w:rFonts w:eastAsia="Calibri"/>
        </w:rPr>
        <w:t xml:space="preserve"> </w:t>
      </w:r>
      <w:r w:rsidR="00753948">
        <w:rPr>
          <w:rFonts w:eastAsia="Calibri"/>
        </w:rPr>
        <w:t>4.4.</w:t>
      </w:r>
      <w:r w:rsidR="006D1BF6">
        <w:rPr>
          <w:rFonts w:eastAsia="Calibri"/>
        </w:rPr>
        <w:t> </w:t>
      </w:r>
      <w:r w:rsidR="00753948">
        <w:rPr>
          <w:rFonts w:eastAsia="Calibri"/>
        </w:rPr>
        <w:t>apakšpunktu</w:t>
      </w:r>
      <w:r w:rsidRPr="008B1D8D">
        <w:rPr>
          <w:rFonts w:eastAsia="Calibri"/>
        </w:rPr>
        <w:t xml:space="preserve"> Vides aizsardzības un reģionālās attīstības ministrijai</w:t>
      </w:r>
      <w:r>
        <w:rPr>
          <w:rFonts w:eastAsia="Calibri"/>
        </w:rPr>
        <w:t xml:space="preserve"> (turpmāk – VARAM)</w:t>
      </w:r>
      <w:r w:rsidR="00753948">
        <w:rPr>
          <w:rFonts w:eastAsia="Calibri"/>
        </w:rPr>
        <w:t>,</w:t>
      </w:r>
      <w:r>
        <w:rPr>
          <w:rFonts w:eastAsia="Calibri"/>
        </w:rPr>
        <w:t xml:space="preserve"> sadarbībā ar Valsts reģionālās attīstības aģentūru (turpmāk – VRAA)</w:t>
      </w:r>
      <w:r w:rsidR="00753948">
        <w:rPr>
          <w:rFonts w:eastAsia="Calibri"/>
        </w:rPr>
        <w:t xml:space="preserve"> tika</w:t>
      </w:r>
      <w:r>
        <w:rPr>
          <w:rFonts w:eastAsia="Calibri"/>
        </w:rPr>
        <w:t xml:space="preserve"> uzdots</w:t>
      </w:r>
      <w:r w:rsidRPr="008B1D8D">
        <w:rPr>
          <w:rFonts w:eastAsia="Calibri"/>
        </w:rPr>
        <w:t xml:space="preserve"> izvērtēt iepirkumu funkcijas konsolidācijas un iepirkumu atbalsta funkcijas centralizācijas potenciālu un piedāvāt iespējamos centralizācijas risinājumus,</w:t>
      </w:r>
      <w:r>
        <w:rPr>
          <w:rFonts w:eastAsia="Calibri"/>
        </w:rPr>
        <w:t xml:space="preserve"> izstrādājot informatīvo ziņojumu</w:t>
      </w:r>
      <w:r w:rsidR="00D8790B" w:rsidRPr="00D8790B">
        <w:rPr>
          <w:rFonts w:eastAsia="Calibri"/>
        </w:rPr>
        <w:t xml:space="preserve"> </w:t>
      </w:r>
      <w:r w:rsidR="00D8790B">
        <w:rPr>
          <w:rFonts w:eastAsia="Calibri"/>
        </w:rPr>
        <w:t>par minētā uzdevuma izpild</w:t>
      </w:r>
      <w:r w:rsidR="00753948">
        <w:rPr>
          <w:rFonts w:eastAsia="Calibri"/>
        </w:rPr>
        <w:t>es rezultātiem.</w:t>
      </w:r>
    </w:p>
    <w:p w14:paraId="43556F1D" w14:textId="77777777" w:rsidR="008B1D8D" w:rsidRDefault="008B1D8D" w:rsidP="00D60E8B">
      <w:pPr>
        <w:widowControl w:val="0"/>
        <w:spacing w:after="120"/>
        <w:ind w:firstLine="720"/>
        <w:contextualSpacing/>
        <w:jc w:val="both"/>
        <w:rPr>
          <w:rFonts w:eastAsia="Calibri"/>
        </w:rPr>
      </w:pPr>
    </w:p>
    <w:p w14:paraId="3E35E604" w14:textId="42E358A8" w:rsidR="00D60E8B" w:rsidRPr="00D60E8B" w:rsidRDefault="00D60E8B" w:rsidP="00D60E8B">
      <w:pPr>
        <w:widowControl w:val="0"/>
        <w:spacing w:after="120"/>
        <w:ind w:firstLine="720"/>
        <w:contextualSpacing/>
        <w:jc w:val="both"/>
        <w:rPr>
          <w:rFonts w:eastAsia="Calibri"/>
          <w:lang w:eastAsia="en-US"/>
        </w:rPr>
      </w:pPr>
      <w:r w:rsidRPr="00D60E8B">
        <w:rPr>
          <w:rFonts w:eastAsia="Calibri"/>
        </w:rPr>
        <w:t xml:space="preserve">Iepirkumu funkcijas konsolidācijas un iepirkumu atbalsta funkcijas centralizācijas potenciāla izvērtējums tika veikts </w:t>
      </w:r>
      <w:r w:rsidRPr="00D60E8B">
        <w:rPr>
          <w:rFonts w:eastAsia="Calibri"/>
          <w:lang w:eastAsia="en-US"/>
        </w:rPr>
        <w:t>Ministru kabineta 2018. gada 3. aprīļa noteikumu Nr. 201 “Grozījumi Ministru kabineta 2017</w:t>
      </w:r>
      <w:r w:rsidR="001118EC" w:rsidRPr="00D60E8B">
        <w:rPr>
          <w:rFonts w:eastAsia="Calibri"/>
          <w:lang w:eastAsia="en-US"/>
        </w:rPr>
        <w:t>.</w:t>
      </w:r>
      <w:r w:rsidR="001118EC">
        <w:rPr>
          <w:rFonts w:eastAsia="Calibri"/>
          <w:lang w:eastAsia="en-US"/>
        </w:rPr>
        <w:t> </w:t>
      </w:r>
      <w:r w:rsidRPr="00D60E8B">
        <w:rPr>
          <w:rFonts w:eastAsia="Calibri"/>
          <w:lang w:eastAsia="en-US"/>
        </w:rPr>
        <w:t>gada 28</w:t>
      </w:r>
      <w:r w:rsidR="001118EC" w:rsidRPr="00D60E8B">
        <w:rPr>
          <w:rFonts w:eastAsia="Calibri"/>
          <w:lang w:eastAsia="en-US"/>
        </w:rPr>
        <w:t>.</w:t>
      </w:r>
      <w:r w:rsidR="001118EC">
        <w:rPr>
          <w:rFonts w:eastAsia="Calibri"/>
          <w:lang w:eastAsia="en-US"/>
        </w:rPr>
        <w:t> </w:t>
      </w:r>
      <w:r w:rsidRPr="00D60E8B">
        <w:rPr>
          <w:rFonts w:eastAsia="Calibri"/>
          <w:lang w:eastAsia="en-US"/>
        </w:rPr>
        <w:t>februāra noteikumos Nr</w:t>
      </w:r>
      <w:r w:rsidR="006D1BF6" w:rsidRPr="00D60E8B">
        <w:rPr>
          <w:rFonts w:eastAsia="Calibri"/>
          <w:lang w:eastAsia="en-US"/>
        </w:rPr>
        <w:t>.</w:t>
      </w:r>
      <w:r w:rsidR="006D1BF6">
        <w:rPr>
          <w:rFonts w:eastAsia="Calibri"/>
          <w:lang w:eastAsia="en-US"/>
        </w:rPr>
        <w:t> </w:t>
      </w:r>
      <w:r w:rsidRPr="00D60E8B">
        <w:rPr>
          <w:rFonts w:eastAsia="Calibri"/>
          <w:lang w:eastAsia="en-US"/>
        </w:rPr>
        <w:t>108 “Publisko elektronisko iepirkumu noteikumi”” (turpmāk – MK noteikumi Nr.</w:t>
      </w:r>
      <w:r w:rsidR="006D1BF6">
        <w:rPr>
          <w:rFonts w:eastAsia="Calibri"/>
          <w:lang w:eastAsia="en-US"/>
        </w:rPr>
        <w:t> </w:t>
      </w:r>
      <w:r w:rsidRPr="00D60E8B">
        <w:rPr>
          <w:rFonts w:eastAsia="Calibri"/>
          <w:lang w:eastAsia="en-US"/>
        </w:rPr>
        <w:t>201)  izstrādes gaitā,</w:t>
      </w:r>
      <w:r w:rsidR="00D8790B">
        <w:rPr>
          <w:rFonts w:eastAsia="Calibri"/>
          <w:lang w:eastAsia="en-US"/>
        </w:rPr>
        <w:t xml:space="preserve"> un atspoguļ</w:t>
      </w:r>
      <w:r w:rsidRPr="00D60E8B">
        <w:rPr>
          <w:rFonts w:eastAsia="Calibri"/>
          <w:lang w:eastAsia="en-US"/>
        </w:rPr>
        <w:t xml:space="preserve">ots </w:t>
      </w:r>
      <w:r w:rsidR="004523C1">
        <w:rPr>
          <w:rFonts w:eastAsia="Calibri"/>
          <w:lang w:eastAsia="en-US"/>
        </w:rPr>
        <w:t xml:space="preserve">to </w:t>
      </w:r>
      <w:r w:rsidR="00C535D3">
        <w:rPr>
          <w:rFonts w:eastAsia="Calibri"/>
          <w:lang w:eastAsia="en-US"/>
        </w:rPr>
        <w:t>sākotnējās ietekmes novērtējuma ziņojumā (</w:t>
      </w:r>
      <w:r w:rsidR="00D8790B">
        <w:rPr>
          <w:rFonts w:eastAsia="Calibri"/>
          <w:lang w:eastAsia="en-US"/>
        </w:rPr>
        <w:t>anotācijā</w:t>
      </w:r>
      <w:r w:rsidR="00C535D3">
        <w:rPr>
          <w:rFonts w:eastAsia="Calibri"/>
          <w:lang w:eastAsia="en-US"/>
        </w:rPr>
        <w:t>)</w:t>
      </w:r>
      <w:r w:rsidR="00D8790B">
        <w:rPr>
          <w:rFonts w:eastAsia="Calibri"/>
          <w:lang w:eastAsia="en-US"/>
        </w:rPr>
        <w:t>.</w:t>
      </w:r>
    </w:p>
    <w:p w14:paraId="262DD1EA" w14:textId="77777777" w:rsidR="00D8790B" w:rsidRDefault="00D8790B" w:rsidP="00D60E8B">
      <w:pPr>
        <w:widowControl w:val="0"/>
        <w:spacing w:after="120"/>
        <w:ind w:firstLine="720"/>
        <w:contextualSpacing/>
        <w:jc w:val="both"/>
        <w:rPr>
          <w:rFonts w:eastAsia="Calibri"/>
          <w:lang w:eastAsia="en-US"/>
        </w:rPr>
      </w:pPr>
    </w:p>
    <w:p w14:paraId="34C5FBC0" w14:textId="2A969CC4" w:rsidR="00D60E8B" w:rsidRPr="00D60E8B" w:rsidRDefault="00D60E8B" w:rsidP="00D60E8B">
      <w:pPr>
        <w:widowControl w:val="0"/>
        <w:spacing w:after="120"/>
        <w:ind w:firstLine="720"/>
        <w:contextualSpacing/>
        <w:jc w:val="both"/>
        <w:rPr>
          <w:rFonts w:eastAsia="Calibri"/>
          <w:lang w:eastAsia="en-US"/>
        </w:rPr>
      </w:pPr>
      <w:r w:rsidRPr="00D60E8B">
        <w:rPr>
          <w:rFonts w:eastAsia="Calibri"/>
          <w:lang w:eastAsia="en-US"/>
        </w:rPr>
        <w:t>Ar MK noteikumiem Nr.</w:t>
      </w:r>
      <w:r w:rsidR="00DD5BF1">
        <w:rPr>
          <w:rFonts w:eastAsia="Calibri"/>
          <w:lang w:eastAsia="en-US"/>
        </w:rPr>
        <w:t> </w:t>
      </w:r>
      <w:r w:rsidRPr="00D60E8B">
        <w:rPr>
          <w:rFonts w:eastAsia="Calibri"/>
          <w:lang w:eastAsia="en-US"/>
        </w:rPr>
        <w:t xml:space="preserve">201 </w:t>
      </w:r>
      <w:r w:rsidR="00753948">
        <w:rPr>
          <w:rFonts w:eastAsia="Calibri"/>
          <w:lang w:eastAsia="en-US"/>
        </w:rPr>
        <w:t>VRAA</w:t>
      </w:r>
      <w:r w:rsidRPr="00D60E8B">
        <w:rPr>
          <w:rFonts w:eastAsia="Calibri"/>
          <w:lang w:eastAsia="en-US"/>
        </w:rPr>
        <w:t xml:space="preserve"> pārziņā esošā Elektronisk</w:t>
      </w:r>
      <w:r w:rsidR="00760E76">
        <w:rPr>
          <w:rFonts w:eastAsia="Calibri"/>
          <w:lang w:eastAsia="en-US"/>
        </w:rPr>
        <w:t>o</w:t>
      </w:r>
      <w:r w:rsidRPr="00D60E8B">
        <w:rPr>
          <w:rFonts w:eastAsia="Calibri"/>
          <w:lang w:eastAsia="en-US"/>
        </w:rPr>
        <w:t xml:space="preserve"> iepirkumu sistēma (</w:t>
      </w:r>
      <w:r w:rsidR="00D8790B">
        <w:rPr>
          <w:rFonts w:eastAsia="Calibri"/>
          <w:lang w:eastAsia="en-US"/>
        </w:rPr>
        <w:t xml:space="preserve">turpmāk </w:t>
      </w:r>
      <w:r w:rsidR="006D1BF6">
        <w:rPr>
          <w:rFonts w:eastAsia="Calibri"/>
          <w:lang w:eastAsia="en-US"/>
        </w:rPr>
        <w:t xml:space="preserve">– </w:t>
      </w:r>
      <w:r w:rsidRPr="00D60E8B">
        <w:rPr>
          <w:rFonts w:eastAsia="Calibri"/>
          <w:lang w:eastAsia="en-US"/>
        </w:rPr>
        <w:t>EIS) papildināta ar jaunām preču un pakalpojumu grupām (e-katalogiem) un atbildīgajām centralizēto iepirkumu institūcijām, tād</w:t>
      </w:r>
      <w:r w:rsidR="00760E76">
        <w:rPr>
          <w:rFonts w:eastAsia="Calibri"/>
          <w:lang w:eastAsia="en-US"/>
        </w:rPr>
        <w:t>ē</w:t>
      </w:r>
      <w:r w:rsidRPr="00D60E8B">
        <w:rPr>
          <w:rFonts w:eastAsia="Calibri"/>
          <w:lang w:eastAsia="en-US"/>
        </w:rPr>
        <w:t>jādi paplašinot Ministru kabineta 2017.</w:t>
      </w:r>
      <w:r w:rsidR="006D1BF6">
        <w:rPr>
          <w:rFonts w:eastAsia="Calibri"/>
          <w:lang w:eastAsia="en-US"/>
        </w:rPr>
        <w:t> </w:t>
      </w:r>
      <w:r w:rsidRPr="00D60E8B">
        <w:rPr>
          <w:rFonts w:eastAsia="Calibri"/>
          <w:lang w:eastAsia="en-US"/>
        </w:rPr>
        <w:t>gada 28</w:t>
      </w:r>
      <w:r w:rsidR="006D1BF6" w:rsidRPr="00D60E8B">
        <w:rPr>
          <w:rFonts w:eastAsia="Calibri"/>
          <w:lang w:eastAsia="en-US"/>
        </w:rPr>
        <w:t>.</w:t>
      </w:r>
      <w:r w:rsidR="006D1BF6">
        <w:rPr>
          <w:rFonts w:eastAsia="Calibri"/>
          <w:lang w:eastAsia="en-US"/>
        </w:rPr>
        <w:t> </w:t>
      </w:r>
      <w:r w:rsidRPr="00D60E8B">
        <w:rPr>
          <w:rFonts w:eastAsia="Calibri"/>
          <w:lang w:eastAsia="en-US"/>
        </w:rPr>
        <w:t>februāra noteikumos Nr</w:t>
      </w:r>
      <w:r w:rsidR="006D1BF6" w:rsidRPr="00D60E8B">
        <w:rPr>
          <w:rFonts w:eastAsia="Calibri"/>
          <w:lang w:eastAsia="en-US"/>
        </w:rPr>
        <w:t>.</w:t>
      </w:r>
      <w:r w:rsidR="006D1BF6">
        <w:rPr>
          <w:rFonts w:eastAsia="Calibri"/>
          <w:lang w:eastAsia="en-US"/>
        </w:rPr>
        <w:t> </w:t>
      </w:r>
      <w:r w:rsidRPr="00D60E8B">
        <w:rPr>
          <w:rFonts w:eastAsia="Calibri"/>
          <w:lang w:eastAsia="en-US"/>
        </w:rPr>
        <w:t>108 “Publisko elektronisko iepirkumu noteikumi”</w:t>
      </w:r>
      <w:r w:rsidR="00753948">
        <w:rPr>
          <w:rFonts w:eastAsia="Calibri"/>
          <w:lang w:eastAsia="en-US"/>
        </w:rPr>
        <w:t xml:space="preserve"> (turpmāk – PEIN)</w:t>
      </w:r>
      <w:r w:rsidRPr="00D60E8B">
        <w:rPr>
          <w:rFonts w:eastAsia="Calibri"/>
          <w:lang w:eastAsia="en-US"/>
        </w:rPr>
        <w:t xml:space="preserve"> </w:t>
      </w:r>
      <w:r w:rsidRPr="00D60E8B">
        <w:rPr>
          <w:rFonts w:eastAsia="Calibri"/>
        </w:rPr>
        <w:t>iekļauto obligāti iepērkamo preču un pakalpojumu grozu.</w:t>
      </w:r>
    </w:p>
    <w:p w14:paraId="1B874D84" w14:textId="77777777" w:rsidR="00D60E8B" w:rsidRDefault="00D60E8B" w:rsidP="00643103">
      <w:pPr>
        <w:ind w:firstLine="709"/>
        <w:jc w:val="both"/>
      </w:pPr>
    </w:p>
    <w:p w14:paraId="6677E2BE" w14:textId="6645EBFE" w:rsidR="00D8790B" w:rsidRDefault="00D8790B" w:rsidP="00D8790B">
      <w:pPr>
        <w:ind w:firstLine="709"/>
        <w:jc w:val="both"/>
      </w:pPr>
      <w:r>
        <w:t>MK noteikumu Nr.</w:t>
      </w:r>
      <w:r w:rsidR="006D1BF6">
        <w:t> </w:t>
      </w:r>
      <w:r>
        <w:t xml:space="preserve">201 izstrādes gaitā tika analizēta esošā situācija un identificētās problēmas preču un pakalpojumu iegādē EIS, kā arī izvērtētas iespējas paplašināt preču un pakalpojumu centralizēto iegādi EIS. </w:t>
      </w:r>
      <w:r w:rsidR="005E4141">
        <w:t xml:space="preserve">No ministrijām tika pieprasīta </w:t>
      </w:r>
      <w:r>
        <w:t>informācij</w:t>
      </w:r>
      <w:r w:rsidR="005E4141">
        <w:t>a</w:t>
      </w:r>
      <w:r>
        <w:t xml:space="preserve"> par iespējām paplašināt preču un pakalpojumu centralizēto iegādi EIS, tajā skaitā:</w:t>
      </w:r>
    </w:p>
    <w:p w14:paraId="20428D89" w14:textId="77777777" w:rsidR="00D8790B" w:rsidRDefault="00D8790B" w:rsidP="00D8790B">
      <w:pPr>
        <w:ind w:firstLine="709"/>
        <w:jc w:val="both"/>
      </w:pPr>
      <w:r>
        <w:t>-</w:t>
      </w:r>
      <w:r>
        <w:tab/>
        <w:t>kādu preču (pakalpojumu) iepirkšanai tiek lietota EIS;</w:t>
      </w:r>
    </w:p>
    <w:p w14:paraId="343C7392" w14:textId="77777777" w:rsidR="00D8790B" w:rsidRDefault="00D8790B" w:rsidP="00D8790B">
      <w:pPr>
        <w:ind w:firstLine="709"/>
        <w:jc w:val="both"/>
      </w:pPr>
      <w:r>
        <w:t>-</w:t>
      </w:r>
      <w:r>
        <w:tab/>
        <w:t>kādu preču (pakalpojumu) iepirkšanai netiek lietota, kaut arī tāda iespēja ir, kādēļ;</w:t>
      </w:r>
    </w:p>
    <w:p w14:paraId="0E2A87BA" w14:textId="77777777" w:rsidR="00D8790B" w:rsidRDefault="00D8790B" w:rsidP="00D8790B">
      <w:pPr>
        <w:ind w:firstLine="709"/>
        <w:jc w:val="both"/>
      </w:pPr>
      <w:r>
        <w:t>-</w:t>
      </w:r>
      <w:r>
        <w:tab/>
        <w:t>ar kādām preču (pakalpojumu) grupām EIS būtu lietderīgi papildināt;</w:t>
      </w:r>
    </w:p>
    <w:p w14:paraId="261DAF81" w14:textId="77777777" w:rsidR="005E4141" w:rsidRDefault="00D8790B" w:rsidP="005E4141">
      <w:pPr>
        <w:ind w:firstLine="709"/>
        <w:jc w:val="both"/>
      </w:pPr>
      <w:r>
        <w:t>-</w:t>
      </w:r>
      <w:r>
        <w:tab/>
      </w:r>
      <w:r w:rsidR="005E4141">
        <w:t xml:space="preserve">izvērtēt iespēju </w:t>
      </w:r>
      <w:r w:rsidR="00753948">
        <w:t>iekļaut</w:t>
      </w:r>
      <w:r>
        <w:t xml:space="preserve"> EIS </w:t>
      </w:r>
      <w:r w:rsidR="005E4141">
        <w:t xml:space="preserve">ar </w:t>
      </w:r>
      <w:r>
        <w:t>mācību, darba un dienesta komandējum</w:t>
      </w:r>
      <w:r w:rsidR="005E4141">
        <w:t>iem</w:t>
      </w:r>
      <w:r>
        <w:t>, darba braucieniem saistītās preces un pakalpojumus;</w:t>
      </w:r>
    </w:p>
    <w:p w14:paraId="461D3BD0" w14:textId="1F5E3210" w:rsidR="005E4141" w:rsidRDefault="005E4141" w:rsidP="005E4141">
      <w:pPr>
        <w:pStyle w:val="ListParagraph"/>
        <w:numPr>
          <w:ilvl w:val="0"/>
          <w:numId w:val="14"/>
        </w:numPr>
        <w:tabs>
          <w:tab w:val="left" w:pos="1418"/>
        </w:tabs>
        <w:ind w:left="1560" w:hanging="851"/>
        <w:jc w:val="both"/>
      </w:pPr>
      <w:r>
        <w:t xml:space="preserve">izvērtēt iespēju iekļaut EIS </w:t>
      </w:r>
      <w:r w:rsidRPr="005E4141">
        <w:t xml:space="preserve">sakaru </w:t>
      </w:r>
      <w:r>
        <w:t>un</w:t>
      </w:r>
      <w:r w:rsidRPr="005E4141">
        <w:t xml:space="preserve"> transporta pakalpojumu</w:t>
      </w:r>
      <w:r>
        <w:t>s;</w:t>
      </w:r>
    </w:p>
    <w:p w14:paraId="3C6AE702" w14:textId="28F7D094" w:rsidR="00D8790B" w:rsidRDefault="00D8790B" w:rsidP="00D8790B">
      <w:pPr>
        <w:ind w:firstLine="709"/>
        <w:jc w:val="both"/>
      </w:pPr>
      <w:r>
        <w:t>-</w:t>
      </w:r>
      <w:r>
        <w:tab/>
        <w:t>izvērtēt iespēju ministrijai kopīgi ar savas ministrijas padotības iestādēm un kapitālsabiedrībām, kurās ministrija ir kapitāldaļu turētāja, organizēt vienu kopīgu iepirkumu, izmantojot EIS piedāvājumu (piemēram, veselības apdrošināšana</w:t>
      </w:r>
      <w:r w:rsidR="00753948">
        <w:t>s pakalpojumi</w:t>
      </w:r>
      <w:r>
        <w:t>).</w:t>
      </w:r>
    </w:p>
    <w:p w14:paraId="6E926906" w14:textId="77777777" w:rsidR="006A4EE3" w:rsidRDefault="006A4EE3" w:rsidP="006A4EE3">
      <w:pPr>
        <w:jc w:val="both"/>
      </w:pPr>
    </w:p>
    <w:p w14:paraId="358E843B" w14:textId="693C6598" w:rsidR="006A4EE3" w:rsidRDefault="006A4EE3" w:rsidP="006A4EE3">
      <w:pPr>
        <w:ind w:firstLine="720"/>
        <w:jc w:val="both"/>
        <w:rPr>
          <w:rFonts w:eastAsia="Calibri"/>
          <w:szCs w:val="22"/>
          <w:lang w:eastAsia="en-US"/>
        </w:rPr>
      </w:pPr>
      <w:r w:rsidRPr="006A4EE3">
        <w:rPr>
          <w:rFonts w:eastAsia="Calibri"/>
          <w:szCs w:val="22"/>
          <w:lang w:eastAsia="en-US"/>
        </w:rPr>
        <w:t>Kopumā ministrijas atbalsta EIS attīstību un saredz iespēju līdzekļu ietaupījumam, izmantojot šo sistēmu. EIS piedāvāto pakalpojumu groza paplašināšana radītu cilvēkresursu ietaupījumu valsts pārvaldes iestādēs (mazāks iepirkuma procedūru skaits katrā iestādē, līdz ar to administratīvo resursu ietaupījums, kā arī iespējamas apjoma atlaides).</w:t>
      </w:r>
      <w:r>
        <w:rPr>
          <w:rFonts w:eastAsia="Calibri"/>
          <w:szCs w:val="22"/>
          <w:lang w:eastAsia="en-US"/>
        </w:rPr>
        <w:t xml:space="preserve"> </w:t>
      </w:r>
      <w:r w:rsidRPr="006A4EE3">
        <w:t xml:space="preserve">Izvērtējot pozitīvo pieredzi centralizēto iepirkumu veikšanā, </w:t>
      </w:r>
      <w:r>
        <w:t xml:space="preserve">efektīvāk un racionālāk ir </w:t>
      </w:r>
      <w:r w:rsidRPr="006A4EE3">
        <w:t>veikt iepirkum</w:t>
      </w:r>
      <w:r>
        <w:t>us</w:t>
      </w:r>
      <w:r w:rsidRPr="006A4EE3">
        <w:t>, kuriem ir vienāds iepirkuma priekšmets, teritoriālais izvietojums</w:t>
      </w:r>
      <w:r w:rsidR="004C49DC">
        <w:t xml:space="preserve"> un</w:t>
      </w:r>
      <w:r w:rsidRPr="006A4EE3">
        <w:t xml:space="preserve"> maksimāli līdzīgs </w:t>
      </w:r>
      <w:r w:rsidR="004C49DC">
        <w:t xml:space="preserve">piegādes </w:t>
      </w:r>
      <w:r w:rsidRPr="006A4EE3">
        <w:t xml:space="preserve">termiņš </w:t>
      </w:r>
      <w:r w:rsidR="004C49DC">
        <w:t>nepieciešamajai precei</w:t>
      </w:r>
      <w:r w:rsidRPr="006A4EE3">
        <w:t>/pakalpojuma</w:t>
      </w:r>
      <w:r w:rsidR="004C49DC">
        <w:t>m</w:t>
      </w:r>
      <w:r w:rsidRPr="006A4EE3">
        <w:t>.</w:t>
      </w:r>
      <w:r w:rsidRPr="006A4EE3">
        <w:rPr>
          <w:rFonts w:eastAsia="Calibri"/>
          <w:szCs w:val="22"/>
          <w:lang w:eastAsia="en-US"/>
        </w:rPr>
        <w:t xml:space="preserve"> </w:t>
      </w:r>
    </w:p>
    <w:p w14:paraId="6539845E" w14:textId="5C4939B3" w:rsidR="006A4EE3" w:rsidRPr="006A4EE3" w:rsidRDefault="006A4EE3" w:rsidP="004C49DC">
      <w:pPr>
        <w:ind w:firstLine="720"/>
        <w:jc w:val="both"/>
        <w:rPr>
          <w:rFonts w:eastAsia="Calibri"/>
          <w:szCs w:val="22"/>
          <w:lang w:eastAsia="en-US"/>
        </w:rPr>
      </w:pPr>
      <w:r>
        <w:rPr>
          <w:rFonts w:eastAsia="Calibri"/>
          <w:szCs w:val="22"/>
          <w:lang w:eastAsia="en-US"/>
        </w:rPr>
        <w:t>T</w:t>
      </w:r>
      <w:r w:rsidRPr="006A4EE3">
        <w:rPr>
          <w:rFonts w:eastAsia="Calibri"/>
          <w:szCs w:val="22"/>
          <w:lang w:eastAsia="en-US"/>
        </w:rPr>
        <w:t>omēr</w:t>
      </w:r>
      <w:r>
        <w:rPr>
          <w:rFonts w:eastAsia="Calibri"/>
          <w:szCs w:val="22"/>
          <w:lang w:eastAsia="en-US"/>
        </w:rPr>
        <w:t>,</w:t>
      </w:r>
      <w:r w:rsidRPr="006A4EE3">
        <w:rPr>
          <w:rFonts w:eastAsia="Calibri"/>
          <w:szCs w:val="22"/>
          <w:lang w:eastAsia="en-US"/>
        </w:rPr>
        <w:t xml:space="preserve"> neskatoties uz to</w:t>
      </w:r>
      <w:r>
        <w:rPr>
          <w:rFonts w:eastAsia="Calibri"/>
          <w:szCs w:val="22"/>
          <w:lang w:eastAsia="en-US"/>
        </w:rPr>
        <w:t>,</w:t>
      </w:r>
      <w:r w:rsidRPr="006A4EE3">
        <w:rPr>
          <w:rFonts w:eastAsia="Calibri"/>
          <w:szCs w:val="22"/>
          <w:lang w:eastAsia="en-US"/>
        </w:rPr>
        <w:t xml:space="preserve"> ministrijas </w:t>
      </w:r>
      <w:r>
        <w:rPr>
          <w:rFonts w:eastAsia="Calibri"/>
          <w:szCs w:val="22"/>
          <w:lang w:eastAsia="en-US"/>
        </w:rPr>
        <w:t>ir norādījušas</w:t>
      </w:r>
      <w:r w:rsidRPr="006A4EE3">
        <w:rPr>
          <w:rFonts w:eastAsia="Calibri"/>
          <w:szCs w:val="22"/>
          <w:lang w:eastAsia="en-US"/>
        </w:rPr>
        <w:t>, ka pastāv gadījumi, kad ārpus EIS veiktais iepirkums ir finansiāli izdevīgāks vai par to pašu cenu, par kādu ir iespējams iegādāties preces vai pakalpojumus EIS, ir iespēja iegūt augstākas kvalitātes preci vai pakalpojumu.</w:t>
      </w:r>
      <w:r>
        <w:rPr>
          <w:rFonts w:eastAsia="Calibri"/>
          <w:szCs w:val="22"/>
          <w:lang w:eastAsia="en-US"/>
        </w:rPr>
        <w:t xml:space="preserve"> </w:t>
      </w:r>
      <w:r w:rsidRPr="006A4EE3">
        <w:t xml:space="preserve">Vienlaikus jāatzīmē, ka ne visos centralizētajos iepirkumos </w:t>
      </w:r>
      <w:r w:rsidR="00D63D99">
        <w:t>sagaidāma</w:t>
      </w:r>
      <w:r w:rsidRPr="006A4EE3">
        <w:t xml:space="preserve"> līdzekļu ekonomija, jo ir </w:t>
      </w:r>
      <w:r w:rsidRPr="006A4EE3">
        <w:lastRenderedPageBreak/>
        <w:t>arī objektīvi apstākļi tirgū un ekonomikā kopumā, kur</w:t>
      </w:r>
      <w:r>
        <w:t>i</w:t>
      </w:r>
      <w:r w:rsidRPr="006A4EE3">
        <w:t xml:space="preserve"> ietekmē cenu samazinājum</w:t>
      </w:r>
      <w:r w:rsidR="00A726F2">
        <w:t>u</w:t>
      </w:r>
      <w:r w:rsidRPr="006A4EE3">
        <w:t xml:space="preserve"> iepirkuma rezultātā, kaut arī tiek iepirkts palie</w:t>
      </w:r>
      <w:r>
        <w:t>lināts preču/pakalpojumu apjoms</w:t>
      </w:r>
      <w:r w:rsidRPr="006A4EE3">
        <w:t xml:space="preserve">. </w:t>
      </w:r>
    </w:p>
    <w:p w14:paraId="14EB7D2D" w14:textId="237B4A2A" w:rsidR="00D8790B" w:rsidRDefault="00D8790B" w:rsidP="00D8790B">
      <w:pPr>
        <w:ind w:firstLine="709"/>
        <w:jc w:val="both"/>
      </w:pPr>
      <w:r>
        <w:t>Ņemot vērā ministriju priekšlikumus un veicot konsultācijas ar MK noteikumu Nr.</w:t>
      </w:r>
      <w:r w:rsidR="006D1BF6">
        <w:t> </w:t>
      </w:r>
      <w:r>
        <w:t xml:space="preserve">201 </w:t>
      </w:r>
      <w:r w:rsidR="00753948">
        <w:t xml:space="preserve">izpildē </w:t>
      </w:r>
      <w:r>
        <w:t>iesaistītajām pusēm</w:t>
      </w:r>
      <w:r w:rsidR="00F10D7B">
        <w:t>, kā arī, ievērojot lietderības apsvērumus</w:t>
      </w:r>
      <w:r>
        <w:t xml:space="preserve">, </w:t>
      </w:r>
      <w:r w:rsidR="00F10D7B">
        <w:t>tika veiktas</w:t>
      </w:r>
      <w:r>
        <w:t xml:space="preserve"> šādas </w:t>
      </w:r>
      <w:r w:rsidR="00F10D7B">
        <w:t xml:space="preserve">ar iepirkumu centralizāciju saistītās </w:t>
      </w:r>
      <w:r>
        <w:t xml:space="preserve">izmaiņas </w:t>
      </w:r>
      <w:r w:rsidR="00F10D7B">
        <w:t>PEIN</w:t>
      </w:r>
      <w:r>
        <w:t>:</w:t>
      </w:r>
    </w:p>
    <w:p w14:paraId="0A2F9F5D" w14:textId="4BD8ED65" w:rsidR="00D8790B" w:rsidRDefault="00F10D7B" w:rsidP="00D8790B">
      <w:pPr>
        <w:ind w:firstLine="709"/>
        <w:jc w:val="both"/>
      </w:pPr>
      <w:r>
        <w:t xml:space="preserve">1. </w:t>
      </w:r>
      <w:r w:rsidR="00D8790B">
        <w:t>PEIN 1.</w:t>
      </w:r>
      <w:r w:rsidR="006D1BF6">
        <w:t> </w:t>
      </w:r>
      <w:r w:rsidR="00D8790B">
        <w:t xml:space="preserve">pielikums papildināts </w:t>
      </w:r>
      <w:r w:rsidR="00760E76">
        <w:t xml:space="preserve">ar </w:t>
      </w:r>
      <w:r w:rsidR="00504809">
        <w:t>jaunām</w:t>
      </w:r>
      <w:r w:rsidR="00D8790B">
        <w:t xml:space="preserve"> preču un pakalpojumu grupām un atbildīgajām centralizēto iepirkumu institūcijām:</w:t>
      </w:r>
    </w:p>
    <w:p w14:paraId="0F589EA1" w14:textId="60023314" w:rsidR="00F10D7B" w:rsidRDefault="00F10D7B" w:rsidP="00F93C9E">
      <w:pPr>
        <w:ind w:firstLine="709"/>
        <w:jc w:val="both"/>
      </w:pPr>
      <w:r>
        <w:t>1.1. p</w:t>
      </w:r>
      <w:r w:rsidR="00D8790B">
        <w:t xml:space="preserve">ārtikas preces, par kurām iepirkumu veic </w:t>
      </w:r>
      <w:r w:rsidR="00504809">
        <w:t>VRAA</w:t>
      </w:r>
      <w:r w:rsidR="00D8790B">
        <w:t>;</w:t>
      </w:r>
    </w:p>
    <w:p w14:paraId="7C54374C" w14:textId="26CCF535" w:rsidR="00F10D7B" w:rsidRDefault="00F10D7B" w:rsidP="00F93C9E">
      <w:pPr>
        <w:ind w:firstLine="709"/>
        <w:jc w:val="both"/>
      </w:pPr>
      <w:r>
        <w:t>1.2</w:t>
      </w:r>
      <w:r w:rsidR="00D1113B">
        <w:t>. </w:t>
      </w:r>
      <w:r>
        <w:t>informācijas tehnoloģiju</w:t>
      </w:r>
      <w:r w:rsidR="00D8790B">
        <w:t xml:space="preserve"> pr</w:t>
      </w:r>
      <w:r>
        <w:t>ogrammatūras nomas pakalpojumi</w:t>
      </w:r>
      <w:r w:rsidR="00D8790B">
        <w:t xml:space="preserve">, par kuriem iepirkumu veic </w:t>
      </w:r>
      <w:r w:rsidR="00504809">
        <w:t>VRAA</w:t>
      </w:r>
      <w:r w:rsidR="00D8790B">
        <w:t>;</w:t>
      </w:r>
    </w:p>
    <w:p w14:paraId="462E42C6" w14:textId="1FE7B35E" w:rsidR="00D8790B" w:rsidRDefault="00F10D7B" w:rsidP="00F93C9E">
      <w:pPr>
        <w:ind w:firstLine="709"/>
        <w:jc w:val="both"/>
      </w:pPr>
      <w:r>
        <w:t>1.3</w:t>
      </w:r>
      <w:r w:rsidR="00D1113B">
        <w:t>. </w:t>
      </w:r>
      <w:r w:rsidR="00D8790B">
        <w:t>civilstāvo</w:t>
      </w:r>
      <w:r>
        <w:t>kļa aktu reģistrācijas veidlapas</w:t>
      </w:r>
      <w:r w:rsidR="00D8790B">
        <w:t>, par kurām iepirkumu veic Tieslietu ministrija.</w:t>
      </w:r>
    </w:p>
    <w:p w14:paraId="7E2741BD" w14:textId="77777777" w:rsidR="00093159" w:rsidRDefault="00093159" w:rsidP="00F93C9E">
      <w:pPr>
        <w:ind w:firstLine="709"/>
        <w:jc w:val="both"/>
      </w:pPr>
    </w:p>
    <w:p w14:paraId="6F2645BF" w14:textId="77777777" w:rsidR="004523C1" w:rsidRDefault="00F10D7B" w:rsidP="00D8790B">
      <w:pPr>
        <w:ind w:firstLine="709"/>
        <w:jc w:val="both"/>
      </w:pPr>
      <w:r>
        <w:t xml:space="preserve">2. </w:t>
      </w:r>
      <w:r w:rsidR="00D8790B">
        <w:t xml:space="preserve">Ievērojot, ka veselības apdrošināšanas pakalpojumu raksturs ir komplicēts, tā iegādei nepieciešama individuāla pieeja un tehnisko specifikāciju ikreizēja precizēšana atbilstoši konkrētā pasūtītāja vajadzībām, veselības apdrošināšanas </w:t>
      </w:r>
      <w:r>
        <w:t xml:space="preserve">pakalpojumu </w:t>
      </w:r>
      <w:r w:rsidR="00D8790B">
        <w:t>iegād</w:t>
      </w:r>
      <w:r>
        <w:t>e</w:t>
      </w:r>
      <w:r w:rsidR="00D8790B">
        <w:t xml:space="preserve"> </w:t>
      </w:r>
      <w:r>
        <w:t>pārcelta no</w:t>
      </w:r>
      <w:r w:rsidR="00D8790B">
        <w:t xml:space="preserve"> vispārīgās vienošanās uz dinamisko iepirkumu sistēmu, kā rezultātā PEIN precizēts attiecīgais regulējums saistībā ar </w:t>
      </w:r>
      <w:r>
        <w:t>VRAA</w:t>
      </w:r>
      <w:r w:rsidR="00D8790B">
        <w:t xml:space="preserve"> darbību.</w:t>
      </w:r>
    </w:p>
    <w:p w14:paraId="45B1B968" w14:textId="24588AF4" w:rsidR="00D8790B" w:rsidRDefault="00D8790B" w:rsidP="00D8790B">
      <w:pPr>
        <w:ind w:firstLine="709"/>
        <w:jc w:val="both"/>
      </w:pPr>
      <w:r>
        <w:t xml:space="preserve">Līdz ar </w:t>
      </w:r>
      <w:r w:rsidR="00F10D7B">
        <w:t>MK noteikumu Nr.</w:t>
      </w:r>
      <w:r w:rsidR="006D1BF6">
        <w:t> </w:t>
      </w:r>
      <w:r w:rsidR="00F10D7B">
        <w:t>201 pieņemšanu</w:t>
      </w:r>
      <w:r>
        <w:t xml:space="preserve"> veselības a</w:t>
      </w:r>
      <w:r w:rsidR="00F10D7B">
        <w:t>pdrošināšanas pakalpojumus var</w:t>
      </w:r>
      <w:r>
        <w:t xml:space="preserve"> iepirkt vai nu centralizēti (slēdzot vispārīgo vienošanos un veidojot e-katalogu), vai ar dinamiskās iepirkumu sistēmas starpniecību. </w:t>
      </w:r>
      <w:r w:rsidR="005E4141">
        <w:t>VRAA</w:t>
      </w:r>
      <w:r>
        <w:t xml:space="preserve"> EIS e-konkursu apakšsistēmas funkcionalitātes paplašināšanai saistībā ar </w:t>
      </w:r>
      <w:r w:rsidR="00760E76">
        <w:t xml:space="preserve">paredzēto </w:t>
      </w:r>
      <w:r>
        <w:t>dinamiskās iepirkumu sistēmas (kas ir pilnībā elektronizēts process, ierobežots laikā un atklāts visiem atlases prasībām atbilstošiem piegādātājiem) izveidošanu</w:t>
      </w:r>
      <w:r w:rsidR="00760E76">
        <w:t xml:space="preserve"> </w:t>
      </w:r>
      <w:r w:rsidR="00CC0F75">
        <w:t>līdz 2020.</w:t>
      </w:r>
      <w:r w:rsidR="006D1BF6">
        <w:t xml:space="preserve"> gadam </w:t>
      </w:r>
      <w:r>
        <w:t xml:space="preserve">kā pilotprojektu ir paredzējusi veselības apdrošināšanas pakalpojumu virsiepirkumu, tādējādi attiecīgās dinamiskās </w:t>
      </w:r>
      <w:r w:rsidR="00760E76">
        <w:t xml:space="preserve">iepirkumu </w:t>
      </w:r>
      <w:r>
        <w:t>sistēmas ietvaros ļaujot pasūtītājiem veselības apdrošināšanas pakalpojumus iepirkt, katrā konkrētā gadījumā pielāgojot tehnisko specifikāciju savām vajadzībām, kas nav iespējams, pērkot šos pakalpojumus vispārīgās vienošanās ietvaros (no e-kataloga).</w:t>
      </w:r>
    </w:p>
    <w:p w14:paraId="4E229FF9" w14:textId="77777777" w:rsidR="00D8790B" w:rsidRDefault="00D8790B" w:rsidP="00D8790B">
      <w:pPr>
        <w:ind w:firstLine="709"/>
        <w:jc w:val="both"/>
      </w:pPr>
    </w:p>
    <w:p w14:paraId="21600174" w14:textId="01C1B06A" w:rsidR="00D8790B" w:rsidRDefault="00F10D7B" w:rsidP="00F10D7B">
      <w:pPr>
        <w:ind w:firstLine="709"/>
        <w:jc w:val="both"/>
      </w:pPr>
      <w:r>
        <w:t>Veicot analīzi</w:t>
      </w:r>
      <w:r w:rsidR="00D8790B">
        <w:t>, vai PEIN iekļautais obligāti iepērkamais preču un pakalpojumu grozs būtu papildināms arī ar cit</w:t>
      </w:r>
      <w:r w:rsidR="005E4141">
        <w:t>u preču un</w:t>
      </w:r>
      <w:r w:rsidR="00D8790B">
        <w:t xml:space="preserve"> pakalpojum</w:t>
      </w:r>
      <w:r w:rsidR="005E4141">
        <w:t>u centralizētu iegādi</w:t>
      </w:r>
      <w:r w:rsidR="004C0386" w:rsidRPr="004C0386">
        <w:t xml:space="preserve"> </w:t>
      </w:r>
      <w:r w:rsidR="004C0386">
        <w:t>EIS</w:t>
      </w:r>
      <w:r w:rsidR="005E4141">
        <w:t>,</w:t>
      </w:r>
      <w:r w:rsidR="00D8790B">
        <w:t xml:space="preserve"> </w:t>
      </w:r>
      <w:r>
        <w:t>tika</w:t>
      </w:r>
      <w:r w:rsidR="00D8790B">
        <w:t xml:space="preserve"> secināts, ka </w:t>
      </w:r>
      <w:r>
        <w:t>VRAA</w:t>
      </w:r>
      <w:r w:rsidR="00D8790B">
        <w:t xml:space="preserve"> rīcībā nav resursu šādu e-katalogu uzturēšanai. </w:t>
      </w:r>
      <w:r>
        <w:t>VRAA</w:t>
      </w:r>
      <w:r w:rsidR="00D8790B">
        <w:t xml:space="preserve"> var nodrošināt tikai obligāti PEIN paredzētos </w:t>
      </w:r>
      <w:r>
        <w:t>e-katalogus un p</w:t>
      </w:r>
      <w:r w:rsidR="00D8790B">
        <w:t xml:space="preserve">apildu pakalpojumu iekļaušana EIS risināma, paredzot nepieciešamos resursus </w:t>
      </w:r>
      <w:r>
        <w:t xml:space="preserve">VRAA </w:t>
      </w:r>
      <w:r w:rsidR="00D8790B">
        <w:t>vai nosakot cit</w:t>
      </w:r>
      <w:r w:rsidR="00760E76">
        <w:t>as</w:t>
      </w:r>
      <w:r w:rsidR="00D8790B">
        <w:t xml:space="preserve"> kompetent</w:t>
      </w:r>
      <w:r w:rsidR="00760E76">
        <w:t>ās</w:t>
      </w:r>
      <w:r w:rsidR="00D8790B">
        <w:t xml:space="preserve"> institūcij</w:t>
      </w:r>
      <w:r w:rsidR="00760E76">
        <w:t>as</w:t>
      </w:r>
      <w:r w:rsidR="00D8790B">
        <w:t xml:space="preserve"> attiecīgo centralizēto iepirkumu rīkošanai.</w:t>
      </w:r>
    </w:p>
    <w:p w14:paraId="70126C1A" w14:textId="77777777" w:rsidR="00E62A72" w:rsidRDefault="00E62A72" w:rsidP="00F10D7B">
      <w:pPr>
        <w:jc w:val="both"/>
      </w:pPr>
    </w:p>
    <w:p w14:paraId="1979FB88" w14:textId="067B52BE" w:rsidR="00B529F5" w:rsidRDefault="00B529F5" w:rsidP="00DF2131">
      <w:pPr>
        <w:ind w:firstLine="720"/>
        <w:jc w:val="both"/>
        <w:rPr>
          <w:color w:val="000000"/>
          <w:szCs w:val="20"/>
          <w:lang w:eastAsia="en-US"/>
        </w:rPr>
      </w:pPr>
      <w:r>
        <w:rPr>
          <w:color w:val="000000"/>
          <w:szCs w:val="20"/>
          <w:lang w:eastAsia="en-US"/>
        </w:rPr>
        <w:t xml:space="preserve">Lai izvērtētu iepirkumu centralizācijas iespējas, </w:t>
      </w:r>
      <w:r w:rsidR="00DF2131" w:rsidRPr="00DF2131">
        <w:rPr>
          <w:color w:val="000000"/>
          <w:szCs w:val="20"/>
          <w:lang w:eastAsia="en-US"/>
        </w:rPr>
        <w:t>2018.</w:t>
      </w:r>
      <w:r>
        <w:rPr>
          <w:color w:val="000000"/>
          <w:szCs w:val="20"/>
          <w:lang w:eastAsia="en-US"/>
        </w:rPr>
        <w:t> </w:t>
      </w:r>
      <w:r w:rsidR="00DF2131" w:rsidRPr="00DF2131">
        <w:rPr>
          <w:color w:val="000000"/>
          <w:szCs w:val="20"/>
          <w:lang w:eastAsia="en-US"/>
        </w:rPr>
        <w:t>gada 22.</w:t>
      </w:r>
      <w:r>
        <w:rPr>
          <w:color w:val="000000"/>
          <w:szCs w:val="20"/>
          <w:lang w:eastAsia="en-US"/>
        </w:rPr>
        <w:t> </w:t>
      </w:r>
      <w:r w:rsidR="00DF2131" w:rsidRPr="00DF2131">
        <w:rPr>
          <w:color w:val="000000"/>
          <w:szCs w:val="20"/>
          <w:lang w:eastAsia="en-US"/>
        </w:rPr>
        <w:t xml:space="preserve">novembrī Valsts sekretāru sanāksmē tika izskatīta Finanšu ministrijas </w:t>
      </w:r>
      <w:r>
        <w:rPr>
          <w:color w:val="000000"/>
          <w:szCs w:val="20"/>
          <w:lang w:eastAsia="en-US"/>
        </w:rPr>
        <w:t xml:space="preserve">sagatavotā </w:t>
      </w:r>
      <w:r w:rsidR="00DF2131" w:rsidRPr="00DF2131">
        <w:rPr>
          <w:color w:val="000000"/>
          <w:szCs w:val="20"/>
          <w:lang w:eastAsia="en-US"/>
        </w:rPr>
        <w:t>prezentācija “Resoru iepirkumu portfelis 2017”, kurā cita starpā, pamatojoties uz Iepirkumu uzraudzības biroja sniegto informāciju un analīzi, tika sniegti priekšlikumi iepirkumu funkciju konsolidācijai un centralizācijai. Ņemot vērā šos priekšlikumus, 2018.</w:t>
      </w:r>
      <w:r>
        <w:rPr>
          <w:color w:val="000000"/>
          <w:szCs w:val="20"/>
          <w:lang w:eastAsia="en-US"/>
        </w:rPr>
        <w:t> </w:t>
      </w:r>
      <w:r w:rsidR="00DF2131" w:rsidRPr="00DF2131">
        <w:rPr>
          <w:color w:val="000000"/>
          <w:szCs w:val="20"/>
          <w:lang w:eastAsia="en-US"/>
        </w:rPr>
        <w:t>gada 13.</w:t>
      </w:r>
      <w:r>
        <w:rPr>
          <w:color w:val="000000"/>
          <w:szCs w:val="20"/>
          <w:lang w:eastAsia="en-US"/>
        </w:rPr>
        <w:t> </w:t>
      </w:r>
      <w:r w:rsidR="00DF2131" w:rsidRPr="00DF2131">
        <w:rPr>
          <w:color w:val="000000"/>
          <w:szCs w:val="20"/>
          <w:lang w:eastAsia="en-US"/>
        </w:rPr>
        <w:t>decembra Valsts sekretāru sanāksmes protokola Nr.</w:t>
      </w:r>
      <w:r w:rsidR="00EB411C">
        <w:rPr>
          <w:color w:val="000000"/>
          <w:szCs w:val="20"/>
          <w:lang w:eastAsia="en-US"/>
        </w:rPr>
        <w:t> </w:t>
      </w:r>
      <w:r w:rsidR="00DF2131" w:rsidRPr="00DF2131">
        <w:rPr>
          <w:color w:val="000000"/>
          <w:szCs w:val="20"/>
          <w:lang w:eastAsia="en-US"/>
        </w:rPr>
        <w:t>49 36.</w:t>
      </w:r>
      <w:r w:rsidR="00EB411C">
        <w:rPr>
          <w:color w:val="000000"/>
          <w:szCs w:val="20"/>
          <w:lang w:eastAsia="en-US"/>
        </w:rPr>
        <w:t> </w:t>
      </w:r>
      <w:r w:rsidR="00DF2131" w:rsidRPr="00DF2131">
        <w:rPr>
          <w:color w:val="000000"/>
          <w:szCs w:val="20"/>
          <w:lang w:eastAsia="en-US"/>
        </w:rPr>
        <w:t>§ “Valsts pārvaldes cilvēkresursu politikas aktualitātes un atbalsta funkciju centralizācija” 7.</w:t>
      </w:r>
      <w:r w:rsidR="00EB411C">
        <w:rPr>
          <w:color w:val="000000"/>
          <w:szCs w:val="20"/>
          <w:lang w:eastAsia="en-US"/>
        </w:rPr>
        <w:t> </w:t>
      </w:r>
      <w:r w:rsidR="00DF2131" w:rsidRPr="00DF2131">
        <w:rPr>
          <w:color w:val="000000"/>
          <w:szCs w:val="20"/>
          <w:lang w:eastAsia="en-US"/>
        </w:rPr>
        <w:t xml:space="preserve">punktā, paredzot konkrētu atbildības sadalījumu, </w:t>
      </w:r>
      <w:r w:rsidR="00E64F6E">
        <w:rPr>
          <w:color w:val="000000"/>
          <w:szCs w:val="20"/>
          <w:lang w:eastAsia="en-US"/>
        </w:rPr>
        <w:t xml:space="preserve">ir </w:t>
      </w:r>
      <w:r w:rsidR="00DF2131" w:rsidRPr="00DF2131">
        <w:rPr>
          <w:color w:val="000000"/>
          <w:szCs w:val="20"/>
          <w:lang w:eastAsia="en-US"/>
        </w:rPr>
        <w:t>noteikta</w:t>
      </w:r>
      <w:r>
        <w:rPr>
          <w:color w:val="000000"/>
          <w:szCs w:val="20"/>
          <w:lang w:eastAsia="en-US"/>
        </w:rPr>
        <w:t xml:space="preserve"> šādu iepirkumu centralizēšana</w:t>
      </w:r>
      <w:r w:rsidR="00580C03">
        <w:rPr>
          <w:color w:val="000000"/>
          <w:szCs w:val="20"/>
          <w:lang w:eastAsia="en-US"/>
        </w:rPr>
        <w:t xml:space="preserve"> un atbildīgās institūcijas</w:t>
      </w:r>
      <w:r>
        <w:rPr>
          <w:color w:val="000000"/>
          <w:szCs w:val="20"/>
          <w:lang w:eastAsia="en-US"/>
        </w:rPr>
        <w:t>:</w:t>
      </w:r>
    </w:p>
    <w:p w14:paraId="7DE963F3" w14:textId="0F00D0E7" w:rsidR="00B529F5" w:rsidRDefault="00DF2131" w:rsidP="00580C03">
      <w:pPr>
        <w:pStyle w:val="ListParagraph"/>
        <w:numPr>
          <w:ilvl w:val="0"/>
          <w:numId w:val="14"/>
        </w:numPr>
        <w:jc w:val="both"/>
        <w:rPr>
          <w:color w:val="000000"/>
          <w:szCs w:val="20"/>
        </w:rPr>
      </w:pPr>
      <w:r w:rsidRPr="00B529F5">
        <w:rPr>
          <w:color w:val="000000"/>
          <w:szCs w:val="20"/>
          <w:lang w:eastAsia="en-US"/>
        </w:rPr>
        <w:t>degvielas</w:t>
      </w:r>
      <w:r w:rsidR="00E64F6E">
        <w:rPr>
          <w:color w:val="000000"/>
          <w:szCs w:val="20"/>
          <w:lang w:eastAsia="en-US"/>
        </w:rPr>
        <w:t xml:space="preserve"> (</w:t>
      </w:r>
      <w:r w:rsidR="00580C03" w:rsidRPr="00580C03">
        <w:rPr>
          <w:color w:val="000000"/>
          <w:szCs w:val="20"/>
          <w:lang w:eastAsia="en-US"/>
        </w:rPr>
        <w:t>atbildīgās institūcijas</w:t>
      </w:r>
      <w:r w:rsidR="00A012F6">
        <w:rPr>
          <w:color w:val="000000"/>
          <w:szCs w:val="20"/>
          <w:lang w:eastAsia="en-US"/>
        </w:rPr>
        <w:t>:</w:t>
      </w:r>
      <w:r w:rsidR="00580C03" w:rsidRPr="00580C03">
        <w:rPr>
          <w:color w:val="000000"/>
          <w:szCs w:val="20"/>
          <w:lang w:eastAsia="en-US"/>
        </w:rPr>
        <w:t xml:space="preserve"> </w:t>
      </w:r>
      <w:r w:rsidR="00E64F6E">
        <w:rPr>
          <w:color w:val="000000"/>
          <w:szCs w:val="20"/>
          <w:lang w:eastAsia="en-US"/>
        </w:rPr>
        <w:t>Aizsardzības ministrija, Valsts aizsardzības milit</w:t>
      </w:r>
      <w:r w:rsidR="00580C03">
        <w:rPr>
          <w:color w:val="000000"/>
          <w:szCs w:val="20"/>
          <w:lang w:eastAsia="en-US"/>
        </w:rPr>
        <w:t>āro objektu un iepirkumu centrs);</w:t>
      </w:r>
    </w:p>
    <w:p w14:paraId="58B8F5E6" w14:textId="1337E959" w:rsidR="00B529F5" w:rsidRPr="00580C03" w:rsidRDefault="00DF2131" w:rsidP="00580C03">
      <w:pPr>
        <w:pStyle w:val="ListParagraph"/>
        <w:numPr>
          <w:ilvl w:val="0"/>
          <w:numId w:val="14"/>
        </w:numPr>
        <w:jc w:val="both"/>
        <w:rPr>
          <w:color w:val="000000"/>
          <w:szCs w:val="20"/>
        </w:rPr>
      </w:pPr>
      <w:r w:rsidRPr="00580C03">
        <w:rPr>
          <w:color w:val="000000"/>
          <w:szCs w:val="20"/>
          <w:lang w:eastAsia="en-US"/>
        </w:rPr>
        <w:t>laboratorijas materiālu, reaģentu un ķimikāliju</w:t>
      </w:r>
      <w:r w:rsidR="00580C03">
        <w:rPr>
          <w:color w:val="000000"/>
          <w:szCs w:val="20"/>
          <w:lang w:eastAsia="en-US"/>
        </w:rPr>
        <w:t xml:space="preserve"> (</w:t>
      </w:r>
      <w:r w:rsidR="00580C03" w:rsidRPr="00580C03">
        <w:rPr>
          <w:color w:val="000000"/>
          <w:szCs w:val="20"/>
          <w:lang w:eastAsia="en-US"/>
        </w:rPr>
        <w:t>atbildīgās institūcijas</w:t>
      </w:r>
      <w:r w:rsidR="00A012F6">
        <w:rPr>
          <w:color w:val="000000"/>
          <w:szCs w:val="20"/>
          <w:lang w:eastAsia="en-US"/>
        </w:rPr>
        <w:t xml:space="preserve">: </w:t>
      </w:r>
      <w:r w:rsidR="00580C03">
        <w:rPr>
          <w:color w:val="000000"/>
          <w:szCs w:val="20"/>
          <w:lang w:eastAsia="en-US"/>
        </w:rPr>
        <w:t>Izglītības un zinātnes ministrija, Veselības ministrija, Zemkopības ministrija, augstskolas, zinātniskie institūti);</w:t>
      </w:r>
    </w:p>
    <w:p w14:paraId="17F42A3D" w14:textId="62FFBB65" w:rsidR="00DF2131" w:rsidRPr="00B529F5" w:rsidRDefault="00DF2131" w:rsidP="00B529F5">
      <w:pPr>
        <w:pStyle w:val="ListParagraph"/>
        <w:numPr>
          <w:ilvl w:val="0"/>
          <w:numId w:val="14"/>
        </w:numPr>
        <w:jc w:val="both"/>
        <w:rPr>
          <w:color w:val="000000"/>
          <w:szCs w:val="20"/>
        </w:rPr>
      </w:pPr>
      <w:r w:rsidRPr="00B529F5">
        <w:rPr>
          <w:color w:val="000000"/>
          <w:szCs w:val="20"/>
          <w:lang w:eastAsia="en-US"/>
        </w:rPr>
        <w:t>elektroenerģijas</w:t>
      </w:r>
      <w:r w:rsidR="00580C03">
        <w:rPr>
          <w:color w:val="000000"/>
          <w:szCs w:val="20"/>
          <w:lang w:eastAsia="en-US"/>
        </w:rPr>
        <w:t xml:space="preserve"> (atbildīgās institūcijas</w:t>
      </w:r>
      <w:r w:rsidR="00A012F6">
        <w:rPr>
          <w:color w:val="000000"/>
          <w:szCs w:val="20"/>
          <w:lang w:eastAsia="en-US"/>
        </w:rPr>
        <w:t>:</w:t>
      </w:r>
      <w:r w:rsidR="00580C03">
        <w:rPr>
          <w:color w:val="000000"/>
          <w:szCs w:val="20"/>
          <w:lang w:eastAsia="en-US"/>
        </w:rPr>
        <w:t xml:space="preserve"> Ekonomikas ministrija, Iepirkumu uzraudzības birojs, Valsts reģionālās attīstības aģentūra)</w:t>
      </w:r>
      <w:r w:rsidRPr="00B529F5">
        <w:rPr>
          <w:color w:val="000000"/>
          <w:szCs w:val="20"/>
          <w:lang w:eastAsia="en-US"/>
        </w:rPr>
        <w:t>.</w:t>
      </w:r>
    </w:p>
    <w:p w14:paraId="03437B77" w14:textId="5F61E17A" w:rsidR="00DF2131" w:rsidRDefault="00776BE7" w:rsidP="00B529F5">
      <w:pPr>
        <w:ind w:firstLine="709"/>
        <w:jc w:val="both"/>
        <w:rPr>
          <w:rFonts w:eastAsia="Calibri"/>
        </w:rPr>
      </w:pPr>
      <w:r w:rsidRPr="00093159">
        <w:lastRenderedPageBreak/>
        <w:t>Minētās sanāksmes laikā ministrijām tika uzdots izvērtēt iespēju 2019</w:t>
      </w:r>
      <w:r w:rsidR="00EB411C" w:rsidRPr="00093159">
        <w:t>.</w:t>
      </w:r>
      <w:r w:rsidR="00EB411C">
        <w:t> </w:t>
      </w:r>
      <w:r w:rsidRPr="00093159">
        <w:t>gadā iesaistīties iepriekšminētajos centralizētajos iepirkumos, kuros viens resors ir iepirkuma veicējs, bet citi resori pievienojas iepirkumam, ja šāds iepirkums ir viņiem nepieciešams, tādejādi veicinot sadarbību un resursu ekonomiju.</w:t>
      </w:r>
      <w:r w:rsidR="00B529F5" w:rsidRPr="00093159">
        <w:rPr>
          <w:rFonts w:eastAsia="Calibri"/>
        </w:rPr>
        <w:t xml:space="preserve"> </w:t>
      </w:r>
    </w:p>
    <w:p w14:paraId="63A64539" w14:textId="77777777" w:rsidR="008B4312" w:rsidRDefault="008B4312" w:rsidP="00B529F5">
      <w:pPr>
        <w:ind w:firstLine="709"/>
        <w:jc w:val="both"/>
        <w:rPr>
          <w:rFonts w:eastAsia="Calibri"/>
        </w:rPr>
      </w:pPr>
    </w:p>
    <w:p w14:paraId="7CBA9876" w14:textId="0650B578" w:rsidR="008B4312" w:rsidRPr="00093159" w:rsidRDefault="008B4312" w:rsidP="00B529F5">
      <w:pPr>
        <w:ind w:firstLine="709"/>
        <w:jc w:val="both"/>
        <w:rPr>
          <w:highlight w:val="yellow"/>
        </w:rPr>
      </w:pPr>
      <w:r>
        <w:rPr>
          <w:rFonts w:eastAsia="Calibri"/>
        </w:rPr>
        <w:t xml:space="preserve">Ievērojot iepriekš minēto informāciju, ar </w:t>
      </w:r>
      <w:r w:rsidRPr="008B1D8D">
        <w:rPr>
          <w:rFonts w:eastAsia="Calibri"/>
        </w:rPr>
        <w:t>Valsts pārvaldes reformu plāna 2020 (apstiprināts ar Ministru kabineta 2017.</w:t>
      </w:r>
      <w:r>
        <w:rPr>
          <w:rFonts w:eastAsia="Calibri"/>
        </w:rPr>
        <w:t xml:space="preserve"> gada 24. novembra rīkojumu </w:t>
      </w:r>
      <w:r w:rsidRPr="008B1D8D">
        <w:rPr>
          <w:rFonts w:eastAsia="Calibri"/>
        </w:rPr>
        <w:t>Nr. 701 (prot.</w:t>
      </w:r>
      <w:r>
        <w:rPr>
          <w:rFonts w:eastAsia="Calibri"/>
        </w:rPr>
        <w:t xml:space="preserve"> Nr. 57 54. §)) </w:t>
      </w:r>
      <w:r>
        <w:t>sadaļas “Pasākumi mērķu sasniegšanai”</w:t>
      </w:r>
      <w:r>
        <w:rPr>
          <w:rFonts w:eastAsia="Calibri"/>
        </w:rPr>
        <w:t xml:space="preserve"> 4.4. apakšpunktu</w:t>
      </w:r>
      <w:r w:rsidRPr="008B1D8D">
        <w:rPr>
          <w:rFonts w:eastAsia="Calibri"/>
        </w:rPr>
        <w:t xml:space="preserve"> Vides aizsardzības un reģionālās attīstības ministrijai</w:t>
      </w:r>
      <w:r>
        <w:rPr>
          <w:rFonts w:eastAsia="Calibri"/>
        </w:rPr>
        <w:t xml:space="preserve"> uzdots uzdevums ir izpildīts.</w:t>
      </w:r>
      <w:bookmarkStart w:id="0" w:name="_GoBack"/>
      <w:bookmarkEnd w:id="0"/>
    </w:p>
    <w:p w14:paraId="217F6BDB" w14:textId="77777777" w:rsidR="00DF2131" w:rsidRDefault="00DF2131" w:rsidP="00F10D7B">
      <w:pPr>
        <w:jc w:val="both"/>
        <w:rPr>
          <w:highlight w:val="yellow"/>
        </w:rPr>
      </w:pPr>
    </w:p>
    <w:p w14:paraId="656AA54E" w14:textId="77777777" w:rsidR="00580C03" w:rsidRDefault="00580C03" w:rsidP="00F10D7B">
      <w:pPr>
        <w:jc w:val="both"/>
        <w:rPr>
          <w:highlight w:val="yellow"/>
        </w:rPr>
      </w:pPr>
    </w:p>
    <w:p w14:paraId="4B372E8C" w14:textId="77777777" w:rsidR="00D63D99" w:rsidRDefault="00D63D99" w:rsidP="00F10D7B">
      <w:pPr>
        <w:jc w:val="both"/>
        <w:rPr>
          <w:highlight w:val="yellow"/>
        </w:rPr>
      </w:pPr>
    </w:p>
    <w:p w14:paraId="025ED770" w14:textId="77777777" w:rsidR="00E62A72" w:rsidRPr="00607709" w:rsidRDefault="00E62A72" w:rsidP="00F10D7B">
      <w:pPr>
        <w:jc w:val="both"/>
      </w:pPr>
      <w:r w:rsidRPr="00607709">
        <w:t>Vides aizsardzības un reģionālās</w:t>
      </w:r>
    </w:p>
    <w:p w14:paraId="0B7B8256" w14:textId="27ECF23D" w:rsidR="00E62A72" w:rsidRPr="00607709" w:rsidRDefault="00E62A72" w:rsidP="00F10D7B">
      <w:pPr>
        <w:jc w:val="both"/>
      </w:pPr>
      <w:r w:rsidRPr="00607709">
        <w:t>attīstības ministrs</w:t>
      </w:r>
      <w:r w:rsidRPr="00607709">
        <w:tab/>
      </w:r>
      <w:r w:rsidRPr="00607709">
        <w:tab/>
      </w:r>
      <w:r w:rsidRPr="00607709">
        <w:tab/>
      </w:r>
      <w:r w:rsidRPr="00607709">
        <w:tab/>
      </w:r>
      <w:r w:rsidRPr="00607709">
        <w:tab/>
      </w:r>
      <w:r w:rsidRPr="00607709">
        <w:tab/>
      </w:r>
      <w:r w:rsidRPr="00607709">
        <w:tab/>
      </w:r>
      <w:r w:rsidR="00753948">
        <w:tab/>
      </w:r>
      <w:r w:rsidR="00B529F5">
        <w:tab/>
      </w:r>
      <w:r w:rsidR="00DF2131">
        <w:t>J.</w:t>
      </w:r>
      <w:r w:rsidR="00EB411C">
        <w:t> </w:t>
      </w:r>
      <w:r w:rsidR="00DF2131">
        <w:t>Pūce</w:t>
      </w:r>
    </w:p>
    <w:p w14:paraId="3D2DF84B" w14:textId="77777777" w:rsidR="007149D4" w:rsidRDefault="007149D4" w:rsidP="00F10D7B">
      <w:pPr>
        <w:jc w:val="both"/>
      </w:pPr>
    </w:p>
    <w:p w14:paraId="4311EDEA" w14:textId="77777777" w:rsidR="00093159" w:rsidRDefault="00093159" w:rsidP="00F10D7B">
      <w:pPr>
        <w:jc w:val="both"/>
      </w:pPr>
    </w:p>
    <w:p w14:paraId="1F019E55" w14:textId="77777777" w:rsidR="00D63D99" w:rsidRDefault="00D63D99" w:rsidP="00F10D7B">
      <w:pPr>
        <w:jc w:val="both"/>
      </w:pPr>
    </w:p>
    <w:p w14:paraId="1C23E4D1" w14:textId="77777777" w:rsidR="00D63D99" w:rsidRDefault="00D63D99" w:rsidP="00F10D7B">
      <w:pPr>
        <w:jc w:val="both"/>
      </w:pPr>
    </w:p>
    <w:p w14:paraId="280DF9C6" w14:textId="77777777" w:rsidR="00D63D99" w:rsidRDefault="00D63D99" w:rsidP="00F10D7B">
      <w:pPr>
        <w:jc w:val="both"/>
      </w:pPr>
    </w:p>
    <w:p w14:paraId="70D62B44" w14:textId="46E772B8" w:rsidR="007149D4" w:rsidRPr="007F5012" w:rsidRDefault="00753948" w:rsidP="007149D4">
      <w:pPr>
        <w:jc w:val="both"/>
        <w:rPr>
          <w:sz w:val="18"/>
        </w:rPr>
      </w:pPr>
      <w:r>
        <w:rPr>
          <w:sz w:val="18"/>
        </w:rPr>
        <w:t>Igaune</w:t>
      </w:r>
      <w:r w:rsidR="007149D4" w:rsidRPr="007F5012">
        <w:rPr>
          <w:sz w:val="18"/>
        </w:rPr>
        <w:t xml:space="preserve"> 66016</w:t>
      </w:r>
      <w:r>
        <w:rPr>
          <w:sz w:val="18"/>
        </w:rPr>
        <w:t>780</w:t>
      </w:r>
    </w:p>
    <w:p w14:paraId="6346CE41" w14:textId="566A8952" w:rsidR="007149D4" w:rsidRPr="007F5012" w:rsidRDefault="008B4312" w:rsidP="007149D4">
      <w:pPr>
        <w:jc w:val="both"/>
        <w:rPr>
          <w:sz w:val="16"/>
        </w:rPr>
      </w:pPr>
      <w:hyperlink r:id="rId8" w:history="1">
        <w:r w:rsidR="00753948" w:rsidRPr="00AB4A16">
          <w:rPr>
            <w:rStyle w:val="Hyperlink"/>
            <w:sz w:val="18"/>
          </w:rPr>
          <w:t>ingrida.igaune@varam.gov.lv</w:t>
        </w:r>
      </w:hyperlink>
      <w:r w:rsidR="007149D4" w:rsidRPr="007F5012">
        <w:rPr>
          <w:sz w:val="20"/>
          <w:szCs w:val="20"/>
        </w:rPr>
        <w:t xml:space="preserve"> </w:t>
      </w:r>
    </w:p>
    <w:sectPr w:rsidR="007149D4" w:rsidRPr="007F5012" w:rsidSect="00A01EA0">
      <w:headerReference w:type="even" r:id="rId9"/>
      <w:headerReference w:type="default" r:id="rId10"/>
      <w:footerReference w:type="default" r:id="rId11"/>
      <w:footerReference w:type="first" r:id="rId12"/>
      <w:pgSz w:w="11906" w:h="16838"/>
      <w:pgMar w:top="1247" w:right="1077" w:bottom="1247"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128AF" w14:textId="77777777" w:rsidR="008B4312" w:rsidRDefault="008B4312">
      <w:r>
        <w:separator/>
      </w:r>
    </w:p>
  </w:endnote>
  <w:endnote w:type="continuationSeparator" w:id="0">
    <w:p w14:paraId="604DCE30" w14:textId="77777777" w:rsidR="008B4312" w:rsidRDefault="008B4312">
      <w:r>
        <w:continuationSeparator/>
      </w:r>
    </w:p>
  </w:endnote>
  <w:endnote w:type="continuationNotice" w:id="1">
    <w:p w14:paraId="4B675D34" w14:textId="77777777" w:rsidR="00097372" w:rsidRDefault="0009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E669" w14:textId="47DFF756" w:rsidR="008B4312" w:rsidRPr="00D60E8B" w:rsidRDefault="008B4312" w:rsidP="00D60E8B">
    <w:pPr>
      <w:pStyle w:val="Footer"/>
      <w:rPr>
        <w:sz w:val="20"/>
        <w:szCs w:val="20"/>
      </w:rPr>
    </w:pPr>
    <w:r w:rsidRPr="00D60E8B">
      <w:rPr>
        <w:sz w:val="20"/>
        <w:szCs w:val="20"/>
      </w:rPr>
      <w:t>V</w:t>
    </w:r>
    <w:r>
      <w:rPr>
        <w:sz w:val="20"/>
        <w:szCs w:val="20"/>
      </w:rPr>
      <w:t>ARAMzino_24</w:t>
    </w:r>
    <w:r w:rsidRPr="00D60E8B">
      <w:rPr>
        <w:sz w:val="20"/>
        <w:szCs w:val="20"/>
      </w:rPr>
      <w:t>0119_iepirkumi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F334" w14:textId="6D0AE2E8" w:rsidR="008B4312" w:rsidRPr="00664A8B" w:rsidRDefault="008B4312" w:rsidP="00664A8B">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VARAMZino_240119_</w:t>
    </w:r>
    <w:r w:rsidRPr="00A01EA0">
      <w:rPr>
        <w:noProof/>
      </w:rPr>
      <w:t>iepirkumi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6618" w14:textId="77777777" w:rsidR="008B4312" w:rsidRDefault="008B4312">
      <w:r>
        <w:separator/>
      </w:r>
    </w:p>
  </w:footnote>
  <w:footnote w:type="continuationSeparator" w:id="0">
    <w:p w14:paraId="27B89F8D" w14:textId="77777777" w:rsidR="008B4312" w:rsidRDefault="008B4312">
      <w:r>
        <w:continuationSeparator/>
      </w:r>
    </w:p>
  </w:footnote>
  <w:footnote w:type="continuationNotice" w:id="1">
    <w:p w14:paraId="3B244BA8" w14:textId="77777777" w:rsidR="00097372" w:rsidRDefault="00097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64FF" w14:textId="77777777" w:rsidR="008B4312" w:rsidRDefault="008B4312"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061B4" w14:textId="77777777" w:rsidR="008B4312" w:rsidRDefault="008B4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34B6" w14:textId="3022C891" w:rsidR="008B4312" w:rsidRDefault="008B4312"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372">
      <w:rPr>
        <w:rStyle w:val="PageNumber"/>
        <w:noProof/>
      </w:rPr>
      <w:t>3</w:t>
    </w:r>
    <w:r>
      <w:rPr>
        <w:rStyle w:val="PageNumber"/>
      </w:rPr>
      <w:fldChar w:fldCharType="end"/>
    </w:r>
  </w:p>
  <w:p w14:paraId="0524EA7C" w14:textId="77777777" w:rsidR="008B4312" w:rsidRDefault="008B4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0FA"/>
    <w:multiLevelType w:val="hybridMultilevel"/>
    <w:tmpl w:val="CC0A28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614D04"/>
    <w:multiLevelType w:val="hybridMultilevel"/>
    <w:tmpl w:val="1458DEA2"/>
    <w:lvl w:ilvl="0" w:tplc="448E74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6871E3"/>
    <w:multiLevelType w:val="hybridMultilevel"/>
    <w:tmpl w:val="762ACDF2"/>
    <w:lvl w:ilvl="0" w:tplc="57721DA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C8E5CE1"/>
    <w:multiLevelType w:val="hybridMultilevel"/>
    <w:tmpl w:val="6AFCC2CC"/>
    <w:lvl w:ilvl="0" w:tplc="349834D6">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E1B298F"/>
    <w:multiLevelType w:val="hybridMultilevel"/>
    <w:tmpl w:val="9EAA6C12"/>
    <w:lvl w:ilvl="0" w:tplc="3B9A0A0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11701AC"/>
    <w:multiLevelType w:val="hybridMultilevel"/>
    <w:tmpl w:val="597ECF02"/>
    <w:lvl w:ilvl="0" w:tplc="F0AE0822">
      <w:start w:val="1"/>
      <w:numFmt w:val="decimal"/>
      <w:lvlText w:val="%1."/>
      <w:lvlJc w:val="left"/>
      <w:pPr>
        <w:tabs>
          <w:tab w:val="num" w:pos="1740"/>
        </w:tabs>
        <w:ind w:left="1740" w:hanging="1020"/>
      </w:pPr>
      <w:rPr>
        <w:rFonts w:eastAsia="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0414122"/>
    <w:multiLevelType w:val="hybridMultilevel"/>
    <w:tmpl w:val="670C9D4A"/>
    <w:lvl w:ilvl="0" w:tplc="18689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A1E2400"/>
    <w:multiLevelType w:val="hybridMultilevel"/>
    <w:tmpl w:val="D2F6ABA0"/>
    <w:lvl w:ilvl="0" w:tplc="B2561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F3B43B5"/>
    <w:multiLevelType w:val="hybridMultilevel"/>
    <w:tmpl w:val="4470EB90"/>
    <w:lvl w:ilvl="0" w:tplc="A5787B28">
      <w:start w:val="1"/>
      <w:numFmt w:val="decimal"/>
      <w:lvlText w:val="%1."/>
      <w:lvlJc w:val="left"/>
      <w:pPr>
        <w:tabs>
          <w:tab w:val="num" w:pos="1380"/>
        </w:tabs>
        <w:ind w:left="1380" w:hanging="6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5A430754"/>
    <w:multiLevelType w:val="hybridMultilevel"/>
    <w:tmpl w:val="B0262B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F5041D"/>
    <w:multiLevelType w:val="hybridMultilevel"/>
    <w:tmpl w:val="3BEC4638"/>
    <w:lvl w:ilvl="0" w:tplc="39AE3B5A">
      <w:start w:val="1"/>
      <w:numFmt w:val="decimal"/>
      <w:lvlText w:val="%1."/>
      <w:lvlJc w:val="left"/>
      <w:pPr>
        <w:tabs>
          <w:tab w:val="num" w:pos="1080"/>
        </w:tabs>
        <w:ind w:left="1080" w:hanging="360"/>
      </w:pPr>
      <w:rPr>
        <w:rFonts w:hint="default"/>
      </w:rPr>
    </w:lvl>
    <w:lvl w:ilvl="1" w:tplc="531013B4">
      <w:numFmt w:val="none"/>
      <w:lvlText w:val=""/>
      <w:lvlJc w:val="left"/>
      <w:pPr>
        <w:tabs>
          <w:tab w:val="num" w:pos="360"/>
        </w:tabs>
      </w:pPr>
    </w:lvl>
    <w:lvl w:ilvl="2" w:tplc="6694AEC0">
      <w:numFmt w:val="none"/>
      <w:lvlText w:val=""/>
      <w:lvlJc w:val="left"/>
      <w:pPr>
        <w:tabs>
          <w:tab w:val="num" w:pos="360"/>
        </w:tabs>
      </w:pPr>
    </w:lvl>
    <w:lvl w:ilvl="3" w:tplc="8D28C41E">
      <w:numFmt w:val="none"/>
      <w:lvlText w:val=""/>
      <w:lvlJc w:val="left"/>
      <w:pPr>
        <w:tabs>
          <w:tab w:val="num" w:pos="360"/>
        </w:tabs>
      </w:pPr>
    </w:lvl>
    <w:lvl w:ilvl="4" w:tplc="29109FDE">
      <w:numFmt w:val="none"/>
      <w:lvlText w:val=""/>
      <w:lvlJc w:val="left"/>
      <w:pPr>
        <w:tabs>
          <w:tab w:val="num" w:pos="360"/>
        </w:tabs>
      </w:pPr>
    </w:lvl>
    <w:lvl w:ilvl="5" w:tplc="A79A6EE2">
      <w:numFmt w:val="none"/>
      <w:lvlText w:val=""/>
      <w:lvlJc w:val="left"/>
      <w:pPr>
        <w:tabs>
          <w:tab w:val="num" w:pos="360"/>
        </w:tabs>
      </w:pPr>
    </w:lvl>
    <w:lvl w:ilvl="6" w:tplc="42B471FA">
      <w:numFmt w:val="none"/>
      <w:lvlText w:val=""/>
      <w:lvlJc w:val="left"/>
      <w:pPr>
        <w:tabs>
          <w:tab w:val="num" w:pos="360"/>
        </w:tabs>
      </w:pPr>
    </w:lvl>
    <w:lvl w:ilvl="7" w:tplc="F050F170">
      <w:numFmt w:val="none"/>
      <w:lvlText w:val=""/>
      <w:lvlJc w:val="left"/>
      <w:pPr>
        <w:tabs>
          <w:tab w:val="num" w:pos="360"/>
        </w:tabs>
      </w:pPr>
    </w:lvl>
    <w:lvl w:ilvl="8" w:tplc="1E282B80">
      <w:numFmt w:val="none"/>
      <w:lvlText w:val=""/>
      <w:lvlJc w:val="left"/>
      <w:pPr>
        <w:tabs>
          <w:tab w:val="num" w:pos="360"/>
        </w:tabs>
      </w:pPr>
    </w:lvl>
  </w:abstractNum>
  <w:num w:numId="1">
    <w:abstractNumId w:val="6"/>
  </w:num>
  <w:num w:numId="2">
    <w:abstractNumId w:val="10"/>
  </w:num>
  <w:num w:numId="3">
    <w:abstractNumId w:val="12"/>
  </w:num>
  <w:num w:numId="4">
    <w:abstractNumId w:val="4"/>
  </w:num>
  <w:num w:numId="5">
    <w:abstractNumId w:val="5"/>
  </w:num>
  <w:num w:numId="6">
    <w:abstractNumId w:val="8"/>
  </w:num>
  <w:num w:numId="7">
    <w:abstractNumId w:val="3"/>
  </w:num>
  <w:num w:numId="8">
    <w:abstractNumId w:val="7"/>
  </w:num>
  <w:num w:numId="9">
    <w:abstractNumId w:val="9"/>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06137"/>
    <w:rsid w:val="000107A9"/>
    <w:rsid w:val="00025842"/>
    <w:rsid w:val="00025E8F"/>
    <w:rsid w:val="00033A5A"/>
    <w:rsid w:val="00035B34"/>
    <w:rsid w:val="00044EF7"/>
    <w:rsid w:val="00045DAE"/>
    <w:rsid w:val="0004721A"/>
    <w:rsid w:val="00050DED"/>
    <w:rsid w:val="00052ADE"/>
    <w:rsid w:val="00060A06"/>
    <w:rsid w:val="00061C33"/>
    <w:rsid w:val="00080D98"/>
    <w:rsid w:val="00083F33"/>
    <w:rsid w:val="000871E7"/>
    <w:rsid w:val="00093159"/>
    <w:rsid w:val="00095994"/>
    <w:rsid w:val="00095D94"/>
    <w:rsid w:val="00096017"/>
    <w:rsid w:val="00097372"/>
    <w:rsid w:val="000A4AC6"/>
    <w:rsid w:val="000A6967"/>
    <w:rsid w:val="000B0949"/>
    <w:rsid w:val="000B784B"/>
    <w:rsid w:val="000C26A7"/>
    <w:rsid w:val="000C369A"/>
    <w:rsid w:val="000C63D1"/>
    <w:rsid w:val="000C65F0"/>
    <w:rsid w:val="000D24C0"/>
    <w:rsid w:val="000E086B"/>
    <w:rsid w:val="000E3979"/>
    <w:rsid w:val="000E51F8"/>
    <w:rsid w:val="000E7A45"/>
    <w:rsid w:val="000F6319"/>
    <w:rsid w:val="000F6325"/>
    <w:rsid w:val="00102E98"/>
    <w:rsid w:val="0010605C"/>
    <w:rsid w:val="001118EC"/>
    <w:rsid w:val="00114167"/>
    <w:rsid w:val="00126AFF"/>
    <w:rsid w:val="00141785"/>
    <w:rsid w:val="00147B64"/>
    <w:rsid w:val="00147CE6"/>
    <w:rsid w:val="0015093E"/>
    <w:rsid w:val="00160250"/>
    <w:rsid w:val="0016132E"/>
    <w:rsid w:val="00165C18"/>
    <w:rsid w:val="00174B9B"/>
    <w:rsid w:val="00185AD6"/>
    <w:rsid w:val="00187B93"/>
    <w:rsid w:val="001A7801"/>
    <w:rsid w:val="001C3CA6"/>
    <w:rsid w:val="001C3FA9"/>
    <w:rsid w:val="001C5B1E"/>
    <w:rsid w:val="001C6904"/>
    <w:rsid w:val="001D718B"/>
    <w:rsid w:val="001E330F"/>
    <w:rsid w:val="001F0D12"/>
    <w:rsid w:val="001F3C04"/>
    <w:rsid w:val="0020272A"/>
    <w:rsid w:val="002050A7"/>
    <w:rsid w:val="0020722F"/>
    <w:rsid w:val="0021132D"/>
    <w:rsid w:val="00211F70"/>
    <w:rsid w:val="002137DA"/>
    <w:rsid w:val="0021505B"/>
    <w:rsid w:val="002225AE"/>
    <w:rsid w:val="002256CF"/>
    <w:rsid w:val="00227002"/>
    <w:rsid w:val="0023249B"/>
    <w:rsid w:val="0023348A"/>
    <w:rsid w:val="00235C96"/>
    <w:rsid w:val="0024657C"/>
    <w:rsid w:val="0025587F"/>
    <w:rsid w:val="00260919"/>
    <w:rsid w:val="00264B41"/>
    <w:rsid w:val="002820AD"/>
    <w:rsid w:val="00282286"/>
    <w:rsid w:val="002840B8"/>
    <w:rsid w:val="002A2DA6"/>
    <w:rsid w:val="002A5201"/>
    <w:rsid w:val="002A58ED"/>
    <w:rsid w:val="002B257E"/>
    <w:rsid w:val="002B45D2"/>
    <w:rsid w:val="002B64FD"/>
    <w:rsid w:val="002C3B52"/>
    <w:rsid w:val="002C5A6A"/>
    <w:rsid w:val="002D3448"/>
    <w:rsid w:val="002D6882"/>
    <w:rsid w:val="002E047C"/>
    <w:rsid w:val="002E3026"/>
    <w:rsid w:val="002E437F"/>
    <w:rsid w:val="002F2A4D"/>
    <w:rsid w:val="002F459B"/>
    <w:rsid w:val="002F463F"/>
    <w:rsid w:val="002F5D43"/>
    <w:rsid w:val="00313BC3"/>
    <w:rsid w:val="00316797"/>
    <w:rsid w:val="00331FB2"/>
    <w:rsid w:val="00336B9F"/>
    <w:rsid w:val="00337F03"/>
    <w:rsid w:val="00356A9D"/>
    <w:rsid w:val="00357F03"/>
    <w:rsid w:val="00366F08"/>
    <w:rsid w:val="003751E8"/>
    <w:rsid w:val="00376C87"/>
    <w:rsid w:val="003804F3"/>
    <w:rsid w:val="0038369A"/>
    <w:rsid w:val="00386846"/>
    <w:rsid w:val="00387992"/>
    <w:rsid w:val="003A1D8F"/>
    <w:rsid w:val="003A2E5C"/>
    <w:rsid w:val="003B2249"/>
    <w:rsid w:val="003B348A"/>
    <w:rsid w:val="003D3234"/>
    <w:rsid w:val="003F3AFF"/>
    <w:rsid w:val="003F4278"/>
    <w:rsid w:val="00402B43"/>
    <w:rsid w:val="00405FC0"/>
    <w:rsid w:val="00413D4C"/>
    <w:rsid w:val="00417A11"/>
    <w:rsid w:val="00427E33"/>
    <w:rsid w:val="004316E3"/>
    <w:rsid w:val="00445B31"/>
    <w:rsid w:val="00446809"/>
    <w:rsid w:val="004523C1"/>
    <w:rsid w:val="004535F3"/>
    <w:rsid w:val="00461AD3"/>
    <w:rsid w:val="004644BA"/>
    <w:rsid w:val="00465FD6"/>
    <w:rsid w:val="00480EB1"/>
    <w:rsid w:val="00481BF3"/>
    <w:rsid w:val="004852AE"/>
    <w:rsid w:val="00485E08"/>
    <w:rsid w:val="00490BD1"/>
    <w:rsid w:val="0049311A"/>
    <w:rsid w:val="004A02DB"/>
    <w:rsid w:val="004A661B"/>
    <w:rsid w:val="004B1B83"/>
    <w:rsid w:val="004B7C44"/>
    <w:rsid w:val="004C0386"/>
    <w:rsid w:val="004C49DC"/>
    <w:rsid w:val="004C58C2"/>
    <w:rsid w:val="004C6BB4"/>
    <w:rsid w:val="004C77D3"/>
    <w:rsid w:val="004D7534"/>
    <w:rsid w:val="004D7C10"/>
    <w:rsid w:val="004E6311"/>
    <w:rsid w:val="00504809"/>
    <w:rsid w:val="00504E5B"/>
    <w:rsid w:val="005073A3"/>
    <w:rsid w:val="00510158"/>
    <w:rsid w:val="00515E84"/>
    <w:rsid w:val="00517382"/>
    <w:rsid w:val="005424E7"/>
    <w:rsid w:val="00546210"/>
    <w:rsid w:val="005529CC"/>
    <w:rsid w:val="005728C8"/>
    <w:rsid w:val="00572A87"/>
    <w:rsid w:val="00576CFB"/>
    <w:rsid w:val="00577CAF"/>
    <w:rsid w:val="00577D13"/>
    <w:rsid w:val="00580C03"/>
    <w:rsid w:val="00587069"/>
    <w:rsid w:val="005A06B3"/>
    <w:rsid w:val="005A4CF4"/>
    <w:rsid w:val="005A5EF5"/>
    <w:rsid w:val="005A681B"/>
    <w:rsid w:val="005A7E41"/>
    <w:rsid w:val="005C0387"/>
    <w:rsid w:val="005C768C"/>
    <w:rsid w:val="005C784C"/>
    <w:rsid w:val="005E10E6"/>
    <w:rsid w:val="005E2548"/>
    <w:rsid w:val="005E3495"/>
    <w:rsid w:val="005E4141"/>
    <w:rsid w:val="005F33A6"/>
    <w:rsid w:val="005F6B30"/>
    <w:rsid w:val="00607DB5"/>
    <w:rsid w:val="00622202"/>
    <w:rsid w:val="00632F80"/>
    <w:rsid w:val="00642E4B"/>
    <w:rsid w:val="00643103"/>
    <w:rsid w:val="006449FF"/>
    <w:rsid w:val="00645C72"/>
    <w:rsid w:val="00650128"/>
    <w:rsid w:val="00650BC0"/>
    <w:rsid w:val="00657122"/>
    <w:rsid w:val="00660A8C"/>
    <w:rsid w:val="00664A8B"/>
    <w:rsid w:val="00667907"/>
    <w:rsid w:val="00673066"/>
    <w:rsid w:val="00674BB9"/>
    <w:rsid w:val="0067564B"/>
    <w:rsid w:val="00682392"/>
    <w:rsid w:val="00683CA3"/>
    <w:rsid w:val="00691E72"/>
    <w:rsid w:val="00693786"/>
    <w:rsid w:val="0069388C"/>
    <w:rsid w:val="00695817"/>
    <w:rsid w:val="006A07CE"/>
    <w:rsid w:val="006A2656"/>
    <w:rsid w:val="006A3A5D"/>
    <w:rsid w:val="006A4EE3"/>
    <w:rsid w:val="006A760C"/>
    <w:rsid w:val="006B19F2"/>
    <w:rsid w:val="006B33D1"/>
    <w:rsid w:val="006D1BF6"/>
    <w:rsid w:val="006D329B"/>
    <w:rsid w:val="006E4DB3"/>
    <w:rsid w:val="006E5E35"/>
    <w:rsid w:val="006E6191"/>
    <w:rsid w:val="006F004E"/>
    <w:rsid w:val="006F4F8D"/>
    <w:rsid w:val="006F6196"/>
    <w:rsid w:val="00703581"/>
    <w:rsid w:val="007066DC"/>
    <w:rsid w:val="007138BA"/>
    <w:rsid w:val="007149D4"/>
    <w:rsid w:val="007246AD"/>
    <w:rsid w:val="0072489A"/>
    <w:rsid w:val="0072760F"/>
    <w:rsid w:val="00737EB2"/>
    <w:rsid w:val="00741D2F"/>
    <w:rsid w:val="00741F73"/>
    <w:rsid w:val="00753948"/>
    <w:rsid w:val="00760E76"/>
    <w:rsid w:val="00776BE7"/>
    <w:rsid w:val="00781274"/>
    <w:rsid w:val="00781787"/>
    <w:rsid w:val="007B0C5D"/>
    <w:rsid w:val="007C0C08"/>
    <w:rsid w:val="007C51E5"/>
    <w:rsid w:val="007D4C83"/>
    <w:rsid w:val="007F2ED7"/>
    <w:rsid w:val="007F4C3A"/>
    <w:rsid w:val="007F628B"/>
    <w:rsid w:val="0080538A"/>
    <w:rsid w:val="0080678C"/>
    <w:rsid w:val="008067B3"/>
    <w:rsid w:val="00806B5E"/>
    <w:rsid w:val="008073C0"/>
    <w:rsid w:val="008211FD"/>
    <w:rsid w:val="00821356"/>
    <w:rsid w:val="00827011"/>
    <w:rsid w:val="008275C5"/>
    <w:rsid w:val="00830B65"/>
    <w:rsid w:val="00834548"/>
    <w:rsid w:val="00835F5A"/>
    <w:rsid w:val="008375FF"/>
    <w:rsid w:val="00841841"/>
    <w:rsid w:val="008504AD"/>
    <w:rsid w:val="00851151"/>
    <w:rsid w:val="00851460"/>
    <w:rsid w:val="00860A0F"/>
    <w:rsid w:val="00871884"/>
    <w:rsid w:val="00872BA7"/>
    <w:rsid w:val="00876BD4"/>
    <w:rsid w:val="00887525"/>
    <w:rsid w:val="00897024"/>
    <w:rsid w:val="00897ACC"/>
    <w:rsid w:val="008A2CE4"/>
    <w:rsid w:val="008A4AB5"/>
    <w:rsid w:val="008A4FF8"/>
    <w:rsid w:val="008A66FC"/>
    <w:rsid w:val="008A6808"/>
    <w:rsid w:val="008B1D8D"/>
    <w:rsid w:val="008B388E"/>
    <w:rsid w:val="008B4312"/>
    <w:rsid w:val="008B6D48"/>
    <w:rsid w:val="008C1D91"/>
    <w:rsid w:val="008C6111"/>
    <w:rsid w:val="008C630D"/>
    <w:rsid w:val="008D3520"/>
    <w:rsid w:val="008E150B"/>
    <w:rsid w:val="008E2F0B"/>
    <w:rsid w:val="00901DFB"/>
    <w:rsid w:val="00907D08"/>
    <w:rsid w:val="00910B28"/>
    <w:rsid w:val="00912B1D"/>
    <w:rsid w:val="009154C3"/>
    <w:rsid w:val="00921733"/>
    <w:rsid w:val="00921DDF"/>
    <w:rsid w:val="00934ED5"/>
    <w:rsid w:val="00936525"/>
    <w:rsid w:val="009441B2"/>
    <w:rsid w:val="00944339"/>
    <w:rsid w:val="00956BEA"/>
    <w:rsid w:val="009652F8"/>
    <w:rsid w:val="009830A3"/>
    <w:rsid w:val="00984C5F"/>
    <w:rsid w:val="00984ECE"/>
    <w:rsid w:val="00990D18"/>
    <w:rsid w:val="009A0A8C"/>
    <w:rsid w:val="009A16E3"/>
    <w:rsid w:val="009B13B2"/>
    <w:rsid w:val="009B374B"/>
    <w:rsid w:val="009B546D"/>
    <w:rsid w:val="009B5701"/>
    <w:rsid w:val="009B765B"/>
    <w:rsid w:val="009C0215"/>
    <w:rsid w:val="009D7F0B"/>
    <w:rsid w:val="009E5DE6"/>
    <w:rsid w:val="00A012F6"/>
    <w:rsid w:val="00A01EA0"/>
    <w:rsid w:val="00A057C5"/>
    <w:rsid w:val="00A06E22"/>
    <w:rsid w:val="00A176C7"/>
    <w:rsid w:val="00A2750C"/>
    <w:rsid w:val="00A30ABE"/>
    <w:rsid w:val="00A32893"/>
    <w:rsid w:val="00A40BA4"/>
    <w:rsid w:val="00A40BAB"/>
    <w:rsid w:val="00A43E63"/>
    <w:rsid w:val="00A51D3F"/>
    <w:rsid w:val="00A52702"/>
    <w:rsid w:val="00A56174"/>
    <w:rsid w:val="00A628F9"/>
    <w:rsid w:val="00A726F2"/>
    <w:rsid w:val="00A7601D"/>
    <w:rsid w:val="00A771E6"/>
    <w:rsid w:val="00A84FCD"/>
    <w:rsid w:val="00A854C0"/>
    <w:rsid w:val="00A96B94"/>
    <w:rsid w:val="00AA0F59"/>
    <w:rsid w:val="00AB5042"/>
    <w:rsid w:val="00AC0C1F"/>
    <w:rsid w:val="00AC150C"/>
    <w:rsid w:val="00AD53A1"/>
    <w:rsid w:val="00AE00DE"/>
    <w:rsid w:val="00AE37EC"/>
    <w:rsid w:val="00AF422D"/>
    <w:rsid w:val="00AF5344"/>
    <w:rsid w:val="00B01164"/>
    <w:rsid w:val="00B30B64"/>
    <w:rsid w:val="00B375DB"/>
    <w:rsid w:val="00B43E4F"/>
    <w:rsid w:val="00B44AE2"/>
    <w:rsid w:val="00B46D5F"/>
    <w:rsid w:val="00B47B82"/>
    <w:rsid w:val="00B529F5"/>
    <w:rsid w:val="00B5423C"/>
    <w:rsid w:val="00B56994"/>
    <w:rsid w:val="00B579FA"/>
    <w:rsid w:val="00B626FC"/>
    <w:rsid w:val="00B77EE3"/>
    <w:rsid w:val="00B84677"/>
    <w:rsid w:val="00B9405D"/>
    <w:rsid w:val="00B942FD"/>
    <w:rsid w:val="00BB7296"/>
    <w:rsid w:val="00BC2F9A"/>
    <w:rsid w:val="00BD44E3"/>
    <w:rsid w:val="00BD476D"/>
    <w:rsid w:val="00BF0078"/>
    <w:rsid w:val="00BF1EB6"/>
    <w:rsid w:val="00C106C9"/>
    <w:rsid w:val="00C215CC"/>
    <w:rsid w:val="00C246E1"/>
    <w:rsid w:val="00C35B6F"/>
    <w:rsid w:val="00C36550"/>
    <w:rsid w:val="00C445AD"/>
    <w:rsid w:val="00C47BD2"/>
    <w:rsid w:val="00C51B6E"/>
    <w:rsid w:val="00C535D3"/>
    <w:rsid w:val="00C60D9C"/>
    <w:rsid w:val="00C7019D"/>
    <w:rsid w:val="00C8433F"/>
    <w:rsid w:val="00C86AEA"/>
    <w:rsid w:val="00C876A1"/>
    <w:rsid w:val="00C9161E"/>
    <w:rsid w:val="00CA3845"/>
    <w:rsid w:val="00CA3907"/>
    <w:rsid w:val="00CA7C65"/>
    <w:rsid w:val="00CC0F75"/>
    <w:rsid w:val="00CC2832"/>
    <w:rsid w:val="00CD03C8"/>
    <w:rsid w:val="00CD31EE"/>
    <w:rsid w:val="00CD3E8E"/>
    <w:rsid w:val="00CE3E6B"/>
    <w:rsid w:val="00CF1351"/>
    <w:rsid w:val="00CF47E6"/>
    <w:rsid w:val="00CF74CD"/>
    <w:rsid w:val="00D06199"/>
    <w:rsid w:val="00D108EB"/>
    <w:rsid w:val="00D1113B"/>
    <w:rsid w:val="00D11362"/>
    <w:rsid w:val="00D22DC2"/>
    <w:rsid w:val="00D26B76"/>
    <w:rsid w:val="00D33111"/>
    <w:rsid w:val="00D334AC"/>
    <w:rsid w:val="00D34451"/>
    <w:rsid w:val="00D41F65"/>
    <w:rsid w:val="00D51B8F"/>
    <w:rsid w:val="00D60DE5"/>
    <w:rsid w:val="00D60E8B"/>
    <w:rsid w:val="00D62BF8"/>
    <w:rsid w:val="00D6381D"/>
    <w:rsid w:val="00D63D99"/>
    <w:rsid w:val="00D65BD2"/>
    <w:rsid w:val="00D744BA"/>
    <w:rsid w:val="00D80FB3"/>
    <w:rsid w:val="00D814E8"/>
    <w:rsid w:val="00D8637D"/>
    <w:rsid w:val="00D8790B"/>
    <w:rsid w:val="00D911E2"/>
    <w:rsid w:val="00D9370B"/>
    <w:rsid w:val="00DB16DC"/>
    <w:rsid w:val="00DB1DC0"/>
    <w:rsid w:val="00DB30D1"/>
    <w:rsid w:val="00DC2C44"/>
    <w:rsid w:val="00DC77E1"/>
    <w:rsid w:val="00DD5BF1"/>
    <w:rsid w:val="00DD7113"/>
    <w:rsid w:val="00DE1E63"/>
    <w:rsid w:val="00DE70B0"/>
    <w:rsid w:val="00DF0193"/>
    <w:rsid w:val="00DF0DCF"/>
    <w:rsid w:val="00DF2131"/>
    <w:rsid w:val="00E03B67"/>
    <w:rsid w:val="00E13123"/>
    <w:rsid w:val="00E224B4"/>
    <w:rsid w:val="00E22756"/>
    <w:rsid w:val="00E24CB0"/>
    <w:rsid w:val="00E26CB9"/>
    <w:rsid w:val="00E314C3"/>
    <w:rsid w:val="00E46193"/>
    <w:rsid w:val="00E46838"/>
    <w:rsid w:val="00E5045B"/>
    <w:rsid w:val="00E52238"/>
    <w:rsid w:val="00E55745"/>
    <w:rsid w:val="00E6217A"/>
    <w:rsid w:val="00E62A72"/>
    <w:rsid w:val="00E64F15"/>
    <w:rsid w:val="00E64F6E"/>
    <w:rsid w:val="00E65112"/>
    <w:rsid w:val="00E66A51"/>
    <w:rsid w:val="00E73B57"/>
    <w:rsid w:val="00E8064F"/>
    <w:rsid w:val="00E80709"/>
    <w:rsid w:val="00E833A3"/>
    <w:rsid w:val="00E96A4D"/>
    <w:rsid w:val="00E97B27"/>
    <w:rsid w:val="00EA2678"/>
    <w:rsid w:val="00EA4D2B"/>
    <w:rsid w:val="00EB411C"/>
    <w:rsid w:val="00EB4888"/>
    <w:rsid w:val="00EC251D"/>
    <w:rsid w:val="00EC2530"/>
    <w:rsid w:val="00EC5D03"/>
    <w:rsid w:val="00ED619E"/>
    <w:rsid w:val="00F10D7B"/>
    <w:rsid w:val="00F11E0A"/>
    <w:rsid w:val="00F1334E"/>
    <w:rsid w:val="00F26FEB"/>
    <w:rsid w:val="00F27235"/>
    <w:rsid w:val="00F27CCD"/>
    <w:rsid w:val="00F32267"/>
    <w:rsid w:val="00F4150E"/>
    <w:rsid w:val="00F426FF"/>
    <w:rsid w:val="00F52382"/>
    <w:rsid w:val="00F53968"/>
    <w:rsid w:val="00F54837"/>
    <w:rsid w:val="00F5610B"/>
    <w:rsid w:val="00F7090B"/>
    <w:rsid w:val="00F739BA"/>
    <w:rsid w:val="00F93C9E"/>
    <w:rsid w:val="00F93D9E"/>
    <w:rsid w:val="00FA0B24"/>
    <w:rsid w:val="00FA7666"/>
    <w:rsid w:val="00FA7DDD"/>
    <w:rsid w:val="00FC02E1"/>
    <w:rsid w:val="00FD353B"/>
    <w:rsid w:val="00FD664B"/>
    <w:rsid w:val="00FE1FFD"/>
    <w:rsid w:val="00FF182D"/>
    <w:rsid w:val="00FF2BD3"/>
    <w:rsid w:val="00FF4282"/>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07235F"/>
  <w15:docId w15:val="{B0211F30-C2E9-4515-BBDB-8268CF37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 w:type="character" w:styleId="FootnoteReference">
    <w:name w:val="footnote reference"/>
    <w:basedOn w:val="DefaultParagraphFont"/>
    <w:semiHidden/>
    <w:unhideWhenUsed/>
    <w:rsid w:val="00A3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2532">
      <w:bodyDiv w:val="1"/>
      <w:marLeft w:val="0"/>
      <w:marRight w:val="0"/>
      <w:marTop w:val="0"/>
      <w:marBottom w:val="0"/>
      <w:divBdr>
        <w:top w:val="none" w:sz="0" w:space="0" w:color="auto"/>
        <w:left w:val="none" w:sz="0" w:space="0" w:color="auto"/>
        <w:bottom w:val="none" w:sz="0" w:space="0" w:color="auto"/>
        <w:right w:val="none" w:sz="0" w:space="0" w:color="auto"/>
      </w:divBdr>
      <w:divsChild>
        <w:div w:id="631981253">
          <w:marLeft w:val="0"/>
          <w:marRight w:val="0"/>
          <w:marTop w:val="0"/>
          <w:marBottom w:val="0"/>
          <w:divBdr>
            <w:top w:val="none" w:sz="0" w:space="0" w:color="auto"/>
            <w:left w:val="none" w:sz="0" w:space="0" w:color="auto"/>
            <w:bottom w:val="none" w:sz="0" w:space="0" w:color="auto"/>
            <w:right w:val="none" w:sz="0" w:space="0" w:color="auto"/>
          </w:divBdr>
        </w:div>
        <w:div w:id="1758134712">
          <w:marLeft w:val="0"/>
          <w:marRight w:val="0"/>
          <w:marTop w:val="0"/>
          <w:marBottom w:val="0"/>
          <w:divBdr>
            <w:top w:val="none" w:sz="0" w:space="0" w:color="auto"/>
            <w:left w:val="none" w:sz="0" w:space="0" w:color="auto"/>
            <w:bottom w:val="none" w:sz="0" w:space="0" w:color="auto"/>
            <w:right w:val="none" w:sz="0" w:space="0" w:color="auto"/>
          </w:divBdr>
        </w:div>
        <w:div w:id="1964073607">
          <w:marLeft w:val="0"/>
          <w:marRight w:val="0"/>
          <w:marTop w:val="0"/>
          <w:marBottom w:val="0"/>
          <w:divBdr>
            <w:top w:val="none" w:sz="0" w:space="0" w:color="auto"/>
            <w:left w:val="none" w:sz="0" w:space="0" w:color="auto"/>
            <w:bottom w:val="none" w:sz="0" w:space="0" w:color="auto"/>
            <w:right w:val="none" w:sz="0" w:space="0" w:color="auto"/>
          </w:divBdr>
        </w:div>
        <w:div w:id="39937035">
          <w:marLeft w:val="0"/>
          <w:marRight w:val="0"/>
          <w:marTop w:val="0"/>
          <w:marBottom w:val="0"/>
          <w:divBdr>
            <w:top w:val="none" w:sz="0" w:space="0" w:color="auto"/>
            <w:left w:val="none" w:sz="0" w:space="0" w:color="auto"/>
            <w:bottom w:val="none" w:sz="0" w:space="0" w:color="auto"/>
            <w:right w:val="none" w:sz="0" w:space="0" w:color="auto"/>
          </w:divBdr>
        </w:div>
        <w:div w:id="333729627">
          <w:marLeft w:val="0"/>
          <w:marRight w:val="0"/>
          <w:marTop w:val="0"/>
          <w:marBottom w:val="0"/>
          <w:divBdr>
            <w:top w:val="none" w:sz="0" w:space="0" w:color="auto"/>
            <w:left w:val="none" w:sz="0" w:space="0" w:color="auto"/>
            <w:bottom w:val="none" w:sz="0" w:space="0" w:color="auto"/>
            <w:right w:val="none" w:sz="0" w:space="0" w:color="auto"/>
          </w:divBdr>
        </w:div>
        <w:div w:id="1766459892">
          <w:marLeft w:val="0"/>
          <w:marRight w:val="0"/>
          <w:marTop w:val="0"/>
          <w:marBottom w:val="0"/>
          <w:divBdr>
            <w:top w:val="none" w:sz="0" w:space="0" w:color="auto"/>
            <w:left w:val="none" w:sz="0" w:space="0" w:color="auto"/>
            <w:bottom w:val="none" w:sz="0" w:space="0" w:color="auto"/>
            <w:right w:val="none" w:sz="0" w:space="0" w:color="auto"/>
          </w:divBdr>
        </w:div>
        <w:div w:id="1494877057">
          <w:marLeft w:val="0"/>
          <w:marRight w:val="0"/>
          <w:marTop w:val="0"/>
          <w:marBottom w:val="0"/>
          <w:divBdr>
            <w:top w:val="none" w:sz="0" w:space="0" w:color="auto"/>
            <w:left w:val="none" w:sz="0" w:space="0" w:color="auto"/>
            <w:bottom w:val="none" w:sz="0" w:space="0" w:color="auto"/>
            <w:right w:val="none" w:sz="0" w:space="0" w:color="auto"/>
          </w:divBdr>
        </w:div>
        <w:div w:id="1750930586">
          <w:marLeft w:val="0"/>
          <w:marRight w:val="0"/>
          <w:marTop w:val="0"/>
          <w:marBottom w:val="0"/>
          <w:divBdr>
            <w:top w:val="none" w:sz="0" w:space="0" w:color="auto"/>
            <w:left w:val="none" w:sz="0" w:space="0" w:color="auto"/>
            <w:bottom w:val="none" w:sz="0" w:space="0" w:color="auto"/>
            <w:right w:val="none" w:sz="0" w:space="0" w:color="auto"/>
          </w:divBdr>
        </w:div>
        <w:div w:id="1793090308">
          <w:marLeft w:val="0"/>
          <w:marRight w:val="0"/>
          <w:marTop w:val="0"/>
          <w:marBottom w:val="0"/>
          <w:divBdr>
            <w:top w:val="none" w:sz="0" w:space="0" w:color="auto"/>
            <w:left w:val="none" w:sz="0" w:space="0" w:color="auto"/>
            <w:bottom w:val="none" w:sz="0" w:space="0" w:color="auto"/>
            <w:right w:val="none" w:sz="0" w:space="0" w:color="auto"/>
          </w:divBdr>
        </w:div>
        <w:div w:id="1029794161">
          <w:marLeft w:val="0"/>
          <w:marRight w:val="0"/>
          <w:marTop w:val="0"/>
          <w:marBottom w:val="0"/>
          <w:divBdr>
            <w:top w:val="none" w:sz="0" w:space="0" w:color="auto"/>
            <w:left w:val="none" w:sz="0" w:space="0" w:color="auto"/>
            <w:bottom w:val="none" w:sz="0" w:space="0" w:color="auto"/>
            <w:right w:val="none" w:sz="0" w:space="0" w:color="auto"/>
          </w:divBdr>
        </w:div>
        <w:div w:id="1235317313">
          <w:marLeft w:val="0"/>
          <w:marRight w:val="0"/>
          <w:marTop w:val="0"/>
          <w:marBottom w:val="0"/>
          <w:divBdr>
            <w:top w:val="none" w:sz="0" w:space="0" w:color="auto"/>
            <w:left w:val="none" w:sz="0" w:space="0" w:color="auto"/>
            <w:bottom w:val="none" w:sz="0" w:space="0" w:color="auto"/>
            <w:right w:val="none" w:sz="0" w:space="0" w:color="auto"/>
          </w:divBdr>
        </w:div>
        <w:div w:id="1370643898">
          <w:marLeft w:val="0"/>
          <w:marRight w:val="0"/>
          <w:marTop w:val="0"/>
          <w:marBottom w:val="0"/>
          <w:divBdr>
            <w:top w:val="none" w:sz="0" w:space="0" w:color="auto"/>
            <w:left w:val="none" w:sz="0" w:space="0" w:color="auto"/>
            <w:bottom w:val="none" w:sz="0" w:space="0" w:color="auto"/>
            <w:right w:val="none" w:sz="0" w:space="0" w:color="auto"/>
          </w:divBdr>
        </w:div>
        <w:div w:id="1223322877">
          <w:marLeft w:val="0"/>
          <w:marRight w:val="0"/>
          <w:marTop w:val="0"/>
          <w:marBottom w:val="0"/>
          <w:divBdr>
            <w:top w:val="none" w:sz="0" w:space="0" w:color="auto"/>
            <w:left w:val="none" w:sz="0" w:space="0" w:color="auto"/>
            <w:bottom w:val="none" w:sz="0" w:space="0" w:color="auto"/>
            <w:right w:val="none" w:sz="0" w:space="0" w:color="auto"/>
          </w:divBdr>
        </w:div>
        <w:div w:id="1020738503">
          <w:marLeft w:val="0"/>
          <w:marRight w:val="0"/>
          <w:marTop w:val="0"/>
          <w:marBottom w:val="0"/>
          <w:divBdr>
            <w:top w:val="none" w:sz="0" w:space="0" w:color="auto"/>
            <w:left w:val="none" w:sz="0" w:space="0" w:color="auto"/>
            <w:bottom w:val="none" w:sz="0" w:space="0" w:color="auto"/>
            <w:right w:val="none" w:sz="0" w:space="0" w:color="auto"/>
          </w:divBdr>
        </w:div>
        <w:div w:id="1629817593">
          <w:marLeft w:val="0"/>
          <w:marRight w:val="0"/>
          <w:marTop w:val="0"/>
          <w:marBottom w:val="0"/>
          <w:divBdr>
            <w:top w:val="none" w:sz="0" w:space="0" w:color="auto"/>
            <w:left w:val="none" w:sz="0" w:space="0" w:color="auto"/>
            <w:bottom w:val="none" w:sz="0" w:space="0" w:color="auto"/>
            <w:right w:val="none" w:sz="0" w:space="0" w:color="auto"/>
          </w:divBdr>
        </w:div>
        <w:div w:id="1867863188">
          <w:marLeft w:val="0"/>
          <w:marRight w:val="0"/>
          <w:marTop w:val="0"/>
          <w:marBottom w:val="0"/>
          <w:divBdr>
            <w:top w:val="none" w:sz="0" w:space="0" w:color="auto"/>
            <w:left w:val="none" w:sz="0" w:space="0" w:color="auto"/>
            <w:bottom w:val="none" w:sz="0" w:space="0" w:color="auto"/>
            <w:right w:val="none" w:sz="0" w:space="0" w:color="auto"/>
          </w:divBdr>
        </w:div>
        <w:div w:id="1564095564">
          <w:marLeft w:val="0"/>
          <w:marRight w:val="0"/>
          <w:marTop w:val="0"/>
          <w:marBottom w:val="0"/>
          <w:divBdr>
            <w:top w:val="none" w:sz="0" w:space="0" w:color="auto"/>
            <w:left w:val="none" w:sz="0" w:space="0" w:color="auto"/>
            <w:bottom w:val="none" w:sz="0" w:space="0" w:color="auto"/>
            <w:right w:val="none" w:sz="0" w:space="0" w:color="auto"/>
          </w:divBdr>
        </w:div>
        <w:div w:id="1850755424">
          <w:marLeft w:val="0"/>
          <w:marRight w:val="0"/>
          <w:marTop w:val="0"/>
          <w:marBottom w:val="0"/>
          <w:divBdr>
            <w:top w:val="none" w:sz="0" w:space="0" w:color="auto"/>
            <w:left w:val="none" w:sz="0" w:space="0" w:color="auto"/>
            <w:bottom w:val="none" w:sz="0" w:space="0" w:color="auto"/>
            <w:right w:val="none" w:sz="0" w:space="0" w:color="auto"/>
          </w:divBdr>
        </w:div>
      </w:divsChild>
    </w:div>
    <w:div w:id="138691771">
      <w:bodyDiv w:val="1"/>
      <w:marLeft w:val="0"/>
      <w:marRight w:val="0"/>
      <w:marTop w:val="0"/>
      <w:marBottom w:val="0"/>
      <w:divBdr>
        <w:top w:val="none" w:sz="0" w:space="0" w:color="auto"/>
        <w:left w:val="none" w:sz="0" w:space="0" w:color="auto"/>
        <w:bottom w:val="none" w:sz="0" w:space="0" w:color="auto"/>
        <w:right w:val="none" w:sz="0" w:space="0" w:color="auto"/>
      </w:divBdr>
    </w:div>
    <w:div w:id="458108055">
      <w:bodyDiv w:val="1"/>
      <w:marLeft w:val="0"/>
      <w:marRight w:val="0"/>
      <w:marTop w:val="0"/>
      <w:marBottom w:val="0"/>
      <w:divBdr>
        <w:top w:val="none" w:sz="0" w:space="0" w:color="auto"/>
        <w:left w:val="none" w:sz="0" w:space="0" w:color="auto"/>
        <w:bottom w:val="none" w:sz="0" w:space="0" w:color="auto"/>
        <w:right w:val="none" w:sz="0" w:space="0" w:color="auto"/>
      </w:divBdr>
      <w:divsChild>
        <w:div w:id="1340081748">
          <w:marLeft w:val="0"/>
          <w:marRight w:val="0"/>
          <w:marTop w:val="0"/>
          <w:marBottom w:val="0"/>
          <w:divBdr>
            <w:top w:val="none" w:sz="0" w:space="0" w:color="auto"/>
            <w:left w:val="none" w:sz="0" w:space="0" w:color="auto"/>
            <w:bottom w:val="none" w:sz="0" w:space="0" w:color="auto"/>
            <w:right w:val="none" w:sz="0" w:space="0" w:color="auto"/>
          </w:divBdr>
        </w:div>
        <w:div w:id="1395082434">
          <w:marLeft w:val="0"/>
          <w:marRight w:val="0"/>
          <w:marTop w:val="0"/>
          <w:marBottom w:val="0"/>
          <w:divBdr>
            <w:top w:val="none" w:sz="0" w:space="0" w:color="auto"/>
            <w:left w:val="none" w:sz="0" w:space="0" w:color="auto"/>
            <w:bottom w:val="none" w:sz="0" w:space="0" w:color="auto"/>
            <w:right w:val="none" w:sz="0" w:space="0" w:color="auto"/>
          </w:divBdr>
        </w:div>
        <w:div w:id="1740515842">
          <w:marLeft w:val="0"/>
          <w:marRight w:val="0"/>
          <w:marTop w:val="0"/>
          <w:marBottom w:val="0"/>
          <w:divBdr>
            <w:top w:val="none" w:sz="0" w:space="0" w:color="auto"/>
            <w:left w:val="none" w:sz="0" w:space="0" w:color="auto"/>
            <w:bottom w:val="none" w:sz="0" w:space="0" w:color="auto"/>
            <w:right w:val="none" w:sz="0" w:space="0" w:color="auto"/>
          </w:divBdr>
        </w:div>
      </w:divsChild>
    </w:div>
    <w:div w:id="469323752">
      <w:bodyDiv w:val="1"/>
      <w:marLeft w:val="0"/>
      <w:marRight w:val="0"/>
      <w:marTop w:val="0"/>
      <w:marBottom w:val="0"/>
      <w:divBdr>
        <w:top w:val="none" w:sz="0" w:space="0" w:color="auto"/>
        <w:left w:val="none" w:sz="0" w:space="0" w:color="auto"/>
        <w:bottom w:val="none" w:sz="0" w:space="0" w:color="auto"/>
        <w:right w:val="none" w:sz="0" w:space="0" w:color="auto"/>
      </w:divBdr>
    </w:div>
    <w:div w:id="713698027">
      <w:bodyDiv w:val="1"/>
      <w:marLeft w:val="0"/>
      <w:marRight w:val="0"/>
      <w:marTop w:val="0"/>
      <w:marBottom w:val="0"/>
      <w:divBdr>
        <w:top w:val="none" w:sz="0" w:space="0" w:color="auto"/>
        <w:left w:val="none" w:sz="0" w:space="0" w:color="auto"/>
        <w:bottom w:val="none" w:sz="0" w:space="0" w:color="auto"/>
        <w:right w:val="none" w:sz="0" w:space="0" w:color="auto"/>
      </w:divBdr>
    </w:div>
    <w:div w:id="839976461">
      <w:bodyDiv w:val="1"/>
      <w:marLeft w:val="0"/>
      <w:marRight w:val="0"/>
      <w:marTop w:val="0"/>
      <w:marBottom w:val="0"/>
      <w:divBdr>
        <w:top w:val="none" w:sz="0" w:space="0" w:color="auto"/>
        <w:left w:val="none" w:sz="0" w:space="0" w:color="auto"/>
        <w:bottom w:val="none" w:sz="0" w:space="0" w:color="auto"/>
        <w:right w:val="none" w:sz="0" w:space="0" w:color="auto"/>
      </w:divBdr>
    </w:div>
    <w:div w:id="864440035">
      <w:bodyDiv w:val="1"/>
      <w:marLeft w:val="0"/>
      <w:marRight w:val="0"/>
      <w:marTop w:val="0"/>
      <w:marBottom w:val="0"/>
      <w:divBdr>
        <w:top w:val="none" w:sz="0" w:space="0" w:color="auto"/>
        <w:left w:val="none" w:sz="0" w:space="0" w:color="auto"/>
        <w:bottom w:val="none" w:sz="0" w:space="0" w:color="auto"/>
        <w:right w:val="none" w:sz="0" w:space="0" w:color="auto"/>
      </w:divBdr>
    </w:div>
    <w:div w:id="1005283186">
      <w:bodyDiv w:val="1"/>
      <w:marLeft w:val="0"/>
      <w:marRight w:val="0"/>
      <w:marTop w:val="0"/>
      <w:marBottom w:val="0"/>
      <w:divBdr>
        <w:top w:val="none" w:sz="0" w:space="0" w:color="auto"/>
        <w:left w:val="none" w:sz="0" w:space="0" w:color="auto"/>
        <w:bottom w:val="none" w:sz="0" w:space="0" w:color="auto"/>
        <w:right w:val="none" w:sz="0" w:space="0" w:color="auto"/>
      </w:divBdr>
    </w:div>
    <w:div w:id="1143810456">
      <w:bodyDiv w:val="1"/>
      <w:marLeft w:val="0"/>
      <w:marRight w:val="0"/>
      <w:marTop w:val="0"/>
      <w:marBottom w:val="0"/>
      <w:divBdr>
        <w:top w:val="none" w:sz="0" w:space="0" w:color="auto"/>
        <w:left w:val="none" w:sz="0" w:space="0" w:color="auto"/>
        <w:bottom w:val="none" w:sz="0" w:space="0" w:color="auto"/>
        <w:right w:val="none" w:sz="0" w:space="0" w:color="auto"/>
      </w:divBdr>
    </w:div>
    <w:div w:id="1663656257">
      <w:bodyDiv w:val="1"/>
      <w:marLeft w:val="0"/>
      <w:marRight w:val="0"/>
      <w:marTop w:val="0"/>
      <w:marBottom w:val="0"/>
      <w:divBdr>
        <w:top w:val="none" w:sz="0" w:space="0" w:color="auto"/>
        <w:left w:val="none" w:sz="0" w:space="0" w:color="auto"/>
        <w:bottom w:val="none" w:sz="0" w:space="0" w:color="auto"/>
        <w:right w:val="none" w:sz="0" w:space="0" w:color="auto"/>
      </w:divBdr>
    </w:div>
    <w:div w:id="1861433224">
      <w:bodyDiv w:val="1"/>
      <w:marLeft w:val="0"/>
      <w:marRight w:val="0"/>
      <w:marTop w:val="0"/>
      <w:marBottom w:val="0"/>
      <w:divBdr>
        <w:top w:val="none" w:sz="0" w:space="0" w:color="auto"/>
        <w:left w:val="none" w:sz="0" w:space="0" w:color="auto"/>
        <w:bottom w:val="none" w:sz="0" w:space="0" w:color="auto"/>
        <w:right w:val="none" w:sz="0" w:space="0" w:color="auto"/>
      </w:divBdr>
    </w:div>
    <w:div w:id="1873565220">
      <w:bodyDiv w:val="1"/>
      <w:marLeft w:val="0"/>
      <w:marRight w:val="0"/>
      <w:marTop w:val="0"/>
      <w:marBottom w:val="0"/>
      <w:divBdr>
        <w:top w:val="none" w:sz="0" w:space="0" w:color="auto"/>
        <w:left w:val="none" w:sz="0" w:space="0" w:color="auto"/>
        <w:bottom w:val="none" w:sz="0" w:space="0" w:color="auto"/>
        <w:right w:val="none" w:sz="0" w:space="0" w:color="auto"/>
      </w:divBdr>
    </w:div>
    <w:div w:id="204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igau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434D-E637-4BAE-A813-A959A173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5050</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7915</CharactersWithSpaces>
  <SharedDoc>false</SharedDoc>
  <HLinks>
    <vt:vector size="6" baseType="variant">
      <vt:variant>
        <vt:i4>5505137</vt:i4>
      </vt:variant>
      <vt:variant>
        <vt:i4>0</vt:i4>
      </vt:variant>
      <vt:variant>
        <vt:i4>0</vt:i4>
      </vt:variant>
      <vt:variant>
        <vt:i4>5</vt:i4>
      </vt:variant>
      <vt:variant>
        <vt:lpwstr>mailto:aivars.miculs@raplm.gov.lv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Ingrīda Igaune</dc:creator>
  <cp:keywords/>
  <dc:description>Igaune 66016780_x000d_
ingrida.igaune@varam.gov.lv</dc:description>
  <cp:lastModifiedBy>Olga Paipala</cp:lastModifiedBy>
  <cp:revision>8</cp:revision>
  <cp:lastPrinted>2017-09-15T05:48:00Z</cp:lastPrinted>
  <dcterms:created xsi:type="dcterms:W3CDTF">2019-01-24T10:24:00Z</dcterms:created>
  <dcterms:modified xsi:type="dcterms:W3CDTF">2019-01-28T10:09:00Z</dcterms:modified>
</cp:coreProperties>
</file>