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2EE5" w14:textId="77777777" w:rsidR="0081069F" w:rsidRDefault="0081069F" w:rsidP="00EB1759">
      <w:pPr>
        <w:pStyle w:val="naislab"/>
        <w:spacing w:before="0" w:beforeAutospacing="0" w:after="0" w:afterAutospacing="0"/>
        <w:ind w:left="132" w:right="93" w:firstLine="588"/>
        <w:jc w:val="center"/>
        <w:rPr>
          <w:b/>
          <w:sz w:val="26"/>
          <w:szCs w:val="26"/>
        </w:rPr>
      </w:pPr>
      <w:r w:rsidRPr="0081069F">
        <w:rPr>
          <w:b/>
          <w:sz w:val="26"/>
          <w:szCs w:val="26"/>
        </w:rPr>
        <w:t xml:space="preserve">INFORMATĪVAIS ZIŅOJUMS </w:t>
      </w:r>
    </w:p>
    <w:p w14:paraId="41048A86" w14:textId="612CCA13" w:rsidR="00F70AAB" w:rsidRPr="00BC3A42" w:rsidRDefault="002D0451" w:rsidP="00EB1759">
      <w:pPr>
        <w:pStyle w:val="naislab"/>
        <w:spacing w:before="0" w:beforeAutospacing="0" w:after="0" w:afterAutospacing="0"/>
        <w:ind w:left="132" w:right="93" w:firstLine="588"/>
        <w:jc w:val="center"/>
        <w:rPr>
          <w:b/>
          <w:sz w:val="26"/>
          <w:szCs w:val="26"/>
        </w:rPr>
      </w:pPr>
      <w:r w:rsidRPr="00BC3A42">
        <w:rPr>
          <w:b/>
          <w:sz w:val="26"/>
          <w:szCs w:val="26"/>
        </w:rPr>
        <w:t xml:space="preserve">“Par </w:t>
      </w:r>
      <w:r w:rsidR="00CD42E0" w:rsidRPr="00BC3A42">
        <w:rPr>
          <w:b/>
          <w:sz w:val="26"/>
          <w:szCs w:val="26"/>
        </w:rPr>
        <w:t>atjaunojamo energoresursu izmantošanu transporta sektorā”</w:t>
      </w:r>
    </w:p>
    <w:p w14:paraId="664313E3" w14:textId="77777777" w:rsidR="00F70AAB" w:rsidRPr="00BC3A42" w:rsidRDefault="00F70AAB" w:rsidP="00F70AAB">
      <w:pPr>
        <w:pStyle w:val="naislab"/>
        <w:spacing w:before="0" w:beforeAutospacing="0" w:after="0" w:afterAutospacing="0"/>
        <w:ind w:left="132" w:right="93" w:firstLine="588"/>
        <w:jc w:val="both"/>
        <w:rPr>
          <w:sz w:val="26"/>
          <w:szCs w:val="26"/>
        </w:rPr>
      </w:pPr>
    </w:p>
    <w:p w14:paraId="365EEA2B" w14:textId="55F24B0E" w:rsidR="00F70AAB" w:rsidRPr="00BC3A42" w:rsidRDefault="00E44A96" w:rsidP="00754845">
      <w:pPr>
        <w:pStyle w:val="naislab"/>
        <w:spacing w:before="0" w:beforeAutospacing="0" w:after="0" w:afterAutospacing="0"/>
        <w:ind w:right="93" w:firstLine="720"/>
        <w:jc w:val="both"/>
        <w:rPr>
          <w:sz w:val="26"/>
          <w:szCs w:val="26"/>
          <w:shd w:val="clear" w:color="auto" w:fill="FFFFFF"/>
        </w:rPr>
      </w:pPr>
      <w:r w:rsidRPr="00BC3A42">
        <w:rPr>
          <w:sz w:val="26"/>
          <w:szCs w:val="26"/>
        </w:rPr>
        <w:t>Ministru kabineta 2017.</w:t>
      </w:r>
      <w:r w:rsidR="00F70AAB" w:rsidRPr="00BC3A42">
        <w:rPr>
          <w:sz w:val="26"/>
          <w:szCs w:val="26"/>
        </w:rPr>
        <w:t>gada 4.jūlija sēdē tika izskatīts Ekonomikas ministrijas sagatavotais konceptuālais ziņojums “</w:t>
      </w:r>
      <w:r w:rsidR="00F70AAB" w:rsidRPr="00BC3A42">
        <w:rPr>
          <w:sz w:val="26"/>
          <w:szCs w:val="26"/>
          <w:shd w:val="clear" w:color="auto" w:fill="FFFFFF"/>
        </w:rPr>
        <w:t>Par atjaunojamo energoresursu izmantošanu transporta sektorā</w:t>
      </w:r>
      <w:r w:rsidR="00F70AAB" w:rsidRPr="00BC3A42">
        <w:rPr>
          <w:sz w:val="26"/>
          <w:szCs w:val="26"/>
        </w:rPr>
        <w:t>”</w:t>
      </w:r>
      <w:r w:rsidR="00B314C4" w:rsidRPr="00BC3A42">
        <w:rPr>
          <w:sz w:val="26"/>
          <w:szCs w:val="26"/>
        </w:rPr>
        <w:t xml:space="preserve"> (turpmāk – Konceptuālais ziņojums)</w:t>
      </w:r>
      <w:r w:rsidR="00F70AAB" w:rsidRPr="00BC3A42">
        <w:rPr>
          <w:sz w:val="26"/>
          <w:szCs w:val="26"/>
        </w:rPr>
        <w:t>.</w:t>
      </w:r>
      <w:r w:rsidR="00B314C4" w:rsidRPr="00BC3A42">
        <w:rPr>
          <w:rStyle w:val="FootnoteReference"/>
          <w:sz w:val="26"/>
          <w:szCs w:val="26"/>
        </w:rPr>
        <w:footnoteReference w:id="1"/>
      </w:r>
      <w:r w:rsidR="00F70AAB" w:rsidRPr="00BC3A42">
        <w:rPr>
          <w:sz w:val="26"/>
          <w:szCs w:val="26"/>
        </w:rPr>
        <w:t xml:space="preserve"> </w:t>
      </w:r>
      <w:bookmarkStart w:id="0" w:name="_Hlk531781920"/>
      <w:r w:rsidR="00F70AAB" w:rsidRPr="00BC3A42">
        <w:rPr>
          <w:sz w:val="26"/>
          <w:szCs w:val="26"/>
        </w:rPr>
        <w:t xml:space="preserve">Ar Ministru kabineta 2017.gada 4.jūlija sēdes protokollēmuma Nr.33 40.§ 5.punktu Ekonomikas ministrijai </w:t>
      </w:r>
      <w:r w:rsidR="00E91002" w:rsidRPr="00BC3A42">
        <w:rPr>
          <w:sz w:val="26"/>
          <w:szCs w:val="26"/>
        </w:rPr>
        <w:t xml:space="preserve">tika </w:t>
      </w:r>
      <w:r w:rsidR="00F70AAB" w:rsidRPr="00BC3A42">
        <w:rPr>
          <w:sz w:val="26"/>
          <w:szCs w:val="26"/>
        </w:rPr>
        <w:t xml:space="preserve">uzdots </w:t>
      </w:r>
      <w:bookmarkEnd w:id="0"/>
      <w:r w:rsidR="00F70AAB" w:rsidRPr="00BC3A42">
        <w:rPr>
          <w:sz w:val="26"/>
          <w:szCs w:val="26"/>
          <w:shd w:val="clear" w:color="auto" w:fill="FFFFFF"/>
        </w:rPr>
        <w:t xml:space="preserve">atkārtoti </w:t>
      </w:r>
      <w:r w:rsidR="00E91002" w:rsidRPr="00BC3A42">
        <w:rPr>
          <w:sz w:val="26"/>
          <w:szCs w:val="26"/>
          <w:shd w:val="clear" w:color="auto" w:fill="FFFFFF"/>
        </w:rPr>
        <w:t xml:space="preserve">izvērtēt </w:t>
      </w:r>
      <w:r w:rsidR="00B314C4" w:rsidRPr="00BC3A42">
        <w:rPr>
          <w:sz w:val="26"/>
          <w:szCs w:val="26"/>
          <w:shd w:val="clear" w:color="auto" w:fill="FFFFFF"/>
        </w:rPr>
        <w:t>K</w:t>
      </w:r>
      <w:r w:rsidR="00F70AAB" w:rsidRPr="00BC3A42">
        <w:rPr>
          <w:sz w:val="26"/>
          <w:szCs w:val="26"/>
          <w:shd w:val="clear" w:color="auto" w:fill="FFFFFF"/>
        </w:rPr>
        <w:t>onceptuālajā ziņojumā ietvertos jautājumus un informēt par tiem Ministru kabinetu.</w:t>
      </w:r>
    </w:p>
    <w:p w14:paraId="724A5360" w14:textId="128341D7" w:rsidR="00EB646A" w:rsidRPr="00BC3A42" w:rsidRDefault="00BE1025" w:rsidP="00754845">
      <w:pPr>
        <w:pStyle w:val="naislab"/>
        <w:spacing w:before="0" w:beforeAutospacing="0" w:after="0" w:afterAutospacing="0"/>
        <w:ind w:right="93" w:firstLine="720"/>
        <w:jc w:val="both"/>
        <w:rPr>
          <w:sz w:val="26"/>
          <w:szCs w:val="26"/>
        </w:rPr>
      </w:pPr>
      <w:r w:rsidRPr="00BC3A42">
        <w:rPr>
          <w:sz w:val="26"/>
          <w:szCs w:val="26"/>
          <w:shd w:val="clear" w:color="auto" w:fill="FFFFFF"/>
        </w:rPr>
        <w:t>A</w:t>
      </w:r>
      <w:r w:rsidR="00F70AAB" w:rsidRPr="00BC3A42">
        <w:rPr>
          <w:sz w:val="26"/>
          <w:szCs w:val="26"/>
          <w:shd w:val="clear" w:color="auto" w:fill="FFFFFF"/>
        </w:rPr>
        <w:t xml:space="preserve">r </w:t>
      </w:r>
      <w:r w:rsidR="00E44A96" w:rsidRPr="00BC3A42">
        <w:rPr>
          <w:sz w:val="26"/>
          <w:szCs w:val="26"/>
        </w:rPr>
        <w:t>Ministru kabineta 2017.gada 4.</w:t>
      </w:r>
      <w:r w:rsidR="00F70AAB" w:rsidRPr="00BC3A42">
        <w:rPr>
          <w:sz w:val="26"/>
          <w:szCs w:val="26"/>
        </w:rPr>
        <w:t xml:space="preserve">jūlija sēdes protokollēmuma Nr.33 40.§ 5.punktu dotais uzdevums ir </w:t>
      </w:r>
      <w:r w:rsidR="00685789" w:rsidRPr="00BC3A42">
        <w:rPr>
          <w:sz w:val="26"/>
          <w:szCs w:val="26"/>
        </w:rPr>
        <w:t xml:space="preserve">aplūkojams </w:t>
      </w:r>
      <w:r w:rsidR="006C3381" w:rsidRPr="00BC3A42">
        <w:rPr>
          <w:sz w:val="26"/>
          <w:szCs w:val="26"/>
        </w:rPr>
        <w:t xml:space="preserve">kontekstā </w:t>
      </w:r>
      <w:r w:rsidR="00F70AAB" w:rsidRPr="00BC3A42">
        <w:rPr>
          <w:sz w:val="26"/>
          <w:szCs w:val="26"/>
        </w:rPr>
        <w:t>ar Ministru kabineta 2017. gada 21.jūlija rīkojuma Nr.379 “Par konceptuālo ziņojumu “Par atjaunojamo energoresursu izmantošanu transporta sektorā”</w:t>
      </w:r>
      <w:r w:rsidR="00F17239" w:rsidRPr="00BC3A42">
        <w:rPr>
          <w:rStyle w:val="FootnoteReference"/>
          <w:sz w:val="26"/>
          <w:szCs w:val="26"/>
        </w:rPr>
        <w:footnoteReference w:id="2"/>
      </w:r>
      <w:r w:rsidR="00F70AAB" w:rsidRPr="00BC3A42">
        <w:rPr>
          <w:sz w:val="26"/>
          <w:szCs w:val="26"/>
        </w:rPr>
        <w:t xml:space="preserve"> </w:t>
      </w:r>
      <w:r w:rsidR="00C97107" w:rsidRPr="00BC3A42">
        <w:rPr>
          <w:sz w:val="26"/>
          <w:szCs w:val="26"/>
        </w:rPr>
        <w:t>(turpmāk – Rīkojums Nr.379)</w:t>
      </w:r>
      <w:r w:rsidR="00EE75C5" w:rsidRPr="00BC3A42">
        <w:rPr>
          <w:sz w:val="26"/>
          <w:szCs w:val="26"/>
        </w:rPr>
        <w:t xml:space="preserve"> </w:t>
      </w:r>
      <w:r w:rsidR="00F70AAB" w:rsidRPr="00BC3A42">
        <w:rPr>
          <w:sz w:val="26"/>
          <w:szCs w:val="26"/>
        </w:rPr>
        <w:t xml:space="preserve">izpildi. </w:t>
      </w:r>
    </w:p>
    <w:p w14:paraId="286D8F53" w14:textId="63743204" w:rsidR="00EB646A" w:rsidRPr="00BC3A42" w:rsidRDefault="00AA6083" w:rsidP="00754845">
      <w:pPr>
        <w:pStyle w:val="naislab"/>
        <w:spacing w:before="0" w:beforeAutospacing="0" w:after="0" w:afterAutospacing="0"/>
        <w:ind w:right="93" w:firstLine="720"/>
        <w:jc w:val="both"/>
        <w:rPr>
          <w:sz w:val="26"/>
          <w:szCs w:val="26"/>
          <w:lang w:eastAsia="en-US"/>
        </w:rPr>
      </w:pPr>
      <w:r w:rsidRPr="00BC3A42">
        <w:rPr>
          <w:sz w:val="26"/>
          <w:szCs w:val="26"/>
          <w:lang w:eastAsia="en-US"/>
        </w:rPr>
        <w:t>Līdztekus tam, s</w:t>
      </w:r>
      <w:r w:rsidR="000665DE" w:rsidRPr="00BC3A42">
        <w:rPr>
          <w:sz w:val="26"/>
          <w:szCs w:val="26"/>
          <w:lang w:eastAsia="en-US"/>
        </w:rPr>
        <w:t>askaņā ar Biodegvielas likuma</w:t>
      </w:r>
      <w:r w:rsidR="008E4BB9" w:rsidRPr="00BC3A42">
        <w:rPr>
          <w:rStyle w:val="FootnoteReference"/>
          <w:sz w:val="26"/>
          <w:szCs w:val="26"/>
          <w:lang w:eastAsia="en-US"/>
        </w:rPr>
        <w:footnoteReference w:id="3"/>
      </w:r>
      <w:r w:rsidR="000665DE" w:rsidRPr="00BC3A42">
        <w:rPr>
          <w:sz w:val="26"/>
          <w:szCs w:val="26"/>
          <w:lang w:eastAsia="en-US"/>
        </w:rPr>
        <w:t xml:space="preserve"> 4.panta pirmās daļas 5.</w:t>
      </w:r>
      <w:r w:rsidR="00D858D3" w:rsidRPr="00BC3A42">
        <w:rPr>
          <w:sz w:val="26"/>
          <w:szCs w:val="26"/>
          <w:lang w:eastAsia="en-US"/>
        </w:rPr>
        <w:t xml:space="preserve"> </w:t>
      </w:r>
      <w:r w:rsidR="00B314C4" w:rsidRPr="00BC3A42">
        <w:rPr>
          <w:sz w:val="26"/>
          <w:szCs w:val="26"/>
          <w:lang w:eastAsia="en-US"/>
        </w:rPr>
        <w:t>un</w:t>
      </w:r>
      <w:r w:rsidR="000665DE" w:rsidRPr="00BC3A42">
        <w:rPr>
          <w:sz w:val="26"/>
          <w:szCs w:val="26"/>
          <w:lang w:eastAsia="en-US"/>
        </w:rPr>
        <w:t xml:space="preserve">  7.punktu E</w:t>
      </w:r>
      <w:r w:rsidR="00776887" w:rsidRPr="00BC3A42">
        <w:rPr>
          <w:sz w:val="26"/>
          <w:szCs w:val="26"/>
          <w:lang w:eastAsia="en-US"/>
        </w:rPr>
        <w:t>konomikas ministrija</w:t>
      </w:r>
      <w:r w:rsidR="00B314C4" w:rsidRPr="00BC3A42">
        <w:rPr>
          <w:sz w:val="26"/>
          <w:szCs w:val="26"/>
          <w:lang w:eastAsia="en-US"/>
        </w:rPr>
        <w:t>i ir pienākums</w:t>
      </w:r>
      <w:r w:rsidR="000665DE" w:rsidRPr="00BC3A42">
        <w:rPr>
          <w:sz w:val="26"/>
          <w:szCs w:val="26"/>
          <w:lang w:eastAsia="en-US"/>
        </w:rPr>
        <w:t xml:space="preserve"> katru gadu sagatavo</w:t>
      </w:r>
      <w:r w:rsidR="00712BCE" w:rsidRPr="00BC3A42">
        <w:rPr>
          <w:sz w:val="26"/>
          <w:szCs w:val="26"/>
          <w:lang w:eastAsia="en-US"/>
        </w:rPr>
        <w:t>t</w:t>
      </w:r>
      <w:r w:rsidR="000665DE" w:rsidRPr="00BC3A42">
        <w:rPr>
          <w:sz w:val="26"/>
          <w:szCs w:val="26"/>
          <w:lang w:eastAsia="en-US"/>
        </w:rPr>
        <w:t xml:space="preserve"> informāciju par iepriekšējā kalendārajā gadā Latvijā saražotās, ievestās, kā arī realizētās un no Latvijas izvestās biodegvielas daudzumu</w:t>
      </w:r>
      <w:r w:rsidR="0010702D" w:rsidRPr="00BC3A42">
        <w:rPr>
          <w:sz w:val="26"/>
          <w:szCs w:val="26"/>
          <w:lang w:eastAsia="en-US"/>
        </w:rPr>
        <w:t xml:space="preserve"> </w:t>
      </w:r>
      <w:r w:rsidR="000665DE" w:rsidRPr="00BC3A42">
        <w:rPr>
          <w:sz w:val="26"/>
          <w:szCs w:val="26"/>
          <w:lang w:eastAsia="en-US"/>
        </w:rPr>
        <w:t>un apkopo</w:t>
      </w:r>
      <w:r w:rsidR="000A76BD" w:rsidRPr="00BC3A42">
        <w:rPr>
          <w:sz w:val="26"/>
          <w:szCs w:val="26"/>
          <w:lang w:eastAsia="en-US"/>
        </w:rPr>
        <w:t>t</w:t>
      </w:r>
      <w:r w:rsidR="000665DE" w:rsidRPr="00BC3A42">
        <w:rPr>
          <w:sz w:val="26"/>
          <w:szCs w:val="26"/>
          <w:lang w:eastAsia="en-US"/>
        </w:rPr>
        <w:t xml:space="preserve"> informāciju par biodegvielas tirgus attīstību un tā nodrošinātību ar izejvielām iepriekšējā pārskata periodā.</w:t>
      </w:r>
    </w:p>
    <w:p w14:paraId="0E2029F7" w14:textId="6E3DE77B" w:rsidR="000665DE" w:rsidRPr="00BC3A42" w:rsidRDefault="001678F5" w:rsidP="00754845">
      <w:pPr>
        <w:pStyle w:val="naislab"/>
        <w:spacing w:before="0" w:beforeAutospacing="0" w:after="0" w:afterAutospacing="0"/>
        <w:ind w:right="93" w:firstLine="588"/>
        <w:jc w:val="both"/>
        <w:rPr>
          <w:sz w:val="26"/>
          <w:szCs w:val="26"/>
        </w:rPr>
      </w:pPr>
      <w:r>
        <w:rPr>
          <w:sz w:val="26"/>
          <w:szCs w:val="26"/>
          <w:lang w:eastAsia="en-US"/>
        </w:rPr>
        <w:t>Ievērojot minēto</w:t>
      </w:r>
      <w:r w:rsidR="000665DE" w:rsidRPr="00BC3A42">
        <w:rPr>
          <w:sz w:val="26"/>
          <w:szCs w:val="26"/>
          <w:lang w:eastAsia="en-US"/>
        </w:rPr>
        <w:t>,</w:t>
      </w:r>
      <w:r w:rsidR="000665DE" w:rsidRPr="00BC3A42">
        <w:rPr>
          <w:bCs/>
          <w:sz w:val="26"/>
          <w:szCs w:val="26"/>
        </w:rPr>
        <w:t xml:space="preserve"> E</w:t>
      </w:r>
      <w:r w:rsidR="008D1DF3" w:rsidRPr="00BC3A42">
        <w:rPr>
          <w:bCs/>
          <w:sz w:val="26"/>
          <w:szCs w:val="26"/>
        </w:rPr>
        <w:t xml:space="preserve">konomikas ministrija </w:t>
      </w:r>
      <w:r w:rsidR="000665DE" w:rsidRPr="00BC3A42">
        <w:rPr>
          <w:bCs/>
          <w:sz w:val="26"/>
          <w:szCs w:val="26"/>
        </w:rPr>
        <w:t xml:space="preserve">ir sagatavojusi šo informatīvo ziņojumu par </w:t>
      </w:r>
      <w:r w:rsidR="00AA6083" w:rsidRPr="00BC3A42">
        <w:rPr>
          <w:bCs/>
          <w:sz w:val="26"/>
          <w:szCs w:val="26"/>
        </w:rPr>
        <w:t xml:space="preserve">atjaunojamo energoresursu </w:t>
      </w:r>
      <w:r w:rsidR="0096279D" w:rsidRPr="00BC3A42">
        <w:rPr>
          <w:bCs/>
          <w:sz w:val="26"/>
          <w:szCs w:val="26"/>
        </w:rPr>
        <w:t xml:space="preserve">(turpmāk - AER) </w:t>
      </w:r>
      <w:r w:rsidR="00AA6083" w:rsidRPr="00BC3A42">
        <w:rPr>
          <w:bCs/>
          <w:sz w:val="26"/>
          <w:szCs w:val="26"/>
        </w:rPr>
        <w:t>izmantošanu transporta sektorā</w:t>
      </w:r>
      <w:r w:rsidR="000665DE" w:rsidRPr="00BC3A42">
        <w:rPr>
          <w:bCs/>
          <w:sz w:val="26"/>
          <w:szCs w:val="26"/>
        </w:rPr>
        <w:t>.</w:t>
      </w:r>
      <w:r w:rsidR="00433131" w:rsidRPr="00BC3A42">
        <w:rPr>
          <w:bCs/>
          <w:sz w:val="26"/>
          <w:szCs w:val="26"/>
        </w:rPr>
        <w:t xml:space="preserve"> Informatīvajā ziņojumā ir sniegts </w:t>
      </w:r>
      <w:r w:rsidR="00EA24BB" w:rsidRPr="00BC3A42">
        <w:rPr>
          <w:bCs/>
          <w:sz w:val="26"/>
          <w:szCs w:val="26"/>
        </w:rPr>
        <w:t>pārskats par</w:t>
      </w:r>
      <w:r w:rsidR="001F7BA7" w:rsidRPr="00BC3A42">
        <w:rPr>
          <w:bCs/>
          <w:sz w:val="26"/>
          <w:szCs w:val="26"/>
        </w:rPr>
        <w:t xml:space="preserve"> būtiskākajām</w:t>
      </w:r>
      <w:r w:rsidR="009D075C">
        <w:rPr>
          <w:bCs/>
          <w:sz w:val="26"/>
          <w:szCs w:val="26"/>
        </w:rPr>
        <w:t xml:space="preserve"> aktualitātēm</w:t>
      </w:r>
      <w:r w:rsidR="001F7BA7" w:rsidRPr="00BC3A42">
        <w:rPr>
          <w:bCs/>
          <w:sz w:val="26"/>
          <w:szCs w:val="26"/>
        </w:rPr>
        <w:t xml:space="preserve"> kopš Konceptuālā ziņojuma pieņemšanas</w:t>
      </w:r>
      <w:r w:rsidR="009D075C">
        <w:rPr>
          <w:bCs/>
          <w:sz w:val="26"/>
          <w:szCs w:val="26"/>
        </w:rPr>
        <w:t xml:space="preserve"> kontekstā</w:t>
      </w:r>
      <w:r w:rsidR="00466414" w:rsidRPr="00BC3A42">
        <w:rPr>
          <w:bCs/>
          <w:sz w:val="26"/>
          <w:szCs w:val="26"/>
        </w:rPr>
        <w:t xml:space="preserve"> </w:t>
      </w:r>
      <w:r w:rsidR="009D075C">
        <w:rPr>
          <w:bCs/>
          <w:sz w:val="26"/>
          <w:szCs w:val="26"/>
        </w:rPr>
        <w:t>ar</w:t>
      </w:r>
      <w:r w:rsidR="00D71FB0" w:rsidRPr="00BC3A42">
        <w:rPr>
          <w:bCs/>
          <w:sz w:val="26"/>
          <w:szCs w:val="26"/>
        </w:rPr>
        <w:t xml:space="preserve"> </w:t>
      </w:r>
      <w:r w:rsidR="00466414" w:rsidRPr="00BC3A42">
        <w:rPr>
          <w:bCs/>
          <w:sz w:val="26"/>
          <w:szCs w:val="26"/>
        </w:rPr>
        <w:t>Latvijas saistību izpildi</w:t>
      </w:r>
      <w:r w:rsidR="00D71FB0" w:rsidRPr="00BC3A42">
        <w:rPr>
          <w:bCs/>
          <w:sz w:val="26"/>
          <w:szCs w:val="26"/>
        </w:rPr>
        <w:t>,</w:t>
      </w:r>
      <w:r w:rsidR="00EA24BB" w:rsidRPr="00BC3A42">
        <w:rPr>
          <w:bCs/>
          <w:sz w:val="26"/>
          <w:szCs w:val="26"/>
        </w:rPr>
        <w:t xml:space="preserve"> kā arī informācija par normatīvo aktu </w:t>
      </w:r>
      <w:r w:rsidR="00CD6979" w:rsidRPr="00BC3A42">
        <w:rPr>
          <w:bCs/>
          <w:sz w:val="26"/>
          <w:szCs w:val="26"/>
        </w:rPr>
        <w:t>projektu izstrādes un apstiprināšanas gaitu Ministru kabinetā un Saeimā.</w:t>
      </w:r>
    </w:p>
    <w:p w14:paraId="47D0E613" w14:textId="6D861735" w:rsidR="00372430" w:rsidRPr="00BC3A42" w:rsidRDefault="00372430" w:rsidP="00675E61">
      <w:pPr>
        <w:pStyle w:val="Heading1"/>
        <w:numPr>
          <w:ilvl w:val="0"/>
          <w:numId w:val="12"/>
        </w:numPr>
      </w:pPr>
      <w:r w:rsidRPr="00BC3A42">
        <w:t xml:space="preserve">Pašreizējās </w:t>
      </w:r>
      <w:r w:rsidRPr="00675E61">
        <w:t>situācijas</w:t>
      </w:r>
      <w:r w:rsidRPr="00BC3A42">
        <w:t xml:space="preserve"> apraksts</w:t>
      </w:r>
    </w:p>
    <w:p w14:paraId="7C5AB357" w14:textId="74F8CFA1" w:rsidR="00F978C0" w:rsidRPr="00BC3A42" w:rsidRDefault="007841E6" w:rsidP="00754845">
      <w:pPr>
        <w:pStyle w:val="tv213"/>
        <w:spacing w:before="0" w:beforeAutospacing="0" w:after="0" w:afterAutospacing="0" w:line="293" w:lineRule="atLeast"/>
        <w:ind w:firstLine="709"/>
        <w:jc w:val="both"/>
        <w:rPr>
          <w:rFonts w:eastAsia="Calibri"/>
          <w:sz w:val="26"/>
          <w:szCs w:val="26"/>
          <w:lang w:eastAsia="en-US"/>
        </w:rPr>
      </w:pPr>
      <w:bookmarkStart w:id="1" w:name="_Toc479031432"/>
      <w:r w:rsidRPr="00BC3A42">
        <w:rPr>
          <w:rFonts w:eastAsia="Calibri"/>
          <w:sz w:val="26"/>
          <w:szCs w:val="26"/>
          <w:lang w:eastAsia="en-US"/>
        </w:rPr>
        <w:t xml:space="preserve">Saskaņā ar </w:t>
      </w:r>
      <w:r w:rsidRPr="00BC3A42">
        <w:rPr>
          <w:rFonts w:eastAsia="Calibri"/>
          <w:bCs/>
          <w:sz w:val="26"/>
          <w:szCs w:val="26"/>
          <w:lang w:eastAsia="en-US"/>
        </w:rPr>
        <w:t>Eiropas Parlamenta un Padomes 2009.gada 23.aprīļa Direktīvas 2009/28/EK</w:t>
      </w:r>
      <w:r w:rsidR="00CD5C00" w:rsidRPr="00BC3A42">
        <w:rPr>
          <w:rStyle w:val="FootnoteReference"/>
          <w:rFonts w:eastAsia="Calibri"/>
          <w:bCs/>
          <w:sz w:val="26"/>
          <w:szCs w:val="26"/>
          <w:lang w:eastAsia="en-US"/>
        </w:rPr>
        <w:footnoteReference w:id="4"/>
      </w:r>
      <w:r w:rsidRPr="00BC3A42">
        <w:rPr>
          <w:rFonts w:eastAsia="Calibri"/>
          <w:bCs/>
          <w:sz w:val="26"/>
          <w:szCs w:val="26"/>
          <w:lang w:eastAsia="en-US"/>
        </w:rPr>
        <w:t xml:space="preserve"> par atjaunojamo energoresursu izmantošanas veicināšanu un ar ko groza un sekojoši atceļ Direktīvas 2001/77/EK un 2003/30/EK (turpmāk – </w:t>
      </w:r>
      <w:r w:rsidR="00BF2ED4" w:rsidRPr="00BC3A42">
        <w:rPr>
          <w:sz w:val="26"/>
          <w:szCs w:val="26"/>
        </w:rPr>
        <w:t>Atjaunojamo energoresursu direktīva</w:t>
      </w:r>
      <w:r w:rsidRPr="00BC3A42">
        <w:rPr>
          <w:rFonts w:eastAsia="Calibri"/>
          <w:bCs/>
          <w:sz w:val="26"/>
          <w:szCs w:val="26"/>
          <w:lang w:eastAsia="en-US"/>
        </w:rPr>
        <w:t xml:space="preserve">) 3.panta ceturto punktu un </w:t>
      </w:r>
      <w:r w:rsidRPr="00BC3A42">
        <w:rPr>
          <w:bCs/>
          <w:sz w:val="26"/>
          <w:szCs w:val="26"/>
        </w:rPr>
        <w:t>Latvijas nacionālās reformu programmas „ES 2020” stratēģijas īstenošanai 3.7.apakšpunktu</w:t>
      </w:r>
      <w:r w:rsidRPr="00BC3A42">
        <w:rPr>
          <w:rFonts w:eastAsia="Calibri"/>
          <w:bCs/>
          <w:sz w:val="26"/>
          <w:szCs w:val="26"/>
          <w:lang w:eastAsia="en-US"/>
        </w:rPr>
        <w:t xml:space="preserve"> jānodrošina, ka </w:t>
      </w:r>
      <w:r w:rsidRPr="00BC3A42">
        <w:rPr>
          <w:rFonts w:eastAsia="Calibri"/>
          <w:sz w:val="26"/>
          <w:szCs w:val="26"/>
          <w:lang w:eastAsia="en-US"/>
        </w:rPr>
        <w:t xml:space="preserve">no AER </w:t>
      </w:r>
      <w:r w:rsidR="000E253A" w:rsidRPr="00BC3A42">
        <w:rPr>
          <w:rFonts w:eastAsia="Calibri"/>
          <w:sz w:val="26"/>
          <w:szCs w:val="26"/>
          <w:lang w:eastAsia="en-US"/>
        </w:rPr>
        <w:t xml:space="preserve">iegūtas </w:t>
      </w:r>
      <w:r w:rsidRPr="00BC3A42">
        <w:rPr>
          <w:rFonts w:eastAsia="Calibri"/>
          <w:sz w:val="26"/>
          <w:szCs w:val="26"/>
          <w:lang w:eastAsia="en-US"/>
        </w:rPr>
        <w:t xml:space="preserve">enerģijas īpatsvars transportā 2020.gadā ir vismaz 10% no enerģijas galapatēriņa transportā (turpmāk – AER 10% mērķis transportā). </w:t>
      </w:r>
    </w:p>
    <w:p w14:paraId="3E9F0A37" w14:textId="7194B603" w:rsidR="00F978C0" w:rsidRPr="00BC3A42" w:rsidRDefault="001C4A31" w:rsidP="00754845">
      <w:pPr>
        <w:pStyle w:val="tv213"/>
        <w:spacing w:before="0" w:beforeAutospacing="0" w:after="0" w:afterAutospacing="0" w:line="293" w:lineRule="atLeast"/>
        <w:ind w:firstLine="709"/>
        <w:jc w:val="both"/>
        <w:rPr>
          <w:sz w:val="26"/>
          <w:szCs w:val="26"/>
        </w:rPr>
      </w:pPr>
      <w:r w:rsidRPr="00BC3A42">
        <w:rPr>
          <w:rFonts w:eastAsia="Calibri"/>
          <w:sz w:val="26"/>
          <w:szCs w:val="26"/>
          <w:lang w:eastAsia="en-US"/>
        </w:rPr>
        <w:t>Latvijā</w:t>
      </w:r>
      <w:r w:rsidR="00496BA0" w:rsidRPr="00BC3A42">
        <w:rPr>
          <w:rFonts w:eastAsia="Calibri"/>
          <w:sz w:val="26"/>
          <w:szCs w:val="26"/>
          <w:lang w:eastAsia="en-US"/>
        </w:rPr>
        <w:t xml:space="preserve"> AER patēriņš transportā </w:t>
      </w:r>
      <w:r w:rsidR="00B314C4" w:rsidRPr="00BC3A42">
        <w:rPr>
          <w:rFonts w:eastAsia="Calibri"/>
          <w:sz w:val="26"/>
          <w:szCs w:val="26"/>
          <w:lang w:eastAsia="en-US"/>
        </w:rPr>
        <w:t>līdz šim ir pieaudzis, galvenokārt, pateicoties ar</w:t>
      </w:r>
      <w:r w:rsidR="007841E6" w:rsidRPr="00BC3A42">
        <w:rPr>
          <w:rFonts w:eastAsia="Calibri"/>
          <w:sz w:val="26"/>
          <w:szCs w:val="26"/>
          <w:lang w:eastAsia="en-US"/>
        </w:rPr>
        <w:t xml:space="preserve"> 2009.gada 1.oktobr</w:t>
      </w:r>
      <w:r w:rsidR="000266EA" w:rsidRPr="00BC3A42">
        <w:rPr>
          <w:rFonts w:eastAsia="Calibri"/>
          <w:sz w:val="26"/>
          <w:szCs w:val="26"/>
          <w:lang w:eastAsia="en-US"/>
        </w:rPr>
        <w:t>i</w:t>
      </w:r>
      <w:r w:rsidR="007841E6" w:rsidRPr="00BC3A42">
        <w:rPr>
          <w:rFonts w:eastAsia="Calibri"/>
          <w:sz w:val="26"/>
          <w:szCs w:val="26"/>
          <w:lang w:eastAsia="en-US"/>
        </w:rPr>
        <w:t xml:space="preserve"> </w:t>
      </w:r>
      <w:r w:rsidR="00B314C4" w:rsidRPr="00BC3A42">
        <w:rPr>
          <w:rFonts w:eastAsia="Calibri"/>
          <w:sz w:val="26"/>
          <w:szCs w:val="26"/>
          <w:lang w:eastAsia="en-US"/>
        </w:rPr>
        <w:t xml:space="preserve">ieviestajai </w:t>
      </w:r>
      <w:r w:rsidRPr="00BC3A42">
        <w:rPr>
          <w:rFonts w:eastAsia="Calibri"/>
          <w:sz w:val="26"/>
          <w:szCs w:val="26"/>
          <w:lang w:eastAsia="en-US"/>
        </w:rPr>
        <w:t xml:space="preserve">obligātā </w:t>
      </w:r>
      <w:r w:rsidR="007841E6" w:rsidRPr="00BC3A42">
        <w:rPr>
          <w:rFonts w:eastAsia="Calibri"/>
          <w:sz w:val="26"/>
          <w:szCs w:val="26"/>
          <w:lang w:eastAsia="en-US"/>
        </w:rPr>
        <w:t xml:space="preserve">biodegvielas </w:t>
      </w:r>
      <w:r w:rsidRPr="00BC3A42">
        <w:rPr>
          <w:rFonts w:eastAsia="Calibri"/>
          <w:sz w:val="26"/>
          <w:szCs w:val="26"/>
          <w:lang w:eastAsia="en-US"/>
        </w:rPr>
        <w:t xml:space="preserve">piejaukuma </w:t>
      </w:r>
      <w:r w:rsidR="00B314C4" w:rsidRPr="00BC3A42">
        <w:rPr>
          <w:rFonts w:eastAsia="Calibri"/>
          <w:sz w:val="26"/>
          <w:szCs w:val="26"/>
          <w:lang w:eastAsia="en-US"/>
        </w:rPr>
        <w:t xml:space="preserve">prasībai </w:t>
      </w:r>
      <w:r w:rsidR="007841E6" w:rsidRPr="00BC3A42">
        <w:rPr>
          <w:rFonts w:eastAsia="Calibri"/>
          <w:sz w:val="26"/>
          <w:szCs w:val="26"/>
          <w:lang w:eastAsia="en-US"/>
        </w:rPr>
        <w:t>fosilajai degvielai</w:t>
      </w:r>
      <w:r w:rsidR="00961739" w:rsidRPr="00BC3A42">
        <w:rPr>
          <w:rFonts w:eastAsia="Calibri"/>
          <w:sz w:val="26"/>
          <w:szCs w:val="26"/>
          <w:lang w:eastAsia="en-US"/>
        </w:rPr>
        <w:t>. Papildus tam, nolūkā veicināt biodegvielu patēriņu,</w:t>
      </w:r>
      <w:r w:rsidR="00496BA0" w:rsidRPr="00BC3A42">
        <w:rPr>
          <w:sz w:val="26"/>
          <w:szCs w:val="26"/>
        </w:rPr>
        <w:t xml:space="preserve"> </w:t>
      </w:r>
      <w:r w:rsidR="00496BA0" w:rsidRPr="00BC3A42">
        <w:rPr>
          <w:rFonts w:eastAsia="Calibri"/>
          <w:sz w:val="26"/>
          <w:szCs w:val="26"/>
          <w:lang w:eastAsia="en-US"/>
        </w:rPr>
        <w:t>biodegvielai un biodegvielas un fosilās degvielas maisījumiem ar biodegvielas saturu augstā koncentrācijā (E85 un B100) tiek piemērotas samazinātas akcīzes nodokļ</w:t>
      </w:r>
      <w:r w:rsidR="00961739" w:rsidRPr="00BC3A42">
        <w:rPr>
          <w:rFonts w:eastAsia="Calibri"/>
          <w:sz w:val="26"/>
          <w:szCs w:val="26"/>
          <w:lang w:eastAsia="en-US"/>
        </w:rPr>
        <w:t>a likmes</w:t>
      </w:r>
      <w:r w:rsidRPr="00BC3A42">
        <w:rPr>
          <w:rFonts w:eastAsia="Calibri"/>
          <w:sz w:val="26"/>
          <w:szCs w:val="26"/>
          <w:lang w:eastAsia="en-US"/>
        </w:rPr>
        <w:t>.</w:t>
      </w:r>
    </w:p>
    <w:p w14:paraId="7657B253" w14:textId="6C0F29AE" w:rsidR="00F978C0" w:rsidRPr="00BC3A42" w:rsidRDefault="009D075C" w:rsidP="00F978C0">
      <w:pPr>
        <w:pStyle w:val="tv213"/>
        <w:spacing w:before="0" w:beforeAutospacing="0" w:after="0" w:afterAutospacing="0" w:line="293" w:lineRule="atLeast"/>
        <w:ind w:firstLine="709"/>
        <w:jc w:val="both"/>
        <w:rPr>
          <w:rFonts w:eastAsia="Calibri"/>
          <w:sz w:val="26"/>
          <w:szCs w:val="26"/>
          <w:lang w:eastAsia="en-US"/>
        </w:rPr>
      </w:pPr>
      <w:r>
        <w:rPr>
          <w:sz w:val="26"/>
          <w:szCs w:val="26"/>
        </w:rPr>
        <w:t>L</w:t>
      </w:r>
      <w:r w:rsidR="00961739" w:rsidRPr="00BC3A42">
        <w:rPr>
          <w:sz w:val="26"/>
          <w:szCs w:val="26"/>
        </w:rPr>
        <w:t xml:space="preserve">īdz 2018.gada 1.aprīlim </w:t>
      </w:r>
      <w:r w:rsidR="00EF61C4" w:rsidRPr="00BC3A42">
        <w:rPr>
          <w:sz w:val="26"/>
          <w:szCs w:val="26"/>
        </w:rPr>
        <w:t>Latvijā noteiktais biodegvielas obligātais piejaukums pieļ</w:t>
      </w:r>
      <w:r w:rsidR="001C4A31" w:rsidRPr="00BC3A42">
        <w:rPr>
          <w:sz w:val="26"/>
          <w:szCs w:val="26"/>
        </w:rPr>
        <w:t>āva</w:t>
      </w:r>
      <w:r w:rsidR="00EF61C4" w:rsidRPr="00BC3A42">
        <w:rPr>
          <w:sz w:val="26"/>
          <w:szCs w:val="26"/>
        </w:rPr>
        <w:t xml:space="preserve"> izņēmumu attiecībā uz dīzeļdegvielu, ko izmanto arktiskos un bargos ziemas apstākļos</w:t>
      </w:r>
      <w:r w:rsidR="001C4A31" w:rsidRPr="00BC3A42">
        <w:rPr>
          <w:sz w:val="26"/>
          <w:szCs w:val="26"/>
        </w:rPr>
        <w:t xml:space="preserve">, </w:t>
      </w:r>
      <w:r w:rsidR="00193FCC" w:rsidRPr="00BC3A42">
        <w:rPr>
          <w:sz w:val="26"/>
          <w:szCs w:val="26"/>
        </w:rPr>
        <w:t xml:space="preserve">vienlaikus neierobežojot </w:t>
      </w:r>
      <w:r w:rsidR="00EF61C4" w:rsidRPr="00BC3A42">
        <w:rPr>
          <w:sz w:val="26"/>
          <w:szCs w:val="26"/>
        </w:rPr>
        <w:t>arktiskās dīzeļdegvielas tirdzniecības period</w:t>
      </w:r>
      <w:r w:rsidR="00193FCC" w:rsidRPr="00BC3A42">
        <w:rPr>
          <w:sz w:val="26"/>
          <w:szCs w:val="26"/>
        </w:rPr>
        <w:t>u</w:t>
      </w:r>
      <w:r w:rsidR="001C4A31" w:rsidRPr="00BC3A42">
        <w:rPr>
          <w:sz w:val="26"/>
          <w:szCs w:val="26"/>
        </w:rPr>
        <w:t>.</w:t>
      </w:r>
      <w:r w:rsidR="00EF61C4" w:rsidRPr="00BC3A42">
        <w:rPr>
          <w:sz w:val="26"/>
          <w:szCs w:val="26"/>
        </w:rPr>
        <w:t xml:space="preserve"> Pie </w:t>
      </w:r>
      <w:r w:rsidR="00EF61C4" w:rsidRPr="00BC3A42">
        <w:rPr>
          <w:sz w:val="26"/>
          <w:szCs w:val="26"/>
        </w:rPr>
        <w:lastRenderedPageBreak/>
        <w:t>šāda regulējuma degvielas tirgotāji</w:t>
      </w:r>
      <w:r w:rsidR="00193FCC" w:rsidRPr="00BC3A42">
        <w:rPr>
          <w:sz w:val="26"/>
          <w:szCs w:val="26"/>
        </w:rPr>
        <w:t>,</w:t>
      </w:r>
      <w:r w:rsidR="00EF61C4" w:rsidRPr="00BC3A42">
        <w:rPr>
          <w:sz w:val="26"/>
          <w:szCs w:val="26"/>
        </w:rPr>
        <w:t xml:space="preserve"> </w:t>
      </w:r>
      <w:r w:rsidR="00193FCC" w:rsidRPr="00BC3A42">
        <w:rPr>
          <w:sz w:val="26"/>
          <w:szCs w:val="26"/>
        </w:rPr>
        <w:t>sākot ar</w:t>
      </w:r>
      <w:r w:rsidR="001C4A31" w:rsidRPr="00BC3A42">
        <w:rPr>
          <w:sz w:val="26"/>
          <w:szCs w:val="26"/>
        </w:rPr>
        <w:t xml:space="preserve"> 2016.gad</w:t>
      </w:r>
      <w:r w:rsidR="00193FCC" w:rsidRPr="00BC3A42">
        <w:rPr>
          <w:sz w:val="26"/>
          <w:szCs w:val="26"/>
        </w:rPr>
        <w:t>u,</w:t>
      </w:r>
      <w:r w:rsidR="001C4A31" w:rsidRPr="00BC3A42">
        <w:rPr>
          <w:sz w:val="26"/>
          <w:szCs w:val="26"/>
        </w:rPr>
        <w:t xml:space="preserve"> </w:t>
      </w:r>
      <w:r w:rsidR="00EF61C4" w:rsidRPr="00BC3A42">
        <w:rPr>
          <w:sz w:val="26"/>
          <w:szCs w:val="26"/>
        </w:rPr>
        <w:t>vasaras periodā turpin</w:t>
      </w:r>
      <w:r w:rsidR="001C4A31" w:rsidRPr="00BC3A42">
        <w:rPr>
          <w:sz w:val="26"/>
          <w:szCs w:val="26"/>
        </w:rPr>
        <w:t>āja</w:t>
      </w:r>
      <w:r w:rsidR="00EF61C4" w:rsidRPr="00BC3A42">
        <w:rPr>
          <w:sz w:val="26"/>
          <w:szCs w:val="26"/>
        </w:rPr>
        <w:t xml:space="preserve"> tirgot arktisko dīzeļdegvielu</w:t>
      </w:r>
      <w:r w:rsidR="001C4A31" w:rsidRPr="00BC3A42">
        <w:rPr>
          <w:sz w:val="26"/>
          <w:szCs w:val="26"/>
        </w:rPr>
        <w:t>, kā rezultātā no AER iegūtas  enerģijas īpatsvars transportā 2016.gadā</w:t>
      </w:r>
      <w:r w:rsidR="00B314C4" w:rsidRPr="00BC3A42">
        <w:rPr>
          <w:sz w:val="26"/>
          <w:szCs w:val="26"/>
        </w:rPr>
        <w:t xml:space="preserve"> samazinājās </w:t>
      </w:r>
      <w:r w:rsidR="000266EA" w:rsidRPr="00BC3A42">
        <w:rPr>
          <w:sz w:val="26"/>
          <w:szCs w:val="26"/>
        </w:rPr>
        <w:t>līdz</w:t>
      </w:r>
      <w:r w:rsidR="001C4A31" w:rsidRPr="00BC3A42">
        <w:rPr>
          <w:sz w:val="26"/>
          <w:szCs w:val="26"/>
        </w:rPr>
        <w:t xml:space="preserve"> 2,76%</w:t>
      </w:r>
      <w:r w:rsidR="00193FCC" w:rsidRPr="00BC3A42">
        <w:rPr>
          <w:sz w:val="26"/>
          <w:szCs w:val="26"/>
        </w:rPr>
        <w:t>,</w:t>
      </w:r>
      <w:r w:rsidR="001C4A31" w:rsidRPr="00BC3A42">
        <w:rPr>
          <w:sz w:val="26"/>
          <w:szCs w:val="26"/>
        </w:rPr>
        <w:t xml:space="preserve"> no kuriem 1,1%</w:t>
      </w:r>
      <w:r w:rsidR="00120ED3" w:rsidRPr="00BC3A42">
        <w:rPr>
          <w:sz w:val="26"/>
          <w:szCs w:val="26"/>
        </w:rPr>
        <w:t xml:space="preserve"> punktu</w:t>
      </w:r>
      <w:r w:rsidR="001C4A31" w:rsidRPr="00BC3A42">
        <w:rPr>
          <w:sz w:val="26"/>
          <w:szCs w:val="26"/>
        </w:rPr>
        <w:t xml:space="preserve"> veidoja biodegviela, bet pārējo daļu no AER iegūta elektroenerģija, kuras īpatsvars pēdējos gados vidēji ir 1,6 – 1,7%</w:t>
      </w:r>
      <w:r w:rsidR="00120ED3" w:rsidRPr="00BC3A42">
        <w:rPr>
          <w:sz w:val="26"/>
          <w:szCs w:val="26"/>
        </w:rPr>
        <w:t xml:space="preserve"> punkti</w:t>
      </w:r>
      <w:r w:rsidR="001C4A31" w:rsidRPr="00BC3A42">
        <w:rPr>
          <w:sz w:val="26"/>
          <w:szCs w:val="26"/>
        </w:rPr>
        <w:t xml:space="preserve"> (netiek prognozētas šī īpatsvara izmaiņas tuvākajā laikā). </w:t>
      </w:r>
      <w:r w:rsidR="00B314C4" w:rsidRPr="00BC3A42">
        <w:rPr>
          <w:sz w:val="26"/>
          <w:szCs w:val="26"/>
        </w:rPr>
        <w:t>J</w:t>
      </w:r>
      <w:r w:rsidR="000755B4" w:rsidRPr="00BC3A42">
        <w:rPr>
          <w:sz w:val="26"/>
          <w:szCs w:val="26"/>
        </w:rPr>
        <w:t>aunākie statistikas dati liecina, ka 2017.gadā no AER iegūtas  enerģijas īpatsvars transportā</w:t>
      </w:r>
      <w:r w:rsidR="00810A03" w:rsidRPr="00BC3A42">
        <w:rPr>
          <w:sz w:val="26"/>
          <w:szCs w:val="26"/>
        </w:rPr>
        <w:t xml:space="preserve"> piedzīvoja papildu kritumu, </w:t>
      </w:r>
      <w:r w:rsidR="000266EA" w:rsidRPr="00BC3A42">
        <w:rPr>
          <w:sz w:val="26"/>
          <w:szCs w:val="26"/>
        </w:rPr>
        <w:t xml:space="preserve">salīdzinājumā ar 2016.gada līmeni 2,76% </w:t>
      </w:r>
      <w:r w:rsidR="00810A03" w:rsidRPr="00BC3A42">
        <w:rPr>
          <w:sz w:val="26"/>
          <w:szCs w:val="26"/>
        </w:rPr>
        <w:t xml:space="preserve">apmērā, </w:t>
      </w:r>
      <w:r w:rsidR="000266EA" w:rsidRPr="00BC3A42">
        <w:rPr>
          <w:sz w:val="26"/>
          <w:szCs w:val="26"/>
        </w:rPr>
        <w:t xml:space="preserve">un </w:t>
      </w:r>
      <w:r w:rsidR="00810A03" w:rsidRPr="00BC3A42">
        <w:rPr>
          <w:sz w:val="26"/>
          <w:szCs w:val="26"/>
        </w:rPr>
        <w:t>sasniedza</w:t>
      </w:r>
      <w:r w:rsidR="000266EA" w:rsidRPr="00BC3A42">
        <w:rPr>
          <w:sz w:val="26"/>
          <w:szCs w:val="26"/>
        </w:rPr>
        <w:t xml:space="preserve"> 2,54%</w:t>
      </w:r>
      <w:r w:rsidR="00A13C4E" w:rsidRPr="00BC3A42">
        <w:rPr>
          <w:sz w:val="26"/>
          <w:szCs w:val="26"/>
        </w:rPr>
        <w:t xml:space="preserve">, samazinot progresu </w:t>
      </w:r>
      <w:r w:rsidR="00A17528" w:rsidRPr="00BC3A42">
        <w:rPr>
          <w:sz w:val="26"/>
          <w:szCs w:val="26"/>
        </w:rPr>
        <w:t xml:space="preserve">attiecībā uz </w:t>
      </w:r>
      <w:r w:rsidR="00A13C4E" w:rsidRPr="00BC3A42">
        <w:rPr>
          <w:sz w:val="26"/>
          <w:szCs w:val="26"/>
        </w:rPr>
        <w:t>AER 10% mērķ</w:t>
      </w:r>
      <w:r w:rsidR="00A17528" w:rsidRPr="00BC3A42">
        <w:rPr>
          <w:sz w:val="26"/>
          <w:szCs w:val="26"/>
        </w:rPr>
        <w:t xml:space="preserve">a </w:t>
      </w:r>
      <w:r w:rsidR="00A13C4E" w:rsidRPr="00BC3A42">
        <w:rPr>
          <w:sz w:val="26"/>
          <w:szCs w:val="26"/>
        </w:rPr>
        <w:t>transportā</w:t>
      </w:r>
      <w:r w:rsidR="00A17528" w:rsidRPr="00BC3A42">
        <w:rPr>
          <w:sz w:val="26"/>
          <w:szCs w:val="26"/>
        </w:rPr>
        <w:t xml:space="preserve"> sasniegšanu.</w:t>
      </w:r>
      <w:r w:rsidR="000755B4" w:rsidRPr="00BC3A42">
        <w:rPr>
          <w:sz w:val="26"/>
          <w:szCs w:val="26"/>
        </w:rPr>
        <w:t xml:space="preserve"> </w:t>
      </w:r>
    </w:p>
    <w:p w14:paraId="3C2D4040" w14:textId="77777777" w:rsidR="007B4C65" w:rsidRPr="00BC3A42" w:rsidRDefault="001C4A31" w:rsidP="00F978C0">
      <w:pPr>
        <w:pStyle w:val="tv213"/>
        <w:spacing w:before="0" w:beforeAutospacing="0" w:after="0" w:afterAutospacing="0" w:line="293" w:lineRule="atLeast"/>
        <w:ind w:firstLine="709"/>
        <w:jc w:val="both"/>
        <w:rPr>
          <w:rFonts w:eastAsia="Calibri"/>
          <w:sz w:val="26"/>
          <w:szCs w:val="26"/>
          <w:lang w:eastAsia="en-US"/>
        </w:rPr>
      </w:pPr>
      <w:r w:rsidRPr="00BC3A42">
        <w:rPr>
          <w:sz w:val="26"/>
          <w:szCs w:val="26"/>
        </w:rPr>
        <w:t xml:space="preserve">Izpildot </w:t>
      </w:r>
      <w:r w:rsidR="005D0E41" w:rsidRPr="00BC3A42">
        <w:rPr>
          <w:sz w:val="26"/>
          <w:szCs w:val="26"/>
        </w:rPr>
        <w:t>Rīkojuma Nr.379 1.punktu,</w:t>
      </w:r>
      <w:r w:rsidR="005D0E41" w:rsidRPr="00BC3A42">
        <w:t xml:space="preserve"> </w:t>
      </w:r>
      <w:r w:rsidRPr="00BC3A42">
        <w:rPr>
          <w:sz w:val="26"/>
          <w:szCs w:val="26"/>
        </w:rPr>
        <w:t>2</w:t>
      </w:r>
      <w:r w:rsidR="00EF61C4" w:rsidRPr="00BC3A42">
        <w:rPr>
          <w:rFonts w:eastAsia="Calibri"/>
          <w:sz w:val="26"/>
          <w:szCs w:val="26"/>
          <w:lang w:eastAsia="en-US"/>
        </w:rPr>
        <w:t>018.</w:t>
      </w:r>
      <w:r w:rsidR="00A17528" w:rsidRPr="00BC3A42">
        <w:rPr>
          <w:rFonts w:eastAsia="Calibri"/>
          <w:sz w:val="26"/>
          <w:szCs w:val="26"/>
          <w:lang w:eastAsia="en-US"/>
        </w:rPr>
        <w:t> </w:t>
      </w:r>
      <w:r w:rsidR="00EF61C4" w:rsidRPr="00BC3A42">
        <w:rPr>
          <w:rFonts w:eastAsia="Calibri"/>
          <w:sz w:val="26"/>
          <w:szCs w:val="26"/>
          <w:lang w:eastAsia="en-US"/>
        </w:rPr>
        <w:t>gada 1.</w:t>
      </w:r>
      <w:r w:rsidR="00A17528" w:rsidRPr="00BC3A42">
        <w:rPr>
          <w:rFonts w:eastAsia="Calibri"/>
          <w:sz w:val="26"/>
          <w:szCs w:val="26"/>
          <w:lang w:eastAsia="en-US"/>
        </w:rPr>
        <w:t> </w:t>
      </w:r>
      <w:r w:rsidR="00EF61C4" w:rsidRPr="00BC3A42">
        <w:rPr>
          <w:rFonts w:eastAsia="Calibri"/>
          <w:sz w:val="26"/>
          <w:szCs w:val="26"/>
          <w:lang w:eastAsia="en-US"/>
        </w:rPr>
        <w:t>aprī</w:t>
      </w:r>
      <w:r w:rsidRPr="00BC3A42">
        <w:rPr>
          <w:rFonts w:eastAsia="Calibri"/>
          <w:sz w:val="26"/>
          <w:szCs w:val="26"/>
          <w:lang w:eastAsia="en-US"/>
        </w:rPr>
        <w:t>lī</w:t>
      </w:r>
      <w:r w:rsidR="00EF61C4" w:rsidRPr="00BC3A42">
        <w:rPr>
          <w:rFonts w:eastAsia="Calibri"/>
          <w:sz w:val="26"/>
          <w:szCs w:val="26"/>
          <w:lang w:eastAsia="en-US"/>
        </w:rPr>
        <w:t xml:space="preserve"> stājās spēkā grozījumi</w:t>
      </w:r>
      <w:r w:rsidR="008E4BB9" w:rsidRPr="00BC3A42">
        <w:rPr>
          <w:rStyle w:val="FootnoteReference"/>
          <w:rFonts w:eastAsia="Calibri"/>
          <w:sz w:val="26"/>
          <w:szCs w:val="26"/>
          <w:lang w:eastAsia="en-US"/>
        </w:rPr>
        <w:footnoteReference w:id="5"/>
      </w:r>
      <w:r w:rsidR="00EF61C4" w:rsidRPr="00BC3A42">
        <w:rPr>
          <w:rFonts w:eastAsia="Calibri"/>
          <w:sz w:val="26"/>
          <w:szCs w:val="26"/>
          <w:lang w:eastAsia="en-US"/>
        </w:rPr>
        <w:t xml:space="preserve"> Ministru kabineta 2000.gada 26.septembra noteikumos Nr.332 “Noteikumi par benzīna un dīzeļdegvielas atbilstības novērtēšanu”</w:t>
      </w:r>
      <w:r w:rsidR="00193FCC" w:rsidRPr="00BC3A42">
        <w:rPr>
          <w:rFonts w:eastAsia="Calibri"/>
          <w:sz w:val="26"/>
          <w:szCs w:val="26"/>
          <w:lang w:eastAsia="en-US"/>
        </w:rPr>
        <w:t xml:space="preserve"> (turpmāk – </w:t>
      </w:r>
      <w:r w:rsidR="00D8073A" w:rsidRPr="00BC3A42">
        <w:rPr>
          <w:rFonts w:eastAsia="Calibri"/>
          <w:sz w:val="26"/>
          <w:szCs w:val="26"/>
          <w:lang w:eastAsia="en-US"/>
        </w:rPr>
        <w:t xml:space="preserve">MK </w:t>
      </w:r>
      <w:r w:rsidR="00193FCC" w:rsidRPr="00BC3A42">
        <w:rPr>
          <w:rFonts w:eastAsia="Calibri"/>
          <w:sz w:val="26"/>
          <w:szCs w:val="26"/>
          <w:lang w:eastAsia="en-US"/>
        </w:rPr>
        <w:t>Noteikumi Nr.332)</w:t>
      </w:r>
      <w:r w:rsidR="00EF61C4" w:rsidRPr="00BC3A42">
        <w:rPr>
          <w:rFonts w:eastAsia="Calibri"/>
          <w:sz w:val="26"/>
          <w:szCs w:val="26"/>
          <w:lang w:eastAsia="en-US"/>
        </w:rPr>
        <w:t xml:space="preserve">, </w:t>
      </w:r>
      <w:r w:rsidR="00A17528" w:rsidRPr="00BC3A42">
        <w:rPr>
          <w:rFonts w:eastAsia="Calibri"/>
          <w:sz w:val="26"/>
          <w:szCs w:val="26"/>
          <w:lang w:eastAsia="en-US"/>
        </w:rPr>
        <w:t>kas</w:t>
      </w:r>
      <w:r w:rsidR="00EF61C4" w:rsidRPr="00BC3A42">
        <w:rPr>
          <w:rFonts w:eastAsia="Calibri"/>
          <w:sz w:val="26"/>
          <w:szCs w:val="26"/>
          <w:lang w:eastAsia="en-US"/>
        </w:rPr>
        <w:t xml:space="preserve"> nostiprināja obligātā biodegvielas piejaukuma prasības dīzeļdegvielai, kas </w:t>
      </w:r>
      <w:r w:rsidR="00A17528" w:rsidRPr="00BC3A42">
        <w:rPr>
          <w:rFonts w:eastAsia="Calibri"/>
          <w:sz w:val="26"/>
          <w:szCs w:val="26"/>
          <w:lang w:eastAsia="en-US"/>
        </w:rPr>
        <w:t xml:space="preserve">turpmāk </w:t>
      </w:r>
      <w:r w:rsidR="00EF61C4" w:rsidRPr="00BC3A42">
        <w:rPr>
          <w:rFonts w:eastAsia="Calibri"/>
          <w:sz w:val="26"/>
          <w:szCs w:val="26"/>
          <w:lang w:eastAsia="en-US"/>
        </w:rPr>
        <w:t xml:space="preserve">tiek realizēta periodā no 16.aprīļa līdz 31.oktobrim. </w:t>
      </w:r>
      <w:r w:rsidRPr="00BC3A42">
        <w:rPr>
          <w:rFonts w:eastAsia="Calibri"/>
          <w:sz w:val="26"/>
          <w:szCs w:val="26"/>
          <w:lang w:eastAsia="en-US"/>
        </w:rPr>
        <w:t xml:space="preserve">Ekonomikas ministrijas prognozes liecina, ka </w:t>
      </w:r>
      <w:r w:rsidR="00A17528" w:rsidRPr="00BC3A42">
        <w:rPr>
          <w:rFonts w:eastAsia="Calibri"/>
          <w:sz w:val="26"/>
          <w:szCs w:val="26"/>
          <w:lang w:eastAsia="en-US"/>
        </w:rPr>
        <w:t xml:space="preserve">no </w:t>
      </w:r>
      <w:r w:rsidRPr="00BC3A42">
        <w:rPr>
          <w:rFonts w:eastAsia="Calibri"/>
          <w:sz w:val="26"/>
          <w:szCs w:val="26"/>
          <w:lang w:eastAsia="en-US"/>
        </w:rPr>
        <w:t>AER</w:t>
      </w:r>
      <w:r w:rsidR="00A17528" w:rsidRPr="00BC3A42">
        <w:rPr>
          <w:rFonts w:eastAsia="Calibri"/>
          <w:sz w:val="26"/>
          <w:szCs w:val="26"/>
          <w:lang w:eastAsia="en-US"/>
        </w:rPr>
        <w:t xml:space="preserve"> iegūtas enerģijas īpatsvars transportā</w:t>
      </w:r>
      <w:r w:rsidRPr="00BC3A42">
        <w:rPr>
          <w:rFonts w:eastAsia="Calibri"/>
          <w:sz w:val="26"/>
          <w:szCs w:val="26"/>
          <w:lang w:eastAsia="en-US"/>
        </w:rPr>
        <w:t xml:space="preserve"> 2018.</w:t>
      </w:r>
      <w:r w:rsidR="00A17528" w:rsidRPr="00BC3A42">
        <w:rPr>
          <w:rFonts w:eastAsia="Calibri"/>
          <w:sz w:val="26"/>
          <w:szCs w:val="26"/>
          <w:lang w:eastAsia="en-US"/>
        </w:rPr>
        <w:t> </w:t>
      </w:r>
      <w:r w:rsidRPr="00BC3A42">
        <w:rPr>
          <w:rFonts w:eastAsia="Calibri"/>
          <w:sz w:val="26"/>
          <w:szCs w:val="26"/>
          <w:lang w:eastAsia="en-US"/>
        </w:rPr>
        <w:t>gadā varētu sasniegt to līmeni, kād</w:t>
      </w:r>
      <w:r w:rsidR="00A17528" w:rsidRPr="00BC3A42">
        <w:rPr>
          <w:rFonts w:eastAsia="Calibri"/>
          <w:sz w:val="26"/>
          <w:szCs w:val="26"/>
          <w:lang w:eastAsia="en-US"/>
        </w:rPr>
        <w:t>s</w:t>
      </w:r>
      <w:r w:rsidRPr="00BC3A42">
        <w:rPr>
          <w:rFonts w:eastAsia="Calibri"/>
          <w:sz w:val="26"/>
          <w:szCs w:val="26"/>
          <w:lang w:eastAsia="en-US"/>
        </w:rPr>
        <w:t xml:space="preserve"> tas bija pirms degvielas tirgotāji sāka realizēt dīzeļdegvielu </w:t>
      </w:r>
      <w:r w:rsidR="000755B4" w:rsidRPr="00BC3A42">
        <w:rPr>
          <w:rFonts w:eastAsia="Calibri"/>
          <w:sz w:val="26"/>
          <w:szCs w:val="26"/>
          <w:lang w:eastAsia="en-US"/>
        </w:rPr>
        <w:t xml:space="preserve">bez biodegvielas piejaukuma. </w:t>
      </w:r>
      <w:r w:rsidRPr="00BC3A42">
        <w:rPr>
          <w:rFonts w:eastAsia="Calibri"/>
          <w:sz w:val="26"/>
          <w:szCs w:val="26"/>
          <w:lang w:eastAsia="en-US"/>
        </w:rPr>
        <w:t xml:space="preserve">Ekonomikas ministrijas prognozes liecina, ka </w:t>
      </w:r>
      <w:r w:rsidRPr="00BC3A42">
        <w:rPr>
          <w:rFonts w:eastAsia="Calibri"/>
          <w:b/>
          <w:sz w:val="26"/>
          <w:szCs w:val="26"/>
          <w:lang w:eastAsia="en-US"/>
        </w:rPr>
        <w:t>2018.</w:t>
      </w:r>
      <w:r w:rsidR="008525E4" w:rsidRPr="00BC3A42">
        <w:rPr>
          <w:rFonts w:eastAsia="Calibri"/>
          <w:b/>
          <w:sz w:val="26"/>
          <w:szCs w:val="26"/>
          <w:lang w:eastAsia="en-US"/>
        </w:rPr>
        <w:t> </w:t>
      </w:r>
      <w:r w:rsidRPr="00BC3A42">
        <w:rPr>
          <w:rFonts w:eastAsia="Calibri"/>
          <w:b/>
          <w:sz w:val="26"/>
          <w:szCs w:val="26"/>
          <w:lang w:eastAsia="en-US"/>
        </w:rPr>
        <w:t xml:space="preserve">gadā no AER iegūtas enerģijas īpatsvars transportā varētu būt </w:t>
      </w:r>
      <w:r w:rsidR="008525E4" w:rsidRPr="00BC3A42">
        <w:rPr>
          <w:rFonts w:eastAsia="Calibri"/>
          <w:b/>
          <w:sz w:val="26"/>
          <w:szCs w:val="26"/>
          <w:lang w:eastAsia="en-US"/>
        </w:rPr>
        <w:t xml:space="preserve">ne augstāks kā </w:t>
      </w:r>
      <w:r w:rsidRPr="00BC3A42">
        <w:rPr>
          <w:rFonts w:eastAsia="Calibri"/>
          <w:b/>
          <w:sz w:val="26"/>
          <w:szCs w:val="26"/>
          <w:lang w:eastAsia="en-US"/>
        </w:rPr>
        <w:t>4%</w:t>
      </w:r>
      <w:r w:rsidR="00107D43" w:rsidRPr="00BC3A42">
        <w:rPr>
          <w:rFonts w:eastAsia="Calibri"/>
          <w:sz w:val="26"/>
          <w:szCs w:val="26"/>
          <w:lang w:eastAsia="en-US"/>
        </w:rPr>
        <w:t>. Ne</w:t>
      </w:r>
      <w:r w:rsidR="00193FCC" w:rsidRPr="00BC3A42">
        <w:rPr>
          <w:rFonts w:eastAsia="Calibri"/>
          <w:sz w:val="26"/>
          <w:szCs w:val="26"/>
          <w:lang w:eastAsia="en-US"/>
        </w:rPr>
        <w:t>īstenojot</w:t>
      </w:r>
      <w:r w:rsidR="00107D43" w:rsidRPr="00BC3A42">
        <w:rPr>
          <w:rFonts w:eastAsia="Calibri"/>
          <w:sz w:val="26"/>
          <w:szCs w:val="26"/>
          <w:lang w:eastAsia="en-US"/>
        </w:rPr>
        <w:t xml:space="preserve"> papildu pasākumus</w:t>
      </w:r>
      <w:r w:rsidR="00193FCC" w:rsidRPr="00BC3A42">
        <w:rPr>
          <w:rFonts w:eastAsia="Calibri"/>
          <w:sz w:val="26"/>
          <w:szCs w:val="26"/>
          <w:lang w:eastAsia="en-US"/>
        </w:rPr>
        <w:t>,</w:t>
      </w:r>
      <w:r w:rsidR="00107D43" w:rsidRPr="00BC3A42">
        <w:rPr>
          <w:rFonts w:eastAsia="Calibri"/>
          <w:sz w:val="26"/>
          <w:szCs w:val="26"/>
          <w:lang w:eastAsia="en-US"/>
        </w:rPr>
        <w:t xml:space="preserve"> AER īpatsvaram transportā līdz 2020.gadam nav pamata palielināties</w:t>
      </w:r>
      <w:r w:rsidR="008525E4" w:rsidRPr="00BC3A42">
        <w:rPr>
          <w:rFonts w:eastAsia="Calibri"/>
          <w:sz w:val="26"/>
          <w:szCs w:val="26"/>
          <w:lang w:eastAsia="en-US"/>
        </w:rPr>
        <w:t>, nesasniedzot</w:t>
      </w:r>
      <w:r w:rsidR="008525E4" w:rsidRPr="00BC3A42">
        <w:t xml:space="preserve"> </w:t>
      </w:r>
      <w:r w:rsidR="008525E4" w:rsidRPr="00BC3A42">
        <w:rPr>
          <w:rFonts w:eastAsia="Calibri"/>
          <w:sz w:val="26"/>
          <w:szCs w:val="26"/>
          <w:lang w:eastAsia="en-US"/>
        </w:rPr>
        <w:t>AER 10% mērķis transportā.</w:t>
      </w:r>
      <w:r w:rsidR="00AE3BFF" w:rsidRPr="00BC3A42">
        <w:rPr>
          <w:rFonts w:eastAsia="Calibri"/>
          <w:sz w:val="26"/>
          <w:szCs w:val="26"/>
          <w:lang w:eastAsia="en-US"/>
        </w:rPr>
        <w:t xml:space="preserve"> </w:t>
      </w:r>
    </w:p>
    <w:p w14:paraId="1D610BE5" w14:textId="0CF16E3B" w:rsidR="00F978C0" w:rsidRPr="00BC3A42" w:rsidRDefault="00AE3BFF" w:rsidP="00F978C0">
      <w:pPr>
        <w:pStyle w:val="tv213"/>
        <w:spacing w:before="0" w:beforeAutospacing="0" w:after="0" w:afterAutospacing="0" w:line="293" w:lineRule="atLeast"/>
        <w:ind w:firstLine="709"/>
        <w:jc w:val="both"/>
        <w:rPr>
          <w:rFonts w:eastAsia="Calibri"/>
          <w:sz w:val="26"/>
          <w:szCs w:val="26"/>
          <w:lang w:eastAsia="en-US"/>
        </w:rPr>
      </w:pPr>
      <w:r w:rsidRPr="00BC3A42">
        <w:rPr>
          <w:rFonts w:eastAsia="Calibri"/>
          <w:sz w:val="26"/>
          <w:szCs w:val="26"/>
          <w:lang w:eastAsia="en-US"/>
        </w:rPr>
        <w:t>Papildus tam</w:t>
      </w:r>
      <w:r w:rsidR="007B4C65" w:rsidRPr="00BC3A42">
        <w:rPr>
          <w:rFonts w:eastAsia="Calibri"/>
          <w:sz w:val="26"/>
          <w:szCs w:val="26"/>
          <w:lang w:eastAsia="en-US"/>
        </w:rPr>
        <w:t xml:space="preserve"> </w:t>
      </w:r>
      <w:r w:rsidR="007B4C65" w:rsidRPr="00BC3A42">
        <w:rPr>
          <w:sz w:val="26"/>
          <w:szCs w:val="26"/>
        </w:rPr>
        <w:t xml:space="preserve">Konceptuālajā ziņojumā tika secināts, ka Latvijā samazinātas akcīzes nodokļa likmes tiek piemērotas biodegvielām, kuras faktiski varētu neatbilst ilgtspējas prasībām un tādējādi radīt negatīvu ietekmi uz vidi, kā arī šo biodegvielu patēriņš ir salīdzinoši neliels. Turklāt, kā norādīts ES Pilot lietā 6948/14/ENER par HVO izslēgšanu no Latvijas biodegvielu tirgus un no nacionālā biodegvielas mandāta, Latvijā samazinātas akcīzes nodokļa likmes tiek piemērotas tikai no rapšu sēklu eļļas iegūtai biodīzeļdegvielai, tādējādi diskriminējot no citām izejvielām iegūtas biodīzeļdegvielas, kā rezultātā Ministru kabineta 2017.gada 21.jūlija rīkojuma Nr.379 “Par konceptuālo ziņojumu “Par atjaunojamo energoresursu izmantošanu transporta sektorā”” 3.punkts paredzēja noteikt, ka samazinātās akcīzes nodokļa likmes degvielai E85 un B100 tiek atceltas. Atbilstoši Rīkojuma Nr.379 3.punktā dotajam uzdevumam, Finanšu ministrija ir sagatavojusi un iesniegusi Ministru kabinetā </w:t>
      </w:r>
      <w:r w:rsidR="00754845" w:rsidRPr="00BC3A42">
        <w:rPr>
          <w:sz w:val="26"/>
          <w:szCs w:val="26"/>
        </w:rPr>
        <w:t>l</w:t>
      </w:r>
      <w:r w:rsidR="007B4C65" w:rsidRPr="00BC3A42">
        <w:rPr>
          <w:sz w:val="26"/>
          <w:szCs w:val="26"/>
        </w:rPr>
        <w:t>ikumprojektu „Grozījumi likumā „Par akcīzes nodokli””, par kuru Ekonomikas ministrija sniegusi atzinumus 2018.gada 2.novembrī un 13.novembrī.</w:t>
      </w:r>
    </w:p>
    <w:p w14:paraId="2F121FD7" w14:textId="02DE78C5" w:rsidR="00F978C0" w:rsidRPr="00BC3A42" w:rsidRDefault="00D60499" w:rsidP="00F978C0">
      <w:pPr>
        <w:pStyle w:val="tv213"/>
        <w:spacing w:before="0" w:beforeAutospacing="0" w:after="0" w:afterAutospacing="0" w:line="293" w:lineRule="atLeast"/>
        <w:ind w:firstLine="709"/>
        <w:jc w:val="both"/>
        <w:rPr>
          <w:rFonts w:eastAsia="Calibri"/>
          <w:sz w:val="26"/>
          <w:szCs w:val="26"/>
          <w:lang w:eastAsia="en-US"/>
        </w:rPr>
      </w:pPr>
      <w:r w:rsidRPr="00BC3A42">
        <w:rPr>
          <w:rFonts w:eastAsia="Calibri"/>
          <w:sz w:val="26"/>
          <w:szCs w:val="26"/>
          <w:lang w:eastAsia="en-US"/>
        </w:rPr>
        <w:t>Vienlaikus Ekonomikas ministrija vairākkārt, gan virzot likumprojektu “Transporta enerģijas likums”, gan tam pakārtotos Ministru kabineta noteikumu projektus,</w:t>
      </w:r>
      <w:r w:rsidR="001F7BA7" w:rsidRPr="00BC3A42">
        <w:rPr>
          <w:rFonts w:eastAsia="Calibri"/>
          <w:sz w:val="26"/>
          <w:szCs w:val="26"/>
          <w:lang w:eastAsia="en-US"/>
        </w:rPr>
        <w:t xml:space="preserve"> kas uz šī ziņojuma sagatavošanas brīža tiek sagatavoti uz Ministru kabineta iekārtas likuma deleģējuma pamata,</w:t>
      </w:r>
      <w:r w:rsidRPr="00BC3A42">
        <w:rPr>
          <w:rFonts w:eastAsia="Calibri"/>
          <w:sz w:val="26"/>
          <w:szCs w:val="26"/>
          <w:lang w:eastAsia="en-US"/>
        </w:rPr>
        <w:t xml:space="preserve"> to anotācijās, ir uzsvērusi problēmas, kas apdraud esošā atjaunojamās enerģijas īpatsvara saglabāšanu.</w:t>
      </w:r>
    </w:p>
    <w:p w14:paraId="655C582A" w14:textId="441F4783" w:rsidR="00F978C0" w:rsidRPr="00BC3A42" w:rsidRDefault="00D60499" w:rsidP="00F978C0">
      <w:pPr>
        <w:pStyle w:val="tv213"/>
        <w:spacing w:before="0" w:beforeAutospacing="0" w:after="0" w:afterAutospacing="0" w:line="293" w:lineRule="atLeast"/>
        <w:ind w:firstLine="709"/>
        <w:jc w:val="both"/>
        <w:rPr>
          <w:sz w:val="26"/>
          <w:szCs w:val="26"/>
        </w:rPr>
      </w:pPr>
      <w:r w:rsidRPr="00BC3A42">
        <w:rPr>
          <w:sz w:val="26"/>
          <w:szCs w:val="26"/>
        </w:rPr>
        <w:t>Tā piemēram,</w:t>
      </w:r>
      <w:r w:rsidR="00810A03" w:rsidRPr="00BC3A42">
        <w:rPr>
          <w:sz w:val="26"/>
          <w:szCs w:val="26"/>
        </w:rPr>
        <w:t xml:space="preserve"> </w:t>
      </w:r>
      <w:r w:rsidR="00BF2ED4" w:rsidRPr="00BC3A42">
        <w:rPr>
          <w:sz w:val="26"/>
          <w:szCs w:val="26"/>
        </w:rPr>
        <w:t>Atjaunojamo energoresursu direktīv</w:t>
      </w:r>
      <w:r w:rsidR="008525E4" w:rsidRPr="00BC3A42">
        <w:rPr>
          <w:sz w:val="26"/>
          <w:szCs w:val="26"/>
        </w:rPr>
        <w:t>ā</w:t>
      </w:r>
      <w:r w:rsidR="00612B7B" w:rsidRPr="00BC3A42">
        <w:rPr>
          <w:sz w:val="26"/>
          <w:szCs w:val="26"/>
        </w:rPr>
        <w:t xml:space="preserve"> biodegvielām un bioloģiskajiem šķidrajiem kurināmajiem ir </w:t>
      </w:r>
      <w:r w:rsidR="00193FCC" w:rsidRPr="00BC3A42">
        <w:rPr>
          <w:sz w:val="26"/>
          <w:szCs w:val="26"/>
        </w:rPr>
        <w:t>noteikti</w:t>
      </w:r>
      <w:r w:rsidR="00612B7B" w:rsidRPr="00BC3A42">
        <w:rPr>
          <w:sz w:val="26"/>
          <w:szCs w:val="26"/>
        </w:rPr>
        <w:t xml:space="preserve"> ilgtspējas kritēriji, lai nodrošinātu, ka to izmantošana garantē siltumnīcefekta gāzu (turpmāk - SEG) emisiju  samazinājumu un aizsargā bioloģisko daudzveidību.</w:t>
      </w:r>
      <w:r w:rsidR="004C6BA7" w:rsidRPr="00BC3A42">
        <w:rPr>
          <w:sz w:val="26"/>
          <w:szCs w:val="26"/>
        </w:rPr>
        <w:t xml:space="preserve"> </w:t>
      </w:r>
      <w:r w:rsidR="00193FCC" w:rsidRPr="00BC3A42">
        <w:rPr>
          <w:sz w:val="26"/>
          <w:szCs w:val="26"/>
        </w:rPr>
        <w:t>I</w:t>
      </w:r>
      <w:r w:rsidR="00612B7B" w:rsidRPr="00BC3A42">
        <w:rPr>
          <w:sz w:val="26"/>
          <w:szCs w:val="26"/>
        </w:rPr>
        <w:t>lgtspējas kritērij</w:t>
      </w:r>
      <w:r w:rsidR="00193FCC" w:rsidRPr="00BC3A42">
        <w:rPr>
          <w:sz w:val="26"/>
          <w:szCs w:val="26"/>
        </w:rPr>
        <w:t>u</w:t>
      </w:r>
      <w:r w:rsidR="00612B7B" w:rsidRPr="00BC3A42">
        <w:rPr>
          <w:sz w:val="26"/>
          <w:szCs w:val="26"/>
        </w:rPr>
        <w:t xml:space="preserve"> </w:t>
      </w:r>
      <w:r w:rsidR="00193FCC" w:rsidRPr="00BC3A42">
        <w:rPr>
          <w:sz w:val="26"/>
          <w:szCs w:val="26"/>
        </w:rPr>
        <w:t>ievērošana ir obligāta</w:t>
      </w:r>
      <w:r w:rsidR="00612B7B" w:rsidRPr="00BC3A42">
        <w:rPr>
          <w:sz w:val="26"/>
          <w:szCs w:val="26"/>
        </w:rPr>
        <w:t xml:space="preserve">, lai varētu ieskaitīt patērēto biodegvielu vai bioloģisko šķidro kurināmo </w:t>
      </w:r>
      <w:r w:rsidR="00193FCC" w:rsidRPr="00BC3A42">
        <w:rPr>
          <w:sz w:val="26"/>
          <w:szCs w:val="26"/>
        </w:rPr>
        <w:t>AER</w:t>
      </w:r>
      <w:r w:rsidR="00612B7B" w:rsidRPr="00BC3A42">
        <w:rPr>
          <w:sz w:val="26"/>
          <w:szCs w:val="26"/>
        </w:rPr>
        <w:t xml:space="preserve"> </w:t>
      </w:r>
      <w:r w:rsidR="00612B7B" w:rsidRPr="00BC3A42">
        <w:rPr>
          <w:sz w:val="26"/>
          <w:szCs w:val="26"/>
        </w:rPr>
        <w:lastRenderedPageBreak/>
        <w:t>patēriņa mērķos, kā arī</w:t>
      </w:r>
      <w:r w:rsidR="008525E4" w:rsidRPr="00BC3A42">
        <w:rPr>
          <w:sz w:val="26"/>
          <w:szCs w:val="26"/>
        </w:rPr>
        <w:t>,</w:t>
      </w:r>
      <w:r w:rsidR="00612B7B" w:rsidRPr="00BC3A42">
        <w:rPr>
          <w:sz w:val="26"/>
          <w:szCs w:val="26"/>
        </w:rPr>
        <w:t xml:space="preserve"> nodrošinot Eiropas Parlamenta un Padomes 199</w:t>
      </w:r>
      <w:r w:rsidR="00193FCC" w:rsidRPr="00BC3A42">
        <w:rPr>
          <w:sz w:val="26"/>
          <w:szCs w:val="26"/>
        </w:rPr>
        <w:t xml:space="preserve">8.gada 13.oktobra Direktīvas </w:t>
      </w:r>
      <w:r w:rsidR="00612B7B" w:rsidRPr="00BC3A42">
        <w:rPr>
          <w:sz w:val="26"/>
          <w:szCs w:val="26"/>
        </w:rPr>
        <w:t>98/70/EK</w:t>
      </w:r>
      <w:r w:rsidR="00193FCC" w:rsidRPr="00BC3A42">
        <w:rPr>
          <w:sz w:val="26"/>
          <w:szCs w:val="26"/>
        </w:rPr>
        <w:t>,</w:t>
      </w:r>
      <w:r w:rsidR="00612B7B" w:rsidRPr="00BC3A42">
        <w:rPr>
          <w:sz w:val="26"/>
          <w:szCs w:val="26"/>
        </w:rPr>
        <w:t xml:space="preserve"> kas attiecas uz benzīna un dīzeļdegvielu kvalitāti un ar ko groza Padomes Direktīvu 93</w:t>
      </w:r>
      <w:r w:rsidR="00193FCC" w:rsidRPr="00BC3A42">
        <w:rPr>
          <w:sz w:val="26"/>
          <w:szCs w:val="26"/>
        </w:rPr>
        <w:t>/12/EEK</w:t>
      </w:r>
      <w:r w:rsidR="00975296" w:rsidRPr="00BC3A42">
        <w:rPr>
          <w:rStyle w:val="FootnoteReference"/>
          <w:sz w:val="26"/>
          <w:szCs w:val="26"/>
        </w:rPr>
        <w:footnoteReference w:id="6"/>
      </w:r>
      <w:r w:rsidR="00193FCC" w:rsidRPr="00BC3A42">
        <w:rPr>
          <w:sz w:val="26"/>
          <w:szCs w:val="26"/>
        </w:rPr>
        <w:t xml:space="preserve"> (turpmāk – </w:t>
      </w:r>
      <w:r w:rsidR="00D8073A" w:rsidRPr="00BC3A42">
        <w:rPr>
          <w:sz w:val="26"/>
          <w:szCs w:val="26"/>
        </w:rPr>
        <w:t>Degvielas kvalitātes direktīva</w:t>
      </w:r>
      <w:r w:rsidR="00612B7B" w:rsidRPr="00BC3A42">
        <w:rPr>
          <w:sz w:val="26"/>
          <w:szCs w:val="26"/>
        </w:rPr>
        <w:t xml:space="preserve">) mērķu sasniegšanu, tai skaitā attiecībā uz transporta enerģijas aprites cikla SEG emisiju intensitātes samazināšanu. Šie kritēriji nacionālajos </w:t>
      </w:r>
      <w:r w:rsidR="00193FCC" w:rsidRPr="00BC3A42">
        <w:rPr>
          <w:sz w:val="26"/>
          <w:szCs w:val="26"/>
        </w:rPr>
        <w:t>normatīvajos</w:t>
      </w:r>
      <w:r w:rsidR="00612B7B" w:rsidRPr="00BC3A42">
        <w:rPr>
          <w:sz w:val="26"/>
          <w:szCs w:val="26"/>
        </w:rPr>
        <w:t xml:space="preserve"> aktos </w:t>
      </w:r>
      <w:r w:rsidR="00CD2AA4" w:rsidRPr="00BC3A42">
        <w:rPr>
          <w:sz w:val="26"/>
          <w:szCs w:val="26"/>
        </w:rPr>
        <w:t xml:space="preserve">nepilnīgi </w:t>
      </w:r>
      <w:r w:rsidR="00612B7B" w:rsidRPr="00BC3A42">
        <w:rPr>
          <w:sz w:val="26"/>
          <w:szCs w:val="26"/>
        </w:rPr>
        <w:t xml:space="preserve">ir </w:t>
      </w:r>
      <w:r w:rsidR="00193FCC" w:rsidRPr="00BC3A42">
        <w:rPr>
          <w:sz w:val="26"/>
          <w:szCs w:val="26"/>
        </w:rPr>
        <w:t xml:space="preserve">pārņemti ar </w:t>
      </w:r>
      <w:r w:rsidR="00CD2AA4" w:rsidRPr="00BC3A42">
        <w:rPr>
          <w:sz w:val="26"/>
          <w:szCs w:val="26"/>
        </w:rPr>
        <w:t>Ministru kabineta 2011.gada 5.jūlija noteikumiem Nr.545 “Noteikumi par biodegvielu un bioloģisko šķidro kurināmo ilgtspējas kritērijiem, to ieviešanas mehānismu un uzraudzības un kontroles kārtību”</w:t>
      </w:r>
      <w:r w:rsidR="00E53331" w:rsidRPr="00BC3A42">
        <w:rPr>
          <w:rStyle w:val="FootnoteReference"/>
          <w:sz w:val="26"/>
          <w:szCs w:val="26"/>
        </w:rPr>
        <w:footnoteReference w:id="7"/>
      </w:r>
      <w:r w:rsidR="00CD2AA4" w:rsidRPr="00BC3A42">
        <w:rPr>
          <w:b/>
          <w:i/>
          <w:sz w:val="26"/>
          <w:szCs w:val="26"/>
        </w:rPr>
        <w:t xml:space="preserve"> </w:t>
      </w:r>
      <w:r w:rsidR="00CD2AA4" w:rsidRPr="00BC3A42">
        <w:rPr>
          <w:sz w:val="26"/>
          <w:szCs w:val="26"/>
        </w:rPr>
        <w:t xml:space="preserve">(turpmāk </w:t>
      </w:r>
      <w:r w:rsidR="008525E4" w:rsidRPr="00BC3A42">
        <w:rPr>
          <w:sz w:val="26"/>
          <w:szCs w:val="26"/>
        </w:rPr>
        <w:t>–</w:t>
      </w:r>
      <w:r w:rsidR="00CD2AA4" w:rsidRPr="00BC3A42">
        <w:rPr>
          <w:sz w:val="26"/>
          <w:szCs w:val="26"/>
        </w:rPr>
        <w:t xml:space="preserve"> </w:t>
      </w:r>
      <w:r w:rsidR="008525E4" w:rsidRPr="00BC3A42">
        <w:rPr>
          <w:sz w:val="26"/>
          <w:szCs w:val="26"/>
        </w:rPr>
        <w:t>MK N</w:t>
      </w:r>
      <w:r w:rsidR="00612B7B" w:rsidRPr="00BC3A42">
        <w:rPr>
          <w:sz w:val="26"/>
          <w:szCs w:val="26"/>
        </w:rPr>
        <w:t>oteikum</w:t>
      </w:r>
      <w:r w:rsidR="00193FCC" w:rsidRPr="00BC3A42">
        <w:rPr>
          <w:sz w:val="26"/>
          <w:szCs w:val="26"/>
        </w:rPr>
        <w:t>i</w:t>
      </w:r>
      <w:r w:rsidR="00612B7B" w:rsidRPr="00BC3A42">
        <w:rPr>
          <w:sz w:val="26"/>
          <w:szCs w:val="26"/>
        </w:rPr>
        <w:t xml:space="preserve"> Nr.545</w:t>
      </w:r>
      <w:r w:rsidR="00CD2AA4" w:rsidRPr="00BC3A42">
        <w:rPr>
          <w:sz w:val="26"/>
          <w:szCs w:val="26"/>
        </w:rPr>
        <w:t>)</w:t>
      </w:r>
      <w:r w:rsidR="00612B7B" w:rsidRPr="00BC3A42">
        <w:rPr>
          <w:sz w:val="26"/>
          <w:szCs w:val="26"/>
        </w:rPr>
        <w:t xml:space="preserve">. </w:t>
      </w:r>
      <w:r w:rsidR="00B05FFA" w:rsidRPr="00BC3A42">
        <w:rPr>
          <w:sz w:val="26"/>
          <w:szCs w:val="26"/>
        </w:rPr>
        <w:t>Eiropas Parlamenta un Padomes 2015.</w:t>
      </w:r>
      <w:r w:rsidR="008525E4" w:rsidRPr="00BC3A42">
        <w:rPr>
          <w:sz w:val="26"/>
          <w:szCs w:val="26"/>
        </w:rPr>
        <w:t> </w:t>
      </w:r>
      <w:r w:rsidR="00B05FFA" w:rsidRPr="00BC3A42">
        <w:rPr>
          <w:sz w:val="26"/>
          <w:szCs w:val="26"/>
        </w:rPr>
        <w:t>gada 9.</w:t>
      </w:r>
      <w:r w:rsidR="008525E4" w:rsidRPr="00BC3A42">
        <w:rPr>
          <w:sz w:val="26"/>
          <w:szCs w:val="26"/>
        </w:rPr>
        <w:t> </w:t>
      </w:r>
      <w:r w:rsidR="00B05FFA" w:rsidRPr="00BC3A42">
        <w:rPr>
          <w:sz w:val="26"/>
          <w:szCs w:val="26"/>
        </w:rPr>
        <w:t xml:space="preserve">septembra </w:t>
      </w:r>
      <w:r w:rsidR="00C25232" w:rsidRPr="00BC3A42">
        <w:rPr>
          <w:sz w:val="26"/>
          <w:szCs w:val="26"/>
        </w:rPr>
        <w:t>D</w:t>
      </w:r>
      <w:r w:rsidR="00B05FFA" w:rsidRPr="00BC3A42">
        <w:rPr>
          <w:sz w:val="26"/>
          <w:szCs w:val="26"/>
        </w:rPr>
        <w:t>irektīva 2015/1513, ar kuru groza Direktīvu 98/70/EK, kas attiecas uz benzīna un dīzeļdegvielas kvalitāti, un Direktīvu 2009/28/EK par atjaunojamo energoresursu izmantošanas veicināšanu</w:t>
      </w:r>
      <w:r w:rsidR="001B18A7" w:rsidRPr="00BC3A42">
        <w:rPr>
          <w:rStyle w:val="FootnoteReference"/>
          <w:sz w:val="26"/>
          <w:szCs w:val="26"/>
        </w:rPr>
        <w:footnoteReference w:id="8"/>
      </w:r>
      <w:r w:rsidR="00B05FFA" w:rsidRPr="00BC3A42">
        <w:rPr>
          <w:sz w:val="26"/>
          <w:szCs w:val="26"/>
        </w:rPr>
        <w:t xml:space="preserve"> (turpmāk – Direktīva 2015/1513)</w:t>
      </w:r>
      <w:r w:rsidR="00612B7B" w:rsidRPr="00BC3A42">
        <w:rPr>
          <w:sz w:val="26"/>
          <w:szCs w:val="26"/>
        </w:rPr>
        <w:t xml:space="preserve"> paredz izmaiņas minētajos nosacījumos, </w:t>
      </w:r>
      <w:r w:rsidR="00193FCC" w:rsidRPr="00BC3A42">
        <w:rPr>
          <w:sz w:val="26"/>
          <w:szCs w:val="26"/>
        </w:rPr>
        <w:t>tomēr</w:t>
      </w:r>
      <w:r w:rsidR="00612B7B" w:rsidRPr="00BC3A42">
        <w:rPr>
          <w:sz w:val="26"/>
          <w:szCs w:val="26"/>
        </w:rPr>
        <w:t xml:space="preserve"> Latvija šīs direktīvas prasības </w:t>
      </w:r>
      <w:r w:rsidR="00193FCC" w:rsidRPr="00BC3A42">
        <w:rPr>
          <w:sz w:val="26"/>
          <w:szCs w:val="26"/>
        </w:rPr>
        <w:t xml:space="preserve">pašlaik vēl </w:t>
      </w:r>
      <w:r w:rsidR="00612B7B" w:rsidRPr="00BC3A42">
        <w:rPr>
          <w:sz w:val="26"/>
          <w:szCs w:val="26"/>
        </w:rPr>
        <w:t xml:space="preserve">nav </w:t>
      </w:r>
      <w:r w:rsidR="00B314C4" w:rsidRPr="00BC3A42">
        <w:rPr>
          <w:sz w:val="26"/>
          <w:szCs w:val="26"/>
        </w:rPr>
        <w:t>ieviesusi Latvijas normatīvajos tiesību aktos</w:t>
      </w:r>
      <w:r w:rsidR="00612B7B" w:rsidRPr="00BC3A42">
        <w:rPr>
          <w:sz w:val="26"/>
          <w:szCs w:val="26"/>
        </w:rPr>
        <w:t>.</w:t>
      </w:r>
    </w:p>
    <w:p w14:paraId="22AF3407" w14:textId="3283A87B" w:rsidR="00F978C0" w:rsidRPr="00BC3A42" w:rsidRDefault="00612B7B" w:rsidP="00F978C0">
      <w:pPr>
        <w:pStyle w:val="tv213"/>
        <w:spacing w:before="0" w:beforeAutospacing="0" w:after="0" w:afterAutospacing="0" w:line="293" w:lineRule="atLeast"/>
        <w:ind w:firstLine="709"/>
        <w:jc w:val="both"/>
        <w:rPr>
          <w:rFonts w:eastAsia="Calibri"/>
          <w:sz w:val="26"/>
          <w:szCs w:val="26"/>
          <w:lang w:eastAsia="en-US"/>
        </w:rPr>
      </w:pPr>
      <w:r w:rsidRPr="00BC3A42">
        <w:rPr>
          <w:sz w:val="26"/>
          <w:szCs w:val="26"/>
        </w:rPr>
        <w:t xml:space="preserve">Latvijā nav izveidots mehānisms, kas </w:t>
      </w:r>
      <w:r w:rsidR="00CA1694" w:rsidRPr="00BC3A42">
        <w:rPr>
          <w:sz w:val="26"/>
          <w:szCs w:val="26"/>
        </w:rPr>
        <w:t xml:space="preserve">nodrošinātu </w:t>
      </w:r>
      <w:r w:rsidRPr="00BC3A42">
        <w:rPr>
          <w:sz w:val="26"/>
          <w:szCs w:val="26"/>
        </w:rPr>
        <w:t>at</w:t>
      </w:r>
      <w:r w:rsidR="00CA1694" w:rsidRPr="00BC3A42">
        <w:rPr>
          <w:sz w:val="26"/>
          <w:szCs w:val="26"/>
        </w:rPr>
        <w:t>bilstību</w:t>
      </w:r>
      <w:r w:rsidRPr="00BC3A42">
        <w:rPr>
          <w:sz w:val="26"/>
          <w:szCs w:val="26"/>
        </w:rPr>
        <w:t xml:space="preserve"> </w:t>
      </w:r>
      <w:r w:rsidR="00BF2ED4" w:rsidRPr="00BC3A42">
        <w:rPr>
          <w:sz w:val="26"/>
          <w:szCs w:val="26"/>
        </w:rPr>
        <w:t xml:space="preserve">Atjaunojamo energoresursu direktīvas </w:t>
      </w:r>
      <w:r w:rsidR="00CA1694" w:rsidRPr="00BC3A42">
        <w:rPr>
          <w:sz w:val="26"/>
          <w:szCs w:val="26"/>
        </w:rPr>
        <w:t xml:space="preserve">18.panta </w:t>
      </w:r>
      <w:r w:rsidR="000C17E0" w:rsidRPr="00BC3A42">
        <w:rPr>
          <w:sz w:val="26"/>
          <w:szCs w:val="26"/>
        </w:rPr>
        <w:t>1</w:t>
      </w:r>
      <w:r w:rsidR="00502835" w:rsidRPr="00BC3A42">
        <w:rPr>
          <w:sz w:val="26"/>
          <w:szCs w:val="26"/>
        </w:rPr>
        <w:t>.</w:t>
      </w:r>
      <w:r w:rsidR="000C17E0" w:rsidRPr="00BC3A42">
        <w:rPr>
          <w:sz w:val="26"/>
          <w:szCs w:val="26"/>
        </w:rPr>
        <w:t xml:space="preserve"> un </w:t>
      </w:r>
      <w:r w:rsidR="00CA1694" w:rsidRPr="00BC3A42">
        <w:rPr>
          <w:sz w:val="26"/>
          <w:szCs w:val="26"/>
        </w:rPr>
        <w:t xml:space="preserve">3.punkta prasībām, </w:t>
      </w:r>
      <w:r w:rsidR="00D60499" w:rsidRPr="00BC3A42">
        <w:rPr>
          <w:sz w:val="26"/>
          <w:szCs w:val="26"/>
        </w:rPr>
        <w:t>un nav nodrošinā</w:t>
      </w:r>
      <w:r w:rsidR="00502835" w:rsidRPr="00BC3A42">
        <w:rPr>
          <w:sz w:val="26"/>
          <w:szCs w:val="26"/>
        </w:rPr>
        <w:t>ts</w:t>
      </w:r>
      <w:r w:rsidR="00CA1694" w:rsidRPr="00BC3A42">
        <w:rPr>
          <w:sz w:val="26"/>
          <w:szCs w:val="26"/>
        </w:rPr>
        <w:t xml:space="preserve">, ka degvielas tirgotāji </w:t>
      </w:r>
      <w:r w:rsidR="00D60499" w:rsidRPr="00BC3A42">
        <w:rPr>
          <w:sz w:val="26"/>
          <w:szCs w:val="26"/>
        </w:rPr>
        <w:t>iesniedz ticamu</w:t>
      </w:r>
      <w:r w:rsidR="000C17E0" w:rsidRPr="00BC3A42">
        <w:rPr>
          <w:sz w:val="26"/>
          <w:szCs w:val="26"/>
        </w:rPr>
        <w:t xml:space="preserve"> informācij</w:t>
      </w:r>
      <w:r w:rsidR="00D60499" w:rsidRPr="00BC3A42">
        <w:rPr>
          <w:sz w:val="26"/>
          <w:szCs w:val="26"/>
        </w:rPr>
        <w:t>u</w:t>
      </w:r>
      <w:r w:rsidR="000C17E0" w:rsidRPr="00BC3A42">
        <w:rPr>
          <w:sz w:val="26"/>
          <w:szCs w:val="26"/>
        </w:rPr>
        <w:t xml:space="preserve">, kas attiecas uz ilgtspējības kritēriju ievērošanu. </w:t>
      </w:r>
      <w:r w:rsidR="00A753FA" w:rsidRPr="00BC3A42">
        <w:rPr>
          <w:sz w:val="26"/>
          <w:szCs w:val="26"/>
        </w:rPr>
        <w:t>Analoģiska prasība ir ie</w:t>
      </w:r>
      <w:r w:rsidR="00BC3A42" w:rsidRPr="00BC3A42">
        <w:rPr>
          <w:sz w:val="26"/>
          <w:szCs w:val="26"/>
        </w:rPr>
        <w:t>k</w:t>
      </w:r>
      <w:r w:rsidR="00A753FA" w:rsidRPr="00BC3A42">
        <w:rPr>
          <w:sz w:val="26"/>
          <w:szCs w:val="26"/>
        </w:rPr>
        <w:t xml:space="preserve">ļauta arī </w:t>
      </w:r>
      <w:r w:rsidR="00D8073A" w:rsidRPr="00BC3A42">
        <w:rPr>
          <w:sz w:val="26"/>
          <w:szCs w:val="26"/>
        </w:rPr>
        <w:t>Degvielas kvalitātes direktīvas</w:t>
      </w:r>
      <w:r w:rsidR="00A753FA" w:rsidRPr="00BC3A42">
        <w:rPr>
          <w:sz w:val="26"/>
          <w:szCs w:val="26"/>
        </w:rPr>
        <w:t xml:space="preserve"> 7.c pantā. </w:t>
      </w:r>
      <w:r w:rsidR="000C17E0" w:rsidRPr="00BC3A42">
        <w:rPr>
          <w:sz w:val="26"/>
          <w:szCs w:val="26"/>
        </w:rPr>
        <w:t xml:space="preserve">Ņemot vērā minēto, Latvija šobrīd </w:t>
      </w:r>
      <w:r w:rsidR="00D31CFF" w:rsidRPr="00BC3A42">
        <w:rPr>
          <w:sz w:val="26"/>
          <w:szCs w:val="26"/>
        </w:rPr>
        <w:t>transportā patērēto</w:t>
      </w:r>
      <w:r w:rsidR="000C17E0" w:rsidRPr="00BC3A42">
        <w:rPr>
          <w:sz w:val="26"/>
          <w:szCs w:val="26"/>
        </w:rPr>
        <w:t xml:space="preserve"> biodegvielu nevar ieskaitīt AER 10 % mērķī</w:t>
      </w:r>
      <w:r w:rsidR="00CD2AA4" w:rsidRPr="00BC3A42">
        <w:rPr>
          <w:sz w:val="26"/>
          <w:szCs w:val="26"/>
        </w:rPr>
        <w:t xml:space="preserve"> transportā</w:t>
      </w:r>
      <w:r w:rsidR="000C17E0" w:rsidRPr="00BC3A42">
        <w:rPr>
          <w:sz w:val="26"/>
          <w:szCs w:val="26"/>
        </w:rPr>
        <w:t xml:space="preserve">. </w:t>
      </w:r>
      <w:r w:rsidR="00D60499" w:rsidRPr="00BC3A42">
        <w:rPr>
          <w:sz w:val="26"/>
          <w:szCs w:val="26"/>
        </w:rPr>
        <w:t>Tāpat š</w:t>
      </w:r>
      <w:r w:rsidR="000C17E0" w:rsidRPr="00BC3A42">
        <w:rPr>
          <w:sz w:val="26"/>
          <w:szCs w:val="26"/>
        </w:rPr>
        <w:t>āda informācija valstij ir nepieciešama, Latvijas regulāro ziņojum</w:t>
      </w:r>
      <w:r w:rsidR="00D31CFF" w:rsidRPr="00BC3A42">
        <w:rPr>
          <w:sz w:val="26"/>
          <w:szCs w:val="26"/>
        </w:rPr>
        <w:t>u</w:t>
      </w:r>
      <w:r w:rsidR="000C17E0" w:rsidRPr="00BC3A42">
        <w:rPr>
          <w:sz w:val="26"/>
          <w:szCs w:val="26"/>
        </w:rPr>
        <w:t xml:space="preserve"> atbilstoši </w:t>
      </w:r>
      <w:r w:rsidR="00BF2ED4" w:rsidRPr="00BC3A42">
        <w:rPr>
          <w:sz w:val="26"/>
          <w:szCs w:val="26"/>
        </w:rPr>
        <w:t>Atjaunojamo energoresursu direktīvas</w:t>
      </w:r>
      <w:r w:rsidR="000C17E0" w:rsidRPr="00BC3A42">
        <w:rPr>
          <w:sz w:val="26"/>
          <w:szCs w:val="26"/>
        </w:rPr>
        <w:t xml:space="preserve"> 22.pantam</w:t>
      </w:r>
      <w:r w:rsidR="00D60499" w:rsidRPr="00BC3A42">
        <w:rPr>
          <w:sz w:val="26"/>
          <w:szCs w:val="26"/>
        </w:rPr>
        <w:t xml:space="preserve"> sagatavošanai</w:t>
      </w:r>
      <w:r w:rsidR="000C17E0" w:rsidRPr="00BC3A42">
        <w:rPr>
          <w:sz w:val="26"/>
          <w:szCs w:val="26"/>
        </w:rPr>
        <w:t xml:space="preserve">, kuros vienlaikus ar ziņošanu par </w:t>
      </w:r>
      <w:r w:rsidR="00D31CFF" w:rsidRPr="00BC3A42">
        <w:rPr>
          <w:sz w:val="26"/>
          <w:szCs w:val="26"/>
        </w:rPr>
        <w:t xml:space="preserve">AER </w:t>
      </w:r>
      <w:r w:rsidR="000C17E0" w:rsidRPr="00BC3A42">
        <w:rPr>
          <w:sz w:val="26"/>
          <w:szCs w:val="26"/>
        </w:rPr>
        <w:t xml:space="preserve">10% mērķa </w:t>
      </w:r>
      <w:r w:rsidR="00CD2AA4" w:rsidRPr="00BC3A42">
        <w:rPr>
          <w:sz w:val="26"/>
          <w:szCs w:val="26"/>
        </w:rPr>
        <w:t xml:space="preserve">transportā </w:t>
      </w:r>
      <w:r w:rsidR="000C17E0" w:rsidRPr="00BC3A42">
        <w:rPr>
          <w:sz w:val="26"/>
          <w:szCs w:val="26"/>
        </w:rPr>
        <w:t xml:space="preserve">sasniegšanas progresu, ir jānorāda informācija par patērēto biodegvielu daudzumiem dažādos griezumos un izejvielu grupās.  </w:t>
      </w:r>
    </w:p>
    <w:p w14:paraId="366BB22E" w14:textId="7E61B2C7" w:rsidR="001817CD" w:rsidRPr="00BC3A42" w:rsidRDefault="001817CD" w:rsidP="00487EA8">
      <w:pPr>
        <w:pStyle w:val="tv213"/>
        <w:spacing w:before="0" w:beforeAutospacing="0" w:after="0" w:afterAutospacing="0" w:line="293" w:lineRule="atLeast"/>
        <w:ind w:firstLine="709"/>
        <w:jc w:val="both"/>
        <w:rPr>
          <w:rFonts w:eastAsia="Calibri"/>
          <w:sz w:val="26"/>
          <w:szCs w:val="26"/>
          <w:lang w:eastAsia="en-US"/>
        </w:rPr>
      </w:pPr>
      <w:r w:rsidRPr="00BC3A42">
        <w:rPr>
          <w:sz w:val="26"/>
          <w:szCs w:val="26"/>
        </w:rPr>
        <w:t xml:space="preserve">Papildus minētajam jāatzīmē arī no </w:t>
      </w:r>
      <w:r w:rsidRPr="00BC3A42">
        <w:rPr>
          <w:color w:val="000000"/>
          <w:sz w:val="26"/>
          <w:szCs w:val="26"/>
        </w:rPr>
        <w:t>Eiropas Parlamenta un Padomes 2009.gada 23.aprīļa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(turpmāk – Direktīva 2009/30/EK) izrietošais pienākums</w:t>
      </w:r>
      <w:r w:rsidRPr="00BC3A42">
        <w:rPr>
          <w:rFonts w:eastAsia="Calibri"/>
          <w:snapToGrid w:val="0"/>
          <w:sz w:val="26"/>
          <w:szCs w:val="26"/>
          <w:lang w:eastAsia="en-GB"/>
        </w:rPr>
        <w:t xml:space="preserve"> degvielas piegādātājiem līdz 2020.gadam samazināt aprites cikla siltumnīcefekta gāzu emisijas uz vienu piegādātās transporta enerģijas vienību par 6% salīdzinājumā ar 2010.gada līmeni. Minētā </w:t>
      </w:r>
      <w:r w:rsidR="00F978C0" w:rsidRPr="00BC3A42">
        <w:rPr>
          <w:rFonts w:eastAsia="Calibri"/>
          <w:snapToGrid w:val="0"/>
          <w:sz w:val="26"/>
          <w:szCs w:val="26"/>
          <w:lang w:eastAsia="en-GB"/>
        </w:rPr>
        <w:t xml:space="preserve">direktīvas </w:t>
      </w:r>
      <w:r w:rsidRPr="00BC3A42">
        <w:rPr>
          <w:rFonts w:eastAsia="Calibri"/>
          <w:snapToGrid w:val="0"/>
          <w:sz w:val="26"/>
          <w:szCs w:val="26"/>
          <w:lang w:eastAsia="en-GB"/>
        </w:rPr>
        <w:t>prasība ir pārņemta ar Likuma ,,Par piesārņojumu” XI nodaļu</w:t>
      </w:r>
      <w:r w:rsidR="008525E4" w:rsidRPr="00BC3A42">
        <w:rPr>
          <w:rFonts w:eastAsia="Calibri"/>
          <w:snapToGrid w:val="0"/>
          <w:sz w:val="26"/>
          <w:szCs w:val="26"/>
          <w:lang w:eastAsia="en-GB"/>
        </w:rPr>
        <w:t xml:space="preserve"> un pakārtotajiem Ministru kabineta noteikumiem</w:t>
      </w:r>
      <w:r w:rsidR="008525E4" w:rsidRPr="00BC3A42">
        <w:t xml:space="preserve"> - </w:t>
      </w:r>
      <w:r w:rsidR="008525E4" w:rsidRPr="00BC3A42">
        <w:rPr>
          <w:rFonts w:eastAsia="Calibri"/>
          <w:snapToGrid w:val="0"/>
          <w:sz w:val="26"/>
          <w:szCs w:val="26"/>
          <w:lang w:eastAsia="en-GB"/>
        </w:rPr>
        <w:t>Ministru kabineta noteikumi Nr.597 “Transporta enerģijas aprites cikla siltumnīcefekta gāzu emisiju daudzuma un tā samazinājuma aprēķināšanas un ziņošanas kārtība” (turpmāk – MK Noteikumi Nr.597)</w:t>
      </w:r>
      <w:r w:rsidRPr="00BC3A42">
        <w:rPr>
          <w:rFonts w:eastAsia="Calibri"/>
          <w:snapToGrid w:val="0"/>
          <w:sz w:val="26"/>
          <w:szCs w:val="26"/>
          <w:lang w:eastAsia="en-GB"/>
        </w:rPr>
        <w:t>. Viena no metodēm</w:t>
      </w:r>
      <w:r w:rsidR="008525E4" w:rsidRPr="00BC3A42">
        <w:rPr>
          <w:rFonts w:eastAsia="Calibri"/>
          <w:snapToGrid w:val="0"/>
          <w:sz w:val="26"/>
          <w:szCs w:val="26"/>
          <w:lang w:eastAsia="en-GB"/>
        </w:rPr>
        <w:t>,</w:t>
      </w:r>
      <w:r w:rsidRPr="00BC3A42">
        <w:rPr>
          <w:rFonts w:eastAsia="Calibri"/>
          <w:snapToGrid w:val="0"/>
          <w:sz w:val="26"/>
          <w:szCs w:val="26"/>
          <w:lang w:eastAsia="en-GB"/>
        </w:rPr>
        <w:t xml:space="preserve"> kā panākt siltumnīcefekta gāzu emisiju samazinājumu</w:t>
      </w:r>
      <w:r w:rsidR="008525E4" w:rsidRPr="00BC3A42">
        <w:rPr>
          <w:rFonts w:eastAsia="Calibri"/>
          <w:snapToGrid w:val="0"/>
          <w:sz w:val="26"/>
          <w:szCs w:val="26"/>
          <w:lang w:eastAsia="en-GB"/>
        </w:rPr>
        <w:t>,</w:t>
      </w:r>
      <w:r w:rsidRPr="00BC3A42">
        <w:rPr>
          <w:rFonts w:eastAsia="Calibri"/>
          <w:snapToGrid w:val="0"/>
          <w:sz w:val="26"/>
          <w:szCs w:val="26"/>
          <w:lang w:eastAsia="en-GB"/>
        </w:rPr>
        <w:t xml:space="preserve"> ir biodegvielas realizēšana. Tomēr degvielas piegādātājs var izvēlēties, piemēram, siltumnīcefekta gāzu emisijas samazināt posmā pirms </w:t>
      </w:r>
      <w:proofErr w:type="spellStart"/>
      <w:r w:rsidRPr="00BC3A42">
        <w:rPr>
          <w:rFonts w:eastAsia="Calibri"/>
          <w:snapToGrid w:val="0"/>
          <w:sz w:val="26"/>
          <w:szCs w:val="26"/>
          <w:lang w:eastAsia="en-GB"/>
        </w:rPr>
        <w:t>jēlmateriāla</w:t>
      </w:r>
      <w:proofErr w:type="spellEnd"/>
      <w:r w:rsidRPr="00BC3A42">
        <w:rPr>
          <w:rFonts w:eastAsia="Calibri"/>
          <w:snapToGrid w:val="0"/>
          <w:sz w:val="26"/>
          <w:szCs w:val="26"/>
          <w:lang w:eastAsia="en-GB"/>
        </w:rPr>
        <w:t xml:space="preserve"> nokļūšanas pārstrādes rūpnīcā. Lai noteiktu, kā </w:t>
      </w:r>
      <w:r w:rsidRPr="00BC3A42">
        <w:rPr>
          <w:rFonts w:eastAsia="Calibri"/>
          <w:sz w:val="26"/>
          <w:szCs w:val="26"/>
          <w:lang w:eastAsia="en-US"/>
        </w:rPr>
        <w:t xml:space="preserve">degvielas piegādātājs nodrošina Likuma “Par piesārņojumu” 55. un 56.pantā noteiktā </w:t>
      </w:r>
      <w:r w:rsidR="00502835" w:rsidRPr="00BC3A42">
        <w:rPr>
          <w:rFonts w:eastAsia="Calibri"/>
          <w:sz w:val="26"/>
          <w:szCs w:val="26"/>
          <w:lang w:eastAsia="en-US"/>
        </w:rPr>
        <w:br/>
      </w:r>
      <w:r w:rsidRPr="00BC3A42">
        <w:rPr>
          <w:rFonts w:eastAsia="Calibri"/>
          <w:sz w:val="26"/>
          <w:szCs w:val="26"/>
          <w:lang w:eastAsia="en-US"/>
        </w:rPr>
        <w:t xml:space="preserve">pienākuma – transporta enerģijas aprites cikla siltumnīcefekta gāzu emisiju intensitātes samazinājumu, kā arī lai noteiktu, kā degvielas piegādātājs veic transporta enerģijas </w:t>
      </w:r>
      <w:r w:rsidRPr="00BC3A42">
        <w:rPr>
          <w:rFonts w:eastAsia="Calibri"/>
          <w:sz w:val="26"/>
          <w:szCs w:val="26"/>
          <w:lang w:eastAsia="en-US"/>
        </w:rPr>
        <w:lastRenderedPageBreak/>
        <w:t xml:space="preserve">aprites cikla emisiju intensitātes un tā samazinājuma, kā arī </w:t>
      </w:r>
      <w:proofErr w:type="spellStart"/>
      <w:r w:rsidRPr="00BC3A42">
        <w:rPr>
          <w:rFonts w:eastAsia="Calibri"/>
          <w:sz w:val="26"/>
          <w:szCs w:val="26"/>
          <w:lang w:eastAsia="en-US"/>
        </w:rPr>
        <w:t>augšposma</w:t>
      </w:r>
      <w:proofErr w:type="spellEnd"/>
      <w:r w:rsidRPr="00BC3A42">
        <w:rPr>
          <w:rFonts w:eastAsia="Calibri"/>
          <w:sz w:val="26"/>
          <w:szCs w:val="26"/>
          <w:lang w:eastAsia="en-US"/>
        </w:rPr>
        <w:t xml:space="preserve"> emisiju samazinājuma aprēķinus un ziņo par tiem, </w:t>
      </w:r>
      <w:r w:rsidRPr="00BC3A42">
        <w:rPr>
          <w:rFonts w:eastAsia="Calibri"/>
          <w:snapToGrid w:val="0"/>
          <w:sz w:val="26"/>
          <w:szCs w:val="26"/>
          <w:lang w:eastAsia="en-GB"/>
        </w:rPr>
        <w:t xml:space="preserve">Ministru kabinets 2018.gada 25.septembrī pieņēma </w:t>
      </w:r>
      <w:r w:rsidR="008525E4" w:rsidRPr="00BC3A42">
        <w:rPr>
          <w:rFonts w:eastAsia="Calibri"/>
          <w:snapToGrid w:val="0"/>
          <w:sz w:val="26"/>
          <w:szCs w:val="26"/>
          <w:lang w:eastAsia="en-GB"/>
        </w:rPr>
        <w:t>MK</w:t>
      </w:r>
      <w:r w:rsidRPr="00BC3A42">
        <w:rPr>
          <w:rFonts w:eastAsia="Calibri"/>
          <w:snapToGrid w:val="0"/>
          <w:sz w:val="26"/>
          <w:szCs w:val="26"/>
          <w:lang w:eastAsia="en-GB"/>
        </w:rPr>
        <w:t xml:space="preserve"> noteikumus Nr.597</w:t>
      </w:r>
      <w:r w:rsidR="008525E4" w:rsidRPr="00BC3A42">
        <w:rPr>
          <w:rFonts w:eastAsia="Calibri"/>
          <w:snapToGrid w:val="0"/>
          <w:sz w:val="26"/>
          <w:szCs w:val="26"/>
          <w:lang w:eastAsia="en-GB"/>
        </w:rPr>
        <w:t>.</w:t>
      </w:r>
    </w:p>
    <w:p w14:paraId="5C9F6D0B" w14:textId="6F9F134F" w:rsidR="00487EA8" w:rsidRPr="00BC3A42" w:rsidRDefault="00487EA8" w:rsidP="00487EA8">
      <w:pPr>
        <w:pStyle w:val="tv213"/>
        <w:spacing w:before="0" w:beforeAutospacing="0" w:after="0" w:afterAutospacing="0" w:line="293" w:lineRule="atLeast"/>
        <w:ind w:firstLine="709"/>
        <w:jc w:val="both"/>
        <w:rPr>
          <w:rFonts w:eastAsia="Calibri"/>
          <w:sz w:val="26"/>
          <w:szCs w:val="26"/>
          <w:lang w:eastAsia="en-US"/>
        </w:rPr>
      </w:pPr>
      <w:r w:rsidRPr="00BC3A42">
        <w:rPr>
          <w:rFonts w:eastAsia="Calibri"/>
          <w:sz w:val="26"/>
          <w:szCs w:val="26"/>
          <w:lang w:eastAsia="en-US"/>
        </w:rPr>
        <w:t>Latvijas transporta enerģijas galapatēriņā, lai gan</w:t>
      </w:r>
      <w:r w:rsidR="008525E4" w:rsidRPr="00BC3A42">
        <w:rPr>
          <w:rFonts w:eastAsia="Calibri"/>
          <w:sz w:val="26"/>
          <w:szCs w:val="26"/>
          <w:lang w:eastAsia="en-US"/>
        </w:rPr>
        <w:t xml:space="preserve"> tajā</w:t>
      </w:r>
      <w:r w:rsidRPr="00BC3A42">
        <w:rPr>
          <w:rFonts w:eastAsia="Calibri"/>
          <w:sz w:val="26"/>
          <w:szCs w:val="26"/>
          <w:lang w:eastAsia="en-US"/>
        </w:rPr>
        <w:t xml:space="preserve">, galvenokārt, dominē degviela, kas iegūta no naftas produktiem, nelielā apjomā bez biodegvielām, </w:t>
      </w:r>
      <w:r w:rsidR="000827F9" w:rsidRPr="00BC3A42">
        <w:rPr>
          <w:rFonts w:eastAsia="Calibri"/>
          <w:sz w:val="26"/>
          <w:szCs w:val="26"/>
          <w:lang w:eastAsia="en-US"/>
        </w:rPr>
        <w:t xml:space="preserve">būtiska loma ir arī </w:t>
      </w:r>
      <w:r w:rsidRPr="00BC3A42">
        <w:rPr>
          <w:rFonts w:eastAsia="Calibri"/>
          <w:sz w:val="26"/>
          <w:szCs w:val="26"/>
          <w:lang w:eastAsia="en-US"/>
        </w:rPr>
        <w:t>elektroenerģija</w:t>
      </w:r>
      <w:r w:rsidR="000827F9" w:rsidRPr="00BC3A42">
        <w:rPr>
          <w:rFonts w:eastAsia="Calibri"/>
          <w:sz w:val="26"/>
          <w:szCs w:val="26"/>
          <w:lang w:eastAsia="en-US"/>
        </w:rPr>
        <w:t>i</w:t>
      </w:r>
      <w:r w:rsidRPr="00BC3A42">
        <w:rPr>
          <w:rFonts w:eastAsia="Calibri"/>
          <w:sz w:val="26"/>
          <w:szCs w:val="26"/>
          <w:lang w:eastAsia="en-US"/>
        </w:rPr>
        <w:t xml:space="preserve"> kā vien</w:t>
      </w:r>
      <w:r w:rsidR="000827F9" w:rsidRPr="00BC3A42">
        <w:rPr>
          <w:rFonts w:eastAsia="Calibri"/>
          <w:sz w:val="26"/>
          <w:szCs w:val="26"/>
          <w:lang w:eastAsia="en-US"/>
        </w:rPr>
        <w:t>am</w:t>
      </w:r>
      <w:r w:rsidRPr="00BC3A42">
        <w:rPr>
          <w:rFonts w:eastAsia="Calibri"/>
          <w:sz w:val="26"/>
          <w:szCs w:val="26"/>
          <w:lang w:eastAsia="en-US"/>
        </w:rPr>
        <w:t xml:space="preserve"> no alternatīvās degvielas veidiem saskaņā ar </w:t>
      </w:r>
      <w:r w:rsidR="000827F9" w:rsidRPr="00BC3A42">
        <w:rPr>
          <w:rFonts w:eastAsia="Calibri"/>
          <w:sz w:val="26"/>
          <w:szCs w:val="26"/>
          <w:lang w:eastAsia="en-US"/>
        </w:rPr>
        <w:t>Eiropas Parlamenta un Padomes 2014.gada 22.oktobra Direktīvas 2014/94/ES par alternatīvo degvielu ieviešanu</w:t>
      </w:r>
      <w:r w:rsidR="000827F9" w:rsidRPr="00BC3A42">
        <w:rPr>
          <w:rStyle w:val="FootnoteReference"/>
          <w:rFonts w:eastAsia="Calibri"/>
          <w:sz w:val="26"/>
          <w:szCs w:val="26"/>
          <w:lang w:eastAsia="en-US"/>
        </w:rPr>
        <w:footnoteReference w:id="9"/>
      </w:r>
      <w:r w:rsidRPr="00BC3A42">
        <w:rPr>
          <w:rFonts w:eastAsia="Calibri"/>
          <w:sz w:val="26"/>
          <w:szCs w:val="26"/>
          <w:lang w:eastAsia="en-US"/>
        </w:rPr>
        <w:t xml:space="preserve"> </w:t>
      </w:r>
      <w:r w:rsidR="000827F9" w:rsidRPr="00BC3A42">
        <w:rPr>
          <w:rFonts w:eastAsia="Calibri"/>
          <w:sz w:val="26"/>
          <w:szCs w:val="26"/>
          <w:lang w:eastAsia="en-US"/>
        </w:rPr>
        <w:t xml:space="preserve">2.pantā a) apakšpunktā noteikto definīciju. Elektroenerģiju transporta sektorā patērē gan autotransportā, gan dzelzceļā, abos transporta veidos aptuveni vienādā apjomā. Tāpat būtiski ir uzsvērt, ka, aprēķinot elektroenerģijas </w:t>
      </w:r>
      <w:proofErr w:type="spellStart"/>
      <w:r w:rsidR="000827F9" w:rsidRPr="00BC3A42">
        <w:rPr>
          <w:rFonts w:eastAsia="Calibri"/>
          <w:sz w:val="26"/>
          <w:szCs w:val="26"/>
          <w:lang w:eastAsia="en-US"/>
        </w:rPr>
        <w:t>galapatēriņu</w:t>
      </w:r>
      <w:proofErr w:type="spellEnd"/>
      <w:r w:rsidR="000827F9" w:rsidRPr="00BC3A42">
        <w:rPr>
          <w:rFonts w:eastAsia="Calibri"/>
          <w:sz w:val="26"/>
          <w:szCs w:val="26"/>
          <w:lang w:eastAsia="en-US"/>
        </w:rPr>
        <w:t>, patērētās elektroenerģijas apjoms tiek uzskaitīts dubultā</w:t>
      </w:r>
      <w:r w:rsidR="005C50A2" w:rsidRPr="00BC3A42">
        <w:rPr>
          <w:rFonts w:eastAsia="Calibri"/>
          <w:sz w:val="26"/>
          <w:szCs w:val="26"/>
          <w:lang w:eastAsia="en-US"/>
        </w:rPr>
        <w:t xml:space="preserve">, sniedzot būtiskāku devumu valsts mērķī. Latvijā pakāpeniski aug arī </w:t>
      </w:r>
      <w:proofErr w:type="spellStart"/>
      <w:r w:rsidR="005C50A2" w:rsidRPr="00BC3A42">
        <w:rPr>
          <w:rFonts w:eastAsia="Calibri"/>
          <w:sz w:val="26"/>
          <w:szCs w:val="26"/>
          <w:lang w:eastAsia="en-US"/>
        </w:rPr>
        <w:t>elektrotranspor</w:t>
      </w:r>
      <w:r w:rsidR="008525E4" w:rsidRPr="00BC3A42">
        <w:rPr>
          <w:rFonts w:eastAsia="Calibri"/>
          <w:sz w:val="26"/>
          <w:szCs w:val="26"/>
          <w:lang w:eastAsia="en-US"/>
        </w:rPr>
        <w:t>t</w:t>
      </w:r>
      <w:r w:rsidR="005C50A2" w:rsidRPr="00BC3A42">
        <w:rPr>
          <w:rFonts w:eastAsia="Calibri"/>
          <w:sz w:val="26"/>
          <w:szCs w:val="26"/>
          <w:lang w:eastAsia="en-US"/>
        </w:rPr>
        <w:t>līdzekļu</w:t>
      </w:r>
      <w:proofErr w:type="spellEnd"/>
      <w:r w:rsidR="005C50A2" w:rsidRPr="00BC3A42">
        <w:rPr>
          <w:rFonts w:eastAsia="Calibri"/>
          <w:sz w:val="26"/>
          <w:szCs w:val="26"/>
          <w:lang w:eastAsia="en-US"/>
        </w:rPr>
        <w:t xml:space="preserve"> skaits. Ja uz 2015.gada 1.janvāri Latvijā pavisam bija reģistrēti 244 ar elektrību darbināmi spēkrati, tad uz 2018.gada 1.oktobri to skaits </w:t>
      </w:r>
      <w:r w:rsidR="00F6466A" w:rsidRPr="00BC3A42">
        <w:rPr>
          <w:rFonts w:eastAsia="Calibri"/>
          <w:sz w:val="26"/>
          <w:szCs w:val="26"/>
          <w:lang w:eastAsia="en-US"/>
        </w:rPr>
        <w:t>pieaudzis līdz</w:t>
      </w:r>
      <w:r w:rsidR="005C50A2" w:rsidRPr="00BC3A42">
        <w:rPr>
          <w:rFonts w:eastAsia="Calibri"/>
          <w:sz w:val="26"/>
          <w:szCs w:val="26"/>
          <w:lang w:eastAsia="en-US"/>
        </w:rPr>
        <w:t xml:space="preserve"> 520.</w:t>
      </w:r>
      <w:r w:rsidRPr="00BC3A42">
        <w:rPr>
          <w:rFonts w:eastAsia="Calibri"/>
          <w:sz w:val="26"/>
          <w:szCs w:val="26"/>
          <w:lang w:eastAsia="en-US"/>
        </w:rPr>
        <w:t xml:space="preserve">  </w:t>
      </w:r>
    </w:p>
    <w:p w14:paraId="6B273322" w14:textId="640D41E7" w:rsidR="00D60499" w:rsidRPr="00BC3A42" w:rsidRDefault="008B51E9" w:rsidP="00D85763">
      <w:pPr>
        <w:pStyle w:val="tv213"/>
        <w:spacing w:before="0" w:beforeAutospacing="0" w:after="0" w:afterAutospacing="0" w:line="293" w:lineRule="atLeast"/>
        <w:ind w:firstLine="709"/>
        <w:jc w:val="both"/>
        <w:rPr>
          <w:sz w:val="26"/>
          <w:szCs w:val="26"/>
        </w:rPr>
      </w:pPr>
      <w:r w:rsidRPr="00BC3A42">
        <w:rPr>
          <w:sz w:val="26"/>
          <w:szCs w:val="26"/>
        </w:rPr>
        <w:t xml:space="preserve">Tāpat ir izstrādāts </w:t>
      </w:r>
      <w:r w:rsidRPr="00BC3A42">
        <w:rPr>
          <w:i/>
          <w:sz w:val="26"/>
          <w:szCs w:val="26"/>
        </w:rPr>
        <w:t>SIA PricewaterhouseCoopers</w:t>
      </w:r>
      <w:r w:rsidRPr="00BC3A42">
        <w:rPr>
          <w:sz w:val="26"/>
          <w:szCs w:val="26"/>
        </w:rPr>
        <w:t xml:space="preserve"> ziņojums </w:t>
      </w:r>
      <w:r w:rsidR="0024131C" w:rsidRPr="00BC3A42">
        <w:rPr>
          <w:sz w:val="26"/>
          <w:szCs w:val="26"/>
        </w:rPr>
        <w:t>S</w:t>
      </w:r>
      <w:r w:rsidRPr="00BC3A42">
        <w:rPr>
          <w:sz w:val="26"/>
          <w:szCs w:val="26"/>
        </w:rPr>
        <w:t xml:space="preserve">atiksmes ministrijas iepirkumam “Pētījums par Eiropas Parlamenta un Padomes 2014.gada 22.oktobra Direktīvas 2014/94/ES par alternatīvo degvielu ieviešanu scenārijiem” </w:t>
      </w:r>
      <w:r w:rsidR="00502835" w:rsidRPr="00BC3A42">
        <w:rPr>
          <w:sz w:val="26"/>
          <w:szCs w:val="26"/>
        </w:rPr>
        <w:br/>
      </w:r>
      <w:r w:rsidRPr="00BC3A42">
        <w:rPr>
          <w:sz w:val="26"/>
          <w:szCs w:val="26"/>
        </w:rPr>
        <w:t>(turpmāk –</w:t>
      </w:r>
      <w:bookmarkStart w:id="2" w:name="_Hlk534712165"/>
      <w:r w:rsidR="00561965">
        <w:rPr>
          <w:sz w:val="26"/>
          <w:szCs w:val="26"/>
        </w:rPr>
        <w:t xml:space="preserve"> </w:t>
      </w:r>
      <w:r w:rsidR="00737431" w:rsidRPr="00BC3A42">
        <w:rPr>
          <w:sz w:val="26"/>
          <w:szCs w:val="26"/>
        </w:rPr>
        <w:t>P</w:t>
      </w:r>
      <w:r w:rsidRPr="00BC3A42">
        <w:rPr>
          <w:sz w:val="26"/>
          <w:szCs w:val="26"/>
        </w:rPr>
        <w:t>ētījums</w:t>
      </w:r>
      <w:bookmarkEnd w:id="2"/>
      <w:r w:rsidR="00BC3A42">
        <w:rPr>
          <w:sz w:val="26"/>
          <w:szCs w:val="26"/>
        </w:rPr>
        <w:t>)</w:t>
      </w:r>
      <w:r w:rsidRPr="00BC3A42">
        <w:rPr>
          <w:sz w:val="26"/>
          <w:szCs w:val="26"/>
        </w:rPr>
        <w:t xml:space="preserve">, kas izstrādāts, balstoties uz </w:t>
      </w:r>
      <w:r w:rsidRPr="00BC3A42">
        <w:rPr>
          <w:i/>
          <w:sz w:val="26"/>
          <w:szCs w:val="26"/>
        </w:rPr>
        <w:t>Alternatīvo degvielu attīstības plānu 2017.-2020.</w:t>
      </w:r>
      <w:r w:rsidR="00487EA8" w:rsidRPr="00BC3A42">
        <w:rPr>
          <w:i/>
          <w:sz w:val="26"/>
          <w:szCs w:val="26"/>
        </w:rPr>
        <w:t> </w:t>
      </w:r>
      <w:r w:rsidRPr="00BC3A42">
        <w:rPr>
          <w:i/>
          <w:sz w:val="26"/>
          <w:szCs w:val="26"/>
        </w:rPr>
        <w:t>gadam</w:t>
      </w:r>
      <w:r w:rsidRPr="00BC3A42">
        <w:rPr>
          <w:sz w:val="26"/>
          <w:szCs w:val="26"/>
        </w:rPr>
        <w:t xml:space="preserve">, kas apstiprināts ar Ministru kabineta 2017.gada 25.aprīļa rīkojumu </w:t>
      </w:r>
      <w:r w:rsidR="00502835" w:rsidRPr="00BC3A42">
        <w:rPr>
          <w:sz w:val="26"/>
          <w:szCs w:val="26"/>
        </w:rPr>
        <w:t>Nr.</w:t>
      </w:r>
      <w:r w:rsidRPr="00BC3A42">
        <w:rPr>
          <w:sz w:val="26"/>
          <w:szCs w:val="26"/>
        </w:rPr>
        <w:t xml:space="preserve">202. </w:t>
      </w:r>
      <w:r w:rsidR="00737431" w:rsidRPr="00BC3A42">
        <w:rPr>
          <w:sz w:val="26"/>
          <w:szCs w:val="26"/>
        </w:rPr>
        <w:t>P</w:t>
      </w:r>
      <w:r w:rsidRPr="00BC3A42">
        <w:rPr>
          <w:sz w:val="26"/>
          <w:szCs w:val="26"/>
        </w:rPr>
        <w:t xml:space="preserve">ētījuma mērķis ir noteikt Latvijas tautsaimniecībai efektīvāko alternatīvo degvielu infrastruktūras ieviešanas scenāriju, tajā skatot dažādu alternatīvo </w:t>
      </w:r>
      <w:r w:rsidR="00502835" w:rsidRPr="00BC3A42">
        <w:rPr>
          <w:sz w:val="26"/>
          <w:szCs w:val="26"/>
        </w:rPr>
        <w:br/>
      </w:r>
      <w:r w:rsidRPr="00BC3A42">
        <w:rPr>
          <w:sz w:val="26"/>
          <w:szCs w:val="26"/>
        </w:rPr>
        <w:t>degvielu – elektroenerģija, saspiestā dabasgāze, sašķidrinātā dabasgāze, ūdeņradis, biodegvielas</w:t>
      </w:r>
      <w:r w:rsidR="000141BD" w:rsidRPr="00BC3A42">
        <w:rPr>
          <w:sz w:val="26"/>
          <w:szCs w:val="26"/>
        </w:rPr>
        <w:t xml:space="preserve"> –</w:t>
      </w:r>
      <w:r w:rsidRPr="00BC3A42">
        <w:rPr>
          <w:sz w:val="26"/>
          <w:szCs w:val="26"/>
        </w:rPr>
        <w:t xml:space="preserve"> infrastruktū</w:t>
      </w:r>
      <w:r w:rsidR="00737431" w:rsidRPr="00BC3A42">
        <w:rPr>
          <w:sz w:val="26"/>
          <w:szCs w:val="26"/>
        </w:rPr>
        <w:t>r</w:t>
      </w:r>
      <w:r w:rsidRPr="00BC3A42">
        <w:rPr>
          <w:sz w:val="26"/>
          <w:szCs w:val="26"/>
        </w:rPr>
        <w:t>as ieviešanas scenārijus autotransporta</w:t>
      </w:r>
      <w:r w:rsidR="00737431" w:rsidRPr="00BC3A42">
        <w:rPr>
          <w:sz w:val="26"/>
          <w:szCs w:val="26"/>
        </w:rPr>
        <w:t xml:space="preserve"> </w:t>
      </w:r>
      <w:r w:rsidRPr="00BC3A42">
        <w:rPr>
          <w:sz w:val="26"/>
          <w:szCs w:val="26"/>
        </w:rPr>
        <w:t>sektorā</w:t>
      </w:r>
      <w:r w:rsidR="00487EA8" w:rsidRPr="00BC3A42">
        <w:rPr>
          <w:sz w:val="26"/>
          <w:szCs w:val="26"/>
        </w:rPr>
        <w:t>, sniedzot ieteikumus</w:t>
      </w:r>
      <w:r w:rsidR="00737431" w:rsidRPr="00BC3A42">
        <w:rPr>
          <w:sz w:val="26"/>
          <w:szCs w:val="26"/>
        </w:rPr>
        <w:t xml:space="preserve"> alternatīvo degvielu sektoru attīstība</w:t>
      </w:r>
      <w:r w:rsidR="00487EA8" w:rsidRPr="00BC3A42">
        <w:rPr>
          <w:sz w:val="26"/>
          <w:szCs w:val="26"/>
        </w:rPr>
        <w:t xml:space="preserve">i. </w:t>
      </w:r>
    </w:p>
    <w:p w14:paraId="3D123A98" w14:textId="2ED59B89" w:rsidR="008C0070" w:rsidRPr="00BC3A42" w:rsidRDefault="0091045A" w:rsidP="00675E61">
      <w:pPr>
        <w:pStyle w:val="Heading1"/>
        <w:numPr>
          <w:ilvl w:val="0"/>
          <w:numId w:val="12"/>
        </w:numPr>
      </w:pPr>
      <w:r w:rsidRPr="00BC3A42">
        <w:t>Degvielas kvalitāte un</w:t>
      </w:r>
      <w:r w:rsidR="008C0070" w:rsidRPr="00BC3A42">
        <w:t xml:space="preserve"> </w:t>
      </w:r>
      <w:r w:rsidRPr="00BC3A42">
        <w:t xml:space="preserve">ar </w:t>
      </w:r>
      <w:r w:rsidR="008C0070" w:rsidRPr="00BC3A42">
        <w:t>biodegvielas izmantošan</w:t>
      </w:r>
      <w:r w:rsidRPr="00BC3A42">
        <w:t>u saistītie ierobežojumi</w:t>
      </w:r>
    </w:p>
    <w:p w14:paraId="70CB63D0" w14:textId="77777777" w:rsidR="008C0070" w:rsidRPr="00BC3A42" w:rsidRDefault="0031453C" w:rsidP="008C0070">
      <w:pPr>
        <w:pStyle w:val="ListParagraph"/>
        <w:ind w:left="0" w:firstLine="567"/>
        <w:jc w:val="both"/>
        <w:rPr>
          <w:sz w:val="26"/>
          <w:szCs w:val="26"/>
          <w:lang w:val="lv-LV"/>
        </w:rPr>
      </w:pPr>
      <w:r w:rsidRPr="00BC3A42">
        <w:rPr>
          <w:sz w:val="26"/>
          <w:szCs w:val="26"/>
          <w:lang w:val="lv-LV"/>
        </w:rPr>
        <w:t>ES</w:t>
      </w:r>
      <w:r w:rsidR="008C0070" w:rsidRPr="00BC3A42">
        <w:rPr>
          <w:sz w:val="26"/>
          <w:szCs w:val="26"/>
          <w:lang w:val="lv-LV"/>
        </w:rPr>
        <w:t xml:space="preserve"> degvielas kvalitātes prasības, tostarp arī biodegvielu piejaukšanas limitus nosaka Degvielas kvalitātes direktīva. Degvielas kvalitātes direktīvas un tās grozījumu prasības </w:t>
      </w:r>
      <w:r w:rsidR="000141BD" w:rsidRPr="00BC3A42">
        <w:rPr>
          <w:sz w:val="26"/>
          <w:szCs w:val="26"/>
          <w:lang w:val="lv-LV"/>
        </w:rPr>
        <w:t xml:space="preserve">ietvertas šādos </w:t>
      </w:r>
      <w:r w:rsidR="008C0070" w:rsidRPr="00BC3A42">
        <w:rPr>
          <w:sz w:val="26"/>
          <w:szCs w:val="26"/>
          <w:lang w:val="lv-LV"/>
        </w:rPr>
        <w:t>nacionāla</w:t>
      </w:r>
      <w:r w:rsidR="000141BD" w:rsidRPr="00BC3A42">
        <w:rPr>
          <w:sz w:val="26"/>
          <w:szCs w:val="26"/>
          <w:lang w:val="lv-LV"/>
        </w:rPr>
        <w:t>jos</w:t>
      </w:r>
      <w:r w:rsidR="008C0070" w:rsidRPr="00BC3A42">
        <w:rPr>
          <w:sz w:val="26"/>
          <w:szCs w:val="26"/>
          <w:lang w:val="lv-LV"/>
        </w:rPr>
        <w:t xml:space="preserve"> </w:t>
      </w:r>
      <w:r w:rsidR="000141BD" w:rsidRPr="00BC3A42">
        <w:rPr>
          <w:sz w:val="26"/>
          <w:szCs w:val="26"/>
          <w:lang w:val="lv-LV"/>
        </w:rPr>
        <w:t>normatīvajos tiesību aktos</w:t>
      </w:r>
      <w:r w:rsidR="008C0070" w:rsidRPr="00BC3A42">
        <w:rPr>
          <w:sz w:val="26"/>
          <w:szCs w:val="26"/>
          <w:lang w:val="lv-LV"/>
        </w:rPr>
        <w:t>:</w:t>
      </w:r>
    </w:p>
    <w:p w14:paraId="45C1278F" w14:textId="77777777" w:rsidR="008C0070" w:rsidRPr="00BC3A42" w:rsidRDefault="008C0070" w:rsidP="00204D62">
      <w:pPr>
        <w:pStyle w:val="ListParagraph"/>
        <w:numPr>
          <w:ilvl w:val="0"/>
          <w:numId w:val="10"/>
        </w:numPr>
        <w:spacing w:before="120"/>
        <w:contextualSpacing w:val="0"/>
        <w:jc w:val="both"/>
        <w:rPr>
          <w:sz w:val="26"/>
          <w:szCs w:val="26"/>
          <w:lang w:val="lv-LV"/>
        </w:rPr>
      </w:pPr>
      <w:r w:rsidRPr="00BC3A42">
        <w:rPr>
          <w:sz w:val="26"/>
          <w:szCs w:val="26"/>
          <w:lang w:val="lv-LV"/>
        </w:rPr>
        <w:t>Likums “Par piesārņojumu”;</w:t>
      </w:r>
    </w:p>
    <w:p w14:paraId="1E1782AD" w14:textId="77777777" w:rsidR="008C0070" w:rsidRPr="00BC3A42" w:rsidRDefault="008C0070" w:rsidP="00204D62">
      <w:pPr>
        <w:pStyle w:val="ListParagraph"/>
        <w:numPr>
          <w:ilvl w:val="0"/>
          <w:numId w:val="10"/>
        </w:numPr>
        <w:spacing w:before="120" w:after="120"/>
        <w:jc w:val="both"/>
        <w:rPr>
          <w:sz w:val="26"/>
          <w:szCs w:val="26"/>
          <w:lang w:val="lv-LV"/>
        </w:rPr>
      </w:pPr>
      <w:r w:rsidRPr="00BC3A42">
        <w:rPr>
          <w:sz w:val="26"/>
          <w:szCs w:val="26"/>
          <w:lang w:val="lv-LV"/>
        </w:rPr>
        <w:t>MK Noteikumi Nr.332;</w:t>
      </w:r>
    </w:p>
    <w:p w14:paraId="06FCE5A4" w14:textId="77777777" w:rsidR="008C0070" w:rsidRPr="00BC3A42" w:rsidRDefault="008C0070" w:rsidP="00204D62">
      <w:pPr>
        <w:pStyle w:val="ListParagraph"/>
        <w:numPr>
          <w:ilvl w:val="0"/>
          <w:numId w:val="10"/>
        </w:numPr>
        <w:spacing w:before="120" w:after="120"/>
        <w:jc w:val="both"/>
        <w:rPr>
          <w:sz w:val="26"/>
          <w:szCs w:val="26"/>
          <w:lang w:val="lv-LV"/>
        </w:rPr>
      </w:pPr>
      <w:r w:rsidRPr="00BC3A42">
        <w:rPr>
          <w:sz w:val="26"/>
          <w:szCs w:val="26"/>
          <w:lang w:val="lv-LV"/>
        </w:rPr>
        <w:t>Ministru kabineta 2005.gada 18.oktobra noteikumi Nr.772 “Noteikumi par biodegvielas kvalitātes prasībām, atbilstības novērtēšanu, tirgus uzraudzību un patērētāju informēšanas kārtību” (turpmāk – MK Noteikumi Nr.772);</w:t>
      </w:r>
    </w:p>
    <w:p w14:paraId="2F02804C" w14:textId="77777777" w:rsidR="008C0070" w:rsidRPr="00BC3A42" w:rsidRDefault="008C0070" w:rsidP="00204D62">
      <w:pPr>
        <w:pStyle w:val="ListParagraph"/>
        <w:numPr>
          <w:ilvl w:val="0"/>
          <w:numId w:val="10"/>
        </w:numPr>
        <w:spacing w:before="120" w:after="120"/>
        <w:jc w:val="both"/>
        <w:rPr>
          <w:sz w:val="26"/>
          <w:szCs w:val="26"/>
          <w:lang w:val="lv-LV"/>
        </w:rPr>
      </w:pPr>
      <w:r w:rsidRPr="00BC3A42">
        <w:rPr>
          <w:sz w:val="26"/>
          <w:szCs w:val="26"/>
          <w:lang w:val="lv-LV"/>
        </w:rPr>
        <w:t xml:space="preserve">Ministru kabineta 2018.gada 25.septembra noteikumi Nr. 597 “Transporta enerģijas aprites cikla siltumnīcefekta gāzu emisiju daudzuma un tā samazinājuma aprēķināšanas un ziņošanas kārtība”; </w:t>
      </w:r>
    </w:p>
    <w:p w14:paraId="0E00B489" w14:textId="77777777" w:rsidR="008C0070" w:rsidRPr="00BC3A42" w:rsidRDefault="008C0070" w:rsidP="00204D62">
      <w:pPr>
        <w:pStyle w:val="ListParagraph"/>
        <w:numPr>
          <w:ilvl w:val="0"/>
          <w:numId w:val="10"/>
        </w:numPr>
        <w:spacing w:before="120" w:after="120"/>
        <w:jc w:val="both"/>
        <w:rPr>
          <w:sz w:val="26"/>
          <w:szCs w:val="26"/>
          <w:lang w:val="lv-LV"/>
        </w:rPr>
      </w:pPr>
      <w:r w:rsidRPr="00BC3A42">
        <w:rPr>
          <w:sz w:val="26"/>
          <w:szCs w:val="26"/>
          <w:lang w:val="lv-LV"/>
        </w:rPr>
        <w:t>Ministru kabineta 2006.gada 26.septembra noteikumi Nr.801 “Noteikumi par sēra satura ierobežošanu atsevišķiem šķidrās degvielas veidiem”.</w:t>
      </w:r>
    </w:p>
    <w:p w14:paraId="4C1AA5D7" w14:textId="62EC79BE" w:rsidR="0091045A" w:rsidRPr="00BC3A42" w:rsidRDefault="0091045A" w:rsidP="0091045A">
      <w:pPr>
        <w:ind w:firstLine="717"/>
        <w:jc w:val="both"/>
        <w:rPr>
          <w:sz w:val="26"/>
          <w:szCs w:val="26"/>
        </w:rPr>
      </w:pPr>
      <w:r w:rsidRPr="00BC3A42">
        <w:rPr>
          <w:sz w:val="26"/>
          <w:szCs w:val="26"/>
        </w:rPr>
        <w:t>Vairākas ES dalībvalstis ir noteikušas stingrākas kvalitātes prasības benzīnam un dīzeļdegvielai</w:t>
      </w:r>
      <w:r w:rsidR="000141BD" w:rsidRPr="00BC3A42">
        <w:rPr>
          <w:sz w:val="26"/>
          <w:szCs w:val="26"/>
        </w:rPr>
        <w:t>,</w:t>
      </w:r>
      <w:r w:rsidRPr="00BC3A42">
        <w:rPr>
          <w:sz w:val="26"/>
          <w:szCs w:val="26"/>
        </w:rPr>
        <w:t xml:space="preserve"> </w:t>
      </w:r>
      <w:r w:rsidR="000141BD" w:rsidRPr="00BC3A42">
        <w:rPr>
          <w:sz w:val="26"/>
          <w:szCs w:val="26"/>
        </w:rPr>
        <w:t>kā</w:t>
      </w:r>
      <w:r w:rsidRPr="00BC3A42">
        <w:rPr>
          <w:sz w:val="26"/>
          <w:szCs w:val="26"/>
        </w:rPr>
        <w:t xml:space="preserve"> tas izriet no Degvielas kvalitātes direktīvas, nosakot, ka benzīna </w:t>
      </w:r>
      <w:r w:rsidRPr="00BC3A42">
        <w:rPr>
          <w:sz w:val="26"/>
          <w:szCs w:val="26"/>
        </w:rPr>
        <w:lastRenderedPageBreak/>
        <w:t xml:space="preserve">un dīzeļdegvielas kvalitātei ir jāatbilst ES standartu prasībām, kuros ir izvirzīti vairāki kvalitāti raksturojoši lielumi, nekā tas ir Degvielas kvalitātes direktīvā. Tā rezultātā </w:t>
      </w:r>
      <w:r w:rsidR="00EC6C8D">
        <w:rPr>
          <w:sz w:val="26"/>
          <w:szCs w:val="26"/>
        </w:rPr>
        <w:t xml:space="preserve">var </w:t>
      </w:r>
      <w:r w:rsidRPr="00BC3A42">
        <w:rPr>
          <w:sz w:val="26"/>
          <w:szCs w:val="26"/>
        </w:rPr>
        <w:t>veido</w:t>
      </w:r>
      <w:r w:rsidR="00EC6C8D">
        <w:rPr>
          <w:sz w:val="26"/>
          <w:szCs w:val="26"/>
        </w:rPr>
        <w:t>ties nebūtisks</w:t>
      </w:r>
      <w:r w:rsidRPr="00BC3A42">
        <w:rPr>
          <w:sz w:val="26"/>
          <w:szCs w:val="26"/>
        </w:rPr>
        <w:t xml:space="preserve"> </w:t>
      </w:r>
      <w:r w:rsidR="00EC6C8D">
        <w:rPr>
          <w:sz w:val="26"/>
          <w:szCs w:val="26"/>
        </w:rPr>
        <w:t xml:space="preserve">degvielas cenu pieaugums, </w:t>
      </w:r>
      <w:r w:rsidR="006D2BF8">
        <w:rPr>
          <w:sz w:val="26"/>
          <w:szCs w:val="26"/>
        </w:rPr>
        <w:t>jo degvielas piegādātājiem būtu</w:t>
      </w:r>
      <w:r w:rsidR="00EC6C8D">
        <w:rPr>
          <w:sz w:val="26"/>
          <w:szCs w:val="26"/>
        </w:rPr>
        <w:t xml:space="preserve"> </w:t>
      </w:r>
      <w:r w:rsidRPr="00BC3A42">
        <w:rPr>
          <w:sz w:val="26"/>
          <w:szCs w:val="26"/>
        </w:rPr>
        <w:t>augstākas degvielas sertifikācijas izmaksas</w:t>
      </w:r>
      <w:r w:rsidR="000141BD" w:rsidRPr="00BC3A42">
        <w:rPr>
          <w:sz w:val="26"/>
          <w:szCs w:val="26"/>
        </w:rPr>
        <w:t>.</w:t>
      </w:r>
      <w:r w:rsidR="00EC6C8D">
        <w:rPr>
          <w:sz w:val="26"/>
          <w:szCs w:val="26"/>
        </w:rPr>
        <w:t xml:space="preserve"> </w:t>
      </w:r>
      <w:r w:rsidR="006D2BF8">
        <w:rPr>
          <w:sz w:val="26"/>
          <w:szCs w:val="26"/>
        </w:rPr>
        <w:t>Tomēr ļoti iespējams, ka l</w:t>
      </w:r>
      <w:r w:rsidR="00EC6C8D">
        <w:rPr>
          <w:sz w:val="26"/>
          <w:szCs w:val="26"/>
        </w:rPr>
        <w:t xml:space="preserve">aika gaitā </w:t>
      </w:r>
      <w:r w:rsidR="006D2BF8">
        <w:rPr>
          <w:sz w:val="26"/>
          <w:szCs w:val="26"/>
        </w:rPr>
        <w:t>šis izmaksu pieaugums kompensētos uz transportlīdzekļu apkopju veikšanas rēķina (īpaši transportlīdzekļiem ar dīzeļdzinēju)</w:t>
      </w:r>
      <w:r w:rsidR="00EC6C8D">
        <w:rPr>
          <w:sz w:val="26"/>
          <w:szCs w:val="26"/>
        </w:rPr>
        <w:t xml:space="preserve">. </w:t>
      </w:r>
      <w:r w:rsidRPr="00BC3A42">
        <w:rPr>
          <w:sz w:val="26"/>
          <w:szCs w:val="26"/>
        </w:rPr>
        <w:t>Viena no valstīm ar stingrākām degvielas prasībām ir Igaunija, kurā degvielas kvalitātes uzraudzība ir ļoti augstā līmenī, jo tā tiek cieši asociēta ar gaisa piesārņojumu, kura novēršana potenciāli var pagarināt vidējo mūža ilgumu iedzīvotājiem. Ņemot vērā minēto</w:t>
      </w:r>
      <w:r w:rsidR="000141BD" w:rsidRPr="00BC3A42">
        <w:rPr>
          <w:sz w:val="26"/>
          <w:szCs w:val="26"/>
        </w:rPr>
        <w:t>,</w:t>
      </w:r>
      <w:r w:rsidRPr="00BC3A42">
        <w:rPr>
          <w:sz w:val="26"/>
          <w:szCs w:val="26"/>
        </w:rPr>
        <w:t xml:space="preserve"> Igaunijā</w:t>
      </w:r>
      <w:r w:rsidR="006D2BF8">
        <w:rPr>
          <w:sz w:val="26"/>
          <w:szCs w:val="26"/>
        </w:rPr>
        <w:t xml:space="preserve"> tiek veiktas regulāras degvielas tirdzniecības vietu pārbaudes, kuros tiek ņemti degvielas paraugi, kurus testē Igaunijas </w:t>
      </w:r>
      <w:r w:rsidR="00DE65C8">
        <w:rPr>
          <w:sz w:val="26"/>
          <w:szCs w:val="26"/>
        </w:rPr>
        <w:t xml:space="preserve">vides </w:t>
      </w:r>
      <w:r w:rsidR="006D2BF8">
        <w:rPr>
          <w:sz w:val="26"/>
          <w:szCs w:val="26"/>
        </w:rPr>
        <w:t>izpēt</w:t>
      </w:r>
      <w:r w:rsidR="00DE65C8">
        <w:rPr>
          <w:sz w:val="26"/>
          <w:szCs w:val="26"/>
        </w:rPr>
        <w:t>e</w:t>
      </w:r>
      <w:r w:rsidR="006D2BF8">
        <w:rPr>
          <w:sz w:val="26"/>
          <w:szCs w:val="26"/>
        </w:rPr>
        <w:t xml:space="preserve">s </w:t>
      </w:r>
      <w:r w:rsidR="00DE65C8">
        <w:rPr>
          <w:sz w:val="26"/>
          <w:szCs w:val="26"/>
        </w:rPr>
        <w:t>centrā</w:t>
      </w:r>
      <w:r w:rsidR="006D2BF8">
        <w:rPr>
          <w:sz w:val="26"/>
          <w:szCs w:val="26"/>
        </w:rPr>
        <w:t>. Papildus tam Igaunij</w:t>
      </w:r>
      <w:r w:rsidR="00DE65C8">
        <w:rPr>
          <w:sz w:val="26"/>
          <w:szCs w:val="26"/>
        </w:rPr>
        <w:t>a</w:t>
      </w:r>
      <w:r w:rsidRPr="00BC3A42">
        <w:rPr>
          <w:sz w:val="26"/>
          <w:szCs w:val="26"/>
        </w:rPr>
        <w:t xml:space="preserve"> ir ievies</w:t>
      </w:r>
      <w:r w:rsidR="00DE65C8">
        <w:rPr>
          <w:sz w:val="26"/>
          <w:szCs w:val="26"/>
        </w:rPr>
        <w:t>usi</w:t>
      </w:r>
      <w:r w:rsidRPr="00BC3A42">
        <w:rPr>
          <w:sz w:val="26"/>
          <w:szCs w:val="26"/>
        </w:rPr>
        <w:t xml:space="preserve"> gaisa kvalitātes monitoringa sistēm</w:t>
      </w:r>
      <w:r w:rsidR="00DE65C8">
        <w:rPr>
          <w:sz w:val="26"/>
          <w:szCs w:val="26"/>
        </w:rPr>
        <w:t>u</w:t>
      </w:r>
      <w:r w:rsidRPr="00BC3A42">
        <w:rPr>
          <w:sz w:val="26"/>
          <w:szCs w:val="26"/>
        </w:rPr>
        <w:t xml:space="preserve"> nacionālā, nevis pašvaldību līmenī</w:t>
      </w:r>
      <w:r w:rsidR="00DE65C8">
        <w:rPr>
          <w:sz w:val="26"/>
          <w:szCs w:val="26"/>
        </w:rPr>
        <w:t xml:space="preserve">.  </w:t>
      </w:r>
    </w:p>
    <w:p w14:paraId="3558FA2E" w14:textId="46A5F9BB" w:rsidR="0091045A" w:rsidRPr="00BC3A42" w:rsidRDefault="0091045A" w:rsidP="0091045A">
      <w:pPr>
        <w:ind w:firstLine="717"/>
        <w:jc w:val="both"/>
        <w:rPr>
          <w:sz w:val="26"/>
          <w:szCs w:val="26"/>
        </w:rPr>
      </w:pPr>
      <w:r w:rsidRPr="00BC3A42">
        <w:rPr>
          <w:sz w:val="26"/>
          <w:szCs w:val="26"/>
        </w:rPr>
        <w:t>Pasaules Veselības organizācija vairākos savos pētījumos</w:t>
      </w:r>
      <w:r w:rsidRPr="00BC3A42">
        <w:rPr>
          <w:rStyle w:val="FootnoteReference"/>
          <w:sz w:val="26"/>
          <w:szCs w:val="26"/>
        </w:rPr>
        <w:footnoteReference w:id="10"/>
      </w:r>
      <w:r w:rsidRPr="00BC3A42">
        <w:rPr>
          <w:sz w:val="26"/>
          <w:szCs w:val="26"/>
        </w:rPr>
        <w:t xml:space="preserve"> ir norādījusi, ka transportlīdzekļu radītās izplūdes gāzes atstāj </w:t>
      </w:r>
      <w:r w:rsidR="00D60499" w:rsidRPr="00BC3A42">
        <w:rPr>
          <w:sz w:val="26"/>
          <w:szCs w:val="26"/>
        </w:rPr>
        <w:t>nelabvēlīgu ietekmi</w:t>
      </w:r>
      <w:r w:rsidRPr="00BC3A42">
        <w:rPr>
          <w:sz w:val="26"/>
          <w:szCs w:val="26"/>
        </w:rPr>
        <w:t xml:space="preserve"> uz cilvēku veselību. Šīs</w:t>
      </w:r>
      <w:r w:rsidR="00D60499" w:rsidRPr="00BC3A42">
        <w:rPr>
          <w:sz w:val="26"/>
          <w:szCs w:val="26"/>
        </w:rPr>
        <w:t xml:space="preserve"> ietekme</w:t>
      </w:r>
      <w:r w:rsidR="000141BD" w:rsidRPr="00BC3A42">
        <w:rPr>
          <w:sz w:val="26"/>
          <w:szCs w:val="26"/>
        </w:rPr>
        <w:t xml:space="preserve"> </w:t>
      </w:r>
      <w:r w:rsidRPr="00BC3A42">
        <w:rPr>
          <w:sz w:val="26"/>
          <w:szCs w:val="26"/>
        </w:rPr>
        <w:t>ir vēl lielāk</w:t>
      </w:r>
      <w:r w:rsidR="009A6827" w:rsidRPr="00BC3A42">
        <w:rPr>
          <w:sz w:val="26"/>
          <w:szCs w:val="26"/>
        </w:rPr>
        <w:t>a</w:t>
      </w:r>
      <w:r w:rsidRPr="00BC3A42">
        <w:rPr>
          <w:sz w:val="26"/>
          <w:szCs w:val="26"/>
        </w:rPr>
        <w:t>, ja ir bijušas kādas degvielas kvalitātes neatbilstības un ilgtermiņā ir ietekmēta transportlīdzekļa degvielas padeves sistēma</w:t>
      </w:r>
      <w:r w:rsidR="009A6827" w:rsidRPr="00BC3A42">
        <w:rPr>
          <w:sz w:val="26"/>
          <w:szCs w:val="26"/>
        </w:rPr>
        <w:t>,</w:t>
      </w:r>
      <w:r w:rsidRPr="00BC3A42">
        <w:rPr>
          <w:sz w:val="26"/>
          <w:szCs w:val="26"/>
        </w:rPr>
        <w:t xml:space="preserve"> kā rezultātā var sākties nepilnīgs degvielas sadedzināšanas process dzinējā. Nepilnīga degvielas sadedzināšanas procesa rezultātā tiek radītas tādas cilvēka veselībai kaitīgas vielas</w:t>
      </w:r>
      <w:r w:rsidR="000141BD" w:rsidRPr="00BC3A42">
        <w:rPr>
          <w:sz w:val="26"/>
          <w:szCs w:val="26"/>
        </w:rPr>
        <w:t>,</w:t>
      </w:r>
      <w:r w:rsidRPr="00BC3A42">
        <w:rPr>
          <w:sz w:val="26"/>
          <w:szCs w:val="26"/>
        </w:rPr>
        <w:t xml:space="preserve"> kā oglekļa monoksīds (CO), dažādi slāpekļa savienojumi (</w:t>
      </w:r>
      <w:proofErr w:type="spellStart"/>
      <w:r w:rsidRPr="00BC3A42">
        <w:rPr>
          <w:sz w:val="26"/>
          <w:szCs w:val="26"/>
        </w:rPr>
        <w:t>NO</w:t>
      </w:r>
      <w:r w:rsidRPr="00BC3A42">
        <w:rPr>
          <w:sz w:val="26"/>
          <w:szCs w:val="26"/>
          <w:vertAlign w:val="subscript"/>
        </w:rPr>
        <w:t>x</w:t>
      </w:r>
      <w:proofErr w:type="spellEnd"/>
      <w:r w:rsidRPr="00BC3A42">
        <w:rPr>
          <w:sz w:val="26"/>
          <w:szCs w:val="26"/>
        </w:rPr>
        <w:t>), dažādi toksiski ogļūdeņražu savienojumi, kā arī cietās daļiņas, kas var ilgstoši uzglabāties cilvēku elpvados un plaušās</w:t>
      </w:r>
      <w:r w:rsidR="000141BD" w:rsidRPr="00BC3A42">
        <w:rPr>
          <w:sz w:val="26"/>
          <w:szCs w:val="26"/>
        </w:rPr>
        <w:t>, palielinot saslimstību ar astmu</w:t>
      </w:r>
      <w:r w:rsidR="00DE65C8">
        <w:rPr>
          <w:sz w:val="26"/>
          <w:szCs w:val="26"/>
        </w:rPr>
        <w:t xml:space="preserve">, </w:t>
      </w:r>
      <w:r w:rsidR="000141BD" w:rsidRPr="00BC3A42">
        <w:rPr>
          <w:sz w:val="26"/>
          <w:szCs w:val="26"/>
        </w:rPr>
        <w:t>elpceļu slimībām</w:t>
      </w:r>
      <w:r w:rsidR="00DE65C8">
        <w:rPr>
          <w:sz w:val="26"/>
          <w:szCs w:val="26"/>
        </w:rPr>
        <w:t xml:space="preserve"> un radot nepatīkamas smakas apkārtējā gaisā</w:t>
      </w:r>
      <w:r w:rsidRPr="00BC3A42">
        <w:rPr>
          <w:sz w:val="26"/>
          <w:szCs w:val="26"/>
        </w:rPr>
        <w:t xml:space="preserve">. </w:t>
      </w:r>
    </w:p>
    <w:p w14:paraId="31827EB8" w14:textId="2D9A35D7" w:rsidR="0031453C" w:rsidRPr="00BC3A42" w:rsidRDefault="008C0070" w:rsidP="00BD24C0">
      <w:pPr>
        <w:ind w:firstLine="717"/>
        <w:jc w:val="both"/>
        <w:rPr>
          <w:sz w:val="26"/>
          <w:szCs w:val="26"/>
        </w:rPr>
      </w:pPr>
      <w:r w:rsidRPr="00BC3A42">
        <w:rPr>
          <w:sz w:val="26"/>
          <w:szCs w:val="26"/>
        </w:rPr>
        <w:t xml:space="preserve">Atjaunojamo energoresursu direktīva definē biodegvielu kā jebkuru </w:t>
      </w:r>
      <w:proofErr w:type="spellStart"/>
      <w:r w:rsidRPr="00BC3A42">
        <w:rPr>
          <w:sz w:val="26"/>
          <w:szCs w:val="26"/>
        </w:rPr>
        <w:t>iekšdedzes</w:t>
      </w:r>
      <w:proofErr w:type="spellEnd"/>
      <w:r w:rsidRPr="00BC3A42">
        <w:rPr>
          <w:sz w:val="26"/>
          <w:szCs w:val="26"/>
        </w:rPr>
        <w:t xml:space="preserve"> motoros izmantojamu šķidro vai gāzveida degvielu, ko iegūst no biomasas.</w:t>
      </w:r>
      <w:r w:rsidRPr="00BC3A42">
        <w:t xml:space="preserve"> </w:t>
      </w:r>
      <w:r w:rsidRPr="00BC3A42">
        <w:rPr>
          <w:sz w:val="26"/>
          <w:szCs w:val="26"/>
        </w:rPr>
        <w:t>Būtiski izcelt, ka pieejamo dažādu biodegvielu veidu skaits pasaulē ir mainīgs</w:t>
      </w:r>
      <w:r w:rsidR="00CE3407" w:rsidRPr="00BC3A42">
        <w:rPr>
          <w:sz w:val="26"/>
          <w:szCs w:val="26"/>
        </w:rPr>
        <w:t xml:space="preserve"> ar augšupejošu tendenci</w:t>
      </w:r>
      <w:r w:rsidRPr="00BC3A42">
        <w:rPr>
          <w:sz w:val="26"/>
          <w:szCs w:val="26"/>
        </w:rPr>
        <w:t>, jo tas ir atkarīgs gan no biodegvielas komerciālā potenciāla, gan no zinātn</w:t>
      </w:r>
      <w:r w:rsidR="009A6827" w:rsidRPr="00BC3A42">
        <w:rPr>
          <w:sz w:val="26"/>
          <w:szCs w:val="26"/>
        </w:rPr>
        <w:t>es</w:t>
      </w:r>
      <w:r w:rsidRPr="00BC3A42">
        <w:rPr>
          <w:sz w:val="26"/>
          <w:szCs w:val="26"/>
        </w:rPr>
        <w:t xml:space="preserve"> attīstības, kuras rezultātā aizvien jaunas izejvielas tiek izmantotas, lai iegūtu biodegvielu.</w:t>
      </w:r>
      <w:r w:rsidR="00CE3407" w:rsidRPr="00BC3A42">
        <w:rPr>
          <w:sz w:val="26"/>
          <w:szCs w:val="26"/>
        </w:rPr>
        <w:t xml:space="preserve"> </w:t>
      </w:r>
      <w:r w:rsidRPr="00BC3A42">
        <w:rPr>
          <w:sz w:val="26"/>
          <w:szCs w:val="26"/>
        </w:rPr>
        <w:t xml:space="preserve">Daži no populārākajiem biodegvielu veidiem šobrīd </w:t>
      </w:r>
      <w:r w:rsidR="000141BD" w:rsidRPr="00BC3A42">
        <w:rPr>
          <w:sz w:val="26"/>
          <w:szCs w:val="26"/>
        </w:rPr>
        <w:t>ES</w:t>
      </w:r>
      <w:r w:rsidR="0031453C" w:rsidRPr="00BC3A42">
        <w:rPr>
          <w:sz w:val="26"/>
          <w:szCs w:val="26"/>
        </w:rPr>
        <w:t xml:space="preserve"> </w:t>
      </w:r>
      <w:r w:rsidRPr="00BC3A42">
        <w:rPr>
          <w:sz w:val="26"/>
          <w:szCs w:val="26"/>
        </w:rPr>
        <w:t xml:space="preserve">un pasaulē ir </w:t>
      </w:r>
      <w:r w:rsidR="00374A01" w:rsidRPr="00BC3A42">
        <w:rPr>
          <w:sz w:val="26"/>
          <w:szCs w:val="26"/>
        </w:rPr>
        <w:t xml:space="preserve">biodīzeļdegviela/ </w:t>
      </w:r>
      <w:r w:rsidRPr="00BC3A42">
        <w:rPr>
          <w:sz w:val="26"/>
          <w:szCs w:val="26"/>
        </w:rPr>
        <w:t xml:space="preserve">taukskābju </w:t>
      </w:r>
      <w:proofErr w:type="spellStart"/>
      <w:r w:rsidRPr="00BC3A42">
        <w:rPr>
          <w:sz w:val="26"/>
          <w:szCs w:val="26"/>
        </w:rPr>
        <w:t>metilesteris</w:t>
      </w:r>
      <w:proofErr w:type="spellEnd"/>
      <w:r w:rsidRPr="00BC3A42">
        <w:rPr>
          <w:sz w:val="26"/>
          <w:szCs w:val="26"/>
        </w:rPr>
        <w:t xml:space="preserve"> (</w:t>
      </w:r>
      <w:r w:rsidR="00CE3407" w:rsidRPr="00BC3A42">
        <w:rPr>
          <w:sz w:val="26"/>
          <w:szCs w:val="26"/>
        </w:rPr>
        <w:t xml:space="preserve">turpmāk - </w:t>
      </w:r>
      <w:r w:rsidRPr="00BC3A42">
        <w:rPr>
          <w:sz w:val="26"/>
          <w:szCs w:val="26"/>
        </w:rPr>
        <w:t xml:space="preserve">FAME), </w:t>
      </w:r>
      <w:r w:rsidR="00F813ED" w:rsidRPr="00BC3A42">
        <w:rPr>
          <w:sz w:val="26"/>
          <w:szCs w:val="26"/>
        </w:rPr>
        <w:t>bio</w:t>
      </w:r>
      <w:r w:rsidRPr="00BC3A42">
        <w:rPr>
          <w:sz w:val="26"/>
          <w:szCs w:val="26"/>
        </w:rPr>
        <w:t xml:space="preserve">etanols, </w:t>
      </w:r>
      <w:r w:rsidRPr="00BC3A42">
        <w:t xml:space="preserve"> </w:t>
      </w:r>
      <w:proofErr w:type="spellStart"/>
      <w:r w:rsidRPr="00BC3A42">
        <w:rPr>
          <w:sz w:val="26"/>
          <w:szCs w:val="26"/>
        </w:rPr>
        <w:t>hidrogenēta</w:t>
      </w:r>
      <w:proofErr w:type="spellEnd"/>
      <w:r w:rsidRPr="00BC3A42">
        <w:rPr>
          <w:sz w:val="26"/>
          <w:szCs w:val="26"/>
        </w:rPr>
        <w:t xml:space="preserve"> augu eļļa</w:t>
      </w:r>
      <w:r w:rsidR="0049636E" w:rsidRPr="00BC3A42">
        <w:rPr>
          <w:sz w:val="26"/>
          <w:szCs w:val="26"/>
        </w:rPr>
        <w:t xml:space="preserve"> (turpmāk – HVO)</w:t>
      </w:r>
      <w:r w:rsidRPr="00BC3A42">
        <w:rPr>
          <w:sz w:val="26"/>
          <w:szCs w:val="26"/>
        </w:rPr>
        <w:t xml:space="preserve"> vai dzīvnieku tauki, </w:t>
      </w:r>
      <w:r w:rsidR="00197CCE" w:rsidRPr="00BC3A42">
        <w:rPr>
          <w:sz w:val="26"/>
          <w:szCs w:val="26"/>
        </w:rPr>
        <w:t>biogāze (kas attīrīta līdz dabasgāzes kvalitātei (</w:t>
      </w:r>
      <w:proofErr w:type="spellStart"/>
      <w:r w:rsidR="00197CCE" w:rsidRPr="00BC3A42">
        <w:rPr>
          <w:sz w:val="26"/>
          <w:szCs w:val="26"/>
        </w:rPr>
        <w:t>biometāns</w:t>
      </w:r>
      <w:proofErr w:type="spellEnd"/>
      <w:r w:rsidR="00197CCE" w:rsidRPr="00BC3A42">
        <w:rPr>
          <w:sz w:val="26"/>
          <w:szCs w:val="26"/>
        </w:rPr>
        <w:t xml:space="preserve">)), </w:t>
      </w:r>
      <w:r w:rsidRPr="00BC3A42">
        <w:rPr>
          <w:sz w:val="26"/>
          <w:szCs w:val="26"/>
        </w:rPr>
        <w:t>dažādas rafinētas un nerafinētas eļļas</w:t>
      </w:r>
      <w:r w:rsidR="00BD24C0" w:rsidRPr="00BC3A42">
        <w:rPr>
          <w:sz w:val="26"/>
          <w:szCs w:val="26"/>
        </w:rPr>
        <w:t xml:space="preserve">, </w:t>
      </w:r>
      <w:r w:rsidR="008823DF" w:rsidRPr="00BC3A42">
        <w:rPr>
          <w:sz w:val="26"/>
          <w:szCs w:val="26"/>
        </w:rPr>
        <w:t xml:space="preserve">bioloģiskas izcelsmes </w:t>
      </w:r>
      <w:r w:rsidR="00BD24C0" w:rsidRPr="00BC3A42">
        <w:rPr>
          <w:sz w:val="26"/>
          <w:szCs w:val="26"/>
        </w:rPr>
        <w:t>etil-</w:t>
      </w:r>
      <w:proofErr w:type="spellStart"/>
      <w:r w:rsidR="00BD24C0" w:rsidRPr="00BC3A42">
        <w:rPr>
          <w:sz w:val="26"/>
          <w:szCs w:val="26"/>
        </w:rPr>
        <w:t>tert</w:t>
      </w:r>
      <w:proofErr w:type="spellEnd"/>
      <w:r w:rsidR="00BD24C0" w:rsidRPr="00BC3A42">
        <w:rPr>
          <w:sz w:val="26"/>
          <w:szCs w:val="26"/>
        </w:rPr>
        <w:t>-</w:t>
      </w:r>
      <w:proofErr w:type="spellStart"/>
      <w:r w:rsidR="00BD24C0" w:rsidRPr="00BC3A42">
        <w:rPr>
          <w:sz w:val="26"/>
          <w:szCs w:val="26"/>
        </w:rPr>
        <w:t>butil</w:t>
      </w:r>
      <w:proofErr w:type="spellEnd"/>
      <w:r w:rsidR="00BD24C0" w:rsidRPr="00BC3A42">
        <w:rPr>
          <w:sz w:val="26"/>
          <w:szCs w:val="26"/>
        </w:rPr>
        <w:t>-ēters</w:t>
      </w:r>
      <w:r w:rsidR="00DE65C8">
        <w:rPr>
          <w:sz w:val="26"/>
          <w:szCs w:val="26"/>
        </w:rPr>
        <w:t xml:space="preserve"> (ETBE)</w:t>
      </w:r>
      <w:r w:rsidR="00536272" w:rsidRPr="00BC3A42">
        <w:rPr>
          <w:sz w:val="26"/>
          <w:szCs w:val="26"/>
        </w:rPr>
        <w:t>.</w:t>
      </w:r>
      <w:r w:rsidR="00D60499" w:rsidRPr="00BC3A42">
        <w:rPr>
          <w:sz w:val="26"/>
          <w:szCs w:val="26"/>
        </w:rPr>
        <w:t xml:space="preserve"> </w:t>
      </w:r>
    </w:p>
    <w:p w14:paraId="764421AC" w14:textId="77777777" w:rsidR="00197CCE" w:rsidRPr="00BC3A42" w:rsidRDefault="00CE3407" w:rsidP="00BD24C0">
      <w:pPr>
        <w:ind w:firstLine="717"/>
        <w:jc w:val="both"/>
        <w:rPr>
          <w:sz w:val="26"/>
          <w:szCs w:val="26"/>
        </w:rPr>
      </w:pPr>
      <w:r w:rsidRPr="00BC3A42">
        <w:rPr>
          <w:sz w:val="26"/>
          <w:szCs w:val="26"/>
        </w:rPr>
        <w:t>No iepriekš aprakstītajiem biodegvielu veidiem Degvielas kvalitātes direktīva izvirza ierobežojumus tikai attiecībā uz etanol</w:t>
      </w:r>
      <w:r w:rsidR="0031453C" w:rsidRPr="00BC3A42">
        <w:rPr>
          <w:sz w:val="26"/>
          <w:szCs w:val="26"/>
        </w:rPr>
        <w:t>a</w:t>
      </w:r>
      <w:r w:rsidRPr="00BC3A42">
        <w:rPr>
          <w:sz w:val="26"/>
          <w:szCs w:val="26"/>
        </w:rPr>
        <w:t xml:space="preserve"> </w:t>
      </w:r>
      <w:r w:rsidR="0031453C" w:rsidRPr="00BC3A42">
        <w:rPr>
          <w:sz w:val="26"/>
          <w:szCs w:val="26"/>
        </w:rPr>
        <w:t>saturu benzīnā un FAME saturu dīzeļdegvielā.</w:t>
      </w:r>
      <w:r w:rsidR="0049636E" w:rsidRPr="00BC3A42">
        <w:rPr>
          <w:sz w:val="26"/>
          <w:szCs w:val="26"/>
        </w:rPr>
        <w:t xml:space="preserve"> </w:t>
      </w:r>
    </w:p>
    <w:p w14:paraId="7DECA62B" w14:textId="787C31D0" w:rsidR="00197CCE" w:rsidRPr="00BC3A42" w:rsidRDefault="00197CCE" w:rsidP="00675E61">
      <w:pPr>
        <w:pStyle w:val="Heading2"/>
        <w:numPr>
          <w:ilvl w:val="1"/>
          <w:numId w:val="12"/>
        </w:numPr>
        <w:ind w:left="709"/>
      </w:pPr>
      <w:r w:rsidRPr="00675E61">
        <w:t>Biodegvielas</w:t>
      </w:r>
      <w:r w:rsidRPr="00BC3A42">
        <w:t xml:space="preserve"> pievienošana benzīnam</w:t>
      </w:r>
    </w:p>
    <w:p w14:paraId="416D89D9" w14:textId="279644E6" w:rsidR="0031453C" w:rsidRPr="00BC3A42" w:rsidRDefault="000141BD" w:rsidP="00BD24C0">
      <w:pPr>
        <w:ind w:firstLine="717"/>
        <w:jc w:val="both"/>
        <w:rPr>
          <w:sz w:val="26"/>
          <w:szCs w:val="26"/>
        </w:rPr>
      </w:pPr>
      <w:r w:rsidRPr="00BC3A42">
        <w:rPr>
          <w:sz w:val="26"/>
          <w:szCs w:val="26"/>
        </w:rPr>
        <w:t>ES</w:t>
      </w:r>
      <w:r w:rsidR="0031453C" w:rsidRPr="00BC3A42">
        <w:rPr>
          <w:sz w:val="26"/>
          <w:szCs w:val="26"/>
        </w:rPr>
        <w:t xml:space="preserve"> e</w:t>
      </w:r>
      <w:r w:rsidR="00CE3407" w:rsidRPr="00BC3A42">
        <w:rPr>
          <w:sz w:val="26"/>
          <w:szCs w:val="26"/>
        </w:rPr>
        <w:t>tanol</w:t>
      </w:r>
      <w:r w:rsidR="00933B34" w:rsidRPr="00BC3A42">
        <w:rPr>
          <w:sz w:val="26"/>
          <w:szCs w:val="26"/>
        </w:rPr>
        <w:t>a</w:t>
      </w:r>
      <w:r w:rsidR="00CE3407" w:rsidRPr="00BC3A42">
        <w:rPr>
          <w:sz w:val="26"/>
          <w:szCs w:val="26"/>
        </w:rPr>
        <w:t xml:space="preserve"> </w:t>
      </w:r>
      <w:r w:rsidR="00933B34" w:rsidRPr="00BC3A42">
        <w:rPr>
          <w:sz w:val="26"/>
          <w:szCs w:val="26"/>
        </w:rPr>
        <w:t>saturs benzīnā ir pieļaujams līdz 10% un, ja benzīnā tas tiek</w:t>
      </w:r>
      <w:r w:rsidR="0031453C" w:rsidRPr="00BC3A42">
        <w:rPr>
          <w:sz w:val="26"/>
          <w:szCs w:val="26"/>
        </w:rPr>
        <w:t xml:space="preserve"> piejaukts </w:t>
      </w:r>
      <w:r w:rsidR="00933B34" w:rsidRPr="00BC3A42">
        <w:rPr>
          <w:sz w:val="26"/>
          <w:szCs w:val="26"/>
        </w:rPr>
        <w:t>robežās no 5</w:t>
      </w:r>
      <w:r w:rsidR="0031453C" w:rsidRPr="00BC3A42">
        <w:rPr>
          <w:sz w:val="26"/>
          <w:szCs w:val="26"/>
        </w:rPr>
        <w:t xml:space="preserve"> līdz </w:t>
      </w:r>
      <w:r w:rsidR="00933B34" w:rsidRPr="00BC3A42">
        <w:rPr>
          <w:sz w:val="26"/>
          <w:szCs w:val="26"/>
        </w:rPr>
        <w:t>10%</w:t>
      </w:r>
      <w:r w:rsidR="009A6827" w:rsidRPr="00BC3A42">
        <w:rPr>
          <w:sz w:val="26"/>
          <w:szCs w:val="26"/>
        </w:rPr>
        <w:t>,</w:t>
      </w:r>
      <w:r w:rsidR="00933B34" w:rsidRPr="00BC3A42">
        <w:rPr>
          <w:sz w:val="26"/>
          <w:szCs w:val="26"/>
        </w:rPr>
        <w:t xml:space="preserve"> šādu benzīnu apzīmē ar marķējumu E10. Eiropas Autoražotāju asociācijas</w:t>
      </w:r>
      <w:r w:rsidRPr="00BC3A42">
        <w:rPr>
          <w:sz w:val="26"/>
          <w:szCs w:val="26"/>
        </w:rPr>
        <w:t xml:space="preserve"> (</w:t>
      </w:r>
      <w:proofErr w:type="spellStart"/>
      <w:r w:rsidR="00515323" w:rsidRPr="00BC3A42">
        <w:rPr>
          <w:i/>
          <w:sz w:val="26"/>
          <w:szCs w:val="26"/>
        </w:rPr>
        <w:t>the</w:t>
      </w:r>
      <w:proofErr w:type="spellEnd"/>
      <w:r w:rsidR="00515323" w:rsidRPr="00BC3A42">
        <w:rPr>
          <w:i/>
          <w:sz w:val="26"/>
          <w:szCs w:val="26"/>
        </w:rPr>
        <w:t xml:space="preserve"> </w:t>
      </w:r>
      <w:proofErr w:type="spellStart"/>
      <w:r w:rsidR="00515323" w:rsidRPr="00BC3A42">
        <w:rPr>
          <w:i/>
          <w:sz w:val="26"/>
          <w:szCs w:val="26"/>
        </w:rPr>
        <w:t>European</w:t>
      </w:r>
      <w:proofErr w:type="spellEnd"/>
      <w:r w:rsidR="00515323" w:rsidRPr="00BC3A42">
        <w:rPr>
          <w:i/>
          <w:sz w:val="26"/>
          <w:szCs w:val="26"/>
        </w:rPr>
        <w:t xml:space="preserve"> Automobile </w:t>
      </w:r>
      <w:proofErr w:type="spellStart"/>
      <w:r w:rsidR="00515323" w:rsidRPr="00BC3A42">
        <w:rPr>
          <w:i/>
          <w:sz w:val="26"/>
          <w:szCs w:val="26"/>
        </w:rPr>
        <w:t>Manufacturers</w:t>
      </w:r>
      <w:proofErr w:type="spellEnd"/>
      <w:r w:rsidR="00515323" w:rsidRPr="00BC3A42">
        <w:rPr>
          <w:i/>
          <w:sz w:val="26"/>
          <w:szCs w:val="26"/>
        </w:rPr>
        <w:t>' Association (ACEA</w:t>
      </w:r>
      <w:r w:rsidR="00515323" w:rsidRPr="00BC3A42">
        <w:rPr>
          <w:sz w:val="26"/>
          <w:szCs w:val="26"/>
        </w:rPr>
        <w:t>)</w:t>
      </w:r>
      <w:r w:rsidR="00933B34" w:rsidRPr="00BC3A42">
        <w:rPr>
          <w:sz w:val="26"/>
          <w:szCs w:val="26"/>
        </w:rPr>
        <w:t xml:space="preserve"> publicētā informācija</w:t>
      </w:r>
      <w:r w:rsidR="00933B34" w:rsidRPr="00BC3A42">
        <w:rPr>
          <w:rStyle w:val="FootnoteReference"/>
          <w:sz w:val="26"/>
          <w:szCs w:val="26"/>
        </w:rPr>
        <w:footnoteReference w:id="11"/>
      </w:r>
      <w:r w:rsidR="009A6827" w:rsidRPr="00BC3A42">
        <w:rPr>
          <w:sz w:val="26"/>
          <w:szCs w:val="26"/>
        </w:rPr>
        <w:t xml:space="preserve"> </w:t>
      </w:r>
      <w:r w:rsidR="00933B34" w:rsidRPr="00BC3A42">
        <w:rPr>
          <w:sz w:val="26"/>
          <w:szCs w:val="26"/>
        </w:rPr>
        <w:t>liecina, ka transportlīdzekļa pielāgotība E10 benzīna izmantošanai ir</w:t>
      </w:r>
      <w:r w:rsidRPr="00BC3A42">
        <w:rPr>
          <w:sz w:val="26"/>
          <w:szCs w:val="26"/>
        </w:rPr>
        <w:t>,</w:t>
      </w:r>
      <w:r w:rsidR="00933B34" w:rsidRPr="00BC3A42">
        <w:rPr>
          <w:sz w:val="26"/>
          <w:szCs w:val="26"/>
        </w:rPr>
        <w:t xml:space="preserve"> galvenokārt</w:t>
      </w:r>
      <w:r w:rsidRPr="00BC3A42">
        <w:rPr>
          <w:sz w:val="26"/>
          <w:szCs w:val="26"/>
        </w:rPr>
        <w:t>,</w:t>
      </w:r>
      <w:r w:rsidR="00933B34" w:rsidRPr="00BC3A42">
        <w:rPr>
          <w:sz w:val="26"/>
          <w:szCs w:val="26"/>
        </w:rPr>
        <w:t xml:space="preserve"> atkarīga no konkrētā transportlīdzekļa </w:t>
      </w:r>
      <w:r w:rsidRPr="00BC3A42">
        <w:rPr>
          <w:sz w:val="26"/>
          <w:szCs w:val="26"/>
        </w:rPr>
        <w:t>motora</w:t>
      </w:r>
      <w:r w:rsidR="00933B34" w:rsidRPr="00BC3A42">
        <w:rPr>
          <w:sz w:val="26"/>
          <w:szCs w:val="26"/>
        </w:rPr>
        <w:t xml:space="preserve">, nevis transportlīdzekļa </w:t>
      </w:r>
      <w:r w:rsidR="00933B34" w:rsidRPr="00BC3A42">
        <w:rPr>
          <w:sz w:val="26"/>
          <w:szCs w:val="26"/>
        </w:rPr>
        <w:lastRenderedPageBreak/>
        <w:t xml:space="preserve">ražošanas gada. </w:t>
      </w:r>
      <w:r w:rsidR="0049636E" w:rsidRPr="00BC3A42">
        <w:rPr>
          <w:sz w:val="26"/>
          <w:szCs w:val="26"/>
        </w:rPr>
        <w:t>L</w:t>
      </w:r>
      <w:r w:rsidR="00933B34" w:rsidRPr="00BC3A42">
        <w:rPr>
          <w:sz w:val="26"/>
          <w:szCs w:val="26"/>
        </w:rPr>
        <w:t xml:space="preserve">ielākā daļa autotransportlīdzekļu, </w:t>
      </w:r>
      <w:r w:rsidR="0049636E" w:rsidRPr="00BC3A42">
        <w:rPr>
          <w:sz w:val="26"/>
          <w:szCs w:val="26"/>
        </w:rPr>
        <w:t>kas</w:t>
      </w:r>
      <w:r w:rsidR="00933B34" w:rsidRPr="00BC3A42">
        <w:rPr>
          <w:sz w:val="26"/>
          <w:szCs w:val="26"/>
        </w:rPr>
        <w:t xml:space="preserve"> ir ražoti pēc 2000.gada, ir piemēroti E10 degvielas izmantošanai. Tas nozīmē, ka scenārijā, kurā ir radīti pietiekami stimuli E10 benzīna realizācijai</w:t>
      </w:r>
      <w:r w:rsidR="00BD24C0" w:rsidRPr="00BC3A42">
        <w:rPr>
          <w:sz w:val="26"/>
          <w:szCs w:val="26"/>
        </w:rPr>
        <w:t xml:space="preserve"> (piem., obligāts pienākums degvielas piegādātājam vai iespēja saņemt akcīzes nodokļa samazinājumu par biodegvielas pievienošanu)</w:t>
      </w:r>
      <w:r w:rsidR="00933B34" w:rsidRPr="00BC3A42">
        <w:rPr>
          <w:sz w:val="26"/>
          <w:szCs w:val="26"/>
        </w:rPr>
        <w:t xml:space="preserve">, </w:t>
      </w:r>
      <w:r w:rsidR="0049636E" w:rsidRPr="00BC3A42">
        <w:rPr>
          <w:sz w:val="26"/>
          <w:szCs w:val="26"/>
        </w:rPr>
        <w:t xml:space="preserve">joprojām </w:t>
      </w:r>
      <w:r w:rsidR="00BD24C0" w:rsidRPr="00BC3A42">
        <w:rPr>
          <w:sz w:val="26"/>
          <w:szCs w:val="26"/>
        </w:rPr>
        <w:t>saglabātos arī zināms pieprasījums pēc</w:t>
      </w:r>
      <w:r w:rsidR="00933B34" w:rsidRPr="00BC3A42">
        <w:rPr>
          <w:sz w:val="26"/>
          <w:szCs w:val="26"/>
        </w:rPr>
        <w:t xml:space="preserve"> benzīna, kura saturā etanola saturs nepārsniedz 5% (E5 benzīns). </w:t>
      </w:r>
      <w:r w:rsidR="0031453C" w:rsidRPr="00BC3A42">
        <w:rPr>
          <w:sz w:val="26"/>
          <w:szCs w:val="26"/>
        </w:rPr>
        <w:t xml:space="preserve">  </w:t>
      </w:r>
    </w:p>
    <w:p w14:paraId="224E2147" w14:textId="4ADDF44F" w:rsidR="0031453C" w:rsidRPr="00BC3A42" w:rsidRDefault="00BD24C0" w:rsidP="00BD24C0">
      <w:pPr>
        <w:ind w:firstLine="717"/>
        <w:jc w:val="both"/>
        <w:rPr>
          <w:sz w:val="26"/>
          <w:szCs w:val="26"/>
        </w:rPr>
      </w:pPr>
      <w:r w:rsidRPr="00BC3A42">
        <w:rPr>
          <w:sz w:val="26"/>
          <w:szCs w:val="26"/>
        </w:rPr>
        <w:t xml:space="preserve">Saskaņā ar MK noteikumiem Nr.332 obligāta prasība pievienot 95.markas benzīnam 5% </w:t>
      </w:r>
      <w:proofErr w:type="spellStart"/>
      <w:r w:rsidRPr="00BC3A42">
        <w:rPr>
          <w:sz w:val="26"/>
          <w:szCs w:val="26"/>
        </w:rPr>
        <w:t>etanolu</w:t>
      </w:r>
      <w:proofErr w:type="spellEnd"/>
      <w:r w:rsidRPr="00BC3A42">
        <w:rPr>
          <w:sz w:val="26"/>
          <w:szCs w:val="26"/>
        </w:rPr>
        <w:t xml:space="preserve"> Latvijā ir ieviesta jau kopš 2009.</w:t>
      </w:r>
      <w:r w:rsidR="002201CE" w:rsidRPr="00BC3A42">
        <w:rPr>
          <w:sz w:val="26"/>
          <w:szCs w:val="26"/>
        </w:rPr>
        <w:t> </w:t>
      </w:r>
      <w:r w:rsidRPr="00BC3A42">
        <w:rPr>
          <w:sz w:val="26"/>
          <w:szCs w:val="26"/>
        </w:rPr>
        <w:t>gada</w:t>
      </w:r>
      <w:r w:rsidR="0091045A" w:rsidRPr="00BC3A42">
        <w:rPr>
          <w:sz w:val="26"/>
          <w:szCs w:val="26"/>
        </w:rPr>
        <w:t>, taču šāda prasība nav izvirzīta 98. markas benzīnam, k</w:t>
      </w:r>
      <w:r w:rsidR="009A6827" w:rsidRPr="00BC3A42">
        <w:rPr>
          <w:sz w:val="26"/>
          <w:szCs w:val="26"/>
        </w:rPr>
        <w:t>as</w:t>
      </w:r>
      <w:r w:rsidR="0091045A" w:rsidRPr="00BC3A42">
        <w:rPr>
          <w:sz w:val="26"/>
          <w:szCs w:val="26"/>
        </w:rPr>
        <w:t xml:space="preserve"> tiek patērēts ievērojami mazākos apjomos</w:t>
      </w:r>
      <w:r w:rsidR="009A6827" w:rsidRPr="00BC3A42">
        <w:rPr>
          <w:sz w:val="26"/>
          <w:szCs w:val="26"/>
        </w:rPr>
        <w:t>,</w:t>
      </w:r>
      <w:r w:rsidR="0091045A" w:rsidRPr="00BC3A42">
        <w:rPr>
          <w:sz w:val="26"/>
          <w:szCs w:val="26"/>
        </w:rPr>
        <w:t xml:space="preserve"> nekā 95.markas benzīns. 2017.gadā tika realizētas 17 tūkst. tonnas 98.markas benzīna, kas ir tikai 10% no kopējā benzīna tirgus.   </w:t>
      </w:r>
      <w:r w:rsidRPr="00BC3A42">
        <w:rPr>
          <w:sz w:val="26"/>
          <w:szCs w:val="26"/>
        </w:rPr>
        <w:t xml:space="preserve"> </w:t>
      </w:r>
    </w:p>
    <w:p w14:paraId="2A5F534C" w14:textId="3FF262DA" w:rsidR="00CE3407" w:rsidRPr="00BC3A42" w:rsidRDefault="003A0449" w:rsidP="00BD24C0">
      <w:pPr>
        <w:ind w:firstLine="717"/>
        <w:jc w:val="both"/>
        <w:rPr>
          <w:sz w:val="26"/>
          <w:szCs w:val="26"/>
        </w:rPr>
      </w:pPr>
      <w:r w:rsidRPr="00BC3A42">
        <w:rPr>
          <w:sz w:val="26"/>
          <w:szCs w:val="26"/>
        </w:rPr>
        <w:t xml:space="preserve">Šobrīd </w:t>
      </w:r>
      <w:r w:rsidR="0022006B" w:rsidRPr="00BC3A42">
        <w:rPr>
          <w:sz w:val="26"/>
          <w:szCs w:val="26"/>
        </w:rPr>
        <w:t>ES</w:t>
      </w:r>
      <w:r w:rsidRPr="00BC3A42">
        <w:rPr>
          <w:sz w:val="26"/>
          <w:szCs w:val="26"/>
        </w:rPr>
        <w:t xml:space="preserve"> E10 benzīns ir pieejams vismaz 6 dalībvalstīs – Francijā, Beļģijā, Nīderlandē</w:t>
      </w:r>
      <w:r w:rsidR="00F7724B" w:rsidRPr="00BC3A42">
        <w:rPr>
          <w:sz w:val="26"/>
          <w:szCs w:val="26"/>
        </w:rPr>
        <w:t>, Bulgārijā un Igaunijā. Beļģijā un Somijā E10 benzīna realizētais apjoms ir pārsniedzis 70% no visa realizētā benzīna tirgus, savukārt Igaunijā un Francijā tā dominance tirgū ir tikai 30</w:t>
      </w:r>
      <w:r w:rsidR="00C8394D" w:rsidRPr="00BC3A42">
        <w:rPr>
          <w:sz w:val="26"/>
          <w:szCs w:val="26"/>
        </w:rPr>
        <w:t xml:space="preserve"> – </w:t>
      </w:r>
      <w:r w:rsidR="00F7724B" w:rsidRPr="00BC3A42">
        <w:rPr>
          <w:sz w:val="26"/>
          <w:szCs w:val="26"/>
        </w:rPr>
        <w:t xml:space="preserve">40%. Lietuva, Nīderlande un Lihtenšteina ir norādījusi, ka plāno uzsākt E10 benzīna realizāciju no 2019.gada. Vairākas dalībvalstis, tostarp, Dānija, Itālija, Polija ir norādījušas, ka šāda benzīna realizācija </w:t>
      </w:r>
      <w:r w:rsidR="00536272" w:rsidRPr="00BC3A42">
        <w:rPr>
          <w:sz w:val="26"/>
          <w:szCs w:val="26"/>
        </w:rPr>
        <w:t>varētu tikt uzsākta</w:t>
      </w:r>
      <w:r w:rsidR="00F7724B" w:rsidRPr="00BC3A42">
        <w:rPr>
          <w:sz w:val="26"/>
          <w:szCs w:val="26"/>
        </w:rPr>
        <w:t xml:space="preserve">, kad AER realizācijas pienākuma </w:t>
      </w:r>
      <w:r w:rsidR="00536272" w:rsidRPr="00BC3A42">
        <w:rPr>
          <w:sz w:val="26"/>
          <w:szCs w:val="26"/>
        </w:rPr>
        <w:t>līmenis</w:t>
      </w:r>
      <w:r w:rsidR="00F7724B" w:rsidRPr="00BC3A42">
        <w:rPr>
          <w:sz w:val="26"/>
          <w:szCs w:val="26"/>
        </w:rPr>
        <w:t xml:space="preserve"> degvielas piegādātājiem </w:t>
      </w:r>
      <w:r w:rsidR="00536272" w:rsidRPr="00BC3A42">
        <w:rPr>
          <w:sz w:val="26"/>
          <w:szCs w:val="26"/>
        </w:rPr>
        <w:t xml:space="preserve">šajās valstīs </w:t>
      </w:r>
      <w:r w:rsidR="00F7724B" w:rsidRPr="00BC3A42">
        <w:rPr>
          <w:sz w:val="26"/>
          <w:szCs w:val="26"/>
        </w:rPr>
        <w:t xml:space="preserve">sasniegs zināmu slieksni. </w:t>
      </w:r>
    </w:p>
    <w:p w14:paraId="1ACC4779" w14:textId="28D7FE8F" w:rsidR="00197CCE" w:rsidRPr="00BC3A42" w:rsidRDefault="00675E61" w:rsidP="00675E61">
      <w:pPr>
        <w:pStyle w:val="Heading2"/>
      </w:pPr>
      <w:r>
        <w:t xml:space="preserve">2.2. </w:t>
      </w:r>
      <w:r w:rsidR="00197CCE" w:rsidRPr="00BC3A42">
        <w:t>Biodegvielas pievienošana dīzeļdegvielai</w:t>
      </w:r>
    </w:p>
    <w:p w14:paraId="6004EE3B" w14:textId="77777777" w:rsidR="00C8394D" w:rsidRPr="00BC3A42" w:rsidRDefault="00F7724B" w:rsidP="0091045A">
      <w:pPr>
        <w:ind w:firstLine="717"/>
        <w:jc w:val="both"/>
        <w:rPr>
          <w:sz w:val="26"/>
          <w:szCs w:val="26"/>
        </w:rPr>
      </w:pPr>
      <w:r w:rsidRPr="00BC3A42">
        <w:rPr>
          <w:sz w:val="26"/>
          <w:szCs w:val="26"/>
        </w:rPr>
        <w:t xml:space="preserve">Attiecībā uz biodegvielām, kuras var pievienot dīzeļdegvielai, Degvielas kvalitātes direktīva ierobežo vienīgi FAME pievienošanas apjomu </w:t>
      </w:r>
      <w:r w:rsidR="00C8394D" w:rsidRPr="00BC3A42">
        <w:rPr>
          <w:b/>
          <w:sz w:val="26"/>
          <w:szCs w:val="26"/>
        </w:rPr>
        <w:t>līdz 7%</w:t>
      </w:r>
      <w:r w:rsidR="00C8394D" w:rsidRPr="00BC3A42">
        <w:rPr>
          <w:sz w:val="26"/>
          <w:szCs w:val="26"/>
        </w:rPr>
        <w:t xml:space="preserve"> no kopējā maisījuma tilpuma. </w:t>
      </w:r>
      <w:r w:rsidR="00536272" w:rsidRPr="00BC3A42">
        <w:rPr>
          <w:sz w:val="26"/>
          <w:szCs w:val="26"/>
        </w:rPr>
        <w:t xml:space="preserve">FAME </w:t>
      </w:r>
      <w:r w:rsidR="00647BEB" w:rsidRPr="00BC3A42">
        <w:rPr>
          <w:sz w:val="26"/>
          <w:szCs w:val="26"/>
        </w:rPr>
        <w:t xml:space="preserve">galvenokārt </w:t>
      </w:r>
      <w:r w:rsidR="00536272" w:rsidRPr="00BC3A42">
        <w:rPr>
          <w:sz w:val="26"/>
          <w:szCs w:val="26"/>
        </w:rPr>
        <w:t xml:space="preserve">tiek ražots no dažādām </w:t>
      </w:r>
      <w:r w:rsidR="00647BEB" w:rsidRPr="00BC3A42">
        <w:rPr>
          <w:sz w:val="26"/>
          <w:szCs w:val="26"/>
        </w:rPr>
        <w:t xml:space="preserve">pārtikas un lopbarības tirgiem paredzētām </w:t>
      </w:r>
      <w:r w:rsidR="00536272" w:rsidRPr="00BC3A42">
        <w:rPr>
          <w:sz w:val="26"/>
          <w:szCs w:val="26"/>
        </w:rPr>
        <w:t>izejvielām</w:t>
      </w:r>
      <w:r w:rsidR="00647BEB" w:rsidRPr="00BC3A42">
        <w:rPr>
          <w:sz w:val="26"/>
          <w:szCs w:val="26"/>
        </w:rPr>
        <w:t xml:space="preserve">, piemēram, rapšu sēklu eļļas, </w:t>
      </w:r>
      <w:r w:rsidR="001C5056" w:rsidRPr="00BC3A42">
        <w:rPr>
          <w:sz w:val="26"/>
          <w:szCs w:val="26"/>
        </w:rPr>
        <w:t xml:space="preserve">palmu eļļas, </w:t>
      </w:r>
      <w:r w:rsidR="00647BEB" w:rsidRPr="00BC3A42">
        <w:rPr>
          <w:sz w:val="26"/>
          <w:szCs w:val="26"/>
        </w:rPr>
        <w:t xml:space="preserve">saulespuķu eļļas, sojas pupiņām. </w:t>
      </w:r>
      <w:r w:rsidR="00C8394D" w:rsidRPr="00BC3A42">
        <w:rPr>
          <w:sz w:val="26"/>
          <w:szCs w:val="26"/>
        </w:rPr>
        <w:t xml:space="preserve">FAME bieži tiek asociēta ar sliktākām raksturīpašībām </w:t>
      </w:r>
      <w:r w:rsidR="00536272" w:rsidRPr="00BC3A42">
        <w:rPr>
          <w:sz w:val="26"/>
          <w:szCs w:val="26"/>
        </w:rPr>
        <w:t>pie zemām gaisa temperatūrām</w:t>
      </w:r>
      <w:r w:rsidR="00C8394D" w:rsidRPr="00BC3A42">
        <w:rPr>
          <w:sz w:val="26"/>
          <w:szCs w:val="26"/>
        </w:rPr>
        <w:t xml:space="preserve">, kas paaugstina degvielas filtru aizsprostošanās risku. </w:t>
      </w:r>
    </w:p>
    <w:p w14:paraId="38343F1A" w14:textId="77777777" w:rsidR="00CE3407" w:rsidRPr="00BC3A42" w:rsidRDefault="00C8394D" w:rsidP="008C0070">
      <w:pPr>
        <w:ind w:firstLine="717"/>
        <w:jc w:val="both"/>
        <w:rPr>
          <w:sz w:val="26"/>
          <w:szCs w:val="26"/>
        </w:rPr>
      </w:pPr>
      <w:r w:rsidRPr="00BC3A42">
        <w:rPr>
          <w:sz w:val="26"/>
          <w:szCs w:val="26"/>
        </w:rPr>
        <w:t>C</w:t>
      </w:r>
      <w:r w:rsidR="00F7724B" w:rsidRPr="00BC3A42">
        <w:rPr>
          <w:sz w:val="26"/>
          <w:szCs w:val="26"/>
        </w:rPr>
        <w:t>itas biodegvielas, kuras ķīmiski atbilst dīzeļdegvielas īpašībām</w:t>
      </w:r>
      <w:r w:rsidR="009C5C9A" w:rsidRPr="00BC3A42">
        <w:rPr>
          <w:sz w:val="26"/>
          <w:szCs w:val="26"/>
        </w:rPr>
        <w:t>,</w:t>
      </w:r>
      <w:r w:rsidR="00F7724B" w:rsidRPr="00BC3A42">
        <w:rPr>
          <w:sz w:val="26"/>
          <w:szCs w:val="26"/>
        </w:rPr>
        <w:t xml:space="preserve"> ir pievienojamas </w:t>
      </w:r>
      <w:r w:rsidRPr="00BC3A42">
        <w:rPr>
          <w:sz w:val="26"/>
          <w:szCs w:val="26"/>
        </w:rPr>
        <w:t xml:space="preserve">neierobežotā daudzumā, kamēr kopējais maisījuma sastāvs nav pretrunā ar </w:t>
      </w:r>
      <w:r w:rsidR="00F7724B" w:rsidRPr="00BC3A42">
        <w:rPr>
          <w:sz w:val="26"/>
          <w:szCs w:val="26"/>
        </w:rPr>
        <w:t xml:space="preserve">dīzeļdegvielas kvalitātes </w:t>
      </w:r>
      <w:r w:rsidRPr="00BC3A42">
        <w:rPr>
          <w:sz w:val="26"/>
          <w:szCs w:val="26"/>
        </w:rPr>
        <w:t xml:space="preserve">prasībām </w:t>
      </w:r>
      <w:r w:rsidR="00F7724B" w:rsidRPr="00BC3A42">
        <w:rPr>
          <w:sz w:val="26"/>
          <w:szCs w:val="26"/>
        </w:rPr>
        <w:t xml:space="preserve">(piem., </w:t>
      </w:r>
      <w:proofErr w:type="spellStart"/>
      <w:r w:rsidR="00F7724B" w:rsidRPr="00BC3A42">
        <w:rPr>
          <w:sz w:val="26"/>
          <w:szCs w:val="26"/>
        </w:rPr>
        <w:t>cetānskaitlis</w:t>
      </w:r>
      <w:proofErr w:type="spellEnd"/>
      <w:r w:rsidR="00F7724B" w:rsidRPr="00BC3A42">
        <w:rPr>
          <w:sz w:val="26"/>
          <w:szCs w:val="26"/>
        </w:rPr>
        <w:t xml:space="preserve">, blīvums, aromātisko ogļūdeņražu saturs). </w:t>
      </w:r>
      <w:r w:rsidR="00536272" w:rsidRPr="00BC3A42">
        <w:rPr>
          <w:sz w:val="26"/>
          <w:szCs w:val="26"/>
        </w:rPr>
        <w:t>Šādas biodegvielas angļu valodā mēdz dēvēt par “</w:t>
      </w:r>
      <w:proofErr w:type="spellStart"/>
      <w:r w:rsidR="00536272" w:rsidRPr="00BC3A42">
        <w:rPr>
          <w:i/>
          <w:sz w:val="26"/>
          <w:szCs w:val="26"/>
        </w:rPr>
        <w:t>drop-in</w:t>
      </w:r>
      <w:proofErr w:type="spellEnd"/>
      <w:r w:rsidR="00536272" w:rsidRPr="00BC3A42">
        <w:rPr>
          <w:i/>
          <w:sz w:val="26"/>
          <w:szCs w:val="26"/>
        </w:rPr>
        <w:t xml:space="preserve"> </w:t>
      </w:r>
      <w:proofErr w:type="spellStart"/>
      <w:r w:rsidR="00536272" w:rsidRPr="00BC3A42">
        <w:rPr>
          <w:i/>
          <w:sz w:val="26"/>
          <w:szCs w:val="26"/>
        </w:rPr>
        <w:t>biofuels</w:t>
      </w:r>
      <w:proofErr w:type="spellEnd"/>
      <w:r w:rsidR="00536272" w:rsidRPr="00BC3A42">
        <w:rPr>
          <w:sz w:val="26"/>
          <w:szCs w:val="26"/>
        </w:rPr>
        <w:t>”, jo uz tām neattiec</w:t>
      </w:r>
      <w:r w:rsidR="009C5C9A" w:rsidRPr="00BC3A42">
        <w:rPr>
          <w:sz w:val="26"/>
          <w:szCs w:val="26"/>
        </w:rPr>
        <w:t>a</w:t>
      </w:r>
      <w:r w:rsidR="00536272" w:rsidRPr="00BC3A42">
        <w:rPr>
          <w:sz w:val="26"/>
          <w:szCs w:val="26"/>
        </w:rPr>
        <w:t xml:space="preserve">s iepriekš aprakstītais ierobežojums, kāds ir FAME.  </w:t>
      </w:r>
    </w:p>
    <w:p w14:paraId="1E779A11" w14:textId="41CE4E17" w:rsidR="004E2D4C" w:rsidRPr="00BC3A42" w:rsidRDefault="00675E61" w:rsidP="00675E61">
      <w:pPr>
        <w:pStyle w:val="Heading2"/>
        <w:ind w:left="709"/>
      </w:pPr>
      <w:r>
        <w:t>2.3. </w:t>
      </w:r>
      <w:r w:rsidR="004E2D4C" w:rsidRPr="00BC3A42">
        <w:t>Pirmās paaudzes biodegviel</w:t>
      </w:r>
      <w:r w:rsidR="00F51514" w:rsidRPr="00BC3A42">
        <w:t>as</w:t>
      </w:r>
      <w:r w:rsidR="004E2D4C" w:rsidRPr="00BC3A42">
        <w:t xml:space="preserve"> ieskaite mērķos</w:t>
      </w:r>
      <w:r w:rsidR="00F51514" w:rsidRPr="00BC3A42">
        <w:t xml:space="preserve"> </w:t>
      </w:r>
    </w:p>
    <w:p w14:paraId="56411030" w14:textId="77777777" w:rsidR="0081422C" w:rsidRPr="00BC3A42" w:rsidRDefault="00725989" w:rsidP="0022006B">
      <w:pPr>
        <w:ind w:firstLine="709"/>
        <w:jc w:val="both"/>
        <w:rPr>
          <w:iCs/>
          <w:sz w:val="26"/>
          <w:szCs w:val="26"/>
        </w:rPr>
      </w:pPr>
      <w:r w:rsidRPr="00BC3A42">
        <w:rPr>
          <w:iCs/>
          <w:sz w:val="26"/>
          <w:szCs w:val="26"/>
        </w:rPr>
        <w:t xml:space="preserve">Ja ganībām vai lauksaimniecībā izmantojamo zemi, kas iepriekš bijusi paredzēta pārtikas un lopbarības ražošanai, sāk izmantot biodegvielas kultūru audzēšanai, un pieprasījums pēc minētajiem produktiem, kas nav biodegviela, saglabājas, tas ir jāapmierina citā veidā - ar intensīvāku ražošanu vai ražošanai atvēlot iepriekš lauksaimniecībā neizmantotu zemi citā vietā. Tā ir netieša zemes izmantošanas maiņa, un gadījumos, kad lauksaimniecības vajadzībām tiek transformēta zeme ar lielu oglekļa uzkrājumu, var rasties ievērojamas papildu SEG emisijas. </w:t>
      </w:r>
    </w:p>
    <w:p w14:paraId="1916D523" w14:textId="53737D54" w:rsidR="00D54D3D" w:rsidRPr="00BC3A42" w:rsidRDefault="001F3F4B" w:rsidP="0022006B">
      <w:pPr>
        <w:ind w:firstLine="709"/>
        <w:jc w:val="both"/>
        <w:rPr>
          <w:iCs/>
          <w:sz w:val="26"/>
          <w:szCs w:val="26"/>
        </w:rPr>
      </w:pPr>
      <w:r w:rsidRPr="00BC3A42">
        <w:rPr>
          <w:iCs/>
          <w:sz w:val="26"/>
          <w:szCs w:val="26"/>
        </w:rPr>
        <w:t>Lai ierobežotu</w:t>
      </w:r>
      <w:r w:rsidR="00F51514" w:rsidRPr="00BC3A42">
        <w:rPr>
          <w:iCs/>
          <w:sz w:val="26"/>
          <w:szCs w:val="26"/>
        </w:rPr>
        <w:t xml:space="preserve"> šo nevēlamo efektu, </w:t>
      </w:r>
      <w:r w:rsidR="00A61CD2" w:rsidRPr="00BC3A42">
        <w:rPr>
          <w:iCs/>
          <w:sz w:val="26"/>
          <w:szCs w:val="26"/>
        </w:rPr>
        <w:t xml:space="preserve">Direktīva 2015/1513 </w:t>
      </w:r>
      <w:r w:rsidR="00F51514" w:rsidRPr="00BC3A42">
        <w:rPr>
          <w:iCs/>
          <w:sz w:val="26"/>
          <w:szCs w:val="26"/>
        </w:rPr>
        <w:t>nosaka, ka AER 10% mērķa sasniegšanai tikai 7% var sasniegt ar biodegvielām, kas ražotas no pārtikas un barības tirgus pieprasījuma apmierināšanai izmantojamā zemē audzētiem kultūraugiem</w:t>
      </w:r>
      <w:r w:rsidRPr="00BC3A42">
        <w:rPr>
          <w:iCs/>
          <w:sz w:val="26"/>
          <w:szCs w:val="26"/>
        </w:rPr>
        <w:t xml:space="preserve"> (pirmās paaudzes biodegvielas)</w:t>
      </w:r>
      <w:r w:rsidR="00F51514" w:rsidRPr="00BC3A42">
        <w:rPr>
          <w:iCs/>
          <w:sz w:val="26"/>
          <w:szCs w:val="26"/>
        </w:rPr>
        <w:t xml:space="preserve">. </w:t>
      </w:r>
      <w:r w:rsidRPr="00BC3A42">
        <w:rPr>
          <w:iCs/>
          <w:sz w:val="26"/>
          <w:szCs w:val="26"/>
        </w:rPr>
        <w:t>P</w:t>
      </w:r>
      <w:r w:rsidR="00725989" w:rsidRPr="00BC3A42">
        <w:rPr>
          <w:iCs/>
          <w:sz w:val="26"/>
          <w:szCs w:val="26"/>
        </w:rPr>
        <w:t xml:space="preserve">irmās paaudzes biodegvielas var uzskatīt par neefektīvāku risinājumi SEG emisiju samazināšanai, jo tiek palielinātas emisijas </w:t>
      </w:r>
      <w:r w:rsidR="00725989" w:rsidRPr="00BC3A42">
        <w:rPr>
          <w:iCs/>
          <w:sz w:val="26"/>
          <w:szCs w:val="26"/>
        </w:rPr>
        <w:lastRenderedPageBreak/>
        <w:t xml:space="preserve">lauksaimniecības sektorā, taču neskatoties uz to, tās tāpat spēj uzrādīt ievērojamus SEG emisiju ietaupījumus pret fosilo degvielu (pat virs 60%). </w:t>
      </w:r>
    </w:p>
    <w:p w14:paraId="1BFB4F12" w14:textId="494CA2EF" w:rsidR="006E7C94" w:rsidRPr="00BC3A42" w:rsidRDefault="006E7C94" w:rsidP="0022006B">
      <w:pPr>
        <w:ind w:firstLine="709"/>
        <w:jc w:val="both"/>
        <w:rPr>
          <w:sz w:val="26"/>
          <w:szCs w:val="26"/>
        </w:rPr>
      </w:pPr>
      <w:r w:rsidRPr="00BC3A42">
        <w:rPr>
          <w:iCs/>
          <w:sz w:val="26"/>
          <w:szCs w:val="26"/>
        </w:rPr>
        <w:t xml:space="preserve">Papildus tam, arī no </w:t>
      </w:r>
      <w:r w:rsidR="00A051C6" w:rsidRPr="00BC3A42">
        <w:rPr>
          <w:sz w:val="26"/>
          <w:szCs w:val="26"/>
        </w:rPr>
        <w:t>Direktīvas 2009/30/EK un Padomes 2015.gada 20.aprīļa Direktīvas 2015/652, ar ko nosaka aprēķina metodes un ziņošanas prasības, ievērojot Eiropas Parlamenta un Padomes Direktīvu 98/70/EK, attiecībā uz benzīna un dīzeļdegvielu kvalitāti (turpmāk – Direktīva 2015/652) izrietošais pienākums degvielas piegādātājam nodrošināt piegādātās transporta enerģijas aprites cikla emisiju intensitātes samazinājumu par 6% 2020.gadā salīdzinot ar konkrētu transporta enerģijas pamatstandartu (2010.gadā), ir izpildāms cita starpā arī sajaucot fosilās izcelsmes degvielu ar biodegvielu, kas atbilst ilgtspējas kritērijiem</w:t>
      </w:r>
      <w:r w:rsidRPr="00BC3A42">
        <w:rPr>
          <w:sz w:val="26"/>
          <w:szCs w:val="26"/>
        </w:rPr>
        <w:t>.</w:t>
      </w:r>
    </w:p>
    <w:p w14:paraId="30024B5C" w14:textId="7D5080AE" w:rsidR="00D54D3D" w:rsidRPr="00BC3A42" w:rsidRDefault="00D54D3D" w:rsidP="00675E61">
      <w:pPr>
        <w:pStyle w:val="Heading2"/>
        <w:numPr>
          <w:ilvl w:val="1"/>
          <w:numId w:val="13"/>
        </w:numPr>
        <w:ind w:left="567"/>
      </w:pPr>
      <w:r w:rsidRPr="00BC3A42">
        <w:t>Dubultā uzskaite modernajām biodegvielām</w:t>
      </w:r>
    </w:p>
    <w:p w14:paraId="6311E867" w14:textId="53E2C005" w:rsidR="00D54D3D" w:rsidRDefault="00D54D3D" w:rsidP="00D54D3D">
      <w:pPr>
        <w:ind w:firstLine="567"/>
        <w:jc w:val="both"/>
        <w:rPr>
          <w:iCs/>
          <w:sz w:val="26"/>
          <w:szCs w:val="26"/>
          <w:lang w:eastAsia="sv-SE"/>
        </w:rPr>
      </w:pPr>
      <w:r w:rsidRPr="00BC3A42">
        <w:rPr>
          <w:iCs/>
          <w:sz w:val="26"/>
          <w:szCs w:val="26"/>
          <w:lang w:eastAsia="sv-SE"/>
        </w:rPr>
        <w:t>Modernas biodegvielas, piemēram, no atkritumiem, lietotas cepamās eļļas, salmiem u.c. izejvielām nodrošina lielus siltumnīcefekta gāzu emisiju ietaupījumus ar mazu netiešas zemes izmantošanas maiņas risku</w:t>
      </w:r>
      <w:r w:rsidR="00687EDE" w:rsidRPr="00BC3A42">
        <w:rPr>
          <w:iCs/>
          <w:sz w:val="26"/>
          <w:szCs w:val="26"/>
          <w:lang w:eastAsia="sv-SE"/>
        </w:rPr>
        <w:t>,</w:t>
      </w:r>
      <w:r w:rsidRPr="00BC3A42">
        <w:rPr>
          <w:iCs/>
          <w:sz w:val="26"/>
          <w:szCs w:val="26"/>
          <w:lang w:eastAsia="sv-SE"/>
        </w:rPr>
        <w:t xml:space="preserve"> un tās nav tieši konkurenti pārtikas un barības tirgiem cīņā par lauksaimniecībā izmantojamo zemi. Ir lietderīgi veicināt plašāku šādu modernu biodegvielu patēriņu. Ņemot vērā minēto, AER direktīvas </w:t>
      </w:r>
      <w:r w:rsidR="0020507A" w:rsidRPr="00BC3A42">
        <w:rPr>
          <w:iCs/>
          <w:sz w:val="26"/>
          <w:szCs w:val="26"/>
          <w:lang w:eastAsia="sv-SE"/>
        </w:rPr>
        <w:t>3</w:t>
      </w:r>
      <w:r w:rsidRPr="00BC3A42">
        <w:rPr>
          <w:iCs/>
          <w:sz w:val="26"/>
          <w:szCs w:val="26"/>
          <w:lang w:eastAsia="sv-SE"/>
        </w:rPr>
        <w:t xml:space="preserve">.panta </w:t>
      </w:r>
      <w:r w:rsidR="0020507A" w:rsidRPr="00BC3A42">
        <w:rPr>
          <w:iCs/>
          <w:sz w:val="26"/>
          <w:szCs w:val="26"/>
          <w:lang w:eastAsia="sv-SE"/>
        </w:rPr>
        <w:t>4</w:t>
      </w:r>
      <w:r w:rsidRPr="00BC3A42">
        <w:rPr>
          <w:iCs/>
          <w:sz w:val="26"/>
          <w:szCs w:val="26"/>
          <w:lang w:eastAsia="sv-SE"/>
        </w:rPr>
        <w:t xml:space="preserve">.punkts </w:t>
      </w:r>
      <w:r w:rsidR="00C630BB" w:rsidRPr="00BC3A42">
        <w:rPr>
          <w:iCs/>
          <w:sz w:val="26"/>
          <w:szCs w:val="26"/>
          <w:lang w:eastAsia="sv-SE"/>
        </w:rPr>
        <w:t xml:space="preserve">un IX pielikums </w:t>
      </w:r>
      <w:r w:rsidRPr="00BC3A42">
        <w:rPr>
          <w:iCs/>
          <w:sz w:val="26"/>
          <w:szCs w:val="26"/>
          <w:lang w:eastAsia="sv-SE"/>
        </w:rPr>
        <w:t xml:space="preserve">paredz, ka </w:t>
      </w:r>
      <w:r w:rsidR="001F7BA7" w:rsidRPr="00BC3A42">
        <w:rPr>
          <w:iCs/>
          <w:sz w:val="26"/>
          <w:szCs w:val="26"/>
          <w:lang w:eastAsia="sv-SE"/>
        </w:rPr>
        <w:t xml:space="preserve">noteiktām </w:t>
      </w:r>
      <w:r w:rsidR="00C630BB" w:rsidRPr="00BC3A42">
        <w:rPr>
          <w:iCs/>
          <w:sz w:val="26"/>
          <w:szCs w:val="26"/>
          <w:lang w:eastAsia="sv-SE"/>
        </w:rPr>
        <w:t>izejviel</w:t>
      </w:r>
      <w:r w:rsidR="001F7BA7" w:rsidRPr="00BC3A42">
        <w:rPr>
          <w:iCs/>
          <w:sz w:val="26"/>
          <w:szCs w:val="26"/>
          <w:lang w:eastAsia="sv-SE"/>
        </w:rPr>
        <w:t>ām</w:t>
      </w:r>
      <w:r w:rsidR="00C630BB" w:rsidRPr="00BC3A42">
        <w:rPr>
          <w:iCs/>
          <w:sz w:val="26"/>
          <w:szCs w:val="26"/>
          <w:lang w:eastAsia="sv-SE"/>
        </w:rPr>
        <w:t xml:space="preserve"> vai</w:t>
      </w:r>
      <w:r w:rsidRPr="00BC3A42">
        <w:rPr>
          <w:iCs/>
          <w:sz w:val="26"/>
          <w:szCs w:val="26"/>
          <w:lang w:eastAsia="sv-SE"/>
        </w:rPr>
        <w:t xml:space="preserve"> degviel</w:t>
      </w:r>
      <w:r w:rsidR="001F7BA7" w:rsidRPr="00BC3A42">
        <w:rPr>
          <w:iCs/>
          <w:sz w:val="26"/>
          <w:szCs w:val="26"/>
          <w:lang w:eastAsia="sv-SE"/>
        </w:rPr>
        <w:t>ām (skatīt 1.tabulu)</w:t>
      </w:r>
      <w:r w:rsidRPr="00BC3A42">
        <w:rPr>
          <w:iCs/>
          <w:sz w:val="26"/>
          <w:szCs w:val="26"/>
          <w:lang w:eastAsia="sv-SE"/>
        </w:rPr>
        <w:t xml:space="preserve">, aprēķinot no </w:t>
      </w:r>
      <w:r w:rsidR="0069741C" w:rsidRPr="00BC3A42">
        <w:rPr>
          <w:iCs/>
          <w:sz w:val="26"/>
          <w:szCs w:val="26"/>
          <w:lang w:eastAsia="sv-SE"/>
        </w:rPr>
        <w:t>AER</w:t>
      </w:r>
      <w:r w:rsidRPr="00BC3A42">
        <w:rPr>
          <w:iCs/>
          <w:sz w:val="26"/>
          <w:szCs w:val="26"/>
          <w:lang w:eastAsia="sv-SE"/>
        </w:rPr>
        <w:t xml:space="preserve"> iegūtas enerģijas īpatsvaru, ir privilēģijas, salīdzinot ar tradicionālajām biodegvielām</w:t>
      </w:r>
      <w:r w:rsidR="000C34C8" w:rsidRPr="00BC3A42">
        <w:rPr>
          <w:iCs/>
          <w:sz w:val="26"/>
          <w:szCs w:val="26"/>
          <w:lang w:eastAsia="sv-SE"/>
        </w:rPr>
        <w:t>, jo</w:t>
      </w:r>
      <w:r w:rsidRPr="00BC3A42">
        <w:rPr>
          <w:iCs/>
          <w:sz w:val="26"/>
          <w:szCs w:val="26"/>
          <w:lang w:eastAsia="sv-SE"/>
        </w:rPr>
        <w:t xml:space="preserve"> to enerģijas daudzumu var uzskatīt par divkāršu.</w:t>
      </w:r>
    </w:p>
    <w:p w14:paraId="3CED73A8" w14:textId="77777777" w:rsidR="00EC6C8D" w:rsidRPr="00BC3A42" w:rsidRDefault="00EC6C8D" w:rsidP="00D54D3D">
      <w:pPr>
        <w:ind w:firstLine="567"/>
        <w:jc w:val="both"/>
        <w:rPr>
          <w:iCs/>
          <w:sz w:val="26"/>
          <w:szCs w:val="26"/>
          <w:lang w:eastAsia="sv-SE"/>
        </w:rPr>
      </w:pPr>
    </w:p>
    <w:p w14:paraId="44759584" w14:textId="77777777" w:rsidR="00C630BB" w:rsidRPr="00BC3A42" w:rsidRDefault="007E2D4B" w:rsidP="00C630BB">
      <w:pPr>
        <w:ind w:firstLine="567"/>
        <w:jc w:val="right"/>
        <w:rPr>
          <w:sz w:val="26"/>
          <w:szCs w:val="26"/>
        </w:rPr>
      </w:pPr>
      <w:r w:rsidRPr="00BC3A42">
        <w:rPr>
          <w:bCs/>
          <w:i/>
          <w:sz w:val="26"/>
          <w:szCs w:val="26"/>
        </w:rPr>
        <w:t>1.</w:t>
      </w:r>
      <w:r w:rsidR="00C630BB" w:rsidRPr="00BC3A42">
        <w:rPr>
          <w:bCs/>
          <w:i/>
          <w:sz w:val="26"/>
          <w:szCs w:val="26"/>
        </w:rPr>
        <w:t>tabula</w:t>
      </w:r>
    </w:p>
    <w:p w14:paraId="6DF5AF88" w14:textId="77777777" w:rsidR="00C630BB" w:rsidRPr="00524FE2" w:rsidRDefault="00C630BB" w:rsidP="00C630BB">
      <w:pPr>
        <w:pStyle w:val="norm"/>
        <w:shd w:val="clear" w:color="auto" w:fill="FFFFFF"/>
        <w:tabs>
          <w:tab w:val="left" w:pos="993"/>
        </w:tabs>
        <w:spacing w:before="120" w:beforeAutospacing="0" w:after="120" w:afterAutospacing="0"/>
        <w:jc w:val="center"/>
        <w:textAlignment w:val="baseline"/>
        <w:rPr>
          <w:rFonts w:eastAsia="Calibri"/>
          <w:b/>
          <w:sz w:val="26"/>
          <w:szCs w:val="26"/>
          <w:lang w:eastAsia="en-US"/>
        </w:rPr>
      </w:pPr>
      <w:r w:rsidRPr="00524FE2">
        <w:rPr>
          <w:rFonts w:eastAsia="Calibri"/>
          <w:b/>
          <w:sz w:val="26"/>
          <w:szCs w:val="26"/>
          <w:lang w:eastAsia="en-US"/>
        </w:rPr>
        <w:t>Izejvielas, kuru pienesumu valsts mērķa izpildei ieskaita ar koeficientu “divi”.</w:t>
      </w:r>
    </w:p>
    <w:tbl>
      <w:tblPr>
        <w:tblStyle w:val="TableGrid"/>
        <w:tblW w:w="0" w:type="auto"/>
        <w:tblLook w:val="04A0" w:firstRow="1" w:lastRow="0" w:firstColumn="1" w:lastColumn="0" w:noHBand="0" w:noVBand="1"/>
      </w:tblPr>
      <w:tblGrid>
        <w:gridCol w:w="846"/>
        <w:gridCol w:w="8170"/>
      </w:tblGrid>
      <w:tr w:rsidR="00C630BB" w:rsidRPr="00BC3A42" w14:paraId="3DDFFD53" w14:textId="77777777" w:rsidTr="00C630BB">
        <w:tc>
          <w:tcPr>
            <w:tcW w:w="846" w:type="dxa"/>
          </w:tcPr>
          <w:p w14:paraId="055BF8A9"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w:t>
            </w:r>
          </w:p>
        </w:tc>
        <w:tc>
          <w:tcPr>
            <w:tcW w:w="8170" w:type="dxa"/>
          </w:tcPr>
          <w:p w14:paraId="345F0F70"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Izejvielas un degviela, kuru energoietilpību reizina ar divi, lai noteiktu to ieguldījumu valsts mērķa sasniegšanā, ir:</w:t>
            </w:r>
          </w:p>
        </w:tc>
      </w:tr>
      <w:tr w:rsidR="00C630BB" w:rsidRPr="00BC3A42" w14:paraId="055AEDBF" w14:textId="77777777" w:rsidTr="00C630BB">
        <w:tc>
          <w:tcPr>
            <w:tcW w:w="846" w:type="dxa"/>
          </w:tcPr>
          <w:p w14:paraId="5506377C"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1.1.</w:t>
            </w:r>
          </w:p>
        </w:tc>
        <w:tc>
          <w:tcPr>
            <w:tcW w:w="8170" w:type="dxa"/>
          </w:tcPr>
          <w:p w14:paraId="6A8B842F"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 xml:space="preserve">aļģes, ja tās audzētas uz zemes dīķos vai </w:t>
            </w:r>
            <w:proofErr w:type="spellStart"/>
            <w:r w:rsidRPr="00BC3A42">
              <w:rPr>
                <w:rFonts w:eastAsia="Calibri"/>
                <w:sz w:val="26"/>
                <w:szCs w:val="26"/>
                <w:lang w:eastAsia="en-US"/>
              </w:rPr>
              <w:t>fotobioreaktoros</w:t>
            </w:r>
            <w:proofErr w:type="spellEnd"/>
            <w:r w:rsidRPr="00BC3A42">
              <w:rPr>
                <w:rFonts w:eastAsia="Calibri"/>
                <w:sz w:val="26"/>
                <w:szCs w:val="26"/>
                <w:lang w:eastAsia="en-US"/>
              </w:rPr>
              <w:t>;</w:t>
            </w:r>
          </w:p>
        </w:tc>
      </w:tr>
      <w:tr w:rsidR="00C630BB" w:rsidRPr="00BC3A42" w14:paraId="4027608A" w14:textId="77777777" w:rsidTr="00C630BB">
        <w:tc>
          <w:tcPr>
            <w:tcW w:w="846" w:type="dxa"/>
          </w:tcPr>
          <w:p w14:paraId="0C5F76BB"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1.2.</w:t>
            </w:r>
          </w:p>
        </w:tc>
        <w:tc>
          <w:tcPr>
            <w:tcW w:w="8170" w:type="dxa"/>
          </w:tcPr>
          <w:p w14:paraId="455A9C34"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jauktu sadzīves atkritumu biomasas frakcija, bet tas neattiecas uz dalītiem sadzīves atkritumiem, attiecībā uz kuriem jāievēro normatīvajos aktos par atkritumu apsaimniekošanu noteiktie pārstrādes mērķi;</w:t>
            </w:r>
          </w:p>
        </w:tc>
      </w:tr>
      <w:tr w:rsidR="00C630BB" w:rsidRPr="00BC3A42" w14:paraId="540B0209" w14:textId="77777777" w:rsidTr="00C630BB">
        <w:tc>
          <w:tcPr>
            <w:tcW w:w="846" w:type="dxa"/>
          </w:tcPr>
          <w:p w14:paraId="41AF6C51"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1.3.</w:t>
            </w:r>
          </w:p>
        </w:tc>
        <w:tc>
          <w:tcPr>
            <w:tcW w:w="8170" w:type="dxa"/>
          </w:tcPr>
          <w:p w14:paraId="01DB45A2"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bioloģiski atkritumi, kas definēti Atkritumu apsaimniekošanas likuma 1. panta 4.</w:t>
            </w:r>
            <w:r w:rsidRPr="00BC3A42">
              <w:rPr>
                <w:rFonts w:eastAsia="Calibri"/>
                <w:sz w:val="26"/>
                <w:szCs w:val="26"/>
                <w:vertAlign w:val="superscript"/>
                <w:lang w:eastAsia="en-US"/>
              </w:rPr>
              <w:t>1</w:t>
            </w:r>
            <w:r w:rsidRPr="00BC3A42">
              <w:rPr>
                <w:rFonts w:eastAsia="Calibri"/>
                <w:sz w:val="26"/>
                <w:szCs w:val="26"/>
                <w:lang w:eastAsia="en-US"/>
              </w:rPr>
              <w:t xml:space="preserve"> punktā un kuru izcelsme ir privātas mājsaimniecības, uz kurām attiecas dalīta savākšana, kas definēta Atkritumu apsaimniekošanas likuma 1. panta 9. punktā;</w:t>
            </w:r>
          </w:p>
        </w:tc>
      </w:tr>
      <w:tr w:rsidR="00C630BB" w:rsidRPr="00BC3A42" w14:paraId="4BF5B365" w14:textId="77777777" w:rsidTr="00C630BB">
        <w:tc>
          <w:tcPr>
            <w:tcW w:w="846" w:type="dxa"/>
          </w:tcPr>
          <w:p w14:paraId="4559F73A"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1.4.</w:t>
            </w:r>
          </w:p>
        </w:tc>
        <w:tc>
          <w:tcPr>
            <w:tcW w:w="8170" w:type="dxa"/>
          </w:tcPr>
          <w:p w14:paraId="276E4264" w14:textId="7AC37F71"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w:t>
            </w:r>
            <w:r w:rsidR="008318C4">
              <w:rPr>
                <w:rFonts w:eastAsia="Calibri"/>
                <w:sz w:val="26"/>
                <w:szCs w:val="26"/>
                <w:lang w:eastAsia="en-US"/>
              </w:rPr>
              <w:t>īs</w:t>
            </w:r>
            <w:r w:rsidRPr="00BC3A42">
              <w:rPr>
                <w:rFonts w:eastAsia="Calibri"/>
                <w:sz w:val="26"/>
                <w:szCs w:val="26"/>
                <w:lang w:eastAsia="en-US"/>
              </w:rPr>
              <w:t xml:space="preserve"> </w:t>
            </w:r>
            <w:r w:rsidR="008318C4">
              <w:rPr>
                <w:rFonts w:eastAsia="Calibri"/>
                <w:sz w:val="26"/>
                <w:szCs w:val="26"/>
                <w:lang w:eastAsia="en-US"/>
              </w:rPr>
              <w:t>tabulas</w:t>
            </w:r>
            <w:r w:rsidRPr="00BC3A42">
              <w:rPr>
                <w:rFonts w:eastAsia="Calibri"/>
                <w:sz w:val="26"/>
                <w:szCs w:val="26"/>
                <w:lang w:eastAsia="en-US"/>
              </w:rPr>
              <w:t xml:space="preserve"> 2.punktā;</w:t>
            </w:r>
          </w:p>
        </w:tc>
      </w:tr>
      <w:tr w:rsidR="00C630BB" w:rsidRPr="00BC3A42" w14:paraId="01949695" w14:textId="77777777" w:rsidTr="00C630BB">
        <w:tc>
          <w:tcPr>
            <w:tcW w:w="846" w:type="dxa"/>
          </w:tcPr>
          <w:p w14:paraId="2BF004F5"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1.5.</w:t>
            </w:r>
          </w:p>
        </w:tc>
        <w:tc>
          <w:tcPr>
            <w:tcW w:w="8170" w:type="dxa"/>
          </w:tcPr>
          <w:p w14:paraId="31FAE79F"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salmi;</w:t>
            </w:r>
          </w:p>
        </w:tc>
      </w:tr>
      <w:tr w:rsidR="00C630BB" w:rsidRPr="00BC3A42" w14:paraId="1B2E1C9A" w14:textId="77777777" w:rsidTr="00C630BB">
        <w:tc>
          <w:tcPr>
            <w:tcW w:w="846" w:type="dxa"/>
          </w:tcPr>
          <w:p w14:paraId="3C61811C"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1.6.</w:t>
            </w:r>
          </w:p>
        </w:tc>
        <w:tc>
          <w:tcPr>
            <w:tcW w:w="8170" w:type="dxa"/>
          </w:tcPr>
          <w:p w14:paraId="03A2E4BF"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kūtsmēsli un notekūdeņu dūņas;</w:t>
            </w:r>
          </w:p>
        </w:tc>
      </w:tr>
      <w:tr w:rsidR="00C630BB" w:rsidRPr="00BC3A42" w14:paraId="0CC0BA24" w14:textId="77777777" w:rsidTr="00C630BB">
        <w:tc>
          <w:tcPr>
            <w:tcW w:w="846" w:type="dxa"/>
          </w:tcPr>
          <w:p w14:paraId="530BEFAC"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1.7.</w:t>
            </w:r>
          </w:p>
        </w:tc>
        <w:tc>
          <w:tcPr>
            <w:tcW w:w="8170" w:type="dxa"/>
          </w:tcPr>
          <w:p w14:paraId="0BF68E60"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palmu eļļas ražošanas šķidrās atliekas un tukši palmu augļu ķekari;</w:t>
            </w:r>
          </w:p>
        </w:tc>
      </w:tr>
      <w:tr w:rsidR="00C630BB" w:rsidRPr="00BC3A42" w14:paraId="419E8EAB" w14:textId="77777777" w:rsidTr="00C630BB">
        <w:tc>
          <w:tcPr>
            <w:tcW w:w="846" w:type="dxa"/>
          </w:tcPr>
          <w:p w14:paraId="58B1B292"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1.8.</w:t>
            </w:r>
          </w:p>
        </w:tc>
        <w:tc>
          <w:tcPr>
            <w:tcW w:w="8170" w:type="dxa"/>
          </w:tcPr>
          <w:p w14:paraId="341C6D6C"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proofErr w:type="spellStart"/>
            <w:r w:rsidRPr="00BC3A42">
              <w:rPr>
                <w:rFonts w:eastAsia="Calibri"/>
                <w:sz w:val="26"/>
                <w:szCs w:val="26"/>
                <w:lang w:eastAsia="en-US"/>
              </w:rPr>
              <w:t>taleļļas</w:t>
            </w:r>
            <w:proofErr w:type="spellEnd"/>
            <w:r w:rsidRPr="00BC3A42">
              <w:rPr>
                <w:rFonts w:eastAsia="Calibri"/>
                <w:sz w:val="26"/>
                <w:szCs w:val="26"/>
                <w:lang w:eastAsia="en-US"/>
              </w:rPr>
              <w:t xml:space="preserve"> darva;</w:t>
            </w:r>
          </w:p>
        </w:tc>
      </w:tr>
      <w:tr w:rsidR="00C630BB" w:rsidRPr="00BC3A42" w14:paraId="3059199B" w14:textId="77777777" w:rsidTr="00C630BB">
        <w:tc>
          <w:tcPr>
            <w:tcW w:w="846" w:type="dxa"/>
          </w:tcPr>
          <w:p w14:paraId="7AD40611" w14:textId="77777777" w:rsidR="00C630BB" w:rsidRPr="00BC3A42" w:rsidRDefault="00C630BB"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1.9.</w:t>
            </w:r>
          </w:p>
        </w:tc>
        <w:tc>
          <w:tcPr>
            <w:tcW w:w="8170" w:type="dxa"/>
          </w:tcPr>
          <w:p w14:paraId="32F9B31C" w14:textId="77777777" w:rsidR="00C630BB" w:rsidRPr="00BC3A42" w:rsidRDefault="00C630BB"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proofErr w:type="spellStart"/>
            <w:r w:rsidRPr="00BC3A42">
              <w:rPr>
                <w:rFonts w:eastAsia="Calibri"/>
                <w:sz w:val="26"/>
                <w:szCs w:val="26"/>
                <w:lang w:eastAsia="en-US"/>
              </w:rPr>
              <w:t>jēlglicerīns</w:t>
            </w:r>
            <w:proofErr w:type="spellEnd"/>
            <w:r w:rsidRPr="00BC3A42">
              <w:rPr>
                <w:rFonts w:eastAsia="Calibri"/>
                <w:sz w:val="26"/>
                <w:szCs w:val="26"/>
                <w:lang w:eastAsia="en-US"/>
              </w:rPr>
              <w:t>;</w:t>
            </w:r>
          </w:p>
        </w:tc>
      </w:tr>
      <w:tr w:rsidR="007B6F30" w:rsidRPr="00BC3A42" w14:paraId="50798480" w14:textId="77777777" w:rsidTr="00C630BB">
        <w:tc>
          <w:tcPr>
            <w:tcW w:w="846" w:type="dxa"/>
          </w:tcPr>
          <w:p w14:paraId="65382061" w14:textId="77777777" w:rsidR="007B6F30" w:rsidRPr="00BC3A42"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1.10.</w:t>
            </w:r>
          </w:p>
        </w:tc>
        <w:tc>
          <w:tcPr>
            <w:tcW w:w="8170" w:type="dxa"/>
          </w:tcPr>
          <w:p w14:paraId="353F179C" w14:textId="77777777" w:rsidR="007B6F30" w:rsidRPr="00BC3A42"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cukurniedru rauši;</w:t>
            </w:r>
          </w:p>
        </w:tc>
      </w:tr>
      <w:tr w:rsidR="007B6F30" w:rsidRPr="00BC3A42" w14:paraId="57A96121" w14:textId="77777777" w:rsidTr="00C630BB">
        <w:tc>
          <w:tcPr>
            <w:tcW w:w="846" w:type="dxa"/>
          </w:tcPr>
          <w:p w14:paraId="60DD119E" w14:textId="77777777" w:rsidR="007B6F30" w:rsidRPr="00BC3A42"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1.11.</w:t>
            </w:r>
          </w:p>
        </w:tc>
        <w:tc>
          <w:tcPr>
            <w:tcW w:w="8170" w:type="dxa"/>
          </w:tcPr>
          <w:p w14:paraId="1BF9C28D" w14:textId="77777777" w:rsidR="007B6F30" w:rsidRPr="00BC3A42"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vīnogu čagas un vīna nogulsnes;</w:t>
            </w:r>
          </w:p>
        </w:tc>
      </w:tr>
      <w:tr w:rsidR="007B6F30" w:rsidRPr="008318C4" w14:paraId="3ED5AEFA" w14:textId="77777777" w:rsidTr="00C630BB">
        <w:tc>
          <w:tcPr>
            <w:tcW w:w="846" w:type="dxa"/>
          </w:tcPr>
          <w:p w14:paraId="18001AE3"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lastRenderedPageBreak/>
              <w:t>1.12.</w:t>
            </w:r>
          </w:p>
        </w:tc>
        <w:tc>
          <w:tcPr>
            <w:tcW w:w="8170" w:type="dxa"/>
          </w:tcPr>
          <w:p w14:paraId="57143F85"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riekstu čaumalas;</w:t>
            </w:r>
          </w:p>
        </w:tc>
      </w:tr>
      <w:tr w:rsidR="007B6F30" w:rsidRPr="008318C4" w14:paraId="183CCDBA" w14:textId="77777777" w:rsidTr="00C630BB">
        <w:tc>
          <w:tcPr>
            <w:tcW w:w="846" w:type="dxa"/>
          </w:tcPr>
          <w:p w14:paraId="26A6889C"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1.13.</w:t>
            </w:r>
          </w:p>
        </w:tc>
        <w:tc>
          <w:tcPr>
            <w:tcW w:w="8170" w:type="dxa"/>
          </w:tcPr>
          <w:p w14:paraId="5DD38FB4"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sēnalas;</w:t>
            </w:r>
          </w:p>
        </w:tc>
      </w:tr>
      <w:tr w:rsidR="007B6F30" w:rsidRPr="008318C4" w14:paraId="3AAB871B" w14:textId="77777777" w:rsidTr="00C630BB">
        <w:tc>
          <w:tcPr>
            <w:tcW w:w="846" w:type="dxa"/>
          </w:tcPr>
          <w:p w14:paraId="6FAD0A2C"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1.14.</w:t>
            </w:r>
          </w:p>
        </w:tc>
        <w:tc>
          <w:tcPr>
            <w:tcW w:w="8170" w:type="dxa"/>
          </w:tcPr>
          <w:p w14:paraId="5C6C1D43"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kaceni, kas attīrīti no kukurūzas graudiem;</w:t>
            </w:r>
          </w:p>
        </w:tc>
      </w:tr>
      <w:tr w:rsidR="007B6F30" w:rsidRPr="008318C4" w14:paraId="02E0B3A9" w14:textId="77777777" w:rsidTr="00C630BB">
        <w:tc>
          <w:tcPr>
            <w:tcW w:w="846" w:type="dxa"/>
          </w:tcPr>
          <w:p w14:paraId="616AE2A2"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1.15.</w:t>
            </w:r>
          </w:p>
        </w:tc>
        <w:tc>
          <w:tcPr>
            <w:tcW w:w="8170" w:type="dxa"/>
          </w:tcPr>
          <w:p w14:paraId="5C855A29"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 xml:space="preserve">mežsaimniecības un mežsaimniecībā pamatotu nozaru atkritumu un atlikumu biomasas frakcija – mizas, zari, pirms tirgū laišanas veiktas </w:t>
            </w:r>
            <w:proofErr w:type="spellStart"/>
            <w:r w:rsidRPr="008318C4">
              <w:rPr>
                <w:rFonts w:eastAsia="Calibri"/>
                <w:sz w:val="26"/>
                <w:szCs w:val="26"/>
                <w:lang w:eastAsia="en-US"/>
              </w:rPr>
              <w:t>starpcirtes</w:t>
            </w:r>
            <w:proofErr w:type="spellEnd"/>
            <w:r w:rsidRPr="008318C4">
              <w:rPr>
                <w:rFonts w:eastAsia="Calibri"/>
                <w:sz w:val="26"/>
                <w:szCs w:val="26"/>
                <w:lang w:eastAsia="en-US"/>
              </w:rPr>
              <w:t xml:space="preserve"> produkti, lapas, skujas, koku galotnes, zāģskaidas, ēveļskaidas, melnais </w:t>
            </w:r>
            <w:proofErr w:type="spellStart"/>
            <w:r w:rsidRPr="008318C4">
              <w:rPr>
                <w:rFonts w:eastAsia="Calibri"/>
                <w:sz w:val="26"/>
                <w:szCs w:val="26"/>
                <w:lang w:eastAsia="en-US"/>
              </w:rPr>
              <w:t>atsārms</w:t>
            </w:r>
            <w:proofErr w:type="spellEnd"/>
            <w:r w:rsidRPr="008318C4">
              <w:rPr>
                <w:rFonts w:eastAsia="Calibri"/>
                <w:sz w:val="26"/>
                <w:szCs w:val="26"/>
                <w:lang w:eastAsia="en-US"/>
              </w:rPr>
              <w:t xml:space="preserve">, brūnais </w:t>
            </w:r>
            <w:proofErr w:type="spellStart"/>
            <w:r w:rsidRPr="008318C4">
              <w:rPr>
                <w:rFonts w:eastAsia="Calibri"/>
                <w:sz w:val="26"/>
                <w:szCs w:val="26"/>
                <w:lang w:eastAsia="en-US"/>
              </w:rPr>
              <w:t>atsārms</w:t>
            </w:r>
            <w:proofErr w:type="spellEnd"/>
            <w:r w:rsidRPr="008318C4">
              <w:rPr>
                <w:rFonts w:eastAsia="Calibri"/>
                <w:sz w:val="26"/>
                <w:szCs w:val="26"/>
                <w:lang w:eastAsia="en-US"/>
              </w:rPr>
              <w:t xml:space="preserve">, šķiedru nogulsnes, lignīns un </w:t>
            </w:r>
            <w:proofErr w:type="spellStart"/>
            <w:r w:rsidRPr="008318C4">
              <w:rPr>
                <w:rFonts w:eastAsia="Calibri"/>
                <w:sz w:val="26"/>
                <w:szCs w:val="26"/>
                <w:lang w:eastAsia="en-US"/>
              </w:rPr>
              <w:t>taleļļa</w:t>
            </w:r>
            <w:proofErr w:type="spellEnd"/>
            <w:r w:rsidRPr="008318C4">
              <w:rPr>
                <w:rFonts w:eastAsia="Calibri"/>
                <w:sz w:val="26"/>
                <w:szCs w:val="26"/>
                <w:lang w:eastAsia="en-US"/>
              </w:rPr>
              <w:t>;</w:t>
            </w:r>
          </w:p>
        </w:tc>
      </w:tr>
      <w:tr w:rsidR="007B6F30" w:rsidRPr="008318C4" w14:paraId="6A37DE2D" w14:textId="77777777" w:rsidTr="00C630BB">
        <w:tc>
          <w:tcPr>
            <w:tcW w:w="846" w:type="dxa"/>
          </w:tcPr>
          <w:p w14:paraId="015908EE"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1.16.</w:t>
            </w:r>
          </w:p>
        </w:tc>
        <w:tc>
          <w:tcPr>
            <w:tcW w:w="8170" w:type="dxa"/>
          </w:tcPr>
          <w:p w14:paraId="4FB83E39" w14:textId="1742291E" w:rsidR="007B6F30" w:rsidRPr="008318C4" w:rsidRDefault="008318C4"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sz w:val="26"/>
                <w:szCs w:val="26"/>
              </w:rPr>
              <w:t>cits nepārtikas celulozes materiāls, kā definēts AER direktīvas 2. panta otrās daļas s) apakšpunktā</w:t>
            </w:r>
            <w:r w:rsidR="007B6F30" w:rsidRPr="008318C4">
              <w:rPr>
                <w:rFonts w:eastAsia="Calibri"/>
                <w:sz w:val="26"/>
                <w:szCs w:val="26"/>
                <w:lang w:eastAsia="en-US"/>
              </w:rPr>
              <w:t>;</w:t>
            </w:r>
          </w:p>
        </w:tc>
      </w:tr>
      <w:tr w:rsidR="007B6F30" w:rsidRPr="008318C4" w14:paraId="74BF3CD0" w14:textId="77777777" w:rsidTr="00C630BB">
        <w:tc>
          <w:tcPr>
            <w:tcW w:w="846" w:type="dxa"/>
          </w:tcPr>
          <w:p w14:paraId="7C534A66"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1.17.</w:t>
            </w:r>
          </w:p>
        </w:tc>
        <w:tc>
          <w:tcPr>
            <w:tcW w:w="8170" w:type="dxa"/>
          </w:tcPr>
          <w:p w14:paraId="225A1408" w14:textId="405B05F2" w:rsidR="007B6F30" w:rsidRPr="008318C4" w:rsidRDefault="008318C4"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sz w:val="26"/>
                <w:szCs w:val="26"/>
              </w:rPr>
              <w:t xml:space="preserve">cits </w:t>
            </w:r>
            <w:proofErr w:type="spellStart"/>
            <w:r w:rsidRPr="008318C4">
              <w:rPr>
                <w:sz w:val="26"/>
                <w:szCs w:val="26"/>
              </w:rPr>
              <w:t>lignocelulozes</w:t>
            </w:r>
            <w:proofErr w:type="spellEnd"/>
            <w:r w:rsidRPr="008318C4">
              <w:rPr>
                <w:sz w:val="26"/>
                <w:szCs w:val="26"/>
              </w:rPr>
              <w:t xml:space="preserve"> materiāls, kā definēts AER direktīvas 2. panta otrās daļas r) apakšpunktā, izņemot zāģbaļķus un finierklučus</w:t>
            </w:r>
            <w:r w:rsidR="007B6F30" w:rsidRPr="008318C4">
              <w:rPr>
                <w:rFonts w:eastAsia="Calibri"/>
                <w:sz w:val="26"/>
                <w:szCs w:val="26"/>
                <w:lang w:eastAsia="en-US"/>
              </w:rPr>
              <w:t>;</w:t>
            </w:r>
          </w:p>
        </w:tc>
      </w:tr>
      <w:tr w:rsidR="007B6F30" w:rsidRPr="008318C4" w14:paraId="2920B165" w14:textId="77777777" w:rsidTr="00C630BB">
        <w:tc>
          <w:tcPr>
            <w:tcW w:w="846" w:type="dxa"/>
          </w:tcPr>
          <w:p w14:paraId="678CE375"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1.18.</w:t>
            </w:r>
          </w:p>
        </w:tc>
        <w:tc>
          <w:tcPr>
            <w:tcW w:w="8170" w:type="dxa"/>
          </w:tcPr>
          <w:p w14:paraId="22FEEEED"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no atjaunojamiem energoresursiem ražotas nebioloģiskas izcelsmes šķidrās vai gāzveida transporta degvielas;</w:t>
            </w:r>
          </w:p>
        </w:tc>
      </w:tr>
      <w:tr w:rsidR="007B6F30" w:rsidRPr="008318C4" w14:paraId="47C871D0" w14:textId="77777777" w:rsidTr="00C630BB">
        <w:tc>
          <w:tcPr>
            <w:tcW w:w="846" w:type="dxa"/>
          </w:tcPr>
          <w:p w14:paraId="66424B7A"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1.19.</w:t>
            </w:r>
          </w:p>
        </w:tc>
        <w:tc>
          <w:tcPr>
            <w:tcW w:w="8170" w:type="dxa"/>
          </w:tcPr>
          <w:p w14:paraId="185674B8"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oglekļa uztveršana un izmantošana transporta nolūkiem, ja energoresurss ir atjaunojams saskaņā ar Enerģētikas likuma 1. panta 1. punktu;</w:t>
            </w:r>
          </w:p>
        </w:tc>
      </w:tr>
      <w:tr w:rsidR="007B6F30" w:rsidRPr="008318C4" w14:paraId="138CB38E" w14:textId="77777777" w:rsidTr="00C630BB">
        <w:tc>
          <w:tcPr>
            <w:tcW w:w="846" w:type="dxa"/>
          </w:tcPr>
          <w:p w14:paraId="6FC31087" w14:textId="77777777" w:rsidR="007B6F30" w:rsidRPr="008318C4" w:rsidRDefault="007B6F30" w:rsidP="007B6F30">
            <w:pPr>
              <w:pStyle w:val="norm"/>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1.20.</w:t>
            </w:r>
          </w:p>
        </w:tc>
        <w:tc>
          <w:tcPr>
            <w:tcW w:w="8170" w:type="dxa"/>
          </w:tcPr>
          <w:p w14:paraId="295DEE53" w14:textId="77777777" w:rsidR="007B6F30" w:rsidRPr="008318C4"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8318C4">
              <w:rPr>
                <w:rFonts w:eastAsia="Calibri"/>
                <w:sz w:val="26"/>
                <w:szCs w:val="26"/>
                <w:lang w:eastAsia="en-US"/>
              </w:rPr>
              <w:t>baktērijas, ja energoresurss ir atjaunojams saskaņā ar Enerģētikas likuma 1. panta 1. punktu.</w:t>
            </w:r>
          </w:p>
        </w:tc>
      </w:tr>
      <w:tr w:rsidR="007B6F30" w:rsidRPr="00BC3A42" w14:paraId="48118E69" w14:textId="77777777" w:rsidTr="00C630BB">
        <w:tc>
          <w:tcPr>
            <w:tcW w:w="846" w:type="dxa"/>
          </w:tcPr>
          <w:p w14:paraId="39F097D0" w14:textId="11CFAC42" w:rsidR="007B6F30" w:rsidRPr="00BC3A42" w:rsidRDefault="00EC6C8D" w:rsidP="007B6F30">
            <w:pPr>
              <w:pStyle w:val="norm"/>
              <w:tabs>
                <w:tab w:val="left" w:pos="993"/>
              </w:tabs>
              <w:spacing w:before="0" w:beforeAutospacing="0" w:after="0" w:afterAutospacing="0"/>
              <w:jc w:val="both"/>
              <w:textAlignment w:val="baseline"/>
              <w:rPr>
                <w:rFonts w:eastAsia="Calibri"/>
                <w:sz w:val="26"/>
                <w:szCs w:val="26"/>
                <w:lang w:eastAsia="en-US"/>
              </w:rPr>
            </w:pPr>
            <w:r>
              <w:rPr>
                <w:rFonts w:eastAsia="Calibri"/>
                <w:sz w:val="26"/>
                <w:szCs w:val="26"/>
                <w:lang w:eastAsia="en-US"/>
              </w:rPr>
              <w:t>1.21.</w:t>
            </w:r>
          </w:p>
        </w:tc>
        <w:tc>
          <w:tcPr>
            <w:tcW w:w="8170" w:type="dxa"/>
          </w:tcPr>
          <w:p w14:paraId="5DFCD8AF" w14:textId="77777777" w:rsidR="007B6F30" w:rsidRPr="00BC3A42"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lietota cepamā eļļa;</w:t>
            </w:r>
          </w:p>
        </w:tc>
      </w:tr>
      <w:tr w:rsidR="007B6F30" w:rsidRPr="00BC3A42" w14:paraId="57BA4CC8" w14:textId="77777777" w:rsidTr="00C630BB">
        <w:tc>
          <w:tcPr>
            <w:tcW w:w="846" w:type="dxa"/>
          </w:tcPr>
          <w:p w14:paraId="64912E01" w14:textId="678E29B4" w:rsidR="007B6F30" w:rsidRPr="00BC3A42" w:rsidRDefault="00EC6C8D" w:rsidP="007B6F30">
            <w:pPr>
              <w:pStyle w:val="norm"/>
              <w:tabs>
                <w:tab w:val="left" w:pos="993"/>
              </w:tabs>
              <w:spacing w:before="0" w:beforeAutospacing="0" w:after="0" w:afterAutospacing="0"/>
              <w:jc w:val="both"/>
              <w:textAlignment w:val="baseline"/>
              <w:rPr>
                <w:rFonts w:eastAsia="Calibri"/>
                <w:sz w:val="26"/>
                <w:szCs w:val="26"/>
                <w:lang w:eastAsia="en-US"/>
              </w:rPr>
            </w:pPr>
            <w:r>
              <w:rPr>
                <w:rFonts w:eastAsia="Calibri"/>
                <w:sz w:val="26"/>
                <w:szCs w:val="26"/>
                <w:lang w:eastAsia="en-US"/>
              </w:rPr>
              <w:t>1.22</w:t>
            </w:r>
          </w:p>
        </w:tc>
        <w:tc>
          <w:tcPr>
            <w:tcW w:w="8170" w:type="dxa"/>
          </w:tcPr>
          <w:p w14:paraId="309ED0BA" w14:textId="77777777" w:rsidR="007B6F30" w:rsidRPr="00BC3A42" w:rsidRDefault="007B6F30" w:rsidP="007B6F30">
            <w:pPr>
              <w:pStyle w:val="norm"/>
              <w:shd w:val="clear" w:color="auto" w:fill="FFFFFF"/>
              <w:tabs>
                <w:tab w:val="left" w:pos="993"/>
              </w:tabs>
              <w:spacing w:before="0" w:beforeAutospacing="0" w:after="0" w:afterAutospacing="0"/>
              <w:jc w:val="both"/>
              <w:textAlignment w:val="baseline"/>
              <w:rPr>
                <w:rFonts w:eastAsia="Calibri"/>
                <w:sz w:val="26"/>
                <w:szCs w:val="26"/>
                <w:lang w:eastAsia="en-US"/>
              </w:rPr>
            </w:pPr>
            <w:r w:rsidRPr="00BC3A42">
              <w:rPr>
                <w:rFonts w:eastAsia="Calibri"/>
                <w:sz w:val="26"/>
                <w:szCs w:val="26"/>
                <w:lang w:eastAsia="en-US"/>
              </w:rPr>
              <w:t>dzīvnieku tauki, ko saskaņā ar Eiropas Parlamenta un Padomes 2009. gada 21. oktobra regulu Nr. 1069/2009 ar ko nosaka veselības aizsardzības noteikumus attiecībā uz dzīvnieku izcelsmes blakusproduktiem un atvasinātajiem produktiem, kuri nav paredzēti cilvēku patēriņam, un ar ko atceļ Regulu (EK) Nr. 1774/2002 klasificē 1. un 2. kategorijā.”</w:t>
            </w:r>
          </w:p>
        </w:tc>
      </w:tr>
    </w:tbl>
    <w:p w14:paraId="74025264" w14:textId="77777777" w:rsidR="00606E6B" w:rsidRPr="00BC3A42" w:rsidRDefault="00606E6B" w:rsidP="00606E6B">
      <w:pPr>
        <w:rPr>
          <w:vanish/>
        </w:rPr>
      </w:pPr>
    </w:p>
    <w:p w14:paraId="181FCBC7" w14:textId="77777777" w:rsidR="00606E6B" w:rsidRPr="00BC3A42" w:rsidRDefault="00606E6B" w:rsidP="00D54D3D">
      <w:pPr>
        <w:ind w:firstLine="567"/>
        <w:jc w:val="both"/>
        <w:rPr>
          <w:iCs/>
        </w:rPr>
      </w:pPr>
    </w:p>
    <w:p w14:paraId="16D9581A" w14:textId="013AE971" w:rsidR="00626793" w:rsidRDefault="00626793" w:rsidP="00524FE2">
      <w:pPr>
        <w:pStyle w:val="Heading1"/>
        <w:numPr>
          <w:ilvl w:val="0"/>
          <w:numId w:val="13"/>
        </w:numPr>
      </w:pPr>
      <w:r w:rsidRPr="00BC3A42">
        <w:t xml:space="preserve">Biodegvielu </w:t>
      </w:r>
      <w:r w:rsidR="0091045A" w:rsidRPr="00BC3A42">
        <w:t xml:space="preserve">tirgus </w:t>
      </w:r>
      <w:r w:rsidR="00BC7892" w:rsidRPr="00BC3A42">
        <w:t xml:space="preserve">Latvijā un Eiropas </w:t>
      </w:r>
      <w:r w:rsidR="0069741C" w:rsidRPr="00BC3A42">
        <w:t>S</w:t>
      </w:r>
      <w:r w:rsidR="00BC7892" w:rsidRPr="00BC3A42">
        <w:t>avienībā</w:t>
      </w:r>
    </w:p>
    <w:p w14:paraId="4C1A3A30" w14:textId="77777777" w:rsidR="00EC6C8D" w:rsidRPr="00EC6C8D" w:rsidRDefault="00EC6C8D" w:rsidP="00EC6C8D">
      <w:pPr>
        <w:rPr>
          <w:lang w:val="sv-SE" w:eastAsia="sv-SE"/>
        </w:rPr>
      </w:pPr>
    </w:p>
    <w:p w14:paraId="2B15A9E0" w14:textId="77777777" w:rsidR="002C0ED3" w:rsidRPr="00BC3A42" w:rsidRDefault="00CE3407" w:rsidP="00BC7892">
      <w:pPr>
        <w:ind w:firstLine="567"/>
        <w:jc w:val="both"/>
        <w:rPr>
          <w:rFonts w:eastAsia="Calibri"/>
          <w:i/>
          <w:sz w:val="26"/>
          <w:szCs w:val="26"/>
          <w:u w:val="single"/>
          <w:lang w:eastAsia="en-US"/>
        </w:rPr>
      </w:pPr>
      <w:r w:rsidRPr="00BC3A42">
        <w:rPr>
          <w:sz w:val="26"/>
          <w:szCs w:val="26"/>
        </w:rPr>
        <w:t xml:space="preserve">Biodegvielu </w:t>
      </w:r>
      <w:r w:rsidR="0081422C" w:rsidRPr="00BC3A42">
        <w:rPr>
          <w:sz w:val="26"/>
          <w:szCs w:val="26"/>
        </w:rPr>
        <w:t xml:space="preserve">ražošanu un patēriņu </w:t>
      </w:r>
      <w:r w:rsidR="001C5056" w:rsidRPr="00BC3A42">
        <w:rPr>
          <w:sz w:val="26"/>
          <w:szCs w:val="26"/>
        </w:rPr>
        <w:t>galvenokārt veicina</w:t>
      </w:r>
      <w:r w:rsidRPr="00BC3A42">
        <w:rPr>
          <w:sz w:val="26"/>
          <w:szCs w:val="26"/>
        </w:rPr>
        <w:t xml:space="preserve"> valstu ambīcijas</w:t>
      </w:r>
      <w:r w:rsidR="001C5056" w:rsidRPr="00BC3A42">
        <w:rPr>
          <w:sz w:val="26"/>
          <w:szCs w:val="26"/>
        </w:rPr>
        <w:t xml:space="preserve">, kas vērstas </w:t>
      </w:r>
      <w:r w:rsidRPr="00BC3A42">
        <w:rPr>
          <w:sz w:val="26"/>
          <w:szCs w:val="26"/>
        </w:rPr>
        <w:t>uz transporta sektora dekarbonizāciju</w:t>
      </w:r>
      <w:r w:rsidR="001C5056" w:rsidRPr="00BC3A42">
        <w:rPr>
          <w:sz w:val="26"/>
          <w:szCs w:val="26"/>
        </w:rPr>
        <w:t xml:space="preserve">. Ņemot vērā, ka biodegvielu tirgus cena ir augstāka nekā fosilo degvielu, biodegvielas patēriņa apjomi un ražošanas apjomi ir </w:t>
      </w:r>
      <w:r w:rsidR="0069741C" w:rsidRPr="00BC3A42">
        <w:rPr>
          <w:sz w:val="26"/>
          <w:szCs w:val="26"/>
        </w:rPr>
        <w:t>tieši</w:t>
      </w:r>
      <w:r w:rsidR="001C5056" w:rsidRPr="00BC3A42">
        <w:rPr>
          <w:sz w:val="26"/>
          <w:szCs w:val="26"/>
        </w:rPr>
        <w:t xml:space="preserve"> atkarīgi no dažādu valstu pieņemtajiem lēmumiem attiecībā uz pasākumiem, kas īstenoti, lai sasniegtu izvirzītos SEG emisiju samazināšanas un AER īpatsvara paaugstināšanas mērķus. </w:t>
      </w:r>
    </w:p>
    <w:p w14:paraId="7922B456" w14:textId="79458C99" w:rsidR="00687EDE" w:rsidRPr="00BC3A42" w:rsidRDefault="005101AE" w:rsidP="00687EDE">
      <w:pPr>
        <w:ind w:firstLine="567"/>
        <w:jc w:val="both"/>
        <w:rPr>
          <w:sz w:val="26"/>
          <w:szCs w:val="26"/>
        </w:rPr>
      </w:pPr>
      <w:r w:rsidRPr="00BC3A42">
        <w:rPr>
          <w:sz w:val="26"/>
          <w:szCs w:val="26"/>
        </w:rPr>
        <w:t>Saskaņā ar Centrālās statistikas pārvaldes (turpmāk – CSP) datiem par bioetanola un biodīzeļdegvielas</w:t>
      </w:r>
      <w:r w:rsidR="00990A9D" w:rsidRPr="00BC3A42">
        <w:rPr>
          <w:rStyle w:val="FootnoteReference"/>
          <w:sz w:val="26"/>
          <w:szCs w:val="26"/>
        </w:rPr>
        <w:footnoteReference w:id="12"/>
      </w:r>
      <w:r w:rsidRPr="00BC3A42">
        <w:rPr>
          <w:sz w:val="26"/>
          <w:szCs w:val="26"/>
        </w:rPr>
        <w:t xml:space="preserve"> ražošanu, importu, eksportu un patēriņu transportā Latvijā, 2017.gadā, salīdzinot ar 2016.gadu, bioetanola ražošanas apjomi ir </w:t>
      </w:r>
      <w:r w:rsidR="00C14B72" w:rsidRPr="00BC3A42">
        <w:rPr>
          <w:sz w:val="26"/>
          <w:szCs w:val="26"/>
        </w:rPr>
        <w:t>palielinājušies par 4 tūkst.</w:t>
      </w:r>
      <w:r w:rsidR="00302465" w:rsidRPr="00BC3A42">
        <w:rPr>
          <w:sz w:val="26"/>
          <w:szCs w:val="26"/>
        </w:rPr>
        <w:t xml:space="preserve"> </w:t>
      </w:r>
      <w:r w:rsidR="00C14B72" w:rsidRPr="00BC3A42">
        <w:rPr>
          <w:sz w:val="26"/>
          <w:szCs w:val="26"/>
        </w:rPr>
        <w:t>tonnu</w:t>
      </w:r>
      <w:r w:rsidR="00302465" w:rsidRPr="00BC3A42">
        <w:rPr>
          <w:sz w:val="26"/>
          <w:szCs w:val="26"/>
        </w:rPr>
        <w:t>, kas ir par 80%</w:t>
      </w:r>
      <w:r w:rsidR="001C5056" w:rsidRPr="00BC3A42">
        <w:rPr>
          <w:sz w:val="26"/>
          <w:szCs w:val="26"/>
        </w:rPr>
        <w:t xml:space="preserve"> vairāk</w:t>
      </w:r>
      <w:r w:rsidRPr="00BC3A42">
        <w:rPr>
          <w:sz w:val="26"/>
          <w:szCs w:val="26"/>
        </w:rPr>
        <w:t xml:space="preserve">, bet bioetanola patēriņš transportā nedaudz samazinājies. </w:t>
      </w:r>
      <w:r w:rsidR="0038705D" w:rsidRPr="00BC3A42">
        <w:rPr>
          <w:sz w:val="26"/>
          <w:szCs w:val="26"/>
        </w:rPr>
        <w:t>2017.gadā, salīdzinot ar 2016.gadu, ir pieauguši b</w:t>
      </w:r>
      <w:r w:rsidRPr="00BC3A42">
        <w:rPr>
          <w:sz w:val="26"/>
          <w:szCs w:val="26"/>
        </w:rPr>
        <w:t>iodīzeļdegvielas ražošana</w:t>
      </w:r>
      <w:r w:rsidR="0038705D" w:rsidRPr="00BC3A42">
        <w:rPr>
          <w:sz w:val="26"/>
          <w:szCs w:val="26"/>
        </w:rPr>
        <w:t>s</w:t>
      </w:r>
      <w:r w:rsidRPr="00BC3A42">
        <w:rPr>
          <w:sz w:val="26"/>
          <w:szCs w:val="26"/>
        </w:rPr>
        <w:t xml:space="preserve"> un eksport</w:t>
      </w:r>
      <w:r w:rsidR="0038705D" w:rsidRPr="00BC3A42">
        <w:rPr>
          <w:sz w:val="26"/>
          <w:szCs w:val="26"/>
        </w:rPr>
        <w:t>a apjomi</w:t>
      </w:r>
      <w:r w:rsidRPr="00BC3A42">
        <w:rPr>
          <w:sz w:val="26"/>
          <w:szCs w:val="26"/>
        </w:rPr>
        <w:t>, tomēr biodīzeļdegvielas patēriņš transportā samazinājies (</w:t>
      </w:r>
      <w:r w:rsidRPr="00BC3A42">
        <w:rPr>
          <w:i/>
          <w:sz w:val="26"/>
          <w:szCs w:val="26"/>
        </w:rPr>
        <w:t xml:space="preserve">skat. </w:t>
      </w:r>
      <w:r w:rsidR="007E2D4B" w:rsidRPr="00BC3A42">
        <w:rPr>
          <w:i/>
          <w:sz w:val="26"/>
          <w:szCs w:val="26"/>
        </w:rPr>
        <w:t>2</w:t>
      </w:r>
      <w:r w:rsidRPr="00BC3A42">
        <w:rPr>
          <w:i/>
          <w:sz w:val="26"/>
          <w:szCs w:val="26"/>
        </w:rPr>
        <w:t>.tabulu</w:t>
      </w:r>
      <w:r w:rsidRPr="00BC3A42">
        <w:rPr>
          <w:sz w:val="26"/>
          <w:szCs w:val="26"/>
        </w:rPr>
        <w:t>):</w:t>
      </w:r>
    </w:p>
    <w:p w14:paraId="436D4FC3" w14:textId="77777777" w:rsidR="005101AE" w:rsidRPr="00BC3A42" w:rsidRDefault="007E2D4B" w:rsidP="00687EDE">
      <w:pPr>
        <w:ind w:firstLine="567"/>
        <w:jc w:val="right"/>
        <w:rPr>
          <w:sz w:val="26"/>
          <w:szCs w:val="26"/>
        </w:rPr>
      </w:pPr>
      <w:r w:rsidRPr="00BC3A42">
        <w:rPr>
          <w:bCs/>
          <w:i/>
          <w:sz w:val="26"/>
          <w:szCs w:val="26"/>
        </w:rPr>
        <w:t>2</w:t>
      </w:r>
      <w:r w:rsidR="005101AE" w:rsidRPr="00BC3A42">
        <w:rPr>
          <w:bCs/>
          <w:i/>
          <w:sz w:val="26"/>
          <w:szCs w:val="26"/>
        </w:rPr>
        <w:t>.tabula</w:t>
      </w:r>
    </w:p>
    <w:p w14:paraId="5399C3E1" w14:textId="77777777" w:rsidR="005101AE" w:rsidRPr="00BC3A42" w:rsidRDefault="005101AE" w:rsidP="005101AE">
      <w:pPr>
        <w:jc w:val="center"/>
        <w:rPr>
          <w:rFonts w:eastAsia="Calibri"/>
          <w:b/>
          <w:sz w:val="26"/>
          <w:szCs w:val="26"/>
          <w:lang w:eastAsia="en-US"/>
        </w:rPr>
      </w:pPr>
      <w:r w:rsidRPr="00BC3A42">
        <w:rPr>
          <w:b/>
          <w:sz w:val="26"/>
          <w:szCs w:val="26"/>
        </w:rPr>
        <w:lastRenderedPageBreak/>
        <w:t>Bioetanola un biodīzeļdegvielas ražošana, imports, eksports un patēriņš, tūkst. t</w:t>
      </w:r>
      <w:r w:rsidR="00BC7892" w:rsidRPr="00BC3A42">
        <w:rPr>
          <w:rStyle w:val="FootnoteReference"/>
          <w:b/>
          <w:sz w:val="26"/>
          <w:szCs w:val="26"/>
        </w:rPr>
        <w:footnoteReference w:id="13"/>
      </w:r>
    </w:p>
    <w:tbl>
      <w:tblPr>
        <w:tblW w:w="7261" w:type="dxa"/>
        <w:jc w:val="center"/>
        <w:tblLook w:val="04A0" w:firstRow="1" w:lastRow="0" w:firstColumn="1" w:lastColumn="0" w:noHBand="0" w:noVBand="1"/>
      </w:tblPr>
      <w:tblGrid>
        <w:gridCol w:w="2165"/>
        <w:gridCol w:w="758"/>
        <w:gridCol w:w="802"/>
        <w:gridCol w:w="884"/>
        <w:gridCol w:w="884"/>
        <w:gridCol w:w="884"/>
        <w:gridCol w:w="884"/>
      </w:tblGrid>
      <w:tr w:rsidR="005101AE" w:rsidRPr="00BC3A42" w14:paraId="70917955" w14:textId="77777777" w:rsidTr="00F46C2A">
        <w:trPr>
          <w:trHeight w:val="135"/>
          <w:jc w:val="center"/>
        </w:trPr>
        <w:tc>
          <w:tcPr>
            <w:tcW w:w="2165" w:type="dxa"/>
            <w:tcBorders>
              <w:top w:val="single" w:sz="12" w:space="0" w:color="auto"/>
              <w:left w:val="single" w:sz="12" w:space="0" w:color="auto"/>
              <w:bottom w:val="nil"/>
              <w:right w:val="single" w:sz="12" w:space="0" w:color="auto"/>
            </w:tcBorders>
            <w:noWrap/>
            <w:vAlign w:val="bottom"/>
            <w:hideMark/>
          </w:tcPr>
          <w:p w14:paraId="4CFC78FC" w14:textId="77777777" w:rsidR="005101AE" w:rsidRPr="00BC3A42" w:rsidRDefault="005101AE" w:rsidP="00F46C2A">
            <w:pPr>
              <w:rPr>
                <w:b/>
                <w:sz w:val="18"/>
                <w:szCs w:val="18"/>
              </w:rPr>
            </w:pPr>
          </w:p>
        </w:tc>
        <w:tc>
          <w:tcPr>
            <w:tcW w:w="1560" w:type="dxa"/>
            <w:gridSpan w:val="2"/>
            <w:tcBorders>
              <w:top w:val="single" w:sz="12" w:space="0" w:color="auto"/>
              <w:left w:val="single" w:sz="12" w:space="0" w:color="auto"/>
              <w:bottom w:val="single" w:sz="4" w:space="0" w:color="auto"/>
              <w:right w:val="single" w:sz="12" w:space="0" w:color="auto"/>
            </w:tcBorders>
            <w:noWrap/>
            <w:vAlign w:val="bottom"/>
            <w:hideMark/>
          </w:tcPr>
          <w:p w14:paraId="0CBA4B1E" w14:textId="77777777" w:rsidR="005101AE" w:rsidRPr="00BC3A42" w:rsidRDefault="005101AE" w:rsidP="00F46C2A">
            <w:pPr>
              <w:jc w:val="center"/>
              <w:rPr>
                <w:b/>
                <w:bCs/>
                <w:color w:val="000000"/>
                <w:sz w:val="18"/>
                <w:szCs w:val="18"/>
              </w:rPr>
            </w:pPr>
            <w:r w:rsidRPr="00BC3A42">
              <w:rPr>
                <w:b/>
                <w:bCs/>
                <w:color w:val="000000"/>
                <w:sz w:val="18"/>
                <w:szCs w:val="18"/>
              </w:rPr>
              <w:t>2015</w:t>
            </w:r>
          </w:p>
        </w:tc>
        <w:tc>
          <w:tcPr>
            <w:tcW w:w="1768" w:type="dxa"/>
            <w:gridSpan w:val="2"/>
            <w:tcBorders>
              <w:top w:val="single" w:sz="12" w:space="0" w:color="auto"/>
              <w:left w:val="single" w:sz="12" w:space="0" w:color="auto"/>
              <w:bottom w:val="single" w:sz="4" w:space="0" w:color="auto"/>
              <w:right w:val="single" w:sz="12" w:space="0" w:color="auto"/>
            </w:tcBorders>
            <w:noWrap/>
            <w:vAlign w:val="bottom"/>
            <w:hideMark/>
          </w:tcPr>
          <w:p w14:paraId="61E08321" w14:textId="77777777" w:rsidR="005101AE" w:rsidRPr="00BC3A42" w:rsidRDefault="005101AE" w:rsidP="00F46C2A">
            <w:pPr>
              <w:jc w:val="center"/>
              <w:rPr>
                <w:b/>
                <w:bCs/>
                <w:color w:val="000000"/>
                <w:sz w:val="18"/>
                <w:szCs w:val="18"/>
              </w:rPr>
            </w:pPr>
            <w:r w:rsidRPr="00BC3A42">
              <w:rPr>
                <w:b/>
                <w:bCs/>
                <w:color w:val="000000"/>
                <w:sz w:val="18"/>
                <w:szCs w:val="18"/>
              </w:rPr>
              <w:t>2016</w:t>
            </w:r>
          </w:p>
        </w:tc>
        <w:tc>
          <w:tcPr>
            <w:tcW w:w="1768" w:type="dxa"/>
            <w:gridSpan w:val="2"/>
            <w:tcBorders>
              <w:top w:val="single" w:sz="12" w:space="0" w:color="auto"/>
              <w:left w:val="single" w:sz="12" w:space="0" w:color="auto"/>
              <w:bottom w:val="single" w:sz="4" w:space="0" w:color="auto"/>
              <w:right w:val="single" w:sz="12" w:space="0" w:color="auto"/>
            </w:tcBorders>
            <w:noWrap/>
            <w:vAlign w:val="bottom"/>
            <w:hideMark/>
          </w:tcPr>
          <w:p w14:paraId="7D1382E5" w14:textId="77777777" w:rsidR="005101AE" w:rsidRPr="00BC3A42" w:rsidRDefault="005101AE" w:rsidP="00F46C2A">
            <w:pPr>
              <w:jc w:val="center"/>
              <w:rPr>
                <w:b/>
                <w:bCs/>
                <w:color w:val="000000"/>
                <w:sz w:val="18"/>
                <w:szCs w:val="18"/>
              </w:rPr>
            </w:pPr>
            <w:r w:rsidRPr="00BC3A42">
              <w:rPr>
                <w:b/>
                <w:bCs/>
                <w:color w:val="000000"/>
                <w:sz w:val="18"/>
                <w:szCs w:val="18"/>
              </w:rPr>
              <w:t>2017</w:t>
            </w:r>
          </w:p>
        </w:tc>
      </w:tr>
      <w:tr w:rsidR="005101AE" w:rsidRPr="00BC3A42" w14:paraId="5A0D6BAB" w14:textId="77777777" w:rsidTr="00687EDE">
        <w:trPr>
          <w:cantSplit/>
          <w:trHeight w:val="1533"/>
          <w:jc w:val="center"/>
        </w:trPr>
        <w:tc>
          <w:tcPr>
            <w:tcW w:w="2165" w:type="dxa"/>
            <w:tcBorders>
              <w:top w:val="nil"/>
              <w:left w:val="single" w:sz="12" w:space="0" w:color="auto"/>
              <w:bottom w:val="single" w:sz="12" w:space="0" w:color="auto"/>
              <w:right w:val="single" w:sz="12" w:space="0" w:color="auto"/>
            </w:tcBorders>
            <w:noWrap/>
            <w:vAlign w:val="bottom"/>
            <w:hideMark/>
          </w:tcPr>
          <w:p w14:paraId="17E8B2AF" w14:textId="77777777" w:rsidR="005101AE" w:rsidRPr="00BC3A42" w:rsidRDefault="005101AE" w:rsidP="00F46C2A">
            <w:pPr>
              <w:rPr>
                <w:b/>
                <w:bCs/>
                <w:color w:val="000000"/>
                <w:sz w:val="18"/>
                <w:szCs w:val="18"/>
              </w:rPr>
            </w:pPr>
          </w:p>
        </w:tc>
        <w:tc>
          <w:tcPr>
            <w:tcW w:w="758" w:type="dxa"/>
            <w:tcBorders>
              <w:top w:val="single" w:sz="4" w:space="0" w:color="auto"/>
              <w:left w:val="single" w:sz="12" w:space="0" w:color="auto"/>
              <w:bottom w:val="single" w:sz="12" w:space="0" w:color="auto"/>
              <w:right w:val="single" w:sz="4" w:space="0" w:color="auto"/>
            </w:tcBorders>
            <w:noWrap/>
            <w:textDirection w:val="btLr"/>
            <w:vAlign w:val="center"/>
            <w:hideMark/>
          </w:tcPr>
          <w:p w14:paraId="551BA057"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Bioetanols</w:t>
            </w:r>
          </w:p>
        </w:tc>
        <w:tc>
          <w:tcPr>
            <w:tcW w:w="802" w:type="dxa"/>
            <w:tcBorders>
              <w:top w:val="single" w:sz="4" w:space="0" w:color="auto"/>
              <w:left w:val="nil"/>
              <w:bottom w:val="single" w:sz="12" w:space="0" w:color="auto"/>
              <w:right w:val="single" w:sz="12" w:space="0" w:color="auto"/>
            </w:tcBorders>
            <w:noWrap/>
            <w:textDirection w:val="btLr"/>
            <w:vAlign w:val="center"/>
            <w:hideMark/>
          </w:tcPr>
          <w:p w14:paraId="1FE30F5C"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Biodīzeļdegviela</w:t>
            </w:r>
          </w:p>
        </w:tc>
        <w:tc>
          <w:tcPr>
            <w:tcW w:w="884" w:type="dxa"/>
            <w:tcBorders>
              <w:top w:val="single" w:sz="4" w:space="0" w:color="auto"/>
              <w:left w:val="single" w:sz="12" w:space="0" w:color="auto"/>
              <w:bottom w:val="single" w:sz="12" w:space="0" w:color="auto"/>
              <w:right w:val="single" w:sz="4" w:space="0" w:color="auto"/>
            </w:tcBorders>
            <w:noWrap/>
            <w:textDirection w:val="btLr"/>
            <w:vAlign w:val="center"/>
            <w:hideMark/>
          </w:tcPr>
          <w:p w14:paraId="64D10985"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Bioetanols</w:t>
            </w:r>
          </w:p>
        </w:tc>
        <w:tc>
          <w:tcPr>
            <w:tcW w:w="884" w:type="dxa"/>
            <w:tcBorders>
              <w:top w:val="single" w:sz="4" w:space="0" w:color="auto"/>
              <w:left w:val="nil"/>
              <w:bottom w:val="single" w:sz="12" w:space="0" w:color="auto"/>
              <w:right w:val="single" w:sz="12" w:space="0" w:color="auto"/>
            </w:tcBorders>
            <w:noWrap/>
            <w:textDirection w:val="btLr"/>
            <w:vAlign w:val="center"/>
            <w:hideMark/>
          </w:tcPr>
          <w:p w14:paraId="42672FFF"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Biodīzeļdegviela</w:t>
            </w:r>
          </w:p>
        </w:tc>
        <w:tc>
          <w:tcPr>
            <w:tcW w:w="884" w:type="dxa"/>
            <w:tcBorders>
              <w:top w:val="single" w:sz="4" w:space="0" w:color="auto"/>
              <w:left w:val="single" w:sz="12" w:space="0" w:color="auto"/>
              <w:bottom w:val="single" w:sz="12" w:space="0" w:color="auto"/>
              <w:right w:val="single" w:sz="4" w:space="0" w:color="auto"/>
            </w:tcBorders>
            <w:noWrap/>
            <w:textDirection w:val="btLr"/>
            <w:vAlign w:val="center"/>
            <w:hideMark/>
          </w:tcPr>
          <w:p w14:paraId="0BA92D12"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Bioetanols</w:t>
            </w:r>
          </w:p>
        </w:tc>
        <w:tc>
          <w:tcPr>
            <w:tcW w:w="884" w:type="dxa"/>
            <w:tcBorders>
              <w:top w:val="single" w:sz="4" w:space="0" w:color="auto"/>
              <w:left w:val="nil"/>
              <w:bottom w:val="single" w:sz="12" w:space="0" w:color="auto"/>
              <w:right w:val="single" w:sz="12" w:space="0" w:color="auto"/>
            </w:tcBorders>
            <w:noWrap/>
            <w:textDirection w:val="btLr"/>
            <w:vAlign w:val="center"/>
            <w:hideMark/>
          </w:tcPr>
          <w:p w14:paraId="7432C070" w14:textId="77777777" w:rsidR="005101AE" w:rsidRPr="00BC3A42" w:rsidRDefault="005101AE" w:rsidP="00F46C2A">
            <w:pPr>
              <w:ind w:left="113" w:right="113"/>
              <w:jc w:val="center"/>
              <w:rPr>
                <w:b/>
                <w:bCs/>
                <w:color w:val="000000"/>
                <w:sz w:val="18"/>
                <w:szCs w:val="18"/>
              </w:rPr>
            </w:pPr>
            <w:r w:rsidRPr="00BC3A42">
              <w:rPr>
                <w:b/>
                <w:bCs/>
                <w:color w:val="000000"/>
                <w:sz w:val="18"/>
                <w:szCs w:val="18"/>
              </w:rPr>
              <w:t>Biodīzeļdegviela</w:t>
            </w:r>
          </w:p>
        </w:tc>
      </w:tr>
      <w:tr w:rsidR="005101AE" w:rsidRPr="00BC3A42" w14:paraId="4B223D7A" w14:textId="77777777" w:rsidTr="00F46C2A">
        <w:trPr>
          <w:trHeight w:val="300"/>
          <w:jc w:val="center"/>
        </w:trPr>
        <w:tc>
          <w:tcPr>
            <w:tcW w:w="2165" w:type="dxa"/>
            <w:tcBorders>
              <w:top w:val="single" w:sz="12" w:space="0" w:color="auto"/>
              <w:left w:val="single" w:sz="12" w:space="0" w:color="auto"/>
              <w:bottom w:val="single" w:sz="4" w:space="0" w:color="auto"/>
              <w:right w:val="single" w:sz="12" w:space="0" w:color="auto"/>
            </w:tcBorders>
            <w:noWrap/>
            <w:vAlign w:val="bottom"/>
            <w:hideMark/>
          </w:tcPr>
          <w:p w14:paraId="4FE85703" w14:textId="77777777" w:rsidR="005101AE" w:rsidRPr="00BC3A42" w:rsidRDefault="005101AE" w:rsidP="00F46C2A">
            <w:pPr>
              <w:rPr>
                <w:b/>
                <w:bCs/>
                <w:color w:val="000000"/>
                <w:sz w:val="18"/>
                <w:szCs w:val="18"/>
              </w:rPr>
            </w:pPr>
            <w:r w:rsidRPr="00BC3A42">
              <w:rPr>
                <w:b/>
                <w:bCs/>
                <w:color w:val="000000"/>
                <w:sz w:val="18"/>
                <w:szCs w:val="18"/>
              </w:rPr>
              <w:t>Ražošana</w:t>
            </w:r>
          </w:p>
        </w:tc>
        <w:tc>
          <w:tcPr>
            <w:tcW w:w="758" w:type="dxa"/>
            <w:tcBorders>
              <w:top w:val="single" w:sz="12" w:space="0" w:color="auto"/>
              <w:left w:val="single" w:sz="12" w:space="0" w:color="auto"/>
              <w:bottom w:val="single" w:sz="4" w:space="0" w:color="auto"/>
              <w:right w:val="single" w:sz="4" w:space="0" w:color="auto"/>
            </w:tcBorders>
            <w:noWrap/>
            <w:vAlign w:val="bottom"/>
          </w:tcPr>
          <w:p w14:paraId="1F5EEA67" w14:textId="77777777" w:rsidR="005101AE" w:rsidRPr="00BC3A42" w:rsidRDefault="005101AE" w:rsidP="00F46C2A">
            <w:pPr>
              <w:jc w:val="center"/>
              <w:rPr>
                <w:color w:val="000000"/>
                <w:sz w:val="18"/>
                <w:szCs w:val="18"/>
              </w:rPr>
            </w:pPr>
            <w:r w:rsidRPr="00BC3A42">
              <w:rPr>
                <w:color w:val="000000"/>
                <w:sz w:val="18"/>
                <w:szCs w:val="18"/>
              </w:rPr>
              <w:t>3</w:t>
            </w:r>
          </w:p>
        </w:tc>
        <w:tc>
          <w:tcPr>
            <w:tcW w:w="802" w:type="dxa"/>
            <w:tcBorders>
              <w:top w:val="single" w:sz="12" w:space="0" w:color="auto"/>
              <w:left w:val="nil"/>
              <w:bottom w:val="single" w:sz="4" w:space="0" w:color="auto"/>
              <w:right w:val="single" w:sz="12" w:space="0" w:color="auto"/>
            </w:tcBorders>
            <w:noWrap/>
            <w:vAlign w:val="bottom"/>
          </w:tcPr>
          <w:p w14:paraId="175342DE" w14:textId="77777777" w:rsidR="005101AE" w:rsidRPr="00BC3A42" w:rsidRDefault="005101AE" w:rsidP="00F46C2A">
            <w:pPr>
              <w:jc w:val="center"/>
              <w:rPr>
                <w:color w:val="000000"/>
                <w:sz w:val="18"/>
                <w:szCs w:val="18"/>
              </w:rPr>
            </w:pPr>
            <w:r w:rsidRPr="00BC3A42">
              <w:rPr>
                <w:color w:val="000000"/>
                <w:sz w:val="18"/>
                <w:szCs w:val="18"/>
              </w:rPr>
              <w:t>66</w:t>
            </w:r>
          </w:p>
        </w:tc>
        <w:tc>
          <w:tcPr>
            <w:tcW w:w="884" w:type="dxa"/>
            <w:tcBorders>
              <w:top w:val="single" w:sz="12" w:space="0" w:color="auto"/>
              <w:left w:val="single" w:sz="12" w:space="0" w:color="auto"/>
              <w:bottom w:val="single" w:sz="4" w:space="0" w:color="auto"/>
              <w:right w:val="single" w:sz="4" w:space="0" w:color="auto"/>
            </w:tcBorders>
            <w:noWrap/>
            <w:vAlign w:val="bottom"/>
          </w:tcPr>
          <w:p w14:paraId="70390321" w14:textId="77777777" w:rsidR="005101AE" w:rsidRPr="00BC3A42" w:rsidRDefault="005101AE" w:rsidP="00F46C2A">
            <w:pPr>
              <w:jc w:val="center"/>
              <w:rPr>
                <w:color w:val="000000"/>
                <w:sz w:val="18"/>
                <w:szCs w:val="18"/>
              </w:rPr>
            </w:pPr>
            <w:r w:rsidRPr="00BC3A42">
              <w:rPr>
                <w:color w:val="000000"/>
                <w:sz w:val="18"/>
                <w:szCs w:val="18"/>
              </w:rPr>
              <w:t>5</w:t>
            </w:r>
          </w:p>
        </w:tc>
        <w:tc>
          <w:tcPr>
            <w:tcW w:w="884" w:type="dxa"/>
            <w:tcBorders>
              <w:top w:val="single" w:sz="12" w:space="0" w:color="auto"/>
              <w:left w:val="nil"/>
              <w:bottom w:val="single" w:sz="4" w:space="0" w:color="auto"/>
              <w:right w:val="single" w:sz="12" w:space="0" w:color="auto"/>
            </w:tcBorders>
            <w:noWrap/>
            <w:vAlign w:val="bottom"/>
          </w:tcPr>
          <w:p w14:paraId="563A09F0" w14:textId="77777777" w:rsidR="005101AE" w:rsidRPr="00BC3A42" w:rsidRDefault="005101AE" w:rsidP="00F46C2A">
            <w:pPr>
              <w:jc w:val="center"/>
              <w:rPr>
                <w:color w:val="000000"/>
                <w:sz w:val="18"/>
                <w:szCs w:val="18"/>
              </w:rPr>
            </w:pPr>
            <w:r w:rsidRPr="00BC3A42">
              <w:rPr>
                <w:color w:val="000000"/>
                <w:sz w:val="18"/>
                <w:szCs w:val="18"/>
              </w:rPr>
              <w:t>45</w:t>
            </w:r>
          </w:p>
        </w:tc>
        <w:tc>
          <w:tcPr>
            <w:tcW w:w="884" w:type="dxa"/>
            <w:tcBorders>
              <w:top w:val="single" w:sz="12" w:space="0" w:color="auto"/>
              <w:left w:val="single" w:sz="12" w:space="0" w:color="auto"/>
              <w:bottom w:val="single" w:sz="4" w:space="0" w:color="auto"/>
              <w:right w:val="single" w:sz="4" w:space="0" w:color="auto"/>
            </w:tcBorders>
            <w:noWrap/>
            <w:vAlign w:val="bottom"/>
          </w:tcPr>
          <w:p w14:paraId="0B9C2D42" w14:textId="77777777" w:rsidR="005101AE" w:rsidRPr="00BC3A42" w:rsidRDefault="005101AE" w:rsidP="00F46C2A">
            <w:pPr>
              <w:jc w:val="center"/>
              <w:rPr>
                <w:color w:val="000000"/>
                <w:sz w:val="18"/>
                <w:szCs w:val="18"/>
              </w:rPr>
            </w:pPr>
            <w:r w:rsidRPr="00BC3A42">
              <w:rPr>
                <w:color w:val="000000"/>
                <w:sz w:val="18"/>
                <w:szCs w:val="18"/>
              </w:rPr>
              <w:t>9</w:t>
            </w:r>
          </w:p>
        </w:tc>
        <w:tc>
          <w:tcPr>
            <w:tcW w:w="884" w:type="dxa"/>
            <w:tcBorders>
              <w:top w:val="single" w:sz="12" w:space="0" w:color="auto"/>
              <w:left w:val="nil"/>
              <w:bottom w:val="single" w:sz="4" w:space="0" w:color="auto"/>
              <w:right w:val="single" w:sz="12" w:space="0" w:color="auto"/>
            </w:tcBorders>
            <w:noWrap/>
            <w:vAlign w:val="bottom"/>
          </w:tcPr>
          <w:p w14:paraId="0180F421" w14:textId="77777777" w:rsidR="005101AE" w:rsidRPr="00BC3A42" w:rsidRDefault="005101AE" w:rsidP="00F46C2A">
            <w:pPr>
              <w:jc w:val="center"/>
              <w:rPr>
                <w:color w:val="000000"/>
                <w:sz w:val="18"/>
                <w:szCs w:val="18"/>
              </w:rPr>
            </w:pPr>
            <w:r w:rsidRPr="00BC3A42">
              <w:rPr>
                <w:color w:val="000000"/>
                <w:sz w:val="18"/>
                <w:szCs w:val="18"/>
              </w:rPr>
              <w:t>53</w:t>
            </w:r>
          </w:p>
        </w:tc>
      </w:tr>
      <w:tr w:rsidR="005101AE" w:rsidRPr="00BC3A42" w14:paraId="761A1E21" w14:textId="77777777" w:rsidTr="00F46C2A">
        <w:trPr>
          <w:trHeight w:val="300"/>
          <w:jc w:val="center"/>
        </w:trPr>
        <w:tc>
          <w:tcPr>
            <w:tcW w:w="2165" w:type="dxa"/>
            <w:tcBorders>
              <w:top w:val="nil"/>
              <w:left w:val="single" w:sz="12" w:space="0" w:color="auto"/>
              <w:bottom w:val="single" w:sz="4" w:space="0" w:color="auto"/>
              <w:right w:val="single" w:sz="12" w:space="0" w:color="auto"/>
            </w:tcBorders>
            <w:noWrap/>
            <w:vAlign w:val="bottom"/>
            <w:hideMark/>
          </w:tcPr>
          <w:p w14:paraId="7B9D4098" w14:textId="77777777" w:rsidR="005101AE" w:rsidRPr="00BC3A42" w:rsidRDefault="005101AE" w:rsidP="00F46C2A">
            <w:pPr>
              <w:rPr>
                <w:b/>
                <w:bCs/>
                <w:color w:val="000000"/>
                <w:sz w:val="18"/>
                <w:szCs w:val="18"/>
              </w:rPr>
            </w:pPr>
            <w:r w:rsidRPr="00BC3A42">
              <w:rPr>
                <w:b/>
                <w:bCs/>
                <w:color w:val="000000"/>
                <w:sz w:val="18"/>
                <w:szCs w:val="18"/>
              </w:rPr>
              <w:t>Imports</w:t>
            </w:r>
          </w:p>
        </w:tc>
        <w:tc>
          <w:tcPr>
            <w:tcW w:w="758" w:type="dxa"/>
            <w:tcBorders>
              <w:top w:val="nil"/>
              <w:left w:val="single" w:sz="12" w:space="0" w:color="auto"/>
              <w:bottom w:val="single" w:sz="4" w:space="0" w:color="auto"/>
              <w:right w:val="single" w:sz="4" w:space="0" w:color="auto"/>
            </w:tcBorders>
            <w:noWrap/>
            <w:vAlign w:val="bottom"/>
          </w:tcPr>
          <w:p w14:paraId="5AC3F344" w14:textId="77777777" w:rsidR="005101AE" w:rsidRPr="00BC3A42" w:rsidRDefault="005101AE" w:rsidP="00F46C2A">
            <w:pPr>
              <w:jc w:val="center"/>
              <w:rPr>
                <w:color w:val="000000"/>
                <w:sz w:val="18"/>
                <w:szCs w:val="18"/>
              </w:rPr>
            </w:pPr>
            <w:r w:rsidRPr="00BC3A42">
              <w:rPr>
                <w:color w:val="000000"/>
                <w:sz w:val="18"/>
                <w:szCs w:val="18"/>
              </w:rPr>
              <w:t>11</w:t>
            </w:r>
          </w:p>
        </w:tc>
        <w:tc>
          <w:tcPr>
            <w:tcW w:w="802" w:type="dxa"/>
            <w:tcBorders>
              <w:top w:val="nil"/>
              <w:left w:val="nil"/>
              <w:bottom w:val="single" w:sz="4" w:space="0" w:color="auto"/>
              <w:right w:val="single" w:sz="12" w:space="0" w:color="auto"/>
            </w:tcBorders>
            <w:noWrap/>
            <w:vAlign w:val="bottom"/>
          </w:tcPr>
          <w:p w14:paraId="2A584ED9" w14:textId="77777777" w:rsidR="005101AE" w:rsidRPr="00BC3A42" w:rsidRDefault="005101AE" w:rsidP="00F46C2A">
            <w:pPr>
              <w:jc w:val="center"/>
              <w:rPr>
                <w:color w:val="000000"/>
                <w:sz w:val="18"/>
                <w:szCs w:val="18"/>
              </w:rPr>
            </w:pPr>
            <w:r w:rsidRPr="00BC3A42">
              <w:rPr>
                <w:color w:val="000000"/>
                <w:sz w:val="18"/>
                <w:szCs w:val="18"/>
              </w:rPr>
              <w:t>17</w:t>
            </w:r>
          </w:p>
        </w:tc>
        <w:tc>
          <w:tcPr>
            <w:tcW w:w="884" w:type="dxa"/>
            <w:tcBorders>
              <w:top w:val="nil"/>
              <w:left w:val="single" w:sz="12" w:space="0" w:color="auto"/>
              <w:bottom w:val="single" w:sz="4" w:space="0" w:color="auto"/>
              <w:right w:val="single" w:sz="4" w:space="0" w:color="auto"/>
            </w:tcBorders>
            <w:noWrap/>
            <w:vAlign w:val="bottom"/>
          </w:tcPr>
          <w:p w14:paraId="18D597D4" w14:textId="77777777" w:rsidR="005101AE" w:rsidRPr="00BC3A42" w:rsidRDefault="005101AE" w:rsidP="00F46C2A">
            <w:pPr>
              <w:jc w:val="center"/>
              <w:rPr>
                <w:color w:val="000000"/>
                <w:sz w:val="18"/>
                <w:szCs w:val="18"/>
              </w:rPr>
            </w:pPr>
            <w:r w:rsidRPr="00BC3A42">
              <w:rPr>
                <w:color w:val="000000"/>
                <w:sz w:val="18"/>
                <w:szCs w:val="18"/>
              </w:rPr>
              <w:t>11</w:t>
            </w:r>
          </w:p>
        </w:tc>
        <w:tc>
          <w:tcPr>
            <w:tcW w:w="884" w:type="dxa"/>
            <w:tcBorders>
              <w:top w:val="nil"/>
              <w:left w:val="nil"/>
              <w:bottom w:val="single" w:sz="4" w:space="0" w:color="auto"/>
              <w:right w:val="single" w:sz="12" w:space="0" w:color="auto"/>
            </w:tcBorders>
            <w:noWrap/>
            <w:vAlign w:val="bottom"/>
          </w:tcPr>
          <w:p w14:paraId="552E4DF2" w14:textId="77777777" w:rsidR="005101AE" w:rsidRPr="00BC3A42" w:rsidRDefault="005101AE" w:rsidP="00F46C2A">
            <w:pPr>
              <w:jc w:val="center"/>
              <w:rPr>
                <w:color w:val="000000"/>
                <w:sz w:val="18"/>
                <w:szCs w:val="18"/>
              </w:rPr>
            </w:pPr>
            <w:r w:rsidRPr="00BC3A42">
              <w:rPr>
                <w:color w:val="000000"/>
                <w:sz w:val="18"/>
                <w:szCs w:val="18"/>
              </w:rPr>
              <w:t>6</w:t>
            </w:r>
          </w:p>
        </w:tc>
        <w:tc>
          <w:tcPr>
            <w:tcW w:w="884" w:type="dxa"/>
            <w:tcBorders>
              <w:top w:val="nil"/>
              <w:left w:val="single" w:sz="12" w:space="0" w:color="auto"/>
              <w:bottom w:val="single" w:sz="4" w:space="0" w:color="auto"/>
              <w:right w:val="single" w:sz="4" w:space="0" w:color="auto"/>
            </w:tcBorders>
            <w:noWrap/>
            <w:vAlign w:val="bottom"/>
          </w:tcPr>
          <w:p w14:paraId="6C712403" w14:textId="77777777" w:rsidR="005101AE" w:rsidRPr="00BC3A42" w:rsidRDefault="005101AE" w:rsidP="00F46C2A">
            <w:pPr>
              <w:jc w:val="center"/>
              <w:rPr>
                <w:color w:val="000000"/>
                <w:sz w:val="18"/>
                <w:szCs w:val="18"/>
              </w:rPr>
            </w:pPr>
            <w:r w:rsidRPr="00BC3A42">
              <w:rPr>
                <w:color w:val="000000"/>
                <w:sz w:val="18"/>
                <w:szCs w:val="18"/>
              </w:rPr>
              <w:t>10</w:t>
            </w:r>
          </w:p>
        </w:tc>
        <w:tc>
          <w:tcPr>
            <w:tcW w:w="884" w:type="dxa"/>
            <w:tcBorders>
              <w:top w:val="nil"/>
              <w:left w:val="nil"/>
              <w:bottom w:val="single" w:sz="4" w:space="0" w:color="auto"/>
              <w:right w:val="single" w:sz="12" w:space="0" w:color="auto"/>
            </w:tcBorders>
            <w:noWrap/>
            <w:vAlign w:val="bottom"/>
          </w:tcPr>
          <w:p w14:paraId="4B7F84E5" w14:textId="77777777" w:rsidR="005101AE" w:rsidRPr="00BC3A42" w:rsidRDefault="005101AE" w:rsidP="00F46C2A">
            <w:pPr>
              <w:jc w:val="center"/>
              <w:rPr>
                <w:color w:val="000000"/>
                <w:sz w:val="18"/>
                <w:szCs w:val="18"/>
              </w:rPr>
            </w:pPr>
            <w:r w:rsidRPr="00BC3A42">
              <w:rPr>
                <w:color w:val="000000"/>
                <w:sz w:val="18"/>
                <w:szCs w:val="18"/>
              </w:rPr>
              <w:t>5</w:t>
            </w:r>
          </w:p>
        </w:tc>
      </w:tr>
      <w:tr w:rsidR="005101AE" w:rsidRPr="00BC3A42" w14:paraId="5F7F71ED" w14:textId="77777777" w:rsidTr="00F46C2A">
        <w:trPr>
          <w:trHeight w:val="300"/>
          <w:jc w:val="center"/>
        </w:trPr>
        <w:tc>
          <w:tcPr>
            <w:tcW w:w="2165" w:type="dxa"/>
            <w:tcBorders>
              <w:top w:val="nil"/>
              <w:left w:val="single" w:sz="12" w:space="0" w:color="auto"/>
              <w:bottom w:val="single" w:sz="4" w:space="0" w:color="auto"/>
              <w:right w:val="single" w:sz="12" w:space="0" w:color="auto"/>
            </w:tcBorders>
            <w:noWrap/>
            <w:vAlign w:val="bottom"/>
            <w:hideMark/>
          </w:tcPr>
          <w:p w14:paraId="6302C921" w14:textId="77777777" w:rsidR="005101AE" w:rsidRPr="00BC3A42" w:rsidRDefault="005101AE" w:rsidP="00F46C2A">
            <w:pPr>
              <w:rPr>
                <w:b/>
                <w:bCs/>
                <w:color w:val="000000"/>
                <w:sz w:val="18"/>
                <w:szCs w:val="18"/>
              </w:rPr>
            </w:pPr>
            <w:r w:rsidRPr="00BC3A42">
              <w:rPr>
                <w:b/>
                <w:bCs/>
                <w:color w:val="000000"/>
                <w:sz w:val="18"/>
                <w:szCs w:val="18"/>
              </w:rPr>
              <w:t xml:space="preserve">Eksports </w:t>
            </w:r>
          </w:p>
        </w:tc>
        <w:tc>
          <w:tcPr>
            <w:tcW w:w="758" w:type="dxa"/>
            <w:tcBorders>
              <w:top w:val="nil"/>
              <w:left w:val="single" w:sz="12" w:space="0" w:color="auto"/>
              <w:bottom w:val="single" w:sz="4" w:space="0" w:color="auto"/>
              <w:right w:val="single" w:sz="4" w:space="0" w:color="auto"/>
            </w:tcBorders>
            <w:noWrap/>
            <w:vAlign w:val="bottom"/>
          </w:tcPr>
          <w:p w14:paraId="7CEADB9D" w14:textId="77777777" w:rsidR="005101AE" w:rsidRPr="00BC3A42" w:rsidRDefault="005101AE" w:rsidP="00F46C2A">
            <w:pPr>
              <w:jc w:val="center"/>
              <w:rPr>
                <w:color w:val="000000"/>
                <w:sz w:val="18"/>
                <w:szCs w:val="18"/>
              </w:rPr>
            </w:pPr>
            <w:r w:rsidRPr="00BC3A42">
              <w:rPr>
                <w:color w:val="000000"/>
                <w:sz w:val="18"/>
                <w:szCs w:val="18"/>
              </w:rPr>
              <w:t>2</w:t>
            </w:r>
          </w:p>
        </w:tc>
        <w:tc>
          <w:tcPr>
            <w:tcW w:w="802" w:type="dxa"/>
            <w:tcBorders>
              <w:top w:val="nil"/>
              <w:left w:val="nil"/>
              <w:bottom w:val="single" w:sz="4" w:space="0" w:color="auto"/>
              <w:right w:val="single" w:sz="12" w:space="0" w:color="auto"/>
            </w:tcBorders>
            <w:noWrap/>
            <w:vAlign w:val="bottom"/>
          </w:tcPr>
          <w:p w14:paraId="58F81410" w14:textId="77777777" w:rsidR="005101AE" w:rsidRPr="00BC3A42" w:rsidRDefault="005101AE" w:rsidP="00F46C2A">
            <w:pPr>
              <w:jc w:val="center"/>
              <w:rPr>
                <w:color w:val="000000"/>
                <w:sz w:val="18"/>
                <w:szCs w:val="18"/>
              </w:rPr>
            </w:pPr>
            <w:r w:rsidRPr="00BC3A42">
              <w:rPr>
                <w:color w:val="000000"/>
                <w:sz w:val="18"/>
                <w:szCs w:val="18"/>
              </w:rPr>
              <w:t>60</w:t>
            </w:r>
          </w:p>
        </w:tc>
        <w:tc>
          <w:tcPr>
            <w:tcW w:w="884" w:type="dxa"/>
            <w:tcBorders>
              <w:top w:val="nil"/>
              <w:left w:val="single" w:sz="12" w:space="0" w:color="auto"/>
              <w:bottom w:val="single" w:sz="4" w:space="0" w:color="auto"/>
              <w:right w:val="single" w:sz="4" w:space="0" w:color="auto"/>
            </w:tcBorders>
            <w:noWrap/>
            <w:vAlign w:val="bottom"/>
          </w:tcPr>
          <w:p w14:paraId="402697BC" w14:textId="77777777" w:rsidR="005101AE" w:rsidRPr="00BC3A42" w:rsidRDefault="005101AE" w:rsidP="00F46C2A">
            <w:pPr>
              <w:jc w:val="center"/>
              <w:rPr>
                <w:color w:val="000000"/>
                <w:sz w:val="18"/>
                <w:szCs w:val="18"/>
              </w:rPr>
            </w:pPr>
            <w:r w:rsidRPr="00BC3A42">
              <w:rPr>
                <w:color w:val="000000"/>
                <w:sz w:val="18"/>
                <w:szCs w:val="18"/>
              </w:rPr>
              <w:t>3</w:t>
            </w:r>
          </w:p>
        </w:tc>
        <w:tc>
          <w:tcPr>
            <w:tcW w:w="884" w:type="dxa"/>
            <w:tcBorders>
              <w:top w:val="nil"/>
              <w:left w:val="nil"/>
              <w:bottom w:val="single" w:sz="4" w:space="0" w:color="auto"/>
              <w:right w:val="single" w:sz="12" w:space="0" w:color="auto"/>
            </w:tcBorders>
            <w:noWrap/>
            <w:vAlign w:val="bottom"/>
          </w:tcPr>
          <w:p w14:paraId="2397CCAF" w14:textId="77777777" w:rsidR="005101AE" w:rsidRPr="00BC3A42" w:rsidRDefault="005101AE" w:rsidP="00F46C2A">
            <w:pPr>
              <w:jc w:val="center"/>
              <w:rPr>
                <w:color w:val="000000"/>
                <w:sz w:val="18"/>
                <w:szCs w:val="18"/>
              </w:rPr>
            </w:pPr>
            <w:r w:rsidRPr="00BC3A42">
              <w:rPr>
                <w:color w:val="000000"/>
                <w:sz w:val="18"/>
                <w:szCs w:val="18"/>
              </w:rPr>
              <w:t>47</w:t>
            </w:r>
          </w:p>
        </w:tc>
        <w:tc>
          <w:tcPr>
            <w:tcW w:w="884" w:type="dxa"/>
            <w:tcBorders>
              <w:top w:val="nil"/>
              <w:left w:val="single" w:sz="12" w:space="0" w:color="auto"/>
              <w:bottom w:val="single" w:sz="4" w:space="0" w:color="auto"/>
              <w:right w:val="single" w:sz="4" w:space="0" w:color="auto"/>
            </w:tcBorders>
            <w:noWrap/>
            <w:vAlign w:val="bottom"/>
          </w:tcPr>
          <w:p w14:paraId="119410B2" w14:textId="77777777" w:rsidR="005101AE" w:rsidRPr="00BC3A42" w:rsidRDefault="005101AE" w:rsidP="00F46C2A">
            <w:pPr>
              <w:jc w:val="center"/>
              <w:rPr>
                <w:color w:val="000000"/>
                <w:sz w:val="18"/>
                <w:szCs w:val="18"/>
              </w:rPr>
            </w:pPr>
            <w:r w:rsidRPr="00BC3A42">
              <w:rPr>
                <w:color w:val="000000"/>
                <w:sz w:val="18"/>
                <w:szCs w:val="18"/>
              </w:rPr>
              <w:t>7</w:t>
            </w:r>
          </w:p>
        </w:tc>
        <w:tc>
          <w:tcPr>
            <w:tcW w:w="884" w:type="dxa"/>
            <w:tcBorders>
              <w:top w:val="nil"/>
              <w:left w:val="nil"/>
              <w:bottom w:val="single" w:sz="4" w:space="0" w:color="auto"/>
              <w:right w:val="single" w:sz="12" w:space="0" w:color="auto"/>
            </w:tcBorders>
            <w:noWrap/>
            <w:vAlign w:val="bottom"/>
          </w:tcPr>
          <w:p w14:paraId="78513C33" w14:textId="77777777" w:rsidR="005101AE" w:rsidRPr="00BC3A42" w:rsidRDefault="005101AE" w:rsidP="00F46C2A">
            <w:pPr>
              <w:jc w:val="center"/>
              <w:rPr>
                <w:color w:val="000000"/>
                <w:sz w:val="18"/>
                <w:szCs w:val="18"/>
              </w:rPr>
            </w:pPr>
            <w:r w:rsidRPr="00BC3A42">
              <w:rPr>
                <w:color w:val="000000"/>
                <w:sz w:val="18"/>
                <w:szCs w:val="18"/>
              </w:rPr>
              <w:t>59</w:t>
            </w:r>
          </w:p>
        </w:tc>
      </w:tr>
      <w:tr w:rsidR="005101AE" w:rsidRPr="00BC3A42" w14:paraId="2B2F7BB8" w14:textId="77777777" w:rsidTr="00F46C2A">
        <w:trPr>
          <w:trHeight w:val="300"/>
          <w:jc w:val="center"/>
        </w:trPr>
        <w:tc>
          <w:tcPr>
            <w:tcW w:w="2165" w:type="dxa"/>
            <w:tcBorders>
              <w:top w:val="nil"/>
              <w:left w:val="single" w:sz="12" w:space="0" w:color="auto"/>
              <w:bottom w:val="single" w:sz="12" w:space="0" w:color="auto"/>
              <w:right w:val="single" w:sz="12" w:space="0" w:color="auto"/>
            </w:tcBorders>
            <w:noWrap/>
            <w:vAlign w:val="bottom"/>
            <w:hideMark/>
          </w:tcPr>
          <w:p w14:paraId="3742859D" w14:textId="77777777" w:rsidR="005101AE" w:rsidRPr="00BC3A42" w:rsidRDefault="005101AE" w:rsidP="00F46C2A">
            <w:pPr>
              <w:rPr>
                <w:b/>
                <w:bCs/>
                <w:color w:val="000000"/>
                <w:sz w:val="18"/>
                <w:szCs w:val="18"/>
              </w:rPr>
            </w:pPr>
            <w:r w:rsidRPr="00BC3A42">
              <w:rPr>
                <w:b/>
                <w:bCs/>
                <w:color w:val="000000"/>
                <w:sz w:val="18"/>
                <w:szCs w:val="18"/>
              </w:rPr>
              <w:t>Patēriņš transportā</w:t>
            </w:r>
          </w:p>
        </w:tc>
        <w:tc>
          <w:tcPr>
            <w:tcW w:w="758" w:type="dxa"/>
            <w:tcBorders>
              <w:top w:val="nil"/>
              <w:left w:val="single" w:sz="12" w:space="0" w:color="auto"/>
              <w:bottom w:val="single" w:sz="12" w:space="0" w:color="auto"/>
              <w:right w:val="single" w:sz="4" w:space="0" w:color="auto"/>
            </w:tcBorders>
            <w:noWrap/>
            <w:vAlign w:val="bottom"/>
          </w:tcPr>
          <w:p w14:paraId="0E0C9CD3" w14:textId="77777777" w:rsidR="005101AE" w:rsidRPr="00BC3A42" w:rsidRDefault="005101AE" w:rsidP="00F46C2A">
            <w:pPr>
              <w:jc w:val="center"/>
              <w:rPr>
                <w:color w:val="000000"/>
                <w:sz w:val="18"/>
                <w:szCs w:val="18"/>
              </w:rPr>
            </w:pPr>
            <w:r w:rsidRPr="00BC3A42">
              <w:rPr>
                <w:color w:val="000000"/>
                <w:sz w:val="18"/>
                <w:szCs w:val="18"/>
              </w:rPr>
              <w:t>12</w:t>
            </w:r>
          </w:p>
        </w:tc>
        <w:tc>
          <w:tcPr>
            <w:tcW w:w="802" w:type="dxa"/>
            <w:tcBorders>
              <w:top w:val="nil"/>
              <w:left w:val="nil"/>
              <w:bottom w:val="single" w:sz="12" w:space="0" w:color="auto"/>
              <w:right w:val="single" w:sz="12" w:space="0" w:color="auto"/>
            </w:tcBorders>
            <w:noWrap/>
            <w:vAlign w:val="bottom"/>
          </w:tcPr>
          <w:p w14:paraId="14E8F464" w14:textId="77777777" w:rsidR="005101AE" w:rsidRPr="00BC3A42" w:rsidRDefault="005101AE" w:rsidP="00F46C2A">
            <w:pPr>
              <w:jc w:val="center"/>
              <w:rPr>
                <w:color w:val="000000"/>
                <w:sz w:val="18"/>
                <w:szCs w:val="18"/>
              </w:rPr>
            </w:pPr>
            <w:r w:rsidRPr="00BC3A42">
              <w:rPr>
                <w:color w:val="000000"/>
                <w:sz w:val="18"/>
                <w:szCs w:val="18"/>
              </w:rPr>
              <w:t>17</w:t>
            </w:r>
          </w:p>
        </w:tc>
        <w:tc>
          <w:tcPr>
            <w:tcW w:w="884" w:type="dxa"/>
            <w:tcBorders>
              <w:top w:val="nil"/>
              <w:left w:val="single" w:sz="12" w:space="0" w:color="auto"/>
              <w:bottom w:val="single" w:sz="12" w:space="0" w:color="auto"/>
              <w:right w:val="single" w:sz="4" w:space="0" w:color="auto"/>
            </w:tcBorders>
            <w:noWrap/>
            <w:vAlign w:val="bottom"/>
          </w:tcPr>
          <w:p w14:paraId="47F45A79" w14:textId="77777777" w:rsidR="005101AE" w:rsidRPr="00BC3A42" w:rsidRDefault="005101AE" w:rsidP="00F46C2A">
            <w:pPr>
              <w:jc w:val="center"/>
              <w:rPr>
                <w:color w:val="000000"/>
                <w:sz w:val="18"/>
                <w:szCs w:val="18"/>
              </w:rPr>
            </w:pPr>
            <w:r w:rsidRPr="00BC3A42">
              <w:rPr>
                <w:color w:val="000000"/>
                <w:sz w:val="18"/>
                <w:szCs w:val="18"/>
              </w:rPr>
              <w:t>13</w:t>
            </w:r>
          </w:p>
        </w:tc>
        <w:tc>
          <w:tcPr>
            <w:tcW w:w="884" w:type="dxa"/>
            <w:tcBorders>
              <w:top w:val="nil"/>
              <w:left w:val="nil"/>
              <w:bottom w:val="single" w:sz="12" w:space="0" w:color="auto"/>
              <w:right w:val="single" w:sz="12" w:space="0" w:color="auto"/>
            </w:tcBorders>
            <w:noWrap/>
            <w:vAlign w:val="bottom"/>
          </w:tcPr>
          <w:p w14:paraId="043FAC00" w14:textId="77777777" w:rsidR="005101AE" w:rsidRPr="00BC3A42" w:rsidRDefault="005101AE" w:rsidP="00F46C2A">
            <w:pPr>
              <w:jc w:val="center"/>
              <w:rPr>
                <w:color w:val="000000"/>
                <w:sz w:val="18"/>
                <w:szCs w:val="18"/>
              </w:rPr>
            </w:pPr>
            <w:r w:rsidRPr="00BC3A42">
              <w:rPr>
                <w:color w:val="000000"/>
                <w:sz w:val="18"/>
                <w:szCs w:val="18"/>
              </w:rPr>
              <w:t>3</w:t>
            </w:r>
          </w:p>
        </w:tc>
        <w:tc>
          <w:tcPr>
            <w:tcW w:w="884" w:type="dxa"/>
            <w:tcBorders>
              <w:top w:val="nil"/>
              <w:left w:val="single" w:sz="12" w:space="0" w:color="auto"/>
              <w:bottom w:val="single" w:sz="12" w:space="0" w:color="auto"/>
              <w:right w:val="single" w:sz="4" w:space="0" w:color="auto"/>
            </w:tcBorders>
            <w:noWrap/>
            <w:vAlign w:val="bottom"/>
          </w:tcPr>
          <w:p w14:paraId="19B63FE3" w14:textId="77777777" w:rsidR="005101AE" w:rsidRPr="00BC3A42" w:rsidRDefault="005101AE" w:rsidP="00F46C2A">
            <w:pPr>
              <w:jc w:val="center"/>
              <w:rPr>
                <w:color w:val="000000"/>
                <w:sz w:val="18"/>
                <w:szCs w:val="18"/>
              </w:rPr>
            </w:pPr>
            <w:r w:rsidRPr="00BC3A42">
              <w:rPr>
                <w:color w:val="000000"/>
                <w:sz w:val="18"/>
                <w:szCs w:val="18"/>
              </w:rPr>
              <w:t>12</w:t>
            </w:r>
          </w:p>
        </w:tc>
        <w:tc>
          <w:tcPr>
            <w:tcW w:w="884" w:type="dxa"/>
            <w:tcBorders>
              <w:top w:val="nil"/>
              <w:left w:val="nil"/>
              <w:bottom w:val="single" w:sz="12" w:space="0" w:color="auto"/>
              <w:right w:val="single" w:sz="12" w:space="0" w:color="auto"/>
            </w:tcBorders>
            <w:noWrap/>
            <w:vAlign w:val="bottom"/>
          </w:tcPr>
          <w:p w14:paraId="7FBDB0AB" w14:textId="77777777" w:rsidR="005101AE" w:rsidRPr="00BC3A42" w:rsidRDefault="005101AE" w:rsidP="00F46C2A">
            <w:pPr>
              <w:jc w:val="center"/>
              <w:rPr>
                <w:color w:val="000000"/>
                <w:sz w:val="18"/>
                <w:szCs w:val="18"/>
              </w:rPr>
            </w:pPr>
            <w:r w:rsidRPr="00BC3A42">
              <w:rPr>
                <w:color w:val="000000"/>
                <w:sz w:val="18"/>
                <w:szCs w:val="18"/>
              </w:rPr>
              <w:t>2</w:t>
            </w:r>
          </w:p>
        </w:tc>
      </w:tr>
    </w:tbl>
    <w:p w14:paraId="57AA1563" w14:textId="77777777" w:rsidR="005101AE" w:rsidRPr="00BC3A42" w:rsidRDefault="005101AE" w:rsidP="005101AE"/>
    <w:p w14:paraId="3303651C" w14:textId="7C2FC2BD" w:rsidR="005101AE" w:rsidRPr="00BC3A42" w:rsidRDefault="005101AE" w:rsidP="005101AE">
      <w:pPr>
        <w:ind w:firstLine="567"/>
        <w:jc w:val="both"/>
        <w:rPr>
          <w:rFonts w:eastAsia="Calibri"/>
          <w:sz w:val="26"/>
          <w:szCs w:val="26"/>
          <w:lang w:eastAsia="en-US"/>
        </w:rPr>
      </w:pPr>
      <w:r w:rsidRPr="00BC3A42">
        <w:rPr>
          <w:sz w:val="26"/>
          <w:szCs w:val="26"/>
        </w:rPr>
        <w:t>Bioetanola patēriņa samazinājums</w:t>
      </w:r>
      <w:r w:rsidR="007841E6" w:rsidRPr="00BC3A42">
        <w:rPr>
          <w:sz w:val="26"/>
          <w:szCs w:val="26"/>
        </w:rPr>
        <w:t xml:space="preserve"> daļēji</w:t>
      </w:r>
      <w:r w:rsidRPr="00BC3A42">
        <w:rPr>
          <w:sz w:val="26"/>
          <w:szCs w:val="26"/>
        </w:rPr>
        <w:t xml:space="preserve"> skaidrojams ar to, ka</w:t>
      </w:r>
      <w:r w:rsidR="00B90248" w:rsidRPr="00BC3A42">
        <w:rPr>
          <w:sz w:val="26"/>
          <w:szCs w:val="26"/>
        </w:rPr>
        <w:t>,</w:t>
      </w:r>
      <w:r w:rsidRPr="00BC3A42">
        <w:rPr>
          <w:sz w:val="26"/>
          <w:szCs w:val="26"/>
        </w:rPr>
        <w:t xml:space="preserve"> salīdzinot ar 2016.gadu, par 4,02% samazinājies kopējā realizētā benzīna ar 5% bioetanola piejaukumu apjoms. </w:t>
      </w:r>
      <w:r w:rsidR="004E2D4C" w:rsidRPr="00BC3A42">
        <w:rPr>
          <w:sz w:val="26"/>
          <w:szCs w:val="26"/>
        </w:rPr>
        <w:t xml:space="preserve">Biodīzeļdegvielas patēriņa izmaiņas ir saistītas ar jau iepriekš aprakstīto apstākli, ka degvielas piegādātāji izvēlējās vasaras periodā realizēt dīzeļdegvielu bez biodīzeļdegvielas piejaukuma. </w:t>
      </w:r>
      <w:r w:rsidR="00B90248" w:rsidRPr="00BC3A42">
        <w:rPr>
          <w:sz w:val="26"/>
          <w:szCs w:val="26"/>
        </w:rPr>
        <w:t>Valsts ieņēmumu dienesta (turpmāk -</w:t>
      </w:r>
      <w:r w:rsidRPr="00BC3A42">
        <w:rPr>
          <w:sz w:val="26"/>
          <w:szCs w:val="26"/>
        </w:rPr>
        <w:t>VID</w:t>
      </w:r>
      <w:r w:rsidR="00B90248" w:rsidRPr="00BC3A42">
        <w:rPr>
          <w:sz w:val="26"/>
          <w:szCs w:val="26"/>
        </w:rPr>
        <w:t>)</w:t>
      </w:r>
      <w:r w:rsidRPr="00BC3A42">
        <w:rPr>
          <w:sz w:val="26"/>
          <w:szCs w:val="26"/>
        </w:rPr>
        <w:t xml:space="preserve"> </w:t>
      </w:r>
      <w:r w:rsidR="00BC7892" w:rsidRPr="00BC3A42">
        <w:rPr>
          <w:sz w:val="26"/>
          <w:szCs w:val="26"/>
        </w:rPr>
        <w:t xml:space="preserve">akcīzes preču aprites pārskatos norādītā </w:t>
      </w:r>
      <w:r w:rsidRPr="00BC3A42">
        <w:rPr>
          <w:sz w:val="26"/>
          <w:szCs w:val="26"/>
        </w:rPr>
        <w:t>informācij</w:t>
      </w:r>
      <w:r w:rsidR="00BC7892" w:rsidRPr="00BC3A42">
        <w:rPr>
          <w:sz w:val="26"/>
          <w:szCs w:val="26"/>
        </w:rPr>
        <w:t>a liecina, ka arī</w:t>
      </w:r>
      <w:r w:rsidRPr="00BC3A42">
        <w:rPr>
          <w:sz w:val="26"/>
          <w:szCs w:val="26"/>
        </w:rPr>
        <w:t xml:space="preserve"> realizētās B100 degvielas apjoms 2017.</w:t>
      </w:r>
      <w:r w:rsidR="00282E05" w:rsidRPr="00BC3A42">
        <w:rPr>
          <w:sz w:val="26"/>
          <w:szCs w:val="26"/>
        </w:rPr>
        <w:t> </w:t>
      </w:r>
      <w:r w:rsidRPr="00BC3A42">
        <w:rPr>
          <w:sz w:val="26"/>
          <w:szCs w:val="26"/>
        </w:rPr>
        <w:t>gadā samazinājies par 17,01% salīdzinot ar 2016.gadu</w:t>
      </w:r>
      <w:r w:rsidR="000755B4" w:rsidRPr="00BC3A42">
        <w:rPr>
          <w:sz w:val="26"/>
          <w:szCs w:val="26"/>
        </w:rPr>
        <w:t xml:space="preserve">. </w:t>
      </w:r>
    </w:p>
    <w:p w14:paraId="244ABD76" w14:textId="77777777" w:rsidR="002F4B62" w:rsidRPr="00BC3A42" w:rsidRDefault="00012F65" w:rsidP="00452F9A">
      <w:pPr>
        <w:ind w:firstLine="567"/>
        <w:jc w:val="both"/>
        <w:rPr>
          <w:rFonts w:eastAsia="Calibri"/>
          <w:sz w:val="26"/>
          <w:szCs w:val="26"/>
          <w:lang w:eastAsia="en-US"/>
        </w:rPr>
      </w:pPr>
      <w:r w:rsidRPr="00BC3A42">
        <w:rPr>
          <w:rFonts w:eastAsia="Calibri"/>
          <w:sz w:val="26"/>
          <w:szCs w:val="26"/>
          <w:lang w:eastAsia="en-US"/>
        </w:rPr>
        <w:t>Latvijā biodegvielu ražošanai pārsvarā izmanto graudus un rapsi. Bioetanols tiek ražots no kviešiem, rudziem un tritikāles, bet tīr</w:t>
      </w:r>
      <w:r w:rsidR="00452F9A" w:rsidRPr="00BC3A42">
        <w:rPr>
          <w:rFonts w:eastAsia="Calibri"/>
          <w:sz w:val="26"/>
          <w:szCs w:val="26"/>
          <w:lang w:eastAsia="en-US"/>
        </w:rPr>
        <w:t>a augu eļļa un biodīzeļdegviela</w:t>
      </w:r>
      <w:r w:rsidRPr="00BC3A42">
        <w:rPr>
          <w:rFonts w:eastAsia="Calibri"/>
          <w:sz w:val="26"/>
          <w:szCs w:val="26"/>
          <w:lang w:eastAsia="en-US"/>
        </w:rPr>
        <w:t xml:space="preserve"> no rapša sēklām un rapšu sēklu eļļas.</w:t>
      </w:r>
      <w:r w:rsidR="00452F9A" w:rsidRPr="00BC3A42">
        <w:rPr>
          <w:rFonts w:eastAsia="Calibri"/>
          <w:sz w:val="26"/>
          <w:szCs w:val="26"/>
          <w:lang w:eastAsia="en-US"/>
        </w:rPr>
        <w:t xml:space="preserve"> </w:t>
      </w:r>
      <w:r w:rsidR="002F4B62" w:rsidRPr="00BC3A42">
        <w:rPr>
          <w:rFonts w:eastAsia="Calibri"/>
          <w:sz w:val="26"/>
          <w:szCs w:val="26"/>
          <w:lang w:eastAsia="en-US"/>
        </w:rPr>
        <w:t>Saskaņā ar CSP informāciju par lauksaimniecības kultūru sējumu platībām 2017.</w:t>
      </w:r>
      <w:r w:rsidR="00282E05" w:rsidRPr="00BC3A42">
        <w:rPr>
          <w:rFonts w:eastAsia="Calibri"/>
          <w:sz w:val="26"/>
          <w:szCs w:val="26"/>
          <w:lang w:eastAsia="en-US"/>
        </w:rPr>
        <w:t> </w:t>
      </w:r>
      <w:r w:rsidR="002F4B62" w:rsidRPr="00BC3A42">
        <w:rPr>
          <w:rFonts w:eastAsia="Calibri"/>
          <w:sz w:val="26"/>
          <w:szCs w:val="26"/>
          <w:lang w:eastAsia="en-US"/>
        </w:rPr>
        <w:t>gadā rapša sējumi veidoja 117,4 tūkst. ha, kas ir par 16,3 tūkst. ha jeb aptuveni 16% vairāk nekā 2016.</w:t>
      </w:r>
      <w:r w:rsidR="00282E05" w:rsidRPr="00BC3A42">
        <w:rPr>
          <w:rFonts w:eastAsia="Calibri"/>
          <w:sz w:val="26"/>
          <w:szCs w:val="26"/>
          <w:lang w:eastAsia="en-US"/>
        </w:rPr>
        <w:t> </w:t>
      </w:r>
      <w:r w:rsidR="002F4B62" w:rsidRPr="00BC3A42">
        <w:rPr>
          <w:rFonts w:eastAsia="Calibri"/>
          <w:sz w:val="26"/>
          <w:szCs w:val="26"/>
          <w:lang w:eastAsia="en-US"/>
        </w:rPr>
        <w:t>gadā (</w:t>
      </w:r>
      <w:r w:rsidR="002F4B62" w:rsidRPr="00BC3A42">
        <w:rPr>
          <w:rFonts w:eastAsia="Calibri"/>
          <w:i/>
          <w:sz w:val="26"/>
          <w:szCs w:val="26"/>
          <w:lang w:eastAsia="en-US"/>
        </w:rPr>
        <w:t xml:space="preserve">skat. </w:t>
      </w:r>
      <w:r w:rsidR="007E2D4B" w:rsidRPr="00BC3A42">
        <w:rPr>
          <w:rFonts w:eastAsia="Calibri"/>
          <w:i/>
          <w:sz w:val="26"/>
          <w:szCs w:val="26"/>
          <w:lang w:eastAsia="en-US"/>
        </w:rPr>
        <w:t>3</w:t>
      </w:r>
      <w:r w:rsidR="002F4B62" w:rsidRPr="00BC3A42">
        <w:rPr>
          <w:rFonts w:eastAsia="Calibri"/>
          <w:i/>
          <w:sz w:val="26"/>
          <w:szCs w:val="26"/>
          <w:lang w:eastAsia="en-US"/>
        </w:rPr>
        <w:t>.tabulu</w:t>
      </w:r>
      <w:r w:rsidR="002F4B62" w:rsidRPr="00BC3A42">
        <w:rPr>
          <w:rFonts w:eastAsia="Calibri"/>
          <w:sz w:val="26"/>
          <w:szCs w:val="26"/>
          <w:lang w:eastAsia="en-US"/>
        </w:rPr>
        <w:t xml:space="preserve">). </w:t>
      </w:r>
    </w:p>
    <w:p w14:paraId="2BF1A693" w14:textId="4626367A" w:rsidR="002F4B62" w:rsidRPr="00BC3A42" w:rsidRDefault="007E2D4B" w:rsidP="002F4B62">
      <w:pPr>
        <w:ind w:firstLine="567"/>
        <w:jc w:val="right"/>
        <w:rPr>
          <w:rFonts w:eastAsia="Calibri"/>
          <w:i/>
          <w:sz w:val="26"/>
          <w:szCs w:val="26"/>
          <w:lang w:eastAsia="en-US"/>
        </w:rPr>
      </w:pPr>
      <w:r w:rsidRPr="00BC3A42">
        <w:rPr>
          <w:rFonts w:eastAsia="Calibri"/>
          <w:i/>
          <w:sz w:val="26"/>
          <w:szCs w:val="26"/>
          <w:lang w:eastAsia="en-US"/>
        </w:rPr>
        <w:t>3</w:t>
      </w:r>
      <w:r w:rsidR="002F4B62" w:rsidRPr="00BC3A42">
        <w:rPr>
          <w:rFonts w:eastAsia="Calibri"/>
          <w:i/>
          <w:sz w:val="26"/>
          <w:szCs w:val="26"/>
          <w:lang w:eastAsia="en-US"/>
        </w:rPr>
        <w:t>.tabula</w:t>
      </w:r>
    </w:p>
    <w:p w14:paraId="709025DF" w14:textId="4304C840" w:rsidR="002F4B62" w:rsidRPr="00BC3A42" w:rsidRDefault="002F4B62" w:rsidP="002F4B62">
      <w:pPr>
        <w:jc w:val="center"/>
        <w:rPr>
          <w:rFonts w:eastAsia="Calibri"/>
          <w:b/>
          <w:sz w:val="26"/>
          <w:szCs w:val="26"/>
          <w:lang w:eastAsia="en-US"/>
        </w:rPr>
      </w:pPr>
      <w:r w:rsidRPr="00BC3A42">
        <w:rPr>
          <w:rFonts w:eastAsia="Calibri"/>
          <w:b/>
          <w:sz w:val="26"/>
          <w:szCs w:val="26"/>
          <w:lang w:eastAsia="en-US"/>
        </w:rPr>
        <w:t>Lauksaimniecības kultūru sējumu platības, tūkst.</w:t>
      </w:r>
      <w:r w:rsidRPr="00BC3A42">
        <w:rPr>
          <w:rFonts w:eastAsia="Calibri"/>
          <w:sz w:val="26"/>
          <w:szCs w:val="26"/>
          <w:lang w:eastAsia="en-US"/>
        </w:rPr>
        <w:t> </w:t>
      </w:r>
      <w:r w:rsidRPr="00BC3A42">
        <w:rPr>
          <w:rFonts w:eastAsia="Calibri"/>
          <w:b/>
          <w:sz w:val="26"/>
          <w:szCs w:val="26"/>
          <w:lang w:eastAsia="en-US"/>
        </w:rPr>
        <w:t>ha</w:t>
      </w:r>
      <w:r w:rsidR="00342970" w:rsidRPr="00BC3A42">
        <w:rPr>
          <w:rStyle w:val="FootnoteReference"/>
          <w:rFonts w:eastAsia="Calibri"/>
          <w:b/>
          <w:sz w:val="26"/>
          <w:szCs w:val="26"/>
          <w:lang w:eastAsia="en-US"/>
        </w:rPr>
        <w:footnoteReference w:id="14"/>
      </w:r>
    </w:p>
    <w:tbl>
      <w:tblPr>
        <w:tblW w:w="813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95"/>
        <w:gridCol w:w="1101"/>
        <w:gridCol w:w="961"/>
        <w:gridCol w:w="884"/>
        <w:gridCol w:w="961"/>
        <w:gridCol w:w="872"/>
        <w:gridCol w:w="961"/>
      </w:tblGrid>
      <w:tr w:rsidR="002F4B62" w:rsidRPr="00BC3A42" w14:paraId="790ADE4C" w14:textId="77777777" w:rsidTr="002F4B62">
        <w:trPr>
          <w:trHeight w:val="300"/>
          <w:jc w:val="center"/>
        </w:trPr>
        <w:tc>
          <w:tcPr>
            <w:tcW w:w="2395" w:type="dxa"/>
            <w:tcBorders>
              <w:top w:val="single" w:sz="12" w:space="0" w:color="auto"/>
              <w:bottom w:val="single" w:sz="12" w:space="0" w:color="auto"/>
              <w:right w:val="single" w:sz="12" w:space="0" w:color="auto"/>
            </w:tcBorders>
            <w:shd w:val="clear" w:color="auto" w:fill="auto"/>
            <w:noWrap/>
            <w:vAlign w:val="bottom"/>
            <w:hideMark/>
          </w:tcPr>
          <w:p w14:paraId="6509DF5C" w14:textId="77777777" w:rsidR="002F4B62" w:rsidRPr="00BC3A42" w:rsidRDefault="002F4B62" w:rsidP="00F46C2A">
            <w:pPr>
              <w:rPr>
                <w:color w:val="000000"/>
                <w:sz w:val="20"/>
                <w:szCs w:val="20"/>
              </w:rPr>
            </w:pPr>
          </w:p>
        </w:tc>
        <w:tc>
          <w:tcPr>
            <w:tcW w:w="206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6CAB64C" w14:textId="77777777" w:rsidR="002F4B62" w:rsidRPr="00BC3A42" w:rsidRDefault="002F4B62" w:rsidP="00F46C2A">
            <w:pPr>
              <w:jc w:val="center"/>
              <w:rPr>
                <w:b/>
                <w:bCs/>
                <w:color w:val="000000"/>
                <w:sz w:val="20"/>
                <w:szCs w:val="20"/>
              </w:rPr>
            </w:pPr>
            <w:r w:rsidRPr="00BC3A42">
              <w:rPr>
                <w:b/>
                <w:bCs/>
                <w:color w:val="000000"/>
                <w:sz w:val="20"/>
                <w:szCs w:val="20"/>
              </w:rPr>
              <w:t>2015</w:t>
            </w:r>
          </w:p>
        </w:tc>
        <w:tc>
          <w:tcPr>
            <w:tcW w:w="1845" w:type="dxa"/>
            <w:gridSpan w:val="2"/>
            <w:tcBorders>
              <w:top w:val="single" w:sz="12" w:space="0" w:color="auto"/>
              <w:left w:val="single" w:sz="12" w:space="0" w:color="auto"/>
              <w:bottom w:val="single" w:sz="12" w:space="0" w:color="auto"/>
            </w:tcBorders>
            <w:shd w:val="clear" w:color="auto" w:fill="auto"/>
            <w:noWrap/>
            <w:vAlign w:val="center"/>
          </w:tcPr>
          <w:p w14:paraId="69C04E55" w14:textId="77777777" w:rsidR="002F4B62" w:rsidRPr="00BC3A42" w:rsidRDefault="002F4B62" w:rsidP="00F46C2A">
            <w:pPr>
              <w:jc w:val="center"/>
              <w:rPr>
                <w:b/>
                <w:bCs/>
                <w:color w:val="000000"/>
                <w:sz w:val="20"/>
                <w:szCs w:val="20"/>
              </w:rPr>
            </w:pPr>
            <w:r w:rsidRPr="00BC3A42">
              <w:rPr>
                <w:b/>
                <w:bCs/>
                <w:color w:val="000000"/>
                <w:sz w:val="20"/>
                <w:szCs w:val="20"/>
              </w:rPr>
              <w:t>2016</w:t>
            </w:r>
          </w:p>
        </w:tc>
        <w:tc>
          <w:tcPr>
            <w:tcW w:w="1833" w:type="dxa"/>
            <w:gridSpan w:val="2"/>
            <w:tcBorders>
              <w:top w:val="single" w:sz="12" w:space="0" w:color="auto"/>
              <w:left w:val="single" w:sz="12" w:space="0" w:color="auto"/>
              <w:bottom w:val="single" w:sz="12" w:space="0" w:color="auto"/>
            </w:tcBorders>
            <w:vAlign w:val="center"/>
          </w:tcPr>
          <w:p w14:paraId="118A1316" w14:textId="77777777" w:rsidR="002F4B62" w:rsidRPr="00BC3A42" w:rsidRDefault="002F4B62" w:rsidP="00F46C2A">
            <w:pPr>
              <w:jc w:val="center"/>
              <w:rPr>
                <w:b/>
                <w:bCs/>
                <w:color w:val="000000"/>
                <w:sz w:val="20"/>
                <w:szCs w:val="20"/>
              </w:rPr>
            </w:pPr>
            <w:r w:rsidRPr="00BC3A42">
              <w:rPr>
                <w:b/>
                <w:bCs/>
                <w:color w:val="000000"/>
                <w:sz w:val="20"/>
                <w:szCs w:val="20"/>
              </w:rPr>
              <w:t>2017</w:t>
            </w:r>
          </w:p>
        </w:tc>
      </w:tr>
      <w:tr w:rsidR="002F4B62" w:rsidRPr="00BC3A42" w14:paraId="35FCE17B" w14:textId="77777777" w:rsidTr="00F46C2A">
        <w:trPr>
          <w:trHeight w:val="300"/>
          <w:jc w:val="center"/>
        </w:trPr>
        <w:tc>
          <w:tcPr>
            <w:tcW w:w="2395" w:type="dxa"/>
            <w:tcBorders>
              <w:top w:val="single" w:sz="12" w:space="0" w:color="auto"/>
              <w:bottom w:val="single" w:sz="8" w:space="0" w:color="auto"/>
              <w:right w:val="single" w:sz="12" w:space="0" w:color="auto"/>
            </w:tcBorders>
            <w:shd w:val="clear" w:color="auto" w:fill="auto"/>
            <w:noWrap/>
            <w:vAlign w:val="bottom"/>
            <w:hideMark/>
          </w:tcPr>
          <w:p w14:paraId="30FF095D" w14:textId="77777777" w:rsidR="002F4B62" w:rsidRPr="00BC3A42" w:rsidRDefault="002F4B62" w:rsidP="00F46C2A">
            <w:pPr>
              <w:rPr>
                <w:b/>
                <w:bCs/>
                <w:color w:val="000000"/>
                <w:sz w:val="20"/>
                <w:szCs w:val="20"/>
              </w:rPr>
            </w:pPr>
          </w:p>
        </w:tc>
        <w:tc>
          <w:tcPr>
            <w:tcW w:w="1101" w:type="dxa"/>
            <w:tcBorders>
              <w:top w:val="single" w:sz="12" w:space="0" w:color="auto"/>
              <w:left w:val="single" w:sz="12" w:space="0" w:color="auto"/>
              <w:bottom w:val="single" w:sz="8" w:space="0" w:color="auto"/>
              <w:right w:val="single" w:sz="12" w:space="0" w:color="auto"/>
            </w:tcBorders>
            <w:shd w:val="clear" w:color="auto" w:fill="auto"/>
            <w:noWrap/>
            <w:vAlign w:val="center"/>
          </w:tcPr>
          <w:p w14:paraId="43170316" w14:textId="77777777" w:rsidR="002F4B62" w:rsidRPr="00BC3A42" w:rsidRDefault="002F4B62" w:rsidP="00F46C2A">
            <w:pPr>
              <w:jc w:val="center"/>
              <w:rPr>
                <w:b/>
                <w:color w:val="000000"/>
                <w:sz w:val="20"/>
                <w:szCs w:val="20"/>
              </w:rPr>
            </w:pPr>
            <w:r w:rsidRPr="00BC3A42">
              <w:rPr>
                <w:b/>
                <w:color w:val="000000"/>
                <w:sz w:val="20"/>
                <w:szCs w:val="20"/>
              </w:rPr>
              <w:t>Sējumu platība (ha)</w:t>
            </w:r>
          </w:p>
        </w:tc>
        <w:tc>
          <w:tcPr>
            <w:tcW w:w="961" w:type="dxa"/>
            <w:tcBorders>
              <w:top w:val="single" w:sz="12" w:space="0" w:color="auto"/>
              <w:left w:val="single" w:sz="12" w:space="0" w:color="auto"/>
              <w:bottom w:val="single" w:sz="8" w:space="0" w:color="auto"/>
              <w:right w:val="single" w:sz="12" w:space="0" w:color="auto"/>
            </w:tcBorders>
            <w:shd w:val="clear" w:color="auto" w:fill="auto"/>
            <w:noWrap/>
            <w:vAlign w:val="center"/>
          </w:tcPr>
          <w:p w14:paraId="64DE35B6" w14:textId="77777777" w:rsidR="002F4B62" w:rsidRPr="00BC3A42" w:rsidRDefault="002F4B62" w:rsidP="00F46C2A">
            <w:pPr>
              <w:jc w:val="center"/>
              <w:rPr>
                <w:b/>
                <w:color w:val="000000"/>
                <w:sz w:val="20"/>
                <w:szCs w:val="20"/>
              </w:rPr>
            </w:pPr>
            <w:r w:rsidRPr="00BC3A42">
              <w:rPr>
                <w:b/>
                <w:color w:val="000000"/>
                <w:sz w:val="20"/>
                <w:szCs w:val="20"/>
              </w:rPr>
              <w:t>Kopraža</w:t>
            </w:r>
          </w:p>
          <w:p w14:paraId="3BBF7556" w14:textId="77777777" w:rsidR="002F4B62" w:rsidRPr="00BC3A42" w:rsidRDefault="002F4B62" w:rsidP="00F46C2A">
            <w:pPr>
              <w:jc w:val="center"/>
              <w:rPr>
                <w:b/>
                <w:color w:val="000000"/>
                <w:sz w:val="20"/>
                <w:szCs w:val="20"/>
              </w:rPr>
            </w:pPr>
            <w:r w:rsidRPr="00BC3A42">
              <w:rPr>
                <w:b/>
                <w:color w:val="000000"/>
                <w:sz w:val="20"/>
                <w:szCs w:val="20"/>
              </w:rPr>
              <w:t>(tūkst.t)</w:t>
            </w:r>
          </w:p>
        </w:tc>
        <w:tc>
          <w:tcPr>
            <w:tcW w:w="884" w:type="dxa"/>
            <w:tcBorders>
              <w:top w:val="single" w:sz="12" w:space="0" w:color="auto"/>
              <w:left w:val="single" w:sz="12" w:space="0" w:color="auto"/>
              <w:bottom w:val="single" w:sz="8" w:space="0" w:color="auto"/>
            </w:tcBorders>
            <w:shd w:val="clear" w:color="auto" w:fill="auto"/>
            <w:noWrap/>
            <w:vAlign w:val="center"/>
          </w:tcPr>
          <w:p w14:paraId="3B054580" w14:textId="77777777" w:rsidR="002F4B62" w:rsidRPr="00BC3A42" w:rsidRDefault="002F4B62" w:rsidP="00F46C2A">
            <w:pPr>
              <w:jc w:val="center"/>
              <w:rPr>
                <w:b/>
                <w:color w:val="000000"/>
                <w:sz w:val="20"/>
                <w:szCs w:val="20"/>
              </w:rPr>
            </w:pPr>
            <w:r w:rsidRPr="00BC3A42">
              <w:rPr>
                <w:b/>
                <w:color w:val="000000"/>
                <w:sz w:val="20"/>
                <w:szCs w:val="20"/>
              </w:rPr>
              <w:t>Sējumu platība (ha)</w:t>
            </w:r>
          </w:p>
        </w:tc>
        <w:tc>
          <w:tcPr>
            <w:tcW w:w="961" w:type="dxa"/>
            <w:tcBorders>
              <w:top w:val="single" w:sz="12" w:space="0" w:color="auto"/>
              <w:left w:val="single" w:sz="12" w:space="0" w:color="auto"/>
              <w:bottom w:val="single" w:sz="8" w:space="0" w:color="auto"/>
            </w:tcBorders>
            <w:vAlign w:val="center"/>
          </w:tcPr>
          <w:p w14:paraId="5448107F" w14:textId="77777777" w:rsidR="002F4B62" w:rsidRPr="00BC3A42" w:rsidRDefault="002F4B62" w:rsidP="00F46C2A">
            <w:pPr>
              <w:jc w:val="center"/>
              <w:rPr>
                <w:b/>
                <w:color w:val="000000"/>
                <w:sz w:val="20"/>
                <w:szCs w:val="20"/>
              </w:rPr>
            </w:pPr>
            <w:r w:rsidRPr="00BC3A42">
              <w:rPr>
                <w:b/>
                <w:color w:val="000000"/>
                <w:sz w:val="20"/>
                <w:szCs w:val="20"/>
              </w:rPr>
              <w:t>Kopraža</w:t>
            </w:r>
          </w:p>
          <w:p w14:paraId="6BADBF89" w14:textId="77777777" w:rsidR="002F4B62" w:rsidRPr="00BC3A42" w:rsidRDefault="002F4B62" w:rsidP="00F46C2A">
            <w:pPr>
              <w:jc w:val="center"/>
              <w:rPr>
                <w:b/>
                <w:color w:val="000000"/>
                <w:sz w:val="20"/>
                <w:szCs w:val="20"/>
              </w:rPr>
            </w:pPr>
            <w:r w:rsidRPr="00BC3A42">
              <w:rPr>
                <w:b/>
                <w:color w:val="000000"/>
                <w:sz w:val="20"/>
                <w:szCs w:val="20"/>
              </w:rPr>
              <w:t>(tūkst.t)</w:t>
            </w:r>
          </w:p>
        </w:tc>
        <w:tc>
          <w:tcPr>
            <w:tcW w:w="872" w:type="dxa"/>
            <w:tcBorders>
              <w:top w:val="single" w:sz="12" w:space="0" w:color="auto"/>
              <w:left w:val="single" w:sz="12" w:space="0" w:color="auto"/>
              <w:bottom w:val="single" w:sz="8" w:space="0" w:color="auto"/>
              <w:right w:val="single" w:sz="12" w:space="0" w:color="auto"/>
            </w:tcBorders>
            <w:vAlign w:val="center"/>
          </w:tcPr>
          <w:p w14:paraId="0399DE17" w14:textId="77777777" w:rsidR="002F4B62" w:rsidRPr="00BC3A42" w:rsidRDefault="002F4B62" w:rsidP="00F46C2A">
            <w:pPr>
              <w:jc w:val="center"/>
              <w:rPr>
                <w:b/>
                <w:color w:val="000000"/>
                <w:sz w:val="20"/>
                <w:szCs w:val="20"/>
              </w:rPr>
            </w:pPr>
            <w:r w:rsidRPr="00BC3A42">
              <w:rPr>
                <w:b/>
                <w:color w:val="000000"/>
                <w:sz w:val="20"/>
                <w:szCs w:val="20"/>
              </w:rPr>
              <w:t>Sējumu platība (ha)</w:t>
            </w:r>
          </w:p>
        </w:tc>
        <w:tc>
          <w:tcPr>
            <w:tcW w:w="961" w:type="dxa"/>
            <w:tcBorders>
              <w:top w:val="single" w:sz="12" w:space="0" w:color="auto"/>
              <w:left w:val="single" w:sz="12" w:space="0" w:color="auto"/>
              <w:bottom w:val="single" w:sz="8" w:space="0" w:color="auto"/>
            </w:tcBorders>
            <w:vAlign w:val="center"/>
          </w:tcPr>
          <w:p w14:paraId="40E9BA73" w14:textId="77777777" w:rsidR="002F4B62" w:rsidRPr="00BC3A42" w:rsidRDefault="002F4B62" w:rsidP="00F46C2A">
            <w:pPr>
              <w:jc w:val="center"/>
              <w:rPr>
                <w:b/>
                <w:color w:val="000000"/>
                <w:sz w:val="20"/>
                <w:szCs w:val="20"/>
              </w:rPr>
            </w:pPr>
            <w:r w:rsidRPr="00BC3A42">
              <w:rPr>
                <w:b/>
                <w:color w:val="000000"/>
                <w:sz w:val="20"/>
                <w:szCs w:val="20"/>
              </w:rPr>
              <w:t>Kopraža</w:t>
            </w:r>
          </w:p>
          <w:p w14:paraId="61A29A0D" w14:textId="77777777" w:rsidR="002F4B62" w:rsidRPr="00BC3A42" w:rsidRDefault="002F4B62" w:rsidP="00F46C2A">
            <w:pPr>
              <w:jc w:val="center"/>
              <w:rPr>
                <w:b/>
                <w:color w:val="000000"/>
                <w:sz w:val="20"/>
                <w:szCs w:val="20"/>
              </w:rPr>
            </w:pPr>
            <w:r w:rsidRPr="00BC3A42">
              <w:rPr>
                <w:b/>
                <w:color w:val="000000"/>
                <w:sz w:val="20"/>
                <w:szCs w:val="20"/>
              </w:rPr>
              <w:t>(tūkst.t)</w:t>
            </w:r>
          </w:p>
        </w:tc>
      </w:tr>
      <w:tr w:rsidR="002F4B62" w:rsidRPr="00BC3A42" w14:paraId="2BF26AC7" w14:textId="77777777" w:rsidTr="00E6307C">
        <w:trPr>
          <w:trHeight w:val="300"/>
          <w:jc w:val="center"/>
        </w:trPr>
        <w:tc>
          <w:tcPr>
            <w:tcW w:w="2395" w:type="dxa"/>
            <w:tcBorders>
              <w:top w:val="single" w:sz="12" w:space="0" w:color="auto"/>
              <w:bottom w:val="single" w:sz="8" w:space="0" w:color="auto"/>
              <w:right w:val="single" w:sz="12" w:space="0" w:color="auto"/>
            </w:tcBorders>
            <w:shd w:val="clear" w:color="auto" w:fill="auto"/>
            <w:noWrap/>
            <w:vAlign w:val="bottom"/>
          </w:tcPr>
          <w:p w14:paraId="4162EFB8" w14:textId="77777777" w:rsidR="002F4B62" w:rsidRPr="00BC3A42" w:rsidRDefault="002F4B62" w:rsidP="00F46C2A">
            <w:pPr>
              <w:rPr>
                <w:b/>
                <w:bCs/>
                <w:color w:val="000000"/>
                <w:sz w:val="20"/>
                <w:szCs w:val="20"/>
              </w:rPr>
            </w:pPr>
            <w:r w:rsidRPr="00BC3A42">
              <w:rPr>
                <w:b/>
                <w:bCs/>
                <w:color w:val="000000"/>
                <w:sz w:val="20"/>
                <w:szCs w:val="20"/>
              </w:rPr>
              <w:t>Sējumu kopplatība, tostarp</w:t>
            </w:r>
          </w:p>
        </w:tc>
        <w:tc>
          <w:tcPr>
            <w:tcW w:w="1101" w:type="dxa"/>
            <w:tcBorders>
              <w:top w:val="single" w:sz="12" w:space="0" w:color="auto"/>
              <w:left w:val="single" w:sz="12" w:space="0" w:color="auto"/>
              <w:bottom w:val="single" w:sz="8" w:space="0" w:color="auto"/>
              <w:right w:val="single" w:sz="12" w:space="0" w:color="auto"/>
            </w:tcBorders>
            <w:shd w:val="clear" w:color="auto" w:fill="auto"/>
            <w:noWrap/>
            <w:vAlign w:val="bottom"/>
          </w:tcPr>
          <w:p w14:paraId="0B933CFD" w14:textId="77777777" w:rsidR="002F4B62" w:rsidRPr="00BC3A42" w:rsidRDefault="002F4B62" w:rsidP="00F46C2A">
            <w:pPr>
              <w:jc w:val="right"/>
              <w:rPr>
                <w:color w:val="000000"/>
                <w:sz w:val="20"/>
                <w:szCs w:val="20"/>
              </w:rPr>
            </w:pPr>
            <w:r w:rsidRPr="00BC3A42">
              <w:rPr>
                <w:color w:val="000000"/>
                <w:sz w:val="20"/>
                <w:szCs w:val="20"/>
              </w:rPr>
              <w:t>1168,8</w:t>
            </w:r>
          </w:p>
        </w:tc>
        <w:tc>
          <w:tcPr>
            <w:tcW w:w="961" w:type="dxa"/>
            <w:tcBorders>
              <w:top w:val="single" w:sz="12" w:space="0" w:color="auto"/>
              <w:left w:val="single" w:sz="12" w:space="0" w:color="auto"/>
              <w:bottom w:val="single" w:sz="8" w:space="0" w:color="auto"/>
              <w:right w:val="single" w:sz="12" w:space="0" w:color="auto"/>
            </w:tcBorders>
            <w:shd w:val="clear" w:color="auto" w:fill="auto"/>
            <w:noWrap/>
            <w:vAlign w:val="center"/>
          </w:tcPr>
          <w:p w14:paraId="2A9772E7" w14:textId="77777777" w:rsidR="002F4B62" w:rsidRPr="00BC3A42" w:rsidRDefault="00E6307C" w:rsidP="00E6307C">
            <w:pPr>
              <w:jc w:val="center"/>
              <w:rPr>
                <w:color w:val="000000"/>
                <w:sz w:val="20"/>
                <w:szCs w:val="20"/>
              </w:rPr>
            </w:pPr>
            <w:r w:rsidRPr="00BC3A42">
              <w:rPr>
                <w:color w:val="000000"/>
                <w:sz w:val="20"/>
                <w:szCs w:val="20"/>
              </w:rPr>
              <w:t>-</w:t>
            </w:r>
          </w:p>
        </w:tc>
        <w:tc>
          <w:tcPr>
            <w:tcW w:w="884" w:type="dxa"/>
            <w:tcBorders>
              <w:top w:val="single" w:sz="12" w:space="0" w:color="auto"/>
              <w:left w:val="single" w:sz="12" w:space="0" w:color="auto"/>
              <w:bottom w:val="single" w:sz="8" w:space="0" w:color="auto"/>
            </w:tcBorders>
            <w:shd w:val="clear" w:color="auto" w:fill="auto"/>
            <w:noWrap/>
            <w:vAlign w:val="bottom"/>
          </w:tcPr>
          <w:p w14:paraId="0F1FDC37" w14:textId="77777777" w:rsidR="002F4B62" w:rsidRPr="00BC3A42" w:rsidRDefault="002F4B62" w:rsidP="00F46C2A">
            <w:pPr>
              <w:jc w:val="right"/>
              <w:rPr>
                <w:color w:val="000000"/>
                <w:sz w:val="20"/>
                <w:szCs w:val="20"/>
              </w:rPr>
            </w:pPr>
            <w:r w:rsidRPr="00BC3A42">
              <w:rPr>
                <w:color w:val="000000"/>
                <w:sz w:val="20"/>
                <w:szCs w:val="20"/>
              </w:rPr>
              <w:t>1233,9</w:t>
            </w:r>
          </w:p>
        </w:tc>
        <w:tc>
          <w:tcPr>
            <w:tcW w:w="961" w:type="dxa"/>
            <w:tcBorders>
              <w:top w:val="single" w:sz="12" w:space="0" w:color="auto"/>
              <w:left w:val="single" w:sz="12" w:space="0" w:color="auto"/>
              <w:bottom w:val="single" w:sz="8" w:space="0" w:color="auto"/>
            </w:tcBorders>
            <w:vAlign w:val="center"/>
          </w:tcPr>
          <w:p w14:paraId="544FEAB8" w14:textId="77777777" w:rsidR="002F4B62" w:rsidRPr="00BC3A42" w:rsidRDefault="00E6307C" w:rsidP="00E6307C">
            <w:pPr>
              <w:jc w:val="center"/>
              <w:rPr>
                <w:color w:val="000000"/>
                <w:sz w:val="20"/>
                <w:szCs w:val="20"/>
              </w:rPr>
            </w:pPr>
            <w:r w:rsidRPr="00BC3A42">
              <w:rPr>
                <w:color w:val="000000"/>
                <w:sz w:val="20"/>
                <w:szCs w:val="20"/>
              </w:rPr>
              <w:t>-</w:t>
            </w:r>
          </w:p>
        </w:tc>
        <w:tc>
          <w:tcPr>
            <w:tcW w:w="872" w:type="dxa"/>
            <w:tcBorders>
              <w:top w:val="single" w:sz="12" w:space="0" w:color="auto"/>
              <w:left w:val="single" w:sz="12" w:space="0" w:color="auto"/>
              <w:bottom w:val="single" w:sz="8" w:space="0" w:color="auto"/>
              <w:right w:val="single" w:sz="12" w:space="0" w:color="auto"/>
            </w:tcBorders>
            <w:vAlign w:val="bottom"/>
          </w:tcPr>
          <w:p w14:paraId="18EC6C4A" w14:textId="77777777" w:rsidR="002F4B62" w:rsidRPr="00BC3A42" w:rsidRDefault="002F4B62" w:rsidP="00F46C2A">
            <w:pPr>
              <w:jc w:val="right"/>
              <w:rPr>
                <w:color w:val="000000"/>
                <w:sz w:val="20"/>
                <w:szCs w:val="20"/>
              </w:rPr>
            </w:pPr>
            <w:r w:rsidRPr="00BC3A42">
              <w:rPr>
                <w:color w:val="000000"/>
                <w:sz w:val="20"/>
                <w:szCs w:val="20"/>
              </w:rPr>
              <w:t>1214,3</w:t>
            </w:r>
          </w:p>
        </w:tc>
        <w:tc>
          <w:tcPr>
            <w:tcW w:w="961" w:type="dxa"/>
            <w:tcBorders>
              <w:top w:val="single" w:sz="12" w:space="0" w:color="auto"/>
              <w:left w:val="single" w:sz="12" w:space="0" w:color="auto"/>
              <w:bottom w:val="single" w:sz="8" w:space="0" w:color="auto"/>
            </w:tcBorders>
            <w:vAlign w:val="center"/>
          </w:tcPr>
          <w:p w14:paraId="41030562" w14:textId="77777777" w:rsidR="002F4B62" w:rsidRPr="00BC3A42" w:rsidRDefault="00E6307C" w:rsidP="00E6307C">
            <w:pPr>
              <w:jc w:val="center"/>
              <w:rPr>
                <w:color w:val="000000"/>
                <w:sz w:val="20"/>
                <w:szCs w:val="20"/>
              </w:rPr>
            </w:pPr>
            <w:r w:rsidRPr="00BC3A42">
              <w:rPr>
                <w:color w:val="000000"/>
                <w:sz w:val="20"/>
                <w:szCs w:val="20"/>
              </w:rPr>
              <w:t>-</w:t>
            </w:r>
          </w:p>
        </w:tc>
      </w:tr>
      <w:tr w:rsidR="002F4B62" w:rsidRPr="00BC3A42" w14:paraId="6D29AD6A"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tcPr>
          <w:p w14:paraId="0DF71688" w14:textId="77777777" w:rsidR="002F4B62" w:rsidRPr="00BC3A42" w:rsidRDefault="002F4B62" w:rsidP="00F46C2A">
            <w:pPr>
              <w:rPr>
                <w:bCs/>
                <w:color w:val="000000"/>
                <w:sz w:val="20"/>
                <w:szCs w:val="20"/>
              </w:rPr>
            </w:pPr>
            <w:r w:rsidRPr="00BC3A42">
              <w:rPr>
                <w:bCs/>
                <w:color w:val="000000"/>
                <w:sz w:val="20"/>
                <w:szCs w:val="20"/>
              </w:rPr>
              <w:t>1) Graudaugi, tostarp</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5B2828C2" w14:textId="77777777" w:rsidR="002F4B62" w:rsidRPr="00BC3A42" w:rsidRDefault="002F4B62" w:rsidP="00F46C2A">
            <w:pPr>
              <w:jc w:val="right"/>
              <w:rPr>
                <w:color w:val="000000"/>
                <w:sz w:val="20"/>
                <w:szCs w:val="20"/>
              </w:rPr>
            </w:pPr>
            <w:r w:rsidRPr="00BC3A42">
              <w:rPr>
                <w:color w:val="000000"/>
                <w:sz w:val="20"/>
                <w:szCs w:val="20"/>
              </w:rPr>
              <w:t>672,4</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2EB09403" w14:textId="77777777" w:rsidR="002F4B62" w:rsidRPr="00BC3A42" w:rsidRDefault="002F4B62" w:rsidP="00F46C2A">
            <w:pPr>
              <w:jc w:val="right"/>
              <w:rPr>
                <w:color w:val="000000"/>
                <w:sz w:val="20"/>
                <w:szCs w:val="20"/>
              </w:rPr>
            </w:pPr>
            <w:r w:rsidRPr="00BC3A42">
              <w:rPr>
                <w:color w:val="000000"/>
                <w:sz w:val="20"/>
                <w:szCs w:val="20"/>
              </w:rPr>
              <w:t>3021,5</w:t>
            </w:r>
          </w:p>
        </w:tc>
        <w:tc>
          <w:tcPr>
            <w:tcW w:w="884" w:type="dxa"/>
            <w:tcBorders>
              <w:top w:val="single" w:sz="8" w:space="0" w:color="auto"/>
              <w:left w:val="single" w:sz="12" w:space="0" w:color="auto"/>
              <w:bottom w:val="single" w:sz="8" w:space="0" w:color="auto"/>
            </w:tcBorders>
            <w:shd w:val="clear" w:color="auto" w:fill="auto"/>
            <w:noWrap/>
            <w:vAlign w:val="bottom"/>
          </w:tcPr>
          <w:p w14:paraId="472B0265" w14:textId="77777777" w:rsidR="002F4B62" w:rsidRPr="00BC3A42" w:rsidRDefault="002F4B62" w:rsidP="00F46C2A">
            <w:pPr>
              <w:jc w:val="right"/>
              <w:rPr>
                <w:color w:val="000000"/>
                <w:sz w:val="20"/>
                <w:szCs w:val="20"/>
              </w:rPr>
            </w:pPr>
            <w:r w:rsidRPr="00BC3A42">
              <w:rPr>
                <w:color w:val="000000"/>
                <w:sz w:val="20"/>
                <w:szCs w:val="20"/>
              </w:rPr>
              <w:t>716,0</w:t>
            </w:r>
          </w:p>
        </w:tc>
        <w:tc>
          <w:tcPr>
            <w:tcW w:w="961" w:type="dxa"/>
            <w:tcBorders>
              <w:top w:val="single" w:sz="8" w:space="0" w:color="auto"/>
              <w:left w:val="single" w:sz="12" w:space="0" w:color="auto"/>
              <w:bottom w:val="single" w:sz="8" w:space="0" w:color="auto"/>
            </w:tcBorders>
            <w:vAlign w:val="bottom"/>
          </w:tcPr>
          <w:p w14:paraId="5807A539" w14:textId="77777777" w:rsidR="002F4B62" w:rsidRPr="00BC3A42" w:rsidRDefault="002F4B62" w:rsidP="00F46C2A">
            <w:pPr>
              <w:jc w:val="right"/>
              <w:rPr>
                <w:color w:val="000000"/>
                <w:sz w:val="20"/>
                <w:szCs w:val="20"/>
              </w:rPr>
            </w:pPr>
            <w:r w:rsidRPr="00BC3A42">
              <w:rPr>
                <w:color w:val="000000"/>
                <w:sz w:val="20"/>
                <w:szCs w:val="20"/>
              </w:rPr>
              <w:t>2703,2</w:t>
            </w:r>
          </w:p>
        </w:tc>
        <w:tc>
          <w:tcPr>
            <w:tcW w:w="872" w:type="dxa"/>
            <w:tcBorders>
              <w:top w:val="single" w:sz="8" w:space="0" w:color="auto"/>
              <w:left w:val="single" w:sz="12" w:space="0" w:color="auto"/>
              <w:bottom w:val="single" w:sz="8" w:space="0" w:color="auto"/>
              <w:right w:val="single" w:sz="12" w:space="0" w:color="auto"/>
            </w:tcBorders>
            <w:vAlign w:val="bottom"/>
          </w:tcPr>
          <w:p w14:paraId="385A4EF4" w14:textId="77777777" w:rsidR="002F4B62" w:rsidRPr="00BC3A42" w:rsidRDefault="002F4B62" w:rsidP="00F46C2A">
            <w:pPr>
              <w:jc w:val="right"/>
              <w:rPr>
                <w:color w:val="000000"/>
                <w:sz w:val="20"/>
                <w:szCs w:val="20"/>
              </w:rPr>
            </w:pPr>
            <w:r w:rsidRPr="00BC3A42">
              <w:rPr>
                <w:color w:val="000000"/>
                <w:sz w:val="20"/>
                <w:szCs w:val="20"/>
              </w:rPr>
              <w:t>703,5</w:t>
            </w:r>
          </w:p>
        </w:tc>
        <w:tc>
          <w:tcPr>
            <w:tcW w:w="961" w:type="dxa"/>
            <w:tcBorders>
              <w:top w:val="single" w:sz="8" w:space="0" w:color="auto"/>
              <w:left w:val="single" w:sz="12" w:space="0" w:color="auto"/>
              <w:bottom w:val="single" w:sz="8" w:space="0" w:color="auto"/>
            </w:tcBorders>
            <w:vAlign w:val="bottom"/>
          </w:tcPr>
          <w:p w14:paraId="7B93B8E9" w14:textId="77777777" w:rsidR="002F4B62" w:rsidRPr="00BC3A42" w:rsidRDefault="002F4B62" w:rsidP="00F46C2A">
            <w:pPr>
              <w:jc w:val="right"/>
              <w:rPr>
                <w:color w:val="000000"/>
                <w:sz w:val="20"/>
                <w:szCs w:val="20"/>
              </w:rPr>
            </w:pPr>
            <w:r w:rsidRPr="00BC3A42">
              <w:rPr>
                <w:color w:val="000000"/>
                <w:sz w:val="20"/>
                <w:szCs w:val="20"/>
              </w:rPr>
              <w:t>2692,5</w:t>
            </w:r>
          </w:p>
        </w:tc>
      </w:tr>
      <w:tr w:rsidR="002F4B62" w:rsidRPr="00BC3A42" w14:paraId="2CE85CB4"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72EEB590" w14:textId="77777777" w:rsidR="002F4B62" w:rsidRPr="00BC3A42" w:rsidRDefault="002F4B62" w:rsidP="00F46C2A">
            <w:pPr>
              <w:rPr>
                <w:bCs/>
                <w:color w:val="000000"/>
                <w:sz w:val="20"/>
                <w:szCs w:val="20"/>
              </w:rPr>
            </w:pPr>
            <w:r w:rsidRPr="00BC3A42">
              <w:rPr>
                <w:bCs/>
                <w:color w:val="000000"/>
                <w:sz w:val="20"/>
                <w:szCs w:val="20"/>
              </w:rPr>
              <w:t>Ziemāji</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4AB85178" w14:textId="77777777" w:rsidR="002F4B62" w:rsidRPr="00BC3A42" w:rsidRDefault="002F4B62" w:rsidP="00F46C2A">
            <w:pPr>
              <w:jc w:val="right"/>
              <w:rPr>
                <w:color w:val="000000"/>
                <w:sz w:val="20"/>
                <w:szCs w:val="20"/>
              </w:rPr>
            </w:pPr>
            <w:r w:rsidRPr="00BC3A42">
              <w:rPr>
                <w:color w:val="000000"/>
                <w:sz w:val="20"/>
                <w:szCs w:val="20"/>
              </w:rPr>
              <w:t>338,9</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1C1A41B0" w14:textId="77777777" w:rsidR="002F4B62" w:rsidRPr="00BC3A42" w:rsidRDefault="002F4B62" w:rsidP="00F46C2A">
            <w:pPr>
              <w:jc w:val="right"/>
              <w:rPr>
                <w:color w:val="000000"/>
                <w:sz w:val="20"/>
                <w:szCs w:val="20"/>
              </w:rPr>
            </w:pPr>
            <w:r w:rsidRPr="00BC3A42">
              <w:rPr>
                <w:color w:val="000000"/>
                <w:sz w:val="20"/>
                <w:szCs w:val="20"/>
              </w:rPr>
              <w:t>1813,7</w:t>
            </w:r>
          </w:p>
        </w:tc>
        <w:tc>
          <w:tcPr>
            <w:tcW w:w="884" w:type="dxa"/>
            <w:tcBorders>
              <w:top w:val="single" w:sz="8" w:space="0" w:color="auto"/>
              <w:left w:val="single" w:sz="12" w:space="0" w:color="auto"/>
              <w:bottom w:val="single" w:sz="8" w:space="0" w:color="auto"/>
            </w:tcBorders>
            <w:shd w:val="clear" w:color="auto" w:fill="auto"/>
            <w:noWrap/>
            <w:vAlign w:val="bottom"/>
          </w:tcPr>
          <w:p w14:paraId="3656AF4A" w14:textId="77777777" w:rsidR="002F4B62" w:rsidRPr="00BC3A42" w:rsidRDefault="002F4B62" w:rsidP="00F46C2A">
            <w:pPr>
              <w:jc w:val="right"/>
              <w:rPr>
                <w:color w:val="000000"/>
                <w:sz w:val="20"/>
                <w:szCs w:val="20"/>
              </w:rPr>
            </w:pPr>
            <w:r w:rsidRPr="00BC3A42">
              <w:rPr>
                <w:color w:val="000000"/>
                <w:sz w:val="20"/>
                <w:szCs w:val="20"/>
              </w:rPr>
              <w:t>377,5</w:t>
            </w:r>
          </w:p>
        </w:tc>
        <w:tc>
          <w:tcPr>
            <w:tcW w:w="961" w:type="dxa"/>
            <w:tcBorders>
              <w:top w:val="single" w:sz="8" w:space="0" w:color="auto"/>
              <w:left w:val="single" w:sz="12" w:space="0" w:color="auto"/>
              <w:bottom w:val="single" w:sz="8" w:space="0" w:color="auto"/>
            </w:tcBorders>
            <w:vAlign w:val="bottom"/>
          </w:tcPr>
          <w:p w14:paraId="368F861F" w14:textId="77777777" w:rsidR="002F4B62" w:rsidRPr="00BC3A42" w:rsidRDefault="002F4B62" w:rsidP="00F46C2A">
            <w:pPr>
              <w:jc w:val="right"/>
              <w:rPr>
                <w:color w:val="000000"/>
                <w:sz w:val="20"/>
                <w:szCs w:val="20"/>
              </w:rPr>
            </w:pPr>
            <w:r w:rsidRPr="00BC3A42">
              <w:rPr>
                <w:color w:val="000000"/>
                <w:sz w:val="20"/>
                <w:szCs w:val="20"/>
              </w:rPr>
              <w:t>1765,0</w:t>
            </w:r>
          </w:p>
        </w:tc>
        <w:tc>
          <w:tcPr>
            <w:tcW w:w="872" w:type="dxa"/>
            <w:tcBorders>
              <w:top w:val="single" w:sz="8" w:space="0" w:color="auto"/>
              <w:left w:val="single" w:sz="12" w:space="0" w:color="auto"/>
              <w:bottom w:val="single" w:sz="8" w:space="0" w:color="auto"/>
              <w:right w:val="single" w:sz="12" w:space="0" w:color="auto"/>
            </w:tcBorders>
            <w:vAlign w:val="bottom"/>
          </w:tcPr>
          <w:p w14:paraId="3B191DBE" w14:textId="77777777" w:rsidR="002F4B62" w:rsidRPr="00BC3A42" w:rsidRDefault="002F4B62" w:rsidP="00F46C2A">
            <w:pPr>
              <w:jc w:val="right"/>
              <w:rPr>
                <w:color w:val="000000"/>
                <w:sz w:val="20"/>
                <w:szCs w:val="20"/>
              </w:rPr>
            </w:pPr>
            <w:r w:rsidRPr="00BC3A42">
              <w:rPr>
                <w:color w:val="000000"/>
                <w:sz w:val="20"/>
                <w:szCs w:val="20"/>
              </w:rPr>
              <w:t>375,5</w:t>
            </w:r>
          </w:p>
        </w:tc>
        <w:tc>
          <w:tcPr>
            <w:tcW w:w="961" w:type="dxa"/>
            <w:tcBorders>
              <w:top w:val="single" w:sz="8" w:space="0" w:color="auto"/>
              <w:left w:val="single" w:sz="12" w:space="0" w:color="auto"/>
              <w:bottom w:val="single" w:sz="8" w:space="0" w:color="auto"/>
            </w:tcBorders>
            <w:vAlign w:val="bottom"/>
          </w:tcPr>
          <w:p w14:paraId="4D96CAA1" w14:textId="77777777" w:rsidR="002F4B62" w:rsidRPr="00BC3A42" w:rsidRDefault="002F4B62" w:rsidP="00F46C2A">
            <w:pPr>
              <w:jc w:val="right"/>
              <w:rPr>
                <w:color w:val="000000"/>
                <w:sz w:val="20"/>
                <w:szCs w:val="20"/>
              </w:rPr>
            </w:pPr>
            <w:r w:rsidRPr="00BC3A42">
              <w:rPr>
                <w:color w:val="000000"/>
                <w:sz w:val="20"/>
                <w:szCs w:val="20"/>
              </w:rPr>
              <w:t>1874,8</w:t>
            </w:r>
          </w:p>
        </w:tc>
      </w:tr>
      <w:tr w:rsidR="002F4B62" w:rsidRPr="00BC3A42" w14:paraId="675E9C21"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6939338A"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 xml:space="preserve">kvieši </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527B2048" w14:textId="77777777" w:rsidR="002F4B62" w:rsidRPr="00BC3A42" w:rsidRDefault="002F4B62" w:rsidP="00F46C2A">
            <w:pPr>
              <w:jc w:val="right"/>
              <w:rPr>
                <w:color w:val="000000"/>
                <w:sz w:val="20"/>
                <w:szCs w:val="20"/>
              </w:rPr>
            </w:pPr>
            <w:r w:rsidRPr="00BC3A42">
              <w:rPr>
                <w:color w:val="000000"/>
                <w:sz w:val="20"/>
                <w:szCs w:val="20"/>
              </w:rPr>
              <w:t>290,6</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58923A41" w14:textId="77777777" w:rsidR="002F4B62" w:rsidRPr="00BC3A42" w:rsidRDefault="002F4B62" w:rsidP="00F46C2A">
            <w:pPr>
              <w:jc w:val="right"/>
              <w:rPr>
                <w:color w:val="000000"/>
                <w:sz w:val="20"/>
                <w:szCs w:val="20"/>
              </w:rPr>
            </w:pPr>
            <w:r w:rsidRPr="00BC3A42">
              <w:rPr>
                <w:color w:val="000000"/>
                <w:sz w:val="20"/>
                <w:szCs w:val="20"/>
              </w:rPr>
              <w:t>1605,7</w:t>
            </w:r>
          </w:p>
        </w:tc>
        <w:tc>
          <w:tcPr>
            <w:tcW w:w="884" w:type="dxa"/>
            <w:tcBorders>
              <w:top w:val="single" w:sz="8" w:space="0" w:color="auto"/>
              <w:left w:val="single" w:sz="12" w:space="0" w:color="auto"/>
              <w:bottom w:val="single" w:sz="8" w:space="0" w:color="auto"/>
            </w:tcBorders>
            <w:shd w:val="clear" w:color="auto" w:fill="auto"/>
            <w:noWrap/>
            <w:vAlign w:val="bottom"/>
          </w:tcPr>
          <w:p w14:paraId="7CD1B01E" w14:textId="77777777" w:rsidR="002F4B62" w:rsidRPr="00BC3A42" w:rsidRDefault="002F4B62" w:rsidP="00F46C2A">
            <w:pPr>
              <w:jc w:val="right"/>
              <w:rPr>
                <w:color w:val="000000"/>
                <w:sz w:val="20"/>
                <w:szCs w:val="20"/>
              </w:rPr>
            </w:pPr>
            <w:r w:rsidRPr="00BC3A42">
              <w:rPr>
                <w:color w:val="000000"/>
                <w:sz w:val="20"/>
                <w:szCs w:val="20"/>
              </w:rPr>
              <w:t>329,9</w:t>
            </w:r>
          </w:p>
        </w:tc>
        <w:tc>
          <w:tcPr>
            <w:tcW w:w="961" w:type="dxa"/>
            <w:tcBorders>
              <w:top w:val="single" w:sz="8" w:space="0" w:color="auto"/>
              <w:left w:val="single" w:sz="12" w:space="0" w:color="auto"/>
              <w:bottom w:val="single" w:sz="8" w:space="0" w:color="auto"/>
            </w:tcBorders>
            <w:vAlign w:val="bottom"/>
          </w:tcPr>
          <w:p w14:paraId="135E6D4E" w14:textId="77777777" w:rsidR="002F4B62" w:rsidRPr="00BC3A42" w:rsidRDefault="002F4B62" w:rsidP="00F46C2A">
            <w:pPr>
              <w:jc w:val="right"/>
              <w:rPr>
                <w:color w:val="000000"/>
                <w:sz w:val="20"/>
                <w:szCs w:val="20"/>
              </w:rPr>
            </w:pPr>
            <w:r w:rsidRPr="00BC3A42">
              <w:rPr>
                <w:color w:val="000000"/>
                <w:sz w:val="20"/>
                <w:szCs w:val="20"/>
              </w:rPr>
              <w:t>1582,8</w:t>
            </w:r>
          </w:p>
        </w:tc>
        <w:tc>
          <w:tcPr>
            <w:tcW w:w="872" w:type="dxa"/>
            <w:tcBorders>
              <w:top w:val="single" w:sz="8" w:space="0" w:color="auto"/>
              <w:left w:val="single" w:sz="12" w:space="0" w:color="auto"/>
              <w:bottom w:val="single" w:sz="8" w:space="0" w:color="auto"/>
              <w:right w:val="single" w:sz="12" w:space="0" w:color="auto"/>
            </w:tcBorders>
            <w:vAlign w:val="bottom"/>
          </w:tcPr>
          <w:p w14:paraId="28940D4C" w14:textId="77777777" w:rsidR="002F4B62" w:rsidRPr="00BC3A42" w:rsidRDefault="002F4B62" w:rsidP="00F46C2A">
            <w:pPr>
              <w:jc w:val="right"/>
              <w:rPr>
                <w:color w:val="000000"/>
                <w:sz w:val="20"/>
                <w:szCs w:val="20"/>
              </w:rPr>
            </w:pPr>
            <w:r w:rsidRPr="00BC3A42">
              <w:rPr>
                <w:color w:val="000000"/>
                <w:sz w:val="20"/>
                <w:szCs w:val="20"/>
              </w:rPr>
              <w:t>331,2</w:t>
            </w:r>
          </w:p>
        </w:tc>
        <w:tc>
          <w:tcPr>
            <w:tcW w:w="961" w:type="dxa"/>
            <w:tcBorders>
              <w:top w:val="single" w:sz="8" w:space="0" w:color="auto"/>
              <w:left w:val="single" w:sz="12" w:space="0" w:color="auto"/>
              <w:bottom w:val="single" w:sz="8" w:space="0" w:color="auto"/>
            </w:tcBorders>
            <w:vAlign w:val="bottom"/>
          </w:tcPr>
          <w:p w14:paraId="52CEECC8" w14:textId="77777777" w:rsidR="002F4B62" w:rsidRPr="00BC3A42" w:rsidRDefault="002F4B62" w:rsidP="00F46C2A">
            <w:pPr>
              <w:jc w:val="right"/>
              <w:rPr>
                <w:color w:val="000000"/>
                <w:sz w:val="20"/>
                <w:szCs w:val="20"/>
              </w:rPr>
            </w:pPr>
            <w:r w:rsidRPr="00BC3A42">
              <w:rPr>
                <w:color w:val="000000"/>
                <w:sz w:val="20"/>
                <w:szCs w:val="20"/>
              </w:rPr>
              <w:t>1705,2</w:t>
            </w:r>
          </w:p>
        </w:tc>
      </w:tr>
      <w:tr w:rsidR="002F4B62" w:rsidRPr="00BC3A42" w14:paraId="517D3E9B"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33989846"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rudzi</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001679B2" w14:textId="77777777" w:rsidR="002F4B62" w:rsidRPr="00BC3A42" w:rsidRDefault="002F4B62" w:rsidP="00F46C2A">
            <w:pPr>
              <w:jc w:val="right"/>
              <w:rPr>
                <w:color w:val="000000"/>
                <w:sz w:val="20"/>
                <w:szCs w:val="20"/>
              </w:rPr>
            </w:pPr>
            <w:r w:rsidRPr="00BC3A42">
              <w:rPr>
                <w:color w:val="000000"/>
                <w:sz w:val="20"/>
                <w:szCs w:val="20"/>
              </w:rPr>
              <w:t>37,4</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794740FB" w14:textId="77777777" w:rsidR="002F4B62" w:rsidRPr="00BC3A42" w:rsidRDefault="002F4B62" w:rsidP="00F46C2A">
            <w:pPr>
              <w:jc w:val="right"/>
              <w:rPr>
                <w:color w:val="000000"/>
                <w:sz w:val="20"/>
                <w:szCs w:val="20"/>
              </w:rPr>
            </w:pPr>
            <w:r w:rsidRPr="00BC3A42">
              <w:rPr>
                <w:color w:val="000000"/>
                <w:sz w:val="20"/>
                <w:szCs w:val="20"/>
              </w:rPr>
              <w:t>159,6</w:t>
            </w:r>
          </w:p>
        </w:tc>
        <w:tc>
          <w:tcPr>
            <w:tcW w:w="884" w:type="dxa"/>
            <w:tcBorders>
              <w:top w:val="single" w:sz="8" w:space="0" w:color="auto"/>
              <w:left w:val="single" w:sz="12" w:space="0" w:color="auto"/>
              <w:bottom w:val="single" w:sz="8" w:space="0" w:color="auto"/>
            </w:tcBorders>
            <w:shd w:val="clear" w:color="auto" w:fill="auto"/>
            <w:noWrap/>
            <w:vAlign w:val="bottom"/>
          </w:tcPr>
          <w:p w14:paraId="3D94DA8A" w14:textId="77777777" w:rsidR="002F4B62" w:rsidRPr="00BC3A42" w:rsidRDefault="002F4B62" w:rsidP="00F46C2A">
            <w:pPr>
              <w:jc w:val="right"/>
              <w:rPr>
                <w:color w:val="000000"/>
                <w:sz w:val="20"/>
                <w:szCs w:val="20"/>
              </w:rPr>
            </w:pPr>
            <w:r w:rsidRPr="00BC3A42">
              <w:rPr>
                <w:color w:val="000000"/>
                <w:sz w:val="20"/>
                <w:szCs w:val="20"/>
              </w:rPr>
              <w:t>36,3</w:t>
            </w:r>
          </w:p>
        </w:tc>
        <w:tc>
          <w:tcPr>
            <w:tcW w:w="961" w:type="dxa"/>
            <w:tcBorders>
              <w:top w:val="single" w:sz="8" w:space="0" w:color="auto"/>
              <w:left w:val="single" w:sz="12" w:space="0" w:color="auto"/>
              <w:bottom w:val="single" w:sz="8" w:space="0" w:color="auto"/>
            </w:tcBorders>
            <w:vAlign w:val="bottom"/>
          </w:tcPr>
          <w:p w14:paraId="1290C344" w14:textId="77777777" w:rsidR="002F4B62" w:rsidRPr="00BC3A42" w:rsidRDefault="002F4B62" w:rsidP="00F46C2A">
            <w:pPr>
              <w:jc w:val="right"/>
              <w:rPr>
                <w:color w:val="000000"/>
                <w:sz w:val="20"/>
                <w:szCs w:val="20"/>
              </w:rPr>
            </w:pPr>
            <w:r w:rsidRPr="00BC3A42">
              <w:rPr>
                <w:color w:val="000000"/>
                <w:sz w:val="20"/>
                <w:szCs w:val="20"/>
              </w:rPr>
              <w:t>140,9</w:t>
            </w:r>
          </w:p>
        </w:tc>
        <w:tc>
          <w:tcPr>
            <w:tcW w:w="872" w:type="dxa"/>
            <w:tcBorders>
              <w:top w:val="single" w:sz="8" w:space="0" w:color="auto"/>
              <w:left w:val="single" w:sz="12" w:space="0" w:color="auto"/>
              <w:bottom w:val="single" w:sz="8" w:space="0" w:color="auto"/>
              <w:right w:val="single" w:sz="12" w:space="0" w:color="auto"/>
            </w:tcBorders>
            <w:vAlign w:val="bottom"/>
          </w:tcPr>
          <w:p w14:paraId="569FC717" w14:textId="77777777" w:rsidR="002F4B62" w:rsidRPr="00BC3A42" w:rsidRDefault="002F4B62" w:rsidP="00F46C2A">
            <w:pPr>
              <w:jc w:val="right"/>
              <w:rPr>
                <w:color w:val="000000"/>
                <w:sz w:val="20"/>
                <w:szCs w:val="20"/>
              </w:rPr>
            </w:pPr>
            <w:r w:rsidRPr="00BC3A42">
              <w:rPr>
                <w:color w:val="000000"/>
                <w:sz w:val="20"/>
                <w:szCs w:val="20"/>
              </w:rPr>
              <w:t>34,0</w:t>
            </w:r>
          </w:p>
        </w:tc>
        <w:tc>
          <w:tcPr>
            <w:tcW w:w="961" w:type="dxa"/>
            <w:tcBorders>
              <w:top w:val="single" w:sz="8" w:space="0" w:color="auto"/>
              <w:left w:val="single" w:sz="12" w:space="0" w:color="auto"/>
              <w:bottom w:val="single" w:sz="8" w:space="0" w:color="auto"/>
            </w:tcBorders>
            <w:vAlign w:val="bottom"/>
          </w:tcPr>
          <w:p w14:paraId="4AA5B0D2" w14:textId="77777777" w:rsidR="002F4B62" w:rsidRPr="00BC3A42" w:rsidRDefault="002F4B62" w:rsidP="00F46C2A">
            <w:pPr>
              <w:jc w:val="right"/>
              <w:rPr>
                <w:color w:val="000000"/>
                <w:sz w:val="20"/>
                <w:szCs w:val="20"/>
              </w:rPr>
            </w:pPr>
            <w:r w:rsidRPr="00BC3A42">
              <w:rPr>
                <w:color w:val="000000"/>
                <w:sz w:val="20"/>
                <w:szCs w:val="20"/>
              </w:rPr>
              <w:t>129,4</w:t>
            </w:r>
          </w:p>
        </w:tc>
      </w:tr>
      <w:tr w:rsidR="002F4B62" w:rsidRPr="00BC3A42" w14:paraId="610802C1"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tcPr>
          <w:p w14:paraId="4CD7A3BD"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 xml:space="preserve">mieži </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07B164ED" w14:textId="77777777" w:rsidR="002F4B62" w:rsidRPr="00BC3A42" w:rsidRDefault="002F4B62" w:rsidP="00F46C2A">
            <w:pPr>
              <w:jc w:val="right"/>
              <w:rPr>
                <w:color w:val="000000"/>
                <w:sz w:val="20"/>
                <w:szCs w:val="20"/>
              </w:rPr>
            </w:pPr>
            <w:r w:rsidRPr="00BC3A42">
              <w:rPr>
                <w:color w:val="000000"/>
                <w:sz w:val="20"/>
                <w:szCs w:val="20"/>
              </w:rPr>
              <w:t>3,2</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3B7994B7" w14:textId="77777777" w:rsidR="002F4B62" w:rsidRPr="00BC3A42" w:rsidRDefault="002F4B62" w:rsidP="00F46C2A">
            <w:pPr>
              <w:jc w:val="right"/>
              <w:rPr>
                <w:color w:val="000000"/>
                <w:sz w:val="20"/>
                <w:szCs w:val="20"/>
              </w:rPr>
            </w:pPr>
            <w:r w:rsidRPr="00BC3A42">
              <w:rPr>
                <w:color w:val="000000"/>
                <w:sz w:val="20"/>
                <w:szCs w:val="20"/>
              </w:rPr>
              <w:t>16,7</w:t>
            </w:r>
          </w:p>
        </w:tc>
        <w:tc>
          <w:tcPr>
            <w:tcW w:w="884" w:type="dxa"/>
            <w:tcBorders>
              <w:top w:val="single" w:sz="8" w:space="0" w:color="auto"/>
              <w:left w:val="single" w:sz="12" w:space="0" w:color="auto"/>
              <w:bottom w:val="single" w:sz="8" w:space="0" w:color="auto"/>
            </w:tcBorders>
            <w:shd w:val="clear" w:color="auto" w:fill="auto"/>
            <w:noWrap/>
            <w:vAlign w:val="bottom"/>
          </w:tcPr>
          <w:p w14:paraId="424B084C" w14:textId="77777777" w:rsidR="002F4B62" w:rsidRPr="00BC3A42" w:rsidRDefault="002F4B62" w:rsidP="00F46C2A">
            <w:pPr>
              <w:jc w:val="right"/>
              <w:rPr>
                <w:color w:val="000000"/>
                <w:sz w:val="20"/>
                <w:szCs w:val="20"/>
              </w:rPr>
            </w:pPr>
            <w:r w:rsidRPr="00BC3A42">
              <w:rPr>
                <w:color w:val="000000"/>
                <w:sz w:val="20"/>
                <w:szCs w:val="20"/>
              </w:rPr>
              <w:t>2,0</w:t>
            </w:r>
          </w:p>
        </w:tc>
        <w:tc>
          <w:tcPr>
            <w:tcW w:w="961" w:type="dxa"/>
            <w:tcBorders>
              <w:top w:val="single" w:sz="8" w:space="0" w:color="auto"/>
              <w:left w:val="single" w:sz="12" w:space="0" w:color="auto"/>
              <w:bottom w:val="single" w:sz="8" w:space="0" w:color="auto"/>
            </w:tcBorders>
            <w:vAlign w:val="bottom"/>
          </w:tcPr>
          <w:p w14:paraId="538A20F4" w14:textId="77777777" w:rsidR="002F4B62" w:rsidRPr="00BC3A42" w:rsidRDefault="002F4B62" w:rsidP="00F46C2A">
            <w:pPr>
              <w:jc w:val="right"/>
              <w:rPr>
                <w:color w:val="000000"/>
                <w:sz w:val="20"/>
                <w:szCs w:val="20"/>
              </w:rPr>
            </w:pPr>
            <w:r w:rsidRPr="00BC3A42">
              <w:rPr>
                <w:color w:val="000000"/>
                <w:sz w:val="20"/>
                <w:szCs w:val="20"/>
              </w:rPr>
              <w:t>9,7</w:t>
            </w:r>
          </w:p>
        </w:tc>
        <w:tc>
          <w:tcPr>
            <w:tcW w:w="872" w:type="dxa"/>
            <w:tcBorders>
              <w:top w:val="single" w:sz="8" w:space="0" w:color="auto"/>
              <w:left w:val="single" w:sz="12" w:space="0" w:color="auto"/>
              <w:bottom w:val="single" w:sz="8" w:space="0" w:color="auto"/>
              <w:right w:val="single" w:sz="12" w:space="0" w:color="auto"/>
            </w:tcBorders>
            <w:vAlign w:val="bottom"/>
          </w:tcPr>
          <w:p w14:paraId="751F0635" w14:textId="77777777" w:rsidR="002F4B62" w:rsidRPr="00BC3A42" w:rsidRDefault="002F4B62" w:rsidP="00F46C2A">
            <w:pPr>
              <w:jc w:val="right"/>
              <w:rPr>
                <w:color w:val="000000"/>
                <w:sz w:val="20"/>
                <w:szCs w:val="20"/>
              </w:rPr>
            </w:pPr>
            <w:r w:rsidRPr="00BC3A42">
              <w:rPr>
                <w:color w:val="000000"/>
                <w:sz w:val="20"/>
                <w:szCs w:val="20"/>
              </w:rPr>
              <w:t>3,3</w:t>
            </w:r>
          </w:p>
        </w:tc>
        <w:tc>
          <w:tcPr>
            <w:tcW w:w="961" w:type="dxa"/>
            <w:tcBorders>
              <w:top w:val="single" w:sz="8" w:space="0" w:color="auto"/>
              <w:left w:val="single" w:sz="12" w:space="0" w:color="auto"/>
              <w:bottom w:val="single" w:sz="8" w:space="0" w:color="auto"/>
            </w:tcBorders>
            <w:vAlign w:val="bottom"/>
          </w:tcPr>
          <w:p w14:paraId="423E09BA" w14:textId="77777777" w:rsidR="002F4B62" w:rsidRPr="00BC3A42" w:rsidRDefault="002F4B62" w:rsidP="00F46C2A">
            <w:pPr>
              <w:jc w:val="right"/>
              <w:rPr>
                <w:color w:val="000000"/>
                <w:sz w:val="20"/>
                <w:szCs w:val="20"/>
              </w:rPr>
            </w:pPr>
            <w:r w:rsidRPr="00BC3A42">
              <w:rPr>
                <w:color w:val="000000"/>
                <w:sz w:val="20"/>
                <w:szCs w:val="20"/>
              </w:rPr>
              <w:t>18,1</w:t>
            </w:r>
          </w:p>
        </w:tc>
      </w:tr>
      <w:tr w:rsidR="002F4B62" w:rsidRPr="00BC3A42" w14:paraId="61476CBB"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tcPr>
          <w:p w14:paraId="0B5E8C52"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 xml:space="preserve">tritikāle </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4539CFF9" w14:textId="77777777" w:rsidR="002F4B62" w:rsidRPr="00BC3A42" w:rsidRDefault="002F4B62" w:rsidP="00F46C2A">
            <w:pPr>
              <w:jc w:val="right"/>
              <w:rPr>
                <w:color w:val="000000"/>
                <w:sz w:val="20"/>
                <w:szCs w:val="20"/>
              </w:rPr>
            </w:pPr>
            <w:r w:rsidRPr="00BC3A42">
              <w:rPr>
                <w:color w:val="000000"/>
                <w:sz w:val="20"/>
                <w:szCs w:val="20"/>
              </w:rPr>
              <w:t>7,7</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55EC6769" w14:textId="77777777" w:rsidR="002F4B62" w:rsidRPr="00BC3A42" w:rsidRDefault="002F4B62" w:rsidP="00F46C2A">
            <w:pPr>
              <w:jc w:val="right"/>
              <w:rPr>
                <w:color w:val="000000"/>
                <w:sz w:val="20"/>
                <w:szCs w:val="20"/>
              </w:rPr>
            </w:pPr>
            <w:r w:rsidRPr="00BC3A42">
              <w:rPr>
                <w:color w:val="000000"/>
                <w:sz w:val="20"/>
                <w:szCs w:val="20"/>
              </w:rPr>
              <w:t>31,7</w:t>
            </w:r>
          </w:p>
        </w:tc>
        <w:tc>
          <w:tcPr>
            <w:tcW w:w="884" w:type="dxa"/>
            <w:tcBorders>
              <w:top w:val="single" w:sz="8" w:space="0" w:color="auto"/>
              <w:left w:val="single" w:sz="12" w:space="0" w:color="auto"/>
              <w:bottom w:val="single" w:sz="8" w:space="0" w:color="auto"/>
            </w:tcBorders>
            <w:shd w:val="clear" w:color="auto" w:fill="auto"/>
            <w:noWrap/>
            <w:vAlign w:val="bottom"/>
          </w:tcPr>
          <w:p w14:paraId="69480CD2" w14:textId="77777777" w:rsidR="002F4B62" w:rsidRPr="00BC3A42" w:rsidRDefault="002F4B62" w:rsidP="00F46C2A">
            <w:pPr>
              <w:jc w:val="right"/>
              <w:rPr>
                <w:color w:val="000000"/>
                <w:sz w:val="20"/>
                <w:szCs w:val="20"/>
              </w:rPr>
            </w:pPr>
            <w:r w:rsidRPr="00BC3A42">
              <w:rPr>
                <w:color w:val="000000"/>
                <w:sz w:val="20"/>
                <w:szCs w:val="20"/>
              </w:rPr>
              <w:t>9,3</w:t>
            </w:r>
          </w:p>
        </w:tc>
        <w:tc>
          <w:tcPr>
            <w:tcW w:w="961" w:type="dxa"/>
            <w:tcBorders>
              <w:top w:val="single" w:sz="8" w:space="0" w:color="auto"/>
              <w:left w:val="single" w:sz="12" w:space="0" w:color="auto"/>
              <w:bottom w:val="single" w:sz="8" w:space="0" w:color="auto"/>
            </w:tcBorders>
            <w:vAlign w:val="bottom"/>
          </w:tcPr>
          <w:p w14:paraId="0C20C0CA" w14:textId="77777777" w:rsidR="002F4B62" w:rsidRPr="00BC3A42" w:rsidRDefault="002F4B62" w:rsidP="00F46C2A">
            <w:pPr>
              <w:jc w:val="right"/>
              <w:rPr>
                <w:color w:val="000000"/>
                <w:sz w:val="20"/>
                <w:szCs w:val="20"/>
              </w:rPr>
            </w:pPr>
            <w:r w:rsidRPr="00BC3A42">
              <w:rPr>
                <w:color w:val="000000"/>
                <w:sz w:val="20"/>
                <w:szCs w:val="20"/>
              </w:rPr>
              <w:t>31,6</w:t>
            </w:r>
          </w:p>
        </w:tc>
        <w:tc>
          <w:tcPr>
            <w:tcW w:w="872" w:type="dxa"/>
            <w:tcBorders>
              <w:top w:val="single" w:sz="8" w:space="0" w:color="auto"/>
              <w:left w:val="single" w:sz="12" w:space="0" w:color="auto"/>
              <w:bottom w:val="single" w:sz="8" w:space="0" w:color="auto"/>
              <w:right w:val="single" w:sz="12" w:space="0" w:color="auto"/>
            </w:tcBorders>
            <w:vAlign w:val="bottom"/>
          </w:tcPr>
          <w:p w14:paraId="5F90B975" w14:textId="77777777" w:rsidR="002F4B62" w:rsidRPr="00BC3A42" w:rsidRDefault="002F4B62" w:rsidP="00F46C2A">
            <w:pPr>
              <w:jc w:val="right"/>
              <w:rPr>
                <w:color w:val="000000"/>
                <w:sz w:val="20"/>
                <w:szCs w:val="20"/>
              </w:rPr>
            </w:pPr>
            <w:r w:rsidRPr="00BC3A42">
              <w:rPr>
                <w:color w:val="000000"/>
                <w:sz w:val="20"/>
                <w:szCs w:val="20"/>
              </w:rPr>
              <w:t>7,0</w:t>
            </w:r>
          </w:p>
        </w:tc>
        <w:tc>
          <w:tcPr>
            <w:tcW w:w="961" w:type="dxa"/>
            <w:tcBorders>
              <w:top w:val="single" w:sz="8" w:space="0" w:color="auto"/>
              <w:left w:val="single" w:sz="12" w:space="0" w:color="auto"/>
              <w:bottom w:val="single" w:sz="8" w:space="0" w:color="auto"/>
            </w:tcBorders>
            <w:vAlign w:val="bottom"/>
          </w:tcPr>
          <w:p w14:paraId="4E27A08F" w14:textId="77777777" w:rsidR="002F4B62" w:rsidRPr="00BC3A42" w:rsidRDefault="002F4B62" w:rsidP="00F46C2A">
            <w:pPr>
              <w:jc w:val="right"/>
              <w:rPr>
                <w:color w:val="000000"/>
                <w:sz w:val="20"/>
                <w:szCs w:val="20"/>
              </w:rPr>
            </w:pPr>
            <w:r w:rsidRPr="00BC3A42">
              <w:rPr>
                <w:color w:val="000000"/>
                <w:sz w:val="20"/>
                <w:szCs w:val="20"/>
              </w:rPr>
              <w:t>22,1</w:t>
            </w:r>
          </w:p>
        </w:tc>
      </w:tr>
      <w:tr w:rsidR="002F4B62" w:rsidRPr="00BC3A42" w14:paraId="2EB2B91F"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0C233986" w14:textId="77777777" w:rsidR="002F4B62" w:rsidRPr="00BC3A42" w:rsidRDefault="002F4B62" w:rsidP="00F46C2A">
            <w:pPr>
              <w:rPr>
                <w:bCs/>
                <w:color w:val="000000"/>
                <w:sz w:val="20"/>
                <w:szCs w:val="20"/>
              </w:rPr>
            </w:pPr>
            <w:r w:rsidRPr="00BC3A42">
              <w:rPr>
                <w:bCs/>
                <w:color w:val="000000"/>
                <w:sz w:val="20"/>
                <w:szCs w:val="20"/>
              </w:rPr>
              <w:t>Vasarāji</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3E627942" w14:textId="77777777" w:rsidR="002F4B62" w:rsidRPr="00BC3A42" w:rsidRDefault="002F4B62" w:rsidP="00F46C2A">
            <w:pPr>
              <w:jc w:val="right"/>
              <w:rPr>
                <w:color w:val="000000"/>
                <w:sz w:val="20"/>
                <w:szCs w:val="20"/>
              </w:rPr>
            </w:pPr>
            <w:r w:rsidRPr="00BC3A42">
              <w:rPr>
                <w:color w:val="000000"/>
                <w:sz w:val="20"/>
                <w:szCs w:val="20"/>
              </w:rPr>
              <w:t>333,5</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62D2BFED" w14:textId="77777777" w:rsidR="002F4B62" w:rsidRPr="00BC3A42" w:rsidRDefault="002F4B62" w:rsidP="00F46C2A">
            <w:pPr>
              <w:jc w:val="right"/>
              <w:rPr>
                <w:color w:val="000000"/>
                <w:sz w:val="20"/>
                <w:szCs w:val="20"/>
              </w:rPr>
            </w:pPr>
            <w:r w:rsidRPr="00BC3A42">
              <w:rPr>
                <w:color w:val="000000"/>
                <w:sz w:val="20"/>
                <w:szCs w:val="20"/>
              </w:rPr>
              <w:t>1207,8</w:t>
            </w:r>
          </w:p>
        </w:tc>
        <w:tc>
          <w:tcPr>
            <w:tcW w:w="884" w:type="dxa"/>
            <w:tcBorders>
              <w:top w:val="single" w:sz="8" w:space="0" w:color="auto"/>
              <w:left w:val="single" w:sz="12" w:space="0" w:color="auto"/>
              <w:bottom w:val="single" w:sz="8" w:space="0" w:color="auto"/>
            </w:tcBorders>
            <w:shd w:val="clear" w:color="auto" w:fill="auto"/>
            <w:noWrap/>
            <w:vAlign w:val="bottom"/>
          </w:tcPr>
          <w:p w14:paraId="4A19D6F7" w14:textId="77777777" w:rsidR="002F4B62" w:rsidRPr="00BC3A42" w:rsidRDefault="002F4B62" w:rsidP="00F46C2A">
            <w:pPr>
              <w:jc w:val="right"/>
              <w:rPr>
                <w:color w:val="000000"/>
                <w:sz w:val="20"/>
                <w:szCs w:val="20"/>
              </w:rPr>
            </w:pPr>
            <w:r w:rsidRPr="00BC3A42">
              <w:rPr>
                <w:color w:val="000000"/>
                <w:sz w:val="20"/>
                <w:szCs w:val="20"/>
              </w:rPr>
              <w:t>338,5</w:t>
            </w:r>
          </w:p>
        </w:tc>
        <w:tc>
          <w:tcPr>
            <w:tcW w:w="961" w:type="dxa"/>
            <w:tcBorders>
              <w:top w:val="single" w:sz="8" w:space="0" w:color="auto"/>
              <w:left w:val="single" w:sz="12" w:space="0" w:color="auto"/>
              <w:bottom w:val="single" w:sz="8" w:space="0" w:color="auto"/>
            </w:tcBorders>
            <w:vAlign w:val="bottom"/>
          </w:tcPr>
          <w:p w14:paraId="5C58A2D6" w14:textId="77777777" w:rsidR="002F4B62" w:rsidRPr="00BC3A42" w:rsidRDefault="002F4B62" w:rsidP="00F46C2A">
            <w:pPr>
              <w:jc w:val="right"/>
              <w:rPr>
                <w:color w:val="000000"/>
                <w:sz w:val="20"/>
                <w:szCs w:val="20"/>
              </w:rPr>
            </w:pPr>
            <w:r w:rsidRPr="00BC3A42">
              <w:rPr>
                <w:color w:val="000000"/>
                <w:sz w:val="20"/>
                <w:szCs w:val="20"/>
              </w:rPr>
              <w:t>938,2</w:t>
            </w:r>
          </w:p>
        </w:tc>
        <w:tc>
          <w:tcPr>
            <w:tcW w:w="872" w:type="dxa"/>
            <w:tcBorders>
              <w:top w:val="single" w:sz="8" w:space="0" w:color="auto"/>
              <w:left w:val="single" w:sz="12" w:space="0" w:color="auto"/>
              <w:bottom w:val="single" w:sz="8" w:space="0" w:color="auto"/>
              <w:right w:val="single" w:sz="12" w:space="0" w:color="auto"/>
            </w:tcBorders>
            <w:vAlign w:val="bottom"/>
          </w:tcPr>
          <w:p w14:paraId="4F6BD52A" w14:textId="77777777" w:rsidR="002F4B62" w:rsidRPr="00BC3A42" w:rsidRDefault="002F4B62" w:rsidP="00F46C2A">
            <w:pPr>
              <w:jc w:val="right"/>
              <w:rPr>
                <w:color w:val="000000"/>
                <w:sz w:val="20"/>
                <w:szCs w:val="20"/>
              </w:rPr>
            </w:pPr>
            <w:r w:rsidRPr="00BC3A42">
              <w:rPr>
                <w:color w:val="000000"/>
                <w:sz w:val="20"/>
                <w:szCs w:val="20"/>
              </w:rPr>
              <w:t>328,0</w:t>
            </w:r>
          </w:p>
        </w:tc>
        <w:tc>
          <w:tcPr>
            <w:tcW w:w="961" w:type="dxa"/>
            <w:tcBorders>
              <w:top w:val="single" w:sz="8" w:space="0" w:color="auto"/>
              <w:left w:val="single" w:sz="12" w:space="0" w:color="auto"/>
              <w:bottom w:val="single" w:sz="8" w:space="0" w:color="auto"/>
            </w:tcBorders>
            <w:vAlign w:val="bottom"/>
          </w:tcPr>
          <w:p w14:paraId="76DD9BE6" w14:textId="77777777" w:rsidR="002F4B62" w:rsidRPr="00BC3A42" w:rsidRDefault="002F4B62" w:rsidP="00F46C2A">
            <w:pPr>
              <w:jc w:val="right"/>
              <w:rPr>
                <w:color w:val="000000"/>
                <w:sz w:val="20"/>
                <w:szCs w:val="20"/>
              </w:rPr>
            </w:pPr>
            <w:r w:rsidRPr="00BC3A42">
              <w:rPr>
                <w:color w:val="000000"/>
                <w:sz w:val="20"/>
                <w:szCs w:val="20"/>
              </w:rPr>
              <w:t>817,7</w:t>
            </w:r>
          </w:p>
        </w:tc>
      </w:tr>
      <w:tr w:rsidR="002F4B62" w:rsidRPr="00BC3A42" w14:paraId="3B3C628E"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1974A9C3"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 xml:space="preserve">kvieši </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2BA16CF7" w14:textId="77777777" w:rsidR="002F4B62" w:rsidRPr="00BC3A42" w:rsidRDefault="002F4B62" w:rsidP="00F46C2A">
            <w:pPr>
              <w:jc w:val="right"/>
              <w:rPr>
                <w:color w:val="000000"/>
                <w:sz w:val="20"/>
                <w:szCs w:val="20"/>
              </w:rPr>
            </w:pPr>
            <w:r w:rsidRPr="00BC3A42">
              <w:rPr>
                <w:color w:val="000000"/>
                <w:sz w:val="20"/>
                <w:szCs w:val="20"/>
              </w:rPr>
              <w:t>157,6</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6ADE1260" w14:textId="77777777" w:rsidR="002F4B62" w:rsidRPr="00BC3A42" w:rsidRDefault="002F4B62" w:rsidP="00F46C2A">
            <w:pPr>
              <w:jc w:val="right"/>
              <w:rPr>
                <w:color w:val="000000"/>
                <w:sz w:val="20"/>
                <w:szCs w:val="20"/>
              </w:rPr>
            </w:pPr>
            <w:r w:rsidRPr="00BC3A42">
              <w:rPr>
                <w:color w:val="000000"/>
                <w:sz w:val="20"/>
                <w:szCs w:val="20"/>
              </w:rPr>
              <w:t>644,4</w:t>
            </w:r>
          </w:p>
        </w:tc>
        <w:tc>
          <w:tcPr>
            <w:tcW w:w="884" w:type="dxa"/>
            <w:tcBorders>
              <w:top w:val="single" w:sz="8" w:space="0" w:color="auto"/>
              <w:left w:val="single" w:sz="12" w:space="0" w:color="auto"/>
              <w:bottom w:val="single" w:sz="8" w:space="0" w:color="auto"/>
            </w:tcBorders>
            <w:shd w:val="clear" w:color="auto" w:fill="auto"/>
            <w:noWrap/>
            <w:vAlign w:val="bottom"/>
          </w:tcPr>
          <w:p w14:paraId="6473D420" w14:textId="77777777" w:rsidR="002F4B62" w:rsidRPr="00BC3A42" w:rsidRDefault="002F4B62" w:rsidP="00F46C2A">
            <w:pPr>
              <w:jc w:val="right"/>
              <w:rPr>
                <w:color w:val="000000"/>
                <w:sz w:val="20"/>
                <w:szCs w:val="20"/>
              </w:rPr>
            </w:pPr>
            <w:r w:rsidRPr="00BC3A42">
              <w:rPr>
                <w:color w:val="000000"/>
                <w:sz w:val="20"/>
                <w:szCs w:val="20"/>
              </w:rPr>
              <w:t>153,0</w:t>
            </w:r>
          </w:p>
        </w:tc>
        <w:tc>
          <w:tcPr>
            <w:tcW w:w="961" w:type="dxa"/>
            <w:tcBorders>
              <w:top w:val="single" w:sz="8" w:space="0" w:color="auto"/>
              <w:left w:val="single" w:sz="12" w:space="0" w:color="auto"/>
              <w:bottom w:val="single" w:sz="8" w:space="0" w:color="auto"/>
            </w:tcBorders>
            <w:vAlign w:val="bottom"/>
          </w:tcPr>
          <w:p w14:paraId="4A9DB527" w14:textId="77777777" w:rsidR="002F4B62" w:rsidRPr="00BC3A42" w:rsidRDefault="002F4B62" w:rsidP="00F46C2A">
            <w:pPr>
              <w:jc w:val="right"/>
              <w:rPr>
                <w:color w:val="000000"/>
                <w:sz w:val="20"/>
                <w:szCs w:val="20"/>
              </w:rPr>
            </w:pPr>
            <w:r w:rsidRPr="00BC3A42">
              <w:rPr>
                <w:color w:val="000000"/>
                <w:sz w:val="20"/>
                <w:szCs w:val="20"/>
              </w:rPr>
              <w:t>479,5</w:t>
            </w:r>
          </w:p>
        </w:tc>
        <w:tc>
          <w:tcPr>
            <w:tcW w:w="872" w:type="dxa"/>
            <w:tcBorders>
              <w:top w:val="single" w:sz="8" w:space="0" w:color="auto"/>
              <w:left w:val="single" w:sz="12" w:space="0" w:color="auto"/>
              <w:bottom w:val="single" w:sz="8" w:space="0" w:color="auto"/>
              <w:right w:val="single" w:sz="12" w:space="0" w:color="auto"/>
            </w:tcBorders>
            <w:vAlign w:val="bottom"/>
          </w:tcPr>
          <w:p w14:paraId="1F3B77BB" w14:textId="77777777" w:rsidR="002F4B62" w:rsidRPr="00BC3A42" w:rsidRDefault="002F4B62" w:rsidP="00F46C2A">
            <w:pPr>
              <w:jc w:val="right"/>
              <w:rPr>
                <w:color w:val="000000"/>
                <w:sz w:val="20"/>
                <w:szCs w:val="20"/>
              </w:rPr>
            </w:pPr>
            <w:r w:rsidRPr="00BC3A42">
              <w:rPr>
                <w:color w:val="000000"/>
                <w:sz w:val="20"/>
                <w:szCs w:val="20"/>
              </w:rPr>
              <w:t>140,4</w:t>
            </w:r>
          </w:p>
        </w:tc>
        <w:tc>
          <w:tcPr>
            <w:tcW w:w="961" w:type="dxa"/>
            <w:tcBorders>
              <w:top w:val="single" w:sz="8" w:space="0" w:color="auto"/>
              <w:left w:val="single" w:sz="12" w:space="0" w:color="auto"/>
              <w:bottom w:val="single" w:sz="8" w:space="0" w:color="auto"/>
            </w:tcBorders>
            <w:vAlign w:val="bottom"/>
          </w:tcPr>
          <w:p w14:paraId="476CFD40" w14:textId="77777777" w:rsidR="002F4B62" w:rsidRPr="00BC3A42" w:rsidRDefault="002F4B62" w:rsidP="00F46C2A">
            <w:pPr>
              <w:jc w:val="right"/>
              <w:rPr>
                <w:color w:val="000000"/>
                <w:sz w:val="20"/>
                <w:szCs w:val="20"/>
              </w:rPr>
            </w:pPr>
            <w:r w:rsidRPr="00BC3A42">
              <w:rPr>
                <w:color w:val="000000"/>
                <w:sz w:val="20"/>
                <w:szCs w:val="20"/>
              </w:rPr>
              <w:t>433,6</w:t>
            </w:r>
          </w:p>
        </w:tc>
      </w:tr>
      <w:tr w:rsidR="002F4B62" w:rsidRPr="00BC3A42" w14:paraId="7703441E"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169DC76B"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mieži</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3DF80194" w14:textId="77777777" w:rsidR="002F4B62" w:rsidRPr="00BC3A42" w:rsidRDefault="002F4B62" w:rsidP="00F46C2A">
            <w:pPr>
              <w:jc w:val="right"/>
              <w:rPr>
                <w:color w:val="000000"/>
                <w:sz w:val="20"/>
                <w:szCs w:val="20"/>
              </w:rPr>
            </w:pPr>
            <w:r w:rsidRPr="00BC3A42">
              <w:rPr>
                <w:color w:val="000000"/>
                <w:sz w:val="20"/>
                <w:szCs w:val="20"/>
              </w:rPr>
              <w:t>96,4</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6E615CF6" w14:textId="77777777" w:rsidR="002F4B62" w:rsidRPr="00BC3A42" w:rsidRDefault="002F4B62" w:rsidP="00F46C2A">
            <w:pPr>
              <w:jc w:val="right"/>
              <w:rPr>
                <w:color w:val="000000"/>
                <w:sz w:val="20"/>
                <w:szCs w:val="20"/>
              </w:rPr>
            </w:pPr>
            <w:r w:rsidRPr="00BC3A42">
              <w:rPr>
                <w:color w:val="000000"/>
                <w:sz w:val="20"/>
                <w:szCs w:val="20"/>
              </w:rPr>
              <w:t>368,4</w:t>
            </w:r>
          </w:p>
        </w:tc>
        <w:tc>
          <w:tcPr>
            <w:tcW w:w="884" w:type="dxa"/>
            <w:tcBorders>
              <w:top w:val="single" w:sz="8" w:space="0" w:color="auto"/>
              <w:left w:val="single" w:sz="12" w:space="0" w:color="auto"/>
              <w:bottom w:val="single" w:sz="8" w:space="0" w:color="auto"/>
            </w:tcBorders>
            <w:shd w:val="clear" w:color="auto" w:fill="auto"/>
            <w:noWrap/>
            <w:vAlign w:val="bottom"/>
          </w:tcPr>
          <w:p w14:paraId="28382D2C" w14:textId="77777777" w:rsidR="002F4B62" w:rsidRPr="00BC3A42" w:rsidRDefault="002F4B62" w:rsidP="00F46C2A">
            <w:pPr>
              <w:jc w:val="right"/>
              <w:rPr>
                <w:color w:val="000000"/>
                <w:sz w:val="20"/>
                <w:szCs w:val="20"/>
              </w:rPr>
            </w:pPr>
            <w:r w:rsidRPr="00BC3A42">
              <w:rPr>
                <w:color w:val="000000"/>
                <w:sz w:val="20"/>
                <w:szCs w:val="20"/>
              </w:rPr>
              <w:t>94,1</w:t>
            </w:r>
          </w:p>
        </w:tc>
        <w:tc>
          <w:tcPr>
            <w:tcW w:w="961" w:type="dxa"/>
            <w:tcBorders>
              <w:top w:val="single" w:sz="8" w:space="0" w:color="auto"/>
              <w:left w:val="single" w:sz="12" w:space="0" w:color="auto"/>
              <w:bottom w:val="single" w:sz="8" w:space="0" w:color="auto"/>
            </w:tcBorders>
            <w:vAlign w:val="bottom"/>
          </w:tcPr>
          <w:p w14:paraId="0E29C8BB" w14:textId="77777777" w:rsidR="002F4B62" w:rsidRPr="00BC3A42" w:rsidRDefault="002F4B62" w:rsidP="00F46C2A">
            <w:pPr>
              <w:jc w:val="right"/>
              <w:rPr>
                <w:color w:val="000000"/>
                <w:sz w:val="20"/>
                <w:szCs w:val="20"/>
              </w:rPr>
            </w:pPr>
            <w:r w:rsidRPr="00BC3A42">
              <w:rPr>
                <w:color w:val="000000"/>
                <w:sz w:val="20"/>
                <w:szCs w:val="20"/>
              </w:rPr>
              <w:t>273,5</w:t>
            </w:r>
          </w:p>
        </w:tc>
        <w:tc>
          <w:tcPr>
            <w:tcW w:w="872" w:type="dxa"/>
            <w:tcBorders>
              <w:top w:val="single" w:sz="8" w:space="0" w:color="auto"/>
              <w:left w:val="single" w:sz="12" w:space="0" w:color="auto"/>
              <w:bottom w:val="single" w:sz="8" w:space="0" w:color="auto"/>
              <w:right w:val="single" w:sz="12" w:space="0" w:color="auto"/>
            </w:tcBorders>
            <w:vAlign w:val="bottom"/>
          </w:tcPr>
          <w:p w14:paraId="740655F1" w14:textId="77777777" w:rsidR="002F4B62" w:rsidRPr="00BC3A42" w:rsidRDefault="002F4B62" w:rsidP="00F46C2A">
            <w:pPr>
              <w:jc w:val="right"/>
              <w:rPr>
                <w:color w:val="000000"/>
                <w:sz w:val="20"/>
                <w:szCs w:val="20"/>
              </w:rPr>
            </w:pPr>
            <w:r w:rsidRPr="00BC3A42">
              <w:rPr>
                <w:color w:val="000000"/>
                <w:sz w:val="20"/>
                <w:szCs w:val="20"/>
              </w:rPr>
              <w:t>78,2</w:t>
            </w:r>
          </w:p>
        </w:tc>
        <w:tc>
          <w:tcPr>
            <w:tcW w:w="961" w:type="dxa"/>
            <w:tcBorders>
              <w:top w:val="single" w:sz="8" w:space="0" w:color="auto"/>
              <w:left w:val="single" w:sz="12" w:space="0" w:color="auto"/>
              <w:bottom w:val="single" w:sz="8" w:space="0" w:color="auto"/>
            </w:tcBorders>
            <w:vAlign w:val="bottom"/>
          </w:tcPr>
          <w:p w14:paraId="321BFE9B" w14:textId="77777777" w:rsidR="002F4B62" w:rsidRPr="00BC3A42" w:rsidRDefault="002F4B62" w:rsidP="00F46C2A">
            <w:pPr>
              <w:jc w:val="right"/>
              <w:rPr>
                <w:color w:val="000000"/>
                <w:sz w:val="20"/>
                <w:szCs w:val="20"/>
              </w:rPr>
            </w:pPr>
            <w:r w:rsidRPr="00BC3A42">
              <w:rPr>
                <w:color w:val="000000"/>
                <w:sz w:val="20"/>
                <w:szCs w:val="20"/>
              </w:rPr>
              <w:t>222,8</w:t>
            </w:r>
          </w:p>
        </w:tc>
      </w:tr>
      <w:tr w:rsidR="002F4B62" w:rsidRPr="00BC3A42" w14:paraId="11BC9DC4"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53591B7F" w14:textId="77777777" w:rsidR="002F4B62" w:rsidRPr="00BC3A42" w:rsidRDefault="002F4B62" w:rsidP="002F4B62">
            <w:pPr>
              <w:numPr>
                <w:ilvl w:val="0"/>
                <w:numId w:val="4"/>
              </w:numPr>
              <w:contextualSpacing/>
              <w:rPr>
                <w:bCs/>
                <w:color w:val="000000"/>
                <w:sz w:val="20"/>
                <w:szCs w:val="20"/>
              </w:rPr>
            </w:pPr>
            <w:r w:rsidRPr="00BC3A42">
              <w:rPr>
                <w:bCs/>
                <w:color w:val="000000"/>
                <w:sz w:val="20"/>
                <w:szCs w:val="20"/>
              </w:rPr>
              <w:t>tritik</w:t>
            </w:r>
            <w:r w:rsidR="000B4D51" w:rsidRPr="00BC3A42">
              <w:rPr>
                <w:bCs/>
                <w:color w:val="000000"/>
                <w:sz w:val="20"/>
                <w:szCs w:val="20"/>
              </w:rPr>
              <w:t>ā</w:t>
            </w:r>
            <w:r w:rsidRPr="00BC3A42">
              <w:rPr>
                <w:bCs/>
                <w:color w:val="000000"/>
                <w:sz w:val="20"/>
                <w:szCs w:val="20"/>
              </w:rPr>
              <w:t>le</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1C80C6DB" w14:textId="77777777" w:rsidR="002F4B62" w:rsidRPr="00BC3A42" w:rsidRDefault="002F4B62" w:rsidP="00F46C2A">
            <w:pPr>
              <w:jc w:val="right"/>
              <w:rPr>
                <w:color w:val="000000"/>
                <w:sz w:val="20"/>
                <w:szCs w:val="20"/>
              </w:rPr>
            </w:pPr>
            <w:r w:rsidRPr="00BC3A42">
              <w:rPr>
                <w:color w:val="000000"/>
                <w:sz w:val="20"/>
                <w:szCs w:val="20"/>
              </w:rPr>
              <w:t>2,7</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135992BB" w14:textId="77777777" w:rsidR="002F4B62" w:rsidRPr="00BC3A42" w:rsidRDefault="002F4B62" w:rsidP="00F46C2A">
            <w:pPr>
              <w:jc w:val="right"/>
              <w:rPr>
                <w:color w:val="000000"/>
                <w:sz w:val="20"/>
                <w:szCs w:val="20"/>
              </w:rPr>
            </w:pPr>
            <w:r w:rsidRPr="00BC3A42">
              <w:rPr>
                <w:color w:val="000000"/>
                <w:sz w:val="20"/>
                <w:szCs w:val="20"/>
              </w:rPr>
              <w:t>9,5</w:t>
            </w:r>
          </w:p>
        </w:tc>
        <w:tc>
          <w:tcPr>
            <w:tcW w:w="884" w:type="dxa"/>
            <w:tcBorders>
              <w:top w:val="single" w:sz="8" w:space="0" w:color="auto"/>
              <w:left w:val="single" w:sz="12" w:space="0" w:color="auto"/>
              <w:bottom w:val="single" w:sz="8" w:space="0" w:color="auto"/>
            </w:tcBorders>
            <w:shd w:val="clear" w:color="auto" w:fill="auto"/>
            <w:noWrap/>
            <w:vAlign w:val="bottom"/>
          </w:tcPr>
          <w:p w14:paraId="6E5EDB3C" w14:textId="77777777" w:rsidR="002F4B62" w:rsidRPr="00BC3A42" w:rsidRDefault="002F4B62" w:rsidP="00F46C2A">
            <w:pPr>
              <w:jc w:val="right"/>
              <w:rPr>
                <w:color w:val="000000"/>
                <w:sz w:val="20"/>
                <w:szCs w:val="20"/>
              </w:rPr>
            </w:pPr>
            <w:r w:rsidRPr="00BC3A42">
              <w:rPr>
                <w:color w:val="000000"/>
                <w:sz w:val="20"/>
                <w:szCs w:val="20"/>
              </w:rPr>
              <w:t>1,8</w:t>
            </w:r>
          </w:p>
        </w:tc>
        <w:tc>
          <w:tcPr>
            <w:tcW w:w="961" w:type="dxa"/>
            <w:tcBorders>
              <w:top w:val="single" w:sz="8" w:space="0" w:color="auto"/>
              <w:left w:val="single" w:sz="12" w:space="0" w:color="auto"/>
              <w:bottom w:val="single" w:sz="8" w:space="0" w:color="auto"/>
            </w:tcBorders>
            <w:vAlign w:val="bottom"/>
          </w:tcPr>
          <w:p w14:paraId="480D7BB1" w14:textId="77777777" w:rsidR="002F4B62" w:rsidRPr="00BC3A42" w:rsidRDefault="002F4B62" w:rsidP="00F46C2A">
            <w:pPr>
              <w:jc w:val="right"/>
              <w:rPr>
                <w:color w:val="000000"/>
                <w:sz w:val="20"/>
                <w:szCs w:val="20"/>
              </w:rPr>
            </w:pPr>
            <w:r w:rsidRPr="00BC3A42">
              <w:rPr>
                <w:color w:val="000000"/>
                <w:sz w:val="20"/>
                <w:szCs w:val="20"/>
              </w:rPr>
              <w:t>5,8</w:t>
            </w:r>
          </w:p>
        </w:tc>
        <w:tc>
          <w:tcPr>
            <w:tcW w:w="872" w:type="dxa"/>
            <w:tcBorders>
              <w:top w:val="single" w:sz="8" w:space="0" w:color="auto"/>
              <w:left w:val="single" w:sz="12" w:space="0" w:color="auto"/>
              <w:bottom w:val="single" w:sz="8" w:space="0" w:color="auto"/>
              <w:right w:val="single" w:sz="12" w:space="0" w:color="auto"/>
            </w:tcBorders>
            <w:vAlign w:val="bottom"/>
          </w:tcPr>
          <w:p w14:paraId="484F088C" w14:textId="77777777" w:rsidR="002F4B62" w:rsidRPr="00BC3A42" w:rsidRDefault="002F4B62" w:rsidP="00F46C2A">
            <w:pPr>
              <w:jc w:val="right"/>
              <w:rPr>
                <w:color w:val="000000"/>
                <w:sz w:val="20"/>
                <w:szCs w:val="20"/>
              </w:rPr>
            </w:pPr>
            <w:r w:rsidRPr="00BC3A42">
              <w:rPr>
                <w:color w:val="000000"/>
                <w:sz w:val="20"/>
                <w:szCs w:val="20"/>
              </w:rPr>
              <w:t>1,5</w:t>
            </w:r>
          </w:p>
        </w:tc>
        <w:tc>
          <w:tcPr>
            <w:tcW w:w="961" w:type="dxa"/>
            <w:tcBorders>
              <w:top w:val="single" w:sz="8" w:space="0" w:color="auto"/>
              <w:left w:val="single" w:sz="12" w:space="0" w:color="auto"/>
              <w:bottom w:val="single" w:sz="8" w:space="0" w:color="auto"/>
            </w:tcBorders>
            <w:vAlign w:val="bottom"/>
          </w:tcPr>
          <w:p w14:paraId="1B07B522" w14:textId="77777777" w:rsidR="002F4B62" w:rsidRPr="00BC3A42" w:rsidRDefault="002F4B62" w:rsidP="00F46C2A">
            <w:pPr>
              <w:jc w:val="right"/>
              <w:rPr>
                <w:color w:val="000000"/>
                <w:sz w:val="20"/>
                <w:szCs w:val="20"/>
              </w:rPr>
            </w:pPr>
            <w:r w:rsidRPr="00BC3A42">
              <w:rPr>
                <w:color w:val="000000"/>
                <w:sz w:val="20"/>
                <w:szCs w:val="20"/>
              </w:rPr>
              <w:t>3,9</w:t>
            </w:r>
          </w:p>
        </w:tc>
      </w:tr>
      <w:tr w:rsidR="002F4B62" w:rsidRPr="00BC3A42" w14:paraId="50291410" w14:textId="77777777" w:rsidTr="00F46C2A">
        <w:trPr>
          <w:trHeight w:val="300"/>
          <w:jc w:val="center"/>
        </w:trPr>
        <w:tc>
          <w:tcPr>
            <w:tcW w:w="2395" w:type="dxa"/>
            <w:tcBorders>
              <w:top w:val="single" w:sz="8" w:space="0" w:color="auto"/>
              <w:bottom w:val="single" w:sz="8" w:space="0" w:color="auto"/>
              <w:right w:val="single" w:sz="12" w:space="0" w:color="auto"/>
            </w:tcBorders>
            <w:shd w:val="clear" w:color="auto" w:fill="auto"/>
            <w:noWrap/>
            <w:vAlign w:val="bottom"/>
            <w:hideMark/>
          </w:tcPr>
          <w:p w14:paraId="0BFD1577" w14:textId="77777777" w:rsidR="002F4B62" w:rsidRPr="00BC3A42" w:rsidRDefault="002F4B62" w:rsidP="002F4B62">
            <w:pPr>
              <w:numPr>
                <w:ilvl w:val="0"/>
                <w:numId w:val="4"/>
              </w:numPr>
              <w:contextualSpacing/>
              <w:rPr>
                <w:bCs/>
                <w:color w:val="000000"/>
                <w:sz w:val="20"/>
                <w:szCs w:val="20"/>
              </w:rPr>
            </w:pPr>
            <w:proofErr w:type="spellStart"/>
            <w:r w:rsidRPr="00BC3A42">
              <w:rPr>
                <w:bCs/>
                <w:color w:val="000000"/>
                <w:sz w:val="20"/>
                <w:szCs w:val="20"/>
              </w:rPr>
              <w:t>vārpaugu</w:t>
            </w:r>
            <w:proofErr w:type="spellEnd"/>
            <w:r w:rsidRPr="00BC3A42">
              <w:rPr>
                <w:bCs/>
                <w:color w:val="000000"/>
                <w:sz w:val="20"/>
                <w:szCs w:val="20"/>
              </w:rPr>
              <w:t xml:space="preserve"> mistrs</w:t>
            </w:r>
          </w:p>
        </w:tc>
        <w:tc>
          <w:tcPr>
            <w:tcW w:w="110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072D1E9F" w14:textId="77777777" w:rsidR="002F4B62" w:rsidRPr="00BC3A42" w:rsidRDefault="002F4B62" w:rsidP="00F46C2A">
            <w:pPr>
              <w:jc w:val="right"/>
              <w:rPr>
                <w:color w:val="000000"/>
                <w:sz w:val="20"/>
                <w:szCs w:val="20"/>
              </w:rPr>
            </w:pPr>
            <w:r w:rsidRPr="00BC3A42">
              <w:rPr>
                <w:color w:val="000000"/>
                <w:sz w:val="20"/>
                <w:szCs w:val="20"/>
              </w:rPr>
              <w:t>0,9</w:t>
            </w:r>
          </w:p>
        </w:tc>
        <w:tc>
          <w:tcPr>
            <w:tcW w:w="961"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68FC6990" w14:textId="77777777" w:rsidR="002F4B62" w:rsidRPr="00BC3A42" w:rsidRDefault="002F4B62" w:rsidP="00F46C2A">
            <w:pPr>
              <w:jc w:val="right"/>
              <w:rPr>
                <w:color w:val="000000"/>
                <w:sz w:val="20"/>
                <w:szCs w:val="20"/>
              </w:rPr>
            </w:pPr>
            <w:r w:rsidRPr="00BC3A42">
              <w:rPr>
                <w:color w:val="000000"/>
                <w:sz w:val="20"/>
                <w:szCs w:val="20"/>
              </w:rPr>
              <w:t>2,6</w:t>
            </w:r>
          </w:p>
        </w:tc>
        <w:tc>
          <w:tcPr>
            <w:tcW w:w="884" w:type="dxa"/>
            <w:tcBorders>
              <w:top w:val="single" w:sz="8" w:space="0" w:color="auto"/>
              <w:left w:val="single" w:sz="12" w:space="0" w:color="auto"/>
              <w:bottom w:val="single" w:sz="8" w:space="0" w:color="auto"/>
            </w:tcBorders>
            <w:shd w:val="clear" w:color="auto" w:fill="auto"/>
            <w:noWrap/>
            <w:vAlign w:val="bottom"/>
          </w:tcPr>
          <w:p w14:paraId="366AB52B" w14:textId="77777777" w:rsidR="002F4B62" w:rsidRPr="00BC3A42" w:rsidRDefault="002F4B62" w:rsidP="00F46C2A">
            <w:pPr>
              <w:jc w:val="right"/>
              <w:rPr>
                <w:color w:val="000000"/>
                <w:sz w:val="20"/>
                <w:szCs w:val="20"/>
              </w:rPr>
            </w:pPr>
            <w:r w:rsidRPr="00BC3A42">
              <w:rPr>
                <w:color w:val="000000"/>
                <w:sz w:val="20"/>
                <w:szCs w:val="20"/>
              </w:rPr>
              <w:t>0,6</w:t>
            </w:r>
          </w:p>
        </w:tc>
        <w:tc>
          <w:tcPr>
            <w:tcW w:w="961" w:type="dxa"/>
            <w:tcBorders>
              <w:top w:val="single" w:sz="8" w:space="0" w:color="auto"/>
              <w:left w:val="single" w:sz="12" w:space="0" w:color="auto"/>
              <w:bottom w:val="single" w:sz="8" w:space="0" w:color="auto"/>
            </w:tcBorders>
            <w:vAlign w:val="bottom"/>
          </w:tcPr>
          <w:p w14:paraId="36B51620" w14:textId="77777777" w:rsidR="002F4B62" w:rsidRPr="00BC3A42" w:rsidRDefault="002F4B62" w:rsidP="00F46C2A">
            <w:pPr>
              <w:jc w:val="right"/>
              <w:rPr>
                <w:color w:val="000000"/>
                <w:sz w:val="20"/>
                <w:szCs w:val="20"/>
              </w:rPr>
            </w:pPr>
            <w:r w:rsidRPr="00BC3A42">
              <w:rPr>
                <w:color w:val="000000"/>
                <w:sz w:val="20"/>
                <w:szCs w:val="20"/>
              </w:rPr>
              <w:t>1,8</w:t>
            </w:r>
          </w:p>
        </w:tc>
        <w:tc>
          <w:tcPr>
            <w:tcW w:w="872" w:type="dxa"/>
            <w:tcBorders>
              <w:top w:val="single" w:sz="8" w:space="0" w:color="auto"/>
              <w:left w:val="single" w:sz="12" w:space="0" w:color="auto"/>
              <w:bottom w:val="single" w:sz="8" w:space="0" w:color="auto"/>
              <w:right w:val="single" w:sz="12" w:space="0" w:color="auto"/>
            </w:tcBorders>
            <w:vAlign w:val="bottom"/>
          </w:tcPr>
          <w:p w14:paraId="5C1EABDB" w14:textId="77777777" w:rsidR="002F4B62" w:rsidRPr="00BC3A42" w:rsidRDefault="002F4B62" w:rsidP="00F46C2A">
            <w:pPr>
              <w:jc w:val="right"/>
              <w:rPr>
                <w:color w:val="000000"/>
                <w:sz w:val="20"/>
                <w:szCs w:val="20"/>
              </w:rPr>
            </w:pPr>
            <w:r w:rsidRPr="00BC3A42">
              <w:rPr>
                <w:color w:val="000000"/>
                <w:sz w:val="20"/>
                <w:szCs w:val="20"/>
              </w:rPr>
              <w:t>0,8</w:t>
            </w:r>
          </w:p>
        </w:tc>
        <w:tc>
          <w:tcPr>
            <w:tcW w:w="961" w:type="dxa"/>
            <w:tcBorders>
              <w:top w:val="single" w:sz="8" w:space="0" w:color="auto"/>
              <w:left w:val="single" w:sz="12" w:space="0" w:color="auto"/>
              <w:bottom w:val="single" w:sz="8" w:space="0" w:color="auto"/>
            </w:tcBorders>
            <w:vAlign w:val="bottom"/>
          </w:tcPr>
          <w:p w14:paraId="1FB3CF6C" w14:textId="77777777" w:rsidR="002F4B62" w:rsidRPr="00BC3A42" w:rsidRDefault="002F4B62" w:rsidP="00F46C2A">
            <w:pPr>
              <w:jc w:val="right"/>
              <w:rPr>
                <w:color w:val="000000"/>
                <w:sz w:val="20"/>
                <w:szCs w:val="20"/>
              </w:rPr>
            </w:pPr>
            <w:r w:rsidRPr="00BC3A42">
              <w:rPr>
                <w:color w:val="000000"/>
                <w:sz w:val="20"/>
                <w:szCs w:val="20"/>
              </w:rPr>
              <w:t>0,7</w:t>
            </w:r>
          </w:p>
        </w:tc>
      </w:tr>
      <w:tr w:rsidR="002F4B62" w:rsidRPr="00BC3A42" w14:paraId="00801C35" w14:textId="77777777" w:rsidTr="00F46C2A">
        <w:trPr>
          <w:trHeight w:val="147"/>
          <w:jc w:val="center"/>
        </w:trPr>
        <w:tc>
          <w:tcPr>
            <w:tcW w:w="2395" w:type="dxa"/>
            <w:tcBorders>
              <w:top w:val="single" w:sz="8" w:space="0" w:color="auto"/>
              <w:bottom w:val="single" w:sz="12" w:space="0" w:color="auto"/>
              <w:right w:val="single" w:sz="12" w:space="0" w:color="auto"/>
            </w:tcBorders>
            <w:shd w:val="clear" w:color="auto" w:fill="auto"/>
            <w:noWrap/>
            <w:vAlign w:val="bottom"/>
            <w:hideMark/>
          </w:tcPr>
          <w:p w14:paraId="52F37BA2" w14:textId="77777777" w:rsidR="002F4B62" w:rsidRPr="00BC3A42" w:rsidRDefault="002F4B62" w:rsidP="00F46C2A">
            <w:pPr>
              <w:contextualSpacing/>
              <w:jc w:val="both"/>
              <w:rPr>
                <w:bCs/>
                <w:color w:val="000000"/>
                <w:sz w:val="20"/>
                <w:szCs w:val="20"/>
              </w:rPr>
            </w:pPr>
            <w:r w:rsidRPr="00BC3A42">
              <w:rPr>
                <w:bCs/>
                <w:color w:val="000000"/>
                <w:sz w:val="20"/>
                <w:szCs w:val="20"/>
              </w:rPr>
              <w:t>2) Rapsis</w:t>
            </w:r>
          </w:p>
        </w:tc>
        <w:tc>
          <w:tcPr>
            <w:tcW w:w="1101"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61DADD2D" w14:textId="77777777" w:rsidR="002F4B62" w:rsidRPr="00BC3A42" w:rsidRDefault="002F4B62" w:rsidP="00F46C2A">
            <w:pPr>
              <w:jc w:val="right"/>
              <w:rPr>
                <w:color w:val="000000"/>
                <w:sz w:val="20"/>
                <w:szCs w:val="20"/>
              </w:rPr>
            </w:pPr>
            <w:r w:rsidRPr="00BC3A42">
              <w:rPr>
                <w:color w:val="000000"/>
                <w:sz w:val="20"/>
                <w:szCs w:val="20"/>
              </w:rPr>
              <w:t>89,0</w:t>
            </w:r>
          </w:p>
        </w:tc>
        <w:tc>
          <w:tcPr>
            <w:tcW w:w="961"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2463F3B2" w14:textId="77777777" w:rsidR="002F4B62" w:rsidRPr="00BC3A42" w:rsidRDefault="002F4B62" w:rsidP="00F46C2A">
            <w:pPr>
              <w:jc w:val="right"/>
              <w:rPr>
                <w:color w:val="000000"/>
                <w:sz w:val="20"/>
                <w:szCs w:val="20"/>
              </w:rPr>
            </w:pPr>
            <w:r w:rsidRPr="00BC3A42">
              <w:rPr>
                <w:color w:val="000000"/>
                <w:sz w:val="20"/>
                <w:szCs w:val="20"/>
              </w:rPr>
              <w:t>292,7</w:t>
            </w:r>
          </w:p>
        </w:tc>
        <w:tc>
          <w:tcPr>
            <w:tcW w:w="884" w:type="dxa"/>
            <w:tcBorders>
              <w:top w:val="single" w:sz="8" w:space="0" w:color="auto"/>
              <w:left w:val="single" w:sz="12" w:space="0" w:color="auto"/>
              <w:bottom w:val="single" w:sz="12" w:space="0" w:color="auto"/>
            </w:tcBorders>
            <w:shd w:val="clear" w:color="auto" w:fill="auto"/>
            <w:noWrap/>
            <w:vAlign w:val="bottom"/>
          </w:tcPr>
          <w:p w14:paraId="2988C02B" w14:textId="77777777" w:rsidR="002F4B62" w:rsidRPr="00BC3A42" w:rsidRDefault="002F4B62" w:rsidP="00F46C2A">
            <w:pPr>
              <w:jc w:val="right"/>
              <w:rPr>
                <w:color w:val="000000"/>
                <w:sz w:val="20"/>
                <w:szCs w:val="20"/>
              </w:rPr>
            </w:pPr>
            <w:r w:rsidRPr="00BC3A42">
              <w:rPr>
                <w:color w:val="000000"/>
                <w:sz w:val="20"/>
                <w:szCs w:val="20"/>
              </w:rPr>
              <w:t>101,1</w:t>
            </w:r>
          </w:p>
        </w:tc>
        <w:tc>
          <w:tcPr>
            <w:tcW w:w="961" w:type="dxa"/>
            <w:tcBorders>
              <w:top w:val="single" w:sz="8" w:space="0" w:color="auto"/>
              <w:left w:val="single" w:sz="12" w:space="0" w:color="auto"/>
              <w:bottom w:val="single" w:sz="12" w:space="0" w:color="auto"/>
            </w:tcBorders>
            <w:vAlign w:val="bottom"/>
          </w:tcPr>
          <w:p w14:paraId="7E40F68D" w14:textId="77777777" w:rsidR="002F4B62" w:rsidRPr="00BC3A42" w:rsidRDefault="002F4B62" w:rsidP="00F46C2A">
            <w:pPr>
              <w:jc w:val="right"/>
              <w:rPr>
                <w:color w:val="000000"/>
                <w:sz w:val="20"/>
                <w:szCs w:val="20"/>
              </w:rPr>
            </w:pPr>
            <w:r w:rsidRPr="00BC3A42">
              <w:rPr>
                <w:color w:val="000000"/>
                <w:sz w:val="20"/>
                <w:szCs w:val="20"/>
              </w:rPr>
              <w:t>281,3</w:t>
            </w:r>
          </w:p>
        </w:tc>
        <w:tc>
          <w:tcPr>
            <w:tcW w:w="872" w:type="dxa"/>
            <w:tcBorders>
              <w:top w:val="single" w:sz="8" w:space="0" w:color="auto"/>
              <w:left w:val="single" w:sz="12" w:space="0" w:color="auto"/>
              <w:bottom w:val="single" w:sz="12" w:space="0" w:color="auto"/>
              <w:right w:val="single" w:sz="12" w:space="0" w:color="auto"/>
            </w:tcBorders>
            <w:vAlign w:val="bottom"/>
          </w:tcPr>
          <w:p w14:paraId="1D3F83A0" w14:textId="77777777" w:rsidR="002F4B62" w:rsidRPr="00BC3A42" w:rsidRDefault="002F4B62" w:rsidP="00F46C2A">
            <w:pPr>
              <w:jc w:val="right"/>
              <w:rPr>
                <w:color w:val="000000"/>
                <w:sz w:val="20"/>
                <w:szCs w:val="20"/>
              </w:rPr>
            </w:pPr>
            <w:r w:rsidRPr="00BC3A42">
              <w:rPr>
                <w:color w:val="000000"/>
                <w:sz w:val="20"/>
                <w:szCs w:val="20"/>
              </w:rPr>
              <w:t>117,4</w:t>
            </w:r>
          </w:p>
        </w:tc>
        <w:tc>
          <w:tcPr>
            <w:tcW w:w="961" w:type="dxa"/>
            <w:tcBorders>
              <w:top w:val="single" w:sz="8" w:space="0" w:color="auto"/>
              <w:left w:val="single" w:sz="12" w:space="0" w:color="auto"/>
              <w:bottom w:val="single" w:sz="12" w:space="0" w:color="auto"/>
            </w:tcBorders>
            <w:vAlign w:val="bottom"/>
          </w:tcPr>
          <w:p w14:paraId="28A9431B" w14:textId="77777777" w:rsidR="002F4B62" w:rsidRPr="00BC3A42" w:rsidRDefault="002F4B62" w:rsidP="00F46C2A">
            <w:pPr>
              <w:jc w:val="right"/>
              <w:rPr>
                <w:color w:val="000000"/>
                <w:sz w:val="20"/>
                <w:szCs w:val="20"/>
              </w:rPr>
            </w:pPr>
            <w:r w:rsidRPr="00BC3A42">
              <w:rPr>
                <w:color w:val="000000"/>
                <w:sz w:val="20"/>
                <w:szCs w:val="20"/>
              </w:rPr>
              <w:t>326,2</w:t>
            </w:r>
          </w:p>
        </w:tc>
      </w:tr>
    </w:tbl>
    <w:p w14:paraId="4DC6D5F9" w14:textId="77777777" w:rsidR="001F4D5F" w:rsidRPr="00BC3A42" w:rsidRDefault="001F4D5F" w:rsidP="002C0ED3">
      <w:pPr>
        <w:keepLines/>
        <w:tabs>
          <w:tab w:val="left" w:pos="5670"/>
        </w:tabs>
        <w:rPr>
          <w:rFonts w:eastAsia="Calibri"/>
          <w:i/>
          <w:sz w:val="26"/>
          <w:szCs w:val="26"/>
          <w:lang w:eastAsia="en-US"/>
        </w:rPr>
      </w:pPr>
    </w:p>
    <w:p w14:paraId="600B9E8D" w14:textId="77777777" w:rsidR="002F4B62" w:rsidRPr="00BC3A42" w:rsidRDefault="002F4B62" w:rsidP="00282E05">
      <w:pPr>
        <w:ind w:firstLine="851"/>
        <w:jc w:val="both"/>
        <w:rPr>
          <w:rFonts w:eastAsia="Calibri"/>
          <w:sz w:val="26"/>
          <w:szCs w:val="26"/>
          <w:highlight w:val="yellow"/>
          <w:lang w:eastAsia="en-US"/>
        </w:rPr>
      </w:pPr>
      <w:r w:rsidRPr="00BC3A42">
        <w:rPr>
          <w:rFonts w:eastAsia="Calibri"/>
          <w:sz w:val="26"/>
          <w:szCs w:val="26"/>
          <w:lang w:eastAsia="en-US"/>
        </w:rPr>
        <w:t>CSP informācija par lauksaimniecības kultūru sējumu platībām liecina, ka 2017.</w:t>
      </w:r>
      <w:r w:rsidR="00282E05" w:rsidRPr="00BC3A42">
        <w:rPr>
          <w:rFonts w:eastAsia="Calibri"/>
          <w:sz w:val="26"/>
          <w:szCs w:val="26"/>
          <w:lang w:eastAsia="en-US"/>
        </w:rPr>
        <w:t> </w:t>
      </w:r>
      <w:r w:rsidRPr="00BC3A42">
        <w:rPr>
          <w:rFonts w:eastAsia="Calibri"/>
          <w:sz w:val="26"/>
          <w:szCs w:val="26"/>
          <w:lang w:eastAsia="en-US"/>
        </w:rPr>
        <w:t>gadā graudaugu sējumi bija 703,5 tūkst. ha, kas ir par 12,5 tūkst. ha jeb aptuveni 1,7% mazāk nekā iepriekšējā gadā.</w:t>
      </w:r>
      <w:r w:rsidRPr="00BC3A42">
        <w:rPr>
          <w:rFonts w:eastAsia="Calibri"/>
          <w:sz w:val="26"/>
          <w:szCs w:val="26"/>
          <w:highlight w:val="yellow"/>
          <w:lang w:eastAsia="en-US"/>
        </w:rPr>
        <w:t xml:space="preserve"> </w:t>
      </w:r>
    </w:p>
    <w:p w14:paraId="38CE7E82" w14:textId="2632B4BC" w:rsidR="002007A6" w:rsidRPr="00BC3A42" w:rsidRDefault="00361680" w:rsidP="00282E05">
      <w:pPr>
        <w:ind w:firstLine="851"/>
        <w:jc w:val="both"/>
        <w:rPr>
          <w:rFonts w:eastAsia="Calibri"/>
          <w:sz w:val="26"/>
          <w:szCs w:val="26"/>
          <w:lang w:eastAsia="en-US"/>
        </w:rPr>
      </w:pPr>
      <w:r w:rsidRPr="00BC3A42">
        <w:rPr>
          <w:rFonts w:eastAsia="Calibri"/>
          <w:sz w:val="26"/>
          <w:szCs w:val="26"/>
          <w:lang w:eastAsia="en-US"/>
        </w:rPr>
        <w:t xml:space="preserve">Biodīzeļdegviela bija pirmā biodegviela, kuru </w:t>
      </w:r>
      <w:r w:rsidR="00205676" w:rsidRPr="00BC3A42">
        <w:rPr>
          <w:rFonts w:eastAsia="Calibri"/>
          <w:sz w:val="26"/>
          <w:szCs w:val="26"/>
          <w:lang w:eastAsia="en-US"/>
        </w:rPr>
        <w:t>ES</w:t>
      </w:r>
      <w:r w:rsidRPr="00BC3A42">
        <w:rPr>
          <w:rFonts w:eastAsia="Calibri"/>
          <w:sz w:val="26"/>
          <w:szCs w:val="26"/>
          <w:lang w:eastAsia="en-US"/>
        </w:rPr>
        <w:t xml:space="preserve"> izstrādāja un izmantoja transporta nozarē 1990.gadā. Šobrīd </w:t>
      </w:r>
      <w:r w:rsidR="00205676" w:rsidRPr="00BC3A42">
        <w:rPr>
          <w:rFonts w:eastAsia="Calibri"/>
          <w:sz w:val="26"/>
          <w:szCs w:val="26"/>
          <w:lang w:eastAsia="en-US"/>
        </w:rPr>
        <w:t>ES</w:t>
      </w:r>
      <w:r w:rsidRPr="00BC3A42">
        <w:rPr>
          <w:rFonts w:eastAsia="Calibri"/>
          <w:sz w:val="26"/>
          <w:szCs w:val="26"/>
          <w:lang w:eastAsia="en-US"/>
        </w:rPr>
        <w:t xml:space="preserve"> ir pasaulē lielākais biodīzeļdegvielas ražotājs</w:t>
      </w:r>
      <w:r w:rsidR="00420BFC" w:rsidRPr="00BC3A42">
        <w:rPr>
          <w:rFonts w:eastAsia="Calibri"/>
          <w:sz w:val="26"/>
          <w:szCs w:val="26"/>
          <w:lang w:eastAsia="en-US"/>
        </w:rPr>
        <w:t xml:space="preserve">. </w:t>
      </w:r>
      <w:r w:rsidR="002007A6" w:rsidRPr="00BC3A42">
        <w:rPr>
          <w:rFonts w:eastAsia="Calibri"/>
          <w:sz w:val="26"/>
          <w:szCs w:val="26"/>
          <w:lang w:eastAsia="en-US"/>
        </w:rPr>
        <w:t xml:space="preserve">Biodīzeļdegviela šobrīd ir nozīmīgākā biodegviela </w:t>
      </w:r>
      <w:r w:rsidR="00205676" w:rsidRPr="00BC3A42">
        <w:rPr>
          <w:rFonts w:eastAsia="Calibri"/>
          <w:sz w:val="26"/>
          <w:szCs w:val="26"/>
          <w:lang w:eastAsia="en-US"/>
        </w:rPr>
        <w:t>ES</w:t>
      </w:r>
      <w:r w:rsidR="002007A6" w:rsidRPr="00BC3A42">
        <w:rPr>
          <w:rFonts w:eastAsia="Calibri"/>
          <w:sz w:val="26"/>
          <w:szCs w:val="26"/>
          <w:lang w:eastAsia="en-US"/>
        </w:rPr>
        <w:t xml:space="preserve"> un tā veido apmēram 75% no kopējā biodegvielu tirgus. </w:t>
      </w:r>
      <w:r w:rsidR="00C54A18" w:rsidRPr="00BC3A42">
        <w:rPr>
          <w:rFonts w:eastAsia="Calibri"/>
          <w:sz w:val="26"/>
          <w:szCs w:val="26"/>
          <w:lang w:eastAsia="en-US"/>
        </w:rPr>
        <w:t xml:space="preserve">No </w:t>
      </w:r>
      <w:r w:rsidR="007E2D4B" w:rsidRPr="00BC3A42">
        <w:rPr>
          <w:rFonts w:eastAsia="Calibri"/>
          <w:sz w:val="26"/>
          <w:szCs w:val="26"/>
          <w:lang w:eastAsia="en-US"/>
        </w:rPr>
        <w:t>4</w:t>
      </w:r>
      <w:r w:rsidR="002007A6" w:rsidRPr="00BC3A42">
        <w:rPr>
          <w:rFonts w:eastAsia="Calibri"/>
          <w:sz w:val="26"/>
          <w:szCs w:val="26"/>
          <w:lang w:eastAsia="en-US"/>
        </w:rPr>
        <w:t xml:space="preserve">.tabulā </w:t>
      </w:r>
      <w:r w:rsidR="00C54A18" w:rsidRPr="00BC3A42">
        <w:rPr>
          <w:rFonts w:eastAsia="Calibri"/>
          <w:sz w:val="26"/>
          <w:szCs w:val="26"/>
          <w:lang w:eastAsia="en-US"/>
        </w:rPr>
        <w:t xml:space="preserve">apkopotajiem datiem </w:t>
      </w:r>
      <w:r w:rsidR="002007A6" w:rsidRPr="00BC3A42">
        <w:rPr>
          <w:rFonts w:eastAsia="Calibri"/>
          <w:sz w:val="26"/>
          <w:szCs w:val="26"/>
          <w:lang w:eastAsia="en-US"/>
        </w:rPr>
        <w:t>redzams, ka biodīzeļdegvielas ražošanas apjoms līdz 2017.gadam ir sasniedzis 14 980 milj. litru, tomēr būtiski uzsvērt, ka pēdējos gados tas pieaudzis salīdzinoši maz.</w:t>
      </w:r>
      <w:r w:rsidR="00F813ED" w:rsidRPr="00BC3A42">
        <w:rPr>
          <w:rFonts w:eastAsia="Calibri"/>
          <w:sz w:val="26"/>
          <w:szCs w:val="26"/>
          <w:lang w:eastAsia="en-US"/>
        </w:rPr>
        <w:t xml:space="preserve"> Bioetanola ražošanas apjoms 2017.</w:t>
      </w:r>
      <w:r w:rsidR="00282E05" w:rsidRPr="00BC3A42">
        <w:rPr>
          <w:rFonts w:eastAsia="Calibri"/>
          <w:sz w:val="26"/>
          <w:szCs w:val="26"/>
          <w:lang w:eastAsia="en-US"/>
        </w:rPr>
        <w:t> </w:t>
      </w:r>
      <w:r w:rsidR="00F813ED" w:rsidRPr="00BC3A42">
        <w:rPr>
          <w:rFonts w:eastAsia="Calibri"/>
          <w:sz w:val="26"/>
          <w:szCs w:val="26"/>
          <w:lang w:eastAsia="en-US"/>
        </w:rPr>
        <w:t xml:space="preserve">gadā bija 6066 milj. litru. </w:t>
      </w:r>
    </w:p>
    <w:p w14:paraId="52902177" w14:textId="052C3ED0" w:rsidR="006D6260" w:rsidRPr="00BC3A42" w:rsidRDefault="007E2D4B" w:rsidP="004664A5">
      <w:pPr>
        <w:ind w:firstLine="567"/>
        <w:jc w:val="right"/>
        <w:rPr>
          <w:rFonts w:eastAsia="Calibri"/>
          <w:i/>
          <w:sz w:val="26"/>
          <w:szCs w:val="26"/>
          <w:lang w:eastAsia="en-US"/>
        </w:rPr>
      </w:pPr>
      <w:r w:rsidRPr="00BC3A42">
        <w:rPr>
          <w:rFonts w:eastAsia="Calibri"/>
          <w:i/>
          <w:sz w:val="26"/>
          <w:szCs w:val="26"/>
          <w:lang w:eastAsia="en-US"/>
        </w:rPr>
        <w:t>4</w:t>
      </w:r>
      <w:r w:rsidR="004664A5" w:rsidRPr="00BC3A42">
        <w:rPr>
          <w:rFonts w:eastAsia="Calibri"/>
          <w:i/>
          <w:sz w:val="26"/>
          <w:szCs w:val="26"/>
          <w:lang w:eastAsia="en-US"/>
        </w:rPr>
        <w:t>.tabula</w:t>
      </w:r>
    </w:p>
    <w:p w14:paraId="06924B42" w14:textId="0D726292" w:rsidR="00072034" w:rsidRPr="00BC3A42" w:rsidRDefault="00072034" w:rsidP="00072034">
      <w:pPr>
        <w:ind w:firstLine="567"/>
        <w:jc w:val="center"/>
        <w:rPr>
          <w:rFonts w:eastAsia="Calibri"/>
          <w:i/>
          <w:sz w:val="26"/>
          <w:szCs w:val="26"/>
          <w:lang w:eastAsia="en-US"/>
        </w:rPr>
      </w:pPr>
      <w:r w:rsidRPr="00BC3A42">
        <w:rPr>
          <w:rFonts w:eastAsia="Calibri"/>
          <w:b/>
          <w:sz w:val="26"/>
          <w:szCs w:val="26"/>
          <w:lang w:eastAsia="en-US"/>
        </w:rPr>
        <w:t>Biodīzeļdegvielas un HVO ražošanas un pieprasījuma izmaiņas ES, milj. litru</w:t>
      </w:r>
      <w:r w:rsidRPr="00BC3A42">
        <w:rPr>
          <w:rStyle w:val="FootnoteReference"/>
          <w:rFonts w:eastAsia="Calibri"/>
          <w:b/>
          <w:sz w:val="26"/>
          <w:szCs w:val="26"/>
          <w:lang w:eastAsia="en-US"/>
        </w:rPr>
        <w:footnoteReference w:id="15"/>
      </w:r>
    </w:p>
    <w:tbl>
      <w:tblPr>
        <w:tblW w:w="8935" w:type="dxa"/>
        <w:jc w:val="center"/>
        <w:tblLook w:val="04A0" w:firstRow="1" w:lastRow="0" w:firstColumn="1" w:lastColumn="0" w:noHBand="0" w:noVBand="1"/>
      </w:tblPr>
      <w:tblGrid>
        <w:gridCol w:w="3223"/>
        <w:gridCol w:w="816"/>
        <w:gridCol w:w="816"/>
        <w:gridCol w:w="816"/>
        <w:gridCol w:w="816"/>
        <w:gridCol w:w="816"/>
        <w:gridCol w:w="816"/>
        <w:gridCol w:w="816"/>
      </w:tblGrid>
      <w:tr w:rsidR="00291578" w:rsidRPr="00BC3A42" w14:paraId="0DB6205A" w14:textId="77777777" w:rsidTr="008B2DA3">
        <w:trPr>
          <w:trHeight w:val="380"/>
          <w:jc w:val="center"/>
        </w:trPr>
        <w:tc>
          <w:tcPr>
            <w:tcW w:w="3223"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hideMark/>
          </w:tcPr>
          <w:p w14:paraId="7E60C099" w14:textId="5CF7F6BC" w:rsidR="00291578" w:rsidRPr="00BC3A42" w:rsidRDefault="00291578" w:rsidP="008B2DA3">
            <w:pPr>
              <w:rPr>
                <w:b/>
                <w:sz w:val="20"/>
                <w:szCs w:val="20"/>
              </w:rPr>
            </w:pP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0C99CC6" w14:textId="77777777" w:rsidR="00291578" w:rsidRPr="00BC3A42" w:rsidRDefault="00291578" w:rsidP="00072034">
            <w:pPr>
              <w:jc w:val="center"/>
              <w:rPr>
                <w:b/>
                <w:sz w:val="20"/>
                <w:szCs w:val="20"/>
              </w:rPr>
            </w:pPr>
            <w:r w:rsidRPr="00BC3A42">
              <w:rPr>
                <w:b/>
                <w:sz w:val="20"/>
                <w:szCs w:val="20"/>
              </w:rPr>
              <w:t>2011</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190470D" w14:textId="77777777" w:rsidR="00291578" w:rsidRPr="00BC3A42" w:rsidRDefault="00291578" w:rsidP="00072034">
            <w:pPr>
              <w:jc w:val="center"/>
              <w:rPr>
                <w:b/>
                <w:sz w:val="20"/>
                <w:szCs w:val="20"/>
              </w:rPr>
            </w:pPr>
            <w:r w:rsidRPr="00BC3A42">
              <w:rPr>
                <w:b/>
                <w:sz w:val="20"/>
                <w:szCs w:val="20"/>
              </w:rPr>
              <w:t>2012</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7027F83" w14:textId="77777777" w:rsidR="00291578" w:rsidRPr="00BC3A42" w:rsidRDefault="00291578" w:rsidP="00072034">
            <w:pPr>
              <w:jc w:val="center"/>
              <w:rPr>
                <w:b/>
                <w:sz w:val="20"/>
                <w:szCs w:val="20"/>
              </w:rPr>
            </w:pPr>
            <w:r w:rsidRPr="00BC3A42">
              <w:rPr>
                <w:b/>
                <w:sz w:val="20"/>
                <w:szCs w:val="20"/>
              </w:rPr>
              <w:t>2013</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5E28A80" w14:textId="77777777" w:rsidR="00291578" w:rsidRPr="00BC3A42" w:rsidRDefault="00291578" w:rsidP="00072034">
            <w:pPr>
              <w:jc w:val="center"/>
              <w:rPr>
                <w:b/>
                <w:sz w:val="20"/>
                <w:szCs w:val="20"/>
              </w:rPr>
            </w:pPr>
            <w:r w:rsidRPr="00BC3A42">
              <w:rPr>
                <w:b/>
                <w:sz w:val="20"/>
                <w:szCs w:val="20"/>
              </w:rPr>
              <w:t>2014</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EE81608" w14:textId="77777777" w:rsidR="00291578" w:rsidRPr="00BC3A42" w:rsidRDefault="00291578" w:rsidP="00072034">
            <w:pPr>
              <w:jc w:val="center"/>
              <w:rPr>
                <w:b/>
                <w:sz w:val="20"/>
                <w:szCs w:val="20"/>
              </w:rPr>
            </w:pPr>
            <w:r w:rsidRPr="00BC3A42">
              <w:rPr>
                <w:b/>
                <w:sz w:val="20"/>
                <w:szCs w:val="20"/>
              </w:rPr>
              <w:t>2015</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8A22054" w14:textId="77777777" w:rsidR="00291578" w:rsidRPr="00BC3A42" w:rsidRDefault="00291578" w:rsidP="00072034">
            <w:pPr>
              <w:jc w:val="center"/>
              <w:rPr>
                <w:b/>
                <w:sz w:val="20"/>
                <w:szCs w:val="20"/>
              </w:rPr>
            </w:pPr>
            <w:r w:rsidRPr="00BC3A42">
              <w:rPr>
                <w:b/>
                <w:sz w:val="20"/>
                <w:szCs w:val="20"/>
              </w:rPr>
              <w:t>2016</w:t>
            </w:r>
          </w:p>
        </w:tc>
        <w:tc>
          <w:tcPr>
            <w:tcW w:w="816"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EBEEDD0" w14:textId="77777777" w:rsidR="00291578" w:rsidRPr="00BC3A42" w:rsidRDefault="00291578" w:rsidP="00072034">
            <w:pPr>
              <w:jc w:val="center"/>
              <w:rPr>
                <w:b/>
                <w:sz w:val="20"/>
                <w:szCs w:val="20"/>
              </w:rPr>
            </w:pPr>
            <w:r w:rsidRPr="00BC3A42">
              <w:rPr>
                <w:b/>
                <w:sz w:val="20"/>
                <w:szCs w:val="20"/>
              </w:rPr>
              <w:t>2017</w:t>
            </w:r>
          </w:p>
        </w:tc>
      </w:tr>
      <w:tr w:rsidR="004C7420" w:rsidRPr="00BC3A42" w14:paraId="36C3A970" w14:textId="77777777" w:rsidTr="008B2DA3">
        <w:trPr>
          <w:trHeight w:val="380"/>
          <w:jc w:val="center"/>
        </w:trPr>
        <w:tc>
          <w:tcPr>
            <w:tcW w:w="3223" w:type="dxa"/>
            <w:tcBorders>
              <w:top w:val="nil"/>
              <w:left w:val="single" w:sz="8" w:space="0" w:color="auto"/>
              <w:bottom w:val="single" w:sz="4" w:space="0" w:color="auto"/>
              <w:right w:val="single" w:sz="8" w:space="0" w:color="auto"/>
            </w:tcBorders>
            <w:shd w:val="clear" w:color="auto" w:fill="FFFFFF" w:themeFill="background1"/>
            <w:noWrap/>
            <w:vAlign w:val="center"/>
          </w:tcPr>
          <w:p w14:paraId="1F03E3BB" w14:textId="77777777" w:rsidR="004C7420" w:rsidRPr="00BC3A42" w:rsidRDefault="004C7420" w:rsidP="008B2DA3">
            <w:pPr>
              <w:rPr>
                <w:sz w:val="20"/>
                <w:szCs w:val="20"/>
              </w:rPr>
            </w:pPr>
            <w:r w:rsidRPr="00BC3A42">
              <w:rPr>
                <w:sz w:val="20"/>
                <w:szCs w:val="20"/>
              </w:rPr>
              <w:t>Biodīzeļdegviela:</w:t>
            </w:r>
          </w:p>
        </w:tc>
        <w:tc>
          <w:tcPr>
            <w:tcW w:w="816" w:type="dxa"/>
            <w:tcBorders>
              <w:top w:val="nil"/>
              <w:left w:val="nil"/>
              <w:bottom w:val="single" w:sz="4" w:space="0" w:color="auto"/>
              <w:right w:val="single" w:sz="4" w:space="0" w:color="auto"/>
            </w:tcBorders>
            <w:shd w:val="clear" w:color="auto" w:fill="auto"/>
            <w:noWrap/>
            <w:vAlign w:val="center"/>
          </w:tcPr>
          <w:p w14:paraId="734437E6"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1B2170E3"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6CF47187"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78B449AA"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377B0841"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05F86515" w14:textId="77777777" w:rsidR="004C7420" w:rsidRPr="00BC3A42" w:rsidRDefault="004C7420" w:rsidP="008B2DA3">
            <w:pPr>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254A8456" w14:textId="77777777" w:rsidR="004C7420" w:rsidRPr="00BC3A42" w:rsidRDefault="004C7420" w:rsidP="008B2DA3">
            <w:pPr>
              <w:rPr>
                <w:sz w:val="20"/>
                <w:szCs w:val="20"/>
              </w:rPr>
            </w:pPr>
          </w:p>
        </w:tc>
      </w:tr>
      <w:tr w:rsidR="00291578" w:rsidRPr="00BC3A42" w14:paraId="6BE3CB6F" w14:textId="77777777" w:rsidTr="008B2DA3">
        <w:trPr>
          <w:trHeight w:val="380"/>
          <w:jc w:val="center"/>
        </w:trPr>
        <w:tc>
          <w:tcPr>
            <w:tcW w:w="32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B48117F" w14:textId="6CE230EA" w:rsidR="00B975A6" w:rsidRPr="00BC3A42" w:rsidRDefault="0046208F" w:rsidP="008B2DA3">
            <w:pPr>
              <w:rPr>
                <w:i/>
                <w:sz w:val="20"/>
                <w:szCs w:val="20"/>
              </w:rPr>
            </w:pPr>
            <w:r w:rsidRPr="00BC3A42">
              <w:rPr>
                <w:i/>
                <w:sz w:val="20"/>
                <w:szCs w:val="20"/>
              </w:rPr>
              <w:t xml:space="preserve">         </w:t>
            </w:r>
            <w:r w:rsidR="005C6676" w:rsidRPr="00BC3A42">
              <w:rPr>
                <w:i/>
                <w:sz w:val="20"/>
                <w:szCs w:val="20"/>
              </w:rPr>
              <w:t>R</w:t>
            </w:r>
            <w:r w:rsidR="00B975A6" w:rsidRPr="00BC3A42">
              <w:rPr>
                <w:i/>
                <w:sz w:val="20"/>
                <w:szCs w:val="20"/>
              </w:rPr>
              <w:t>ažošanas apjoms</w:t>
            </w:r>
          </w:p>
        </w:tc>
        <w:tc>
          <w:tcPr>
            <w:tcW w:w="816" w:type="dxa"/>
            <w:tcBorders>
              <w:top w:val="nil"/>
              <w:left w:val="nil"/>
              <w:bottom w:val="single" w:sz="4" w:space="0" w:color="auto"/>
              <w:right w:val="single" w:sz="4" w:space="0" w:color="auto"/>
            </w:tcBorders>
            <w:shd w:val="clear" w:color="auto" w:fill="auto"/>
            <w:noWrap/>
            <w:vAlign w:val="center"/>
            <w:hideMark/>
          </w:tcPr>
          <w:p w14:paraId="66D3E683" w14:textId="77777777" w:rsidR="00291578" w:rsidRPr="00BC3A42" w:rsidRDefault="00291578" w:rsidP="008B2DA3">
            <w:pPr>
              <w:rPr>
                <w:sz w:val="20"/>
                <w:szCs w:val="20"/>
              </w:rPr>
            </w:pPr>
            <w:r w:rsidRPr="00BC3A42">
              <w:rPr>
                <w:sz w:val="20"/>
                <w:szCs w:val="20"/>
              </w:rPr>
              <w:t>11475</w:t>
            </w:r>
          </w:p>
        </w:tc>
        <w:tc>
          <w:tcPr>
            <w:tcW w:w="816" w:type="dxa"/>
            <w:tcBorders>
              <w:top w:val="nil"/>
              <w:left w:val="nil"/>
              <w:bottom w:val="single" w:sz="4" w:space="0" w:color="auto"/>
              <w:right w:val="single" w:sz="4" w:space="0" w:color="auto"/>
            </w:tcBorders>
            <w:shd w:val="clear" w:color="auto" w:fill="auto"/>
            <w:noWrap/>
            <w:vAlign w:val="center"/>
            <w:hideMark/>
          </w:tcPr>
          <w:p w14:paraId="6A3F2453" w14:textId="77777777" w:rsidR="00291578" w:rsidRPr="00BC3A42" w:rsidRDefault="00291578" w:rsidP="008B2DA3">
            <w:pPr>
              <w:rPr>
                <w:sz w:val="20"/>
                <w:szCs w:val="20"/>
              </w:rPr>
            </w:pPr>
            <w:r w:rsidRPr="00BC3A42">
              <w:rPr>
                <w:sz w:val="20"/>
                <w:szCs w:val="20"/>
              </w:rPr>
              <w:t>11382</w:t>
            </w:r>
          </w:p>
        </w:tc>
        <w:tc>
          <w:tcPr>
            <w:tcW w:w="816" w:type="dxa"/>
            <w:tcBorders>
              <w:top w:val="nil"/>
              <w:left w:val="nil"/>
              <w:bottom w:val="single" w:sz="4" w:space="0" w:color="auto"/>
              <w:right w:val="single" w:sz="4" w:space="0" w:color="auto"/>
            </w:tcBorders>
            <w:shd w:val="clear" w:color="auto" w:fill="auto"/>
            <w:noWrap/>
            <w:vAlign w:val="center"/>
            <w:hideMark/>
          </w:tcPr>
          <w:p w14:paraId="13618435" w14:textId="77777777" w:rsidR="00291578" w:rsidRPr="00BC3A42" w:rsidRDefault="00291578" w:rsidP="008B2DA3">
            <w:pPr>
              <w:rPr>
                <w:sz w:val="20"/>
                <w:szCs w:val="20"/>
              </w:rPr>
            </w:pPr>
            <w:r w:rsidRPr="00BC3A42">
              <w:rPr>
                <w:sz w:val="20"/>
                <w:szCs w:val="20"/>
              </w:rPr>
              <w:t>12014</w:t>
            </w:r>
          </w:p>
        </w:tc>
        <w:tc>
          <w:tcPr>
            <w:tcW w:w="816" w:type="dxa"/>
            <w:tcBorders>
              <w:top w:val="nil"/>
              <w:left w:val="nil"/>
              <w:bottom w:val="single" w:sz="4" w:space="0" w:color="auto"/>
              <w:right w:val="single" w:sz="4" w:space="0" w:color="auto"/>
            </w:tcBorders>
            <w:shd w:val="clear" w:color="auto" w:fill="auto"/>
            <w:noWrap/>
            <w:vAlign w:val="center"/>
            <w:hideMark/>
          </w:tcPr>
          <w:p w14:paraId="1F19A8FE" w14:textId="77777777" w:rsidR="00291578" w:rsidRPr="00BC3A42" w:rsidRDefault="00291578" w:rsidP="008B2DA3">
            <w:pPr>
              <w:rPr>
                <w:sz w:val="20"/>
                <w:szCs w:val="20"/>
              </w:rPr>
            </w:pPr>
            <w:r w:rsidRPr="00BC3A42">
              <w:rPr>
                <w:sz w:val="20"/>
                <w:szCs w:val="20"/>
              </w:rPr>
              <w:t>13765</w:t>
            </w:r>
          </w:p>
        </w:tc>
        <w:tc>
          <w:tcPr>
            <w:tcW w:w="816" w:type="dxa"/>
            <w:tcBorders>
              <w:top w:val="nil"/>
              <w:left w:val="nil"/>
              <w:bottom w:val="single" w:sz="4" w:space="0" w:color="auto"/>
              <w:right w:val="single" w:sz="4" w:space="0" w:color="auto"/>
            </w:tcBorders>
            <w:shd w:val="clear" w:color="auto" w:fill="auto"/>
            <w:noWrap/>
            <w:vAlign w:val="center"/>
            <w:hideMark/>
          </w:tcPr>
          <w:p w14:paraId="3674D38B" w14:textId="77777777" w:rsidR="00291578" w:rsidRPr="00BC3A42" w:rsidRDefault="00291578" w:rsidP="008B2DA3">
            <w:pPr>
              <w:rPr>
                <w:sz w:val="20"/>
                <w:szCs w:val="20"/>
              </w:rPr>
            </w:pPr>
            <w:r w:rsidRPr="00BC3A42">
              <w:rPr>
                <w:sz w:val="20"/>
                <w:szCs w:val="20"/>
              </w:rPr>
              <w:t>14385</w:t>
            </w:r>
          </w:p>
        </w:tc>
        <w:tc>
          <w:tcPr>
            <w:tcW w:w="816" w:type="dxa"/>
            <w:tcBorders>
              <w:top w:val="nil"/>
              <w:left w:val="nil"/>
              <w:bottom w:val="single" w:sz="4" w:space="0" w:color="auto"/>
              <w:right w:val="single" w:sz="4" w:space="0" w:color="auto"/>
            </w:tcBorders>
            <w:shd w:val="clear" w:color="auto" w:fill="auto"/>
            <w:noWrap/>
            <w:vAlign w:val="center"/>
            <w:hideMark/>
          </w:tcPr>
          <w:p w14:paraId="3AE448F9" w14:textId="77777777" w:rsidR="00291578" w:rsidRPr="00BC3A42" w:rsidRDefault="00291578" w:rsidP="008B2DA3">
            <w:pPr>
              <w:rPr>
                <w:sz w:val="20"/>
                <w:szCs w:val="20"/>
              </w:rPr>
            </w:pPr>
            <w:r w:rsidRPr="00BC3A42">
              <w:rPr>
                <w:sz w:val="20"/>
                <w:szCs w:val="20"/>
              </w:rPr>
              <w:t>14263</w:t>
            </w:r>
          </w:p>
        </w:tc>
        <w:tc>
          <w:tcPr>
            <w:tcW w:w="816" w:type="dxa"/>
            <w:tcBorders>
              <w:top w:val="nil"/>
              <w:left w:val="nil"/>
              <w:bottom w:val="single" w:sz="4" w:space="0" w:color="auto"/>
              <w:right w:val="single" w:sz="4" w:space="0" w:color="auto"/>
            </w:tcBorders>
            <w:shd w:val="clear" w:color="auto" w:fill="auto"/>
            <w:noWrap/>
            <w:vAlign w:val="center"/>
            <w:hideMark/>
          </w:tcPr>
          <w:p w14:paraId="62D04B40" w14:textId="77777777" w:rsidR="00291578" w:rsidRPr="00BC3A42" w:rsidRDefault="00291578" w:rsidP="008B2DA3">
            <w:pPr>
              <w:rPr>
                <w:sz w:val="20"/>
                <w:szCs w:val="20"/>
              </w:rPr>
            </w:pPr>
            <w:r w:rsidRPr="00BC3A42">
              <w:rPr>
                <w:sz w:val="20"/>
                <w:szCs w:val="20"/>
              </w:rPr>
              <w:t>14980</w:t>
            </w:r>
          </w:p>
        </w:tc>
      </w:tr>
      <w:tr w:rsidR="00291578" w:rsidRPr="00BC3A42" w14:paraId="39882E6E" w14:textId="77777777" w:rsidTr="008B2DA3">
        <w:trPr>
          <w:trHeight w:val="380"/>
          <w:jc w:val="center"/>
        </w:trPr>
        <w:tc>
          <w:tcPr>
            <w:tcW w:w="32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D0064D3" w14:textId="1B70C674" w:rsidR="00291578" w:rsidRPr="00BC3A42" w:rsidRDefault="0046208F" w:rsidP="008B2DA3">
            <w:pPr>
              <w:rPr>
                <w:i/>
                <w:sz w:val="20"/>
                <w:szCs w:val="20"/>
              </w:rPr>
            </w:pPr>
            <w:r w:rsidRPr="00BC3A42">
              <w:rPr>
                <w:i/>
                <w:sz w:val="20"/>
                <w:szCs w:val="20"/>
              </w:rPr>
              <w:t xml:space="preserve">         </w:t>
            </w:r>
            <w:r w:rsidR="005C6676" w:rsidRPr="00BC3A42">
              <w:rPr>
                <w:i/>
                <w:sz w:val="20"/>
                <w:szCs w:val="20"/>
              </w:rPr>
              <w:t>Imports</w:t>
            </w:r>
          </w:p>
        </w:tc>
        <w:tc>
          <w:tcPr>
            <w:tcW w:w="816" w:type="dxa"/>
            <w:tcBorders>
              <w:top w:val="nil"/>
              <w:left w:val="nil"/>
              <w:bottom w:val="single" w:sz="4" w:space="0" w:color="auto"/>
              <w:right w:val="single" w:sz="4" w:space="0" w:color="auto"/>
            </w:tcBorders>
            <w:shd w:val="clear" w:color="auto" w:fill="auto"/>
            <w:noWrap/>
            <w:vAlign w:val="center"/>
            <w:hideMark/>
          </w:tcPr>
          <w:p w14:paraId="3328C41A" w14:textId="77777777" w:rsidR="00291578" w:rsidRPr="00BC3A42" w:rsidRDefault="00291578" w:rsidP="008B2DA3">
            <w:pPr>
              <w:rPr>
                <w:sz w:val="20"/>
                <w:szCs w:val="20"/>
              </w:rPr>
            </w:pPr>
            <w:r w:rsidRPr="00BC3A42">
              <w:rPr>
                <w:sz w:val="20"/>
                <w:szCs w:val="20"/>
              </w:rPr>
              <w:t>3031</w:t>
            </w:r>
          </w:p>
        </w:tc>
        <w:tc>
          <w:tcPr>
            <w:tcW w:w="816" w:type="dxa"/>
            <w:tcBorders>
              <w:top w:val="nil"/>
              <w:left w:val="nil"/>
              <w:bottom w:val="single" w:sz="4" w:space="0" w:color="auto"/>
              <w:right w:val="single" w:sz="4" w:space="0" w:color="auto"/>
            </w:tcBorders>
            <w:shd w:val="clear" w:color="auto" w:fill="auto"/>
            <w:noWrap/>
            <w:vAlign w:val="center"/>
            <w:hideMark/>
          </w:tcPr>
          <w:p w14:paraId="3DF7DDEE" w14:textId="77777777" w:rsidR="00291578" w:rsidRPr="00BC3A42" w:rsidRDefault="00291578" w:rsidP="008B2DA3">
            <w:pPr>
              <w:rPr>
                <w:sz w:val="20"/>
                <w:szCs w:val="20"/>
              </w:rPr>
            </w:pPr>
            <w:r w:rsidRPr="00BC3A42">
              <w:rPr>
                <w:sz w:val="20"/>
                <w:szCs w:val="20"/>
              </w:rPr>
              <w:t>3294</w:t>
            </w:r>
          </w:p>
        </w:tc>
        <w:tc>
          <w:tcPr>
            <w:tcW w:w="816" w:type="dxa"/>
            <w:tcBorders>
              <w:top w:val="nil"/>
              <w:left w:val="nil"/>
              <w:bottom w:val="single" w:sz="4" w:space="0" w:color="auto"/>
              <w:right w:val="single" w:sz="4" w:space="0" w:color="auto"/>
            </w:tcBorders>
            <w:shd w:val="clear" w:color="auto" w:fill="auto"/>
            <w:noWrap/>
            <w:vAlign w:val="center"/>
            <w:hideMark/>
          </w:tcPr>
          <w:p w14:paraId="6909CE0C" w14:textId="77777777" w:rsidR="00291578" w:rsidRPr="00BC3A42" w:rsidRDefault="00291578" w:rsidP="008B2DA3">
            <w:pPr>
              <w:rPr>
                <w:sz w:val="20"/>
                <w:szCs w:val="20"/>
              </w:rPr>
            </w:pPr>
            <w:r w:rsidRPr="00BC3A42">
              <w:rPr>
                <w:sz w:val="20"/>
                <w:szCs w:val="20"/>
              </w:rPr>
              <w:t>1392</w:t>
            </w:r>
          </w:p>
        </w:tc>
        <w:tc>
          <w:tcPr>
            <w:tcW w:w="816" w:type="dxa"/>
            <w:tcBorders>
              <w:top w:val="nil"/>
              <w:left w:val="nil"/>
              <w:bottom w:val="single" w:sz="4" w:space="0" w:color="auto"/>
              <w:right w:val="single" w:sz="4" w:space="0" w:color="auto"/>
            </w:tcBorders>
            <w:shd w:val="clear" w:color="auto" w:fill="auto"/>
            <w:noWrap/>
            <w:vAlign w:val="center"/>
            <w:hideMark/>
          </w:tcPr>
          <w:p w14:paraId="3832935A" w14:textId="77777777" w:rsidR="00291578" w:rsidRPr="00BC3A42" w:rsidRDefault="00291578" w:rsidP="008B2DA3">
            <w:pPr>
              <w:rPr>
                <w:sz w:val="20"/>
                <w:szCs w:val="20"/>
              </w:rPr>
            </w:pPr>
            <w:r w:rsidRPr="00BC3A42">
              <w:rPr>
                <w:sz w:val="20"/>
                <w:szCs w:val="20"/>
              </w:rPr>
              <w:t>631</w:t>
            </w:r>
          </w:p>
        </w:tc>
        <w:tc>
          <w:tcPr>
            <w:tcW w:w="816" w:type="dxa"/>
            <w:tcBorders>
              <w:top w:val="nil"/>
              <w:left w:val="nil"/>
              <w:bottom w:val="single" w:sz="4" w:space="0" w:color="auto"/>
              <w:right w:val="single" w:sz="4" w:space="0" w:color="auto"/>
            </w:tcBorders>
            <w:shd w:val="clear" w:color="auto" w:fill="auto"/>
            <w:noWrap/>
            <w:vAlign w:val="center"/>
            <w:hideMark/>
          </w:tcPr>
          <w:p w14:paraId="074BBA3E" w14:textId="77777777" w:rsidR="00291578" w:rsidRPr="00BC3A42" w:rsidRDefault="00291578" w:rsidP="008B2DA3">
            <w:pPr>
              <w:rPr>
                <w:sz w:val="20"/>
                <w:szCs w:val="20"/>
              </w:rPr>
            </w:pPr>
            <w:r w:rsidRPr="00BC3A42">
              <w:rPr>
                <w:sz w:val="20"/>
                <w:szCs w:val="20"/>
              </w:rPr>
              <w:t>540</w:t>
            </w:r>
          </w:p>
        </w:tc>
        <w:tc>
          <w:tcPr>
            <w:tcW w:w="816" w:type="dxa"/>
            <w:tcBorders>
              <w:top w:val="nil"/>
              <w:left w:val="nil"/>
              <w:bottom w:val="single" w:sz="4" w:space="0" w:color="auto"/>
              <w:right w:val="single" w:sz="4" w:space="0" w:color="auto"/>
            </w:tcBorders>
            <w:shd w:val="clear" w:color="auto" w:fill="auto"/>
            <w:noWrap/>
            <w:vAlign w:val="center"/>
            <w:hideMark/>
          </w:tcPr>
          <w:p w14:paraId="7F348821" w14:textId="77777777" w:rsidR="00291578" w:rsidRPr="00BC3A42" w:rsidRDefault="00291578" w:rsidP="008B2DA3">
            <w:pPr>
              <w:rPr>
                <w:sz w:val="20"/>
                <w:szCs w:val="20"/>
              </w:rPr>
            </w:pPr>
            <w:r w:rsidRPr="00BC3A42">
              <w:rPr>
                <w:sz w:val="20"/>
                <w:szCs w:val="20"/>
              </w:rPr>
              <w:t>580</w:t>
            </w:r>
          </w:p>
        </w:tc>
        <w:tc>
          <w:tcPr>
            <w:tcW w:w="816" w:type="dxa"/>
            <w:tcBorders>
              <w:top w:val="nil"/>
              <w:left w:val="nil"/>
              <w:bottom w:val="single" w:sz="4" w:space="0" w:color="auto"/>
              <w:right w:val="single" w:sz="4" w:space="0" w:color="auto"/>
            </w:tcBorders>
            <w:shd w:val="clear" w:color="auto" w:fill="auto"/>
            <w:noWrap/>
            <w:vAlign w:val="center"/>
            <w:hideMark/>
          </w:tcPr>
          <w:p w14:paraId="1D574F41" w14:textId="77777777" w:rsidR="00291578" w:rsidRPr="00BC3A42" w:rsidRDefault="00291578" w:rsidP="008B2DA3">
            <w:pPr>
              <w:rPr>
                <w:sz w:val="20"/>
                <w:szCs w:val="20"/>
              </w:rPr>
            </w:pPr>
            <w:r w:rsidRPr="00BC3A42">
              <w:rPr>
                <w:sz w:val="20"/>
                <w:szCs w:val="20"/>
              </w:rPr>
              <w:t>1352</w:t>
            </w:r>
          </w:p>
        </w:tc>
      </w:tr>
      <w:tr w:rsidR="00291578" w:rsidRPr="00BC3A42" w14:paraId="35177919" w14:textId="77777777" w:rsidTr="008B2DA3">
        <w:trPr>
          <w:trHeight w:val="380"/>
          <w:jc w:val="center"/>
        </w:trPr>
        <w:tc>
          <w:tcPr>
            <w:tcW w:w="32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86A062E" w14:textId="6C36119E" w:rsidR="00291578" w:rsidRPr="00BC3A42" w:rsidRDefault="0046208F" w:rsidP="008B2DA3">
            <w:pPr>
              <w:rPr>
                <w:i/>
                <w:sz w:val="20"/>
                <w:szCs w:val="20"/>
              </w:rPr>
            </w:pPr>
            <w:r w:rsidRPr="00BC3A42">
              <w:rPr>
                <w:i/>
                <w:sz w:val="20"/>
                <w:szCs w:val="20"/>
              </w:rPr>
              <w:t xml:space="preserve">         </w:t>
            </w:r>
            <w:r w:rsidR="005C6676" w:rsidRPr="00BC3A42">
              <w:rPr>
                <w:i/>
                <w:sz w:val="20"/>
                <w:szCs w:val="20"/>
              </w:rPr>
              <w:t>Patēriņš</w:t>
            </w:r>
          </w:p>
        </w:tc>
        <w:tc>
          <w:tcPr>
            <w:tcW w:w="816" w:type="dxa"/>
            <w:tcBorders>
              <w:top w:val="nil"/>
              <w:left w:val="nil"/>
              <w:bottom w:val="single" w:sz="4" w:space="0" w:color="auto"/>
              <w:right w:val="single" w:sz="4" w:space="0" w:color="auto"/>
            </w:tcBorders>
            <w:shd w:val="clear" w:color="auto" w:fill="auto"/>
            <w:noWrap/>
            <w:vAlign w:val="center"/>
            <w:hideMark/>
          </w:tcPr>
          <w:p w14:paraId="567BF2D8" w14:textId="77777777" w:rsidR="00291578" w:rsidRPr="00BC3A42" w:rsidRDefault="00291578" w:rsidP="008B2DA3">
            <w:pPr>
              <w:rPr>
                <w:sz w:val="20"/>
                <w:szCs w:val="20"/>
              </w:rPr>
            </w:pPr>
            <w:r w:rsidRPr="00BC3A42">
              <w:rPr>
                <w:sz w:val="20"/>
                <w:szCs w:val="20"/>
              </w:rPr>
              <w:t>14363</w:t>
            </w:r>
          </w:p>
        </w:tc>
        <w:tc>
          <w:tcPr>
            <w:tcW w:w="816" w:type="dxa"/>
            <w:tcBorders>
              <w:top w:val="nil"/>
              <w:left w:val="nil"/>
              <w:bottom w:val="single" w:sz="4" w:space="0" w:color="auto"/>
              <w:right w:val="single" w:sz="4" w:space="0" w:color="auto"/>
            </w:tcBorders>
            <w:shd w:val="clear" w:color="auto" w:fill="auto"/>
            <w:noWrap/>
            <w:vAlign w:val="center"/>
            <w:hideMark/>
          </w:tcPr>
          <w:p w14:paraId="6C202407" w14:textId="77777777" w:rsidR="00291578" w:rsidRPr="00BC3A42" w:rsidRDefault="00291578" w:rsidP="008B2DA3">
            <w:pPr>
              <w:rPr>
                <w:sz w:val="20"/>
                <w:szCs w:val="20"/>
              </w:rPr>
            </w:pPr>
            <w:r w:rsidRPr="00BC3A42">
              <w:rPr>
                <w:sz w:val="20"/>
                <w:szCs w:val="20"/>
              </w:rPr>
              <w:t>14556</w:t>
            </w:r>
          </w:p>
        </w:tc>
        <w:tc>
          <w:tcPr>
            <w:tcW w:w="816" w:type="dxa"/>
            <w:tcBorders>
              <w:top w:val="nil"/>
              <w:left w:val="nil"/>
              <w:bottom w:val="single" w:sz="4" w:space="0" w:color="auto"/>
              <w:right w:val="single" w:sz="4" w:space="0" w:color="auto"/>
            </w:tcBorders>
            <w:shd w:val="clear" w:color="auto" w:fill="auto"/>
            <w:noWrap/>
            <w:vAlign w:val="center"/>
            <w:hideMark/>
          </w:tcPr>
          <w:p w14:paraId="28131F66" w14:textId="77777777" w:rsidR="00291578" w:rsidRPr="00BC3A42" w:rsidRDefault="00291578" w:rsidP="008B2DA3">
            <w:pPr>
              <w:rPr>
                <w:sz w:val="20"/>
                <w:szCs w:val="20"/>
              </w:rPr>
            </w:pPr>
            <w:r w:rsidRPr="00BC3A42">
              <w:rPr>
                <w:sz w:val="20"/>
                <w:szCs w:val="20"/>
              </w:rPr>
              <w:t>13050</w:t>
            </w:r>
          </w:p>
        </w:tc>
        <w:tc>
          <w:tcPr>
            <w:tcW w:w="816" w:type="dxa"/>
            <w:tcBorders>
              <w:top w:val="nil"/>
              <w:left w:val="nil"/>
              <w:bottom w:val="single" w:sz="4" w:space="0" w:color="auto"/>
              <w:right w:val="single" w:sz="4" w:space="0" w:color="auto"/>
            </w:tcBorders>
            <w:shd w:val="clear" w:color="auto" w:fill="auto"/>
            <w:noWrap/>
            <w:vAlign w:val="center"/>
            <w:hideMark/>
          </w:tcPr>
          <w:p w14:paraId="00A85377" w14:textId="77777777" w:rsidR="00291578" w:rsidRPr="00BC3A42" w:rsidRDefault="00291578" w:rsidP="008B2DA3">
            <w:pPr>
              <w:rPr>
                <w:sz w:val="20"/>
                <w:szCs w:val="20"/>
              </w:rPr>
            </w:pPr>
            <w:r w:rsidRPr="00BC3A42">
              <w:rPr>
                <w:sz w:val="20"/>
                <w:szCs w:val="20"/>
              </w:rPr>
              <w:t>14170</w:t>
            </w:r>
          </w:p>
        </w:tc>
        <w:tc>
          <w:tcPr>
            <w:tcW w:w="816" w:type="dxa"/>
            <w:tcBorders>
              <w:top w:val="nil"/>
              <w:left w:val="nil"/>
              <w:bottom w:val="single" w:sz="4" w:space="0" w:color="auto"/>
              <w:right w:val="single" w:sz="4" w:space="0" w:color="auto"/>
            </w:tcBorders>
            <w:shd w:val="clear" w:color="auto" w:fill="auto"/>
            <w:noWrap/>
            <w:vAlign w:val="center"/>
            <w:hideMark/>
          </w:tcPr>
          <w:p w14:paraId="5496B3AD" w14:textId="77777777" w:rsidR="00291578" w:rsidRPr="00BC3A42" w:rsidRDefault="00291578" w:rsidP="008B2DA3">
            <w:pPr>
              <w:rPr>
                <w:sz w:val="20"/>
                <w:szCs w:val="20"/>
              </w:rPr>
            </w:pPr>
            <w:r w:rsidRPr="00BC3A42">
              <w:rPr>
                <w:sz w:val="20"/>
                <w:szCs w:val="20"/>
              </w:rPr>
              <w:t>14660</w:t>
            </w:r>
          </w:p>
        </w:tc>
        <w:tc>
          <w:tcPr>
            <w:tcW w:w="816" w:type="dxa"/>
            <w:tcBorders>
              <w:top w:val="nil"/>
              <w:left w:val="nil"/>
              <w:bottom w:val="single" w:sz="4" w:space="0" w:color="auto"/>
              <w:right w:val="single" w:sz="4" w:space="0" w:color="auto"/>
            </w:tcBorders>
            <w:shd w:val="clear" w:color="auto" w:fill="auto"/>
            <w:noWrap/>
            <w:vAlign w:val="center"/>
            <w:hideMark/>
          </w:tcPr>
          <w:p w14:paraId="3477DD93" w14:textId="77777777" w:rsidR="00291578" w:rsidRPr="00BC3A42" w:rsidRDefault="00291578" w:rsidP="008B2DA3">
            <w:pPr>
              <w:rPr>
                <w:sz w:val="20"/>
                <w:szCs w:val="20"/>
              </w:rPr>
            </w:pPr>
            <w:r w:rsidRPr="00BC3A42">
              <w:rPr>
                <w:sz w:val="20"/>
                <w:szCs w:val="20"/>
              </w:rPr>
              <w:t>1440</w:t>
            </w:r>
          </w:p>
        </w:tc>
        <w:tc>
          <w:tcPr>
            <w:tcW w:w="816" w:type="dxa"/>
            <w:tcBorders>
              <w:top w:val="nil"/>
              <w:left w:val="nil"/>
              <w:bottom w:val="single" w:sz="4" w:space="0" w:color="auto"/>
              <w:right w:val="single" w:sz="4" w:space="0" w:color="auto"/>
            </w:tcBorders>
            <w:shd w:val="clear" w:color="auto" w:fill="auto"/>
            <w:noWrap/>
            <w:vAlign w:val="center"/>
            <w:hideMark/>
          </w:tcPr>
          <w:p w14:paraId="757C1AA7" w14:textId="77777777" w:rsidR="00291578" w:rsidRPr="00BC3A42" w:rsidRDefault="00291578" w:rsidP="008B2DA3">
            <w:pPr>
              <w:rPr>
                <w:sz w:val="20"/>
                <w:szCs w:val="20"/>
              </w:rPr>
            </w:pPr>
            <w:r w:rsidRPr="00BC3A42">
              <w:rPr>
                <w:sz w:val="20"/>
                <w:szCs w:val="20"/>
              </w:rPr>
              <w:t>15548</w:t>
            </w:r>
          </w:p>
        </w:tc>
      </w:tr>
      <w:tr w:rsidR="004C7420" w:rsidRPr="00BC3A42" w14:paraId="18108CA0" w14:textId="77777777" w:rsidTr="008B2DA3">
        <w:trPr>
          <w:trHeight w:val="380"/>
          <w:jc w:val="center"/>
        </w:trPr>
        <w:tc>
          <w:tcPr>
            <w:tcW w:w="3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8D7472" w14:textId="77777777" w:rsidR="004C7420" w:rsidRPr="00BC3A42" w:rsidRDefault="004C7420" w:rsidP="008B2DA3">
            <w:pPr>
              <w:rPr>
                <w:sz w:val="20"/>
                <w:szCs w:val="20"/>
              </w:rPr>
            </w:pPr>
            <w:r w:rsidRPr="00BC3A42">
              <w:rPr>
                <w:sz w:val="20"/>
                <w:szCs w:val="20"/>
              </w:rPr>
              <w:t>Bioetanols:</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1461"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F9459"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ADC44"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116E9"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8CC5F"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4FB8" w14:textId="77777777" w:rsidR="004C7420" w:rsidRPr="00BC3A42" w:rsidRDefault="004C7420" w:rsidP="008B2DA3">
            <w:pP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45BE" w14:textId="77777777" w:rsidR="004C7420" w:rsidRPr="00BC3A42" w:rsidRDefault="004C7420" w:rsidP="008B2DA3">
            <w:pPr>
              <w:rPr>
                <w:sz w:val="20"/>
                <w:szCs w:val="20"/>
              </w:rPr>
            </w:pPr>
          </w:p>
        </w:tc>
      </w:tr>
      <w:tr w:rsidR="004C7420" w:rsidRPr="00BC3A42" w14:paraId="227EFAEA" w14:textId="77777777" w:rsidTr="008B2DA3">
        <w:trPr>
          <w:trHeight w:val="380"/>
          <w:jc w:val="center"/>
        </w:trPr>
        <w:tc>
          <w:tcPr>
            <w:tcW w:w="3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FA0AE" w14:textId="57C39855" w:rsidR="004C7420" w:rsidRPr="00BC3A42" w:rsidRDefault="0046208F" w:rsidP="008B2DA3">
            <w:pPr>
              <w:rPr>
                <w:i/>
                <w:sz w:val="20"/>
                <w:szCs w:val="20"/>
              </w:rPr>
            </w:pPr>
            <w:r w:rsidRPr="00BC3A42">
              <w:rPr>
                <w:i/>
                <w:sz w:val="20"/>
                <w:szCs w:val="20"/>
              </w:rPr>
              <w:t xml:space="preserve">         </w:t>
            </w:r>
            <w:r w:rsidR="004C7420" w:rsidRPr="00BC3A42">
              <w:rPr>
                <w:i/>
                <w:sz w:val="20"/>
                <w:szCs w:val="20"/>
              </w:rPr>
              <w:t>Ražošanas apjoms</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402C8" w14:textId="77777777" w:rsidR="004C7420" w:rsidRPr="00BC3A42" w:rsidRDefault="004C7420" w:rsidP="008B2DA3">
            <w:pPr>
              <w:rPr>
                <w:sz w:val="20"/>
                <w:szCs w:val="20"/>
              </w:rPr>
            </w:pPr>
            <w:r w:rsidRPr="00BC3A42">
              <w:rPr>
                <w:sz w:val="20"/>
                <w:szCs w:val="20"/>
              </w:rPr>
              <w:t>5170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AF1D" w14:textId="77777777" w:rsidR="004C7420" w:rsidRPr="00BC3A42" w:rsidRDefault="004C7420" w:rsidP="008B2DA3">
            <w:pPr>
              <w:rPr>
                <w:sz w:val="20"/>
                <w:szCs w:val="20"/>
              </w:rPr>
            </w:pPr>
            <w:r w:rsidRPr="00BC3A42">
              <w:rPr>
                <w:sz w:val="20"/>
                <w:szCs w:val="20"/>
              </w:rPr>
              <w:t>5348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9BA23" w14:textId="77777777" w:rsidR="004C7420" w:rsidRPr="00BC3A42" w:rsidRDefault="004C7420" w:rsidP="008B2DA3">
            <w:pPr>
              <w:rPr>
                <w:sz w:val="20"/>
                <w:szCs w:val="20"/>
              </w:rPr>
            </w:pPr>
            <w:r w:rsidRPr="00BC3A42">
              <w:rPr>
                <w:sz w:val="20"/>
                <w:szCs w:val="20"/>
              </w:rPr>
              <w:t>5741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698F3" w14:textId="77777777" w:rsidR="004C7420" w:rsidRPr="00BC3A42" w:rsidRDefault="004C7420" w:rsidP="008B2DA3">
            <w:pPr>
              <w:rPr>
                <w:sz w:val="20"/>
                <w:szCs w:val="20"/>
              </w:rPr>
            </w:pPr>
            <w:r w:rsidRPr="00BC3A42">
              <w:rPr>
                <w:sz w:val="20"/>
                <w:szCs w:val="20"/>
              </w:rPr>
              <w:t>5950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659A7" w14:textId="77777777" w:rsidR="004C7420" w:rsidRPr="00BC3A42" w:rsidRDefault="004C7420" w:rsidP="008B2DA3">
            <w:pPr>
              <w:rPr>
                <w:sz w:val="20"/>
                <w:szCs w:val="20"/>
              </w:rPr>
            </w:pPr>
            <w:r w:rsidRPr="00BC3A42">
              <w:rPr>
                <w:sz w:val="20"/>
                <w:szCs w:val="20"/>
              </w:rPr>
              <w:t>6080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A1810" w14:textId="77777777" w:rsidR="004C7420" w:rsidRPr="00BC3A42" w:rsidRDefault="004C7420" w:rsidP="008B2DA3">
            <w:pPr>
              <w:rPr>
                <w:sz w:val="20"/>
                <w:szCs w:val="20"/>
              </w:rPr>
            </w:pPr>
            <w:r w:rsidRPr="00BC3A42">
              <w:rPr>
                <w:sz w:val="20"/>
                <w:szCs w:val="20"/>
              </w:rPr>
              <w:t>5850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E0B8" w14:textId="77777777" w:rsidR="004C7420" w:rsidRPr="00BC3A42" w:rsidRDefault="004C7420" w:rsidP="008B2DA3">
            <w:pPr>
              <w:rPr>
                <w:sz w:val="20"/>
                <w:szCs w:val="20"/>
              </w:rPr>
            </w:pPr>
            <w:r w:rsidRPr="00BC3A42">
              <w:rPr>
                <w:sz w:val="20"/>
                <w:szCs w:val="20"/>
              </w:rPr>
              <w:t>6066</w:t>
            </w:r>
          </w:p>
        </w:tc>
      </w:tr>
      <w:tr w:rsidR="004C7420" w:rsidRPr="00BC3A42" w14:paraId="474879E8" w14:textId="77777777" w:rsidTr="008B2DA3">
        <w:trPr>
          <w:trHeight w:val="380"/>
          <w:jc w:val="center"/>
        </w:trPr>
        <w:tc>
          <w:tcPr>
            <w:tcW w:w="3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6CB773" w14:textId="05B7E354" w:rsidR="004C7420" w:rsidRPr="00BC3A42" w:rsidRDefault="0046208F" w:rsidP="008B2DA3">
            <w:pPr>
              <w:rPr>
                <w:i/>
                <w:sz w:val="20"/>
                <w:szCs w:val="20"/>
              </w:rPr>
            </w:pPr>
            <w:r w:rsidRPr="00BC3A42">
              <w:rPr>
                <w:i/>
                <w:sz w:val="20"/>
                <w:szCs w:val="20"/>
              </w:rPr>
              <w:t xml:space="preserve">         </w:t>
            </w:r>
            <w:r w:rsidR="004C7420" w:rsidRPr="00BC3A42">
              <w:rPr>
                <w:i/>
                <w:sz w:val="20"/>
                <w:szCs w:val="20"/>
              </w:rPr>
              <w:t>Imports</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6ABD0" w14:textId="77777777" w:rsidR="004C7420" w:rsidRPr="00BC3A42" w:rsidRDefault="004C7420" w:rsidP="008B2DA3">
            <w:pPr>
              <w:rPr>
                <w:sz w:val="20"/>
                <w:szCs w:val="20"/>
              </w:rPr>
            </w:pPr>
            <w:r w:rsidRPr="00BC3A42">
              <w:rPr>
                <w:sz w:val="20"/>
                <w:szCs w:val="20"/>
              </w:rPr>
              <w:t>1935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A4046" w14:textId="77777777" w:rsidR="004C7420" w:rsidRPr="00BC3A42" w:rsidRDefault="004C7420" w:rsidP="008B2DA3">
            <w:pPr>
              <w:rPr>
                <w:sz w:val="20"/>
                <w:szCs w:val="20"/>
              </w:rPr>
            </w:pPr>
            <w:r w:rsidRPr="00BC3A42">
              <w:rPr>
                <w:sz w:val="20"/>
                <w:szCs w:val="20"/>
              </w:rPr>
              <w:t>1536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0A50F" w14:textId="77777777" w:rsidR="004C7420" w:rsidRPr="00BC3A42" w:rsidRDefault="004C7420" w:rsidP="008B2DA3">
            <w:pPr>
              <w:rPr>
                <w:sz w:val="20"/>
                <w:szCs w:val="20"/>
              </w:rPr>
            </w:pPr>
            <w:r w:rsidRPr="00BC3A42">
              <w:rPr>
                <w:sz w:val="20"/>
                <w:szCs w:val="20"/>
              </w:rPr>
              <w:t>1245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8EC04" w14:textId="77777777" w:rsidR="004C7420" w:rsidRPr="00BC3A42" w:rsidRDefault="004C7420" w:rsidP="008B2DA3">
            <w:pPr>
              <w:rPr>
                <w:sz w:val="20"/>
                <w:szCs w:val="20"/>
              </w:rPr>
            </w:pPr>
            <w:r w:rsidRPr="00BC3A42">
              <w:rPr>
                <w:sz w:val="20"/>
                <w:szCs w:val="20"/>
              </w:rPr>
              <w:t>1068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33ECD" w14:textId="77777777" w:rsidR="004C7420" w:rsidRPr="00BC3A42" w:rsidRDefault="004C7420" w:rsidP="008B2DA3">
            <w:pPr>
              <w:rPr>
                <w:sz w:val="20"/>
                <w:szCs w:val="20"/>
              </w:rPr>
            </w:pPr>
            <w:r w:rsidRPr="00BC3A42">
              <w:rPr>
                <w:sz w:val="20"/>
                <w:szCs w:val="20"/>
              </w:rPr>
              <w:t>878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D2727" w14:textId="77777777" w:rsidR="004C7420" w:rsidRPr="00BC3A42" w:rsidRDefault="004C7420" w:rsidP="008B2DA3">
            <w:pPr>
              <w:rPr>
                <w:sz w:val="20"/>
                <w:szCs w:val="20"/>
              </w:rPr>
            </w:pPr>
            <w:r w:rsidRPr="00BC3A42">
              <w:rPr>
                <w:sz w:val="20"/>
                <w:szCs w:val="20"/>
              </w:rPr>
              <w:t>884</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AD34" w14:textId="77777777" w:rsidR="004C7420" w:rsidRPr="00BC3A42" w:rsidRDefault="004C7420" w:rsidP="008B2DA3">
            <w:pPr>
              <w:rPr>
                <w:sz w:val="20"/>
                <w:szCs w:val="20"/>
              </w:rPr>
            </w:pPr>
            <w:r w:rsidRPr="00BC3A42">
              <w:rPr>
                <w:sz w:val="20"/>
                <w:szCs w:val="20"/>
              </w:rPr>
              <w:t>859</w:t>
            </w:r>
          </w:p>
        </w:tc>
      </w:tr>
      <w:tr w:rsidR="004C7420" w:rsidRPr="00BC3A42" w14:paraId="38AA04BD" w14:textId="77777777" w:rsidTr="008B2DA3">
        <w:trPr>
          <w:trHeight w:val="380"/>
          <w:jc w:val="center"/>
        </w:trPr>
        <w:tc>
          <w:tcPr>
            <w:tcW w:w="32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9A734" w14:textId="04A02B43" w:rsidR="004C7420" w:rsidRPr="00BC3A42" w:rsidRDefault="0046208F" w:rsidP="008B2DA3">
            <w:pPr>
              <w:rPr>
                <w:i/>
                <w:sz w:val="20"/>
                <w:szCs w:val="20"/>
              </w:rPr>
            </w:pPr>
            <w:r w:rsidRPr="00BC3A42">
              <w:rPr>
                <w:i/>
                <w:sz w:val="20"/>
                <w:szCs w:val="20"/>
              </w:rPr>
              <w:t xml:space="preserve">         </w:t>
            </w:r>
            <w:r w:rsidR="004C7420" w:rsidRPr="00BC3A42">
              <w:rPr>
                <w:i/>
                <w:sz w:val="20"/>
                <w:szCs w:val="20"/>
              </w:rPr>
              <w:t>Patēriņš</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03B46" w14:textId="77777777" w:rsidR="004C7420" w:rsidRPr="00BC3A42" w:rsidRDefault="00F813ED" w:rsidP="008B2DA3">
            <w:pPr>
              <w:rPr>
                <w:sz w:val="20"/>
                <w:szCs w:val="20"/>
              </w:rPr>
            </w:pPr>
            <w:r w:rsidRPr="00BC3A42">
              <w:rPr>
                <w:sz w:val="20"/>
                <w:szCs w:val="20"/>
              </w:rPr>
              <w:t>7080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ECDEA" w14:textId="77777777" w:rsidR="004C7420" w:rsidRPr="00BC3A42" w:rsidRDefault="00F813ED" w:rsidP="008B2DA3">
            <w:pPr>
              <w:rPr>
                <w:sz w:val="20"/>
                <w:szCs w:val="20"/>
              </w:rPr>
            </w:pPr>
            <w:r w:rsidRPr="00BC3A42">
              <w:rPr>
                <w:sz w:val="20"/>
                <w:szCs w:val="20"/>
              </w:rPr>
              <w:t>6970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E498C" w14:textId="77777777" w:rsidR="004C7420" w:rsidRPr="00BC3A42" w:rsidRDefault="00F813ED" w:rsidP="008B2DA3">
            <w:pPr>
              <w:rPr>
                <w:sz w:val="20"/>
                <w:szCs w:val="20"/>
              </w:rPr>
            </w:pPr>
            <w:r w:rsidRPr="00BC3A42">
              <w:rPr>
                <w:sz w:val="20"/>
                <w:szCs w:val="20"/>
              </w:rPr>
              <w:t>6708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85AE6" w14:textId="77777777" w:rsidR="004C7420" w:rsidRPr="00BC3A42" w:rsidRDefault="00F813ED" w:rsidP="008B2DA3">
            <w:pPr>
              <w:rPr>
                <w:sz w:val="20"/>
                <w:szCs w:val="20"/>
              </w:rPr>
            </w:pPr>
            <w:r w:rsidRPr="00BC3A42">
              <w:rPr>
                <w:sz w:val="20"/>
                <w:szCs w:val="20"/>
              </w:rPr>
              <w:t>6739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3F7A1" w14:textId="77777777" w:rsidR="004C7420" w:rsidRPr="00BC3A42" w:rsidRDefault="00F813ED" w:rsidP="008B2DA3">
            <w:pPr>
              <w:rPr>
                <w:sz w:val="20"/>
                <w:szCs w:val="20"/>
              </w:rPr>
            </w:pPr>
            <w:r w:rsidRPr="00BC3A42">
              <w:rPr>
                <w:sz w:val="20"/>
                <w:szCs w:val="20"/>
              </w:rPr>
              <w:t>6907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FBFAA" w14:textId="77777777" w:rsidR="004C7420" w:rsidRPr="00BC3A42" w:rsidRDefault="00F813ED" w:rsidP="008B2DA3">
            <w:pPr>
              <w:rPr>
                <w:sz w:val="20"/>
                <w:szCs w:val="20"/>
              </w:rPr>
            </w:pPr>
            <w:r w:rsidRPr="00BC3A42">
              <w:rPr>
                <w:sz w:val="20"/>
                <w:szCs w:val="20"/>
              </w:rPr>
              <w:t>6566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D757" w14:textId="77777777" w:rsidR="004C7420" w:rsidRPr="00BC3A42" w:rsidRDefault="00F813ED" w:rsidP="008B2DA3">
            <w:pPr>
              <w:rPr>
                <w:sz w:val="20"/>
                <w:szCs w:val="20"/>
              </w:rPr>
            </w:pPr>
            <w:r w:rsidRPr="00BC3A42">
              <w:rPr>
                <w:sz w:val="20"/>
                <w:szCs w:val="20"/>
              </w:rPr>
              <w:t>6728</w:t>
            </w:r>
          </w:p>
        </w:tc>
      </w:tr>
    </w:tbl>
    <w:p w14:paraId="6D84A24C" w14:textId="77777777" w:rsidR="006D6260" w:rsidRPr="00BC3A42" w:rsidRDefault="0045714A" w:rsidP="008B2DA3">
      <w:pPr>
        <w:shd w:val="clear" w:color="auto" w:fill="FFFFFF" w:themeFill="background1"/>
        <w:ind w:firstLine="567"/>
        <w:jc w:val="both"/>
        <w:rPr>
          <w:rFonts w:eastAsia="Calibri"/>
          <w:sz w:val="26"/>
          <w:szCs w:val="26"/>
          <w:lang w:eastAsia="en-US"/>
        </w:rPr>
      </w:pPr>
      <w:r w:rsidRPr="00BC3A42">
        <w:rPr>
          <w:rFonts w:eastAsia="Calibri"/>
          <w:sz w:val="26"/>
          <w:szCs w:val="26"/>
          <w:lang w:eastAsia="en-US"/>
        </w:rPr>
        <w:t xml:space="preserve"> </w:t>
      </w:r>
    </w:p>
    <w:p w14:paraId="14531D12" w14:textId="050E70A7" w:rsidR="00597DB5" w:rsidRPr="00BC3A42" w:rsidRDefault="0046208F" w:rsidP="00282E05">
      <w:pPr>
        <w:ind w:firstLine="709"/>
        <w:jc w:val="both"/>
        <w:rPr>
          <w:rFonts w:eastAsia="Calibri"/>
          <w:sz w:val="26"/>
          <w:szCs w:val="26"/>
          <w:lang w:eastAsia="en-US"/>
        </w:rPr>
      </w:pPr>
      <w:r w:rsidRPr="00BC3A42">
        <w:rPr>
          <w:rFonts w:eastAsia="Calibri"/>
          <w:sz w:val="26"/>
          <w:szCs w:val="26"/>
          <w:lang w:eastAsia="en-US"/>
        </w:rPr>
        <w:t>ES</w:t>
      </w:r>
      <w:r w:rsidR="0054291D" w:rsidRPr="00BC3A42">
        <w:rPr>
          <w:rFonts w:eastAsia="Calibri"/>
          <w:sz w:val="26"/>
          <w:szCs w:val="26"/>
          <w:lang w:eastAsia="en-US"/>
        </w:rPr>
        <w:t xml:space="preserve"> </w:t>
      </w:r>
      <w:r w:rsidR="00282E05" w:rsidRPr="00BC3A42">
        <w:rPr>
          <w:rFonts w:eastAsia="Calibri"/>
          <w:sz w:val="26"/>
          <w:szCs w:val="26"/>
          <w:lang w:eastAsia="en-US"/>
        </w:rPr>
        <w:t xml:space="preserve">2011.gadā </w:t>
      </w:r>
      <w:r w:rsidR="0054291D" w:rsidRPr="00BC3A42">
        <w:rPr>
          <w:rFonts w:eastAsia="Calibri"/>
          <w:sz w:val="26"/>
          <w:szCs w:val="26"/>
          <w:lang w:eastAsia="en-US"/>
        </w:rPr>
        <w:t xml:space="preserve">bija 266 </w:t>
      </w:r>
      <w:r w:rsidR="002007A6" w:rsidRPr="00BC3A42">
        <w:rPr>
          <w:rFonts w:eastAsia="Calibri"/>
          <w:sz w:val="26"/>
          <w:szCs w:val="26"/>
          <w:lang w:eastAsia="en-US"/>
        </w:rPr>
        <w:t>biodīzeļdegvielas</w:t>
      </w:r>
      <w:r w:rsidR="0054291D" w:rsidRPr="00BC3A42">
        <w:rPr>
          <w:rFonts w:eastAsia="Calibri"/>
          <w:sz w:val="26"/>
          <w:szCs w:val="26"/>
          <w:lang w:eastAsia="en-US"/>
        </w:rPr>
        <w:t xml:space="preserve"> ražotnes, tomēr līdz 2017.gadam to skaits ir samazinājies līdz 190. </w:t>
      </w:r>
      <w:r w:rsidR="00F813ED" w:rsidRPr="00BC3A42">
        <w:rPr>
          <w:rFonts w:eastAsia="Calibri"/>
          <w:sz w:val="26"/>
          <w:szCs w:val="26"/>
          <w:lang w:eastAsia="en-US"/>
        </w:rPr>
        <w:t xml:space="preserve">Līdzīgi ir arī ar bioetanola ražotnēm, kuru skaits attiecīgajā periodā ir samazinājies no 68 līdz 55. </w:t>
      </w:r>
      <w:r w:rsidR="0054291D" w:rsidRPr="00BC3A42">
        <w:rPr>
          <w:rFonts w:eastAsia="Calibri"/>
          <w:sz w:val="26"/>
          <w:szCs w:val="26"/>
          <w:lang w:eastAsia="en-US"/>
        </w:rPr>
        <w:t>Tas</w:t>
      </w:r>
      <w:r w:rsidR="008B2DA3" w:rsidRPr="00BC3A42">
        <w:rPr>
          <w:rFonts w:eastAsia="Calibri"/>
          <w:sz w:val="26"/>
          <w:szCs w:val="26"/>
          <w:lang w:eastAsia="en-US"/>
        </w:rPr>
        <w:t>,</w:t>
      </w:r>
      <w:r w:rsidR="0054291D" w:rsidRPr="00BC3A42">
        <w:rPr>
          <w:rFonts w:eastAsia="Calibri"/>
          <w:sz w:val="26"/>
          <w:szCs w:val="26"/>
          <w:lang w:eastAsia="en-US"/>
        </w:rPr>
        <w:t xml:space="preserve"> iespējams</w:t>
      </w:r>
      <w:r w:rsidR="008B2DA3" w:rsidRPr="00BC3A42">
        <w:rPr>
          <w:rFonts w:eastAsia="Calibri"/>
          <w:sz w:val="26"/>
          <w:szCs w:val="26"/>
          <w:lang w:eastAsia="en-US"/>
        </w:rPr>
        <w:t>,</w:t>
      </w:r>
      <w:r w:rsidR="0054291D" w:rsidRPr="00BC3A42">
        <w:rPr>
          <w:rFonts w:eastAsia="Calibri"/>
          <w:sz w:val="26"/>
          <w:szCs w:val="26"/>
          <w:lang w:eastAsia="en-US"/>
        </w:rPr>
        <w:t xml:space="preserve"> ir bijis viens no galvenajiem iemesliem tam, ka b</w:t>
      </w:r>
      <w:r w:rsidR="002A7FD4" w:rsidRPr="00BC3A42">
        <w:rPr>
          <w:rFonts w:eastAsia="Calibri"/>
          <w:sz w:val="26"/>
          <w:szCs w:val="26"/>
          <w:lang w:eastAsia="en-US"/>
        </w:rPr>
        <w:t>iodīzeļdegvielas</w:t>
      </w:r>
      <w:r w:rsidR="00473B28" w:rsidRPr="00BC3A42">
        <w:rPr>
          <w:rFonts w:eastAsia="Calibri"/>
          <w:sz w:val="26"/>
          <w:szCs w:val="26"/>
          <w:lang w:eastAsia="en-US"/>
        </w:rPr>
        <w:t xml:space="preserve"> ražotņu vidējā noslodze </w:t>
      </w:r>
      <w:r w:rsidR="00282E05" w:rsidRPr="00BC3A42">
        <w:rPr>
          <w:rFonts w:eastAsia="Calibri"/>
          <w:sz w:val="26"/>
          <w:szCs w:val="26"/>
          <w:lang w:eastAsia="en-US"/>
        </w:rPr>
        <w:t>ES</w:t>
      </w:r>
      <w:r w:rsidR="00473B28" w:rsidRPr="00BC3A42">
        <w:rPr>
          <w:rFonts w:eastAsia="Calibri"/>
          <w:sz w:val="26"/>
          <w:szCs w:val="26"/>
          <w:lang w:eastAsia="en-US"/>
        </w:rPr>
        <w:t xml:space="preserve"> </w:t>
      </w:r>
      <w:r w:rsidR="0054291D" w:rsidRPr="00BC3A42">
        <w:rPr>
          <w:rFonts w:eastAsia="Calibri"/>
          <w:sz w:val="26"/>
          <w:szCs w:val="26"/>
          <w:lang w:eastAsia="en-US"/>
        </w:rPr>
        <w:t>2017.gadā sasniedza</w:t>
      </w:r>
      <w:r w:rsidR="00473B28" w:rsidRPr="00BC3A42">
        <w:rPr>
          <w:rFonts w:eastAsia="Calibri"/>
          <w:sz w:val="26"/>
          <w:szCs w:val="26"/>
          <w:lang w:eastAsia="en-US"/>
        </w:rPr>
        <w:t xml:space="preserve"> 59%</w:t>
      </w:r>
      <w:r w:rsidR="0054291D" w:rsidRPr="00BC3A42">
        <w:rPr>
          <w:rFonts w:eastAsia="Calibri"/>
          <w:sz w:val="26"/>
          <w:szCs w:val="26"/>
          <w:lang w:eastAsia="en-US"/>
        </w:rPr>
        <w:t>, salīdzinot ar 45% 2011.gadā</w:t>
      </w:r>
      <w:r w:rsidR="00F813ED" w:rsidRPr="00BC3A42">
        <w:rPr>
          <w:rFonts w:eastAsia="Calibri"/>
          <w:sz w:val="26"/>
          <w:szCs w:val="26"/>
          <w:lang w:eastAsia="en-US"/>
        </w:rPr>
        <w:t xml:space="preserve">. Savukārt bioetanola ražotņu vidējā noslodze </w:t>
      </w:r>
      <w:r w:rsidR="00282E05" w:rsidRPr="00BC3A42">
        <w:rPr>
          <w:rFonts w:eastAsia="Calibri"/>
          <w:sz w:val="26"/>
          <w:szCs w:val="26"/>
          <w:lang w:eastAsia="en-US"/>
        </w:rPr>
        <w:t>ES</w:t>
      </w:r>
      <w:r w:rsidR="00F813ED" w:rsidRPr="00BC3A42">
        <w:rPr>
          <w:rFonts w:eastAsia="Calibri"/>
          <w:sz w:val="26"/>
          <w:szCs w:val="26"/>
          <w:lang w:eastAsia="en-US"/>
        </w:rPr>
        <w:t xml:space="preserve"> 2017.gadā sasniedza 74%, salīdzinot ar 67% 2011.gadā. </w:t>
      </w:r>
      <w:r w:rsidR="0054291D" w:rsidRPr="00BC3A42">
        <w:rPr>
          <w:rFonts w:eastAsia="Calibri"/>
          <w:sz w:val="26"/>
          <w:szCs w:val="26"/>
          <w:lang w:eastAsia="en-US"/>
        </w:rPr>
        <w:t xml:space="preserve">Ņemot vērā, ka </w:t>
      </w:r>
      <w:r w:rsidR="00282E05" w:rsidRPr="00BC3A42">
        <w:rPr>
          <w:rFonts w:eastAsia="Calibri"/>
          <w:sz w:val="26"/>
          <w:szCs w:val="26"/>
          <w:lang w:eastAsia="en-US"/>
        </w:rPr>
        <w:t>ES</w:t>
      </w:r>
      <w:r w:rsidR="0054291D" w:rsidRPr="00BC3A42">
        <w:rPr>
          <w:rFonts w:eastAsia="Calibri"/>
          <w:sz w:val="26"/>
          <w:szCs w:val="26"/>
          <w:lang w:eastAsia="en-US"/>
        </w:rPr>
        <w:t xml:space="preserve"> vidējais AER īpatsvars transportā 2016.gadā</w:t>
      </w:r>
      <w:r w:rsidR="00537DD8" w:rsidRPr="00BC3A42">
        <w:rPr>
          <w:rStyle w:val="FootnoteReference"/>
          <w:rFonts w:eastAsia="Calibri"/>
          <w:sz w:val="26"/>
          <w:szCs w:val="26"/>
          <w:lang w:eastAsia="en-US"/>
        </w:rPr>
        <w:footnoteReference w:id="16"/>
      </w:r>
      <w:r w:rsidR="0054291D" w:rsidRPr="00BC3A42">
        <w:rPr>
          <w:rFonts w:eastAsia="Calibri"/>
          <w:sz w:val="26"/>
          <w:szCs w:val="26"/>
          <w:lang w:eastAsia="en-US"/>
        </w:rPr>
        <w:t xml:space="preserve"> bija 7,1%, kas ir virs </w:t>
      </w:r>
      <w:r w:rsidR="002A7FD4" w:rsidRPr="00BC3A42">
        <w:rPr>
          <w:rFonts w:eastAsia="Calibri"/>
          <w:sz w:val="26"/>
          <w:szCs w:val="26"/>
          <w:lang w:eastAsia="en-US"/>
        </w:rPr>
        <w:t xml:space="preserve">pirmās paaudzes biodegvielas lietojuma </w:t>
      </w:r>
      <w:r w:rsidR="0054291D" w:rsidRPr="00BC3A42">
        <w:rPr>
          <w:rFonts w:eastAsia="Calibri"/>
          <w:sz w:val="26"/>
          <w:szCs w:val="26"/>
          <w:lang w:eastAsia="en-US"/>
        </w:rPr>
        <w:t>ierobežojuma</w:t>
      </w:r>
      <w:r w:rsidR="00A5290E" w:rsidRPr="00BC3A42">
        <w:rPr>
          <w:rStyle w:val="FootnoteReference"/>
          <w:rFonts w:eastAsia="Calibri"/>
          <w:sz w:val="26"/>
          <w:szCs w:val="26"/>
          <w:lang w:eastAsia="en-US"/>
        </w:rPr>
        <w:footnoteReference w:id="17"/>
      </w:r>
      <w:r w:rsidR="00420BFC" w:rsidRPr="00BC3A42">
        <w:rPr>
          <w:rFonts w:eastAsia="Calibri"/>
          <w:sz w:val="26"/>
          <w:szCs w:val="26"/>
          <w:lang w:eastAsia="en-US"/>
        </w:rPr>
        <w:t xml:space="preserve"> (7%)</w:t>
      </w:r>
      <w:r w:rsidR="0054291D" w:rsidRPr="00BC3A42">
        <w:rPr>
          <w:rFonts w:eastAsia="Calibri"/>
          <w:sz w:val="26"/>
          <w:szCs w:val="26"/>
          <w:lang w:eastAsia="en-US"/>
        </w:rPr>
        <w:t xml:space="preserve">, </w:t>
      </w:r>
      <w:r w:rsidR="00491034" w:rsidRPr="00BC3A42">
        <w:rPr>
          <w:rFonts w:eastAsia="Calibri"/>
          <w:sz w:val="26"/>
          <w:szCs w:val="26"/>
          <w:lang w:eastAsia="en-US"/>
        </w:rPr>
        <w:t xml:space="preserve">no pirmās paaudzes izejvielām ražotas </w:t>
      </w:r>
      <w:r w:rsidR="0054291D" w:rsidRPr="00BC3A42">
        <w:rPr>
          <w:rFonts w:eastAsia="Calibri"/>
          <w:sz w:val="26"/>
          <w:szCs w:val="26"/>
          <w:lang w:eastAsia="en-US"/>
        </w:rPr>
        <w:t>biodīzeļdegvielas</w:t>
      </w:r>
      <w:r w:rsidR="00F813ED" w:rsidRPr="00BC3A42">
        <w:rPr>
          <w:rFonts w:eastAsia="Calibri"/>
          <w:sz w:val="26"/>
          <w:szCs w:val="26"/>
          <w:lang w:eastAsia="en-US"/>
        </w:rPr>
        <w:t xml:space="preserve"> un bioetanola</w:t>
      </w:r>
      <w:r w:rsidR="0054291D" w:rsidRPr="00BC3A42">
        <w:rPr>
          <w:rFonts w:eastAsia="Calibri"/>
          <w:sz w:val="26"/>
          <w:szCs w:val="26"/>
          <w:lang w:eastAsia="en-US"/>
        </w:rPr>
        <w:t xml:space="preserve"> apjoma būtiskam pieaugumam </w:t>
      </w:r>
      <w:r w:rsidR="00282E05" w:rsidRPr="00BC3A42">
        <w:rPr>
          <w:rFonts w:eastAsia="Calibri"/>
          <w:sz w:val="26"/>
          <w:szCs w:val="26"/>
          <w:lang w:eastAsia="en-US"/>
        </w:rPr>
        <w:t>ES</w:t>
      </w:r>
      <w:r w:rsidR="0054291D" w:rsidRPr="00BC3A42">
        <w:rPr>
          <w:rFonts w:eastAsia="Calibri"/>
          <w:sz w:val="26"/>
          <w:szCs w:val="26"/>
          <w:lang w:eastAsia="en-US"/>
        </w:rPr>
        <w:t xml:space="preserve"> nav pamata,</w:t>
      </w:r>
      <w:r w:rsidR="00420BFC" w:rsidRPr="00BC3A42">
        <w:rPr>
          <w:rFonts w:eastAsia="Calibri"/>
          <w:sz w:val="26"/>
          <w:szCs w:val="26"/>
          <w:lang w:eastAsia="en-US"/>
        </w:rPr>
        <w:t xml:space="preserve"> tomēr</w:t>
      </w:r>
      <w:r w:rsidR="0054291D" w:rsidRPr="00BC3A42">
        <w:rPr>
          <w:rFonts w:eastAsia="Calibri"/>
          <w:sz w:val="26"/>
          <w:szCs w:val="26"/>
          <w:lang w:eastAsia="en-US"/>
        </w:rPr>
        <w:t xml:space="preserve"> tas var pieaugt proporcionāli dīzeļdegvielas</w:t>
      </w:r>
      <w:r w:rsidR="00491034" w:rsidRPr="00BC3A42">
        <w:rPr>
          <w:rFonts w:eastAsia="Calibri"/>
          <w:sz w:val="26"/>
          <w:szCs w:val="26"/>
          <w:lang w:eastAsia="en-US"/>
        </w:rPr>
        <w:t xml:space="preserve"> un benzīna</w:t>
      </w:r>
      <w:r w:rsidR="0054291D" w:rsidRPr="00BC3A42">
        <w:rPr>
          <w:rFonts w:eastAsia="Calibri"/>
          <w:sz w:val="26"/>
          <w:szCs w:val="26"/>
          <w:lang w:eastAsia="en-US"/>
        </w:rPr>
        <w:t xml:space="preserve"> patēriņa</w:t>
      </w:r>
      <w:r w:rsidR="00420BFC" w:rsidRPr="00BC3A42">
        <w:rPr>
          <w:rFonts w:eastAsia="Calibri"/>
          <w:sz w:val="26"/>
          <w:szCs w:val="26"/>
          <w:lang w:eastAsia="en-US"/>
        </w:rPr>
        <w:t xml:space="preserve">m. </w:t>
      </w:r>
      <w:r w:rsidR="005C6676" w:rsidRPr="00BC3A42">
        <w:rPr>
          <w:rFonts w:eastAsia="Calibri"/>
          <w:sz w:val="26"/>
          <w:szCs w:val="26"/>
          <w:lang w:eastAsia="en-US"/>
        </w:rPr>
        <w:t xml:space="preserve">  </w:t>
      </w:r>
    </w:p>
    <w:p w14:paraId="538EFEE6" w14:textId="2FEC635D" w:rsidR="0054291D" w:rsidRPr="00BC3A42" w:rsidRDefault="00B818CE" w:rsidP="00282E05">
      <w:pPr>
        <w:ind w:firstLine="709"/>
        <w:jc w:val="both"/>
        <w:rPr>
          <w:rFonts w:eastAsia="Calibri"/>
          <w:sz w:val="26"/>
          <w:szCs w:val="26"/>
          <w:lang w:eastAsia="en-US"/>
        </w:rPr>
      </w:pPr>
      <w:r w:rsidRPr="00BC3A42">
        <w:rPr>
          <w:rFonts w:eastAsia="Calibri"/>
          <w:sz w:val="26"/>
          <w:szCs w:val="26"/>
          <w:lang w:eastAsia="en-US"/>
        </w:rPr>
        <w:t>B</w:t>
      </w:r>
      <w:r w:rsidR="00597DB5" w:rsidRPr="00BC3A42">
        <w:rPr>
          <w:rFonts w:eastAsia="Calibri"/>
          <w:sz w:val="26"/>
          <w:szCs w:val="26"/>
          <w:lang w:eastAsia="en-US"/>
        </w:rPr>
        <w:t>iodīzeļdegvielas</w:t>
      </w:r>
      <w:r w:rsidR="00491034" w:rsidRPr="00BC3A42">
        <w:rPr>
          <w:rFonts w:eastAsia="Calibri"/>
          <w:sz w:val="26"/>
          <w:szCs w:val="26"/>
          <w:lang w:eastAsia="en-US"/>
        </w:rPr>
        <w:t xml:space="preserve"> un bioetanola</w:t>
      </w:r>
      <w:r w:rsidR="00597DB5" w:rsidRPr="00BC3A42">
        <w:rPr>
          <w:rFonts w:eastAsia="Calibri"/>
          <w:sz w:val="26"/>
          <w:szCs w:val="26"/>
          <w:lang w:eastAsia="en-US"/>
        </w:rPr>
        <w:t xml:space="preserve"> ražotņu noslodze liecina, ka </w:t>
      </w:r>
      <w:r w:rsidR="00420BFC" w:rsidRPr="00BC3A42">
        <w:rPr>
          <w:rFonts w:eastAsia="Calibri"/>
          <w:sz w:val="26"/>
          <w:szCs w:val="26"/>
          <w:lang w:eastAsia="en-US"/>
        </w:rPr>
        <w:t>ES ir potenciāls, lai ražotu vairāk</w:t>
      </w:r>
      <w:r w:rsidR="00491034" w:rsidRPr="00BC3A42">
        <w:rPr>
          <w:rFonts w:eastAsia="Calibri"/>
          <w:sz w:val="26"/>
          <w:szCs w:val="26"/>
          <w:lang w:eastAsia="en-US"/>
        </w:rPr>
        <w:t xml:space="preserve"> šāda veida biodegvielas</w:t>
      </w:r>
      <w:r w:rsidR="00420BFC" w:rsidRPr="00BC3A42">
        <w:rPr>
          <w:rFonts w:eastAsia="Calibri"/>
          <w:sz w:val="26"/>
          <w:szCs w:val="26"/>
          <w:lang w:eastAsia="en-US"/>
        </w:rPr>
        <w:t>,</w:t>
      </w:r>
      <w:r w:rsidR="00597DB5" w:rsidRPr="00BC3A42">
        <w:rPr>
          <w:rFonts w:eastAsia="Calibri"/>
          <w:sz w:val="26"/>
          <w:szCs w:val="26"/>
          <w:lang w:eastAsia="en-US"/>
        </w:rPr>
        <w:t xml:space="preserve"> tomēr</w:t>
      </w:r>
      <w:r w:rsidR="00420BFC" w:rsidRPr="00BC3A42">
        <w:rPr>
          <w:rFonts w:eastAsia="Calibri"/>
          <w:sz w:val="26"/>
          <w:szCs w:val="26"/>
          <w:lang w:eastAsia="en-US"/>
        </w:rPr>
        <w:t xml:space="preserve"> daļa biodīzeļdegvielas</w:t>
      </w:r>
      <w:r w:rsidR="00491034" w:rsidRPr="00BC3A42">
        <w:rPr>
          <w:rFonts w:eastAsia="Calibri"/>
          <w:sz w:val="26"/>
          <w:szCs w:val="26"/>
          <w:lang w:eastAsia="en-US"/>
        </w:rPr>
        <w:t xml:space="preserve"> un bioetanola</w:t>
      </w:r>
      <w:r w:rsidR="00426120" w:rsidRPr="00BC3A42">
        <w:rPr>
          <w:rFonts w:eastAsia="Calibri"/>
          <w:sz w:val="26"/>
          <w:szCs w:val="26"/>
          <w:lang w:eastAsia="en-US"/>
        </w:rPr>
        <w:t xml:space="preserve"> ES</w:t>
      </w:r>
      <w:r w:rsidR="00420BFC" w:rsidRPr="00BC3A42">
        <w:rPr>
          <w:rFonts w:eastAsia="Calibri"/>
          <w:sz w:val="26"/>
          <w:szCs w:val="26"/>
          <w:lang w:eastAsia="en-US"/>
        </w:rPr>
        <w:t xml:space="preserve"> tiek importēta,</w:t>
      </w:r>
      <w:r w:rsidR="00597DB5" w:rsidRPr="00BC3A42">
        <w:rPr>
          <w:rFonts w:eastAsia="Calibri"/>
          <w:sz w:val="26"/>
          <w:szCs w:val="26"/>
          <w:lang w:eastAsia="en-US"/>
        </w:rPr>
        <w:t xml:space="preserve"> jo ārējos tirgos </w:t>
      </w:r>
      <w:r w:rsidR="00491034" w:rsidRPr="00BC3A42">
        <w:rPr>
          <w:rFonts w:eastAsia="Calibri"/>
          <w:sz w:val="26"/>
          <w:szCs w:val="26"/>
          <w:lang w:eastAsia="en-US"/>
        </w:rPr>
        <w:t>to</w:t>
      </w:r>
      <w:r w:rsidR="00597DB5" w:rsidRPr="00BC3A42">
        <w:rPr>
          <w:rFonts w:eastAsia="Calibri"/>
          <w:sz w:val="26"/>
          <w:szCs w:val="26"/>
          <w:lang w:eastAsia="en-US"/>
        </w:rPr>
        <w:t xml:space="preserve"> ražošana</w:t>
      </w:r>
      <w:r w:rsidR="00D54D3D" w:rsidRPr="00BC3A42">
        <w:rPr>
          <w:rFonts w:eastAsia="Calibri"/>
          <w:sz w:val="26"/>
          <w:szCs w:val="26"/>
          <w:lang w:eastAsia="en-US"/>
        </w:rPr>
        <w:t>s</w:t>
      </w:r>
      <w:r w:rsidR="00597DB5" w:rsidRPr="00BC3A42">
        <w:rPr>
          <w:rFonts w:eastAsia="Calibri"/>
          <w:sz w:val="26"/>
          <w:szCs w:val="26"/>
          <w:lang w:eastAsia="en-US"/>
        </w:rPr>
        <w:t xml:space="preserve"> i</w:t>
      </w:r>
      <w:r w:rsidR="00D54D3D" w:rsidRPr="00BC3A42">
        <w:rPr>
          <w:rFonts w:eastAsia="Calibri"/>
          <w:sz w:val="26"/>
          <w:szCs w:val="26"/>
          <w:lang w:eastAsia="en-US"/>
        </w:rPr>
        <w:t>zmaksas ir zemākas</w:t>
      </w:r>
      <w:r w:rsidR="00597DB5" w:rsidRPr="00BC3A42">
        <w:rPr>
          <w:rFonts w:eastAsia="Calibri"/>
          <w:sz w:val="26"/>
          <w:szCs w:val="26"/>
          <w:lang w:eastAsia="en-US"/>
        </w:rPr>
        <w:t xml:space="preserve">. Neskatoties uz to, biodīzeļdegvielas </w:t>
      </w:r>
      <w:r w:rsidR="00491034" w:rsidRPr="00BC3A42">
        <w:rPr>
          <w:rFonts w:eastAsia="Calibri"/>
          <w:sz w:val="26"/>
          <w:szCs w:val="26"/>
          <w:lang w:eastAsia="en-US"/>
        </w:rPr>
        <w:t xml:space="preserve">un bioetanola </w:t>
      </w:r>
      <w:r w:rsidR="00597DB5" w:rsidRPr="00BC3A42">
        <w:rPr>
          <w:rFonts w:eastAsia="Calibri"/>
          <w:sz w:val="26"/>
          <w:szCs w:val="26"/>
          <w:lang w:eastAsia="en-US"/>
        </w:rPr>
        <w:t>importa apjoms ES 2017.gadā salīdzinot ar 2011.gadu</w:t>
      </w:r>
      <w:r w:rsidR="00282E05" w:rsidRPr="00BC3A42">
        <w:rPr>
          <w:rFonts w:eastAsia="Calibri"/>
          <w:sz w:val="26"/>
          <w:szCs w:val="26"/>
          <w:lang w:eastAsia="en-US"/>
        </w:rPr>
        <w:t>,</w:t>
      </w:r>
      <w:r w:rsidR="00597DB5" w:rsidRPr="00BC3A42">
        <w:rPr>
          <w:rFonts w:eastAsia="Calibri"/>
          <w:sz w:val="26"/>
          <w:szCs w:val="26"/>
          <w:lang w:eastAsia="en-US"/>
        </w:rPr>
        <w:t xml:space="preserve"> ir samazinājies vairāk nekā uz pusi. ES galvenokārt </w:t>
      </w:r>
      <w:r w:rsidR="00491034" w:rsidRPr="00BC3A42">
        <w:rPr>
          <w:rFonts w:eastAsia="Calibri"/>
          <w:sz w:val="26"/>
          <w:szCs w:val="26"/>
          <w:lang w:eastAsia="en-US"/>
        </w:rPr>
        <w:t>šāda veida biodegvielas tiek importētas</w:t>
      </w:r>
      <w:r w:rsidR="00597DB5" w:rsidRPr="00BC3A42">
        <w:rPr>
          <w:rFonts w:eastAsia="Calibri"/>
          <w:sz w:val="26"/>
          <w:szCs w:val="26"/>
          <w:lang w:eastAsia="en-US"/>
        </w:rPr>
        <w:t xml:space="preserve"> no Argentīnas,</w:t>
      </w:r>
      <w:r w:rsidR="00722240" w:rsidRPr="00BC3A42">
        <w:rPr>
          <w:rFonts w:eastAsia="Calibri"/>
          <w:sz w:val="26"/>
          <w:szCs w:val="26"/>
          <w:lang w:eastAsia="en-US"/>
        </w:rPr>
        <w:t xml:space="preserve"> Indonēzijas,</w:t>
      </w:r>
      <w:r w:rsidR="004B481D" w:rsidRPr="00BC3A42">
        <w:rPr>
          <w:rFonts w:eastAsia="Calibri"/>
          <w:sz w:val="26"/>
          <w:szCs w:val="26"/>
          <w:lang w:eastAsia="en-US"/>
        </w:rPr>
        <w:t xml:space="preserve"> Ķīnas,</w:t>
      </w:r>
      <w:r w:rsidR="00597DB5" w:rsidRPr="00BC3A42">
        <w:rPr>
          <w:rFonts w:eastAsia="Calibri"/>
          <w:sz w:val="26"/>
          <w:szCs w:val="26"/>
          <w:lang w:eastAsia="en-US"/>
        </w:rPr>
        <w:t xml:space="preserve"> Malaizijas un ASV. </w:t>
      </w:r>
      <w:r w:rsidR="00722240" w:rsidRPr="00BC3A42">
        <w:rPr>
          <w:rFonts w:eastAsia="Calibri"/>
          <w:sz w:val="26"/>
          <w:szCs w:val="26"/>
          <w:lang w:eastAsia="en-US"/>
        </w:rPr>
        <w:t xml:space="preserve">Pēc Pasaules </w:t>
      </w:r>
      <w:r w:rsidR="00722240" w:rsidRPr="00BC3A42">
        <w:rPr>
          <w:rFonts w:eastAsia="Calibri"/>
          <w:sz w:val="26"/>
          <w:szCs w:val="26"/>
          <w:lang w:eastAsia="en-US"/>
        </w:rPr>
        <w:lastRenderedPageBreak/>
        <w:t xml:space="preserve">tirdzniecības organizācijas </w:t>
      </w:r>
      <w:r w:rsidR="00370F14" w:rsidRPr="00BC3A42">
        <w:rPr>
          <w:rFonts w:eastAsia="Calibri"/>
          <w:sz w:val="26"/>
          <w:szCs w:val="26"/>
          <w:lang w:eastAsia="en-US"/>
        </w:rPr>
        <w:t xml:space="preserve">ietvaros atrisinātā </w:t>
      </w:r>
      <w:r w:rsidR="00722240" w:rsidRPr="00BC3A42">
        <w:rPr>
          <w:rFonts w:eastAsia="Calibri"/>
          <w:sz w:val="26"/>
          <w:szCs w:val="26"/>
          <w:lang w:eastAsia="en-US"/>
        </w:rPr>
        <w:t>strīda par</w:t>
      </w:r>
      <w:r w:rsidR="00370F14" w:rsidRPr="00BC3A42">
        <w:rPr>
          <w:rFonts w:eastAsia="Calibri"/>
          <w:sz w:val="26"/>
          <w:szCs w:val="26"/>
          <w:lang w:eastAsia="en-US"/>
        </w:rPr>
        <w:t xml:space="preserve"> ES</w:t>
      </w:r>
      <w:r w:rsidR="00722240" w:rsidRPr="00BC3A42">
        <w:rPr>
          <w:rFonts w:eastAsia="Calibri"/>
          <w:sz w:val="26"/>
          <w:szCs w:val="26"/>
          <w:lang w:eastAsia="en-US"/>
        </w:rPr>
        <w:t xml:space="preserve"> biodīzeļdegvielas importu no Indonēzijas un Malaizijas tika veiktas zināmas izmaiņas</w:t>
      </w:r>
      <w:r w:rsidR="00370F14" w:rsidRPr="00BC3A42">
        <w:rPr>
          <w:rFonts w:eastAsia="Calibri"/>
          <w:sz w:val="26"/>
          <w:szCs w:val="26"/>
          <w:lang w:eastAsia="en-US"/>
        </w:rPr>
        <w:t xml:space="preserve"> ES</w:t>
      </w:r>
      <w:r w:rsidR="00722240" w:rsidRPr="00BC3A42">
        <w:rPr>
          <w:rFonts w:eastAsia="Calibri"/>
          <w:sz w:val="26"/>
          <w:szCs w:val="26"/>
          <w:lang w:eastAsia="en-US"/>
        </w:rPr>
        <w:t xml:space="preserve"> antidempinga maksājumos, kā rezultātā biodīzeļdegvielas imports ES 2017.gadā</w:t>
      </w:r>
      <w:r w:rsidR="0055130E" w:rsidRPr="00BC3A42">
        <w:rPr>
          <w:rFonts w:eastAsia="Calibri"/>
          <w:sz w:val="26"/>
          <w:szCs w:val="26"/>
          <w:lang w:eastAsia="en-US"/>
        </w:rPr>
        <w:t>,</w:t>
      </w:r>
      <w:r w:rsidR="00722240" w:rsidRPr="00BC3A42">
        <w:rPr>
          <w:rFonts w:eastAsia="Calibri"/>
          <w:sz w:val="26"/>
          <w:szCs w:val="26"/>
          <w:lang w:eastAsia="en-US"/>
        </w:rPr>
        <w:t xml:space="preserve"> salīdzinot ar 2016.gadu</w:t>
      </w:r>
      <w:r w:rsidR="0055130E" w:rsidRPr="00BC3A42">
        <w:rPr>
          <w:rFonts w:eastAsia="Calibri"/>
          <w:sz w:val="26"/>
          <w:szCs w:val="26"/>
          <w:lang w:eastAsia="en-US"/>
        </w:rPr>
        <w:t>,</w:t>
      </w:r>
      <w:r w:rsidR="00722240" w:rsidRPr="00BC3A42">
        <w:rPr>
          <w:rFonts w:eastAsia="Calibri"/>
          <w:sz w:val="26"/>
          <w:szCs w:val="26"/>
          <w:lang w:eastAsia="en-US"/>
        </w:rPr>
        <w:t xml:space="preserve"> ievērojami pieauga</w:t>
      </w:r>
      <w:r w:rsidR="00722240" w:rsidRPr="00BC3A42">
        <w:rPr>
          <w:rStyle w:val="FootnoteReference"/>
          <w:rFonts w:eastAsia="Calibri"/>
          <w:sz w:val="26"/>
          <w:szCs w:val="26"/>
          <w:lang w:eastAsia="en-US"/>
        </w:rPr>
        <w:footnoteReference w:id="18"/>
      </w:r>
      <w:r w:rsidR="00722240" w:rsidRPr="00BC3A42">
        <w:rPr>
          <w:rFonts w:eastAsia="Calibri"/>
          <w:sz w:val="26"/>
          <w:szCs w:val="26"/>
          <w:lang w:eastAsia="en-US"/>
        </w:rPr>
        <w:t>. Ņemot vērā, kas šādas izmaiņas negatīvi ietekmē ES biodīzeļdegvielas ražotājus, Eiropas Komisija 2019.gada pirmajā pusē varētu veikt izmaiņas antidempinga nosacījumos</w:t>
      </w:r>
      <w:r w:rsidR="00722240" w:rsidRPr="00BC3A42">
        <w:rPr>
          <w:rStyle w:val="FootnoteReference"/>
          <w:rFonts w:eastAsia="Calibri"/>
          <w:sz w:val="26"/>
          <w:szCs w:val="26"/>
          <w:lang w:eastAsia="en-US"/>
        </w:rPr>
        <w:footnoteReference w:id="19"/>
      </w:r>
      <w:r w:rsidR="00722240" w:rsidRPr="00BC3A42">
        <w:rPr>
          <w:rFonts w:eastAsia="Calibri"/>
          <w:sz w:val="26"/>
          <w:szCs w:val="26"/>
          <w:lang w:eastAsia="en-US"/>
        </w:rPr>
        <w:t>.</w:t>
      </w:r>
    </w:p>
    <w:p w14:paraId="2FD5A2B6" w14:textId="1AACAA86" w:rsidR="00D54D3D" w:rsidRPr="00BC3A42" w:rsidRDefault="00282E05" w:rsidP="00282E05">
      <w:pPr>
        <w:ind w:firstLine="709"/>
        <w:jc w:val="both"/>
        <w:rPr>
          <w:rFonts w:eastAsia="Calibri"/>
          <w:sz w:val="26"/>
          <w:szCs w:val="26"/>
          <w:lang w:eastAsia="en-US"/>
        </w:rPr>
      </w:pPr>
      <w:r w:rsidRPr="00BC3A42">
        <w:rPr>
          <w:rFonts w:eastAsia="Calibri"/>
          <w:sz w:val="26"/>
          <w:szCs w:val="26"/>
          <w:lang w:eastAsia="en-US"/>
        </w:rPr>
        <w:t>ES 2</w:t>
      </w:r>
      <w:r w:rsidR="00D54D3D" w:rsidRPr="00BC3A42">
        <w:rPr>
          <w:rFonts w:eastAsia="Calibri"/>
          <w:sz w:val="26"/>
          <w:szCs w:val="26"/>
          <w:lang w:eastAsia="en-US"/>
        </w:rPr>
        <w:t>017.</w:t>
      </w:r>
      <w:r w:rsidRPr="00BC3A42">
        <w:rPr>
          <w:rFonts w:eastAsia="Calibri"/>
          <w:sz w:val="26"/>
          <w:szCs w:val="26"/>
          <w:lang w:eastAsia="en-US"/>
        </w:rPr>
        <w:t> </w:t>
      </w:r>
      <w:r w:rsidR="00D54D3D" w:rsidRPr="00BC3A42">
        <w:rPr>
          <w:rFonts w:eastAsia="Calibri"/>
          <w:sz w:val="26"/>
          <w:szCs w:val="26"/>
          <w:lang w:eastAsia="en-US"/>
        </w:rPr>
        <w:t>gadā 45% no biodīzeļdegvielas tika saražota no rapšu sēklu eļļas, tomēr rapšu sēklu eļļa savu popularitāti zaudē</w:t>
      </w:r>
      <w:r w:rsidR="004B481D" w:rsidRPr="00BC3A42">
        <w:rPr>
          <w:rFonts w:eastAsia="Calibri"/>
          <w:sz w:val="26"/>
          <w:szCs w:val="26"/>
          <w:lang w:eastAsia="en-US"/>
        </w:rPr>
        <w:t>, jo tā ir mazāk konkurētspējīga</w:t>
      </w:r>
      <w:r w:rsidR="008B2DA3" w:rsidRPr="00BC3A42">
        <w:rPr>
          <w:rFonts w:eastAsia="Calibri"/>
          <w:sz w:val="26"/>
          <w:szCs w:val="26"/>
          <w:lang w:eastAsia="en-US"/>
        </w:rPr>
        <w:t>,</w:t>
      </w:r>
      <w:r w:rsidR="004B481D" w:rsidRPr="00BC3A42">
        <w:rPr>
          <w:rFonts w:eastAsia="Calibri"/>
          <w:sz w:val="26"/>
          <w:szCs w:val="26"/>
          <w:lang w:eastAsia="en-US"/>
        </w:rPr>
        <w:t xml:space="preserve"> salīdzinot ar biodīzeļdegvielu, kas iegūta no palmu eļļas vai sojas pupiņām. Papildus tam</w:t>
      </w:r>
      <w:r w:rsidR="00D54D3D" w:rsidRPr="00BC3A42">
        <w:rPr>
          <w:rFonts w:eastAsia="Calibri"/>
          <w:sz w:val="26"/>
          <w:szCs w:val="26"/>
          <w:lang w:eastAsia="en-US"/>
        </w:rPr>
        <w:t xml:space="preserve"> dubultās uzskaites privilēģijas</w:t>
      </w:r>
      <w:r w:rsidR="00A5290E" w:rsidRPr="00BC3A42">
        <w:rPr>
          <w:rStyle w:val="FootnoteReference"/>
          <w:rFonts w:eastAsia="Calibri"/>
          <w:sz w:val="26"/>
          <w:szCs w:val="26"/>
          <w:lang w:eastAsia="en-US"/>
        </w:rPr>
        <w:footnoteReference w:id="20"/>
      </w:r>
      <w:r w:rsidR="00D54D3D" w:rsidRPr="00BC3A42">
        <w:rPr>
          <w:rFonts w:eastAsia="Calibri"/>
          <w:sz w:val="26"/>
          <w:szCs w:val="26"/>
          <w:lang w:eastAsia="en-US"/>
        </w:rPr>
        <w:t xml:space="preserve">, kas pienākas </w:t>
      </w:r>
      <w:r w:rsidR="004B481D" w:rsidRPr="00BC3A42">
        <w:rPr>
          <w:rFonts w:eastAsia="Calibri"/>
          <w:sz w:val="26"/>
          <w:szCs w:val="26"/>
          <w:lang w:eastAsia="en-US"/>
        </w:rPr>
        <w:t xml:space="preserve">no atsevišķām izejvielām iegūtai biodegvielai, ir veicinājušas ievērojamu lietotas </w:t>
      </w:r>
      <w:proofErr w:type="spellStart"/>
      <w:r w:rsidR="004B481D" w:rsidRPr="00BC3A42">
        <w:rPr>
          <w:rFonts w:eastAsia="Calibri"/>
          <w:sz w:val="26"/>
          <w:szCs w:val="26"/>
          <w:lang w:eastAsia="en-US"/>
        </w:rPr>
        <w:t>cepameļļas</w:t>
      </w:r>
      <w:proofErr w:type="spellEnd"/>
      <w:r w:rsidR="004B481D" w:rsidRPr="00BC3A42">
        <w:rPr>
          <w:rFonts w:eastAsia="Calibri"/>
          <w:sz w:val="26"/>
          <w:szCs w:val="26"/>
          <w:lang w:eastAsia="en-US"/>
        </w:rPr>
        <w:t xml:space="preserve"> ražošanas apjoma pieaugumu. Lietota </w:t>
      </w:r>
      <w:proofErr w:type="spellStart"/>
      <w:r w:rsidR="004B481D" w:rsidRPr="00BC3A42">
        <w:rPr>
          <w:rFonts w:eastAsia="Calibri"/>
          <w:sz w:val="26"/>
          <w:szCs w:val="26"/>
          <w:lang w:eastAsia="en-US"/>
        </w:rPr>
        <w:t>cepameļļa</w:t>
      </w:r>
      <w:proofErr w:type="spellEnd"/>
      <w:r w:rsidR="004B481D" w:rsidRPr="00BC3A42">
        <w:rPr>
          <w:rFonts w:eastAsia="Calibri"/>
          <w:sz w:val="26"/>
          <w:szCs w:val="26"/>
          <w:lang w:eastAsia="en-US"/>
        </w:rPr>
        <w:t xml:space="preserve"> 2017.</w:t>
      </w:r>
      <w:r w:rsidRPr="00BC3A42">
        <w:rPr>
          <w:rFonts w:eastAsia="Calibri"/>
          <w:sz w:val="26"/>
          <w:szCs w:val="26"/>
          <w:lang w:eastAsia="en-US"/>
        </w:rPr>
        <w:t> </w:t>
      </w:r>
      <w:r w:rsidR="004B481D" w:rsidRPr="00BC3A42">
        <w:rPr>
          <w:rFonts w:eastAsia="Calibri"/>
          <w:sz w:val="26"/>
          <w:szCs w:val="26"/>
          <w:lang w:eastAsia="en-US"/>
        </w:rPr>
        <w:t xml:space="preserve">gadā bija otra populārākā biodīzeļdegvielas izejviela ES un tās īpatsvars bija 21% no visām biodīzeļdegvielas ražošanā izmantotajām izejvielām. Šādu biodegvielu galvenokārt ražo Vācijā, Nīderlandē un Apvienotajā Karalistē. Trešā populārākā biodīzeļdegvielas izejviela ES 2017.gadā bija palmu eļļa, kuras tirgus daļa bija 18%. </w:t>
      </w:r>
      <w:r w:rsidR="00491034" w:rsidRPr="00BC3A42">
        <w:rPr>
          <w:rFonts w:eastAsia="Calibri"/>
          <w:sz w:val="26"/>
          <w:szCs w:val="26"/>
          <w:lang w:eastAsia="en-US"/>
        </w:rPr>
        <w:t>Bioetanolu ES galvenokārt ražo no graudiem un cukurbietēm. Kviešus</w:t>
      </w:r>
      <w:r w:rsidRPr="00BC3A42">
        <w:rPr>
          <w:rFonts w:eastAsia="Calibri"/>
          <w:sz w:val="26"/>
          <w:szCs w:val="26"/>
          <w:lang w:eastAsia="en-US"/>
        </w:rPr>
        <w:t>,</w:t>
      </w:r>
      <w:r w:rsidR="00491034" w:rsidRPr="00BC3A42">
        <w:rPr>
          <w:rFonts w:eastAsia="Calibri"/>
          <w:sz w:val="26"/>
          <w:szCs w:val="26"/>
          <w:lang w:eastAsia="en-US"/>
        </w:rPr>
        <w:t xml:space="preserve"> kā bioetanola izejvielu</w:t>
      </w:r>
      <w:r w:rsidR="004C52E7" w:rsidRPr="00BC3A42">
        <w:rPr>
          <w:rFonts w:eastAsia="Calibri"/>
          <w:sz w:val="26"/>
          <w:szCs w:val="26"/>
          <w:lang w:eastAsia="en-US"/>
        </w:rPr>
        <w:t>,</w:t>
      </w:r>
      <w:r w:rsidR="00491034" w:rsidRPr="00BC3A42">
        <w:rPr>
          <w:rFonts w:eastAsia="Calibri"/>
          <w:sz w:val="26"/>
          <w:szCs w:val="26"/>
          <w:lang w:eastAsia="en-US"/>
        </w:rPr>
        <w:t xml:space="preserve"> vairāk izmanto Vācijā, Francijā un Apvienotajā Karalistē, kamēr Centrāleiropā plašāk tiek izmantota kukurūza. </w:t>
      </w:r>
    </w:p>
    <w:p w14:paraId="31CFDBD6" w14:textId="48F9930F" w:rsidR="002007A6" w:rsidRPr="00BC3A42" w:rsidRDefault="002007A6" w:rsidP="00282E05">
      <w:pPr>
        <w:ind w:firstLine="709"/>
        <w:jc w:val="both"/>
        <w:rPr>
          <w:rFonts w:eastAsia="Calibri"/>
          <w:sz w:val="26"/>
          <w:szCs w:val="26"/>
          <w:lang w:eastAsia="en-US"/>
        </w:rPr>
      </w:pPr>
      <w:r w:rsidRPr="00BC3A42">
        <w:rPr>
          <w:rFonts w:eastAsia="Calibri"/>
          <w:sz w:val="26"/>
          <w:szCs w:val="26"/>
          <w:lang w:eastAsia="en-US"/>
        </w:rPr>
        <w:t xml:space="preserve">Pēdējos gados </w:t>
      </w:r>
      <w:r w:rsidR="00D700A2" w:rsidRPr="00BC3A42">
        <w:rPr>
          <w:rFonts w:eastAsia="Calibri"/>
          <w:sz w:val="26"/>
          <w:szCs w:val="26"/>
          <w:lang w:eastAsia="en-US"/>
        </w:rPr>
        <w:t xml:space="preserve">ES </w:t>
      </w:r>
      <w:r w:rsidRPr="00BC3A42">
        <w:rPr>
          <w:rFonts w:eastAsia="Calibri"/>
          <w:sz w:val="26"/>
          <w:szCs w:val="26"/>
          <w:lang w:eastAsia="en-US"/>
        </w:rPr>
        <w:t xml:space="preserve">ir strauji pieaudzis HVO </w:t>
      </w:r>
      <w:r w:rsidR="00D700A2" w:rsidRPr="00BC3A42">
        <w:rPr>
          <w:rFonts w:eastAsia="Calibri"/>
          <w:sz w:val="26"/>
          <w:szCs w:val="26"/>
          <w:lang w:eastAsia="en-US"/>
        </w:rPr>
        <w:t xml:space="preserve">ražošanas apjoms, 2017.gadā sasniedzot 2583 milj. litru (sk. </w:t>
      </w:r>
      <w:r w:rsidR="007E2D4B" w:rsidRPr="00BC3A42">
        <w:rPr>
          <w:rFonts w:eastAsia="Calibri"/>
          <w:sz w:val="26"/>
          <w:szCs w:val="26"/>
          <w:lang w:eastAsia="en-US"/>
        </w:rPr>
        <w:t>5</w:t>
      </w:r>
      <w:r w:rsidR="00D700A2" w:rsidRPr="00BC3A42">
        <w:rPr>
          <w:rFonts w:eastAsia="Calibri"/>
          <w:sz w:val="26"/>
          <w:szCs w:val="26"/>
          <w:lang w:eastAsia="en-US"/>
        </w:rPr>
        <w:t>.tabulu). HVO šobrīd plaši</w:t>
      </w:r>
      <w:r w:rsidRPr="00BC3A42">
        <w:rPr>
          <w:rFonts w:eastAsia="Calibri"/>
          <w:sz w:val="26"/>
          <w:szCs w:val="26"/>
          <w:lang w:eastAsia="en-US"/>
        </w:rPr>
        <w:t xml:space="preserve"> izmanto kā biodegvielu - dīzeļdegvielas aizstājēju</w:t>
      </w:r>
      <w:r w:rsidR="00D700A2" w:rsidRPr="00BC3A42">
        <w:rPr>
          <w:rFonts w:eastAsia="Calibri"/>
          <w:sz w:val="26"/>
          <w:szCs w:val="26"/>
          <w:lang w:eastAsia="en-US"/>
        </w:rPr>
        <w:t>, taču ar to var aizstāt arī aviācijā izmantojamo degvielu - petroleju</w:t>
      </w:r>
      <w:r w:rsidRPr="00BC3A42">
        <w:rPr>
          <w:rFonts w:eastAsia="Calibri"/>
          <w:sz w:val="26"/>
          <w:szCs w:val="26"/>
          <w:lang w:eastAsia="en-US"/>
        </w:rPr>
        <w:t xml:space="preserve">. Tomēr </w:t>
      </w:r>
      <w:r w:rsidR="00D700A2" w:rsidRPr="00BC3A42">
        <w:rPr>
          <w:rFonts w:eastAsia="Calibri"/>
          <w:sz w:val="26"/>
          <w:szCs w:val="26"/>
          <w:lang w:eastAsia="en-US"/>
        </w:rPr>
        <w:t xml:space="preserve">atsevišķi </w:t>
      </w:r>
      <w:r w:rsidRPr="00BC3A42">
        <w:rPr>
          <w:rFonts w:eastAsia="Calibri"/>
          <w:sz w:val="26"/>
          <w:szCs w:val="26"/>
          <w:lang w:eastAsia="en-US"/>
        </w:rPr>
        <w:t xml:space="preserve">HVO ražotāji ir norādījuši, ka </w:t>
      </w:r>
      <w:r w:rsidR="00D700A2" w:rsidRPr="00BC3A42">
        <w:rPr>
          <w:rFonts w:eastAsia="Calibri"/>
          <w:sz w:val="26"/>
          <w:szCs w:val="26"/>
          <w:lang w:eastAsia="en-US"/>
        </w:rPr>
        <w:t>HVO</w:t>
      </w:r>
      <w:r w:rsidRPr="00BC3A42">
        <w:rPr>
          <w:rFonts w:eastAsia="Calibri"/>
          <w:sz w:val="26"/>
          <w:szCs w:val="26"/>
          <w:lang w:eastAsia="en-US"/>
        </w:rPr>
        <w:t xml:space="preserve"> n</w:t>
      </w:r>
      <w:r w:rsidR="00D700A2" w:rsidRPr="00BC3A42">
        <w:rPr>
          <w:rFonts w:eastAsia="Calibri"/>
          <w:sz w:val="26"/>
          <w:szCs w:val="26"/>
          <w:lang w:eastAsia="en-US"/>
        </w:rPr>
        <w:t>ebūtu uzskatāma par</w:t>
      </w:r>
      <w:r w:rsidRPr="00BC3A42">
        <w:rPr>
          <w:rFonts w:eastAsia="Calibri"/>
          <w:sz w:val="26"/>
          <w:szCs w:val="26"/>
          <w:lang w:eastAsia="en-US"/>
        </w:rPr>
        <w:t xml:space="preserve"> biodīzeļdegviel</w:t>
      </w:r>
      <w:r w:rsidR="00D700A2" w:rsidRPr="00BC3A42">
        <w:rPr>
          <w:rFonts w:eastAsia="Calibri"/>
          <w:sz w:val="26"/>
          <w:szCs w:val="26"/>
          <w:lang w:eastAsia="en-US"/>
        </w:rPr>
        <w:t>u</w:t>
      </w:r>
      <w:r w:rsidRPr="00BC3A42">
        <w:rPr>
          <w:rFonts w:eastAsia="Calibri"/>
          <w:sz w:val="26"/>
          <w:szCs w:val="26"/>
          <w:lang w:eastAsia="en-US"/>
        </w:rPr>
        <w:t>, jo tās ķīmiskais sastāvs ir atšķirīgs</w:t>
      </w:r>
      <w:r w:rsidR="00D700A2" w:rsidRPr="00BC3A42">
        <w:rPr>
          <w:rFonts w:eastAsia="Calibri"/>
          <w:sz w:val="26"/>
          <w:szCs w:val="26"/>
          <w:lang w:eastAsia="en-US"/>
        </w:rPr>
        <w:t xml:space="preserve">. </w:t>
      </w:r>
    </w:p>
    <w:p w14:paraId="19E26731" w14:textId="125D5FA9" w:rsidR="002007A6" w:rsidRPr="00BC3A42" w:rsidRDefault="007E2D4B" w:rsidP="002007A6">
      <w:pPr>
        <w:ind w:firstLine="567"/>
        <w:jc w:val="right"/>
        <w:rPr>
          <w:rFonts w:eastAsia="Calibri"/>
          <w:i/>
          <w:sz w:val="22"/>
          <w:szCs w:val="22"/>
          <w:lang w:eastAsia="en-US"/>
        </w:rPr>
      </w:pPr>
      <w:r w:rsidRPr="00BC3A42">
        <w:rPr>
          <w:rFonts w:eastAsia="Calibri"/>
          <w:i/>
          <w:sz w:val="26"/>
          <w:szCs w:val="26"/>
          <w:lang w:eastAsia="en-US"/>
        </w:rPr>
        <w:t>5</w:t>
      </w:r>
      <w:r w:rsidR="002007A6" w:rsidRPr="00BC3A42">
        <w:rPr>
          <w:rFonts w:eastAsia="Calibri"/>
          <w:i/>
          <w:sz w:val="26"/>
          <w:szCs w:val="26"/>
          <w:lang w:eastAsia="en-US"/>
        </w:rPr>
        <w:t>.tabula</w:t>
      </w:r>
    </w:p>
    <w:p w14:paraId="1D9D93E0" w14:textId="232B975C" w:rsidR="002007A6" w:rsidRPr="00BC3A42" w:rsidRDefault="002007A6" w:rsidP="00D700A2">
      <w:pPr>
        <w:ind w:firstLine="567"/>
        <w:jc w:val="center"/>
        <w:rPr>
          <w:rFonts w:eastAsia="Calibri"/>
          <w:b/>
          <w:sz w:val="22"/>
          <w:szCs w:val="22"/>
          <w:lang w:eastAsia="en-US"/>
        </w:rPr>
      </w:pPr>
      <w:r w:rsidRPr="00BC3A42">
        <w:rPr>
          <w:rFonts w:eastAsia="Calibri"/>
          <w:b/>
          <w:sz w:val="22"/>
          <w:szCs w:val="22"/>
          <w:lang w:eastAsia="en-US"/>
        </w:rPr>
        <w:t xml:space="preserve">HVO ražošanas apjomi </w:t>
      </w:r>
      <w:r w:rsidR="00D700A2" w:rsidRPr="00BC3A42">
        <w:rPr>
          <w:rFonts w:eastAsia="Calibri"/>
          <w:b/>
          <w:sz w:val="22"/>
          <w:szCs w:val="22"/>
          <w:lang w:eastAsia="en-US"/>
        </w:rPr>
        <w:t xml:space="preserve">atsevišķās </w:t>
      </w:r>
      <w:r w:rsidRPr="00BC3A42">
        <w:rPr>
          <w:rFonts w:eastAsia="Calibri"/>
          <w:b/>
          <w:sz w:val="22"/>
          <w:szCs w:val="22"/>
          <w:lang w:eastAsia="en-US"/>
        </w:rPr>
        <w:t>ES</w:t>
      </w:r>
      <w:r w:rsidR="00D700A2" w:rsidRPr="00BC3A42">
        <w:rPr>
          <w:rFonts w:eastAsia="Calibri"/>
          <w:b/>
          <w:sz w:val="22"/>
          <w:szCs w:val="22"/>
          <w:lang w:eastAsia="en-US"/>
        </w:rPr>
        <w:t xml:space="preserve"> dalībvalstīs un kopā ES, milj. litru</w:t>
      </w:r>
      <w:r w:rsidR="0055130E" w:rsidRPr="00BC3A42">
        <w:rPr>
          <w:rStyle w:val="FootnoteReference"/>
          <w:rFonts w:eastAsia="Calibri"/>
          <w:b/>
          <w:sz w:val="22"/>
          <w:szCs w:val="22"/>
          <w:lang w:eastAsia="en-US"/>
        </w:rPr>
        <w:footnoteReference w:id="21"/>
      </w:r>
    </w:p>
    <w:tbl>
      <w:tblPr>
        <w:tblW w:w="9081" w:type="dxa"/>
        <w:jc w:val="center"/>
        <w:tblLook w:val="04A0" w:firstRow="1" w:lastRow="0" w:firstColumn="1" w:lastColumn="0" w:noHBand="0" w:noVBand="1"/>
      </w:tblPr>
      <w:tblGrid>
        <w:gridCol w:w="1359"/>
        <w:gridCol w:w="858"/>
        <w:gridCol w:w="858"/>
        <w:gridCol w:w="858"/>
        <w:gridCol w:w="858"/>
        <w:gridCol w:w="858"/>
        <w:gridCol w:w="858"/>
        <w:gridCol w:w="858"/>
        <w:gridCol w:w="858"/>
        <w:gridCol w:w="858"/>
      </w:tblGrid>
      <w:tr w:rsidR="00D700A2" w:rsidRPr="00BC3A42" w14:paraId="39433BD7" w14:textId="77777777" w:rsidTr="00D700A2">
        <w:trPr>
          <w:trHeight w:val="396"/>
          <w:jc w:val="center"/>
        </w:trPr>
        <w:tc>
          <w:tcPr>
            <w:tcW w:w="1359" w:type="dxa"/>
            <w:tcBorders>
              <w:top w:val="single" w:sz="8" w:space="0" w:color="auto"/>
              <w:left w:val="single" w:sz="8" w:space="0" w:color="auto"/>
              <w:bottom w:val="nil"/>
              <w:right w:val="single" w:sz="4" w:space="0" w:color="auto"/>
            </w:tcBorders>
            <w:shd w:val="clear" w:color="auto" w:fill="auto"/>
            <w:noWrap/>
            <w:vAlign w:val="bottom"/>
            <w:hideMark/>
          </w:tcPr>
          <w:p w14:paraId="413EC062" w14:textId="77777777" w:rsidR="002007A6" w:rsidRPr="00BC3A42" w:rsidRDefault="002007A6" w:rsidP="002007A6">
            <w:pPr>
              <w:rPr>
                <w:b/>
                <w:color w:val="000000"/>
                <w:sz w:val="22"/>
                <w:szCs w:val="22"/>
              </w:rPr>
            </w:pPr>
          </w:p>
        </w:tc>
        <w:tc>
          <w:tcPr>
            <w:tcW w:w="858" w:type="dxa"/>
            <w:tcBorders>
              <w:top w:val="single" w:sz="8" w:space="0" w:color="auto"/>
              <w:left w:val="nil"/>
              <w:bottom w:val="nil"/>
              <w:right w:val="single" w:sz="4" w:space="0" w:color="auto"/>
            </w:tcBorders>
            <w:shd w:val="clear" w:color="auto" w:fill="auto"/>
            <w:noWrap/>
            <w:vAlign w:val="bottom"/>
            <w:hideMark/>
          </w:tcPr>
          <w:p w14:paraId="1F67386F" w14:textId="77777777" w:rsidR="002007A6" w:rsidRPr="00BC3A42" w:rsidRDefault="002007A6" w:rsidP="00D700A2">
            <w:pPr>
              <w:jc w:val="center"/>
              <w:rPr>
                <w:b/>
                <w:color w:val="000000"/>
                <w:sz w:val="22"/>
                <w:szCs w:val="22"/>
              </w:rPr>
            </w:pPr>
            <w:r w:rsidRPr="00BC3A42">
              <w:rPr>
                <w:b/>
                <w:color w:val="000000"/>
                <w:sz w:val="22"/>
                <w:szCs w:val="22"/>
              </w:rPr>
              <w:t>2009</w:t>
            </w:r>
          </w:p>
        </w:tc>
        <w:tc>
          <w:tcPr>
            <w:tcW w:w="858" w:type="dxa"/>
            <w:tcBorders>
              <w:top w:val="single" w:sz="8" w:space="0" w:color="auto"/>
              <w:left w:val="nil"/>
              <w:bottom w:val="nil"/>
              <w:right w:val="single" w:sz="4" w:space="0" w:color="auto"/>
            </w:tcBorders>
            <w:shd w:val="clear" w:color="auto" w:fill="auto"/>
            <w:noWrap/>
            <w:vAlign w:val="bottom"/>
            <w:hideMark/>
          </w:tcPr>
          <w:p w14:paraId="55ECC314" w14:textId="77777777" w:rsidR="002007A6" w:rsidRPr="00BC3A42" w:rsidRDefault="002007A6" w:rsidP="00D700A2">
            <w:pPr>
              <w:jc w:val="center"/>
              <w:rPr>
                <w:b/>
                <w:color w:val="000000"/>
                <w:sz w:val="22"/>
                <w:szCs w:val="22"/>
              </w:rPr>
            </w:pPr>
            <w:r w:rsidRPr="00BC3A42">
              <w:rPr>
                <w:b/>
                <w:color w:val="000000"/>
                <w:sz w:val="22"/>
                <w:szCs w:val="22"/>
              </w:rPr>
              <w:t>2010</w:t>
            </w:r>
          </w:p>
        </w:tc>
        <w:tc>
          <w:tcPr>
            <w:tcW w:w="858" w:type="dxa"/>
            <w:tcBorders>
              <w:top w:val="single" w:sz="8" w:space="0" w:color="auto"/>
              <w:left w:val="nil"/>
              <w:bottom w:val="nil"/>
              <w:right w:val="single" w:sz="4" w:space="0" w:color="auto"/>
            </w:tcBorders>
            <w:shd w:val="clear" w:color="auto" w:fill="auto"/>
            <w:noWrap/>
            <w:vAlign w:val="bottom"/>
            <w:hideMark/>
          </w:tcPr>
          <w:p w14:paraId="7704BE6A" w14:textId="77777777" w:rsidR="002007A6" w:rsidRPr="00BC3A42" w:rsidRDefault="002007A6" w:rsidP="00D700A2">
            <w:pPr>
              <w:jc w:val="center"/>
              <w:rPr>
                <w:b/>
                <w:color w:val="000000"/>
                <w:sz w:val="22"/>
                <w:szCs w:val="22"/>
              </w:rPr>
            </w:pPr>
            <w:r w:rsidRPr="00BC3A42">
              <w:rPr>
                <w:b/>
                <w:color w:val="000000"/>
                <w:sz w:val="22"/>
                <w:szCs w:val="22"/>
              </w:rPr>
              <w:t>2011</w:t>
            </w:r>
          </w:p>
        </w:tc>
        <w:tc>
          <w:tcPr>
            <w:tcW w:w="858" w:type="dxa"/>
            <w:tcBorders>
              <w:top w:val="single" w:sz="8" w:space="0" w:color="auto"/>
              <w:left w:val="nil"/>
              <w:bottom w:val="nil"/>
              <w:right w:val="single" w:sz="4" w:space="0" w:color="auto"/>
            </w:tcBorders>
            <w:shd w:val="clear" w:color="auto" w:fill="auto"/>
            <w:noWrap/>
            <w:vAlign w:val="bottom"/>
            <w:hideMark/>
          </w:tcPr>
          <w:p w14:paraId="0C09D4C8" w14:textId="77777777" w:rsidR="002007A6" w:rsidRPr="00BC3A42" w:rsidRDefault="002007A6" w:rsidP="00D700A2">
            <w:pPr>
              <w:jc w:val="center"/>
              <w:rPr>
                <w:b/>
                <w:color w:val="000000"/>
                <w:sz w:val="22"/>
                <w:szCs w:val="22"/>
              </w:rPr>
            </w:pPr>
            <w:r w:rsidRPr="00BC3A42">
              <w:rPr>
                <w:b/>
                <w:color w:val="000000"/>
                <w:sz w:val="22"/>
                <w:szCs w:val="22"/>
              </w:rPr>
              <w:t>2012</w:t>
            </w:r>
          </w:p>
        </w:tc>
        <w:tc>
          <w:tcPr>
            <w:tcW w:w="858" w:type="dxa"/>
            <w:tcBorders>
              <w:top w:val="single" w:sz="8" w:space="0" w:color="auto"/>
              <w:left w:val="nil"/>
              <w:bottom w:val="nil"/>
              <w:right w:val="single" w:sz="4" w:space="0" w:color="auto"/>
            </w:tcBorders>
            <w:shd w:val="clear" w:color="auto" w:fill="auto"/>
            <w:noWrap/>
            <w:vAlign w:val="bottom"/>
            <w:hideMark/>
          </w:tcPr>
          <w:p w14:paraId="7034C243" w14:textId="77777777" w:rsidR="002007A6" w:rsidRPr="00BC3A42" w:rsidRDefault="002007A6" w:rsidP="00D700A2">
            <w:pPr>
              <w:jc w:val="center"/>
              <w:rPr>
                <w:b/>
                <w:color w:val="000000"/>
                <w:sz w:val="22"/>
                <w:szCs w:val="22"/>
              </w:rPr>
            </w:pPr>
            <w:r w:rsidRPr="00BC3A42">
              <w:rPr>
                <w:b/>
                <w:color w:val="000000"/>
                <w:sz w:val="22"/>
                <w:szCs w:val="22"/>
              </w:rPr>
              <w:t>2013</w:t>
            </w:r>
          </w:p>
        </w:tc>
        <w:tc>
          <w:tcPr>
            <w:tcW w:w="858" w:type="dxa"/>
            <w:tcBorders>
              <w:top w:val="single" w:sz="8" w:space="0" w:color="auto"/>
              <w:left w:val="nil"/>
              <w:bottom w:val="nil"/>
              <w:right w:val="single" w:sz="4" w:space="0" w:color="auto"/>
            </w:tcBorders>
            <w:shd w:val="clear" w:color="auto" w:fill="auto"/>
            <w:noWrap/>
            <w:vAlign w:val="bottom"/>
            <w:hideMark/>
          </w:tcPr>
          <w:p w14:paraId="330D7ABA" w14:textId="77777777" w:rsidR="002007A6" w:rsidRPr="00BC3A42" w:rsidRDefault="002007A6" w:rsidP="00D700A2">
            <w:pPr>
              <w:jc w:val="center"/>
              <w:rPr>
                <w:b/>
                <w:color w:val="000000"/>
                <w:sz w:val="22"/>
                <w:szCs w:val="22"/>
              </w:rPr>
            </w:pPr>
            <w:r w:rsidRPr="00BC3A42">
              <w:rPr>
                <w:b/>
                <w:color w:val="000000"/>
                <w:sz w:val="22"/>
                <w:szCs w:val="22"/>
              </w:rPr>
              <w:t>2014</w:t>
            </w:r>
          </w:p>
        </w:tc>
        <w:tc>
          <w:tcPr>
            <w:tcW w:w="858" w:type="dxa"/>
            <w:tcBorders>
              <w:top w:val="single" w:sz="8" w:space="0" w:color="auto"/>
              <w:left w:val="nil"/>
              <w:bottom w:val="nil"/>
              <w:right w:val="single" w:sz="4" w:space="0" w:color="auto"/>
            </w:tcBorders>
            <w:shd w:val="clear" w:color="auto" w:fill="auto"/>
            <w:noWrap/>
            <w:vAlign w:val="bottom"/>
            <w:hideMark/>
          </w:tcPr>
          <w:p w14:paraId="272A0B1D" w14:textId="77777777" w:rsidR="002007A6" w:rsidRPr="00BC3A42" w:rsidRDefault="002007A6" w:rsidP="00D700A2">
            <w:pPr>
              <w:jc w:val="center"/>
              <w:rPr>
                <w:b/>
                <w:color w:val="000000"/>
                <w:sz w:val="22"/>
                <w:szCs w:val="22"/>
              </w:rPr>
            </w:pPr>
            <w:r w:rsidRPr="00BC3A42">
              <w:rPr>
                <w:b/>
                <w:color w:val="000000"/>
                <w:sz w:val="22"/>
                <w:szCs w:val="22"/>
              </w:rPr>
              <w:t>2015</w:t>
            </w:r>
          </w:p>
        </w:tc>
        <w:tc>
          <w:tcPr>
            <w:tcW w:w="858" w:type="dxa"/>
            <w:tcBorders>
              <w:top w:val="single" w:sz="8" w:space="0" w:color="auto"/>
              <w:left w:val="nil"/>
              <w:bottom w:val="nil"/>
              <w:right w:val="single" w:sz="4" w:space="0" w:color="auto"/>
            </w:tcBorders>
            <w:shd w:val="clear" w:color="auto" w:fill="auto"/>
            <w:noWrap/>
            <w:vAlign w:val="bottom"/>
            <w:hideMark/>
          </w:tcPr>
          <w:p w14:paraId="12F90D56" w14:textId="77777777" w:rsidR="002007A6" w:rsidRPr="00BC3A42" w:rsidRDefault="002007A6" w:rsidP="00D700A2">
            <w:pPr>
              <w:jc w:val="center"/>
              <w:rPr>
                <w:b/>
                <w:color w:val="000000"/>
                <w:sz w:val="22"/>
                <w:szCs w:val="22"/>
              </w:rPr>
            </w:pPr>
            <w:r w:rsidRPr="00BC3A42">
              <w:rPr>
                <w:b/>
                <w:color w:val="000000"/>
                <w:sz w:val="22"/>
                <w:szCs w:val="22"/>
              </w:rPr>
              <w:t>2016</w:t>
            </w:r>
          </w:p>
        </w:tc>
        <w:tc>
          <w:tcPr>
            <w:tcW w:w="858" w:type="dxa"/>
            <w:tcBorders>
              <w:top w:val="single" w:sz="8" w:space="0" w:color="auto"/>
              <w:left w:val="nil"/>
              <w:bottom w:val="nil"/>
              <w:right w:val="single" w:sz="8" w:space="0" w:color="auto"/>
            </w:tcBorders>
            <w:shd w:val="clear" w:color="auto" w:fill="auto"/>
            <w:noWrap/>
            <w:vAlign w:val="bottom"/>
            <w:hideMark/>
          </w:tcPr>
          <w:p w14:paraId="77815FC0" w14:textId="77777777" w:rsidR="002007A6" w:rsidRPr="00BC3A42" w:rsidRDefault="002007A6" w:rsidP="00D700A2">
            <w:pPr>
              <w:jc w:val="center"/>
              <w:rPr>
                <w:b/>
                <w:color w:val="000000"/>
                <w:sz w:val="22"/>
                <w:szCs w:val="22"/>
              </w:rPr>
            </w:pPr>
            <w:r w:rsidRPr="00BC3A42">
              <w:rPr>
                <w:b/>
                <w:color w:val="000000"/>
                <w:sz w:val="22"/>
                <w:szCs w:val="22"/>
              </w:rPr>
              <w:t>2017</w:t>
            </w:r>
          </w:p>
        </w:tc>
      </w:tr>
      <w:tr w:rsidR="002007A6" w:rsidRPr="00BC3A42" w14:paraId="0643C3F8" w14:textId="77777777" w:rsidTr="00D700A2">
        <w:trPr>
          <w:trHeight w:val="378"/>
          <w:jc w:val="center"/>
        </w:trPr>
        <w:tc>
          <w:tcPr>
            <w:tcW w:w="13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5B80F1" w14:textId="77777777" w:rsidR="002007A6" w:rsidRPr="00BC3A42" w:rsidRDefault="002007A6" w:rsidP="002007A6">
            <w:pPr>
              <w:rPr>
                <w:b/>
                <w:color w:val="000000"/>
                <w:sz w:val="22"/>
                <w:szCs w:val="22"/>
              </w:rPr>
            </w:pPr>
            <w:r w:rsidRPr="00BC3A42">
              <w:rPr>
                <w:b/>
                <w:color w:val="000000"/>
                <w:sz w:val="22"/>
                <w:szCs w:val="22"/>
              </w:rPr>
              <w:t>Nīderlande</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486E9596"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556D74E1"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6329D053"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5629F244" w14:textId="77777777" w:rsidR="002007A6" w:rsidRPr="00BC3A42" w:rsidRDefault="002007A6" w:rsidP="00D700A2">
            <w:pPr>
              <w:jc w:val="center"/>
              <w:rPr>
                <w:color w:val="000000"/>
                <w:sz w:val="22"/>
                <w:szCs w:val="22"/>
              </w:rPr>
            </w:pPr>
            <w:r w:rsidRPr="00BC3A42">
              <w:rPr>
                <w:color w:val="000000"/>
                <w:sz w:val="22"/>
                <w:szCs w:val="22"/>
              </w:rPr>
              <w:t>410</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22400D0C" w14:textId="77777777" w:rsidR="002007A6" w:rsidRPr="00BC3A42" w:rsidRDefault="002007A6" w:rsidP="00D700A2">
            <w:pPr>
              <w:jc w:val="center"/>
              <w:rPr>
                <w:color w:val="000000"/>
                <w:sz w:val="22"/>
                <w:szCs w:val="22"/>
              </w:rPr>
            </w:pPr>
            <w:r w:rsidRPr="00BC3A42">
              <w:rPr>
                <w:color w:val="000000"/>
                <w:sz w:val="22"/>
                <w:szCs w:val="22"/>
              </w:rPr>
              <w:t>872</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0E413FE2" w14:textId="77777777" w:rsidR="002007A6" w:rsidRPr="00BC3A42" w:rsidRDefault="002007A6" w:rsidP="00D700A2">
            <w:pPr>
              <w:jc w:val="center"/>
              <w:rPr>
                <w:color w:val="000000"/>
                <w:sz w:val="22"/>
                <w:szCs w:val="22"/>
              </w:rPr>
            </w:pPr>
            <w:r w:rsidRPr="00BC3A42">
              <w:rPr>
                <w:color w:val="000000"/>
                <w:sz w:val="22"/>
                <w:szCs w:val="22"/>
              </w:rPr>
              <w:t>1013</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783C6F41" w14:textId="77777777" w:rsidR="002007A6" w:rsidRPr="00BC3A42" w:rsidRDefault="002007A6" w:rsidP="00D700A2">
            <w:pPr>
              <w:jc w:val="center"/>
              <w:rPr>
                <w:color w:val="000000"/>
                <w:sz w:val="22"/>
                <w:szCs w:val="22"/>
              </w:rPr>
            </w:pPr>
            <w:r w:rsidRPr="00BC3A42">
              <w:rPr>
                <w:color w:val="000000"/>
                <w:sz w:val="22"/>
                <w:szCs w:val="22"/>
              </w:rPr>
              <w:t>1192</w:t>
            </w:r>
          </w:p>
        </w:tc>
        <w:tc>
          <w:tcPr>
            <w:tcW w:w="858" w:type="dxa"/>
            <w:tcBorders>
              <w:top w:val="single" w:sz="8" w:space="0" w:color="auto"/>
              <w:left w:val="nil"/>
              <w:bottom w:val="single" w:sz="4" w:space="0" w:color="auto"/>
              <w:right w:val="single" w:sz="4" w:space="0" w:color="auto"/>
            </w:tcBorders>
            <w:shd w:val="clear" w:color="auto" w:fill="auto"/>
            <w:noWrap/>
            <w:vAlign w:val="bottom"/>
            <w:hideMark/>
          </w:tcPr>
          <w:p w14:paraId="41850C9F" w14:textId="77777777" w:rsidR="002007A6" w:rsidRPr="00BC3A42" w:rsidRDefault="002007A6" w:rsidP="00D700A2">
            <w:pPr>
              <w:jc w:val="center"/>
              <w:rPr>
                <w:color w:val="000000"/>
                <w:sz w:val="22"/>
                <w:szCs w:val="22"/>
              </w:rPr>
            </w:pPr>
            <w:r w:rsidRPr="00BC3A42">
              <w:rPr>
                <w:color w:val="000000"/>
                <w:sz w:val="22"/>
                <w:szCs w:val="22"/>
              </w:rPr>
              <w:t>1154</w:t>
            </w:r>
          </w:p>
        </w:tc>
        <w:tc>
          <w:tcPr>
            <w:tcW w:w="858" w:type="dxa"/>
            <w:tcBorders>
              <w:top w:val="single" w:sz="8" w:space="0" w:color="auto"/>
              <w:left w:val="nil"/>
              <w:bottom w:val="single" w:sz="4" w:space="0" w:color="auto"/>
              <w:right w:val="single" w:sz="8" w:space="0" w:color="auto"/>
            </w:tcBorders>
            <w:shd w:val="clear" w:color="auto" w:fill="auto"/>
            <w:noWrap/>
            <w:vAlign w:val="bottom"/>
            <w:hideMark/>
          </w:tcPr>
          <w:p w14:paraId="2841FAEB" w14:textId="77777777" w:rsidR="002007A6" w:rsidRPr="00BC3A42" w:rsidRDefault="002007A6" w:rsidP="00D700A2">
            <w:pPr>
              <w:jc w:val="center"/>
              <w:rPr>
                <w:color w:val="000000"/>
                <w:sz w:val="22"/>
                <w:szCs w:val="22"/>
              </w:rPr>
            </w:pPr>
            <w:r w:rsidRPr="00BC3A42">
              <w:rPr>
                <w:color w:val="000000"/>
                <w:sz w:val="22"/>
                <w:szCs w:val="22"/>
              </w:rPr>
              <w:t>1218</w:t>
            </w:r>
          </w:p>
        </w:tc>
      </w:tr>
      <w:tr w:rsidR="002007A6" w:rsidRPr="00BC3A42" w14:paraId="63C01729" w14:textId="77777777" w:rsidTr="00D700A2">
        <w:trPr>
          <w:trHeight w:val="378"/>
          <w:jc w:val="center"/>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70C1B637" w14:textId="77777777" w:rsidR="002007A6" w:rsidRPr="00BC3A42" w:rsidRDefault="002007A6" w:rsidP="002007A6">
            <w:pPr>
              <w:rPr>
                <w:b/>
                <w:color w:val="000000"/>
                <w:sz w:val="22"/>
                <w:szCs w:val="22"/>
              </w:rPr>
            </w:pPr>
            <w:r w:rsidRPr="00BC3A42">
              <w:rPr>
                <w:b/>
                <w:color w:val="000000"/>
                <w:sz w:val="22"/>
                <w:szCs w:val="22"/>
              </w:rPr>
              <w:t>Somija</w:t>
            </w:r>
          </w:p>
        </w:tc>
        <w:tc>
          <w:tcPr>
            <w:tcW w:w="858" w:type="dxa"/>
            <w:tcBorders>
              <w:top w:val="nil"/>
              <w:left w:val="nil"/>
              <w:bottom w:val="single" w:sz="4" w:space="0" w:color="auto"/>
              <w:right w:val="single" w:sz="4" w:space="0" w:color="auto"/>
            </w:tcBorders>
            <w:shd w:val="clear" w:color="auto" w:fill="auto"/>
            <w:noWrap/>
            <w:vAlign w:val="bottom"/>
            <w:hideMark/>
          </w:tcPr>
          <w:p w14:paraId="527853DD" w14:textId="77777777" w:rsidR="002007A6" w:rsidRPr="00BC3A42" w:rsidRDefault="002007A6" w:rsidP="00D700A2">
            <w:pPr>
              <w:jc w:val="center"/>
              <w:rPr>
                <w:color w:val="000000"/>
                <w:sz w:val="22"/>
                <w:szCs w:val="22"/>
              </w:rPr>
            </w:pPr>
            <w:r w:rsidRPr="00BC3A42">
              <w:rPr>
                <w:color w:val="000000"/>
                <w:sz w:val="22"/>
                <w:szCs w:val="22"/>
              </w:rPr>
              <w:t>281</w:t>
            </w:r>
          </w:p>
        </w:tc>
        <w:tc>
          <w:tcPr>
            <w:tcW w:w="858" w:type="dxa"/>
            <w:tcBorders>
              <w:top w:val="nil"/>
              <w:left w:val="nil"/>
              <w:bottom w:val="single" w:sz="4" w:space="0" w:color="auto"/>
              <w:right w:val="single" w:sz="4" w:space="0" w:color="auto"/>
            </w:tcBorders>
            <w:shd w:val="clear" w:color="auto" w:fill="auto"/>
            <w:noWrap/>
            <w:vAlign w:val="bottom"/>
            <w:hideMark/>
          </w:tcPr>
          <w:p w14:paraId="6D363719" w14:textId="77777777" w:rsidR="002007A6" w:rsidRPr="00BC3A42" w:rsidRDefault="002007A6" w:rsidP="00D700A2">
            <w:pPr>
              <w:jc w:val="center"/>
              <w:rPr>
                <w:color w:val="000000"/>
                <w:sz w:val="22"/>
                <w:szCs w:val="22"/>
              </w:rPr>
            </w:pPr>
            <w:r w:rsidRPr="00BC3A42">
              <w:rPr>
                <w:color w:val="000000"/>
                <w:sz w:val="22"/>
                <w:szCs w:val="22"/>
              </w:rPr>
              <w:t>365</w:t>
            </w:r>
          </w:p>
        </w:tc>
        <w:tc>
          <w:tcPr>
            <w:tcW w:w="858" w:type="dxa"/>
            <w:tcBorders>
              <w:top w:val="nil"/>
              <w:left w:val="nil"/>
              <w:bottom w:val="single" w:sz="4" w:space="0" w:color="auto"/>
              <w:right w:val="single" w:sz="4" w:space="0" w:color="auto"/>
            </w:tcBorders>
            <w:shd w:val="clear" w:color="auto" w:fill="auto"/>
            <w:noWrap/>
            <w:vAlign w:val="bottom"/>
            <w:hideMark/>
          </w:tcPr>
          <w:p w14:paraId="53ECB6E9" w14:textId="77777777" w:rsidR="002007A6" w:rsidRPr="00BC3A42" w:rsidRDefault="002007A6" w:rsidP="00D700A2">
            <w:pPr>
              <w:jc w:val="center"/>
              <w:rPr>
                <w:color w:val="000000"/>
                <w:sz w:val="22"/>
                <w:szCs w:val="22"/>
              </w:rPr>
            </w:pPr>
            <w:r w:rsidRPr="00BC3A42">
              <w:rPr>
                <w:color w:val="000000"/>
                <w:sz w:val="22"/>
                <w:szCs w:val="22"/>
              </w:rPr>
              <w:t>250</w:t>
            </w:r>
          </w:p>
        </w:tc>
        <w:tc>
          <w:tcPr>
            <w:tcW w:w="858" w:type="dxa"/>
            <w:tcBorders>
              <w:top w:val="nil"/>
              <w:left w:val="nil"/>
              <w:bottom w:val="single" w:sz="4" w:space="0" w:color="auto"/>
              <w:right w:val="single" w:sz="4" w:space="0" w:color="auto"/>
            </w:tcBorders>
            <w:shd w:val="clear" w:color="auto" w:fill="auto"/>
            <w:noWrap/>
            <w:vAlign w:val="bottom"/>
            <w:hideMark/>
          </w:tcPr>
          <w:p w14:paraId="3B31FA29" w14:textId="77777777" w:rsidR="002007A6" w:rsidRPr="00BC3A42" w:rsidRDefault="002007A6" w:rsidP="00D700A2">
            <w:pPr>
              <w:jc w:val="center"/>
              <w:rPr>
                <w:color w:val="000000"/>
                <w:sz w:val="22"/>
                <w:szCs w:val="22"/>
              </w:rPr>
            </w:pPr>
            <w:r w:rsidRPr="00BC3A42">
              <w:rPr>
                <w:color w:val="000000"/>
                <w:sz w:val="22"/>
                <w:szCs w:val="22"/>
              </w:rPr>
              <w:t>317</w:t>
            </w:r>
          </w:p>
        </w:tc>
        <w:tc>
          <w:tcPr>
            <w:tcW w:w="858" w:type="dxa"/>
            <w:tcBorders>
              <w:top w:val="nil"/>
              <w:left w:val="nil"/>
              <w:bottom w:val="single" w:sz="4" w:space="0" w:color="auto"/>
              <w:right w:val="single" w:sz="4" w:space="0" w:color="auto"/>
            </w:tcBorders>
            <w:shd w:val="clear" w:color="auto" w:fill="auto"/>
            <w:noWrap/>
            <w:vAlign w:val="bottom"/>
            <w:hideMark/>
          </w:tcPr>
          <w:p w14:paraId="0756D7DB" w14:textId="77777777" w:rsidR="002007A6" w:rsidRPr="00BC3A42" w:rsidRDefault="002007A6" w:rsidP="00D700A2">
            <w:pPr>
              <w:jc w:val="center"/>
              <w:rPr>
                <w:color w:val="000000"/>
                <w:sz w:val="22"/>
                <w:szCs w:val="22"/>
              </w:rPr>
            </w:pPr>
            <w:r w:rsidRPr="00BC3A42">
              <w:rPr>
                <w:color w:val="000000"/>
                <w:sz w:val="22"/>
                <w:szCs w:val="22"/>
              </w:rPr>
              <w:t>392</w:t>
            </w:r>
          </w:p>
        </w:tc>
        <w:tc>
          <w:tcPr>
            <w:tcW w:w="858" w:type="dxa"/>
            <w:tcBorders>
              <w:top w:val="nil"/>
              <w:left w:val="nil"/>
              <w:bottom w:val="single" w:sz="4" w:space="0" w:color="auto"/>
              <w:right w:val="single" w:sz="4" w:space="0" w:color="auto"/>
            </w:tcBorders>
            <w:shd w:val="clear" w:color="auto" w:fill="auto"/>
            <w:noWrap/>
            <w:vAlign w:val="bottom"/>
            <w:hideMark/>
          </w:tcPr>
          <w:p w14:paraId="29A3A1AF" w14:textId="77777777" w:rsidR="002007A6" w:rsidRPr="00BC3A42" w:rsidRDefault="002007A6" w:rsidP="00D700A2">
            <w:pPr>
              <w:jc w:val="center"/>
              <w:rPr>
                <w:color w:val="000000"/>
                <w:sz w:val="22"/>
                <w:szCs w:val="22"/>
              </w:rPr>
            </w:pPr>
            <w:r w:rsidRPr="00BC3A42">
              <w:rPr>
                <w:color w:val="000000"/>
                <w:sz w:val="22"/>
                <w:szCs w:val="22"/>
              </w:rPr>
              <w:t>438</w:t>
            </w:r>
          </w:p>
        </w:tc>
        <w:tc>
          <w:tcPr>
            <w:tcW w:w="858" w:type="dxa"/>
            <w:tcBorders>
              <w:top w:val="nil"/>
              <w:left w:val="nil"/>
              <w:bottom w:val="single" w:sz="4" w:space="0" w:color="auto"/>
              <w:right w:val="single" w:sz="4" w:space="0" w:color="auto"/>
            </w:tcBorders>
            <w:shd w:val="clear" w:color="auto" w:fill="auto"/>
            <w:noWrap/>
            <w:vAlign w:val="bottom"/>
            <w:hideMark/>
          </w:tcPr>
          <w:p w14:paraId="057E881A" w14:textId="77777777" w:rsidR="002007A6" w:rsidRPr="00BC3A42" w:rsidRDefault="002007A6" w:rsidP="00D700A2">
            <w:pPr>
              <w:jc w:val="center"/>
              <w:rPr>
                <w:color w:val="000000"/>
                <w:sz w:val="22"/>
                <w:szCs w:val="22"/>
              </w:rPr>
            </w:pPr>
            <w:r w:rsidRPr="00BC3A42">
              <w:rPr>
                <w:color w:val="000000"/>
                <w:sz w:val="22"/>
                <w:szCs w:val="22"/>
              </w:rPr>
              <w:t>536</w:t>
            </w:r>
          </w:p>
        </w:tc>
        <w:tc>
          <w:tcPr>
            <w:tcW w:w="858" w:type="dxa"/>
            <w:tcBorders>
              <w:top w:val="nil"/>
              <w:left w:val="nil"/>
              <w:bottom w:val="single" w:sz="4" w:space="0" w:color="auto"/>
              <w:right w:val="single" w:sz="4" w:space="0" w:color="auto"/>
            </w:tcBorders>
            <w:shd w:val="clear" w:color="auto" w:fill="auto"/>
            <w:noWrap/>
            <w:vAlign w:val="bottom"/>
            <w:hideMark/>
          </w:tcPr>
          <w:p w14:paraId="6237F288" w14:textId="77777777" w:rsidR="002007A6" w:rsidRPr="00BC3A42" w:rsidRDefault="002007A6" w:rsidP="00D700A2">
            <w:pPr>
              <w:jc w:val="center"/>
              <w:rPr>
                <w:color w:val="000000"/>
                <w:sz w:val="22"/>
                <w:szCs w:val="22"/>
              </w:rPr>
            </w:pPr>
            <w:r w:rsidRPr="00BC3A42">
              <w:rPr>
                <w:color w:val="000000"/>
                <w:sz w:val="22"/>
                <w:szCs w:val="22"/>
              </w:rPr>
              <w:t>545</w:t>
            </w:r>
          </w:p>
        </w:tc>
        <w:tc>
          <w:tcPr>
            <w:tcW w:w="858" w:type="dxa"/>
            <w:tcBorders>
              <w:top w:val="nil"/>
              <w:left w:val="nil"/>
              <w:bottom w:val="single" w:sz="4" w:space="0" w:color="auto"/>
              <w:right w:val="single" w:sz="8" w:space="0" w:color="auto"/>
            </w:tcBorders>
            <w:shd w:val="clear" w:color="auto" w:fill="auto"/>
            <w:noWrap/>
            <w:vAlign w:val="bottom"/>
            <w:hideMark/>
          </w:tcPr>
          <w:p w14:paraId="1760483D" w14:textId="77777777" w:rsidR="002007A6" w:rsidRPr="00BC3A42" w:rsidRDefault="002007A6" w:rsidP="00D700A2">
            <w:pPr>
              <w:jc w:val="center"/>
              <w:rPr>
                <w:color w:val="000000"/>
                <w:sz w:val="22"/>
                <w:szCs w:val="22"/>
              </w:rPr>
            </w:pPr>
            <w:r w:rsidRPr="00BC3A42">
              <w:rPr>
                <w:color w:val="000000"/>
                <w:sz w:val="22"/>
                <w:szCs w:val="22"/>
              </w:rPr>
              <w:t>545</w:t>
            </w:r>
          </w:p>
        </w:tc>
      </w:tr>
      <w:tr w:rsidR="002007A6" w:rsidRPr="00BC3A42" w14:paraId="4353EC88" w14:textId="77777777" w:rsidTr="00D700A2">
        <w:trPr>
          <w:trHeight w:val="378"/>
          <w:jc w:val="center"/>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5B457947" w14:textId="77777777" w:rsidR="002007A6" w:rsidRPr="00BC3A42" w:rsidRDefault="002007A6" w:rsidP="002007A6">
            <w:pPr>
              <w:rPr>
                <w:b/>
                <w:color w:val="000000"/>
                <w:sz w:val="22"/>
                <w:szCs w:val="22"/>
              </w:rPr>
            </w:pPr>
            <w:r w:rsidRPr="00BC3A42">
              <w:rPr>
                <w:b/>
                <w:color w:val="000000"/>
                <w:sz w:val="22"/>
                <w:szCs w:val="22"/>
              </w:rPr>
              <w:t>Spānija</w:t>
            </w:r>
          </w:p>
        </w:tc>
        <w:tc>
          <w:tcPr>
            <w:tcW w:w="858" w:type="dxa"/>
            <w:tcBorders>
              <w:top w:val="nil"/>
              <w:left w:val="nil"/>
              <w:bottom w:val="single" w:sz="4" w:space="0" w:color="auto"/>
              <w:right w:val="single" w:sz="4" w:space="0" w:color="auto"/>
            </w:tcBorders>
            <w:shd w:val="clear" w:color="auto" w:fill="auto"/>
            <w:noWrap/>
            <w:vAlign w:val="bottom"/>
            <w:hideMark/>
          </w:tcPr>
          <w:p w14:paraId="134A7C87"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2B97F174"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7F16C1A2" w14:textId="77777777" w:rsidR="002007A6" w:rsidRPr="00BC3A42" w:rsidRDefault="002007A6" w:rsidP="00D700A2">
            <w:pPr>
              <w:jc w:val="center"/>
              <w:rPr>
                <w:color w:val="000000"/>
                <w:sz w:val="22"/>
                <w:szCs w:val="22"/>
              </w:rPr>
            </w:pPr>
            <w:r w:rsidRPr="00BC3A42">
              <w:rPr>
                <w:color w:val="000000"/>
                <w:sz w:val="22"/>
                <w:szCs w:val="22"/>
              </w:rPr>
              <w:t>28</w:t>
            </w:r>
          </w:p>
        </w:tc>
        <w:tc>
          <w:tcPr>
            <w:tcW w:w="858" w:type="dxa"/>
            <w:tcBorders>
              <w:top w:val="nil"/>
              <w:left w:val="nil"/>
              <w:bottom w:val="single" w:sz="4" w:space="0" w:color="auto"/>
              <w:right w:val="single" w:sz="4" w:space="0" w:color="auto"/>
            </w:tcBorders>
            <w:shd w:val="clear" w:color="auto" w:fill="auto"/>
            <w:noWrap/>
            <w:vAlign w:val="bottom"/>
            <w:hideMark/>
          </w:tcPr>
          <w:p w14:paraId="270F6388" w14:textId="77777777" w:rsidR="002007A6" w:rsidRPr="00BC3A42" w:rsidRDefault="002007A6" w:rsidP="00D700A2">
            <w:pPr>
              <w:jc w:val="center"/>
              <w:rPr>
                <w:color w:val="000000"/>
                <w:sz w:val="22"/>
                <w:szCs w:val="22"/>
              </w:rPr>
            </w:pPr>
            <w:r w:rsidRPr="00BC3A42">
              <w:rPr>
                <w:color w:val="000000"/>
                <w:sz w:val="22"/>
                <w:szCs w:val="22"/>
              </w:rPr>
              <w:t>73</w:t>
            </w:r>
          </w:p>
        </w:tc>
        <w:tc>
          <w:tcPr>
            <w:tcW w:w="858" w:type="dxa"/>
            <w:tcBorders>
              <w:top w:val="nil"/>
              <w:left w:val="nil"/>
              <w:bottom w:val="single" w:sz="4" w:space="0" w:color="auto"/>
              <w:right w:val="single" w:sz="4" w:space="0" w:color="auto"/>
            </w:tcBorders>
            <w:shd w:val="clear" w:color="auto" w:fill="auto"/>
            <w:noWrap/>
            <w:vAlign w:val="bottom"/>
            <w:hideMark/>
          </w:tcPr>
          <w:p w14:paraId="146A1FAB" w14:textId="77777777" w:rsidR="002007A6" w:rsidRPr="00BC3A42" w:rsidRDefault="002007A6" w:rsidP="00D700A2">
            <w:pPr>
              <w:jc w:val="center"/>
              <w:rPr>
                <w:color w:val="000000"/>
                <w:sz w:val="22"/>
                <w:szCs w:val="22"/>
              </w:rPr>
            </w:pPr>
            <w:r w:rsidRPr="00BC3A42">
              <w:rPr>
                <w:color w:val="000000"/>
                <w:sz w:val="22"/>
                <w:szCs w:val="22"/>
              </w:rPr>
              <w:t>179</w:t>
            </w:r>
          </w:p>
        </w:tc>
        <w:tc>
          <w:tcPr>
            <w:tcW w:w="858" w:type="dxa"/>
            <w:tcBorders>
              <w:top w:val="nil"/>
              <w:left w:val="nil"/>
              <w:bottom w:val="single" w:sz="4" w:space="0" w:color="auto"/>
              <w:right w:val="single" w:sz="4" w:space="0" w:color="auto"/>
            </w:tcBorders>
            <w:shd w:val="clear" w:color="auto" w:fill="auto"/>
            <w:noWrap/>
            <w:vAlign w:val="bottom"/>
            <w:hideMark/>
          </w:tcPr>
          <w:p w14:paraId="464D8CA2" w14:textId="77777777" w:rsidR="002007A6" w:rsidRPr="00BC3A42" w:rsidRDefault="002007A6" w:rsidP="00D700A2">
            <w:pPr>
              <w:jc w:val="center"/>
              <w:rPr>
                <w:color w:val="000000"/>
                <w:sz w:val="22"/>
                <w:szCs w:val="22"/>
              </w:rPr>
            </w:pPr>
            <w:r w:rsidRPr="00BC3A42">
              <w:rPr>
                <w:color w:val="000000"/>
                <w:sz w:val="22"/>
                <w:szCs w:val="22"/>
              </w:rPr>
              <w:t>377</w:t>
            </w:r>
          </w:p>
        </w:tc>
        <w:tc>
          <w:tcPr>
            <w:tcW w:w="858" w:type="dxa"/>
            <w:tcBorders>
              <w:top w:val="nil"/>
              <w:left w:val="nil"/>
              <w:bottom w:val="single" w:sz="4" w:space="0" w:color="auto"/>
              <w:right w:val="single" w:sz="4" w:space="0" w:color="auto"/>
            </w:tcBorders>
            <w:shd w:val="clear" w:color="auto" w:fill="auto"/>
            <w:noWrap/>
            <w:vAlign w:val="bottom"/>
            <w:hideMark/>
          </w:tcPr>
          <w:p w14:paraId="2818EE75" w14:textId="77777777" w:rsidR="002007A6" w:rsidRPr="00BC3A42" w:rsidRDefault="002007A6" w:rsidP="00D700A2">
            <w:pPr>
              <w:jc w:val="center"/>
              <w:rPr>
                <w:color w:val="000000"/>
                <w:sz w:val="22"/>
                <w:szCs w:val="22"/>
              </w:rPr>
            </w:pPr>
            <w:r w:rsidRPr="00BC3A42">
              <w:rPr>
                <w:color w:val="000000"/>
                <w:sz w:val="22"/>
                <w:szCs w:val="22"/>
              </w:rPr>
              <w:t>262</w:t>
            </w:r>
          </w:p>
        </w:tc>
        <w:tc>
          <w:tcPr>
            <w:tcW w:w="858" w:type="dxa"/>
            <w:tcBorders>
              <w:top w:val="nil"/>
              <w:left w:val="nil"/>
              <w:bottom w:val="single" w:sz="4" w:space="0" w:color="auto"/>
              <w:right w:val="single" w:sz="4" w:space="0" w:color="auto"/>
            </w:tcBorders>
            <w:shd w:val="clear" w:color="auto" w:fill="auto"/>
            <w:noWrap/>
            <w:vAlign w:val="bottom"/>
            <w:hideMark/>
          </w:tcPr>
          <w:p w14:paraId="5F80BC8B" w14:textId="77777777" w:rsidR="002007A6" w:rsidRPr="00BC3A42" w:rsidRDefault="002007A6" w:rsidP="00D700A2">
            <w:pPr>
              <w:jc w:val="center"/>
              <w:rPr>
                <w:color w:val="000000"/>
                <w:sz w:val="22"/>
                <w:szCs w:val="22"/>
              </w:rPr>
            </w:pPr>
            <w:r w:rsidRPr="00BC3A42">
              <w:rPr>
                <w:color w:val="000000"/>
                <w:sz w:val="22"/>
                <w:szCs w:val="22"/>
              </w:rPr>
              <w:t>418</w:t>
            </w:r>
          </w:p>
        </w:tc>
        <w:tc>
          <w:tcPr>
            <w:tcW w:w="858" w:type="dxa"/>
            <w:tcBorders>
              <w:top w:val="nil"/>
              <w:left w:val="nil"/>
              <w:bottom w:val="single" w:sz="4" w:space="0" w:color="auto"/>
              <w:right w:val="single" w:sz="8" w:space="0" w:color="auto"/>
            </w:tcBorders>
            <w:shd w:val="clear" w:color="auto" w:fill="auto"/>
            <w:noWrap/>
            <w:vAlign w:val="bottom"/>
            <w:hideMark/>
          </w:tcPr>
          <w:p w14:paraId="68CE099E" w14:textId="77777777" w:rsidR="002007A6" w:rsidRPr="00BC3A42" w:rsidRDefault="002007A6" w:rsidP="00D700A2">
            <w:pPr>
              <w:jc w:val="center"/>
              <w:rPr>
                <w:color w:val="000000"/>
                <w:sz w:val="22"/>
                <w:szCs w:val="22"/>
              </w:rPr>
            </w:pPr>
            <w:r w:rsidRPr="00BC3A42">
              <w:rPr>
                <w:color w:val="000000"/>
                <w:sz w:val="22"/>
                <w:szCs w:val="22"/>
              </w:rPr>
              <w:t>465</w:t>
            </w:r>
          </w:p>
        </w:tc>
      </w:tr>
      <w:tr w:rsidR="002007A6" w:rsidRPr="00BC3A42" w14:paraId="3BFA8AB1" w14:textId="77777777" w:rsidTr="00D700A2">
        <w:trPr>
          <w:trHeight w:val="378"/>
          <w:jc w:val="center"/>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05A5FA19" w14:textId="77777777" w:rsidR="002007A6" w:rsidRPr="00BC3A42" w:rsidRDefault="002007A6" w:rsidP="002007A6">
            <w:pPr>
              <w:rPr>
                <w:b/>
                <w:color w:val="000000"/>
                <w:sz w:val="22"/>
                <w:szCs w:val="22"/>
              </w:rPr>
            </w:pPr>
            <w:r w:rsidRPr="00BC3A42">
              <w:rPr>
                <w:b/>
                <w:color w:val="000000"/>
                <w:sz w:val="22"/>
                <w:szCs w:val="22"/>
              </w:rPr>
              <w:t>Itālija</w:t>
            </w:r>
          </w:p>
        </w:tc>
        <w:tc>
          <w:tcPr>
            <w:tcW w:w="858" w:type="dxa"/>
            <w:tcBorders>
              <w:top w:val="nil"/>
              <w:left w:val="nil"/>
              <w:bottom w:val="single" w:sz="4" w:space="0" w:color="auto"/>
              <w:right w:val="single" w:sz="4" w:space="0" w:color="auto"/>
            </w:tcBorders>
            <w:shd w:val="clear" w:color="auto" w:fill="auto"/>
            <w:noWrap/>
            <w:vAlign w:val="bottom"/>
            <w:hideMark/>
          </w:tcPr>
          <w:p w14:paraId="4B7838A5"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5E21E82F"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55D52F89"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6E8D7A27"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44940CC6"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7EBAE344" w14:textId="77777777" w:rsidR="002007A6" w:rsidRPr="00BC3A42" w:rsidRDefault="002007A6" w:rsidP="00D700A2">
            <w:pPr>
              <w:jc w:val="center"/>
              <w:rPr>
                <w:color w:val="000000"/>
                <w:sz w:val="22"/>
                <w:szCs w:val="22"/>
              </w:rPr>
            </w:pPr>
            <w:r w:rsidRPr="00BC3A42">
              <w:rPr>
                <w:color w:val="000000"/>
                <w:sz w:val="22"/>
                <w:szCs w:val="22"/>
              </w:rPr>
              <w:t>323</w:t>
            </w:r>
          </w:p>
        </w:tc>
        <w:tc>
          <w:tcPr>
            <w:tcW w:w="858" w:type="dxa"/>
            <w:tcBorders>
              <w:top w:val="nil"/>
              <w:left w:val="nil"/>
              <w:bottom w:val="single" w:sz="4" w:space="0" w:color="auto"/>
              <w:right w:val="single" w:sz="4" w:space="0" w:color="auto"/>
            </w:tcBorders>
            <w:shd w:val="clear" w:color="auto" w:fill="auto"/>
            <w:noWrap/>
            <w:vAlign w:val="bottom"/>
            <w:hideMark/>
          </w:tcPr>
          <w:p w14:paraId="62AD91A6" w14:textId="77777777" w:rsidR="002007A6" w:rsidRPr="00BC3A42" w:rsidRDefault="002007A6" w:rsidP="00D700A2">
            <w:pPr>
              <w:jc w:val="center"/>
              <w:rPr>
                <w:color w:val="000000"/>
                <w:sz w:val="22"/>
                <w:szCs w:val="22"/>
              </w:rPr>
            </w:pPr>
            <w:r w:rsidRPr="00BC3A42">
              <w:rPr>
                <w:color w:val="000000"/>
                <w:sz w:val="22"/>
                <w:szCs w:val="22"/>
              </w:rPr>
              <w:t>323</w:t>
            </w:r>
          </w:p>
        </w:tc>
        <w:tc>
          <w:tcPr>
            <w:tcW w:w="858" w:type="dxa"/>
            <w:tcBorders>
              <w:top w:val="nil"/>
              <w:left w:val="nil"/>
              <w:bottom w:val="single" w:sz="4" w:space="0" w:color="auto"/>
              <w:right w:val="single" w:sz="4" w:space="0" w:color="auto"/>
            </w:tcBorders>
            <w:shd w:val="clear" w:color="auto" w:fill="auto"/>
            <w:noWrap/>
            <w:vAlign w:val="bottom"/>
            <w:hideMark/>
          </w:tcPr>
          <w:p w14:paraId="37B98783" w14:textId="77777777" w:rsidR="002007A6" w:rsidRPr="00BC3A42" w:rsidRDefault="002007A6" w:rsidP="00D700A2">
            <w:pPr>
              <w:jc w:val="center"/>
              <w:rPr>
                <w:color w:val="000000"/>
                <w:sz w:val="22"/>
                <w:szCs w:val="22"/>
              </w:rPr>
            </w:pPr>
            <w:r w:rsidRPr="00BC3A42">
              <w:rPr>
                <w:color w:val="000000"/>
                <w:sz w:val="22"/>
                <w:szCs w:val="22"/>
              </w:rPr>
              <w:t>323</w:t>
            </w:r>
          </w:p>
        </w:tc>
        <w:tc>
          <w:tcPr>
            <w:tcW w:w="858" w:type="dxa"/>
            <w:tcBorders>
              <w:top w:val="nil"/>
              <w:left w:val="nil"/>
              <w:bottom w:val="single" w:sz="4" w:space="0" w:color="auto"/>
              <w:right w:val="single" w:sz="8" w:space="0" w:color="auto"/>
            </w:tcBorders>
            <w:shd w:val="clear" w:color="auto" w:fill="auto"/>
            <w:noWrap/>
            <w:vAlign w:val="bottom"/>
            <w:hideMark/>
          </w:tcPr>
          <w:p w14:paraId="6390903E" w14:textId="77777777" w:rsidR="002007A6" w:rsidRPr="00BC3A42" w:rsidRDefault="002007A6" w:rsidP="00D700A2">
            <w:pPr>
              <w:jc w:val="center"/>
              <w:rPr>
                <w:color w:val="000000"/>
                <w:sz w:val="22"/>
                <w:szCs w:val="22"/>
              </w:rPr>
            </w:pPr>
            <w:r w:rsidRPr="00BC3A42">
              <w:rPr>
                <w:color w:val="000000"/>
                <w:sz w:val="22"/>
                <w:szCs w:val="22"/>
              </w:rPr>
              <w:t>323</w:t>
            </w:r>
          </w:p>
        </w:tc>
      </w:tr>
      <w:tr w:rsidR="002007A6" w:rsidRPr="00BC3A42" w14:paraId="2E1200A0" w14:textId="77777777" w:rsidTr="00D700A2">
        <w:trPr>
          <w:trHeight w:val="378"/>
          <w:jc w:val="center"/>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15A77EEC" w14:textId="77777777" w:rsidR="002007A6" w:rsidRPr="00BC3A42" w:rsidRDefault="002007A6" w:rsidP="002007A6">
            <w:pPr>
              <w:rPr>
                <w:b/>
                <w:color w:val="000000"/>
                <w:sz w:val="22"/>
                <w:szCs w:val="22"/>
              </w:rPr>
            </w:pPr>
            <w:r w:rsidRPr="00BC3A42">
              <w:rPr>
                <w:b/>
                <w:color w:val="000000"/>
                <w:sz w:val="22"/>
                <w:szCs w:val="22"/>
              </w:rPr>
              <w:t>Portugāle</w:t>
            </w:r>
          </w:p>
        </w:tc>
        <w:tc>
          <w:tcPr>
            <w:tcW w:w="858" w:type="dxa"/>
            <w:tcBorders>
              <w:top w:val="nil"/>
              <w:left w:val="nil"/>
              <w:bottom w:val="single" w:sz="4" w:space="0" w:color="auto"/>
              <w:right w:val="single" w:sz="4" w:space="0" w:color="auto"/>
            </w:tcBorders>
            <w:shd w:val="clear" w:color="auto" w:fill="auto"/>
            <w:noWrap/>
            <w:vAlign w:val="bottom"/>
            <w:hideMark/>
          </w:tcPr>
          <w:p w14:paraId="55BCD64F"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487685D7"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05F96D97"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4CEDDD39"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5C4CA35B"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0323B720"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0C34EAAB"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4" w:space="0" w:color="auto"/>
            </w:tcBorders>
            <w:shd w:val="clear" w:color="auto" w:fill="auto"/>
            <w:noWrap/>
            <w:vAlign w:val="bottom"/>
            <w:hideMark/>
          </w:tcPr>
          <w:p w14:paraId="651B63C2" w14:textId="77777777" w:rsidR="002007A6" w:rsidRPr="00BC3A42" w:rsidRDefault="00D700A2" w:rsidP="00D700A2">
            <w:pPr>
              <w:jc w:val="center"/>
              <w:rPr>
                <w:color w:val="000000"/>
                <w:sz w:val="22"/>
                <w:szCs w:val="22"/>
              </w:rPr>
            </w:pPr>
            <w:r w:rsidRPr="00BC3A42">
              <w:rPr>
                <w:color w:val="000000"/>
                <w:sz w:val="22"/>
                <w:szCs w:val="22"/>
              </w:rPr>
              <w:t>-</w:t>
            </w:r>
          </w:p>
        </w:tc>
        <w:tc>
          <w:tcPr>
            <w:tcW w:w="858" w:type="dxa"/>
            <w:tcBorders>
              <w:top w:val="nil"/>
              <w:left w:val="nil"/>
              <w:bottom w:val="single" w:sz="4" w:space="0" w:color="auto"/>
              <w:right w:val="single" w:sz="8" w:space="0" w:color="auto"/>
            </w:tcBorders>
            <w:shd w:val="clear" w:color="auto" w:fill="auto"/>
            <w:noWrap/>
            <w:vAlign w:val="bottom"/>
            <w:hideMark/>
          </w:tcPr>
          <w:p w14:paraId="66CEFECE" w14:textId="77777777" w:rsidR="002007A6" w:rsidRPr="00BC3A42" w:rsidRDefault="002007A6" w:rsidP="00D700A2">
            <w:pPr>
              <w:jc w:val="center"/>
              <w:rPr>
                <w:color w:val="000000"/>
                <w:sz w:val="22"/>
                <w:szCs w:val="22"/>
              </w:rPr>
            </w:pPr>
            <w:r w:rsidRPr="00BC3A42">
              <w:rPr>
                <w:color w:val="000000"/>
                <w:sz w:val="22"/>
                <w:szCs w:val="22"/>
              </w:rPr>
              <w:t>32</w:t>
            </w:r>
          </w:p>
        </w:tc>
      </w:tr>
      <w:tr w:rsidR="002007A6" w:rsidRPr="00BC3A42" w14:paraId="55740C15" w14:textId="77777777" w:rsidTr="00D700A2">
        <w:trPr>
          <w:trHeight w:val="396"/>
          <w:jc w:val="center"/>
        </w:trPr>
        <w:tc>
          <w:tcPr>
            <w:tcW w:w="1359" w:type="dxa"/>
            <w:tcBorders>
              <w:top w:val="nil"/>
              <w:left w:val="single" w:sz="8" w:space="0" w:color="auto"/>
              <w:bottom w:val="single" w:sz="8" w:space="0" w:color="auto"/>
              <w:right w:val="single" w:sz="4" w:space="0" w:color="auto"/>
            </w:tcBorders>
            <w:shd w:val="clear" w:color="auto" w:fill="auto"/>
            <w:noWrap/>
            <w:vAlign w:val="bottom"/>
            <w:hideMark/>
          </w:tcPr>
          <w:p w14:paraId="03AEC129" w14:textId="77777777" w:rsidR="002007A6" w:rsidRPr="00BC3A42" w:rsidRDefault="002007A6" w:rsidP="002007A6">
            <w:pPr>
              <w:rPr>
                <w:b/>
                <w:color w:val="000000"/>
                <w:sz w:val="22"/>
                <w:szCs w:val="22"/>
              </w:rPr>
            </w:pPr>
            <w:r w:rsidRPr="00BC3A42">
              <w:rPr>
                <w:b/>
                <w:color w:val="000000"/>
                <w:sz w:val="22"/>
                <w:szCs w:val="22"/>
              </w:rPr>
              <w:t>Kopā ES</w:t>
            </w:r>
          </w:p>
        </w:tc>
        <w:tc>
          <w:tcPr>
            <w:tcW w:w="858" w:type="dxa"/>
            <w:tcBorders>
              <w:top w:val="nil"/>
              <w:left w:val="nil"/>
              <w:bottom w:val="single" w:sz="8" w:space="0" w:color="auto"/>
              <w:right w:val="single" w:sz="4" w:space="0" w:color="auto"/>
            </w:tcBorders>
            <w:shd w:val="clear" w:color="auto" w:fill="auto"/>
            <w:noWrap/>
            <w:vAlign w:val="bottom"/>
            <w:hideMark/>
          </w:tcPr>
          <w:p w14:paraId="6234FCDD" w14:textId="77777777" w:rsidR="002007A6" w:rsidRPr="00BC3A42" w:rsidRDefault="002007A6" w:rsidP="00D700A2">
            <w:pPr>
              <w:jc w:val="center"/>
              <w:rPr>
                <w:color w:val="000000"/>
                <w:sz w:val="22"/>
                <w:szCs w:val="22"/>
              </w:rPr>
            </w:pPr>
            <w:r w:rsidRPr="00BC3A42">
              <w:rPr>
                <w:color w:val="000000"/>
                <w:sz w:val="22"/>
                <w:szCs w:val="22"/>
              </w:rPr>
              <w:t>281</w:t>
            </w:r>
          </w:p>
        </w:tc>
        <w:tc>
          <w:tcPr>
            <w:tcW w:w="858" w:type="dxa"/>
            <w:tcBorders>
              <w:top w:val="nil"/>
              <w:left w:val="nil"/>
              <w:bottom w:val="single" w:sz="8" w:space="0" w:color="auto"/>
              <w:right w:val="single" w:sz="4" w:space="0" w:color="auto"/>
            </w:tcBorders>
            <w:shd w:val="clear" w:color="auto" w:fill="auto"/>
            <w:noWrap/>
            <w:vAlign w:val="bottom"/>
            <w:hideMark/>
          </w:tcPr>
          <w:p w14:paraId="25D58241" w14:textId="77777777" w:rsidR="002007A6" w:rsidRPr="00BC3A42" w:rsidRDefault="002007A6" w:rsidP="00D700A2">
            <w:pPr>
              <w:jc w:val="center"/>
              <w:rPr>
                <w:color w:val="000000"/>
                <w:sz w:val="22"/>
                <w:szCs w:val="22"/>
              </w:rPr>
            </w:pPr>
            <w:r w:rsidRPr="00BC3A42">
              <w:rPr>
                <w:color w:val="000000"/>
                <w:sz w:val="22"/>
                <w:szCs w:val="22"/>
              </w:rPr>
              <w:t>365</w:t>
            </w:r>
          </w:p>
        </w:tc>
        <w:tc>
          <w:tcPr>
            <w:tcW w:w="858" w:type="dxa"/>
            <w:tcBorders>
              <w:top w:val="nil"/>
              <w:left w:val="nil"/>
              <w:bottom w:val="single" w:sz="8" w:space="0" w:color="auto"/>
              <w:right w:val="single" w:sz="4" w:space="0" w:color="auto"/>
            </w:tcBorders>
            <w:shd w:val="clear" w:color="auto" w:fill="auto"/>
            <w:noWrap/>
            <w:vAlign w:val="bottom"/>
            <w:hideMark/>
          </w:tcPr>
          <w:p w14:paraId="0AF2B489" w14:textId="77777777" w:rsidR="002007A6" w:rsidRPr="00BC3A42" w:rsidRDefault="002007A6" w:rsidP="00D700A2">
            <w:pPr>
              <w:jc w:val="center"/>
              <w:rPr>
                <w:color w:val="000000"/>
                <w:sz w:val="22"/>
                <w:szCs w:val="22"/>
              </w:rPr>
            </w:pPr>
            <w:r w:rsidRPr="00BC3A42">
              <w:rPr>
                <w:color w:val="000000"/>
                <w:sz w:val="22"/>
                <w:szCs w:val="22"/>
              </w:rPr>
              <w:t>278</w:t>
            </w:r>
          </w:p>
        </w:tc>
        <w:tc>
          <w:tcPr>
            <w:tcW w:w="858" w:type="dxa"/>
            <w:tcBorders>
              <w:top w:val="nil"/>
              <w:left w:val="nil"/>
              <w:bottom w:val="single" w:sz="8" w:space="0" w:color="auto"/>
              <w:right w:val="single" w:sz="4" w:space="0" w:color="auto"/>
            </w:tcBorders>
            <w:shd w:val="clear" w:color="auto" w:fill="auto"/>
            <w:noWrap/>
            <w:vAlign w:val="bottom"/>
            <w:hideMark/>
          </w:tcPr>
          <w:p w14:paraId="1C0492BC" w14:textId="77777777" w:rsidR="002007A6" w:rsidRPr="00BC3A42" w:rsidRDefault="002007A6" w:rsidP="00D700A2">
            <w:pPr>
              <w:jc w:val="center"/>
              <w:rPr>
                <w:color w:val="000000"/>
                <w:sz w:val="22"/>
                <w:szCs w:val="22"/>
              </w:rPr>
            </w:pPr>
            <w:r w:rsidRPr="00BC3A42">
              <w:rPr>
                <w:color w:val="000000"/>
                <w:sz w:val="22"/>
                <w:szCs w:val="22"/>
              </w:rPr>
              <w:t>800</w:t>
            </w:r>
          </w:p>
        </w:tc>
        <w:tc>
          <w:tcPr>
            <w:tcW w:w="858" w:type="dxa"/>
            <w:tcBorders>
              <w:top w:val="nil"/>
              <w:left w:val="nil"/>
              <w:bottom w:val="single" w:sz="8" w:space="0" w:color="auto"/>
              <w:right w:val="single" w:sz="4" w:space="0" w:color="auto"/>
            </w:tcBorders>
            <w:shd w:val="clear" w:color="auto" w:fill="auto"/>
            <w:noWrap/>
            <w:vAlign w:val="bottom"/>
            <w:hideMark/>
          </w:tcPr>
          <w:p w14:paraId="767DFB27" w14:textId="77777777" w:rsidR="002007A6" w:rsidRPr="00BC3A42" w:rsidRDefault="002007A6" w:rsidP="00D700A2">
            <w:pPr>
              <w:jc w:val="center"/>
              <w:rPr>
                <w:color w:val="000000"/>
                <w:sz w:val="22"/>
                <w:szCs w:val="22"/>
              </w:rPr>
            </w:pPr>
            <w:r w:rsidRPr="00BC3A42">
              <w:rPr>
                <w:color w:val="000000"/>
                <w:sz w:val="22"/>
                <w:szCs w:val="22"/>
              </w:rPr>
              <w:t>1443</w:t>
            </w:r>
          </w:p>
        </w:tc>
        <w:tc>
          <w:tcPr>
            <w:tcW w:w="858" w:type="dxa"/>
            <w:tcBorders>
              <w:top w:val="nil"/>
              <w:left w:val="nil"/>
              <w:bottom w:val="single" w:sz="8" w:space="0" w:color="auto"/>
              <w:right w:val="single" w:sz="4" w:space="0" w:color="auto"/>
            </w:tcBorders>
            <w:shd w:val="clear" w:color="auto" w:fill="auto"/>
            <w:noWrap/>
            <w:vAlign w:val="bottom"/>
            <w:hideMark/>
          </w:tcPr>
          <w:p w14:paraId="5A190499" w14:textId="77777777" w:rsidR="002007A6" w:rsidRPr="00BC3A42" w:rsidRDefault="002007A6" w:rsidP="00D700A2">
            <w:pPr>
              <w:jc w:val="center"/>
              <w:rPr>
                <w:color w:val="000000"/>
                <w:sz w:val="22"/>
                <w:szCs w:val="22"/>
              </w:rPr>
            </w:pPr>
            <w:r w:rsidRPr="00BC3A42">
              <w:rPr>
                <w:color w:val="000000"/>
                <w:sz w:val="22"/>
                <w:szCs w:val="22"/>
              </w:rPr>
              <w:t>2151</w:t>
            </w:r>
          </w:p>
        </w:tc>
        <w:tc>
          <w:tcPr>
            <w:tcW w:w="858" w:type="dxa"/>
            <w:tcBorders>
              <w:top w:val="nil"/>
              <w:left w:val="nil"/>
              <w:bottom w:val="single" w:sz="8" w:space="0" w:color="auto"/>
              <w:right w:val="single" w:sz="4" w:space="0" w:color="auto"/>
            </w:tcBorders>
            <w:shd w:val="clear" w:color="auto" w:fill="auto"/>
            <w:noWrap/>
            <w:vAlign w:val="bottom"/>
            <w:hideMark/>
          </w:tcPr>
          <w:p w14:paraId="0CD23E1F" w14:textId="77777777" w:rsidR="002007A6" w:rsidRPr="00BC3A42" w:rsidRDefault="002007A6" w:rsidP="00D700A2">
            <w:pPr>
              <w:jc w:val="center"/>
              <w:rPr>
                <w:color w:val="000000"/>
                <w:sz w:val="22"/>
                <w:szCs w:val="22"/>
              </w:rPr>
            </w:pPr>
            <w:r w:rsidRPr="00BC3A42">
              <w:rPr>
                <w:color w:val="000000"/>
                <w:sz w:val="22"/>
                <w:szCs w:val="22"/>
              </w:rPr>
              <w:t>2313</w:t>
            </w:r>
          </w:p>
        </w:tc>
        <w:tc>
          <w:tcPr>
            <w:tcW w:w="858" w:type="dxa"/>
            <w:tcBorders>
              <w:top w:val="nil"/>
              <w:left w:val="nil"/>
              <w:bottom w:val="single" w:sz="8" w:space="0" w:color="auto"/>
              <w:right w:val="single" w:sz="4" w:space="0" w:color="auto"/>
            </w:tcBorders>
            <w:shd w:val="clear" w:color="auto" w:fill="auto"/>
            <w:noWrap/>
            <w:vAlign w:val="bottom"/>
            <w:hideMark/>
          </w:tcPr>
          <w:p w14:paraId="78A5EB3F" w14:textId="77777777" w:rsidR="002007A6" w:rsidRPr="00BC3A42" w:rsidRDefault="002007A6" w:rsidP="00D700A2">
            <w:pPr>
              <w:jc w:val="center"/>
              <w:rPr>
                <w:color w:val="000000"/>
                <w:sz w:val="22"/>
                <w:szCs w:val="22"/>
              </w:rPr>
            </w:pPr>
            <w:r w:rsidRPr="00BC3A42">
              <w:rPr>
                <w:color w:val="000000"/>
                <w:sz w:val="22"/>
                <w:szCs w:val="22"/>
              </w:rPr>
              <w:t>2440</w:t>
            </w:r>
          </w:p>
        </w:tc>
        <w:tc>
          <w:tcPr>
            <w:tcW w:w="858" w:type="dxa"/>
            <w:tcBorders>
              <w:top w:val="nil"/>
              <w:left w:val="nil"/>
              <w:bottom w:val="single" w:sz="8" w:space="0" w:color="auto"/>
              <w:right w:val="single" w:sz="8" w:space="0" w:color="auto"/>
            </w:tcBorders>
            <w:shd w:val="clear" w:color="auto" w:fill="auto"/>
            <w:noWrap/>
            <w:vAlign w:val="bottom"/>
            <w:hideMark/>
          </w:tcPr>
          <w:p w14:paraId="103ED4BD" w14:textId="77777777" w:rsidR="002007A6" w:rsidRPr="00BC3A42" w:rsidRDefault="002007A6" w:rsidP="00D700A2">
            <w:pPr>
              <w:jc w:val="center"/>
              <w:rPr>
                <w:color w:val="000000"/>
                <w:sz w:val="22"/>
                <w:szCs w:val="22"/>
              </w:rPr>
            </w:pPr>
            <w:r w:rsidRPr="00BC3A42">
              <w:rPr>
                <w:color w:val="000000"/>
                <w:sz w:val="22"/>
                <w:szCs w:val="22"/>
              </w:rPr>
              <w:t>2583</w:t>
            </w:r>
          </w:p>
        </w:tc>
      </w:tr>
    </w:tbl>
    <w:p w14:paraId="60006F06" w14:textId="77777777" w:rsidR="002007A6" w:rsidRPr="00BC3A42" w:rsidRDefault="002007A6" w:rsidP="00374A01">
      <w:pPr>
        <w:ind w:firstLine="567"/>
        <w:jc w:val="both"/>
        <w:rPr>
          <w:rFonts w:eastAsia="Calibri"/>
          <w:sz w:val="26"/>
          <w:szCs w:val="26"/>
          <w:lang w:eastAsia="en-US"/>
        </w:rPr>
      </w:pPr>
    </w:p>
    <w:p w14:paraId="0BB01A84" w14:textId="3C227F5E" w:rsidR="005C6676" w:rsidRPr="00BC3A42" w:rsidRDefault="00552A31" w:rsidP="009604FF">
      <w:pPr>
        <w:ind w:firstLine="567"/>
        <w:jc w:val="both"/>
        <w:rPr>
          <w:rFonts w:eastAsia="Calibri"/>
          <w:sz w:val="26"/>
          <w:szCs w:val="26"/>
          <w:lang w:eastAsia="en-US"/>
        </w:rPr>
      </w:pPr>
      <w:r w:rsidRPr="00BC3A42">
        <w:rPr>
          <w:rFonts w:eastAsia="Calibri"/>
          <w:sz w:val="26"/>
          <w:szCs w:val="26"/>
          <w:lang w:eastAsia="en-US"/>
        </w:rPr>
        <w:t xml:space="preserve">Šobrīd ES ir 12 HVO rūpnīcas no kurām tikai daļa iegūst tīru HVO, vairums </w:t>
      </w:r>
      <w:r w:rsidR="004C7420" w:rsidRPr="00BC3A42">
        <w:rPr>
          <w:rFonts w:eastAsia="Calibri"/>
          <w:sz w:val="26"/>
          <w:szCs w:val="26"/>
          <w:lang w:eastAsia="en-US"/>
        </w:rPr>
        <w:t xml:space="preserve">šo </w:t>
      </w:r>
      <w:r w:rsidRPr="00BC3A42">
        <w:rPr>
          <w:rFonts w:eastAsia="Calibri"/>
          <w:sz w:val="26"/>
          <w:szCs w:val="26"/>
          <w:lang w:eastAsia="en-US"/>
        </w:rPr>
        <w:t xml:space="preserve">ražotņu HVO </w:t>
      </w:r>
      <w:r w:rsidR="004C7420" w:rsidRPr="00BC3A42">
        <w:rPr>
          <w:rFonts w:eastAsia="Calibri"/>
          <w:sz w:val="26"/>
          <w:szCs w:val="26"/>
          <w:lang w:eastAsia="en-US"/>
        </w:rPr>
        <w:t>iegūst līdz ar fosilās</w:t>
      </w:r>
      <w:r w:rsidRPr="00BC3A42">
        <w:rPr>
          <w:rFonts w:eastAsia="Calibri"/>
          <w:sz w:val="26"/>
          <w:szCs w:val="26"/>
          <w:lang w:eastAsia="en-US"/>
        </w:rPr>
        <w:t xml:space="preserve"> degvielas ražošan</w:t>
      </w:r>
      <w:r w:rsidR="004C7420" w:rsidRPr="00BC3A42">
        <w:rPr>
          <w:rFonts w:eastAsia="Calibri"/>
          <w:sz w:val="26"/>
          <w:szCs w:val="26"/>
          <w:lang w:eastAsia="en-US"/>
        </w:rPr>
        <w:t>u</w:t>
      </w:r>
      <w:r w:rsidRPr="00BC3A42">
        <w:rPr>
          <w:rFonts w:eastAsia="Calibri"/>
          <w:sz w:val="26"/>
          <w:szCs w:val="26"/>
          <w:lang w:eastAsia="en-US"/>
        </w:rPr>
        <w:t xml:space="preserve"> </w:t>
      </w:r>
      <w:r w:rsidR="004C7420" w:rsidRPr="00BC3A42">
        <w:rPr>
          <w:rFonts w:eastAsia="Calibri"/>
          <w:sz w:val="26"/>
          <w:szCs w:val="26"/>
          <w:lang w:eastAsia="en-US"/>
        </w:rPr>
        <w:t>(no angļu val. “</w:t>
      </w:r>
      <w:proofErr w:type="spellStart"/>
      <w:r w:rsidR="004C7420" w:rsidRPr="00BC3A42">
        <w:rPr>
          <w:rFonts w:eastAsia="Calibri"/>
          <w:i/>
          <w:sz w:val="26"/>
          <w:szCs w:val="26"/>
          <w:lang w:eastAsia="en-US"/>
        </w:rPr>
        <w:t>co-processing</w:t>
      </w:r>
      <w:proofErr w:type="spellEnd"/>
      <w:r w:rsidR="004C7420" w:rsidRPr="00BC3A42">
        <w:rPr>
          <w:rFonts w:eastAsia="Calibri"/>
          <w:sz w:val="26"/>
          <w:szCs w:val="26"/>
          <w:lang w:eastAsia="en-US"/>
        </w:rPr>
        <w:t xml:space="preserve">”) </w:t>
      </w:r>
      <w:r w:rsidRPr="00BC3A42">
        <w:rPr>
          <w:rFonts w:eastAsia="Calibri"/>
          <w:sz w:val="26"/>
          <w:szCs w:val="26"/>
          <w:lang w:eastAsia="en-US"/>
        </w:rPr>
        <w:t xml:space="preserve">kā fosilās un biodegvielas maisījumu. </w:t>
      </w:r>
      <w:r w:rsidR="004B481D" w:rsidRPr="00BC3A42">
        <w:rPr>
          <w:rFonts w:eastAsia="Calibri"/>
          <w:sz w:val="26"/>
          <w:szCs w:val="26"/>
          <w:lang w:eastAsia="en-US"/>
        </w:rPr>
        <w:t>HVO var ražot</w:t>
      </w:r>
      <w:r w:rsidR="00DF242C" w:rsidRPr="00BC3A42">
        <w:rPr>
          <w:rFonts w:eastAsia="Calibri"/>
          <w:sz w:val="26"/>
          <w:szCs w:val="26"/>
          <w:lang w:eastAsia="en-US"/>
        </w:rPr>
        <w:t xml:space="preserve"> </w:t>
      </w:r>
      <w:r w:rsidR="00374A01" w:rsidRPr="00BC3A42">
        <w:rPr>
          <w:rFonts w:eastAsia="Calibri"/>
          <w:sz w:val="26"/>
          <w:szCs w:val="26"/>
          <w:lang w:eastAsia="en-US"/>
        </w:rPr>
        <w:t xml:space="preserve">gan no tradicionālām </w:t>
      </w:r>
      <w:r w:rsidR="00DF242C" w:rsidRPr="00BC3A42">
        <w:rPr>
          <w:rFonts w:eastAsia="Calibri"/>
          <w:sz w:val="26"/>
          <w:szCs w:val="26"/>
          <w:lang w:eastAsia="en-US"/>
        </w:rPr>
        <w:t xml:space="preserve">biodegvielas </w:t>
      </w:r>
      <w:r w:rsidR="00374A01" w:rsidRPr="00BC3A42">
        <w:rPr>
          <w:rFonts w:eastAsia="Calibri"/>
          <w:sz w:val="26"/>
          <w:szCs w:val="26"/>
          <w:lang w:eastAsia="en-US"/>
        </w:rPr>
        <w:t>izejvielām, gan</w:t>
      </w:r>
      <w:r w:rsidR="004B481D" w:rsidRPr="00BC3A42">
        <w:rPr>
          <w:rFonts w:eastAsia="Calibri"/>
          <w:sz w:val="26"/>
          <w:szCs w:val="26"/>
          <w:lang w:eastAsia="en-US"/>
        </w:rPr>
        <w:t xml:space="preserve"> no dažādām </w:t>
      </w:r>
      <w:proofErr w:type="spellStart"/>
      <w:r w:rsidR="004B481D" w:rsidRPr="00BC3A42">
        <w:rPr>
          <w:rFonts w:eastAsia="Calibri"/>
          <w:sz w:val="26"/>
          <w:szCs w:val="26"/>
          <w:lang w:eastAsia="en-US"/>
        </w:rPr>
        <w:t>atkritumeļļām</w:t>
      </w:r>
      <w:proofErr w:type="spellEnd"/>
      <w:r w:rsidR="004B481D" w:rsidRPr="00BC3A42">
        <w:rPr>
          <w:rFonts w:eastAsia="Calibri"/>
          <w:sz w:val="26"/>
          <w:szCs w:val="26"/>
          <w:lang w:eastAsia="en-US"/>
        </w:rPr>
        <w:t xml:space="preserve"> un taukiem, un ar to var aizstāt</w:t>
      </w:r>
      <w:r w:rsidR="00DF242C" w:rsidRPr="00BC3A42">
        <w:rPr>
          <w:rFonts w:eastAsia="Calibri"/>
          <w:sz w:val="26"/>
          <w:szCs w:val="26"/>
          <w:lang w:eastAsia="en-US"/>
        </w:rPr>
        <w:t xml:space="preserve"> ne tikai dīzeļdegvielu, bet arī, piemēram, </w:t>
      </w:r>
      <w:r w:rsidR="004B481D" w:rsidRPr="00BC3A42">
        <w:rPr>
          <w:rFonts w:eastAsia="Calibri"/>
          <w:sz w:val="26"/>
          <w:szCs w:val="26"/>
          <w:lang w:eastAsia="en-US"/>
        </w:rPr>
        <w:t>petroleju</w:t>
      </w:r>
      <w:r w:rsidR="005C6676" w:rsidRPr="00BC3A42">
        <w:rPr>
          <w:rFonts w:eastAsia="Calibri"/>
          <w:sz w:val="26"/>
          <w:szCs w:val="26"/>
          <w:lang w:eastAsia="en-US"/>
        </w:rPr>
        <w:t xml:space="preserve">, kuru izmanto aviācijā. </w:t>
      </w:r>
      <w:r w:rsidR="002007A6" w:rsidRPr="00BC3A42">
        <w:rPr>
          <w:rFonts w:eastAsia="Calibri"/>
          <w:sz w:val="26"/>
          <w:szCs w:val="26"/>
          <w:lang w:eastAsia="en-US"/>
        </w:rPr>
        <w:t>Cita b</w:t>
      </w:r>
      <w:r w:rsidR="00374A01" w:rsidRPr="00BC3A42">
        <w:rPr>
          <w:rFonts w:eastAsia="Calibri"/>
          <w:sz w:val="26"/>
          <w:szCs w:val="26"/>
          <w:lang w:eastAsia="en-US"/>
        </w:rPr>
        <w:t xml:space="preserve">ūtiska </w:t>
      </w:r>
      <w:r w:rsidR="00374A01" w:rsidRPr="00BC3A42">
        <w:rPr>
          <w:rFonts w:eastAsia="Calibri"/>
          <w:sz w:val="26"/>
          <w:szCs w:val="26"/>
          <w:lang w:eastAsia="en-US"/>
        </w:rPr>
        <w:lastRenderedPageBreak/>
        <w:t>priekšrocība HVO</w:t>
      </w:r>
      <w:r w:rsidR="005925FB" w:rsidRPr="00BC3A42">
        <w:rPr>
          <w:rFonts w:eastAsia="Calibri"/>
          <w:sz w:val="26"/>
          <w:szCs w:val="26"/>
          <w:lang w:eastAsia="en-US"/>
        </w:rPr>
        <w:t>,</w:t>
      </w:r>
      <w:r w:rsidR="00374A01" w:rsidRPr="00BC3A42">
        <w:rPr>
          <w:rFonts w:eastAsia="Calibri"/>
          <w:sz w:val="26"/>
          <w:szCs w:val="26"/>
          <w:lang w:eastAsia="en-US"/>
        </w:rPr>
        <w:t xml:space="preserve"> salīdzinot ar </w:t>
      </w:r>
      <w:r w:rsidR="002007A6" w:rsidRPr="00BC3A42">
        <w:rPr>
          <w:rFonts w:eastAsia="Calibri"/>
          <w:sz w:val="26"/>
          <w:szCs w:val="26"/>
          <w:lang w:eastAsia="en-US"/>
        </w:rPr>
        <w:t xml:space="preserve">tradicionālo </w:t>
      </w:r>
      <w:r w:rsidR="00374A01" w:rsidRPr="00BC3A42">
        <w:rPr>
          <w:rFonts w:eastAsia="Calibri"/>
          <w:sz w:val="26"/>
          <w:szCs w:val="26"/>
          <w:lang w:eastAsia="en-US"/>
        </w:rPr>
        <w:t>biodīzeļdegvielu</w:t>
      </w:r>
      <w:r w:rsidR="005925FB" w:rsidRPr="00BC3A42">
        <w:rPr>
          <w:rFonts w:eastAsia="Calibri"/>
          <w:sz w:val="26"/>
          <w:szCs w:val="26"/>
          <w:lang w:eastAsia="en-US"/>
        </w:rPr>
        <w:t>,</w:t>
      </w:r>
      <w:r w:rsidR="00374A01" w:rsidRPr="00BC3A42">
        <w:rPr>
          <w:rFonts w:eastAsia="Calibri"/>
          <w:sz w:val="26"/>
          <w:szCs w:val="26"/>
          <w:lang w:eastAsia="en-US"/>
        </w:rPr>
        <w:t xml:space="preserve"> ir </w:t>
      </w:r>
      <w:r w:rsidR="00DF242C" w:rsidRPr="00CD4695">
        <w:rPr>
          <w:rFonts w:eastAsia="Calibri"/>
          <w:sz w:val="26"/>
          <w:szCs w:val="26"/>
          <w:lang w:eastAsia="en-US"/>
        </w:rPr>
        <w:t xml:space="preserve">jau 2.nodaļā aprakstītais </w:t>
      </w:r>
      <w:r w:rsidR="00374A01" w:rsidRPr="00CD4695">
        <w:rPr>
          <w:rFonts w:eastAsia="Calibri"/>
          <w:sz w:val="26"/>
          <w:szCs w:val="26"/>
          <w:lang w:eastAsia="en-US"/>
        </w:rPr>
        <w:t>apstāklis, ka to var sajaukt ar dīzeļdegvielu kaut neierobežotā daudzumā,</w:t>
      </w:r>
      <w:r w:rsidR="00374A01" w:rsidRPr="00BC3A42">
        <w:rPr>
          <w:rFonts w:eastAsia="Calibri"/>
          <w:sz w:val="26"/>
          <w:szCs w:val="26"/>
          <w:lang w:eastAsia="en-US"/>
        </w:rPr>
        <w:t xml:space="preserve"> ja kopējais maisījuma sastāvs nav pretrunā ar dīzeļdegvielas kvalitātes prasībām. </w:t>
      </w:r>
      <w:r w:rsidR="005C6676" w:rsidRPr="00BC3A42">
        <w:rPr>
          <w:rFonts w:eastAsia="Calibri"/>
          <w:sz w:val="26"/>
          <w:szCs w:val="26"/>
          <w:lang w:eastAsia="en-US"/>
        </w:rPr>
        <w:t xml:space="preserve">Tā kā </w:t>
      </w:r>
      <w:proofErr w:type="spellStart"/>
      <w:r w:rsidR="005C6676" w:rsidRPr="00BC3A42">
        <w:rPr>
          <w:rFonts w:eastAsia="Calibri"/>
          <w:sz w:val="26"/>
          <w:szCs w:val="26"/>
          <w:lang w:eastAsia="en-US"/>
        </w:rPr>
        <w:t>hidrogenēšanas</w:t>
      </w:r>
      <w:proofErr w:type="spellEnd"/>
      <w:r w:rsidR="005C6676" w:rsidRPr="00BC3A42">
        <w:rPr>
          <w:rFonts w:eastAsia="Calibri"/>
          <w:sz w:val="26"/>
          <w:szCs w:val="26"/>
          <w:lang w:eastAsia="en-US"/>
        </w:rPr>
        <w:t xml:space="preserve"> procesā (reakcija ar ūdeņradi) var tikt pārstrādātas arī tādas izejvielas</w:t>
      </w:r>
      <w:r w:rsidR="005925FB" w:rsidRPr="00BC3A42">
        <w:rPr>
          <w:rFonts w:eastAsia="Calibri"/>
          <w:sz w:val="26"/>
          <w:szCs w:val="26"/>
          <w:lang w:eastAsia="en-US"/>
        </w:rPr>
        <w:t>,</w:t>
      </w:r>
      <w:r w:rsidR="005C6676" w:rsidRPr="00BC3A42">
        <w:rPr>
          <w:rFonts w:eastAsia="Calibri"/>
          <w:sz w:val="26"/>
          <w:szCs w:val="26"/>
          <w:lang w:eastAsia="en-US"/>
        </w:rPr>
        <w:t xml:space="preserve"> uz kurām neattiecās pirmās paaudzes biodegvielas ierobežojums, HVO </w:t>
      </w:r>
      <w:r w:rsidR="00374A01" w:rsidRPr="00BC3A42">
        <w:rPr>
          <w:rFonts w:eastAsia="Calibri"/>
          <w:sz w:val="26"/>
          <w:szCs w:val="26"/>
          <w:lang w:eastAsia="en-US"/>
        </w:rPr>
        <w:t xml:space="preserve">ražošanas apjoma pieaugumam līdz 2020.gadam </w:t>
      </w:r>
      <w:r w:rsidR="005C6676" w:rsidRPr="00BC3A42">
        <w:rPr>
          <w:rFonts w:eastAsia="Calibri"/>
          <w:sz w:val="26"/>
          <w:szCs w:val="26"/>
          <w:lang w:eastAsia="en-US"/>
        </w:rPr>
        <w:t xml:space="preserve">būs </w:t>
      </w:r>
      <w:r w:rsidR="00374A01" w:rsidRPr="00BC3A42">
        <w:rPr>
          <w:rFonts w:eastAsia="Calibri"/>
          <w:sz w:val="26"/>
          <w:szCs w:val="26"/>
          <w:lang w:eastAsia="en-US"/>
        </w:rPr>
        <w:t>izšķiroša</w:t>
      </w:r>
      <w:r w:rsidR="005C6676" w:rsidRPr="00BC3A42">
        <w:rPr>
          <w:rFonts w:eastAsia="Calibri"/>
          <w:sz w:val="26"/>
          <w:szCs w:val="26"/>
          <w:lang w:eastAsia="en-US"/>
        </w:rPr>
        <w:t xml:space="preserve"> loma</w:t>
      </w:r>
      <w:r w:rsidR="00374A01" w:rsidRPr="00BC3A42">
        <w:rPr>
          <w:rFonts w:eastAsia="Calibri"/>
          <w:sz w:val="26"/>
          <w:szCs w:val="26"/>
          <w:lang w:eastAsia="en-US"/>
        </w:rPr>
        <w:t xml:space="preserve"> attiecībā uz AER 10% mērķa sasniegšanu</w:t>
      </w:r>
      <w:r w:rsidR="005C6676" w:rsidRPr="00BC3A42">
        <w:rPr>
          <w:rFonts w:eastAsia="Calibri"/>
          <w:sz w:val="26"/>
          <w:szCs w:val="26"/>
          <w:lang w:eastAsia="en-US"/>
        </w:rPr>
        <w:t xml:space="preserve">, jo gandrīz visās ES dalībvalstīs </w:t>
      </w:r>
      <w:r w:rsidR="00374A01" w:rsidRPr="00BC3A42">
        <w:rPr>
          <w:rFonts w:eastAsia="Calibri"/>
          <w:sz w:val="26"/>
          <w:szCs w:val="26"/>
          <w:lang w:eastAsia="en-US"/>
        </w:rPr>
        <w:t>šo mērķi dalībvalstis plāno sasniegt</w:t>
      </w:r>
      <w:r w:rsidR="005925FB" w:rsidRPr="00BC3A42">
        <w:rPr>
          <w:rFonts w:eastAsia="Calibri"/>
          <w:sz w:val="26"/>
          <w:szCs w:val="26"/>
          <w:lang w:eastAsia="en-US"/>
        </w:rPr>
        <w:t>,</w:t>
      </w:r>
      <w:r w:rsidR="005C6676" w:rsidRPr="00BC3A42">
        <w:rPr>
          <w:rFonts w:eastAsia="Calibri"/>
          <w:sz w:val="26"/>
          <w:szCs w:val="26"/>
          <w:lang w:eastAsia="en-US"/>
        </w:rPr>
        <w:t xml:space="preserve"> </w:t>
      </w:r>
      <w:r w:rsidR="00374A01" w:rsidRPr="00BC3A42">
        <w:rPr>
          <w:rFonts w:eastAsia="Calibri"/>
          <w:sz w:val="26"/>
          <w:szCs w:val="26"/>
          <w:lang w:eastAsia="en-US"/>
        </w:rPr>
        <w:t>paredzot pienākumu degvielas piegādātājiem realizēt biodegvielas</w:t>
      </w:r>
      <w:r w:rsidR="00DF242C" w:rsidRPr="00BC3A42">
        <w:rPr>
          <w:rFonts w:eastAsia="Calibri"/>
          <w:sz w:val="26"/>
          <w:szCs w:val="26"/>
          <w:lang w:eastAsia="en-US"/>
        </w:rPr>
        <w:t>.</w:t>
      </w:r>
      <w:r w:rsidR="00722240" w:rsidRPr="00BC3A42">
        <w:t xml:space="preserve"> </w:t>
      </w:r>
      <w:r w:rsidR="00722240" w:rsidRPr="00BC3A42">
        <w:rPr>
          <w:rFonts w:eastAsia="Calibri"/>
          <w:sz w:val="26"/>
          <w:szCs w:val="26"/>
          <w:lang w:eastAsia="en-US"/>
        </w:rPr>
        <w:t>Šobrīd papildus 3.tabulā redzamajam HVO ražošanas apjomam 2019.gada pirmajā pusē tiek prognozēts, ka pa vienai jaunai HVO ražotnei tiks izveidots Somijā, Francijā un Itālijā. Francijas uzņēmums “TOTAL” paziņojis, ka ir investējis aptuveni 200 milj. euro, lai pārveidotu savu naftas pārstrādes kompleksu “</w:t>
      </w:r>
      <w:proofErr w:type="spellStart"/>
      <w:r w:rsidR="00722240" w:rsidRPr="00BC3A42">
        <w:rPr>
          <w:rFonts w:eastAsia="Calibri"/>
          <w:i/>
          <w:sz w:val="26"/>
          <w:szCs w:val="26"/>
          <w:lang w:eastAsia="en-US"/>
        </w:rPr>
        <w:t>La</w:t>
      </w:r>
      <w:proofErr w:type="spellEnd"/>
      <w:r w:rsidR="00722240" w:rsidRPr="00BC3A42">
        <w:rPr>
          <w:rFonts w:eastAsia="Calibri"/>
          <w:i/>
          <w:sz w:val="26"/>
          <w:szCs w:val="26"/>
          <w:lang w:eastAsia="en-US"/>
        </w:rPr>
        <w:t xml:space="preserve"> </w:t>
      </w:r>
      <w:proofErr w:type="spellStart"/>
      <w:r w:rsidR="00722240" w:rsidRPr="00BC3A42">
        <w:rPr>
          <w:rFonts w:eastAsia="Calibri"/>
          <w:i/>
          <w:sz w:val="26"/>
          <w:szCs w:val="26"/>
          <w:lang w:eastAsia="en-US"/>
        </w:rPr>
        <w:t>Mède</w:t>
      </w:r>
      <w:proofErr w:type="spellEnd"/>
      <w:r w:rsidR="00722240" w:rsidRPr="00BC3A42">
        <w:rPr>
          <w:rFonts w:eastAsia="Calibri"/>
          <w:sz w:val="26"/>
          <w:szCs w:val="26"/>
          <w:lang w:eastAsia="en-US"/>
        </w:rPr>
        <w:t>”</w:t>
      </w:r>
      <w:r w:rsidR="00722240" w:rsidRPr="00BC3A42">
        <w:rPr>
          <w:rStyle w:val="FootnoteReference"/>
          <w:rFonts w:eastAsia="Calibri"/>
          <w:sz w:val="26"/>
          <w:szCs w:val="26"/>
          <w:lang w:eastAsia="en-US"/>
        </w:rPr>
        <w:footnoteReference w:id="22"/>
      </w:r>
      <w:r w:rsidR="00722240" w:rsidRPr="00BC3A42">
        <w:rPr>
          <w:rFonts w:eastAsia="Calibri"/>
          <w:sz w:val="26"/>
          <w:szCs w:val="26"/>
          <w:lang w:eastAsia="en-US"/>
        </w:rPr>
        <w:t>. Šādas izmaiņas ļaus uzņēmumam nodrošināt, ka tiek izpildītas Francijas likumdošanā noteiktās prasības, kuras paredz, ka degvielas piegādātājam jānodrošina, ka zināmu daļu no realizētās produkcijas (7,5% 2018.</w:t>
      </w:r>
      <w:r w:rsidR="00E20F44" w:rsidRPr="00BC3A42">
        <w:rPr>
          <w:rFonts w:eastAsia="Calibri"/>
          <w:sz w:val="26"/>
          <w:szCs w:val="26"/>
          <w:lang w:eastAsia="en-US"/>
        </w:rPr>
        <w:t> </w:t>
      </w:r>
      <w:r w:rsidR="00722240" w:rsidRPr="00BC3A42">
        <w:rPr>
          <w:rFonts w:eastAsia="Calibri"/>
          <w:sz w:val="26"/>
          <w:szCs w:val="26"/>
          <w:lang w:eastAsia="en-US"/>
        </w:rPr>
        <w:t>g</w:t>
      </w:r>
      <w:r w:rsidR="00E20F44" w:rsidRPr="00BC3A42">
        <w:rPr>
          <w:rFonts w:eastAsia="Calibri"/>
          <w:sz w:val="26"/>
          <w:szCs w:val="26"/>
          <w:lang w:eastAsia="en-US"/>
        </w:rPr>
        <w:t>adā</w:t>
      </w:r>
      <w:r w:rsidR="00722240" w:rsidRPr="00BC3A42">
        <w:rPr>
          <w:rFonts w:eastAsia="Calibri"/>
          <w:sz w:val="26"/>
          <w:szCs w:val="26"/>
          <w:lang w:eastAsia="en-US"/>
        </w:rPr>
        <w:t>, 7,9% 2019.</w:t>
      </w:r>
      <w:r w:rsidR="00E20F44" w:rsidRPr="00BC3A42">
        <w:rPr>
          <w:rFonts w:eastAsia="Calibri"/>
          <w:sz w:val="26"/>
          <w:szCs w:val="26"/>
          <w:lang w:eastAsia="en-US"/>
        </w:rPr>
        <w:t> </w:t>
      </w:r>
      <w:r w:rsidR="00722240" w:rsidRPr="00BC3A42">
        <w:rPr>
          <w:rFonts w:eastAsia="Calibri"/>
          <w:sz w:val="26"/>
          <w:szCs w:val="26"/>
          <w:lang w:eastAsia="en-US"/>
        </w:rPr>
        <w:t>g</w:t>
      </w:r>
      <w:r w:rsidR="004C52E7" w:rsidRPr="00BC3A42">
        <w:rPr>
          <w:rFonts w:eastAsia="Calibri"/>
          <w:sz w:val="26"/>
          <w:szCs w:val="26"/>
          <w:lang w:eastAsia="en-US"/>
        </w:rPr>
        <w:t>ad</w:t>
      </w:r>
      <w:r w:rsidR="00E20F44" w:rsidRPr="00BC3A42">
        <w:rPr>
          <w:rFonts w:eastAsia="Calibri"/>
          <w:sz w:val="26"/>
          <w:szCs w:val="26"/>
          <w:lang w:eastAsia="en-US"/>
        </w:rPr>
        <w:t>ā</w:t>
      </w:r>
      <w:r w:rsidR="00722240" w:rsidRPr="00BC3A42">
        <w:rPr>
          <w:rFonts w:eastAsia="Calibri"/>
          <w:sz w:val="26"/>
          <w:szCs w:val="26"/>
          <w:lang w:eastAsia="en-US"/>
        </w:rPr>
        <w:t>, 8.2% 2020.</w:t>
      </w:r>
      <w:r w:rsidR="00E20F44" w:rsidRPr="00BC3A42">
        <w:rPr>
          <w:rFonts w:eastAsia="Calibri"/>
          <w:sz w:val="26"/>
          <w:szCs w:val="26"/>
          <w:lang w:eastAsia="en-US"/>
        </w:rPr>
        <w:t> </w:t>
      </w:r>
      <w:r w:rsidR="00722240" w:rsidRPr="00BC3A42">
        <w:rPr>
          <w:rFonts w:eastAsia="Calibri"/>
          <w:sz w:val="26"/>
          <w:szCs w:val="26"/>
          <w:lang w:eastAsia="en-US"/>
        </w:rPr>
        <w:t>gadā) veido tieši biodegvielas. Izveidojot jaunu ūdeņraža ražotni, Zviedrijas lielākais degvielas tirgotājs, uzņēmums “PREEM” ir paziņojis, ka plāno palielināt HVO ražošanas apjomu 2020.</w:t>
      </w:r>
      <w:r w:rsidR="00E20F44" w:rsidRPr="00BC3A42">
        <w:rPr>
          <w:rFonts w:eastAsia="Calibri"/>
          <w:sz w:val="26"/>
          <w:szCs w:val="26"/>
          <w:lang w:eastAsia="en-US"/>
        </w:rPr>
        <w:t> </w:t>
      </w:r>
      <w:r w:rsidR="00722240" w:rsidRPr="00BC3A42">
        <w:rPr>
          <w:rFonts w:eastAsia="Calibri"/>
          <w:sz w:val="26"/>
          <w:szCs w:val="26"/>
          <w:lang w:eastAsia="en-US"/>
        </w:rPr>
        <w:t>gadā no 190 tūkst. m</w:t>
      </w:r>
      <w:r w:rsidR="00722240" w:rsidRPr="00BC3A42">
        <w:rPr>
          <w:rFonts w:eastAsia="Calibri"/>
          <w:sz w:val="26"/>
          <w:szCs w:val="26"/>
          <w:vertAlign w:val="superscript"/>
          <w:lang w:eastAsia="en-US"/>
        </w:rPr>
        <w:t>3</w:t>
      </w:r>
      <w:r w:rsidR="00722240" w:rsidRPr="00BC3A42">
        <w:rPr>
          <w:rFonts w:eastAsia="Calibri"/>
          <w:sz w:val="26"/>
          <w:szCs w:val="26"/>
          <w:lang w:eastAsia="en-US"/>
        </w:rPr>
        <w:t xml:space="preserve"> līdz 330 tūkst. m</w:t>
      </w:r>
      <w:r w:rsidR="00722240" w:rsidRPr="00BC3A42">
        <w:rPr>
          <w:rFonts w:eastAsia="Calibri"/>
          <w:sz w:val="26"/>
          <w:szCs w:val="26"/>
          <w:vertAlign w:val="superscript"/>
          <w:lang w:eastAsia="en-US"/>
        </w:rPr>
        <w:t>3</w:t>
      </w:r>
      <w:r w:rsidR="00AF0204" w:rsidRPr="00BC3A42">
        <w:rPr>
          <w:rFonts w:eastAsia="Calibri"/>
          <w:sz w:val="26"/>
          <w:szCs w:val="26"/>
          <w:vertAlign w:val="superscript"/>
          <w:lang w:eastAsia="en-US"/>
        </w:rPr>
        <w:t xml:space="preserve"> </w:t>
      </w:r>
      <w:r w:rsidR="00722240" w:rsidRPr="00BC3A42">
        <w:rPr>
          <w:rStyle w:val="FootnoteReference"/>
          <w:rFonts w:eastAsia="Calibri"/>
          <w:sz w:val="26"/>
          <w:szCs w:val="26"/>
          <w:lang w:eastAsia="en-US"/>
        </w:rPr>
        <w:footnoteReference w:id="23"/>
      </w:r>
      <w:r w:rsidR="00722240" w:rsidRPr="00BC3A42">
        <w:rPr>
          <w:rFonts w:eastAsia="Calibri"/>
          <w:sz w:val="26"/>
          <w:szCs w:val="26"/>
          <w:lang w:eastAsia="en-US"/>
        </w:rPr>
        <w:t xml:space="preserve">. Itālijas uzņēmums “ENI” paziņojis, ka biodegvielā plāno pārstrādāt 750 tūkst. tonnu  lietotu </w:t>
      </w:r>
      <w:proofErr w:type="spellStart"/>
      <w:r w:rsidR="00722240" w:rsidRPr="00BC3A42">
        <w:rPr>
          <w:rFonts w:eastAsia="Calibri"/>
          <w:sz w:val="26"/>
          <w:szCs w:val="26"/>
          <w:lang w:eastAsia="en-US"/>
        </w:rPr>
        <w:t>cepameļļu</w:t>
      </w:r>
      <w:proofErr w:type="spellEnd"/>
      <w:r w:rsidR="00722240" w:rsidRPr="00BC3A42">
        <w:rPr>
          <w:rFonts w:eastAsia="Calibri"/>
          <w:sz w:val="26"/>
          <w:szCs w:val="26"/>
          <w:lang w:eastAsia="en-US"/>
        </w:rPr>
        <w:t xml:space="preserve">, dažādas augu eļļas un dzīvnieku taukus </w:t>
      </w:r>
      <w:r w:rsidR="00722240" w:rsidRPr="00BC3A42">
        <w:rPr>
          <w:rStyle w:val="FootnoteReference"/>
          <w:rFonts w:eastAsia="Calibri"/>
          <w:sz w:val="26"/>
          <w:szCs w:val="26"/>
          <w:lang w:eastAsia="en-US"/>
        </w:rPr>
        <w:footnoteReference w:id="24"/>
      </w:r>
      <w:r w:rsidR="00722240" w:rsidRPr="00BC3A42">
        <w:rPr>
          <w:rFonts w:eastAsia="Calibri"/>
          <w:sz w:val="26"/>
          <w:szCs w:val="26"/>
          <w:lang w:eastAsia="en-US"/>
        </w:rPr>
        <w:t>.</w:t>
      </w:r>
    </w:p>
    <w:p w14:paraId="7DF5EB8D" w14:textId="10104B01" w:rsidR="005A6F9D" w:rsidRDefault="005925FB" w:rsidP="009604FF">
      <w:pPr>
        <w:pStyle w:val="ListParagraph"/>
        <w:ind w:left="0" w:firstLine="567"/>
        <w:jc w:val="both"/>
        <w:rPr>
          <w:rFonts w:eastAsia="Calibri"/>
          <w:sz w:val="26"/>
          <w:szCs w:val="26"/>
          <w:lang w:val="lv-LV" w:eastAsia="en-US"/>
        </w:rPr>
      </w:pPr>
      <w:r w:rsidRPr="00BC3A42">
        <w:rPr>
          <w:rFonts w:eastAsia="Calibri"/>
          <w:sz w:val="26"/>
          <w:szCs w:val="26"/>
          <w:lang w:val="lv-LV" w:eastAsia="en-US"/>
        </w:rPr>
        <w:t>No</w:t>
      </w:r>
      <w:r w:rsidR="0004423A" w:rsidRPr="00BC3A42">
        <w:rPr>
          <w:rFonts w:eastAsia="Calibri"/>
          <w:sz w:val="26"/>
          <w:szCs w:val="26"/>
          <w:lang w:val="lv-LV" w:eastAsia="en-US"/>
        </w:rPr>
        <w:t xml:space="preserve"> </w:t>
      </w:r>
      <w:r w:rsidR="00A5290E" w:rsidRPr="00BC3A42">
        <w:rPr>
          <w:rFonts w:eastAsia="Calibri"/>
          <w:sz w:val="26"/>
          <w:szCs w:val="26"/>
          <w:lang w:val="lv-LV" w:eastAsia="en-US"/>
        </w:rPr>
        <w:t>modernajām</w:t>
      </w:r>
      <w:r w:rsidR="0004423A" w:rsidRPr="00BC3A42">
        <w:rPr>
          <w:rFonts w:eastAsia="Calibri"/>
          <w:sz w:val="26"/>
          <w:szCs w:val="26"/>
          <w:lang w:val="lv-LV" w:eastAsia="en-US"/>
        </w:rPr>
        <w:t xml:space="preserve"> biodegvielām, kas izmantojamas kā alternatīva benzīnam</w:t>
      </w:r>
      <w:r w:rsidRPr="00BC3A42">
        <w:rPr>
          <w:rFonts w:eastAsia="Calibri"/>
          <w:sz w:val="26"/>
          <w:szCs w:val="26"/>
          <w:lang w:val="lv-LV" w:eastAsia="en-US"/>
        </w:rPr>
        <w:t>,</w:t>
      </w:r>
      <w:r w:rsidR="0004423A" w:rsidRPr="00BC3A42">
        <w:rPr>
          <w:rFonts w:eastAsia="Calibri"/>
          <w:sz w:val="26"/>
          <w:szCs w:val="26"/>
          <w:lang w:val="lv-LV" w:eastAsia="en-US"/>
        </w:rPr>
        <w:t xml:space="preserve"> var izcelt no celulozes iegūtu bioetanolu, tomēr tas nav sasniedzis tādu </w:t>
      </w:r>
      <w:proofErr w:type="spellStart"/>
      <w:r w:rsidR="0004423A" w:rsidRPr="00BC3A42">
        <w:rPr>
          <w:rFonts w:eastAsia="Calibri"/>
          <w:sz w:val="26"/>
          <w:szCs w:val="26"/>
          <w:lang w:val="lv-LV" w:eastAsia="en-US"/>
        </w:rPr>
        <w:t>komercializācijas</w:t>
      </w:r>
      <w:proofErr w:type="spellEnd"/>
      <w:r w:rsidR="0004423A" w:rsidRPr="00BC3A42">
        <w:rPr>
          <w:rFonts w:eastAsia="Calibri"/>
          <w:sz w:val="26"/>
          <w:szCs w:val="26"/>
          <w:lang w:val="lv-LV" w:eastAsia="en-US"/>
        </w:rPr>
        <w:t xml:space="preserve"> pakāpi kā HVO</w:t>
      </w:r>
      <w:r w:rsidR="0055422B" w:rsidRPr="00BC3A42">
        <w:rPr>
          <w:rFonts w:eastAsia="Calibri"/>
          <w:sz w:val="26"/>
          <w:szCs w:val="26"/>
          <w:lang w:val="lv-LV" w:eastAsia="en-US"/>
        </w:rPr>
        <w:t>. Saskaņā ar Eiropas Bioetanola asociācijas (</w:t>
      </w:r>
      <w:proofErr w:type="spellStart"/>
      <w:r w:rsidR="0055422B" w:rsidRPr="00BC3A42">
        <w:rPr>
          <w:rFonts w:eastAsia="Calibri"/>
          <w:sz w:val="26"/>
          <w:szCs w:val="26"/>
          <w:lang w:val="lv-LV" w:eastAsia="en-US"/>
        </w:rPr>
        <w:t>ePURE</w:t>
      </w:r>
      <w:proofErr w:type="spellEnd"/>
      <w:r w:rsidR="0055422B" w:rsidRPr="00BC3A42">
        <w:rPr>
          <w:rFonts w:eastAsia="Calibri"/>
          <w:sz w:val="26"/>
          <w:szCs w:val="26"/>
          <w:lang w:val="lv-LV" w:eastAsia="en-US"/>
        </w:rPr>
        <w:t>) publicēto informāciju 2017.</w:t>
      </w:r>
      <w:r w:rsidR="00E20F44" w:rsidRPr="00BC3A42">
        <w:rPr>
          <w:rFonts w:eastAsia="Calibri"/>
          <w:sz w:val="26"/>
          <w:szCs w:val="26"/>
          <w:lang w:val="lv-LV" w:eastAsia="en-US"/>
        </w:rPr>
        <w:t> </w:t>
      </w:r>
      <w:r w:rsidR="0055422B" w:rsidRPr="00BC3A42">
        <w:rPr>
          <w:rFonts w:eastAsia="Calibri"/>
          <w:sz w:val="26"/>
          <w:szCs w:val="26"/>
          <w:lang w:val="lv-LV" w:eastAsia="en-US"/>
        </w:rPr>
        <w:t>gadā modernā bioetanola kopējais ražošanas apjoms ES bija 250</w:t>
      </w:r>
      <w:r w:rsidR="00E20F44" w:rsidRPr="00BC3A42">
        <w:rPr>
          <w:rFonts w:eastAsia="Calibri"/>
          <w:sz w:val="26"/>
          <w:szCs w:val="26"/>
          <w:lang w:val="lv-LV" w:eastAsia="en-US"/>
        </w:rPr>
        <w:t> </w:t>
      </w:r>
      <w:r w:rsidR="0055422B" w:rsidRPr="00BC3A42">
        <w:rPr>
          <w:rFonts w:eastAsia="Calibri"/>
          <w:sz w:val="26"/>
          <w:szCs w:val="26"/>
          <w:lang w:val="lv-LV" w:eastAsia="en-US"/>
        </w:rPr>
        <w:t>tūkst. litru</w:t>
      </w:r>
      <w:r w:rsidR="00AF0204" w:rsidRPr="00BC3A42">
        <w:rPr>
          <w:rStyle w:val="FootnoteReference"/>
          <w:rFonts w:eastAsia="Calibri"/>
          <w:sz w:val="26"/>
          <w:szCs w:val="26"/>
          <w:lang w:val="lv-LV" w:eastAsia="en-US"/>
        </w:rPr>
        <w:footnoteReference w:id="25"/>
      </w:r>
      <w:r w:rsidR="0055422B" w:rsidRPr="00BC3A42">
        <w:rPr>
          <w:rFonts w:eastAsia="Calibri"/>
          <w:sz w:val="26"/>
          <w:szCs w:val="26"/>
          <w:lang w:val="lv-LV" w:eastAsia="en-US"/>
        </w:rPr>
        <w:t xml:space="preserve">. </w:t>
      </w:r>
      <w:r w:rsidR="005B4031" w:rsidRPr="00BC3A42">
        <w:rPr>
          <w:rFonts w:eastAsia="Calibri"/>
          <w:sz w:val="26"/>
          <w:szCs w:val="26"/>
          <w:lang w:val="lv-LV" w:eastAsia="en-US"/>
        </w:rPr>
        <w:t>Itālijā šāda bioetanola</w:t>
      </w:r>
      <w:r w:rsidRPr="00BC3A42">
        <w:rPr>
          <w:rFonts w:eastAsia="Calibri"/>
          <w:sz w:val="26"/>
          <w:szCs w:val="26"/>
          <w:lang w:val="lv-LV" w:eastAsia="en-US"/>
        </w:rPr>
        <w:t xml:space="preserve"> ražošanai</w:t>
      </w:r>
      <w:r w:rsidR="005B4031" w:rsidRPr="00BC3A42">
        <w:rPr>
          <w:rFonts w:eastAsia="Calibri"/>
          <w:sz w:val="26"/>
          <w:szCs w:val="26"/>
          <w:lang w:val="lv-LV" w:eastAsia="en-US"/>
        </w:rPr>
        <w:t xml:space="preserve"> kā izejviela tiek izmantoti salmi,</w:t>
      </w:r>
      <w:r w:rsidR="007E2D4B" w:rsidRPr="00BC3A42">
        <w:rPr>
          <w:rFonts w:eastAsia="Calibri"/>
          <w:sz w:val="26"/>
          <w:szCs w:val="26"/>
          <w:lang w:val="lv-LV" w:eastAsia="en-US"/>
        </w:rPr>
        <w:t xml:space="preserve"> bet</w:t>
      </w:r>
      <w:r w:rsidR="005B4031" w:rsidRPr="00BC3A42">
        <w:rPr>
          <w:rFonts w:eastAsia="Calibri"/>
          <w:sz w:val="26"/>
          <w:szCs w:val="26"/>
          <w:lang w:val="lv-LV" w:eastAsia="en-US"/>
        </w:rPr>
        <w:t xml:space="preserve"> Somijā zāģskaidas. </w:t>
      </w:r>
      <w:r w:rsidR="00A5290E" w:rsidRPr="00BC3A42">
        <w:rPr>
          <w:rFonts w:eastAsia="Calibri"/>
          <w:sz w:val="26"/>
          <w:szCs w:val="26"/>
          <w:lang w:val="lv-LV" w:eastAsia="en-US"/>
        </w:rPr>
        <w:t>Eiropas Tehnoloģiju un Inovāciju platformas</w:t>
      </w:r>
      <w:r w:rsidR="00E20F44" w:rsidRPr="00BC3A42">
        <w:rPr>
          <w:rFonts w:eastAsia="Calibri"/>
          <w:sz w:val="26"/>
          <w:szCs w:val="26"/>
          <w:lang w:val="lv-LV" w:eastAsia="en-US"/>
        </w:rPr>
        <w:t xml:space="preserve"> (</w:t>
      </w:r>
      <w:proofErr w:type="spellStart"/>
      <w:r w:rsidR="00515323" w:rsidRPr="00BC3A42">
        <w:rPr>
          <w:rFonts w:eastAsia="Calibri"/>
          <w:i/>
          <w:sz w:val="26"/>
          <w:szCs w:val="26"/>
          <w:lang w:val="lv-LV" w:eastAsia="en-US"/>
        </w:rPr>
        <w:t>European</w:t>
      </w:r>
      <w:proofErr w:type="spellEnd"/>
      <w:r w:rsidR="00515323" w:rsidRPr="00BC3A42">
        <w:rPr>
          <w:rFonts w:eastAsia="Calibri"/>
          <w:i/>
          <w:sz w:val="26"/>
          <w:szCs w:val="26"/>
          <w:lang w:val="lv-LV" w:eastAsia="en-US"/>
        </w:rPr>
        <w:t xml:space="preserve"> </w:t>
      </w:r>
      <w:proofErr w:type="spellStart"/>
      <w:r w:rsidR="00515323" w:rsidRPr="00BC3A42">
        <w:rPr>
          <w:rFonts w:eastAsia="Calibri"/>
          <w:i/>
          <w:sz w:val="26"/>
          <w:szCs w:val="26"/>
          <w:lang w:val="lv-LV" w:eastAsia="en-US"/>
        </w:rPr>
        <w:t>Technology</w:t>
      </w:r>
      <w:proofErr w:type="spellEnd"/>
      <w:r w:rsidR="00515323" w:rsidRPr="00BC3A42">
        <w:rPr>
          <w:rFonts w:eastAsia="Calibri"/>
          <w:i/>
          <w:sz w:val="26"/>
          <w:szCs w:val="26"/>
          <w:lang w:val="lv-LV" w:eastAsia="en-US"/>
        </w:rPr>
        <w:t xml:space="preserve"> </w:t>
      </w:r>
      <w:proofErr w:type="spellStart"/>
      <w:r w:rsidR="00515323" w:rsidRPr="00BC3A42">
        <w:rPr>
          <w:rFonts w:eastAsia="Calibri"/>
          <w:i/>
          <w:sz w:val="26"/>
          <w:szCs w:val="26"/>
          <w:lang w:val="lv-LV" w:eastAsia="en-US"/>
        </w:rPr>
        <w:t>and</w:t>
      </w:r>
      <w:proofErr w:type="spellEnd"/>
      <w:r w:rsidR="00515323" w:rsidRPr="00BC3A42">
        <w:rPr>
          <w:rFonts w:eastAsia="Calibri"/>
          <w:i/>
          <w:sz w:val="26"/>
          <w:szCs w:val="26"/>
          <w:lang w:val="lv-LV" w:eastAsia="en-US"/>
        </w:rPr>
        <w:t xml:space="preserve"> </w:t>
      </w:r>
      <w:proofErr w:type="spellStart"/>
      <w:r w:rsidR="00515323" w:rsidRPr="00BC3A42">
        <w:rPr>
          <w:rFonts w:eastAsia="Calibri"/>
          <w:i/>
          <w:sz w:val="26"/>
          <w:szCs w:val="26"/>
          <w:lang w:val="lv-LV" w:eastAsia="en-US"/>
        </w:rPr>
        <w:t>Innovation</w:t>
      </w:r>
      <w:proofErr w:type="spellEnd"/>
      <w:r w:rsidR="00515323" w:rsidRPr="00BC3A42">
        <w:rPr>
          <w:rFonts w:eastAsia="Calibri"/>
          <w:i/>
          <w:sz w:val="26"/>
          <w:szCs w:val="26"/>
          <w:lang w:val="lv-LV" w:eastAsia="en-US"/>
        </w:rPr>
        <w:t xml:space="preserve"> </w:t>
      </w:r>
      <w:proofErr w:type="spellStart"/>
      <w:r w:rsidR="00515323" w:rsidRPr="00BC3A42">
        <w:rPr>
          <w:rFonts w:eastAsia="Calibri"/>
          <w:i/>
          <w:sz w:val="26"/>
          <w:szCs w:val="26"/>
          <w:lang w:val="lv-LV" w:eastAsia="en-US"/>
        </w:rPr>
        <w:t>Platform</w:t>
      </w:r>
      <w:proofErr w:type="spellEnd"/>
      <w:r w:rsidR="00515323" w:rsidRPr="00BC3A42">
        <w:rPr>
          <w:rFonts w:eastAsia="Calibri"/>
          <w:i/>
          <w:sz w:val="26"/>
          <w:szCs w:val="26"/>
          <w:lang w:val="lv-LV" w:eastAsia="en-US"/>
        </w:rPr>
        <w:t xml:space="preserve"> </w:t>
      </w:r>
      <w:proofErr w:type="spellStart"/>
      <w:r w:rsidR="00515323" w:rsidRPr="00BC3A42">
        <w:rPr>
          <w:rFonts w:eastAsia="Calibri"/>
          <w:i/>
          <w:sz w:val="26"/>
          <w:szCs w:val="26"/>
          <w:lang w:val="lv-LV" w:eastAsia="en-US"/>
        </w:rPr>
        <w:t>Bioenergy</w:t>
      </w:r>
      <w:proofErr w:type="spellEnd"/>
      <w:r w:rsidR="00515323" w:rsidRPr="00BC3A42">
        <w:rPr>
          <w:rFonts w:eastAsia="Calibri"/>
          <w:i/>
          <w:sz w:val="26"/>
          <w:szCs w:val="26"/>
          <w:lang w:val="lv-LV" w:eastAsia="en-US"/>
        </w:rPr>
        <w:t xml:space="preserve"> (ETIP </w:t>
      </w:r>
      <w:proofErr w:type="spellStart"/>
      <w:r w:rsidR="00515323" w:rsidRPr="00BC3A42">
        <w:rPr>
          <w:rFonts w:eastAsia="Calibri"/>
          <w:i/>
          <w:sz w:val="26"/>
          <w:szCs w:val="26"/>
          <w:lang w:val="lv-LV" w:eastAsia="en-US"/>
        </w:rPr>
        <w:t>Bioenergy</w:t>
      </w:r>
      <w:proofErr w:type="spellEnd"/>
      <w:r w:rsidR="00515323" w:rsidRPr="00BC3A42">
        <w:rPr>
          <w:rFonts w:eastAsia="Calibri"/>
          <w:i/>
          <w:sz w:val="26"/>
          <w:szCs w:val="26"/>
          <w:lang w:val="lv-LV" w:eastAsia="en-US"/>
        </w:rPr>
        <w:t>)</w:t>
      </w:r>
      <w:r w:rsidR="00E20F44" w:rsidRPr="00BC3A42">
        <w:rPr>
          <w:rFonts w:eastAsia="Calibri"/>
          <w:sz w:val="26"/>
          <w:szCs w:val="26"/>
          <w:lang w:val="lv-LV" w:eastAsia="en-US"/>
        </w:rPr>
        <w:t>)</w:t>
      </w:r>
      <w:r w:rsidR="00A5290E" w:rsidRPr="00BC3A42">
        <w:rPr>
          <w:rFonts w:eastAsia="Calibri"/>
          <w:sz w:val="26"/>
          <w:szCs w:val="26"/>
          <w:lang w:val="lv-LV" w:eastAsia="en-US"/>
        </w:rPr>
        <w:t xml:space="preserve"> mājaslapā</w:t>
      </w:r>
      <w:r w:rsidR="0055422B" w:rsidRPr="00BC3A42">
        <w:rPr>
          <w:rFonts w:eastAsia="Calibri"/>
          <w:sz w:val="26"/>
          <w:szCs w:val="26"/>
          <w:lang w:val="lv-LV" w:eastAsia="en-US"/>
        </w:rPr>
        <w:t>, kuras izveidi ir finansējusi</w:t>
      </w:r>
      <w:r w:rsidR="00A5290E" w:rsidRPr="00BC3A42">
        <w:rPr>
          <w:rFonts w:eastAsia="Calibri"/>
          <w:sz w:val="26"/>
          <w:szCs w:val="26"/>
          <w:lang w:val="lv-LV" w:eastAsia="en-US"/>
        </w:rPr>
        <w:t xml:space="preserve"> ir publicēta informācija par citiem celulozes bioetanola pilotprojektiem, kas pieejami gan ES, gan citviet pasaulē</w:t>
      </w:r>
      <w:r w:rsidR="0055422B" w:rsidRPr="00BC3A42">
        <w:rPr>
          <w:rStyle w:val="FootnoteReference"/>
          <w:rFonts w:eastAsia="Calibri"/>
          <w:sz w:val="26"/>
          <w:szCs w:val="26"/>
          <w:lang w:val="lv-LV" w:eastAsia="en-US"/>
        </w:rPr>
        <w:footnoteReference w:id="26"/>
      </w:r>
      <w:r w:rsidR="00A5290E" w:rsidRPr="00BC3A42">
        <w:rPr>
          <w:rFonts w:eastAsia="Calibri"/>
          <w:sz w:val="26"/>
          <w:szCs w:val="26"/>
          <w:lang w:val="lv-LV" w:eastAsia="en-US"/>
        </w:rPr>
        <w:t xml:space="preserve">. </w:t>
      </w:r>
      <w:r w:rsidR="005B4031" w:rsidRPr="00BC3A42">
        <w:rPr>
          <w:rFonts w:eastAsia="Calibri"/>
          <w:sz w:val="26"/>
          <w:szCs w:val="26"/>
          <w:lang w:val="lv-LV" w:eastAsia="en-US"/>
        </w:rPr>
        <w:t>Somijā līdz 2020.</w:t>
      </w:r>
      <w:r w:rsidR="00E20F44" w:rsidRPr="00BC3A42">
        <w:rPr>
          <w:rFonts w:eastAsia="Calibri"/>
          <w:sz w:val="26"/>
          <w:szCs w:val="26"/>
          <w:lang w:val="lv-LV" w:eastAsia="en-US"/>
        </w:rPr>
        <w:t> </w:t>
      </w:r>
      <w:r w:rsidR="005B4031" w:rsidRPr="00BC3A42">
        <w:rPr>
          <w:rFonts w:eastAsia="Calibri"/>
          <w:sz w:val="26"/>
          <w:szCs w:val="26"/>
          <w:lang w:val="lv-LV" w:eastAsia="en-US"/>
        </w:rPr>
        <w:t xml:space="preserve">gadam ir paredzēts realizēt vēl vienu no celulozes iegūta bioetanola ražotni, kurā </w:t>
      </w:r>
      <w:r w:rsidR="009604FF" w:rsidRPr="00BC3A42">
        <w:rPr>
          <w:rFonts w:eastAsia="Calibri"/>
          <w:sz w:val="26"/>
          <w:szCs w:val="26"/>
          <w:lang w:val="lv-LV" w:eastAsia="en-US"/>
        </w:rPr>
        <w:t xml:space="preserve">kā izejvielas tiks izmantotas ne vien zāģskaidas, bet arī </w:t>
      </w:r>
      <w:proofErr w:type="spellStart"/>
      <w:r w:rsidR="009604FF" w:rsidRPr="00BC3A42">
        <w:rPr>
          <w:rFonts w:eastAsia="Calibri"/>
          <w:sz w:val="26"/>
          <w:szCs w:val="26"/>
          <w:lang w:val="lv-LV" w:eastAsia="en-US"/>
        </w:rPr>
        <w:t>reciklēta</w:t>
      </w:r>
      <w:proofErr w:type="spellEnd"/>
      <w:r w:rsidR="009604FF" w:rsidRPr="00BC3A42">
        <w:rPr>
          <w:rFonts w:eastAsia="Calibri"/>
          <w:sz w:val="26"/>
          <w:szCs w:val="26"/>
          <w:lang w:val="lv-LV" w:eastAsia="en-US"/>
        </w:rPr>
        <w:t xml:space="preserve"> koksne</w:t>
      </w:r>
      <w:r w:rsidR="009D7258" w:rsidRPr="00BC3A42">
        <w:rPr>
          <w:rFonts w:eastAsia="Calibri"/>
          <w:sz w:val="26"/>
          <w:szCs w:val="26"/>
          <w:lang w:val="lv-LV" w:eastAsia="en-US"/>
        </w:rPr>
        <w:t>. Slovākijā un Rumānijā ir izziņoti projekti, kuros bioetanolu plānots ražot no koksnes biomasas. A</w:t>
      </w:r>
      <w:r w:rsidR="009604FF" w:rsidRPr="00BC3A42">
        <w:rPr>
          <w:rFonts w:eastAsia="Calibri"/>
          <w:sz w:val="26"/>
          <w:szCs w:val="26"/>
          <w:lang w:val="lv-LV" w:eastAsia="en-US"/>
        </w:rPr>
        <w:t>rī Latvijā</w:t>
      </w:r>
      <w:r w:rsidR="009D7258" w:rsidRPr="00BC3A42">
        <w:rPr>
          <w:rFonts w:eastAsia="Calibri"/>
          <w:sz w:val="26"/>
          <w:szCs w:val="26"/>
          <w:lang w:val="lv-LV" w:eastAsia="en-US"/>
        </w:rPr>
        <w:t xml:space="preserve"> ir izziņots līdzīgs projekts, kurā</w:t>
      </w:r>
      <w:r w:rsidR="009604FF" w:rsidRPr="00BC3A42">
        <w:rPr>
          <w:rFonts w:eastAsia="Calibri"/>
          <w:sz w:val="26"/>
          <w:szCs w:val="26"/>
          <w:lang w:val="lv-LV" w:eastAsia="en-US"/>
        </w:rPr>
        <w:t xml:space="preserve"> uzņēmums “</w:t>
      </w:r>
      <w:proofErr w:type="spellStart"/>
      <w:r w:rsidR="009604FF" w:rsidRPr="00BC3A42">
        <w:rPr>
          <w:rFonts w:eastAsia="Calibri"/>
          <w:i/>
          <w:sz w:val="26"/>
          <w:szCs w:val="26"/>
          <w:lang w:val="lv-LV" w:eastAsia="en-US"/>
        </w:rPr>
        <w:t>Baltic</w:t>
      </w:r>
      <w:proofErr w:type="spellEnd"/>
      <w:r w:rsidR="009604FF" w:rsidRPr="00BC3A42">
        <w:rPr>
          <w:rFonts w:eastAsia="Calibri"/>
          <w:i/>
          <w:sz w:val="26"/>
          <w:szCs w:val="26"/>
          <w:lang w:val="lv-LV" w:eastAsia="en-US"/>
        </w:rPr>
        <w:t xml:space="preserve"> </w:t>
      </w:r>
      <w:proofErr w:type="spellStart"/>
      <w:r w:rsidR="009604FF" w:rsidRPr="00BC3A42">
        <w:rPr>
          <w:rFonts w:eastAsia="Calibri"/>
          <w:i/>
          <w:sz w:val="26"/>
          <w:szCs w:val="26"/>
          <w:lang w:val="lv-LV" w:eastAsia="en-US"/>
        </w:rPr>
        <w:t>Bioethanol</w:t>
      </w:r>
      <w:proofErr w:type="spellEnd"/>
      <w:r w:rsidR="009604FF" w:rsidRPr="00BC3A42">
        <w:rPr>
          <w:rFonts w:eastAsia="Calibri"/>
          <w:sz w:val="26"/>
          <w:szCs w:val="26"/>
          <w:lang w:val="lv-LV" w:eastAsia="en-US"/>
        </w:rPr>
        <w:t xml:space="preserve">” </w:t>
      </w:r>
      <w:r w:rsidR="009D7258" w:rsidRPr="00BC3A42">
        <w:rPr>
          <w:rFonts w:eastAsia="Calibri"/>
          <w:sz w:val="26"/>
          <w:szCs w:val="26"/>
          <w:lang w:val="lv-LV" w:eastAsia="en-US"/>
        </w:rPr>
        <w:t xml:space="preserve">no salmiem iegūta </w:t>
      </w:r>
      <w:r w:rsidR="009604FF" w:rsidRPr="00BC3A42">
        <w:rPr>
          <w:rFonts w:eastAsia="Calibri"/>
          <w:sz w:val="26"/>
          <w:szCs w:val="26"/>
          <w:lang w:val="lv-LV" w:eastAsia="en-US"/>
        </w:rPr>
        <w:t>bioetanola rūpnīcas izveidei Bauskā plāno investēt līdz 150 miljoniem</w:t>
      </w:r>
      <w:r w:rsidR="009D7258" w:rsidRPr="00BC3A42">
        <w:rPr>
          <w:rFonts w:eastAsia="Calibri"/>
          <w:sz w:val="26"/>
          <w:szCs w:val="26"/>
          <w:lang w:val="lv-LV" w:eastAsia="en-US"/>
        </w:rPr>
        <w:t xml:space="preserve"> un projekta aplēses liecina, ka kopējais iepērkamo salmu apjoms varētu būt ap 300 </w:t>
      </w:r>
      <w:proofErr w:type="spellStart"/>
      <w:r w:rsidR="009D7258" w:rsidRPr="00BC3A42">
        <w:rPr>
          <w:rFonts w:eastAsia="Calibri"/>
          <w:sz w:val="26"/>
          <w:szCs w:val="26"/>
          <w:lang w:val="lv-LV" w:eastAsia="en-US"/>
        </w:rPr>
        <w:t>tūkst.tonnām</w:t>
      </w:r>
      <w:proofErr w:type="spellEnd"/>
      <w:r w:rsidR="009D7258" w:rsidRPr="00BC3A42">
        <w:rPr>
          <w:rFonts w:eastAsia="Calibri"/>
          <w:sz w:val="26"/>
          <w:szCs w:val="26"/>
          <w:lang w:val="lv-LV" w:eastAsia="en-US"/>
        </w:rPr>
        <w:t xml:space="preserve"> gadā.</w:t>
      </w:r>
    </w:p>
    <w:p w14:paraId="5C1A2D4B" w14:textId="382B8D23" w:rsidR="00DE65C8" w:rsidRDefault="00DE65C8" w:rsidP="009604FF">
      <w:pPr>
        <w:pStyle w:val="ListParagraph"/>
        <w:ind w:left="0" w:firstLine="567"/>
        <w:jc w:val="both"/>
        <w:rPr>
          <w:b/>
          <w:sz w:val="26"/>
          <w:szCs w:val="26"/>
          <w:lang w:val="lv-LV"/>
        </w:rPr>
      </w:pPr>
    </w:p>
    <w:p w14:paraId="79D25958" w14:textId="77777777" w:rsidR="00DE65C8" w:rsidRPr="00BC3A42" w:rsidRDefault="00DE65C8" w:rsidP="009604FF">
      <w:pPr>
        <w:pStyle w:val="ListParagraph"/>
        <w:ind w:left="0" w:firstLine="567"/>
        <w:jc w:val="both"/>
        <w:rPr>
          <w:b/>
          <w:sz w:val="26"/>
          <w:szCs w:val="26"/>
          <w:lang w:val="lv-LV"/>
        </w:rPr>
      </w:pPr>
    </w:p>
    <w:p w14:paraId="5267D70C" w14:textId="25372EBD" w:rsidR="00C105FD" w:rsidRDefault="00BE1025" w:rsidP="00524FE2">
      <w:pPr>
        <w:pStyle w:val="Heading1"/>
        <w:numPr>
          <w:ilvl w:val="0"/>
          <w:numId w:val="13"/>
        </w:numPr>
      </w:pPr>
      <w:r w:rsidRPr="00BC3A42">
        <w:t>Atjaunojamās enerģijas mērķi transportā</w:t>
      </w:r>
      <w:r w:rsidR="007841E6" w:rsidRPr="00BC3A42">
        <w:t xml:space="preserve"> 2030.gadam</w:t>
      </w:r>
    </w:p>
    <w:p w14:paraId="5108CBCC" w14:textId="77777777" w:rsidR="00EC6C8D" w:rsidRPr="00EC6C8D" w:rsidRDefault="00EC6C8D" w:rsidP="00EC6C8D">
      <w:pPr>
        <w:rPr>
          <w:lang w:val="sv-SE" w:eastAsia="sv-SE"/>
        </w:rPr>
      </w:pPr>
    </w:p>
    <w:p w14:paraId="65F3C92B" w14:textId="2FD52D39" w:rsidR="00257C4E" w:rsidRPr="00BC3A42" w:rsidRDefault="0055130E" w:rsidP="000C34C8">
      <w:pPr>
        <w:ind w:firstLine="709"/>
        <w:jc w:val="both"/>
        <w:rPr>
          <w:rFonts w:eastAsiaTheme="minorHAnsi"/>
          <w:sz w:val="26"/>
          <w:szCs w:val="26"/>
        </w:rPr>
      </w:pPr>
      <w:r w:rsidRPr="00BC3A42">
        <w:rPr>
          <w:rFonts w:eastAsiaTheme="minorHAnsi"/>
          <w:sz w:val="26"/>
          <w:szCs w:val="26"/>
        </w:rPr>
        <w:lastRenderedPageBreak/>
        <w:t>ES</w:t>
      </w:r>
      <w:r w:rsidR="00C105FD" w:rsidRPr="00BC3A42">
        <w:rPr>
          <w:rFonts w:eastAsiaTheme="minorHAnsi"/>
          <w:sz w:val="26"/>
          <w:szCs w:val="26"/>
        </w:rPr>
        <w:t xml:space="preserve"> Enerģētikas savienības stratēģijas</w:t>
      </w:r>
      <w:r w:rsidR="00C105FD" w:rsidRPr="00BC3A42">
        <w:rPr>
          <w:sz w:val="26"/>
          <w:szCs w:val="26"/>
          <w:vertAlign w:val="superscript"/>
        </w:rPr>
        <w:footnoteReference w:id="27"/>
      </w:r>
      <w:r w:rsidR="00C105FD" w:rsidRPr="00BC3A42">
        <w:rPr>
          <w:rFonts w:eastAsiaTheme="minorHAnsi"/>
          <w:sz w:val="26"/>
          <w:szCs w:val="26"/>
        </w:rPr>
        <w:t xml:space="preserve"> ietvaros Eiropas Komisija</w:t>
      </w:r>
      <w:r w:rsidR="00C105FD" w:rsidRPr="00BC3A42">
        <w:rPr>
          <w:sz w:val="26"/>
          <w:szCs w:val="26"/>
        </w:rPr>
        <w:t xml:space="preserve"> </w:t>
      </w:r>
      <w:r w:rsidR="00C105FD" w:rsidRPr="00BC3A42">
        <w:rPr>
          <w:rFonts w:eastAsiaTheme="minorHAnsi"/>
          <w:sz w:val="26"/>
          <w:szCs w:val="26"/>
        </w:rPr>
        <w:t>2016.</w:t>
      </w:r>
      <w:r w:rsidR="00E20F44" w:rsidRPr="00BC3A42">
        <w:rPr>
          <w:rFonts w:eastAsiaTheme="minorHAnsi"/>
          <w:sz w:val="26"/>
          <w:szCs w:val="26"/>
        </w:rPr>
        <w:t> </w:t>
      </w:r>
      <w:r w:rsidR="00C105FD" w:rsidRPr="00BC3A42">
        <w:rPr>
          <w:rFonts w:eastAsiaTheme="minorHAnsi"/>
          <w:sz w:val="26"/>
          <w:szCs w:val="26"/>
        </w:rPr>
        <w:t>gada 30.</w:t>
      </w:r>
      <w:r w:rsidR="00E20F44" w:rsidRPr="00BC3A42">
        <w:rPr>
          <w:rFonts w:eastAsiaTheme="minorHAnsi"/>
          <w:sz w:val="26"/>
          <w:szCs w:val="26"/>
        </w:rPr>
        <w:t> </w:t>
      </w:r>
      <w:r w:rsidR="00C105FD" w:rsidRPr="00BC3A42">
        <w:rPr>
          <w:rFonts w:eastAsiaTheme="minorHAnsi"/>
          <w:sz w:val="26"/>
          <w:szCs w:val="26"/>
        </w:rPr>
        <w:t xml:space="preserve">novembrī publicēja </w:t>
      </w:r>
      <w:r w:rsidR="00E20F44" w:rsidRPr="00BC3A42">
        <w:rPr>
          <w:rFonts w:eastAsiaTheme="minorHAnsi"/>
          <w:sz w:val="26"/>
          <w:szCs w:val="26"/>
        </w:rPr>
        <w:t>ES</w:t>
      </w:r>
      <w:r w:rsidR="00C105FD" w:rsidRPr="00BC3A42">
        <w:rPr>
          <w:rFonts w:eastAsiaTheme="minorHAnsi"/>
          <w:sz w:val="26"/>
          <w:szCs w:val="26"/>
        </w:rPr>
        <w:t xml:space="preserve"> dokumentu </w:t>
      </w:r>
      <w:proofErr w:type="spellStart"/>
      <w:r w:rsidR="00C105FD" w:rsidRPr="00BC3A42">
        <w:rPr>
          <w:rFonts w:eastAsiaTheme="minorHAnsi"/>
          <w:sz w:val="26"/>
          <w:szCs w:val="26"/>
        </w:rPr>
        <w:t>pakotni</w:t>
      </w:r>
      <w:proofErr w:type="spellEnd"/>
      <w:r w:rsidR="00C105FD" w:rsidRPr="00BC3A42">
        <w:rPr>
          <w:rFonts w:eastAsiaTheme="minorHAnsi"/>
          <w:sz w:val="26"/>
          <w:szCs w:val="26"/>
        </w:rPr>
        <w:t xml:space="preserve"> “Tīra enerģija visiem Eiropas iedzīvotājiem – Eiropas izaugsmes potenciāla realizēšana”</w:t>
      </w:r>
      <w:r w:rsidR="001B152A" w:rsidRPr="00BC3A42">
        <w:rPr>
          <w:rStyle w:val="FootnoteReference"/>
          <w:rFonts w:eastAsiaTheme="minorHAnsi"/>
          <w:sz w:val="26"/>
          <w:szCs w:val="26"/>
        </w:rPr>
        <w:footnoteReference w:id="28"/>
      </w:r>
      <w:r w:rsidR="00C105FD" w:rsidRPr="00BC3A42">
        <w:rPr>
          <w:rFonts w:eastAsiaTheme="minorHAnsi"/>
          <w:sz w:val="26"/>
          <w:szCs w:val="26"/>
        </w:rPr>
        <w:t xml:space="preserve"> ar mērķi veicināt </w:t>
      </w:r>
      <w:r w:rsidR="00E20F44" w:rsidRPr="00BC3A42">
        <w:rPr>
          <w:rFonts w:eastAsiaTheme="minorHAnsi"/>
          <w:sz w:val="26"/>
          <w:szCs w:val="26"/>
        </w:rPr>
        <w:t>ES</w:t>
      </w:r>
      <w:r w:rsidR="00C105FD" w:rsidRPr="00BC3A42">
        <w:rPr>
          <w:rFonts w:eastAsiaTheme="minorHAnsi"/>
          <w:sz w:val="26"/>
          <w:szCs w:val="26"/>
        </w:rPr>
        <w:t xml:space="preserve"> konkurētspēju, pārejot uz tīru enerģiju un efektīvu tās izmantošanu, kā arī sasniegt ilgtermiņa klimata politikas mērķus. Šīs pakotnes ietvaros tika publicēti vairāki priekšlikumi, t.sk. </w:t>
      </w:r>
      <w:r w:rsidR="00B341BE" w:rsidRPr="00BC3A42">
        <w:rPr>
          <w:rFonts w:eastAsiaTheme="minorHAnsi"/>
          <w:sz w:val="26"/>
          <w:szCs w:val="26"/>
        </w:rPr>
        <w:t xml:space="preserve">priekšlikums </w:t>
      </w:r>
      <w:r w:rsidR="00C105FD" w:rsidRPr="00BC3A42">
        <w:rPr>
          <w:rFonts w:eastAsiaTheme="minorHAnsi"/>
          <w:sz w:val="26"/>
          <w:szCs w:val="26"/>
        </w:rPr>
        <w:t xml:space="preserve">par Eiropas Parlamenta un Padomes direktīvu par atjaunojamo energoresursu izmantošanas veicināšanu. </w:t>
      </w:r>
      <w:r w:rsidR="00B341BE" w:rsidRPr="00BC3A42">
        <w:rPr>
          <w:rFonts w:eastAsiaTheme="minorHAnsi"/>
          <w:sz w:val="26"/>
          <w:szCs w:val="26"/>
        </w:rPr>
        <w:t xml:space="preserve">2018.gada 11.decembrī priekšlikums tika pieņemts un </w:t>
      </w:r>
      <w:r w:rsidR="00AF48D4" w:rsidRPr="00BC3A42">
        <w:rPr>
          <w:rFonts w:eastAsiaTheme="minorHAnsi"/>
          <w:sz w:val="26"/>
          <w:szCs w:val="26"/>
        </w:rPr>
        <w:t xml:space="preserve">2018. gada 21. decembrī </w:t>
      </w:r>
      <w:r w:rsidR="00B341BE" w:rsidRPr="00BC3A42">
        <w:rPr>
          <w:rFonts w:eastAsiaTheme="minorHAnsi"/>
          <w:sz w:val="26"/>
          <w:szCs w:val="26"/>
        </w:rPr>
        <w:t xml:space="preserve">tika </w:t>
      </w:r>
      <w:r w:rsidR="00AF48D4" w:rsidRPr="00BC3A42">
        <w:rPr>
          <w:rFonts w:eastAsiaTheme="minorHAnsi"/>
          <w:sz w:val="26"/>
          <w:szCs w:val="26"/>
        </w:rPr>
        <w:t>publicēta</w:t>
      </w:r>
      <w:r w:rsidR="00B341BE" w:rsidRPr="00BC3A42">
        <w:rPr>
          <w:rFonts w:eastAsiaTheme="minorHAnsi"/>
          <w:sz w:val="26"/>
          <w:szCs w:val="26"/>
        </w:rPr>
        <w:t xml:space="preserve"> Eiropas Parlamenta un Padomes direktīva 2018/2001</w:t>
      </w:r>
      <w:r w:rsidR="00B341BE" w:rsidRPr="00BC3A42">
        <w:rPr>
          <w:sz w:val="26"/>
          <w:szCs w:val="26"/>
        </w:rPr>
        <w:t xml:space="preserve"> p</w:t>
      </w:r>
      <w:r w:rsidR="00B341BE" w:rsidRPr="00BC3A42">
        <w:rPr>
          <w:rFonts w:eastAsiaTheme="minorHAnsi"/>
          <w:sz w:val="26"/>
          <w:szCs w:val="26"/>
        </w:rPr>
        <w:t>ar no atjaunojamajiem energoresursiem iegūtas enerģijas izmantošanas veicināšanu</w:t>
      </w:r>
      <w:r w:rsidR="00AF48D4" w:rsidRPr="00BC3A42">
        <w:rPr>
          <w:rFonts w:eastAsiaTheme="minorHAnsi"/>
          <w:sz w:val="26"/>
          <w:szCs w:val="26"/>
        </w:rPr>
        <w:t xml:space="preserve"> (pārstrādātā redakcija)</w:t>
      </w:r>
      <w:r w:rsidR="00B341BE" w:rsidRPr="00BC3A42">
        <w:rPr>
          <w:rFonts w:eastAsiaTheme="minorHAnsi"/>
          <w:sz w:val="26"/>
          <w:szCs w:val="26"/>
        </w:rPr>
        <w:t xml:space="preserve"> (turpmāk –</w:t>
      </w:r>
      <w:r w:rsidR="00257C4E" w:rsidRPr="00BC3A42">
        <w:rPr>
          <w:rFonts w:eastAsiaTheme="minorHAnsi"/>
          <w:sz w:val="26"/>
          <w:szCs w:val="26"/>
        </w:rPr>
        <w:t xml:space="preserve"> </w:t>
      </w:r>
      <w:r w:rsidR="00B341BE" w:rsidRPr="00BC3A42">
        <w:rPr>
          <w:rFonts w:eastAsiaTheme="minorHAnsi"/>
          <w:sz w:val="26"/>
          <w:szCs w:val="26"/>
        </w:rPr>
        <w:t>Atjaunojamo energoresursu direktīva</w:t>
      </w:r>
      <w:r w:rsidR="00257C4E" w:rsidRPr="00BC3A42">
        <w:rPr>
          <w:rFonts w:eastAsiaTheme="minorHAnsi"/>
          <w:sz w:val="26"/>
          <w:szCs w:val="26"/>
        </w:rPr>
        <w:t xml:space="preserve"> 2030.gadam</w:t>
      </w:r>
      <w:r w:rsidR="00B341BE" w:rsidRPr="00BC3A42">
        <w:rPr>
          <w:rFonts w:eastAsiaTheme="minorHAnsi"/>
          <w:sz w:val="26"/>
          <w:szCs w:val="26"/>
        </w:rPr>
        <w:t>)</w:t>
      </w:r>
      <w:r w:rsidR="000C34C8" w:rsidRPr="00BC3A42">
        <w:rPr>
          <w:rFonts w:eastAsiaTheme="minorHAnsi"/>
          <w:sz w:val="26"/>
          <w:szCs w:val="26"/>
        </w:rPr>
        <w:t>. Atjaunojamo energoresursu direktīva 2030.gadam atbilstoši tās 38.pantam stājusies spēkā 2018. gada 24. decembrī, taču saskaņā ar tās 36.panta 1.punktu dalībvalstīm attiecīgās direktīvas normas</w:t>
      </w:r>
      <w:r w:rsidR="00F43A1A" w:rsidRPr="00BC3A42">
        <w:rPr>
          <w:rFonts w:eastAsiaTheme="minorHAnsi"/>
          <w:sz w:val="26"/>
          <w:szCs w:val="26"/>
        </w:rPr>
        <w:t xml:space="preserve"> (2.</w:t>
      </w:r>
      <w:r w:rsidRPr="00BC3A42">
        <w:rPr>
          <w:rFonts w:eastAsiaTheme="minorHAnsi"/>
          <w:sz w:val="26"/>
          <w:szCs w:val="26"/>
        </w:rPr>
        <w:t xml:space="preserve"> </w:t>
      </w:r>
      <w:r w:rsidR="00F43A1A" w:rsidRPr="00BC3A42">
        <w:rPr>
          <w:rFonts w:eastAsiaTheme="minorHAnsi"/>
          <w:sz w:val="26"/>
          <w:szCs w:val="26"/>
        </w:rPr>
        <w:t>līdz 13.pants,15. līdz 31.pants un 35.pants)</w:t>
      </w:r>
      <w:r w:rsidR="000C34C8" w:rsidRPr="00BC3A42">
        <w:rPr>
          <w:rFonts w:eastAsiaTheme="minorHAnsi"/>
          <w:sz w:val="26"/>
          <w:szCs w:val="26"/>
        </w:rPr>
        <w:t xml:space="preserve"> nacionālajos tiesību aktos ir jāievieš līdz 2021.</w:t>
      </w:r>
      <w:r w:rsidR="00F43A1A" w:rsidRPr="00BC3A42">
        <w:rPr>
          <w:rFonts w:eastAsiaTheme="minorHAnsi"/>
          <w:sz w:val="26"/>
          <w:szCs w:val="26"/>
        </w:rPr>
        <w:t> </w:t>
      </w:r>
      <w:r w:rsidR="000C34C8" w:rsidRPr="00BC3A42">
        <w:rPr>
          <w:rFonts w:eastAsiaTheme="minorHAnsi"/>
          <w:sz w:val="26"/>
          <w:szCs w:val="26"/>
        </w:rPr>
        <w:t>gada 30.</w:t>
      </w:r>
      <w:r w:rsidR="00F43A1A" w:rsidRPr="00BC3A42">
        <w:rPr>
          <w:rFonts w:eastAsiaTheme="minorHAnsi"/>
          <w:sz w:val="26"/>
          <w:szCs w:val="26"/>
        </w:rPr>
        <w:t> </w:t>
      </w:r>
      <w:r w:rsidR="000C34C8" w:rsidRPr="00BC3A42">
        <w:rPr>
          <w:rFonts w:eastAsiaTheme="minorHAnsi"/>
          <w:sz w:val="26"/>
          <w:szCs w:val="26"/>
        </w:rPr>
        <w:t>jūnijam.</w:t>
      </w:r>
      <w:r w:rsidR="00B341BE" w:rsidRPr="00BC3A42">
        <w:rPr>
          <w:rFonts w:eastAsiaTheme="minorHAnsi"/>
          <w:sz w:val="26"/>
          <w:szCs w:val="26"/>
        </w:rPr>
        <w:t xml:space="preserve"> </w:t>
      </w:r>
    </w:p>
    <w:p w14:paraId="54795375" w14:textId="61CCD6DD" w:rsidR="00C105FD" w:rsidRDefault="00257C4E" w:rsidP="00C105FD">
      <w:pPr>
        <w:ind w:firstLine="709"/>
        <w:jc w:val="both"/>
        <w:rPr>
          <w:rFonts w:eastAsiaTheme="minorHAnsi"/>
          <w:sz w:val="26"/>
          <w:szCs w:val="26"/>
        </w:rPr>
      </w:pPr>
      <w:r w:rsidRPr="00BC3A42">
        <w:rPr>
          <w:rFonts w:eastAsiaTheme="minorHAnsi"/>
          <w:sz w:val="26"/>
          <w:szCs w:val="26"/>
        </w:rPr>
        <w:t>Atjaunojamo energoresursu direktīva 2030.gadam</w:t>
      </w:r>
      <w:r w:rsidRPr="00BC3A42" w:rsidDel="00257C4E">
        <w:rPr>
          <w:rFonts w:eastAsiaTheme="minorHAnsi"/>
          <w:sz w:val="26"/>
          <w:szCs w:val="26"/>
        </w:rPr>
        <w:t xml:space="preserve"> </w:t>
      </w:r>
      <w:r w:rsidRPr="00BC3A42">
        <w:rPr>
          <w:rFonts w:eastAsiaTheme="minorHAnsi"/>
          <w:sz w:val="26"/>
          <w:szCs w:val="26"/>
        </w:rPr>
        <w:t xml:space="preserve"> paredz, ka </w:t>
      </w:r>
      <w:r w:rsidR="00C105FD" w:rsidRPr="00BC3A42">
        <w:rPr>
          <w:rFonts w:eastAsiaTheme="minorHAnsi"/>
          <w:sz w:val="26"/>
          <w:szCs w:val="26"/>
        </w:rPr>
        <w:t>e</w:t>
      </w:r>
      <w:r w:rsidR="00C105FD" w:rsidRPr="00BC3A42">
        <w:rPr>
          <w:sz w:val="26"/>
          <w:szCs w:val="26"/>
        </w:rPr>
        <w:t>nerģijas patēriņā transporta sektorā 2030.</w:t>
      </w:r>
      <w:r w:rsidR="00AF48D4" w:rsidRPr="00BC3A42">
        <w:rPr>
          <w:sz w:val="26"/>
          <w:szCs w:val="26"/>
        </w:rPr>
        <w:t> </w:t>
      </w:r>
      <w:r w:rsidR="00C105FD" w:rsidRPr="00BC3A42">
        <w:rPr>
          <w:sz w:val="26"/>
          <w:szCs w:val="26"/>
        </w:rPr>
        <w:t xml:space="preserve">gadā Latvijai līdz ar citām ES dalībvalstīm jānodrošina 14% AER īpatsvars, uzliekot pienākumu degvielas piegādātājiem. Vienlaikus </w:t>
      </w:r>
      <w:r w:rsidRPr="00BC3A42">
        <w:rPr>
          <w:sz w:val="26"/>
          <w:szCs w:val="26"/>
        </w:rPr>
        <w:t xml:space="preserve">degvielas piegādātājiem būs jāparedz arī pienākums attiecībā uz </w:t>
      </w:r>
      <w:r w:rsidR="00C105FD" w:rsidRPr="00BC3A42">
        <w:rPr>
          <w:sz w:val="26"/>
          <w:szCs w:val="26"/>
        </w:rPr>
        <w:t>modernajām biodegvielām</w:t>
      </w:r>
      <w:r w:rsidR="00C105FD" w:rsidRPr="00BC3A42">
        <w:rPr>
          <w:rStyle w:val="FootnoteReference"/>
          <w:sz w:val="26"/>
          <w:szCs w:val="26"/>
        </w:rPr>
        <w:footnoteReference w:id="29"/>
      </w:r>
      <w:r w:rsidR="00C105FD" w:rsidRPr="00BC3A42">
        <w:rPr>
          <w:sz w:val="26"/>
          <w:szCs w:val="26"/>
        </w:rPr>
        <w:t>, paredzot, ka 2022.</w:t>
      </w:r>
      <w:r w:rsidR="00AF48D4" w:rsidRPr="00BC3A42">
        <w:rPr>
          <w:sz w:val="26"/>
          <w:szCs w:val="26"/>
        </w:rPr>
        <w:t> </w:t>
      </w:r>
      <w:r w:rsidR="00C105FD" w:rsidRPr="00BC3A42">
        <w:rPr>
          <w:sz w:val="26"/>
          <w:szCs w:val="26"/>
        </w:rPr>
        <w:t xml:space="preserve">gadā 0,2% no kopējā AER īpatsvara transporta sektorā jāveido moderno biodegvielu patēriņam, tam pieaugot līdz 3,5% 2030.gadā. Nosakot AER īpatsvaru transportā pirmās paaudzes jeb to biodegvielu, kas ražotas no pārtikas un barības tirgum paredzētam izejvielām, īpatsvars par ne vairāk kā 1% </w:t>
      </w:r>
      <w:r w:rsidR="003845AE" w:rsidRPr="00BC3A42">
        <w:rPr>
          <w:sz w:val="26"/>
          <w:szCs w:val="26"/>
        </w:rPr>
        <w:t xml:space="preserve">punktu </w:t>
      </w:r>
      <w:r w:rsidR="00C105FD" w:rsidRPr="00BC3A42">
        <w:rPr>
          <w:sz w:val="26"/>
          <w:szCs w:val="26"/>
        </w:rPr>
        <w:t>drīkst pārsniegt pirmās paaudzes biodegvielas īpatsvaru 2020.gadā attiecīgajā dalībvalstī, vienlaikus pirmās paaudzes biodegvielas maksimālais īpatsvars nedrīkst būt augstāks par 7%. Tomēr, ja valsts izlemj, ka pirmās paaudzes biodegvielu ieskaite AER mērķī transportā ir jāierobežo zem 7%, tā par proporcionālu daļu var samazināt AER mērķi transportā.</w:t>
      </w:r>
      <w:r w:rsidRPr="00BC3A42">
        <w:rPr>
          <w:rFonts w:eastAsiaTheme="minorHAnsi"/>
          <w:sz w:val="26"/>
          <w:szCs w:val="26"/>
        </w:rPr>
        <w:t xml:space="preserve"> Atjaunojamo energoresursu direktīvā 2030.</w:t>
      </w:r>
      <w:r w:rsidR="00AF48D4" w:rsidRPr="00BC3A42">
        <w:rPr>
          <w:rFonts w:eastAsiaTheme="minorHAnsi"/>
          <w:sz w:val="26"/>
          <w:szCs w:val="26"/>
        </w:rPr>
        <w:t> </w:t>
      </w:r>
      <w:r w:rsidRPr="00BC3A42">
        <w:rPr>
          <w:rFonts w:eastAsiaTheme="minorHAnsi"/>
          <w:sz w:val="26"/>
          <w:szCs w:val="26"/>
        </w:rPr>
        <w:t xml:space="preserve">gadam ietvertie nosacījumi attiecībā uz AER īpatsvara paaugstināšanu Latvijai </w:t>
      </w:r>
      <w:r w:rsidR="00AF48D4" w:rsidRPr="00BC3A42">
        <w:rPr>
          <w:rFonts w:eastAsiaTheme="minorHAnsi"/>
          <w:sz w:val="26"/>
          <w:szCs w:val="26"/>
        </w:rPr>
        <w:t>jāievieš</w:t>
      </w:r>
      <w:r w:rsidRPr="00BC3A42">
        <w:rPr>
          <w:rFonts w:eastAsiaTheme="minorHAnsi"/>
          <w:sz w:val="26"/>
          <w:szCs w:val="26"/>
        </w:rPr>
        <w:t xml:space="preserve"> normatīvajos aktos līdz 2021. gada 30. jūnijam.</w:t>
      </w:r>
    </w:p>
    <w:bookmarkEnd w:id="1"/>
    <w:p w14:paraId="4A866326" w14:textId="1FBA1880" w:rsidR="00372430" w:rsidRPr="00BC3A42" w:rsidRDefault="00BE1025" w:rsidP="00524FE2">
      <w:pPr>
        <w:pStyle w:val="Heading1"/>
        <w:numPr>
          <w:ilvl w:val="0"/>
          <w:numId w:val="13"/>
        </w:numPr>
      </w:pPr>
      <w:r w:rsidRPr="00BC3A42">
        <w:t>Normatīvo aktu izstrāde atjaunojamās enerģijas izmantošanas veicināšanai transporta sektorā</w:t>
      </w:r>
    </w:p>
    <w:p w14:paraId="49A01FCB" w14:textId="0FFF7DE1" w:rsidR="00B74430" w:rsidRPr="00BC3A42" w:rsidRDefault="00524FE2" w:rsidP="00524FE2">
      <w:pPr>
        <w:pStyle w:val="Heading2"/>
        <w:rPr>
          <w:rFonts w:eastAsia="Calibri"/>
          <w:lang w:eastAsia="en-US"/>
        </w:rPr>
      </w:pPr>
      <w:r>
        <w:rPr>
          <w:rFonts w:eastAsia="Calibri"/>
          <w:lang w:eastAsia="en-US"/>
        </w:rPr>
        <w:t xml:space="preserve">5.1. </w:t>
      </w:r>
      <w:r w:rsidR="00B74430" w:rsidRPr="00BC3A42">
        <w:rPr>
          <w:rFonts w:eastAsia="Calibri"/>
          <w:lang w:eastAsia="en-US"/>
        </w:rPr>
        <w:t>Transporta enerģijas likums</w:t>
      </w:r>
    </w:p>
    <w:p w14:paraId="0D97C9F3" w14:textId="0495019D" w:rsidR="00C04C1E" w:rsidRPr="00BC3A42" w:rsidRDefault="00C04C1E" w:rsidP="001D03C3">
      <w:pPr>
        <w:ind w:firstLine="709"/>
        <w:jc w:val="both"/>
        <w:rPr>
          <w:rFonts w:eastAsia="Calibri"/>
          <w:sz w:val="26"/>
          <w:szCs w:val="26"/>
          <w:lang w:eastAsia="en-US"/>
        </w:rPr>
      </w:pPr>
      <w:r w:rsidRPr="00BC3A42">
        <w:rPr>
          <w:rFonts w:eastAsia="Calibri"/>
          <w:sz w:val="26"/>
          <w:szCs w:val="26"/>
          <w:lang w:eastAsia="en-US"/>
        </w:rPr>
        <w:t>Lai nodrošinātu R</w:t>
      </w:r>
      <w:r w:rsidRPr="00BC3A42">
        <w:rPr>
          <w:sz w:val="26"/>
          <w:szCs w:val="26"/>
        </w:rPr>
        <w:t xml:space="preserve">īkojuma Nr. 379 </w:t>
      </w:r>
      <w:r w:rsidR="00107D43" w:rsidRPr="00BC3A42">
        <w:rPr>
          <w:sz w:val="26"/>
          <w:szCs w:val="26"/>
        </w:rPr>
        <w:t xml:space="preserve">1.punktā minētā pienākuma ieviešanu, kā arī </w:t>
      </w:r>
      <w:r w:rsidRPr="00BC3A42">
        <w:rPr>
          <w:sz w:val="26"/>
          <w:szCs w:val="26"/>
        </w:rPr>
        <w:t>2.punktā dot</w:t>
      </w:r>
      <w:r w:rsidR="00617A7A" w:rsidRPr="00BC3A42">
        <w:rPr>
          <w:sz w:val="26"/>
          <w:szCs w:val="26"/>
        </w:rPr>
        <w:t>o</w:t>
      </w:r>
      <w:r w:rsidRPr="00BC3A42">
        <w:rPr>
          <w:sz w:val="26"/>
          <w:szCs w:val="26"/>
        </w:rPr>
        <w:t xml:space="preserve"> uzdevum</w:t>
      </w:r>
      <w:r w:rsidR="00617A7A" w:rsidRPr="00BC3A42">
        <w:rPr>
          <w:sz w:val="26"/>
          <w:szCs w:val="26"/>
        </w:rPr>
        <w:t>u</w:t>
      </w:r>
      <w:r w:rsidRPr="00BC3A42">
        <w:rPr>
          <w:sz w:val="26"/>
          <w:szCs w:val="26"/>
        </w:rPr>
        <w:t xml:space="preserve"> </w:t>
      </w:r>
      <w:r w:rsidR="00617A7A" w:rsidRPr="00BC3A42">
        <w:rPr>
          <w:sz w:val="26"/>
          <w:szCs w:val="26"/>
        </w:rPr>
        <w:t xml:space="preserve">attiecībā uz </w:t>
      </w:r>
      <w:r w:rsidRPr="00BC3A42">
        <w:rPr>
          <w:sz w:val="26"/>
          <w:szCs w:val="26"/>
        </w:rPr>
        <w:t>likumprojekt</w:t>
      </w:r>
      <w:r w:rsidR="00617A7A" w:rsidRPr="00BC3A42">
        <w:rPr>
          <w:sz w:val="26"/>
          <w:szCs w:val="26"/>
        </w:rPr>
        <w:t>a izstrādi</w:t>
      </w:r>
      <w:r w:rsidRPr="00BC3A42">
        <w:rPr>
          <w:sz w:val="26"/>
          <w:szCs w:val="26"/>
        </w:rPr>
        <w:t xml:space="preserve"> par transporta degvielu, kas iegūta no </w:t>
      </w:r>
      <w:r w:rsidR="00BE74C5" w:rsidRPr="00BC3A42">
        <w:rPr>
          <w:sz w:val="26"/>
          <w:szCs w:val="26"/>
        </w:rPr>
        <w:t>AER</w:t>
      </w:r>
      <w:r w:rsidRPr="00BC3A42">
        <w:rPr>
          <w:sz w:val="26"/>
          <w:szCs w:val="26"/>
        </w:rPr>
        <w:t>, transportā izmantojamo elektroenerģiju un bioloģiskajiem šķidrajiem kurināmajiem, nosakot biodīzeļdegvielas un citu biodegvielu definīcijas, un paredzēt</w:t>
      </w:r>
      <w:r w:rsidR="00ED67DF" w:rsidRPr="00BC3A42">
        <w:rPr>
          <w:sz w:val="26"/>
          <w:szCs w:val="26"/>
        </w:rPr>
        <w:t>u</w:t>
      </w:r>
      <w:r w:rsidRPr="00BC3A42">
        <w:rPr>
          <w:sz w:val="26"/>
          <w:szCs w:val="26"/>
        </w:rPr>
        <w:t xml:space="preserve">, ka minētais likums aizstās </w:t>
      </w:r>
      <w:r w:rsidR="00606C18" w:rsidRPr="00BC3A42">
        <w:rPr>
          <w:sz w:val="26"/>
          <w:szCs w:val="26"/>
        </w:rPr>
        <w:t xml:space="preserve">neaktuālo </w:t>
      </w:r>
      <w:r w:rsidRPr="00BC3A42">
        <w:rPr>
          <w:sz w:val="26"/>
          <w:szCs w:val="26"/>
        </w:rPr>
        <w:t xml:space="preserve">Biodegvielas likumu, </w:t>
      </w:r>
      <w:r w:rsidRPr="00BC3A42">
        <w:rPr>
          <w:rFonts w:eastAsia="Calibri"/>
          <w:sz w:val="26"/>
          <w:szCs w:val="26"/>
          <w:lang w:eastAsia="en-US"/>
        </w:rPr>
        <w:t xml:space="preserve"> Ekonomikas ministrija ir </w:t>
      </w:r>
      <w:r w:rsidRPr="00BC3A42">
        <w:rPr>
          <w:rFonts w:eastAsia="Calibri"/>
          <w:sz w:val="26"/>
          <w:szCs w:val="26"/>
          <w:lang w:eastAsia="en-US"/>
        </w:rPr>
        <w:lastRenderedPageBreak/>
        <w:t>izstrādājusi likumprojektu “Transporta enerģijas likums” (TA-904) (turpmāk - Likumprojekts), kas ir atbalstīts Ministru kabineta 2018.</w:t>
      </w:r>
      <w:r w:rsidR="00AF48D4" w:rsidRPr="00BC3A42">
        <w:rPr>
          <w:rFonts w:eastAsia="Calibri"/>
          <w:sz w:val="26"/>
          <w:szCs w:val="26"/>
          <w:lang w:eastAsia="en-US"/>
        </w:rPr>
        <w:t> </w:t>
      </w:r>
      <w:r w:rsidRPr="00BC3A42">
        <w:rPr>
          <w:rFonts w:eastAsia="Calibri"/>
          <w:sz w:val="26"/>
          <w:szCs w:val="26"/>
          <w:lang w:eastAsia="en-US"/>
        </w:rPr>
        <w:t>gada 29.</w:t>
      </w:r>
      <w:r w:rsidR="00AF48D4" w:rsidRPr="00BC3A42">
        <w:rPr>
          <w:rFonts w:eastAsia="Calibri"/>
          <w:sz w:val="26"/>
          <w:szCs w:val="26"/>
          <w:lang w:eastAsia="en-US"/>
        </w:rPr>
        <w:t> </w:t>
      </w:r>
      <w:r w:rsidRPr="00BC3A42">
        <w:rPr>
          <w:rFonts w:eastAsia="Calibri"/>
          <w:sz w:val="26"/>
          <w:szCs w:val="26"/>
          <w:lang w:eastAsia="en-US"/>
        </w:rPr>
        <w:t xml:space="preserve">maija sēdē un </w:t>
      </w:r>
      <w:r w:rsidR="001B152A" w:rsidRPr="00BC3A42">
        <w:rPr>
          <w:rFonts w:eastAsia="Calibri"/>
          <w:sz w:val="26"/>
          <w:szCs w:val="26"/>
          <w:lang w:eastAsia="en-US"/>
        </w:rPr>
        <w:t xml:space="preserve">tika </w:t>
      </w:r>
      <w:r w:rsidRPr="00BC3A42">
        <w:rPr>
          <w:rFonts w:eastAsia="Calibri"/>
          <w:sz w:val="26"/>
          <w:szCs w:val="26"/>
          <w:lang w:eastAsia="en-US"/>
        </w:rPr>
        <w:t>iesniegts izskatīšanai Saeimā.</w:t>
      </w:r>
      <w:r w:rsidR="00D46E74" w:rsidRPr="00BC3A42">
        <w:t xml:space="preserve"> </w:t>
      </w:r>
      <w:r w:rsidR="00D46E74" w:rsidRPr="00BC3A42">
        <w:rPr>
          <w:rFonts w:eastAsia="Calibri"/>
          <w:sz w:val="26"/>
          <w:szCs w:val="26"/>
          <w:lang w:eastAsia="en-US"/>
        </w:rPr>
        <w:t>Likumprojekts pēc iesniegšanas Saeimā tika skatīts Saeimas par likumprojekta virzību Saeimā atbildīgās komisijas sēdēs 2018.gada 5.septembrī un 2018.gada 17.oktobrī, 12.Saeimas laikā atbalstu virzībai uz pirmo lasījumu negūstot. Likumprojekts, pēc tam, kad tas atkārtoti tika atbalstīts Ministru kabinetā 2018.gada 11.decembra sēdē (prot. Nr. 59 2.§), kā steidzams iesniegts arī 13.Saeimā, sekojoši 2019.gada 10.janvāra Saeimas sēdē atbalstīta Likumprojekta nodošana Saeimas atbildīgajai komisijai tālākai virzībai.</w:t>
      </w:r>
    </w:p>
    <w:p w14:paraId="132B3603" w14:textId="78D28193" w:rsidR="00957713" w:rsidRPr="00BC3A42" w:rsidRDefault="00C04C1E" w:rsidP="001D03C3">
      <w:pPr>
        <w:ind w:firstLine="709"/>
        <w:jc w:val="both"/>
        <w:rPr>
          <w:rFonts w:eastAsia="Calibri"/>
          <w:sz w:val="26"/>
          <w:szCs w:val="26"/>
          <w:lang w:eastAsia="en-US"/>
        </w:rPr>
      </w:pPr>
      <w:r w:rsidRPr="00BC3A42">
        <w:rPr>
          <w:rFonts w:eastAsia="Calibri"/>
          <w:sz w:val="26"/>
          <w:szCs w:val="26"/>
          <w:lang w:eastAsia="en-US"/>
        </w:rPr>
        <w:t>Uzdevums izstrādāt Likumprojektu Ekonomikas ministrijai uzdots arī ar</w:t>
      </w:r>
      <w:r w:rsidRPr="00BC3A42">
        <w:rPr>
          <w:sz w:val="26"/>
          <w:szCs w:val="26"/>
        </w:rPr>
        <w:t xml:space="preserve"> M</w:t>
      </w:r>
      <w:r w:rsidR="00AF48D4" w:rsidRPr="00BC3A42">
        <w:rPr>
          <w:sz w:val="26"/>
          <w:szCs w:val="26"/>
        </w:rPr>
        <w:t>inistru kabineta</w:t>
      </w:r>
      <w:r w:rsidRPr="00BC3A42">
        <w:rPr>
          <w:sz w:val="26"/>
          <w:szCs w:val="26"/>
        </w:rPr>
        <w:t xml:space="preserve"> 2017.gada 11.jūlija sēdes protokollēmuma Nr.35 41. § 3.punktu</w:t>
      </w:r>
      <w:r w:rsidR="00957713" w:rsidRPr="00BC3A42">
        <w:rPr>
          <w:sz w:val="26"/>
          <w:szCs w:val="26"/>
        </w:rPr>
        <w:t xml:space="preserve">, </w:t>
      </w:r>
      <w:r w:rsidRPr="00BC3A42">
        <w:rPr>
          <w:rFonts w:eastAsia="Calibri"/>
          <w:sz w:val="26"/>
          <w:szCs w:val="26"/>
          <w:lang w:eastAsia="en-US"/>
        </w:rPr>
        <w:t>Ministru kabineta 2018.gada 19.aprīļa sēdes protokollēmuma Nr.17 46.§ 3.1.punktu</w:t>
      </w:r>
      <w:r w:rsidR="00957713" w:rsidRPr="00BC3A42">
        <w:rPr>
          <w:rFonts w:eastAsia="Calibri"/>
          <w:sz w:val="26"/>
          <w:szCs w:val="26"/>
          <w:lang w:eastAsia="en-US"/>
        </w:rPr>
        <w:t xml:space="preserve">. </w:t>
      </w:r>
    </w:p>
    <w:p w14:paraId="7BC3D68C" w14:textId="105FEFEC" w:rsidR="001B152A" w:rsidRPr="00BC3A42" w:rsidRDefault="00957713" w:rsidP="001D03C3">
      <w:pPr>
        <w:ind w:firstLine="709"/>
        <w:jc w:val="both"/>
        <w:rPr>
          <w:snapToGrid w:val="0"/>
          <w:sz w:val="26"/>
          <w:szCs w:val="26"/>
          <w:lang w:eastAsia="en-GB"/>
        </w:rPr>
      </w:pPr>
      <w:r w:rsidRPr="00BC3A42">
        <w:rPr>
          <w:snapToGrid w:val="0"/>
          <w:sz w:val="26"/>
          <w:szCs w:val="26"/>
          <w:lang w:eastAsia="en-GB"/>
        </w:rPr>
        <w:t>Likumprojekts attiecas uz transporta enerģiju un plašo transporta enerģijas apritē iesaistīto personu loku, tai skaitā uz degvielas piegādātājiem</w:t>
      </w:r>
      <w:r w:rsidR="00734FBC" w:rsidRPr="00BC3A42">
        <w:rPr>
          <w:snapToGrid w:val="0"/>
          <w:sz w:val="26"/>
          <w:szCs w:val="26"/>
          <w:lang w:eastAsia="en-GB"/>
        </w:rPr>
        <w:t>,</w:t>
      </w:r>
      <w:r w:rsidR="00202BBC" w:rsidRPr="00BC3A42">
        <w:rPr>
          <w:snapToGrid w:val="0"/>
          <w:sz w:val="26"/>
          <w:szCs w:val="26"/>
          <w:lang w:eastAsia="en-GB"/>
        </w:rPr>
        <w:t xml:space="preserve"> biodegvielu ražotājiem, transporta enerģijas tirdzniecības vietām</w:t>
      </w:r>
      <w:r w:rsidR="005C3D26" w:rsidRPr="00BC3A42">
        <w:rPr>
          <w:snapToGrid w:val="0"/>
          <w:sz w:val="26"/>
          <w:szCs w:val="26"/>
          <w:lang w:eastAsia="en-GB"/>
        </w:rPr>
        <w:t xml:space="preserve"> </w:t>
      </w:r>
      <w:proofErr w:type="spellStart"/>
      <w:r w:rsidR="005C3D26" w:rsidRPr="00BC3A42">
        <w:rPr>
          <w:snapToGrid w:val="0"/>
          <w:sz w:val="26"/>
          <w:szCs w:val="26"/>
          <w:lang w:eastAsia="en-GB"/>
        </w:rPr>
        <w:t>utml</w:t>
      </w:r>
      <w:proofErr w:type="spellEnd"/>
      <w:r w:rsidR="005C3D26" w:rsidRPr="00BC3A42">
        <w:rPr>
          <w:snapToGrid w:val="0"/>
          <w:sz w:val="26"/>
          <w:szCs w:val="26"/>
          <w:lang w:eastAsia="en-GB"/>
        </w:rPr>
        <w:t>.</w:t>
      </w:r>
      <w:r w:rsidR="009E4375">
        <w:rPr>
          <w:snapToGrid w:val="0"/>
          <w:sz w:val="26"/>
          <w:szCs w:val="26"/>
          <w:lang w:eastAsia="en-GB"/>
        </w:rPr>
        <w:t>.</w:t>
      </w:r>
      <w:r w:rsidRPr="00BC3A42">
        <w:rPr>
          <w:snapToGrid w:val="0"/>
          <w:sz w:val="26"/>
          <w:szCs w:val="26"/>
          <w:lang w:eastAsia="en-GB"/>
        </w:rPr>
        <w:t xml:space="preserve"> Likumprojekts </w:t>
      </w:r>
      <w:r w:rsidR="003B1702" w:rsidRPr="00BC3A42">
        <w:rPr>
          <w:snapToGrid w:val="0"/>
          <w:sz w:val="26"/>
          <w:szCs w:val="26"/>
          <w:lang w:eastAsia="en-GB"/>
        </w:rPr>
        <w:t>kā “jumta likums” uzsāk v</w:t>
      </w:r>
      <w:r w:rsidR="005C3D26" w:rsidRPr="00BC3A42">
        <w:rPr>
          <w:snapToGrid w:val="0"/>
          <w:sz w:val="26"/>
          <w:szCs w:val="26"/>
          <w:lang w:eastAsia="en-GB"/>
        </w:rPr>
        <w:t>eido</w:t>
      </w:r>
      <w:r w:rsidR="003B1702" w:rsidRPr="00BC3A42">
        <w:rPr>
          <w:snapToGrid w:val="0"/>
          <w:sz w:val="26"/>
          <w:szCs w:val="26"/>
          <w:lang w:eastAsia="en-GB"/>
        </w:rPr>
        <w:t>t</w:t>
      </w:r>
      <w:r w:rsidR="005C3D26" w:rsidRPr="00BC3A42">
        <w:rPr>
          <w:snapToGrid w:val="0"/>
          <w:sz w:val="26"/>
          <w:szCs w:val="26"/>
          <w:lang w:eastAsia="en-GB"/>
        </w:rPr>
        <w:t xml:space="preserve"> normatīvo</w:t>
      </w:r>
      <w:r w:rsidR="003B1702" w:rsidRPr="00BC3A42">
        <w:rPr>
          <w:snapToGrid w:val="0"/>
          <w:sz w:val="26"/>
          <w:szCs w:val="26"/>
          <w:lang w:eastAsia="en-GB"/>
        </w:rPr>
        <w:t xml:space="preserve"> aktu</w:t>
      </w:r>
      <w:r w:rsidR="005C3D26" w:rsidRPr="00BC3A42">
        <w:rPr>
          <w:snapToGrid w:val="0"/>
          <w:sz w:val="26"/>
          <w:szCs w:val="26"/>
          <w:lang w:eastAsia="en-GB"/>
        </w:rPr>
        <w:t xml:space="preserve"> bāzi</w:t>
      </w:r>
      <w:r w:rsidR="003B1702" w:rsidRPr="00BC3A42">
        <w:rPr>
          <w:snapToGrid w:val="0"/>
          <w:sz w:val="26"/>
          <w:szCs w:val="26"/>
          <w:lang w:eastAsia="en-GB"/>
        </w:rPr>
        <w:t xml:space="preserve"> transporta enerģijas un tai nepieciešamās infrastruktūras tālākai attīstībai</w:t>
      </w:r>
      <w:r w:rsidR="005C3D26" w:rsidRPr="00BC3A42">
        <w:rPr>
          <w:snapToGrid w:val="0"/>
          <w:sz w:val="26"/>
          <w:szCs w:val="26"/>
          <w:lang w:eastAsia="en-GB"/>
        </w:rPr>
        <w:t xml:space="preserve">, lai citastarp </w:t>
      </w:r>
      <w:r w:rsidR="003B1702" w:rsidRPr="00BC3A42">
        <w:rPr>
          <w:snapToGrid w:val="0"/>
          <w:sz w:val="26"/>
          <w:szCs w:val="26"/>
          <w:lang w:eastAsia="en-GB"/>
        </w:rPr>
        <w:t xml:space="preserve">gan </w:t>
      </w:r>
      <w:r w:rsidR="005C3D26" w:rsidRPr="00BC3A42">
        <w:rPr>
          <w:snapToGrid w:val="0"/>
          <w:sz w:val="26"/>
          <w:szCs w:val="26"/>
          <w:lang w:eastAsia="en-GB"/>
        </w:rPr>
        <w:t xml:space="preserve">nodrošinātu </w:t>
      </w:r>
      <w:r w:rsidRPr="00BC3A42">
        <w:rPr>
          <w:snapToGrid w:val="0"/>
          <w:sz w:val="26"/>
          <w:szCs w:val="26"/>
          <w:lang w:eastAsia="en-GB"/>
        </w:rPr>
        <w:t xml:space="preserve">Latvijas </w:t>
      </w:r>
      <w:r w:rsidR="005C3D26" w:rsidRPr="00BC3A42">
        <w:rPr>
          <w:snapToGrid w:val="0"/>
          <w:sz w:val="26"/>
          <w:szCs w:val="26"/>
          <w:lang w:eastAsia="en-GB"/>
        </w:rPr>
        <w:t xml:space="preserve">virzību </w:t>
      </w:r>
      <w:r w:rsidRPr="00BC3A42">
        <w:rPr>
          <w:snapToGrid w:val="0"/>
          <w:sz w:val="26"/>
          <w:szCs w:val="26"/>
          <w:lang w:eastAsia="en-GB"/>
        </w:rPr>
        <w:t>uz  atjaunojamās enerģijas īpatsvara palielināšanu līdz 10% transporta sektora galapatēriņā  2020.gadā</w:t>
      </w:r>
      <w:r w:rsidR="00AF48D4" w:rsidRPr="00BC3A42">
        <w:rPr>
          <w:snapToGrid w:val="0"/>
          <w:sz w:val="26"/>
          <w:szCs w:val="26"/>
          <w:lang w:eastAsia="en-GB"/>
        </w:rPr>
        <w:t>,</w:t>
      </w:r>
      <w:r w:rsidRPr="00BC3A42">
        <w:rPr>
          <w:snapToGrid w:val="0"/>
          <w:sz w:val="26"/>
          <w:szCs w:val="26"/>
          <w:lang w:eastAsia="en-GB"/>
        </w:rPr>
        <w:t xml:space="preserve"> </w:t>
      </w:r>
      <w:r w:rsidR="003B1702" w:rsidRPr="00BC3A42">
        <w:rPr>
          <w:snapToGrid w:val="0"/>
          <w:sz w:val="26"/>
          <w:szCs w:val="26"/>
          <w:lang w:eastAsia="en-GB"/>
        </w:rPr>
        <w:t xml:space="preserve">gan sekojoši šī bāze varētu tikt izmantota kā  </w:t>
      </w:r>
      <w:r w:rsidR="005C3D26" w:rsidRPr="00BC3A42">
        <w:rPr>
          <w:snapToGrid w:val="0"/>
          <w:sz w:val="26"/>
          <w:szCs w:val="26"/>
          <w:lang w:eastAsia="en-GB"/>
        </w:rPr>
        <w:t>platform</w:t>
      </w:r>
      <w:r w:rsidR="003B1702" w:rsidRPr="00BC3A42">
        <w:rPr>
          <w:snapToGrid w:val="0"/>
          <w:sz w:val="26"/>
          <w:szCs w:val="26"/>
          <w:lang w:eastAsia="en-GB"/>
        </w:rPr>
        <w:t>a</w:t>
      </w:r>
      <w:r w:rsidR="005C3D26" w:rsidRPr="00BC3A42">
        <w:rPr>
          <w:snapToGrid w:val="0"/>
          <w:sz w:val="26"/>
          <w:szCs w:val="26"/>
          <w:lang w:eastAsia="en-GB"/>
        </w:rPr>
        <w:t xml:space="preserve"> </w:t>
      </w:r>
      <w:r w:rsidRPr="00BC3A42">
        <w:rPr>
          <w:snapToGrid w:val="0"/>
          <w:sz w:val="26"/>
          <w:szCs w:val="26"/>
          <w:lang w:eastAsia="en-GB"/>
        </w:rPr>
        <w:t>turpmākai alternatīvo degvielu un tai nepieciešamās infrastruktūras attīstībai</w:t>
      </w:r>
      <w:r w:rsidR="003B1702" w:rsidRPr="00BC3A42">
        <w:rPr>
          <w:snapToGrid w:val="0"/>
          <w:sz w:val="26"/>
          <w:szCs w:val="26"/>
          <w:lang w:eastAsia="en-GB"/>
        </w:rPr>
        <w:t xml:space="preserve"> periodam līdz 2030.gadam. Tāpēc Likumprojekts</w:t>
      </w:r>
      <w:r w:rsidRPr="00BC3A42">
        <w:rPr>
          <w:snapToGrid w:val="0"/>
          <w:sz w:val="26"/>
          <w:szCs w:val="26"/>
          <w:lang w:eastAsia="en-GB"/>
        </w:rPr>
        <w:t xml:space="preserve"> nosaka gan valsts, gan pašvaldību institūciju, un citu transporta enerģijas apritē iesaistīto personu tiesības un pienākumus; pilnveido degvielas tirgus uzraudzību (paredz regulāru degvielas kvalitātes monitoringu); pilnveido esošo biodegvielas piejaukumu fosilai degvielai; nosaka jaunas saistības degvielas piegādātājiem 2020.gadam (līdzdalības mehānisms) un paredz sodus komersantiem, kas nenodrošina minēto saistību izpildi, lai kompensētu potenciālās soda sankcijas, kas var izrietēt par valsts mērķu nesasniegšanu;  veicina patērētāju informētību.</w:t>
      </w:r>
    </w:p>
    <w:p w14:paraId="19A54AD7" w14:textId="445ED8B7" w:rsidR="00957713" w:rsidRPr="000066EB" w:rsidRDefault="00862E61" w:rsidP="00675E61">
      <w:pPr>
        <w:ind w:firstLine="567"/>
        <w:jc w:val="both"/>
        <w:rPr>
          <w:sz w:val="26"/>
          <w:szCs w:val="26"/>
        </w:rPr>
      </w:pPr>
      <w:r w:rsidRPr="000066EB">
        <w:rPr>
          <w:sz w:val="26"/>
          <w:szCs w:val="26"/>
        </w:rPr>
        <w:t xml:space="preserve">Ievērojot iepriekš minēto attiecībā uz Latvijas saistošā valsts mērķa transporta enerģijas galapatēriņā </w:t>
      </w:r>
      <w:r w:rsidR="003B1702" w:rsidRPr="000066EB">
        <w:rPr>
          <w:sz w:val="26"/>
          <w:szCs w:val="26"/>
        </w:rPr>
        <w:t xml:space="preserve">nepietiekamo progresu, </w:t>
      </w:r>
      <w:r w:rsidRPr="000066EB">
        <w:rPr>
          <w:sz w:val="26"/>
          <w:szCs w:val="26"/>
        </w:rPr>
        <w:t>kā arī</w:t>
      </w:r>
      <w:r w:rsidR="003B1702" w:rsidRPr="000066EB">
        <w:rPr>
          <w:sz w:val="26"/>
          <w:szCs w:val="26"/>
        </w:rPr>
        <w:t>,</w:t>
      </w:r>
      <w:r w:rsidRPr="000066EB">
        <w:rPr>
          <w:sz w:val="26"/>
          <w:szCs w:val="26"/>
        </w:rPr>
        <w:t xml:space="preserve"> ņemot vērā ieilgušo </w:t>
      </w:r>
      <w:r w:rsidR="003B1702" w:rsidRPr="000066EB">
        <w:rPr>
          <w:sz w:val="26"/>
          <w:szCs w:val="26"/>
        </w:rPr>
        <w:t>L</w:t>
      </w:r>
      <w:r w:rsidRPr="000066EB">
        <w:rPr>
          <w:sz w:val="26"/>
          <w:szCs w:val="26"/>
        </w:rPr>
        <w:t>ikumprojekta virzību</w:t>
      </w:r>
      <w:r w:rsidR="003B1702" w:rsidRPr="000066EB">
        <w:rPr>
          <w:sz w:val="26"/>
          <w:szCs w:val="26"/>
        </w:rPr>
        <w:t xml:space="preserve"> Saeimā, turpmāk minēti Ministru kabineta noteikumu projekti, kas kopā ar Likumprojektu</w:t>
      </w:r>
      <w:r w:rsidR="009E4375">
        <w:rPr>
          <w:sz w:val="26"/>
          <w:szCs w:val="26"/>
        </w:rPr>
        <w:t xml:space="preserve"> un šobrīd jau spēkā esošajiem Ministru kabineta </w:t>
      </w:r>
      <w:r w:rsidR="009E4375" w:rsidRPr="009E4375">
        <w:rPr>
          <w:sz w:val="26"/>
          <w:szCs w:val="26"/>
        </w:rPr>
        <w:t>2018. gada 6.</w:t>
      </w:r>
      <w:r w:rsidR="00675E61">
        <w:rPr>
          <w:sz w:val="26"/>
          <w:szCs w:val="26"/>
        </w:rPr>
        <w:t> </w:t>
      </w:r>
      <w:r w:rsidR="009E4375" w:rsidRPr="009E4375">
        <w:rPr>
          <w:sz w:val="26"/>
          <w:szCs w:val="26"/>
        </w:rPr>
        <w:t>februār</w:t>
      </w:r>
      <w:r w:rsidR="009E4375">
        <w:rPr>
          <w:sz w:val="26"/>
          <w:szCs w:val="26"/>
        </w:rPr>
        <w:t>a noteikumiem “</w:t>
      </w:r>
      <w:r w:rsidR="009E4375" w:rsidRPr="009E4375">
        <w:rPr>
          <w:sz w:val="26"/>
          <w:szCs w:val="26"/>
        </w:rPr>
        <w:t xml:space="preserve">Prasības </w:t>
      </w:r>
      <w:proofErr w:type="spellStart"/>
      <w:r w:rsidR="009E4375" w:rsidRPr="009E4375">
        <w:rPr>
          <w:sz w:val="26"/>
          <w:szCs w:val="26"/>
        </w:rPr>
        <w:t>elektrotransportlīdzekļu</w:t>
      </w:r>
      <w:proofErr w:type="spellEnd"/>
      <w:r w:rsidR="009E4375" w:rsidRPr="009E4375">
        <w:rPr>
          <w:sz w:val="26"/>
          <w:szCs w:val="26"/>
        </w:rPr>
        <w:t xml:space="preserve"> uzlādes, dabasgāzes </w:t>
      </w:r>
      <w:proofErr w:type="spellStart"/>
      <w:r w:rsidR="009E4375" w:rsidRPr="009E4375">
        <w:rPr>
          <w:sz w:val="26"/>
          <w:szCs w:val="26"/>
        </w:rPr>
        <w:t>uzpildes</w:t>
      </w:r>
      <w:proofErr w:type="spellEnd"/>
      <w:r w:rsidR="009E4375" w:rsidRPr="009E4375">
        <w:rPr>
          <w:sz w:val="26"/>
          <w:szCs w:val="26"/>
        </w:rPr>
        <w:t xml:space="preserve">, ūdeņraža </w:t>
      </w:r>
      <w:proofErr w:type="spellStart"/>
      <w:r w:rsidR="009E4375" w:rsidRPr="009E4375">
        <w:rPr>
          <w:sz w:val="26"/>
          <w:szCs w:val="26"/>
        </w:rPr>
        <w:t>uzpildes</w:t>
      </w:r>
      <w:proofErr w:type="spellEnd"/>
      <w:r w:rsidR="009E4375" w:rsidRPr="009E4375">
        <w:rPr>
          <w:sz w:val="26"/>
          <w:szCs w:val="26"/>
        </w:rPr>
        <w:t xml:space="preserve"> un krasta </w:t>
      </w:r>
      <w:proofErr w:type="spellStart"/>
      <w:r w:rsidR="009E4375" w:rsidRPr="009E4375">
        <w:rPr>
          <w:sz w:val="26"/>
          <w:szCs w:val="26"/>
        </w:rPr>
        <w:t>elektropadeves</w:t>
      </w:r>
      <w:proofErr w:type="spellEnd"/>
      <w:r w:rsidR="009E4375" w:rsidRPr="009E4375">
        <w:rPr>
          <w:sz w:val="26"/>
          <w:szCs w:val="26"/>
        </w:rPr>
        <w:t xml:space="preserve"> iekārtām</w:t>
      </w:r>
      <w:r w:rsidR="009E4375">
        <w:rPr>
          <w:sz w:val="26"/>
          <w:szCs w:val="26"/>
        </w:rPr>
        <w:t>”</w:t>
      </w:r>
      <w:r w:rsidR="00675E61">
        <w:rPr>
          <w:sz w:val="26"/>
          <w:szCs w:val="26"/>
        </w:rPr>
        <w:t xml:space="preserve">, kas pagaidu risinājuma ietvaros izdoti </w:t>
      </w:r>
      <w:r w:rsidR="009E4375" w:rsidRPr="009E4375">
        <w:rPr>
          <w:sz w:val="26"/>
          <w:szCs w:val="26"/>
        </w:rPr>
        <w:t>saskaņā ar Ministru kabineta iekārtas likuma</w:t>
      </w:r>
      <w:r w:rsidR="009E4375">
        <w:rPr>
          <w:sz w:val="26"/>
          <w:szCs w:val="26"/>
        </w:rPr>
        <w:t xml:space="preserve"> </w:t>
      </w:r>
      <w:r w:rsidR="009E4375" w:rsidRPr="009E4375">
        <w:rPr>
          <w:sz w:val="26"/>
          <w:szCs w:val="26"/>
        </w:rPr>
        <w:t>31. panta pirmās daļas 3.</w:t>
      </w:r>
      <w:r w:rsidR="00675E61">
        <w:rPr>
          <w:sz w:val="26"/>
          <w:szCs w:val="26"/>
        </w:rPr>
        <w:t> </w:t>
      </w:r>
      <w:r w:rsidR="009E4375" w:rsidRPr="009E4375">
        <w:rPr>
          <w:sz w:val="26"/>
          <w:szCs w:val="26"/>
        </w:rPr>
        <w:t>punktu</w:t>
      </w:r>
      <w:r w:rsidR="00675E61">
        <w:rPr>
          <w:sz w:val="26"/>
          <w:szCs w:val="26"/>
        </w:rPr>
        <w:t xml:space="preserve">, </w:t>
      </w:r>
      <w:r w:rsidR="003B1702" w:rsidRPr="000066EB">
        <w:rPr>
          <w:sz w:val="26"/>
          <w:szCs w:val="26"/>
        </w:rPr>
        <w:t xml:space="preserve">paredz izveidot vienotu normatīvo aktu bāzi transporta enerģijas un infrastruktūras tālākai attīstībai. </w:t>
      </w:r>
      <w:r w:rsidR="00957713" w:rsidRPr="000066EB">
        <w:rPr>
          <w:sz w:val="26"/>
          <w:szCs w:val="26"/>
        </w:rPr>
        <w:t xml:space="preserve">Ekonomikas ministrija ir izstrādājusi </w:t>
      </w:r>
      <w:r w:rsidR="00D46E74" w:rsidRPr="000066EB">
        <w:rPr>
          <w:sz w:val="26"/>
          <w:szCs w:val="26"/>
        </w:rPr>
        <w:t xml:space="preserve">šādus </w:t>
      </w:r>
      <w:r w:rsidR="00957713" w:rsidRPr="000066EB">
        <w:rPr>
          <w:sz w:val="26"/>
          <w:szCs w:val="26"/>
        </w:rPr>
        <w:t>Ministru kabineta noteikumu projektus</w:t>
      </w:r>
      <w:r w:rsidR="006B3DF9" w:rsidRPr="000066EB">
        <w:rPr>
          <w:sz w:val="26"/>
          <w:szCs w:val="26"/>
        </w:rPr>
        <w:t>.</w:t>
      </w:r>
      <w:r w:rsidR="008C54BC" w:rsidRPr="000066EB">
        <w:rPr>
          <w:sz w:val="26"/>
          <w:szCs w:val="26"/>
        </w:rPr>
        <w:t xml:space="preserve">  </w:t>
      </w:r>
    </w:p>
    <w:p w14:paraId="07F8C533" w14:textId="597F215B" w:rsidR="006B3DF9" w:rsidRPr="00BC3A42" w:rsidRDefault="00524FE2" w:rsidP="00EC6C8D">
      <w:pPr>
        <w:pStyle w:val="Heading3"/>
        <w:jc w:val="center"/>
      </w:pPr>
      <w:r>
        <w:t xml:space="preserve">5.1.1. </w:t>
      </w:r>
      <w:r w:rsidR="00957713" w:rsidRPr="00BC3A42">
        <w:t>Ministru kabineta noteikumu projekt</w:t>
      </w:r>
      <w:r w:rsidR="006B3DF9" w:rsidRPr="00BC3A42">
        <w:t>s</w:t>
      </w:r>
      <w:r w:rsidR="00957713" w:rsidRPr="00BC3A42">
        <w:t xml:space="preserve"> “Grozījumi Ministru kabineta 2011.gada 5.jūlija noteikumos Nr.545 “Noteikumi par biodegvielu un bioloģisko šķidro kurināmo ilgtspējas kritērijiem, to ieviešanas mehānismu un uzraudzības un kontroles kārtību””</w:t>
      </w:r>
    </w:p>
    <w:p w14:paraId="5BA6AFA8" w14:textId="1D6E0C3A" w:rsidR="003D2DDB" w:rsidRPr="00524FE2" w:rsidRDefault="003D2DDB" w:rsidP="008C54BC">
      <w:pPr>
        <w:ind w:firstLine="720"/>
        <w:jc w:val="both"/>
        <w:rPr>
          <w:sz w:val="26"/>
          <w:szCs w:val="26"/>
        </w:rPr>
      </w:pPr>
      <w:r w:rsidRPr="00524FE2">
        <w:rPr>
          <w:sz w:val="26"/>
          <w:szCs w:val="26"/>
        </w:rPr>
        <w:t>Noteikumu projekts izsludināts valsts sekretāru sanāksmē 2018.</w:t>
      </w:r>
      <w:r w:rsidR="00AF48D4" w:rsidRPr="00524FE2">
        <w:rPr>
          <w:sz w:val="26"/>
          <w:szCs w:val="26"/>
        </w:rPr>
        <w:t> </w:t>
      </w:r>
      <w:r w:rsidRPr="00524FE2">
        <w:rPr>
          <w:sz w:val="26"/>
          <w:szCs w:val="26"/>
        </w:rPr>
        <w:t>gada 4.</w:t>
      </w:r>
      <w:r w:rsidR="00AF48D4" w:rsidRPr="00524FE2">
        <w:rPr>
          <w:sz w:val="26"/>
          <w:szCs w:val="26"/>
        </w:rPr>
        <w:t> </w:t>
      </w:r>
      <w:r w:rsidRPr="00524FE2">
        <w:rPr>
          <w:sz w:val="26"/>
          <w:szCs w:val="26"/>
        </w:rPr>
        <w:t xml:space="preserve">oktobrī (VSS-1012) un Ekonomikas ministrija </w:t>
      </w:r>
      <w:r w:rsidR="00B05FFA" w:rsidRPr="00524FE2">
        <w:rPr>
          <w:sz w:val="26"/>
          <w:szCs w:val="26"/>
        </w:rPr>
        <w:t>ar 2018.</w:t>
      </w:r>
      <w:r w:rsidR="00AF48D4" w:rsidRPr="00524FE2">
        <w:rPr>
          <w:sz w:val="26"/>
          <w:szCs w:val="26"/>
        </w:rPr>
        <w:t> </w:t>
      </w:r>
      <w:r w:rsidR="00B05FFA" w:rsidRPr="00524FE2">
        <w:rPr>
          <w:sz w:val="26"/>
          <w:szCs w:val="26"/>
        </w:rPr>
        <w:t>gada 4.</w:t>
      </w:r>
      <w:r w:rsidR="00AF48D4" w:rsidRPr="00524FE2">
        <w:rPr>
          <w:sz w:val="26"/>
          <w:szCs w:val="26"/>
        </w:rPr>
        <w:t> </w:t>
      </w:r>
      <w:r w:rsidR="00B05FFA" w:rsidRPr="00524FE2">
        <w:rPr>
          <w:sz w:val="26"/>
          <w:szCs w:val="26"/>
        </w:rPr>
        <w:t xml:space="preserve">decembra vēstuli Nr. </w:t>
      </w:r>
      <w:r w:rsidR="00B05FFA" w:rsidRPr="00524FE2">
        <w:rPr>
          <w:noProof/>
          <w:sz w:val="26"/>
          <w:szCs w:val="26"/>
        </w:rPr>
        <w:t xml:space="preserve">2.3.3.8-1/2018/673 </w:t>
      </w:r>
      <w:r w:rsidRPr="00524FE2">
        <w:rPr>
          <w:sz w:val="26"/>
          <w:szCs w:val="26"/>
        </w:rPr>
        <w:t xml:space="preserve">noteikumu projektu ir nosūtījusi elektroniskai saskaņošanai </w:t>
      </w:r>
      <w:r w:rsidR="00A42370" w:rsidRPr="00524FE2">
        <w:rPr>
          <w:sz w:val="26"/>
          <w:szCs w:val="26"/>
        </w:rPr>
        <w:t xml:space="preserve">un ar visām ministrijām un iesaistītajām pusēm saskaņoto noteikumu projektu </w:t>
      </w:r>
      <w:r w:rsidR="009D075C">
        <w:rPr>
          <w:sz w:val="26"/>
          <w:szCs w:val="26"/>
        </w:rPr>
        <w:t>2019. gada februārī ir</w:t>
      </w:r>
      <w:r w:rsidR="00A42370" w:rsidRPr="00524FE2">
        <w:rPr>
          <w:sz w:val="26"/>
          <w:szCs w:val="26"/>
        </w:rPr>
        <w:t xml:space="preserve"> plānots virzīt iesniegšanai Valsts kancelejā izskatīšanai Ministru kabinetā.</w:t>
      </w:r>
    </w:p>
    <w:p w14:paraId="24ADAB8E" w14:textId="36829BBF" w:rsidR="008C54BC" w:rsidRPr="00524FE2" w:rsidRDefault="008C54BC" w:rsidP="008C54BC">
      <w:pPr>
        <w:ind w:firstLine="720"/>
        <w:jc w:val="both"/>
        <w:rPr>
          <w:sz w:val="26"/>
          <w:szCs w:val="26"/>
        </w:rPr>
      </w:pPr>
      <w:r w:rsidRPr="00524FE2">
        <w:rPr>
          <w:sz w:val="26"/>
          <w:szCs w:val="26"/>
        </w:rPr>
        <w:lastRenderedPageBreak/>
        <w:t xml:space="preserve">Šis noteikumu projekts izstrādāts, lai aktualizētu </w:t>
      </w:r>
      <w:r w:rsidR="00524FE2">
        <w:rPr>
          <w:sz w:val="26"/>
          <w:szCs w:val="26"/>
        </w:rPr>
        <w:t>MK n</w:t>
      </w:r>
      <w:r w:rsidR="00B05FFA" w:rsidRPr="00524FE2">
        <w:rPr>
          <w:sz w:val="26"/>
          <w:szCs w:val="26"/>
        </w:rPr>
        <w:t xml:space="preserve">oteikumus Nr.545 </w:t>
      </w:r>
      <w:r w:rsidRPr="00524FE2">
        <w:rPr>
          <w:sz w:val="26"/>
          <w:szCs w:val="26"/>
        </w:rPr>
        <w:t>un tajos daļēji transponētu nosacījumus, kas izriet no Direktīva</w:t>
      </w:r>
      <w:r w:rsidR="00B05FFA" w:rsidRPr="00524FE2">
        <w:rPr>
          <w:sz w:val="26"/>
          <w:szCs w:val="26"/>
        </w:rPr>
        <w:t>s</w:t>
      </w:r>
      <w:r w:rsidRPr="00524FE2">
        <w:rPr>
          <w:sz w:val="26"/>
          <w:szCs w:val="26"/>
        </w:rPr>
        <w:t xml:space="preserve"> 2015/1513. Ar šo noteikumu projektu tiek labotas Noteikumos Nr.545 pieļautās nepilnības Eiropas Savienības tiesību aktu transponēšanā, par ko Latvijai ir norādījusi Eiropas Komisija</w:t>
      </w:r>
      <w:r w:rsidR="00B05FFA" w:rsidRPr="00524FE2">
        <w:rPr>
          <w:sz w:val="26"/>
          <w:szCs w:val="26"/>
        </w:rPr>
        <w:t>,</w:t>
      </w:r>
      <w:r w:rsidRPr="00524FE2">
        <w:rPr>
          <w:sz w:val="26"/>
          <w:szCs w:val="26"/>
        </w:rPr>
        <w:t xml:space="preserve"> izvērtējot</w:t>
      </w:r>
      <w:r w:rsidR="00B05FFA" w:rsidRPr="00524FE2">
        <w:rPr>
          <w:sz w:val="26"/>
          <w:szCs w:val="26"/>
        </w:rPr>
        <w:t xml:space="preserve"> </w:t>
      </w:r>
      <w:r w:rsidRPr="00524FE2">
        <w:rPr>
          <w:sz w:val="26"/>
          <w:szCs w:val="26"/>
        </w:rPr>
        <w:t>Latvija</w:t>
      </w:r>
      <w:r w:rsidR="00B05FFA" w:rsidRPr="00524FE2">
        <w:rPr>
          <w:sz w:val="26"/>
          <w:szCs w:val="26"/>
        </w:rPr>
        <w:t>s normatīvo regulējumu</w:t>
      </w:r>
      <w:r w:rsidRPr="00524FE2">
        <w:rPr>
          <w:sz w:val="26"/>
          <w:szCs w:val="26"/>
        </w:rPr>
        <w:t xml:space="preserve"> </w:t>
      </w:r>
      <w:r w:rsidR="001D03C3" w:rsidRPr="00524FE2">
        <w:rPr>
          <w:sz w:val="26"/>
          <w:szCs w:val="26"/>
        </w:rPr>
        <w:t>Atjaunojamo energoresursu direktīvas</w:t>
      </w:r>
      <w:r w:rsidR="00B05FFA" w:rsidRPr="00524FE2">
        <w:rPr>
          <w:sz w:val="26"/>
          <w:szCs w:val="26"/>
        </w:rPr>
        <w:t xml:space="preserve"> pārņemšanai</w:t>
      </w:r>
      <w:r w:rsidRPr="00524FE2">
        <w:rPr>
          <w:sz w:val="26"/>
          <w:szCs w:val="26"/>
        </w:rPr>
        <w:t>.</w:t>
      </w:r>
    </w:p>
    <w:p w14:paraId="1E069E2A" w14:textId="3AF021D6" w:rsidR="006B3DF9" w:rsidRPr="00BC3A42" w:rsidRDefault="00524FE2" w:rsidP="00EC6C8D">
      <w:pPr>
        <w:pStyle w:val="Heading3"/>
        <w:jc w:val="center"/>
      </w:pPr>
      <w:bookmarkStart w:id="3" w:name="_Hlk535398596"/>
      <w:r>
        <w:rPr>
          <w:bCs/>
        </w:rPr>
        <w:t xml:space="preserve">5.1.2. </w:t>
      </w:r>
      <w:r w:rsidR="006B3DF9" w:rsidRPr="00BC3A42">
        <w:rPr>
          <w:bCs/>
        </w:rPr>
        <w:t>Ministru kabineta n</w:t>
      </w:r>
      <w:r w:rsidR="006B3DF9" w:rsidRPr="00BC3A42">
        <w:t xml:space="preserve">oteikumu </w:t>
      </w:r>
      <w:r w:rsidR="000C17E0" w:rsidRPr="00BC3A42">
        <w:t xml:space="preserve">projekts </w:t>
      </w:r>
      <w:r w:rsidR="006B3DF9" w:rsidRPr="00BC3A42">
        <w:t>“Noteikumi par līdzdalības mehānismu degvielas piegādātājiem”</w:t>
      </w:r>
    </w:p>
    <w:bookmarkEnd w:id="3"/>
    <w:p w14:paraId="1A9E31D8" w14:textId="279D2DBC" w:rsidR="006B3DF9" w:rsidRPr="00BC3A42" w:rsidRDefault="00DA69AD" w:rsidP="006B3DF9">
      <w:pPr>
        <w:ind w:firstLine="720"/>
        <w:jc w:val="both"/>
        <w:rPr>
          <w:b/>
          <w:sz w:val="26"/>
          <w:szCs w:val="26"/>
          <w:lang w:eastAsia="sv-SE"/>
        </w:rPr>
      </w:pPr>
      <w:r w:rsidRPr="00BC3A42">
        <w:rPr>
          <w:sz w:val="26"/>
          <w:szCs w:val="26"/>
        </w:rPr>
        <w:t xml:space="preserve">Ekonomikas ministrija sagatavojusi </w:t>
      </w:r>
      <w:r w:rsidR="00EC6C8D">
        <w:rPr>
          <w:sz w:val="26"/>
          <w:szCs w:val="26"/>
        </w:rPr>
        <w:t>n</w:t>
      </w:r>
      <w:r w:rsidR="008536A2" w:rsidRPr="00BC3A42">
        <w:rPr>
          <w:sz w:val="26"/>
          <w:szCs w:val="26"/>
        </w:rPr>
        <w:t xml:space="preserve">oteikumu </w:t>
      </w:r>
      <w:r w:rsidRPr="00BC3A42">
        <w:rPr>
          <w:sz w:val="26"/>
          <w:szCs w:val="26"/>
        </w:rPr>
        <w:t>projektu un 2019.gada 1</w:t>
      </w:r>
      <w:r w:rsidR="00381DC6">
        <w:rPr>
          <w:sz w:val="26"/>
          <w:szCs w:val="26"/>
        </w:rPr>
        <w:t>6</w:t>
      </w:r>
      <w:r w:rsidRPr="00BC3A42">
        <w:rPr>
          <w:sz w:val="26"/>
          <w:szCs w:val="26"/>
        </w:rPr>
        <w:t xml:space="preserve">.janvārī nodevusi to sabiedriskai apspriešanai, ievietojot to Ekonomikas ministrijas tīmekļa vietnē internetā. Pēc viedokļu saņemšanas un izvērtēšanas, noteikumu projekts tiks precizēts un iesniegts izsludināšanai Valsts sekretāru sanāksmē. </w:t>
      </w:r>
      <w:r w:rsidR="006B3DF9" w:rsidRPr="00BC3A42">
        <w:rPr>
          <w:sz w:val="26"/>
          <w:szCs w:val="26"/>
        </w:rPr>
        <w:t>Noteikumu projekts izstrādāts</w:t>
      </w:r>
      <w:r w:rsidRPr="00BC3A42">
        <w:rPr>
          <w:sz w:val="26"/>
          <w:szCs w:val="26"/>
        </w:rPr>
        <w:t>,</w:t>
      </w:r>
      <w:r w:rsidR="006B3DF9" w:rsidRPr="00BC3A42">
        <w:rPr>
          <w:sz w:val="26"/>
          <w:szCs w:val="26"/>
        </w:rPr>
        <w:t xml:space="preserve"> pamatojoties uz </w:t>
      </w:r>
      <w:r w:rsidR="006B3DF9" w:rsidRPr="00BC3A42">
        <w:rPr>
          <w:iCs/>
          <w:sz w:val="26"/>
          <w:szCs w:val="26"/>
        </w:rPr>
        <w:t xml:space="preserve"> Rīkojuma Nr.379 1.punktu, ar kuru Ministru kabinets atbalstīja Konceptuālajā ziņojumā ietverto risinājum</w:t>
      </w:r>
      <w:r w:rsidR="0018204B" w:rsidRPr="00BC3A42">
        <w:rPr>
          <w:iCs/>
          <w:sz w:val="26"/>
          <w:szCs w:val="26"/>
        </w:rPr>
        <w:t>u</w:t>
      </w:r>
      <w:r w:rsidR="006B3DF9" w:rsidRPr="00BC3A42">
        <w:rPr>
          <w:iCs/>
          <w:sz w:val="26"/>
          <w:szCs w:val="26"/>
        </w:rPr>
        <w:t>, kas</w:t>
      </w:r>
      <w:r w:rsidRPr="00BC3A42">
        <w:rPr>
          <w:iCs/>
          <w:sz w:val="26"/>
          <w:szCs w:val="26"/>
        </w:rPr>
        <w:t>,</w:t>
      </w:r>
      <w:r w:rsidR="006B3DF9" w:rsidRPr="00BC3A42">
        <w:rPr>
          <w:iCs/>
          <w:sz w:val="26"/>
          <w:szCs w:val="26"/>
        </w:rPr>
        <w:t xml:space="preserve"> nolūkā nodrošināt AER 10% mērķa </w:t>
      </w:r>
      <w:r w:rsidR="00302465" w:rsidRPr="00BC3A42">
        <w:rPr>
          <w:iCs/>
          <w:sz w:val="26"/>
          <w:szCs w:val="26"/>
        </w:rPr>
        <w:t xml:space="preserve">transportā </w:t>
      </w:r>
      <w:r w:rsidR="006B3DF9" w:rsidRPr="00BC3A42">
        <w:rPr>
          <w:iCs/>
          <w:sz w:val="26"/>
          <w:szCs w:val="26"/>
        </w:rPr>
        <w:t>sasniegšanu</w:t>
      </w:r>
      <w:r w:rsidRPr="00BC3A42">
        <w:rPr>
          <w:iCs/>
          <w:sz w:val="26"/>
          <w:szCs w:val="26"/>
        </w:rPr>
        <w:t>,</w:t>
      </w:r>
      <w:r w:rsidR="006B3DF9" w:rsidRPr="00BC3A42">
        <w:rPr>
          <w:iCs/>
          <w:sz w:val="26"/>
          <w:szCs w:val="26"/>
        </w:rPr>
        <w:t xml:space="preserve"> paredz noteikt pienākumu degvielas tirgotājiem nodrošināt realizētajā degvielā noteiktu no AER </w:t>
      </w:r>
      <w:r w:rsidR="00B05FFA" w:rsidRPr="00BC3A42">
        <w:rPr>
          <w:iCs/>
          <w:sz w:val="26"/>
          <w:szCs w:val="26"/>
        </w:rPr>
        <w:t>iegūtas</w:t>
      </w:r>
      <w:r w:rsidR="006B3DF9" w:rsidRPr="00BC3A42">
        <w:rPr>
          <w:iCs/>
          <w:sz w:val="26"/>
          <w:szCs w:val="26"/>
        </w:rPr>
        <w:t xml:space="preserve"> enerģijas daļu. Noteikumu projekts nosaka, ka no 2020.</w:t>
      </w:r>
      <w:r w:rsidR="00DD50C4" w:rsidRPr="00BC3A42">
        <w:rPr>
          <w:iCs/>
          <w:sz w:val="26"/>
          <w:szCs w:val="26"/>
        </w:rPr>
        <w:t> </w:t>
      </w:r>
      <w:r w:rsidR="006B3DF9" w:rsidRPr="00BC3A42">
        <w:rPr>
          <w:iCs/>
          <w:sz w:val="26"/>
          <w:szCs w:val="26"/>
        </w:rPr>
        <w:t xml:space="preserve">gada AER enerģijai kopējā enerģijas daudzumā, ko veido benzīns, dīzeļdegviela un no AER iegūta enerģija, ko degvielas piegādātājs nodevis patēriņam transportā, jābūt vismaz 8,5%.  </w:t>
      </w:r>
    </w:p>
    <w:p w14:paraId="41EADA73" w14:textId="1799D840" w:rsidR="006B3DF9" w:rsidRPr="00BC3A42" w:rsidRDefault="00A61CD2" w:rsidP="006B3DF9">
      <w:pPr>
        <w:ind w:firstLine="720"/>
        <w:jc w:val="both"/>
        <w:rPr>
          <w:b/>
          <w:sz w:val="26"/>
          <w:szCs w:val="26"/>
        </w:rPr>
      </w:pPr>
      <w:r w:rsidRPr="00BC3A42">
        <w:rPr>
          <w:sz w:val="26"/>
          <w:szCs w:val="26"/>
        </w:rPr>
        <w:t xml:space="preserve">Direktīva 2015/1513 </w:t>
      </w:r>
      <w:r w:rsidR="008536A2" w:rsidRPr="00BC3A42">
        <w:rPr>
          <w:iCs/>
          <w:sz w:val="26"/>
          <w:szCs w:val="26"/>
        </w:rPr>
        <w:t>paredz, ka</w:t>
      </w:r>
      <w:r w:rsidR="006B3DF9" w:rsidRPr="00BC3A42">
        <w:rPr>
          <w:iCs/>
          <w:sz w:val="26"/>
          <w:szCs w:val="26"/>
        </w:rPr>
        <w:t xml:space="preserve"> ES dalībvalstīm jācenšas sasniegt mērķi – lai tās teritorijā biodegvielām, kas ražotas no izejvielām, </w:t>
      </w:r>
      <w:r w:rsidR="00612B7B" w:rsidRPr="00BC3A42">
        <w:rPr>
          <w:iCs/>
          <w:sz w:val="26"/>
          <w:szCs w:val="26"/>
        </w:rPr>
        <w:t>kas uzskatāmas par modernām (</w:t>
      </w:r>
      <w:r w:rsidR="000C17E0" w:rsidRPr="00BC3A42">
        <w:rPr>
          <w:iCs/>
          <w:sz w:val="26"/>
          <w:szCs w:val="26"/>
        </w:rPr>
        <w:t>no angļu val. “</w:t>
      </w:r>
      <w:proofErr w:type="spellStart"/>
      <w:r w:rsidR="00612B7B" w:rsidRPr="00BC3A42">
        <w:rPr>
          <w:i/>
          <w:iCs/>
          <w:sz w:val="26"/>
          <w:szCs w:val="26"/>
        </w:rPr>
        <w:t>advanced</w:t>
      </w:r>
      <w:proofErr w:type="spellEnd"/>
      <w:r w:rsidR="000C17E0" w:rsidRPr="00BC3A42">
        <w:rPr>
          <w:iCs/>
          <w:sz w:val="26"/>
          <w:szCs w:val="26"/>
        </w:rPr>
        <w:t>”</w:t>
      </w:r>
      <w:r w:rsidR="00612B7B" w:rsidRPr="00BC3A42">
        <w:rPr>
          <w:iCs/>
          <w:sz w:val="26"/>
          <w:szCs w:val="26"/>
        </w:rPr>
        <w:t>)</w:t>
      </w:r>
      <w:r w:rsidR="006B3DF9" w:rsidRPr="00BC3A42">
        <w:rPr>
          <w:iCs/>
          <w:sz w:val="26"/>
          <w:szCs w:val="26"/>
        </w:rPr>
        <w:t>,</w:t>
      </w:r>
      <w:r w:rsidR="008536A2" w:rsidRPr="00BC3A42">
        <w:rPr>
          <w:iCs/>
          <w:sz w:val="26"/>
          <w:szCs w:val="26"/>
        </w:rPr>
        <w:t xml:space="preserve"> kā arī</w:t>
      </w:r>
      <w:r w:rsidR="006B3DF9" w:rsidRPr="00BC3A42">
        <w:rPr>
          <w:iCs/>
          <w:sz w:val="26"/>
          <w:szCs w:val="26"/>
        </w:rPr>
        <w:t xml:space="preserve"> </w:t>
      </w:r>
      <w:r w:rsidR="008536A2" w:rsidRPr="00BC3A42">
        <w:rPr>
          <w:iCs/>
          <w:sz w:val="26"/>
          <w:szCs w:val="26"/>
        </w:rPr>
        <w:t>no</w:t>
      </w:r>
      <w:r w:rsidR="006B3DF9" w:rsidRPr="00BC3A42">
        <w:rPr>
          <w:iCs/>
          <w:sz w:val="26"/>
          <w:szCs w:val="26"/>
        </w:rPr>
        <w:t xml:space="preserve"> </w:t>
      </w:r>
      <w:r w:rsidR="008536A2" w:rsidRPr="00BC3A42">
        <w:rPr>
          <w:iCs/>
          <w:sz w:val="26"/>
          <w:szCs w:val="26"/>
        </w:rPr>
        <w:t>izejvielām</w:t>
      </w:r>
      <w:r w:rsidR="006B3DF9" w:rsidRPr="00BC3A42">
        <w:rPr>
          <w:iCs/>
          <w:sz w:val="26"/>
          <w:szCs w:val="26"/>
        </w:rPr>
        <w:t>, kas pirms 2015.</w:t>
      </w:r>
      <w:r w:rsidR="00DD50C4" w:rsidRPr="00BC3A42">
        <w:rPr>
          <w:iCs/>
          <w:sz w:val="26"/>
          <w:szCs w:val="26"/>
        </w:rPr>
        <w:t> </w:t>
      </w:r>
      <w:r w:rsidR="006B3DF9" w:rsidRPr="00BC3A42">
        <w:rPr>
          <w:iCs/>
          <w:sz w:val="26"/>
          <w:szCs w:val="26"/>
        </w:rPr>
        <w:t>gada 9.</w:t>
      </w:r>
      <w:r w:rsidR="00DD50C4" w:rsidRPr="00BC3A42">
        <w:rPr>
          <w:iCs/>
          <w:sz w:val="26"/>
          <w:szCs w:val="26"/>
        </w:rPr>
        <w:t> </w:t>
      </w:r>
      <w:r w:rsidR="006B3DF9" w:rsidRPr="00BC3A42">
        <w:rPr>
          <w:iCs/>
          <w:sz w:val="26"/>
          <w:szCs w:val="26"/>
        </w:rPr>
        <w:t xml:space="preserve">septembra atzītas par atkritumiem, pārstrādes atlikumiem, </w:t>
      </w:r>
      <w:proofErr w:type="spellStart"/>
      <w:r w:rsidR="006B3DF9" w:rsidRPr="00BC3A42">
        <w:rPr>
          <w:iCs/>
          <w:sz w:val="26"/>
          <w:szCs w:val="26"/>
        </w:rPr>
        <w:t>lignocelulozes</w:t>
      </w:r>
      <w:proofErr w:type="spellEnd"/>
      <w:r w:rsidR="006B3DF9" w:rsidRPr="00BC3A42">
        <w:rPr>
          <w:iCs/>
          <w:sz w:val="26"/>
          <w:szCs w:val="26"/>
        </w:rPr>
        <w:t xml:space="preserve"> materiāliem vai nepārtikas celulozes materiāliem būtu minimāls patēriņa līmenis.</w:t>
      </w:r>
      <w:r w:rsidR="006B3DF9" w:rsidRPr="00BC3A42">
        <w:rPr>
          <w:sz w:val="26"/>
          <w:szCs w:val="26"/>
        </w:rPr>
        <w:t xml:space="preserve"> </w:t>
      </w:r>
      <w:r w:rsidR="006B3DF9" w:rsidRPr="00BC3A42">
        <w:rPr>
          <w:iCs/>
          <w:sz w:val="26"/>
          <w:szCs w:val="26"/>
        </w:rPr>
        <w:t xml:space="preserve">Šā mērķa atsauces vērtība ir 0,5% no </w:t>
      </w:r>
      <w:r w:rsidR="00B05FFA" w:rsidRPr="00BC3A42">
        <w:rPr>
          <w:iCs/>
          <w:sz w:val="26"/>
          <w:szCs w:val="26"/>
        </w:rPr>
        <w:t>AER</w:t>
      </w:r>
      <w:r w:rsidR="006B3DF9" w:rsidRPr="00BC3A42">
        <w:rPr>
          <w:iCs/>
          <w:sz w:val="26"/>
          <w:szCs w:val="26"/>
        </w:rPr>
        <w:t xml:space="preserve"> iegūtās enerģijas īpatsvara visos transporta veidos 2020.</w:t>
      </w:r>
      <w:r w:rsidR="00DD50C4" w:rsidRPr="00BC3A42">
        <w:rPr>
          <w:iCs/>
          <w:sz w:val="26"/>
          <w:szCs w:val="26"/>
        </w:rPr>
        <w:t> </w:t>
      </w:r>
      <w:r w:rsidR="006B3DF9" w:rsidRPr="00BC3A42">
        <w:rPr>
          <w:iCs/>
          <w:sz w:val="26"/>
          <w:szCs w:val="26"/>
        </w:rPr>
        <w:t xml:space="preserve">gadā. </w:t>
      </w:r>
      <w:r w:rsidR="008536A2" w:rsidRPr="00BC3A42">
        <w:rPr>
          <w:iCs/>
          <w:sz w:val="26"/>
          <w:szCs w:val="26"/>
        </w:rPr>
        <w:t>Ņemot vērā minēto, iepriekš minētie nosacījumi ir ietverti noteikumu projektā kā daļa uz degvielas piegādātājiem attiecināmā pienākuma.</w:t>
      </w:r>
    </w:p>
    <w:p w14:paraId="35E37171" w14:textId="02693C87" w:rsidR="008536A2" w:rsidRPr="00BC3A42" w:rsidRDefault="00524FE2" w:rsidP="00EC6C8D">
      <w:pPr>
        <w:pStyle w:val="Heading3"/>
        <w:jc w:val="center"/>
      </w:pPr>
      <w:r>
        <w:t xml:space="preserve">5.1.3. </w:t>
      </w:r>
      <w:r w:rsidR="00957713" w:rsidRPr="00BC3A42">
        <w:t xml:space="preserve">Ministru kabineta noteikumu </w:t>
      </w:r>
      <w:r w:rsidR="008536A2" w:rsidRPr="00BC3A42">
        <w:t xml:space="preserve">projekts </w:t>
      </w:r>
      <w:r w:rsidR="00957713" w:rsidRPr="00BC3A42">
        <w:t xml:space="preserve">“Noteikumi par transporta enerģijas kvalitātes prasībām, tirgus uzraudzību, patērētājiem sniedzamo informāciju un </w:t>
      </w:r>
      <w:r w:rsidR="00EC6C8D" w:rsidRPr="00EC6C8D">
        <w:t>vispārīgo ziņošanas kārtību degvielas piegādātājiem</w:t>
      </w:r>
      <w:r w:rsidR="00F735DC" w:rsidRPr="00BC3A42">
        <w:t>”</w:t>
      </w:r>
    </w:p>
    <w:p w14:paraId="6A553620" w14:textId="6660A262" w:rsidR="008536A2" w:rsidRPr="00BC3A42" w:rsidRDefault="00B232DC" w:rsidP="001D03C3">
      <w:pPr>
        <w:ind w:firstLine="709"/>
        <w:jc w:val="both"/>
        <w:rPr>
          <w:bCs/>
          <w:sz w:val="26"/>
          <w:szCs w:val="26"/>
        </w:rPr>
      </w:pPr>
      <w:r w:rsidRPr="00BC3A42">
        <w:rPr>
          <w:bCs/>
          <w:sz w:val="26"/>
          <w:szCs w:val="26"/>
        </w:rPr>
        <w:t>Noteikumu projekts i</w:t>
      </w:r>
      <w:r w:rsidR="007C43B4" w:rsidRPr="00BC3A42">
        <w:rPr>
          <w:bCs/>
          <w:sz w:val="26"/>
          <w:szCs w:val="26"/>
        </w:rPr>
        <w:t>zsludināts Valsts sekretāru sanāksmē 2018.</w:t>
      </w:r>
      <w:r w:rsidR="00675E61">
        <w:rPr>
          <w:bCs/>
          <w:sz w:val="26"/>
          <w:szCs w:val="26"/>
        </w:rPr>
        <w:t> </w:t>
      </w:r>
      <w:r w:rsidR="007C43B4" w:rsidRPr="00BC3A42">
        <w:rPr>
          <w:bCs/>
          <w:sz w:val="26"/>
          <w:szCs w:val="26"/>
        </w:rPr>
        <w:t>gada 26.</w:t>
      </w:r>
      <w:r w:rsidR="00675E61">
        <w:rPr>
          <w:bCs/>
          <w:sz w:val="26"/>
          <w:szCs w:val="26"/>
        </w:rPr>
        <w:t> </w:t>
      </w:r>
      <w:r w:rsidR="007C43B4" w:rsidRPr="00BC3A42">
        <w:rPr>
          <w:bCs/>
          <w:sz w:val="26"/>
          <w:szCs w:val="26"/>
        </w:rPr>
        <w:t>jūlijā (VSS-763).</w:t>
      </w:r>
      <w:r w:rsidR="008536A2" w:rsidRPr="00BC3A42">
        <w:rPr>
          <w:bCs/>
          <w:sz w:val="26"/>
          <w:szCs w:val="26"/>
        </w:rPr>
        <w:t xml:space="preserve"> 2018.gada novembrī noteikumu projekts tika nosūtīts elektroniskai saskaņošanai</w:t>
      </w:r>
      <w:r w:rsidR="007C43B4" w:rsidRPr="00BC3A42">
        <w:rPr>
          <w:bCs/>
          <w:sz w:val="26"/>
          <w:szCs w:val="26"/>
        </w:rPr>
        <w:t>. Šobrīd Ekonomikas ministrija precizē noteikumu projektu</w:t>
      </w:r>
      <w:r w:rsidR="00755BE4" w:rsidRPr="00BC3A42">
        <w:rPr>
          <w:bCs/>
          <w:sz w:val="26"/>
          <w:szCs w:val="26"/>
        </w:rPr>
        <w:t xml:space="preserve"> pirms tā nosūtīšanas atkārt</w:t>
      </w:r>
      <w:r w:rsidRPr="00BC3A42">
        <w:rPr>
          <w:bCs/>
          <w:sz w:val="26"/>
          <w:szCs w:val="26"/>
        </w:rPr>
        <w:t>o</w:t>
      </w:r>
      <w:r w:rsidR="00755BE4" w:rsidRPr="00BC3A42">
        <w:rPr>
          <w:bCs/>
          <w:sz w:val="26"/>
          <w:szCs w:val="26"/>
        </w:rPr>
        <w:t>tai elektroniskai saskaņošanai</w:t>
      </w:r>
      <w:r w:rsidR="007C43B4" w:rsidRPr="00BC3A42">
        <w:rPr>
          <w:bCs/>
          <w:sz w:val="26"/>
          <w:szCs w:val="26"/>
        </w:rPr>
        <w:t xml:space="preserve">. </w:t>
      </w:r>
      <w:r w:rsidR="008536A2" w:rsidRPr="00BC3A42">
        <w:rPr>
          <w:bCs/>
          <w:sz w:val="26"/>
          <w:szCs w:val="26"/>
        </w:rPr>
        <w:t xml:space="preserve"> </w:t>
      </w:r>
    </w:p>
    <w:p w14:paraId="620A64BB" w14:textId="0D41BD71" w:rsidR="00957713" w:rsidRPr="00BC3A42" w:rsidRDefault="008536A2" w:rsidP="001D03C3">
      <w:pPr>
        <w:ind w:firstLine="709"/>
        <w:jc w:val="both"/>
        <w:rPr>
          <w:sz w:val="26"/>
          <w:szCs w:val="26"/>
          <w:lang w:eastAsia="sv-SE"/>
        </w:rPr>
      </w:pPr>
      <w:r w:rsidRPr="00BC3A42">
        <w:rPr>
          <w:bCs/>
          <w:sz w:val="26"/>
          <w:szCs w:val="26"/>
        </w:rPr>
        <w:t xml:space="preserve">Šis noteikumu projekts izstrādāts, lai vienā normatīvajā aktā apvienotu </w:t>
      </w:r>
      <w:r w:rsidR="00D8073A" w:rsidRPr="00BC3A42">
        <w:rPr>
          <w:bCs/>
          <w:sz w:val="26"/>
          <w:szCs w:val="26"/>
        </w:rPr>
        <w:t>MK</w:t>
      </w:r>
      <w:r w:rsidRPr="00BC3A42">
        <w:rPr>
          <w:bCs/>
          <w:sz w:val="26"/>
          <w:szCs w:val="26"/>
        </w:rPr>
        <w:t xml:space="preserve"> </w:t>
      </w:r>
      <w:r w:rsidR="00D8073A" w:rsidRPr="00BC3A42">
        <w:rPr>
          <w:bCs/>
          <w:sz w:val="26"/>
          <w:szCs w:val="26"/>
        </w:rPr>
        <w:t>N</w:t>
      </w:r>
      <w:r w:rsidR="00B232DC" w:rsidRPr="00BC3A42">
        <w:rPr>
          <w:bCs/>
          <w:sz w:val="26"/>
          <w:szCs w:val="26"/>
        </w:rPr>
        <w:t>oteikum</w:t>
      </w:r>
      <w:r w:rsidR="00302465" w:rsidRPr="00BC3A42">
        <w:rPr>
          <w:bCs/>
          <w:sz w:val="26"/>
          <w:szCs w:val="26"/>
        </w:rPr>
        <w:t>os</w:t>
      </w:r>
      <w:r w:rsidR="00B232DC" w:rsidRPr="00BC3A42">
        <w:rPr>
          <w:bCs/>
          <w:sz w:val="26"/>
          <w:szCs w:val="26"/>
        </w:rPr>
        <w:t xml:space="preserve"> Nr.332 un </w:t>
      </w:r>
      <w:r w:rsidR="00DA7679" w:rsidRPr="00BC3A42">
        <w:rPr>
          <w:sz w:val="26"/>
          <w:szCs w:val="26"/>
        </w:rPr>
        <w:t>MK Noteikum</w:t>
      </w:r>
      <w:r w:rsidR="007C5C5A" w:rsidRPr="00BC3A42">
        <w:rPr>
          <w:sz w:val="26"/>
          <w:szCs w:val="26"/>
        </w:rPr>
        <w:t>os</w:t>
      </w:r>
      <w:r w:rsidR="00DA7679" w:rsidRPr="00BC3A42">
        <w:rPr>
          <w:sz w:val="26"/>
          <w:szCs w:val="26"/>
        </w:rPr>
        <w:t xml:space="preserve"> Nr.772</w:t>
      </w:r>
      <w:r w:rsidR="00B232DC" w:rsidRPr="00BC3A42">
        <w:rPr>
          <w:bCs/>
          <w:sz w:val="26"/>
          <w:szCs w:val="26"/>
        </w:rPr>
        <w:t xml:space="preserve"> </w:t>
      </w:r>
      <w:r w:rsidRPr="00BC3A42">
        <w:rPr>
          <w:bCs/>
          <w:sz w:val="26"/>
          <w:szCs w:val="26"/>
        </w:rPr>
        <w:t>ietvertās normas, kas pēc būtības ap</w:t>
      </w:r>
      <w:r w:rsidR="00B232DC" w:rsidRPr="00BC3A42">
        <w:rPr>
          <w:bCs/>
          <w:sz w:val="26"/>
          <w:szCs w:val="26"/>
        </w:rPr>
        <w:t>t</w:t>
      </w:r>
      <w:r w:rsidRPr="00BC3A42">
        <w:rPr>
          <w:bCs/>
          <w:sz w:val="26"/>
          <w:szCs w:val="26"/>
        </w:rPr>
        <w:t>ver savstarpēji saistītus jautājumus</w:t>
      </w:r>
      <w:r w:rsidR="007C43B4" w:rsidRPr="00BC3A42">
        <w:rPr>
          <w:bCs/>
          <w:sz w:val="26"/>
          <w:szCs w:val="26"/>
        </w:rPr>
        <w:t xml:space="preserve"> </w:t>
      </w:r>
      <w:r w:rsidR="00B232DC" w:rsidRPr="00BC3A42">
        <w:rPr>
          <w:bCs/>
          <w:sz w:val="26"/>
          <w:szCs w:val="26"/>
        </w:rPr>
        <w:t>par</w:t>
      </w:r>
      <w:r w:rsidR="007C43B4" w:rsidRPr="00BC3A42">
        <w:rPr>
          <w:bCs/>
          <w:sz w:val="26"/>
          <w:szCs w:val="26"/>
        </w:rPr>
        <w:t xml:space="preserve"> dažādu transporta enerģijas veidu kvalitāti, tās atbilstības novērtēšanu un uzraudzību</w:t>
      </w:r>
      <w:r w:rsidRPr="00BC3A42">
        <w:rPr>
          <w:bCs/>
          <w:sz w:val="26"/>
          <w:szCs w:val="26"/>
        </w:rPr>
        <w:t xml:space="preserve">, kā arī tās aktualizē. </w:t>
      </w:r>
      <w:r w:rsidR="007C43B4" w:rsidRPr="00BC3A42">
        <w:rPr>
          <w:bCs/>
          <w:sz w:val="26"/>
          <w:szCs w:val="26"/>
        </w:rPr>
        <w:t xml:space="preserve">Noteikumu projektā paredzēts ieviest un apvienot dažādās ziņošanas prasības, kas izriet no </w:t>
      </w:r>
      <w:r w:rsidR="001D03C3" w:rsidRPr="00BC3A42">
        <w:rPr>
          <w:bCs/>
          <w:sz w:val="26"/>
          <w:szCs w:val="26"/>
        </w:rPr>
        <w:t>Atjaunojamo energoresursu direktīvas</w:t>
      </w:r>
      <w:r w:rsidR="00D628AA" w:rsidRPr="00BC3A42">
        <w:rPr>
          <w:bCs/>
          <w:sz w:val="26"/>
          <w:szCs w:val="26"/>
        </w:rPr>
        <w:t xml:space="preserve">, </w:t>
      </w:r>
      <w:r w:rsidR="00D8073A" w:rsidRPr="00BC3A42">
        <w:rPr>
          <w:bCs/>
          <w:sz w:val="26"/>
          <w:szCs w:val="26"/>
        </w:rPr>
        <w:t>Degvielas kvalitātes direktīvas</w:t>
      </w:r>
      <w:r w:rsidR="00084F82" w:rsidRPr="00BC3A42">
        <w:rPr>
          <w:bCs/>
          <w:sz w:val="26"/>
          <w:szCs w:val="26"/>
        </w:rPr>
        <w:t xml:space="preserve">, </w:t>
      </w:r>
      <w:r w:rsidR="00084F82" w:rsidRPr="00BC3A42">
        <w:rPr>
          <w:sz w:val="26"/>
          <w:szCs w:val="26"/>
        </w:rPr>
        <w:t>Padomes 2015.gada 20.aprīļa Direktīvas 2015/652/ES, ar ko nosaka aprēķina metodes un ziņošanas prasības, ievērojot Eiropas Parlamenta un Padomes direktīvu 98/70/EK, attiecībā uz benzīna un dīzeļdegvielu kvalitāti</w:t>
      </w:r>
      <w:r w:rsidR="00755BE4" w:rsidRPr="00BC3A42">
        <w:rPr>
          <w:bCs/>
          <w:sz w:val="26"/>
          <w:szCs w:val="26"/>
        </w:rPr>
        <w:t xml:space="preserve"> (vispārīgais ziņošanas pienākums), kā arī apkopot no </w:t>
      </w:r>
      <w:r w:rsidR="00D8073A" w:rsidRPr="00BC3A42">
        <w:rPr>
          <w:bCs/>
          <w:sz w:val="26"/>
          <w:szCs w:val="26"/>
        </w:rPr>
        <w:t>Degvielas kvalitātes direktīvas</w:t>
      </w:r>
      <w:r w:rsidR="00755BE4" w:rsidRPr="00BC3A42">
        <w:rPr>
          <w:bCs/>
          <w:sz w:val="26"/>
          <w:szCs w:val="26"/>
        </w:rPr>
        <w:t xml:space="preserve"> un </w:t>
      </w:r>
      <w:r w:rsidR="00084F82" w:rsidRPr="00BC3A42">
        <w:rPr>
          <w:iCs/>
          <w:sz w:val="26"/>
          <w:szCs w:val="26"/>
        </w:rPr>
        <w:t>Eiropas Parlamenta un Padomes 2014.</w:t>
      </w:r>
      <w:r w:rsidR="002A3F9D">
        <w:rPr>
          <w:iCs/>
          <w:sz w:val="26"/>
          <w:szCs w:val="26"/>
        </w:rPr>
        <w:t> </w:t>
      </w:r>
      <w:r w:rsidR="00084F82" w:rsidRPr="00BC3A42">
        <w:rPr>
          <w:iCs/>
          <w:sz w:val="26"/>
          <w:szCs w:val="26"/>
        </w:rPr>
        <w:t>gada 22.</w:t>
      </w:r>
      <w:r w:rsidR="002A3F9D">
        <w:rPr>
          <w:iCs/>
          <w:sz w:val="26"/>
          <w:szCs w:val="26"/>
        </w:rPr>
        <w:t> </w:t>
      </w:r>
      <w:r w:rsidR="00084F82" w:rsidRPr="00BC3A42">
        <w:rPr>
          <w:iCs/>
          <w:sz w:val="26"/>
          <w:szCs w:val="26"/>
        </w:rPr>
        <w:t xml:space="preserve">oktobra Direktīvas 2014/94/ES par alternatīvo degvielu infrastruktūras ieviešanu </w:t>
      </w:r>
      <w:r w:rsidR="00755BE4" w:rsidRPr="00BC3A42">
        <w:rPr>
          <w:bCs/>
          <w:sz w:val="26"/>
          <w:szCs w:val="26"/>
        </w:rPr>
        <w:t xml:space="preserve">izrietošos </w:t>
      </w:r>
      <w:r w:rsidR="00755BE4" w:rsidRPr="00BC3A42">
        <w:rPr>
          <w:bCs/>
          <w:sz w:val="26"/>
          <w:szCs w:val="26"/>
        </w:rPr>
        <w:lastRenderedPageBreak/>
        <w:t xml:space="preserve">nosacījumus attiecībā uz informāciju, kas degvielas tirgotājiem jāsniedz patērētājiem degvielas </w:t>
      </w:r>
      <w:proofErr w:type="spellStart"/>
      <w:r w:rsidR="00755BE4" w:rsidRPr="00BC3A42">
        <w:rPr>
          <w:bCs/>
          <w:sz w:val="26"/>
          <w:szCs w:val="26"/>
        </w:rPr>
        <w:t>uzpildes</w:t>
      </w:r>
      <w:proofErr w:type="spellEnd"/>
      <w:r w:rsidR="00755BE4" w:rsidRPr="00BC3A42">
        <w:rPr>
          <w:bCs/>
          <w:sz w:val="26"/>
          <w:szCs w:val="26"/>
        </w:rPr>
        <w:t xml:space="preserve"> stacijās. </w:t>
      </w:r>
      <w:r w:rsidR="007C43B4" w:rsidRPr="00BC3A42">
        <w:rPr>
          <w:bCs/>
          <w:sz w:val="26"/>
          <w:szCs w:val="26"/>
        </w:rPr>
        <w:t xml:space="preserve">   </w:t>
      </w:r>
    </w:p>
    <w:p w14:paraId="43C7447B" w14:textId="0640CDD9" w:rsidR="00A23891" w:rsidRDefault="002A3F9D" w:rsidP="00524FE2">
      <w:pPr>
        <w:pStyle w:val="Heading1"/>
        <w:numPr>
          <w:ilvl w:val="0"/>
          <w:numId w:val="13"/>
        </w:numPr>
      </w:pPr>
      <w:r w:rsidRPr="002A3F9D">
        <w:t>Kopsavilkums</w:t>
      </w:r>
    </w:p>
    <w:p w14:paraId="5628701B" w14:textId="63B71203" w:rsidR="009E4375" w:rsidRDefault="002A3F9D" w:rsidP="009E4375">
      <w:pPr>
        <w:spacing w:before="120" w:after="120"/>
        <w:ind w:firstLine="709"/>
        <w:jc w:val="both"/>
        <w:rPr>
          <w:sz w:val="26"/>
          <w:szCs w:val="26"/>
        </w:rPr>
      </w:pPr>
      <w:r>
        <w:rPr>
          <w:sz w:val="26"/>
          <w:szCs w:val="26"/>
        </w:rPr>
        <w:t xml:space="preserve">Latvijai ir pienākums sasniegt </w:t>
      </w:r>
      <w:r w:rsidR="00EC6C8D">
        <w:rPr>
          <w:sz w:val="26"/>
          <w:szCs w:val="26"/>
        </w:rPr>
        <w:t>AER 10% mērķi transportā</w:t>
      </w:r>
      <w:r>
        <w:rPr>
          <w:sz w:val="26"/>
          <w:szCs w:val="26"/>
        </w:rPr>
        <w:t xml:space="preserve"> 2020. gadā, kā arī </w:t>
      </w:r>
      <w:r w:rsidRPr="002A3F9D">
        <w:rPr>
          <w:sz w:val="26"/>
          <w:szCs w:val="26"/>
        </w:rPr>
        <w:t>Atjaunojamo energoresursu direktīva 2030.gadam paredz, ka enerģijas patēriņā transporta sektorā 2030. gadā Latvijai līdz ar citām ES dalībvalstīm jānodrošina 14% AER īpatsvars, uzliekot pienākumu degvielas piegādātājiem.</w:t>
      </w:r>
    </w:p>
    <w:p w14:paraId="4D9E025F" w14:textId="3208A811" w:rsidR="002A3F9D" w:rsidRPr="002A3F9D" w:rsidRDefault="009E4375" w:rsidP="009E4375">
      <w:pPr>
        <w:spacing w:before="120" w:after="120"/>
        <w:ind w:firstLine="709"/>
        <w:jc w:val="both"/>
        <w:rPr>
          <w:sz w:val="26"/>
          <w:szCs w:val="26"/>
        </w:rPr>
      </w:pPr>
      <w:r>
        <w:rPr>
          <w:sz w:val="26"/>
          <w:szCs w:val="26"/>
        </w:rPr>
        <w:t xml:space="preserve">Ievērojot Likumprojekta “Transporta enerģijas likums” kā jauna “jumta regulējuma” transportā jomā </w:t>
      </w:r>
      <w:r w:rsidR="00BF31E7">
        <w:rPr>
          <w:sz w:val="26"/>
          <w:szCs w:val="26"/>
        </w:rPr>
        <w:t>virzības kavēšanos</w:t>
      </w:r>
      <w:r>
        <w:rPr>
          <w:sz w:val="26"/>
          <w:szCs w:val="26"/>
        </w:rPr>
        <w:t>, kā alternatīvs risinājums, lai novērstu iespējamās tiesvedības</w:t>
      </w:r>
      <w:r w:rsidR="00BF31E7">
        <w:rPr>
          <w:sz w:val="26"/>
          <w:szCs w:val="26"/>
        </w:rPr>
        <w:t xml:space="preserve"> no ES puses</w:t>
      </w:r>
      <w:r>
        <w:rPr>
          <w:sz w:val="26"/>
          <w:szCs w:val="26"/>
        </w:rPr>
        <w:t xml:space="preserve">, </w:t>
      </w:r>
      <w:r w:rsidR="00675E61">
        <w:rPr>
          <w:sz w:val="26"/>
          <w:szCs w:val="26"/>
        </w:rPr>
        <w:t xml:space="preserve">jau pirms Likumprojekta “Transporta enerģijas likums” pieņemšanas </w:t>
      </w:r>
      <w:r w:rsidR="00BF31E7">
        <w:rPr>
          <w:sz w:val="26"/>
          <w:szCs w:val="26"/>
        </w:rPr>
        <w:t xml:space="preserve">Saeimā </w:t>
      </w:r>
      <w:r w:rsidR="00675E61">
        <w:rPr>
          <w:sz w:val="26"/>
          <w:szCs w:val="26"/>
        </w:rPr>
        <w:t xml:space="preserve">1.lasījumā </w:t>
      </w:r>
      <w:r>
        <w:rPr>
          <w:sz w:val="26"/>
          <w:szCs w:val="26"/>
        </w:rPr>
        <w:t xml:space="preserve">Ministru kabinetā </w:t>
      </w:r>
      <w:r w:rsidR="00524FE2">
        <w:rPr>
          <w:sz w:val="26"/>
          <w:szCs w:val="26"/>
        </w:rPr>
        <w:t xml:space="preserve">tiek virzīti </w:t>
      </w:r>
      <w:r>
        <w:rPr>
          <w:sz w:val="26"/>
          <w:szCs w:val="26"/>
        </w:rPr>
        <w:t>normatīvo aktu projekt</w:t>
      </w:r>
      <w:r w:rsidR="00524FE2">
        <w:rPr>
          <w:sz w:val="26"/>
          <w:szCs w:val="26"/>
        </w:rPr>
        <w:t>i</w:t>
      </w:r>
      <w:r>
        <w:rPr>
          <w:sz w:val="26"/>
          <w:szCs w:val="26"/>
        </w:rPr>
        <w:t xml:space="preserve">, pamatojoties uz Ministru kabineta iekārtas likuma </w:t>
      </w:r>
      <w:r w:rsidRPr="009E4375">
        <w:rPr>
          <w:sz w:val="26"/>
          <w:szCs w:val="26"/>
        </w:rPr>
        <w:t>31. panta pirmās daļas 3.</w:t>
      </w:r>
      <w:r w:rsidR="00BF31E7">
        <w:rPr>
          <w:sz w:val="26"/>
          <w:szCs w:val="26"/>
        </w:rPr>
        <w:t> </w:t>
      </w:r>
      <w:r w:rsidRPr="009E4375">
        <w:rPr>
          <w:sz w:val="26"/>
          <w:szCs w:val="26"/>
        </w:rPr>
        <w:t>punkt</w:t>
      </w:r>
      <w:r>
        <w:rPr>
          <w:sz w:val="26"/>
          <w:szCs w:val="26"/>
        </w:rPr>
        <w:t>u</w:t>
      </w:r>
      <w:r w:rsidR="00524FE2">
        <w:rPr>
          <w:sz w:val="26"/>
          <w:szCs w:val="26"/>
        </w:rPr>
        <w:t xml:space="preserve"> vai arī grozot spēkā esošos Ministru kabineta noteikumus, piemēram, MK noteikumus Nr.545.</w:t>
      </w:r>
      <w:r w:rsidR="00675E61">
        <w:rPr>
          <w:sz w:val="26"/>
          <w:szCs w:val="26"/>
        </w:rPr>
        <w:t xml:space="preserve"> </w:t>
      </w:r>
      <w:r>
        <w:rPr>
          <w:sz w:val="26"/>
          <w:szCs w:val="26"/>
        </w:rPr>
        <w:t xml:space="preserve"> </w:t>
      </w:r>
      <w:r w:rsidR="00675E61" w:rsidRPr="00675E61">
        <w:rPr>
          <w:sz w:val="26"/>
          <w:szCs w:val="26"/>
        </w:rPr>
        <w:t>Likumprojekta</w:t>
      </w:r>
      <w:r w:rsidR="00675E61">
        <w:rPr>
          <w:sz w:val="26"/>
          <w:szCs w:val="26"/>
        </w:rPr>
        <w:t>m</w:t>
      </w:r>
      <w:r w:rsidR="00675E61" w:rsidRPr="00675E61">
        <w:rPr>
          <w:sz w:val="26"/>
          <w:szCs w:val="26"/>
        </w:rPr>
        <w:t xml:space="preserve"> “Transporta enerģijas likums”</w:t>
      </w:r>
      <w:r w:rsidR="00675E61">
        <w:rPr>
          <w:sz w:val="26"/>
          <w:szCs w:val="26"/>
        </w:rPr>
        <w:t xml:space="preserve"> stājoties spēkā</w:t>
      </w:r>
      <w:r w:rsidR="00524FE2">
        <w:rPr>
          <w:sz w:val="26"/>
          <w:szCs w:val="26"/>
        </w:rPr>
        <w:t>,</w:t>
      </w:r>
      <w:r w:rsidR="00675E61">
        <w:rPr>
          <w:sz w:val="26"/>
          <w:szCs w:val="26"/>
        </w:rPr>
        <w:t xml:space="preserve"> šā ziņojuma 5.punktā minētie normatīvo aktu projekti</w:t>
      </w:r>
      <w:r w:rsidR="00AD488B">
        <w:rPr>
          <w:sz w:val="26"/>
          <w:szCs w:val="26"/>
        </w:rPr>
        <w:t>, ņemot vērā, ka</w:t>
      </w:r>
      <w:r w:rsidR="00675E61">
        <w:rPr>
          <w:sz w:val="26"/>
          <w:szCs w:val="26"/>
        </w:rPr>
        <w:t xml:space="preserve"> </w:t>
      </w:r>
      <w:r w:rsidR="00AD488B" w:rsidRPr="00AD488B">
        <w:rPr>
          <w:sz w:val="26"/>
          <w:szCs w:val="26"/>
        </w:rPr>
        <w:t xml:space="preserve">Ministru kabineta noteikumus uz Ministru kabineta iekārtas likuma 31.panta pirmās daļas 3.punkta pamata pieļaujams izdot izņēmuma gadījumos, ja tas nepieciešams </w:t>
      </w:r>
      <w:r w:rsidR="00AD488B">
        <w:rPr>
          <w:sz w:val="26"/>
          <w:szCs w:val="26"/>
        </w:rPr>
        <w:t>ES</w:t>
      </w:r>
      <w:r w:rsidR="00AD488B" w:rsidRPr="00AD488B">
        <w:rPr>
          <w:sz w:val="26"/>
          <w:szCs w:val="26"/>
        </w:rPr>
        <w:t xml:space="preserve"> tiesību aktu piemērošanai un ja attiecīgais jautājums ar likumu nav noregulēts</w:t>
      </w:r>
      <w:r w:rsidR="00AD488B">
        <w:rPr>
          <w:sz w:val="26"/>
          <w:szCs w:val="26"/>
        </w:rPr>
        <w:t xml:space="preserve">, </w:t>
      </w:r>
      <w:proofErr w:type="spellStart"/>
      <w:r w:rsidR="00675E61">
        <w:rPr>
          <w:sz w:val="26"/>
          <w:szCs w:val="26"/>
        </w:rPr>
        <w:t>pārizdodami</w:t>
      </w:r>
      <w:proofErr w:type="spellEnd"/>
      <w:r w:rsidR="00675E61">
        <w:rPr>
          <w:sz w:val="26"/>
          <w:szCs w:val="26"/>
        </w:rPr>
        <w:t xml:space="preserve"> uz attiecīgo l</w:t>
      </w:r>
      <w:r w:rsidR="00675E61" w:rsidRPr="00675E61">
        <w:rPr>
          <w:sz w:val="26"/>
          <w:szCs w:val="26"/>
        </w:rPr>
        <w:t>ikumprojekt</w:t>
      </w:r>
      <w:r w:rsidR="00675E61">
        <w:rPr>
          <w:sz w:val="26"/>
          <w:szCs w:val="26"/>
        </w:rPr>
        <w:t>ā</w:t>
      </w:r>
      <w:r w:rsidR="00675E61" w:rsidRPr="00675E61">
        <w:rPr>
          <w:sz w:val="26"/>
          <w:szCs w:val="26"/>
        </w:rPr>
        <w:t xml:space="preserve"> “Transporta enerģijas likums”</w:t>
      </w:r>
      <w:r w:rsidR="00675E61">
        <w:rPr>
          <w:sz w:val="26"/>
          <w:szCs w:val="26"/>
        </w:rPr>
        <w:t xml:space="preserve"> iekļauto normu pamata</w:t>
      </w:r>
      <w:r w:rsidR="002A6358">
        <w:rPr>
          <w:sz w:val="26"/>
          <w:szCs w:val="26"/>
        </w:rPr>
        <w:t>.</w:t>
      </w:r>
      <w:r w:rsidR="00675E61" w:rsidRPr="00675E61">
        <w:rPr>
          <w:sz w:val="26"/>
          <w:szCs w:val="26"/>
        </w:rPr>
        <w:t xml:space="preserve"> </w:t>
      </w:r>
      <w:r w:rsidR="002A3F9D" w:rsidRPr="002A3F9D">
        <w:rPr>
          <w:sz w:val="26"/>
          <w:szCs w:val="26"/>
        </w:rPr>
        <w:t xml:space="preserve"> </w:t>
      </w:r>
      <w:r w:rsidR="002A3F9D">
        <w:rPr>
          <w:sz w:val="26"/>
          <w:szCs w:val="26"/>
        </w:rPr>
        <w:t xml:space="preserve"> </w:t>
      </w:r>
      <w:r w:rsidR="002A3F9D" w:rsidRPr="002A3F9D">
        <w:rPr>
          <w:sz w:val="26"/>
          <w:szCs w:val="26"/>
        </w:rPr>
        <w:t xml:space="preserve"> </w:t>
      </w:r>
    </w:p>
    <w:p w14:paraId="41A644F9" w14:textId="68A94EAE" w:rsidR="004F5107" w:rsidRDefault="004F5107" w:rsidP="00515323">
      <w:pPr>
        <w:ind w:firstLine="709"/>
        <w:jc w:val="both"/>
        <w:rPr>
          <w:sz w:val="26"/>
          <w:szCs w:val="26"/>
        </w:rPr>
      </w:pPr>
    </w:p>
    <w:p w14:paraId="423C66B7" w14:textId="77777777" w:rsidR="00524FE2" w:rsidRPr="00BC3A42" w:rsidRDefault="00524FE2" w:rsidP="00515323">
      <w:pPr>
        <w:ind w:firstLine="709"/>
        <w:jc w:val="both"/>
        <w:rPr>
          <w:sz w:val="26"/>
          <w:szCs w:val="26"/>
        </w:rPr>
      </w:pPr>
    </w:p>
    <w:p w14:paraId="4663CE7E" w14:textId="35CD3C36" w:rsidR="00897AF6" w:rsidRPr="00BC3A42" w:rsidRDefault="00E7763B" w:rsidP="00897AF6">
      <w:pPr>
        <w:rPr>
          <w:rFonts w:eastAsiaTheme="minorHAnsi" w:cstheme="minorBidi"/>
          <w:sz w:val="26"/>
          <w:szCs w:val="26"/>
          <w:lang w:eastAsia="en-US"/>
        </w:rPr>
      </w:pPr>
      <w:r>
        <w:rPr>
          <w:rFonts w:eastAsiaTheme="minorHAnsi" w:cstheme="minorBidi"/>
          <w:sz w:val="26"/>
          <w:szCs w:val="26"/>
          <w:lang w:eastAsia="en-US"/>
        </w:rPr>
        <w:t xml:space="preserve">Ekonomikas </w:t>
      </w:r>
      <w:proofErr w:type="spellStart"/>
      <w:r>
        <w:rPr>
          <w:rFonts w:eastAsiaTheme="minorHAnsi" w:cstheme="minorBidi"/>
          <w:sz w:val="26"/>
          <w:szCs w:val="26"/>
          <w:lang w:eastAsia="en-US"/>
        </w:rPr>
        <w:t>ministris</w:t>
      </w:r>
      <w:proofErr w:type="spellEnd"/>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r>
        <w:rPr>
          <w:rFonts w:eastAsiaTheme="minorHAnsi" w:cstheme="minorBidi"/>
          <w:sz w:val="26"/>
          <w:szCs w:val="26"/>
          <w:lang w:eastAsia="en-US"/>
        </w:rPr>
        <w:tab/>
      </w:r>
      <w:proofErr w:type="spellStart"/>
      <w:r>
        <w:rPr>
          <w:rFonts w:eastAsiaTheme="minorHAnsi" w:cstheme="minorBidi"/>
          <w:sz w:val="26"/>
          <w:szCs w:val="26"/>
          <w:lang w:eastAsia="en-US"/>
        </w:rPr>
        <w:t>R.Nemiro</w:t>
      </w:r>
      <w:proofErr w:type="spellEnd"/>
    </w:p>
    <w:p w14:paraId="743E6C85" w14:textId="77F4F92C" w:rsidR="00A42370" w:rsidRDefault="00A42370" w:rsidP="00897AF6">
      <w:pPr>
        <w:rPr>
          <w:rFonts w:eastAsiaTheme="minorHAnsi" w:cstheme="minorBidi"/>
          <w:sz w:val="26"/>
          <w:szCs w:val="26"/>
          <w:lang w:eastAsia="en-US"/>
        </w:rPr>
      </w:pPr>
    </w:p>
    <w:p w14:paraId="0C0808EB" w14:textId="77777777" w:rsidR="007B27FB" w:rsidRPr="00BC3A42" w:rsidRDefault="007B27FB" w:rsidP="00897AF6">
      <w:pPr>
        <w:rPr>
          <w:rFonts w:eastAsiaTheme="minorHAnsi" w:cstheme="minorBidi"/>
          <w:sz w:val="26"/>
          <w:szCs w:val="26"/>
          <w:lang w:eastAsia="en-US"/>
        </w:rPr>
      </w:pPr>
    </w:p>
    <w:p w14:paraId="73935BB6" w14:textId="0E01F038" w:rsidR="00A42370" w:rsidRPr="00BC3A42" w:rsidRDefault="00A42370" w:rsidP="00A42370">
      <w:pPr>
        <w:ind w:right="-58"/>
        <w:jc w:val="both"/>
        <w:rPr>
          <w:sz w:val="26"/>
          <w:szCs w:val="26"/>
        </w:rPr>
      </w:pPr>
      <w:r w:rsidRPr="00BC3A42">
        <w:rPr>
          <w:sz w:val="26"/>
          <w:szCs w:val="26"/>
        </w:rPr>
        <w:t>Vīza: valsts sekretārs</w:t>
      </w:r>
      <w:r w:rsidRPr="00BC3A42">
        <w:rPr>
          <w:sz w:val="26"/>
          <w:szCs w:val="26"/>
        </w:rPr>
        <w:tab/>
      </w:r>
      <w:r w:rsidRPr="00BC3A42">
        <w:rPr>
          <w:sz w:val="26"/>
          <w:szCs w:val="26"/>
        </w:rPr>
        <w:tab/>
      </w:r>
      <w:r w:rsidRPr="00BC3A42">
        <w:rPr>
          <w:sz w:val="26"/>
          <w:szCs w:val="26"/>
        </w:rPr>
        <w:tab/>
      </w:r>
      <w:r w:rsidRPr="00BC3A42">
        <w:rPr>
          <w:sz w:val="26"/>
          <w:szCs w:val="26"/>
        </w:rPr>
        <w:tab/>
      </w:r>
      <w:r w:rsidRPr="00BC3A42">
        <w:rPr>
          <w:sz w:val="26"/>
          <w:szCs w:val="26"/>
        </w:rPr>
        <w:tab/>
      </w:r>
      <w:r w:rsidRPr="00BC3A42">
        <w:rPr>
          <w:sz w:val="26"/>
          <w:szCs w:val="26"/>
        </w:rPr>
        <w:tab/>
      </w:r>
      <w:r w:rsidR="00E7763B">
        <w:rPr>
          <w:sz w:val="26"/>
          <w:szCs w:val="26"/>
        </w:rPr>
        <w:t xml:space="preserve">       </w:t>
      </w:r>
      <w:bookmarkStart w:id="4" w:name="_GoBack"/>
      <w:bookmarkEnd w:id="4"/>
      <w:r w:rsidRPr="00BC3A42">
        <w:rPr>
          <w:sz w:val="26"/>
          <w:szCs w:val="26"/>
        </w:rPr>
        <w:t xml:space="preserve">                </w:t>
      </w:r>
      <w:proofErr w:type="spellStart"/>
      <w:r w:rsidRPr="00BC3A42">
        <w:rPr>
          <w:sz w:val="26"/>
          <w:szCs w:val="26"/>
        </w:rPr>
        <w:t>Ē.Eglītis</w:t>
      </w:r>
      <w:proofErr w:type="spellEnd"/>
    </w:p>
    <w:p w14:paraId="647BB40C" w14:textId="287907C6" w:rsidR="00A42370" w:rsidRPr="00BC3A42" w:rsidRDefault="00675E61" w:rsidP="00524FE2">
      <w:pPr>
        <w:spacing w:before="1200"/>
        <w:jc w:val="both"/>
        <w:rPr>
          <w:sz w:val="20"/>
          <w:szCs w:val="20"/>
        </w:rPr>
      </w:pPr>
      <w:r>
        <w:rPr>
          <w:sz w:val="20"/>
          <w:szCs w:val="20"/>
        </w:rPr>
        <w:t>I</w:t>
      </w:r>
      <w:r w:rsidR="00A42370" w:rsidRPr="00BC3A42">
        <w:rPr>
          <w:sz w:val="20"/>
          <w:szCs w:val="20"/>
        </w:rPr>
        <w:t>lgtspējīgas enerģētikas politikas departaments</w:t>
      </w:r>
    </w:p>
    <w:p w14:paraId="4C21F37A" w14:textId="08C94A58" w:rsidR="00A42370" w:rsidRPr="00BC3A42" w:rsidRDefault="00A42370" w:rsidP="00A42370">
      <w:pPr>
        <w:jc w:val="both"/>
        <w:rPr>
          <w:sz w:val="20"/>
          <w:szCs w:val="20"/>
        </w:rPr>
      </w:pPr>
      <w:proofErr w:type="spellStart"/>
      <w:r w:rsidRPr="00BC3A42">
        <w:rPr>
          <w:sz w:val="20"/>
          <w:szCs w:val="20"/>
        </w:rPr>
        <w:t>B</w:t>
      </w:r>
      <w:r w:rsidR="002B213E" w:rsidRPr="00BC3A42">
        <w:rPr>
          <w:sz w:val="20"/>
          <w:szCs w:val="20"/>
        </w:rPr>
        <w:t>.</w:t>
      </w:r>
      <w:r w:rsidRPr="00BC3A42">
        <w:rPr>
          <w:sz w:val="20"/>
          <w:szCs w:val="20"/>
        </w:rPr>
        <w:t>Mežale</w:t>
      </w:r>
      <w:proofErr w:type="spellEnd"/>
    </w:p>
    <w:p w14:paraId="21701768" w14:textId="62D1797D" w:rsidR="00A42370" w:rsidRPr="00BC3A42" w:rsidRDefault="00A42370" w:rsidP="00A42370">
      <w:pPr>
        <w:jc w:val="both"/>
        <w:rPr>
          <w:sz w:val="20"/>
          <w:szCs w:val="20"/>
        </w:rPr>
      </w:pPr>
      <w:r w:rsidRPr="00BC3A42">
        <w:rPr>
          <w:sz w:val="20"/>
          <w:szCs w:val="20"/>
        </w:rPr>
        <w:t>Tālr.: 67013</w:t>
      </w:r>
      <w:r w:rsidR="00512677" w:rsidRPr="00BC3A42">
        <w:rPr>
          <w:sz w:val="20"/>
          <w:szCs w:val="20"/>
        </w:rPr>
        <w:t>012</w:t>
      </w:r>
      <w:r w:rsidRPr="00BC3A42">
        <w:rPr>
          <w:sz w:val="20"/>
          <w:szCs w:val="20"/>
        </w:rPr>
        <w:t xml:space="preserve">; e-pasts: </w:t>
      </w:r>
      <w:hyperlink r:id="rId8" w:history="1">
        <w:r w:rsidRPr="00BC3A42">
          <w:rPr>
            <w:rStyle w:val="Hyperlink"/>
            <w:sz w:val="20"/>
            <w:szCs w:val="20"/>
          </w:rPr>
          <w:t>Baiba.Mezale@em.gov.lv</w:t>
        </w:r>
      </w:hyperlink>
    </w:p>
    <w:p w14:paraId="159642E0" w14:textId="15ABACF0" w:rsidR="00A42370" w:rsidRPr="00BC3A42" w:rsidRDefault="00A42370" w:rsidP="00A42370">
      <w:pPr>
        <w:jc w:val="both"/>
        <w:rPr>
          <w:sz w:val="20"/>
          <w:szCs w:val="20"/>
        </w:rPr>
      </w:pPr>
      <w:r w:rsidRPr="00BC3A42">
        <w:rPr>
          <w:sz w:val="20"/>
          <w:szCs w:val="20"/>
        </w:rPr>
        <w:t>M</w:t>
      </w:r>
      <w:r w:rsidR="002B213E" w:rsidRPr="00BC3A42">
        <w:rPr>
          <w:sz w:val="20"/>
          <w:szCs w:val="20"/>
        </w:rPr>
        <w:t>.</w:t>
      </w:r>
      <w:r w:rsidRPr="00BC3A42">
        <w:rPr>
          <w:sz w:val="20"/>
          <w:szCs w:val="20"/>
        </w:rPr>
        <w:t>Ramanis</w:t>
      </w:r>
    </w:p>
    <w:p w14:paraId="69F571A8" w14:textId="568B25F1" w:rsidR="00A42370" w:rsidRPr="00BC3A42" w:rsidRDefault="00A42370" w:rsidP="00A42370">
      <w:pPr>
        <w:jc w:val="both"/>
        <w:rPr>
          <w:sz w:val="20"/>
          <w:szCs w:val="20"/>
        </w:rPr>
      </w:pPr>
      <w:r w:rsidRPr="00BC3A42">
        <w:rPr>
          <w:sz w:val="20"/>
          <w:szCs w:val="20"/>
        </w:rPr>
        <w:t>Tālr.: 67013</w:t>
      </w:r>
      <w:r w:rsidR="00512677" w:rsidRPr="00BC3A42">
        <w:rPr>
          <w:sz w:val="20"/>
          <w:szCs w:val="20"/>
        </w:rPr>
        <w:t>149</w:t>
      </w:r>
      <w:r w:rsidRPr="00BC3A42">
        <w:rPr>
          <w:sz w:val="20"/>
          <w:szCs w:val="20"/>
        </w:rPr>
        <w:t>,</w:t>
      </w:r>
      <w:r w:rsidR="00512677" w:rsidRPr="00BC3A42">
        <w:rPr>
          <w:sz w:val="20"/>
          <w:szCs w:val="20"/>
        </w:rPr>
        <w:t xml:space="preserve"> e-pasts:</w:t>
      </w:r>
      <w:r w:rsidRPr="00BC3A42">
        <w:rPr>
          <w:sz w:val="20"/>
          <w:szCs w:val="20"/>
        </w:rPr>
        <w:t xml:space="preserve"> </w:t>
      </w:r>
      <w:hyperlink r:id="rId9" w:history="1">
        <w:r w:rsidRPr="00BC3A42">
          <w:rPr>
            <w:rStyle w:val="Hyperlink"/>
            <w:sz w:val="20"/>
            <w:szCs w:val="20"/>
          </w:rPr>
          <w:t>Mikus.Ramanis@em.gov.lv</w:t>
        </w:r>
      </w:hyperlink>
    </w:p>
    <w:p w14:paraId="2ECEF713" w14:textId="0C5C2150" w:rsidR="00897AF6" w:rsidRPr="00BC3A42" w:rsidRDefault="00A42370" w:rsidP="00A42370">
      <w:pPr>
        <w:jc w:val="both"/>
        <w:rPr>
          <w:sz w:val="20"/>
          <w:szCs w:val="20"/>
        </w:rPr>
      </w:pPr>
      <w:r w:rsidRPr="00BC3A42">
        <w:rPr>
          <w:sz w:val="20"/>
          <w:szCs w:val="20"/>
        </w:rPr>
        <w:t>B</w:t>
      </w:r>
      <w:r w:rsidR="002B213E" w:rsidRPr="00BC3A42">
        <w:rPr>
          <w:sz w:val="20"/>
          <w:szCs w:val="20"/>
        </w:rPr>
        <w:t>.</w:t>
      </w:r>
      <w:r w:rsidRPr="00BC3A42">
        <w:rPr>
          <w:sz w:val="20"/>
          <w:szCs w:val="20"/>
        </w:rPr>
        <w:t>Logina</w:t>
      </w:r>
    </w:p>
    <w:p w14:paraId="3B910B86" w14:textId="333B65EB" w:rsidR="00A42370" w:rsidRPr="00BC3A42" w:rsidRDefault="00A42370" w:rsidP="00512677">
      <w:pPr>
        <w:jc w:val="both"/>
        <w:rPr>
          <w:sz w:val="20"/>
          <w:szCs w:val="20"/>
        </w:rPr>
      </w:pPr>
      <w:r w:rsidRPr="00BC3A42">
        <w:rPr>
          <w:sz w:val="20"/>
          <w:szCs w:val="20"/>
        </w:rPr>
        <w:t xml:space="preserve">Tālr.: 67013095, e-pasts: </w:t>
      </w:r>
      <w:hyperlink r:id="rId10" w:history="1">
        <w:r w:rsidRPr="00BC3A42">
          <w:rPr>
            <w:rStyle w:val="Hyperlink"/>
            <w:sz w:val="20"/>
            <w:szCs w:val="20"/>
          </w:rPr>
          <w:t>Baiba.Logina@em.gov.lv</w:t>
        </w:r>
      </w:hyperlink>
      <w:r w:rsidR="00512677" w:rsidRPr="00BC3A42">
        <w:rPr>
          <w:sz w:val="20"/>
          <w:szCs w:val="20"/>
        </w:rPr>
        <w:t xml:space="preserve"> </w:t>
      </w:r>
      <w:r w:rsidRPr="00BC3A42">
        <w:rPr>
          <w:sz w:val="20"/>
          <w:szCs w:val="20"/>
        </w:rPr>
        <w:t xml:space="preserve"> </w:t>
      </w:r>
    </w:p>
    <w:sectPr w:rsidR="00A42370" w:rsidRPr="00BC3A42" w:rsidSect="003315E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F916" w14:textId="77777777" w:rsidR="001678F5" w:rsidRDefault="001678F5" w:rsidP="00946E98">
      <w:r>
        <w:separator/>
      </w:r>
    </w:p>
  </w:endnote>
  <w:endnote w:type="continuationSeparator" w:id="0">
    <w:p w14:paraId="0FD44154" w14:textId="77777777" w:rsidR="001678F5" w:rsidRDefault="001678F5" w:rsidP="009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F79C" w14:textId="77777777" w:rsidR="001678F5" w:rsidRDefault="0016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B0A1" w14:textId="09E080F9" w:rsidR="001678F5" w:rsidRPr="00F548F5" w:rsidRDefault="001678F5">
    <w:pPr>
      <w:pStyle w:val="Footer"/>
      <w:rPr>
        <w:sz w:val="20"/>
        <w:szCs w:val="20"/>
      </w:rPr>
    </w:pPr>
    <w:r w:rsidRPr="00F548F5">
      <w:rPr>
        <w:sz w:val="20"/>
        <w:szCs w:val="20"/>
      </w:rPr>
      <w:t>EM</w:t>
    </w:r>
    <w:r>
      <w:rPr>
        <w:sz w:val="20"/>
        <w:szCs w:val="20"/>
      </w:rPr>
      <w:t>zin</w:t>
    </w:r>
    <w:r w:rsidRPr="00F548F5">
      <w:rPr>
        <w:sz w:val="20"/>
        <w:szCs w:val="20"/>
      </w:rPr>
      <w:t>_170119_TRANSP</w:t>
    </w:r>
  </w:p>
  <w:p w14:paraId="24130344" w14:textId="77777777" w:rsidR="001678F5" w:rsidRDefault="0016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B3E7" w14:textId="3437C733" w:rsidR="001678F5" w:rsidRPr="00F548F5" w:rsidRDefault="001678F5">
    <w:pPr>
      <w:pStyle w:val="Footer"/>
      <w:rPr>
        <w:sz w:val="20"/>
        <w:szCs w:val="20"/>
      </w:rPr>
    </w:pPr>
    <w:r w:rsidRPr="00F548F5">
      <w:rPr>
        <w:sz w:val="20"/>
        <w:szCs w:val="20"/>
      </w:rPr>
      <w:t>EM</w:t>
    </w:r>
    <w:r>
      <w:rPr>
        <w:sz w:val="20"/>
        <w:szCs w:val="20"/>
      </w:rPr>
      <w:t>zin</w:t>
    </w:r>
    <w:r w:rsidRPr="00F548F5">
      <w:rPr>
        <w:sz w:val="20"/>
        <w:szCs w:val="20"/>
      </w:rPr>
      <w:t>_170119_TRANSP</w:t>
    </w:r>
  </w:p>
  <w:p w14:paraId="61B364A8" w14:textId="77777777" w:rsidR="001678F5" w:rsidRDefault="0016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25B8" w14:textId="77777777" w:rsidR="001678F5" w:rsidRDefault="001678F5" w:rsidP="00946E98">
      <w:r>
        <w:separator/>
      </w:r>
    </w:p>
  </w:footnote>
  <w:footnote w:type="continuationSeparator" w:id="0">
    <w:p w14:paraId="05EEAEB1" w14:textId="77777777" w:rsidR="001678F5" w:rsidRDefault="001678F5" w:rsidP="00946E98">
      <w:r>
        <w:continuationSeparator/>
      </w:r>
    </w:p>
  </w:footnote>
  <w:footnote w:id="1">
    <w:p w14:paraId="1AFCAE26" w14:textId="77777777" w:rsidR="001678F5" w:rsidRDefault="001678F5" w:rsidP="00754845">
      <w:pPr>
        <w:pStyle w:val="FootnoteText"/>
        <w:jc w:val="both"/>
      </w:pPr>
      <w:r>
        <w:rPr>
          <w:rStyle w:val="FootnoteReference"/>
        </w:rPr>
        <w:footnoteRef/>
      </w:r>
      <w:r>
        <w:t xml:space="preserve"> Aplūkojams: </w:t>
      </w:r>
      <w:hyperlink r:id="rId1" w:history="1">
        <w:r w:rsidRPr="004C3BB4">
          <w:rPr>
            <w:rStyle w:val="Hyperlink"/>
          </w:rPr>
          <w:t>https://likumi.lv/ta/id/292398-par-konceptualo-zinojumu-par-atjaunojamo-energoresursu-izmantosanu-transporta-sektora</w:t>
        </w:r>
      </w:hyperlink>
      <w:r>
        <w:t xml:space="preserve"> [aplūkots: 28.12.2018.]</w:t>
      </w:r>
    </w:p>
  </w:footnote>
  <w:footnote w:id="2">
    <w:p w14:paraId="6AB1A77E" w14:textId="77777777" w:rsidR="001678F5" w:rsidRDefault="001678F5" w:rsidP="00754845">
      <w:pPr>
        <w:pStyle w:val="FootnoteText"/>
        <w:jc w:val="both"/>
      </w:pPr>
      <w:r>
        <w:rPr>
          <w:rStyle w:val="FootnoteReference"/>
        </w:rPr>
        <w:footnoteRef/>
      </w:r>
      <w:r>
        <w:t xml:space="preserve"> Aplūkojams: </w:t>
      </w:r>
      <w:hyperlink r:id="rId2" w:history="1">
        <w:r w:rsidRPr="00A50C79">
          <w:rPr>
            <w:rStyle w:val="Hyperlink"/>
          </w:rPr>
          <w:t>https://likumi.lv/ta/id/292398-par-konceptualo-zinojumu-par-atjaunojamo-energoresursu-izmantosanu-transporta-sektora</w:t>
        </w:r>
      </w:hyperlink>
      <w:r>
        <w:t xml:space="preserve"> [aplūkots:11.12.2018.]</w:t>
      </w:r>
    </w:p>
  </w:footnote>
  <w:footnote w:id="3">
    <w:p w14:paraId="3C7375C0" w14:textId="77777777" w:rsidR="001678F5" w:rsidRDefault="001678F5" w:rsidP="00754845">
      <w:pPr>
        <w:pStyle w:val="FootnoteText"/>
        <w:jc w:val="both"/>
      </w:pPr>
      <w:r>
        <w:rPr>
          <w:rStyle w:val="FootnoteReference"/>
        </w:rPr>
        <w:footnoteRef/>
      </w:r>
      <w:r>
        <w:t xml:space="preserve"> Aplūkojams: </w:t>
      </w:r>
      <w:hyperlink r:id="rId3" w:history="1">
        <w:r w:rsidRPr="00A50C79">
          <w:rPr>
            <w:rStyle w:val="Hyperlink"/>
          </w:rPr>
          <w:t>https://likumi.lv/doc.php?id=104828</w:t>
        </w:r>
      </w:hyperlink>
      <w:r>
        <w:t xml:space="preserve"> [aplūkots:11.12.2018.]</w:t>
      </w:r>
    </w:p>
  </w:footnote>
  <w:footnote w:id="4">
    <w:p w14:paraId="34790C96" w14:textId="7708E906" w:rsidR="001678F5" w:rsidRDefault="001678F5" w:rsidP="00754845">
      <w:pPr>
        <w:pStyle w:val="FootnoteText"/>
        <w:jc w:val="both"/>
      </w:pPr>
      <w:r>
        <w:rPr>
          <w:rStyle w:val="FootnoteReference"/>
        </w:rPr>
        <w:footnoteRef/>
      </w:r>
      <w:r>
        <w:t xml:space="preserve"> Aplūkojama: </w:t>
      </w:r>
      <w:hyperlink r:id="rId4" w:history="1">
        <w:r w:rsidRPr="00041ABE">
          <w:rPr>
            <w:rStyle w:val="Hyperlink"/>
          </w:rPr>
          <w:t>https://eur-lex.europa.eu/legal-content/LV/TXT/PDF/?uri=CELEX:32009L0028&amp;from=LV</w:t>
        </w:r>
      </w:hyperlink>
      <w:r>
        <w:t xml:space="preserve"> [aplūkots:11.12.2018.]</w:t>
      </w:r>
    </w:p>
  </w:footnote>
  <w:footnote w:id="5">
    <w:p w14:paraId="22E4950F" w14:textId="77777777" w:rsidR="001678F5" w:rsidRDefault="001678F5">
      <w:pPr>
        <w:pStyle w:val="FootnoteText"/>
      </w:pPr>
      <w:r>
        <w:rPr>
          <w:rStyle w:val="FootnoteReference"/>
        </w:rPr>
        <w:footnoteRef/>
      </w:r>
      <w:r>
        <w:t xml:space="preserve"> Aplūkojami: </w:t>
      </w:r>
      <w:hyperlink r:id="rId5" w:history="1">
        <w:r w:rsidRPr="00A50C79">
          <w:rPr>
            <w:rStyle w:val="Hyperlink"/>
          </w:rPr>
          <w:t>https://likumi.lv/ta/id/296656-grozijumi-ministru-kabineta-2000-gada-26-septembra-noteikumos-nr-332-noteikumi-par-benzina-un-dizeldegvielas-atbilstibas-novert</w:t>
        </w:r>
      </w:hyperlink>
      <w:r w:rsidRPr="008E4BB9">
        <w:t>...</w:t>
      </w:r>
      <w:r>
        <w:t xml:space="preserve"> [aplūkots: 11.12.2018.]</w:t>
      </w:r>
    </w:p>
  </w:footnote>
  <w:footnote w:id="6">
    <w:p w14:paraId="36372DA0" w14:textId="77777777" w:rsidR="001678F5" w:rsidRDefault="001678F5">
      <w:pPr>
        <w:pStyle w:val="FootnoteText"/>
      </w:pPr>
      <w:r>
        <w:rPr>
          <w:rStyle w:val="FootnoteReference"/>
        </w:rPr>
        <w:footnoteRef/>
      </w:r>
      <w:r>
        <w:t xml:space="preserve"> Aplūkojama: </w:t>
      </w:r>
      <w:hyperlink r:id="rId6" w:history="1">
        <w:r w:rsidRPr="00A50C79">
          <w:rPr>
            <w:rStyle w:val="Hyperlink"/>
          </w:rPr>
          <w:t>https://eur-lex.europa.eu/legal-content/LV/TXT/?uri=CELEX%3A31998L0070</w:t>
        </w:r>
      </w:hyperlink>
      <w:r>
        <w:t xml:space="preserve"> [aplūkots: 11.12.2018.]</w:t>
      </w:r>
    </w:p>
  </w:footnote>
  <w:footnote w:id="7">
    <w:p w14:paraId="7DDE3068" w14:textId="77777777" w:rsidR="001678F5" w:rsidRDefault="001678F5">
      <w:pPr>
        <w:pStyle w:val="FootnoteText"/>
      </w:pPr>
      <w:r>
        <w:rPr>
          <w:rStyle w:val="FootnoteReference"/>
        </w:rPr>
        <w:footnoteRef/>
      </w:r>
      <w:r>
        <w:t xml:space="preserve"> Aplūkojami: </w:t>
      </w:r>
      <w:hyperlink r:id="rId7" w:history="1">
        <w:r w:rsidRPr="00A50C79">
          <w:rPr>
            <w:rStyle w:val="Hyperlink"/>
          </w:rPr>
          <w:t>https://likumi.lv/doc.php?id=233225</w:t>
        </w:r>
      </w:hyperlink>
      <w:r>
        <w:t xml:space="preserve"> [aplūkots: 11.12.2018.]</w:t>
      </w:r>
    </w:p>
  </w:footnote>
  <w:footnote w:id="8">
    <w:p w14:paraId="4FF40B74" w14:textId="77777777" w:rsidR="001678F5" w:rsidRDefault="001678F5">
      <w:pPr>
        <w:pStyle w:val="FootnoteText"/>
      </w:pPr>
      <w:r>
        <w:rPr>
          <w:rStyle w:val="FootnoteReference"/>
        </w:rPr>
        <w:footnoteRef/>
      </w:r>
      <w:r>
        <w:t xml:space="preserve"> Aplūkojama: </w:t>
      </w:r>
      <w:hyperlink r:id="rId8" w:history="1">
        <w:r w:rsidRPr="00A50C79">
          <w:rPr>
            <w:rStyle w:val="Hyperlink"/>
          </w:rPr>
          <w:t>https://eur-lex.europa.eu/legal-content/LV/TXT/?uri=celex:32015L1513</w:t>
        </w:r>
      </w:hyperlink>
      <w:r>
        <w:t xml:space="preserve"> [aplūkots: 11.12.2018.]</w:t>
      </w:r>
    </w:p>
  </w:footnote>
  <w:footnote w:id="9">
    <w:p w14:paraId="60683CC7" w14:textId="77777777" w:rsidR="001678F5" w:rsidRDefault="001678F5">
      <w:pPr>
        <w:pStyle w:val="FootnoteText"/>
      </w:pPr>
      <w:r>
        <w:rPr>
          <w:rStyle w:val="FootnoteReference"/>
        </w:rPr>
        <w:footnoteRef/>
      </w:r>
      <w:r>
        <w:t xml:space="preserve"> </w:t>
      </w:r>
      <w:r w:rsidRPr="00F6466A">
        <w:t>Eiropas Parlamenta un Padomes 2014.gada 22.oktobra Direktīvas 2014/94/ES par alternatīvo degvielu ieviešanu</w:t>
      </w:r>
      <w:r>
        <w:t xml:space="preserve">, </w:t>
      </w:r>
      <w:r w:rsidRPr="000827F9">
        <w:t>OJ L 307, 28.10.2014, p. 1–20</w:t>
      </w:r>
    </w:p>
  </w:footnote>
  <w:footnote w:id="10">
    <w:p w14:paraId="19F07DC1" w14:textId="77777777" w:rsidR="001678F5" w:rsidRPr="00BC4054" w:rsidRDefault="001678F5" w:rsidP="0091045A">
      <w:pPr>
        <w:pStyle w:val="FootnoteText"/>
      </w:pPr>
      <w:r w:rsidRPr="00BC4054">
        <w:rPr>
          <w:rStyle w:val="FootnoteReference"/>
        </w:rPr>
        <w:footnoteRef/>
      </w:r>
      <w:r w:rsidRPr="00BC4054">
        <w:t xml:space="preserve"> Aplūkojams: </w:t>
      </w:r>
      <w:hyperlink r:id="rId9" w:history="1">
        <w:r w:rsidRPr="00BC4054">
          <w:rPr>
            <w:rStyle w:val="Hyperlink"/>
          </w:rPr>
          <w:t>https://www.who.int/ipcs/assessment/public_health/IARC_mono105.pdf</w:t>
        </w:r>
      </w:hyperlink>
      <w:r w:rsidRPr="00BC4054">
        <w:t xml:space="preserve"> [aplūkots: 28.12.2018.]</w:t>
      </w:r>
    </w:p>
  </w:footnote>
  <w:footnote w:id="11">
    <w:p w14:paraId="3A151853" w14:textId="77777777" w:rsidR="001678F5" w:rsidRPr="009A6827" w:rsidRDefault="001678F5">
      <w:pPr>
        <w:pStyle w:val="FootnoteText"/>
      </w:pPr>
      <w:r w:rsidRPr="009A6827">
        <w:rPr>
          <w:rStyle w:val="FootnoteReference"/>
        </w:rPr>
        <w:footnoteRef/>
      </w:r>
      <w:r w:rsidRPr="009A6827">
        <w:t xml:space="preserve"> Eiropas Automobiļu ražošanas asociācijas biedru publicētā informācija par </w:t>
      </w:r>
      <w:proofErr w:type="spellStart"/>
      <w:r w:rsidRPr="009A6827">
        <w:t>autotransporlīdzekļiem</w:t>
      </w:r>
      <w:proofErr w:type="spellEnd"/>
      <w:r w:rsidRPr="009A6827">
        <w:t xml:space="preserve">, kuri ir pielāgoti E10 izmantošanai aplūkojama: </w:t>
      </w:r>
      <w:hyperlink r:id="rId10" w:history="1">
        <w:r w:rsidRPr="009A6827">
          <w:rPr>
            <w:rStyle w:val="Hyperlink"/>
          </w:rPr>
          <w:t>http://www.acea.be/uploads/publications/130329_%28revised%29_ALL_ACEA_SAAB_JAMA_E10_COMPATIBILITY.pdf</w:t>
        </w:r>
      </w:hyperlink>
      <w:r w:rsidRPr="009A6827">
        <w:t xml:space="preserve"> [aplūkots: 28.12.2018.]</w:t>
      </w:r>
    </w:p>
  </w:footnote>
  <w:footnote w:id="12">
    <w:p w14:paraId="5652FF5E" w14:textId="77777777" w:rsidR="001678F5" w:rsidRPr="00B90248" w:rsidRDefault="001678F5" w:rsidP="00B90248">
      <w:pPr>
        <w:jc w:val="both"/>
        <w:rPr>
          <w:rFonts w:eastAsiaTheme="minorHAnsi"/>
          <w:sz w:val="20"/>
          <w:szCs w:val="20"/>
          <w:lang w:eastAsia="en-US"/>
        </w:rPr>
      </w:pPr>
      <w:r w:rsidRPr="00B90248">
        <w:rPr>
          <w:rStyle w:val="FootnoteReference"/>
          <w:sz w:val="20"/>
          <w:szCs w:val="20"/>
        </w:rPr>
        <w:footnoteRef/>
      </w:r>
      <w:r w:rsidRPr="00B90248">
        <w:rPr>
          <w:sz w:val="20"/>
          <w:szCs w:val="20"/>
        </w:rPr>
        <w:t xml:space="preserve"> Saskaņā ar Biodegvielas likuma 1.panta 4. punktu </w:t>
      </w:r>
      <w:r w:rsidRPr="00B90248">
        <w:rPr>
          <w:rFonts w:eastAsiaTheme="minorHAnsi"/>
          <w:sz w:val="20"/>
          <w:szCs w:val="20"/>
          <w:lang w:eastAsia="en-US"/>
        </w:rPr>
        <w:t xml:space="preserve">biodīzeļdegviela ir </w:t>
      </w:r>
      <w:proofErr w:type="spellStart"/>
      <w:r w:rsidRPr="00B90248">
        <w:rPr>
          <w:rFonts w:eastAsiaTheme="minorHAnsi"/>
          <w:sz w:val="20"/>
          <w:szCs w:val="20"/>
          <w:lang w:eastAsia="en-US"/>
        </w:rPr>
        <w:t>metilesteris</w:t>
      </w:r>
      <w:proofErr w:type="spellEnd"/>
      <w:r w:rsidRPr="00B90248">
        <w:rPr>
          <w:rFonts w:eastAsiaTheme="minorHAnsi"/>
          <w:sz w:val="20"/>
          <w:szCs w:val="20"/>
          <w:lang w:eastAsia="en-US"/>
        </w:rPr>
        <w:t xml:space="preserve"> vai </w:t>
      </w:r>
      <w:proofErr w:type="spellStart"/>
      <w:r w:rsidRPr="00B90248">
        <w:rPr>
          <w:rFonts w:eastAsiaTheme="minorHAnsi"/>
          <w:sz w:val="20"/>
          <w:szCs w:val="20"/>
          <w:lang w:eastAsia="en-US"/>
        </w:rPr>
        <w:t>etilesteris</w:t>
      </w:r>
      <w:proofErr w:type="spellEnd"/>
      <w:r w:rsidRPr="00B90248">
        <w:rPr>
          <w:rFonts w:eastAsiaTheme="minorHAnsi"/>
          <w:sz w:val="20"/>
          <w:szCs w:val="20"/>
          <w:lang w:eastAsia="en-US"/>
        </w:rPr>
        <w:t xml:space="preserve">, ko iegūst no tīras augu eļļas vai dzīvnieku taukiem, kam ir dīzeļdegvielas īpašības un ko var izmantot </w:t>
      </w:r>
      <w:proofErr w:type="spellStart"/>
      <w:r w:rsidRPr="00B90248">
        <w:rPr>
          <w:rFonts w:eastAsiaTheme="minorHAnsi"/>
          <w:sz w:val="20"/>
          <w:szCs w:val="20"/>
          <w:lang w:eastAsia="en-US"/>
        </w:rPr>
        <w:t>iekšdedzes</w:t>
      </w:r>
      <w:proofErr w:type="spellEnd"/>
      <w:r w:rsidRPr="00B90248">
        <w:rPr>
          <w:rFonts w:eastAsiaTheme="minorHAnsi"/>
          <w:sz w:val="20"/>
          <w:szCs w:val="20"/>
          <w:lang w:eastAsia="en-US"/>
        </w:rPr>
        <w:t xml:space="preserve"> motoros par degvielu. </w:t>
      </w:r>
    </w:p>
  </w:footnote>
  <w:footnote w:id="13">
    <w:p w14:paraId="491BA379" w14:textId="20C34B48" w:rsidR="001678F5" w:rsidRPr="00EC6C8D" w:rsidRDefault="001678F5">
      <w:pPr>
        <w:pStyle w:val="FootnoteText"/>
      </w:pPr>
      <w:r w:rsidRPr="00EC6C8D">
        <w:rPr>
          <w:rStyle w:val="FootnoteReference"/>
        </w:rPr>
        <w:footnoteRef/>
      </w:r>
      <w:r w:rsidRPr="00EC6C8D">
        <w:t xml:space="preserve"> CSP</w:t>
      </w:r>
    </w:p>
  </w:footnote>
  <w:footnote w:id="14">
    <w:p w14:paraId="2983289A" w14:textId="14108DC0" w:rsidR="001678F5" w:rsidRDefault="001678F5" w:rsidP="00342970">
      <w:pPr>
        <w:pStyle w:val="FootnoteText"/>
      </w:pPr>
      <w:r w:rsidRPr="00EC6C8D">
        <w:rPr>
          <w:rStyle w:val="FootnoteReference"/>
        </w:rPr>
        <w:footnoteRef/>
      </w:r>
      <w:r w:rsidRPr="00EC6C8D">
        <w:t xml:space="preserve"> CSP</w:t>
      </w:r>
    </w:p>
  </w:footnote>
  <w:footnote w:id="15">
    <w:p w14:paraId="36A09D56" w14:textId="160476CF" w:rsidR="001678F5" w:rsidRPr="00537DD8" w:rsidRDefault="001678F5" w:rsidP="0046208F">
      <w:pPr>
        <w:pStyle w:val="FootnoteText"/>
        <w:jc w:val="both"/>
      </w:pPr>
      <w:r w:rsidRPr="00537DD8">
        <w:rPr>
          <w:rStyle w:val="FootnoteReference"/>
        </w:rPr>
        <w:footnoteRef/>
      </w:r>
      <w:r w:rsidRPr="00537DD8">
        <w:t xml:space="preserve"> </w:t>
      </w:r>
      <w:r w:rsidRPr="007C5C5A">
        <w:t>ASV Lauksaimniecības departamenta ikgadējais ziņojums par biodegvielu tirgu ES</w:t>
      </w:r>
      <w:r>
        <w:t xml:space="preserve"> 2018.gadā [pieejams Ekonomikas ministrijā]</w:t>
      </w:r>
    </w:p>
  </w:footnote>
  <w:footnote w:id="16">
    <w:p w14:paraId="30542F6E" w14:textId="77777777" w:rsidR="001678F5" w:rsidRPr="00A5290E" w:rsidRDefault="001678F5">
      <w:pPr>
        <w:pStyle w:val="FootnoteText"/>
      </w:pPr>
      <w:r w:rsidRPr="00A5290E">
        <w:rPr>
          <w:rStyle w:val="FootnoteReference"/>
        </w:rPr>
        <w:footnoteRef/>
      </w:r>
      <w:r w:rsidRPr="00A5290E">
        <w:t xml:space="preserve"> </w:t>
      </w:r>
      <w:proofErr w:type="spellStart"/>
      <w:r w:rsidRPr="00A5290E">
        <w:t>Eurostat</w:t>
      </w:r>
      <w:proofErr w:type="spellEnd"/>
      <w:r w:rsidRPr="00A5290E">
        <w:t xml:space="preserve"> dati</w:t>
      </w:r>
    </w:p>
  </w:footnote>
  <w:footnote w:id="17">
    <w:p w14:paraId="28AC54A5" w14:textId="77777777" w:rsidR="001678F5" w:rsidRPr="00A5290E" w:rsidRDefault="001678F5">
      <w:pPr>
        <w:pStyle w:val="FootnoteText"/>
      </w:pPr>
      <w:r w:rsidRPr="00A5290E">
        <w:rPr>
          <w:rStyle w:val="FootnoteReference"/>
        </w:rPr>
        <w:footnoteRef/>
      </w:r>
      <w:r w:rsidRPr="00A5290E">
        <w:t xml:space="preserve"> Par pirmās paaudzes ierobežojumu </w:t>
      </w:r>
      <w:r>
        <w:t>sk.</w:t>
      </w:r>
      <w:r w:rsidRPr="00A5290E">
        <w:t xml:space="preserve"> 2.3.apakšnodaļ</w:t>
      </w:r>
      <w:r>
        <w:t>u</w:t>
      </w:r>
    </w:p>
  </w:footnote>
  <w:footnote w:id="18">
    <w:p w14:paraId="763814EE" w14:textId="77777777" w:rsidR="001678F5" w:rsidRPr="00A5290E" w:rsidRDefault="001678F5" w:rsidP="00A5290E">
      <w:pPr>
        <w:pStyle w:val="NormalWeb"/>
        <w:shd w:val="clear" w:color="auto" w:fill="FFFFFF"/>
        <w:spacing w:before="0" w:beforeAutospacing="0" w:after="0" w:afterAutospacing="0"/>
        <w:rPr>
          <w:color w:val="444444"/>
          <w:sz w:val="18"/>
          <w:szCs w:val="18"/>
        </w:rPr>
      </w:pPr>
      <w:r w:rsidRPr="00A5290E">
        <w:rPr>
          <w:rStyle w:val="FootnoteReference"/>
          <w:sz w:val="18"/>
          <w:szCs w:val="18"/>
        </w:rPr>
        <w:footnoteRef/>
      </w:r>
      <w:r w:rsidRPr="00A5290E">
        <w:rPr>
          <w:sz w:val="18"/>
          <w:szCs w:val="18"/>
        </w:rPr>
        <w:t xml:space="preserve"> Komisijas 2018. gada 18. oktobra Īstenošanas regula (ES) 2018/1570, ar ko izbeidz procedūru attiecībā uz Argentīnas un Indonēzijas izcelsmes biodīzeļdegvielas importu un atceļ Īstenošanas regulu (ES) Nr. 1194/2013 </w:t>
      </w:r>
      <w:r>
        <w:rPr>
          <w:sz w:val="18"/>
          <w:szCs w:val="18"/>
        </w:rPr>
        <w:t xml:space="preserve"> </w:t>
      </w:r>
    </w:p>
  </w:footnote>
  <w:footnote w:id="19">
    <w:p w14:paraId="6087EA3E" w14:textId="77777777" w:rsidR="001678F5" w:rsidRPr="00C014DD" w:rsidRDefault="001678F5" w:rsidP="00722240">
      <w:pPr>
        <w:pStyle w:val="FootnoteText"/>
        <w:rPr>
          <w:i/>
        </w:rPr>
      </w:pPr>
      <w:r w:rsidRPr="00A5290E">
        <w:rPr>
          <w:rStyle w:val="FootnoteReference"/>
        </w:rPr>
        <w:footnoteRef/>
      </w:r>
      <w:r w:rsidRPr="00A5290E">
        <w:t xml:space="preserve"> </w:t>
      </w:r>
      <w:proofErr w:type="spellStart"/>
      <w:r w:rsidRPr="00A5290E">
        <w:t>Argus</w:t>
      </w:r>
      <w:proofErr w:type="spellEnd"/>
      <w:r w:rsidRPr="00A5290E">
        <w:t xml:space="preserve"> </w:t>
      </w:r>
      <w:proofErr w:type="spellStart"/>
      <w:r w:rsidRPr="00A5290E">
        <w:t>media</w:t>
      </w:r>
      <w:proofErr w:type="spellEnd"/>
      <w:r w:rsidRPr="00A5290E">
        <w:t xml:space="preserve"> publikācija</w:t>
      </w:r>
      <w:r>
        <w:t xml:space="preserve"> </w:t>
      </w:r>
      <w:hyperlink r:id="rId11" w:history="1">
        <w:r w:rsidRPr="00961562">
          <w:rPr>
            <w:rStyle w:val="Hyperlink"/>
          </w:rPr>
          <w:t>https://www.argusmedia.com/en/news/1811780-viewpoint-duties-to-support-eu-biodiesel-production</w:t>
        </w:r>
      </w:hyperlink>
      <w:r>
        <w:t xml:space="preserve"> </w:t>
      </w:r>
      <w:r w:rsidRPr="009A6827">
        <w:t xml:space="preserve">[aplūkots: </w:t>
      </w:r>
      <w:r>
        <w:t>08</w:t>
      </w:r>
      <w:r w:rsidRPr="009A6827">
        <w:t>.</w:t>
      </w:r>
      <w:r>
        <w:t>01</w:t>
      </w:r>
      <w:r w:rsidRPr="009A6827">
        <w:t>.201</w:t>
      </w:r>
      <w:r>
        <w:t>9</w:t>
      </w:r>
      <w:r w:rsidRPr="009A6827">
        <w:t>.]</w:t>
      </w:r>
    </w:p>
  </w:footnote>
  <w:footnote w:id="20">
    <w:p w14:paraId="5932290F" w14:textId="77777777" w:rsidR="001678F5" w:rsidRDefault="001678F5">
      <w:pPr>
        <w:pStyle w:val="FootnoteText"/>
      </w:pPr>
      <w:r>
        <w:rPr>
          <w:rStyle w:val="FootnoteReference"/>
        </w:rPr>
        <w:footnoteRef/>
      </w:r>
      <w:r>
        <w:t xml:space="preserve"> </w:t>
      </w:r>
      <w:r w:rsidRPr="00A5290E">
        <w:t xml:space="preserve">Par </w:t>
      </w:r>
      <w:r>
        <w:t>d</w:t>
      </w:r>
      <w:r w:rsidRPr="00A5290E">
        <w:t>ubult</w:t>
      </w:r>
      <w:r>
        <w:t>o</w:t>
      </w:r>
      <w:r w:rsidRPr="00A5290E">
        <w:t xml:space="preserve"> uzskait</w:t>
      </w:r>
      <w:r>
        <w:t>i</w:t>
      </w:r>
      <w:r w:rsidRPr="00A5290E">
        <w:t xml:space="preserve"> modernajām biodegvielām</w:t>
      </w:r>
      <w:r>
        <w:t xml:space="preserve"> sk. </w:t>
      </w:r>
      <w:r w:rsidRPr="00A5290E">
        <w:t>2.</w:t>
      </w:r>
      <w:r>
        <w:t>4</w:t>
      </w:r>
      <w:r w:rsidRPr="00A5290E">
        <w:t>.apakšnodaļ</w:t>
      </w:r>
      <w:r>
        <w:t>u</w:t>
      </w:r>
    </w:p>
  </w:footnote>
  <w:footnote w:id="21">
    <w:p w14:paraId="5A5A6A67" w14:textId="77777777" w:rsidR="001678F5" w:rsidRPr="007C5C5A" w:rsidRDefault="001678F5" w:rsidP="0055130E">
      <w:pPr>
        <w:pStyle w:val="FootnoteText"/>
        <w:jc w:val="both"/>
      </w:pPr>
      <w:r w:rsidRPr="007C5C5A">
        <w:rPr>
          <w:rStyle w:val="FootnoteReference"/>
        </w:rPr>
        <w:footnoteRef/>
      </w:r>
      <w:r w:rsidRPr="007C5C5A">
        <w:t xml:space="preserve"> ASV Lauksaimniecības departamenta ikgadējais ziņojums par biodegvielu tirgu ES</w:t>
      </w:r>
      <w:r>
        <w:t xml:space="preserve"> 2018.gadā [pieejams Ekonomikas ministrijā]</w:t>
      </w:r>
    </w:p>
  </w:footnote>
  <w:footnote w:id="22">
    <w:p w14:paraId="56D138F5" w14:textId="77777777" w:rsidR="001678F5" w:rsidRDefault="001678F5" w:rsidP="00E20F44">
      <w:pPr>
        <w:pStyle w:val="FootnoteText"/>
        <w:jc w:val="both"/>
      </w:pPr>
      <w:r>
        <w:rPr>
          <w:rStyle w:val="FootnoteReference"/>
        </w:rPr>
        <w:footnoteRef/>
      </w:r>
      <w:r>
        <w:t xml:space="preserve"> </w:t>
      </w:r>
      <w:r w:rsidRPr="00722240">
        <w:t xml:space="preserve">Paziņojums pieejams: </w:t>
      </w:r>
      <w:hyperlink r:id="rId12" w:history="1">
        <w:r w:rsidRPr="00961562">
          <w:rPr>
            <w:rStyle w:val="Hyperlink"/>
          </w:rPr>
          <w:t>https://www.total.com/sites/default/files/atoms/files/annexes-plan-raffinage-mede-en.pdf</w:t>
        </w:r>
      </w:hyperlink>
      <w:r>
        <w:t xml:space="preserve"> </w:t>
      </w:r>
      <w:r w:rsidRPr="009A6827">
        <w:t xml:space="preserve">[aplūkots: </w:t>
      </w:r>
      <w:r>
        <w:t>08</w:t>
      </w:r>
      <w:r w:rsidRPr="009A6827">
        <w:t>.</w:t>
      </w:r>
      <w:r>
        <w:t>01</w:t>
      </w:r>
      <w:r w:rsidRPr="009A6827">
        <w:t>.201</w:t>
      </w:r>
      <w:r>
        <w:t>9</w:t>
      </w:r>
      <w:r w:rsidRPr="009A6827">
        <w:t>.]</w:t>
      </w:r>
    </w:p>
  </w:footnote>
  <w:footnote w:id="23">
    <w:p w14:paraId="3382EACB" w14:textId="77777777" w:rsidR="001678F5" w:rsidRDefault="001678F5" w:rsidP="00E20F44">
      <w:pPr>
        <w:pStyle w:val="FootnoteText"/>
        <w:jc w:val="both"/>
      </w:pPr>
      <w:r w:rsidRPr="00722240">
        <w:rPr>
          <w:rStyle w:val="FootnoteReference"/>
        </w:rPr>
        <w:footnoteRef/>
      </w:r>
      <w:r w:rsidRPr="00722240">
        <w:t xml:space="preserve"> Paziņojums pieejams: </w:t>
      </w:r>
      <w:hyperlink r:id="rId13" w:history="1">
        <w:r w:rsidRPr="00961562">
          <w:rPr>
            <w:rStyle w:val="Hyperlink"/>
          </w:rPr>
          <w:t>https://www.preem.com/in-english/investors/corral/q3-2018-in-short/</w:t>
        </w:r>
      </w:hyperlink>
      <w:r>
        <w:t xml:space="preserve"> </w:t>
      </w:r>
      <w:r w:rsidRPr="009A6827">
        <w:t xml:space="preserve">[aplūkots: </w:t>
      </w:r>
      <w:r>
        <w:t>08</w:t>
      </w:r>
      <w:r w:rsidRPr="009A6827">
        <w:t>.</w:t>
      </w:r>
      <w:r>
        <w:t>01</w:t>
      </w:r>
      <w:r w:rsidRPr="009A6827">
        <w:t>.201</w:t>
      </w:r>
      <w:r>
        <w:t>9</w:t>
      </w:r>
      <w:r w:rsidRPr="009A6827">
        <w:t>.]</w:t>
      </w:r>
    </w:p>
  </w:footnote>
  <w:footnote w:id="24">
    <w:p w14:paraId="407634C7" w14:textId="77777777" w:rsidR="001678F5" w:rsidRDefault="001678F5" w:rsidP="00E20F44">
      <w:pPr>
        <w:pStyle w:val="FootnoteText"/>
        <w:jc w:val="both"/>
      </w:pPr>
      <w:r w:rsidRPr="00722240">
        <w:rPr>
          <w:rStyle w:val="FootnoteReference"/>
        </w:rPr>
        <w:footnoteRef/>
      </w:r>
      <w:r w:rsidRPr="00722240">
        <w:t xml:space="preserve"> Paziņojums pieejams: </w:t>
      </w:r>
      <w:hyperlink r:id="rId14" w:history="1">
        <w:r w:rsidRPr="00961562">
          <w:rPr>
            <w:rStyle w:val="Hyperlink"/>
          </w:rPr>
          <w:t>https://www.eni.com/en_IT/innovation/technological-platforms/bio-refinery.page</w:t>
        </w:r>
      </w:hyperlink>
      <w:r>
        <w:t xml:space="preserve"> </w:t>
      </w:r>
      <w:r w:rsidRPr="009A6827">
        <w:t xml:space="preserve">[aplūkots: </w:t>
      </w:r>
      <w:r>
        <w:t>08</w:t>
      </w:r>
      <w:r w:rsidRPr="009A6827">
        <w:t>.</w:t>
      </w:r>
      <w:r>
        <w:t>01</w:t>
      </w:r>
      <w:r w:rsidRPr="009A6827">
        <w:t>.201</w:t>
      </w:r>
      <w:r>
        <w:t>9</w:t>
      </w:r>
      <w:r w:rsidRPr="009A6827">
        <w:t>.]</w:t>
      </w:r>
    </w:p>
  </w:footnote>
  <w:footnote w:id="25">
    <w:p w14:paraId="11D397A1" w14:textId="77777777" w:rsidR="001678F5" w:rsidRDefault="001678F5" w:rsidP="00E20F44">
      <w:pPr>
        <w:pStyle w:val="FootnoteText"/>
        <w:jc w:val="both"/>
      </w:pPr>
      <w:r>
        <w:rPr>
          <w:rStyle w:val="FootnoteReference"/>
        </w:rPr>
        <w:footnoteRef/>
      </w:r>
      <w:r>
        <w:t xml:space="preserve"> Informācija pieejama: </w:t>
      </w:r>
      <w:hyperlink r:id="rId15" w:history="1">
        <w:r w:rsidRPr="00961562">
          <w:rPr>
            <w:rStyle w:val="Hyperlink"/>
          </w:rPr>
          <w:t>https://www.epure.org/media/1763/180905-def-data-epure-statistics-2017-designed-version.pdf</w:t>
        </w:r>
      </w:hyperlink>
      <w:r>
        <w:t xml:space="preserve"> </w:t>
      </w:r>
      <w:r w:rsidRPr="009A6827">
        <w:t xml:space="preserve">[aplūkots: </w:t>
      </w:r>
      <w:r>
        <w:t>08</w:t>
      </w:r>
      <w:r w:rsidRPr="009A6827">
        <w:t>.</w:t>
      </w:r>
      <w:r>
        <w:t>01</w:t>
      </w:r>
      <w:r w:rsidRPr="009A6827">
        <w:t>.201</w:t>
      </w:r>
      <w:r>
        <w:t>9</w:t>
      </w:r>
      <w:r w:rsidRPr="009A6827">
        <w:t>.]</w:t>
      </w:r>
    </w:p>
  </w:footnote>
  <w:footnote w:id="26">
    <w:p w14:paraId="7D6CAD16" w14:textId="77777777" w:rsidR="001678F5" w:rsidRDefault="001678F5" w:rsidP="00E20F44">
      <w:pPr>
        <w:pStyle w:val="FootnoteText"/>
        <w:jc w:val="both"/>
      </w:pPr>
      <w:r>
        <w:rPr>
          <w:rStyle w:val="FootnoteReference"/>
        </w:rPr>
        <w:footnoteRef/>
      </w:r>
      <w:r>
        <w:t xml:space="preserve"> Informācija pieejama: </w:t>
      </w:r>
      <w:hyperlink r:id="rId16" w:history="1">
        <w:r w:rsidRPr="0055422B">
          <w:rPr>
            <w:rStyle w:val="Hyperlink"/>
          </w:rPr>
          <w:t>http://www.etipbioenergy.eu/?option=com_content&amp;view=article&amp;id=273</w:t>
        </w:r>
      </w:hyperlink>
      <w:r>
        <w:t xml:space="preserve"> </w:t>
      </w:r>
      <w:r w:rsidRPr="009A6827">
        <w:t xml:space="preserve">[aplūkots: </w:t>
      </w:r>
      <w:r>
        <w:t>08</w:t>
      </w:r>
      <w:r w:rsidRPr="009A6827">
        <w:t>.</w:t>
      </w:r>
      <w:r>
        <w:t>01</w:t>
      </w:r>
      <w:r w:rsidRPr="009A6827">
        <w:t>.201</w:t>
      </w:r>
      <w:r>
        <w:t>9</w:t>
      </w:r>
      <w:r w:rsidRPr="009A6827">
        <w:t>.]</w:t>
      </w:r>
    </w:p>
  </w:footnote>
  <w:footnote w:id="27">
    <w:p w14:paraId="4D392EA3" w14:textId="77777777" w:rsidR="001678F5" w:rsidRPr="003D2DDB" w:rsidRDefault="001678F5" w:rsidP="00A65634">
      <w:pPr>
        <w:spacing w:before="40"/>
        <w:jc w:val="both"/>
        <w:rPr>
          <w:sz w:val="18"/>
          <w:szCs w:val="18"/>
          <w:lang w:eastAsia="en-US"/>
        </w:rPr>
      </w:pPr>
      <w:r w:rsidRPr="003D2DDB">
        <w:rPr>
          <w:rStyle w:val="FootnoteReference"/>
          <w:sz w:val="18"/>
          <w:szCs w:val="18"/>
        </w:rPr>
        <w:footnoteRef/>
      </w:r>
      <w:r w:rsidRPr="003D2DDB">
        <w:rPr>
          <w:sz w:val="18"/>
          <w:szCs w:val="18"/>
        </w:rPr>
        <w:t xml:space="preserve"> Izveidota ar 2015.gada 19.-20. marta Eiropadomes secinājumiem </w:t>
      </w:r>
      <w:r w:rsidRPr="003D2DDB">
        <w:rPr>
          <w:i/>
          <w:iCs/>
          <w:sz w:val="18"/>
          <w:szCs w:val="18"/>
        </w:rPr>
        <w:t>(EUCO 11/15)</w:t>
      </w:r>
      <w:r w:rsidRPr="003D2DDB">
        <w:rPr>
          <w:sz w:val="18"/>
          <w:szCs w:val="18"/>
        </w:rPr>
        <w:t xml:space="preserve">, balstoties uz EK 2015.gada 25. februāra EK paziņojumu </w:t>
      </w:r>
      <w:r w:rsidRPr="003D2DDB">
        <w:rPr>
          <w:i/>
          <w:iCs/>
          <w:sz w:val="18"/>
          <w:szCs w:val="18"/>
        </w:rPr>
        <w:t>COM (2015) 80 </w:t>
      </w:r>
      <w:proofErr w:type="spellStart"/>
      <w:r w:rsidRPr="003D2DDB">
        <w:rPr>
          <w:i/>
          <w:iCs/>
          <w:sz w:val="18"/>
          <w:szCs w:val="18"/>
        </w:rPr>
        <w:t>final</w:t>
      </w:r>
      <w:proofErr w:type="spellEnd"/>
      <w:r w:rsidRPr="003D2DDB">
        <w:rPr>
          <w:sz w:val="18"/>
          <w:szCs w:val="18"/>
        </w:rPr>
        <w:t xml:space="preserve"> “</w:t>
      </w:r>
      <w:proofErr w:type="spellStart"/>
      <w:r w:rsidRPr="003D2DDB">
        <w:rPr>
          <w:sz w:val="18"/>
          <w:szCs w:val="18"/>
        </w:rPr>
        <w:t>Pamatstratēģija</w:t>
      </w:r>
      <w:proofErr w:type="spellEnd"/>
      <w:r w:rsidRPr="003D2DDB">
        <w:rPr>
          <w:sz w:val="18"/>
          <w:szCs w:val="18"/>
        </w:rPr>
        <w:t xml:space="preserve"> spēcīgai Enerģētikas savienībai ar tālredzīgu klimata pārmaiņu politiku”</w:t>
      </w:r>
    </w:p>
  </w:footnote>
  <w:footnote w:id="28">
    <w:p w14:paraId="25BEF09E" w14:textId="77777777" w:rsidR="001678F5" w:rsidRDefault="001678F5" w:rsidP="00A65634">
      <w:pPr>
        <w:pStyle w:val="FootnoteText"/>
        <w:jc w:val="both"/>
      </w:pPr>
      <w:r>
        <w:rPr>
          <w:rStyle w:val="FootnoteReference"/>
        </w:rPr>
        <w:footnoteRef/>
      </w:r>
      <w:r>
        <w:t xml:space="preserve"> Informācija pieejama: </w:t>
      </w:r>
      <w:hyperlink r:id="rId17" w:history="1">
        <w:r w:rsidRPr="00704709">
          <w:rPr>
            <w:rStyle w:val="Hyperlink"/>
          </w:rPr>
          <w:t>https://ec.europa.eu/latvia/news/t%C4%ABra-ener%C4%A3ija-visiem-eiropas-iedz%C4%ABvot%C4%81jiem-%E2%80%94-eiropas-izaugsmes-potenci%C4%81la-realiz%C4%93%C5%A1ana-0_lv</w:t>
        </w:r>
      </w:hyperlink>
      <w:r>
        <w:t xml:space="preserve"> [aplūkots: 28.12.2018.]</w:t>
      </w:r>
    </w:p>
  </w:footnote>
  <w:footnote w:id="29">
    <w:p w14:paraId="2921A93A" w14:textId="77777777" w:rsidR="001678F5" w:rsidRPr="003D2DDB" w:rsidRDefault="001678F5" w:rsidP="00AF0204">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4FE0" w14:textId="77777777" w:rsidR="001678F5" w:rsidRDefault="0016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03527"/>
      <w:docPartObj>
        <w:docPartGallery w:val="Page Numbers (Top of Page)"/>
        <w:docPartUnique/>
      </w:docPartObj>
    </w:sdtPr>
    <w:sdtEndPr>
      <w:rPr>
        <w:noProof/>
      </w:rPr>
    </w:sdtEndPr>
    <w:sdtContent>
      <w:p w14:paraId="4F739801" w14:textId="77777777" w:rsidR="001678F5" w:rsidRDefault="001678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9B3BBA" w14:textId="77777777" w:rsidR="001678F5" w:rsidRDefault="0016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C760" w14:textId="77777777" w:rsidR="001678F5" w:rsidRDefault="0016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197B"/>
    <w:multiLevelType w:val="multilevel"/>
    <w:tmpl w:val="6FE8A220"/>
    <w:lvl w:ilvl="0">
      <w:start w:val="2"/>
      <w:numFmt w:val="decimal"/>
      <w:lvlText w:val="%1."/>
      <w:lvlJc w:val="left"/>
      <w:pPr>
        <w:ind w:left="390" w:hanging="390"/>
      </w:pPr>
      <w:rPr>
        <w:rFonts w:hint="default"/>
      </w:rPr>
    </w:lvl>
    <w:lvl w:ilvl="1">
      <w:start w:val="4"/>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160" w:hanging="1800"/>
      </w:pPr>
      <w:rPr>
        <w:rFonts w:hint="default"/>
      </w:rPr>
    </w:lvl>
  </w:abstractNum>
  <w:abstractNum w:abstractNumId="1" w15:restartNumberingAfterBreak="0">
    <w:nsid w:val="280A4ABE"/>
    <w:multiLevelType w:val="hybridMultilevel"/>
    <w:tmpl w:val="5C2EDDEE"/>
    <w:lvl w:ilvl="0" w:tplc="04260003">
      <w:start w:val="1"/>
      <w:numFmt w:val="bullet"/>
      <w:lvlText w:val="o"/>
      <w:lvlJc w:val="left"/>
      <w:pPr>
        <w:ind w:left="1077" w:hanging="360"/>
      </w:pPr>
      <w:rPr>
        <w:rFonts w:ascii="Courier New" w:hAnsi="Courier New" w:cs="Courier New"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2FEC3D3A"/>
    <w:multiLevelType w:val="hybridMultilevel"/>
    <w:tmpl w:val="2CC84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342FA3"/>
    <w:multiLevelType w:val="multilevel"/>
    <w:tmpl w:val="D714B952"/>
    <w:lvl w:ilvl="0">
      <w:start w:val="1"/>
      <w:numFmt w:val="decimal"/>
      <w:lvlText w:val="%1."/>
      <w:lvlJc w:val="left"/>
      <w:pPr>
        <w:ind w:left="720"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843D8D"/>
    <w:multiLevelType w:val="hybridMultilevel"/>
    <w:tmpl w:val="213C3E0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15:restartNumberingAfterBreak="0">
    <w:nsid w:val="59777923"/>
    <w:multiLevelType w:val="multilevel"/>
    <w:tmpl w:val="C83C31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704CE0"/>
    <w:multiLevelType w:val="hybridMultilevel"/>
    <w:tmpl w:val="15E8C052"/>
    <w:lvl w:ilvl="0" w:tplc="D054BEDC">
      <w:start w:val="1"/>
      <w:numFmt w:val="decimal"/>
      <w:lvlText w:val="%1)"/>
      <w:lvlJc w:val="left"/>
      <w:pPr>
        <w:ind w:left="927" w:hanging="360"/>
      </w:pPr>
      <w:rPr>
        <w:rFonts w:hint="default"/>
        <w:sz w:val="26"/>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AF35B88"/>
    <w:multiLevelType w:val="hybridMultilevel"/>
    <w:tmpl w:val="56349852"/>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 w15:restartNumberingAfterBreak="0">
    <w:nsid w:val="60684850"/>
    <w:multiLevelType w:val="hybridMultilevel"/>
    <w:tmpl w:val="68DEA462"/>
    <w:lvl w:ilvl="0" w:tplc="29E2258A">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CE76A5"/>
    <w:multiLevelType w:val="hybridMultilevel"/>
    <w:tmpl w:val="B4300A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002749"/>
    <w:multiLevelType w:val="multilevel"/>
    <w:tmpl w:val="19346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821FA8"/>
    <w:multiLevelType w:val="hybridMultilevel"/>
    <w:tmpl w:val="6D641A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291A3D"/>
    <w:multiLevelType w:val="multilevel"/>
    <w:tmpl w:val="4FD62D86"/>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26"/>
        <w:szCs w:val="26"/>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6"/>
  </w:num>
  <w:num w:numId="4">
    <w:abstractNumId w:val="8"/>
  </w:num>
  <w:num w:numId="5">
    <w:abstractNumId w:val="5"/>
  </w:num>
  <w:num w:numId="6">
    <w:abstractNumId w:val="9"/>
  </w:num>
  <w:num w:numId="7">
    <w:abstractNumId w:val="2"/>
  </w:num>
  <w:num w:numId="8">
    <w:abstractNumId w:val="4"/>
  </w:num>
  <w:num w:numId="9">
    <w:abstractNumId w:val="1"/>
  </w:num>
  <w:num w:numId="10">
    <w:abstractNumId w:val="7"/>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CA"/>
    <w:rsid w:val="000066EB"/>
    <w:rsid w:val="00012F65"/>
    <w:rsid w:val="000141BD"/>
    <w:rsid w:val="000266D7"/>
    <w:rsid w:val="000266EA"/>
    <w:rsid w:val="00027EAD"/>
    <w:rsid w:val="0004423A"/>
    <w:rsid w:val="00047F56"/>
    <w:rsid w:val="00052106"/>
    <w:rsid w:val="00061008"/>
    <w:rsid w:val="00062CFC"/>
    <w:rsid w:val="000665DE"/>
    <w:rsid w:val="00072034"/>
    <w:rsid w:val="000755B4"/>
    <w:rsid w:val="000827F9"/>
    <w:rsid w:val="00084F82"/>
    <w:rsid w:val="00090F54"/>
    <w:rsid w:val="000A51DC"/>
    <w:rsid w:val="000A577B"/>
    <w:rsid w:val="000A76BD"/>
    <w:rsid w:val="000B4D51"/>
    <w:rsid w:val="000C0E95"/>
    <w:rsid w:val="000C0F22"/>
    <w:rsid w:val="000C17E0"/>
    <w:rsid w:val="000C31C7"/>
    <w:rsid w:val="000C34C8"/>
    <w:rsid w:val="000D0CB1"/>
    <w:rsid w:val="000D4463"/>
    <w:rsid w:val="000E253A"/>
    <w:rsid w:val="000F07C2"/>
    <w:rsid w:val="0010244A"/>
    <w:rsid w:val="0010702D"/>
    <w:rsid w:val="00107D43"/>
    <w:rsid w:val="00120ED3"/>
    <w:rsid w:val="00162042"/>
    <w:rsid w:val="00162381"/>
    <w:rsid w:val="001678F5"/>
    <w:rsid w:val="001746D9"/>
    <w:rsid w:val="001817CD"/>
    <w:rsid w:val="0018204B"/>
    <w:rsid w:val="00193FCC"/>
    <w:rsid w:val="00197CCE"/>
    <w:rsid w:val="001B0B24"/>
    <w:rsid w:val="001B152A"/>
    <w:rsid w:val="001B18A7"/>
    <w:rsid w:val="001C19E6"/>
    <w:rsid w:val="001C4A31"/>
    <w:rsid w:val="001C5056"/>
    <w:rsid w:val="001C757B"/>
    <w:rsid w:val="001D03C3"/>
    <w:rsid w:val="001F3F4B"/>
    <w:rsid w:val="001F4D5F"/>
    <w:rsid w:val="001F7BA7"/>
    <w:rsid w:val="002007A6"/>
    <w:rsid w:val="00202BBC"/>
    <w:rsid w:val="00204D62"/>
    <w:rsid w:val="0020507A"/>
    <w:rsid w:val="00205676"/>
    <w:rsid w:val="002134EE"/>
    <w:rsid w:val="0022006B"/>
    <w:rsid w:val="002201CE"/>
    <w:rsid w:val="0024131C"/>
    <w:rsid w:val="00257C4E"/>
    <w:rsid w:val="00272E6D"/>
    <w:rsid w:val="00282E05"/>
    <w:rsid w:val="00290587"/>
    <w:rsid w:val="00291578"/>
    <w:rsid w:val="002A3F9D"/>
    <w:rsid w:val="002A6358"/>
    <w:rsid w:val="002A7FD4"/>
    <w:rsid w:val="002B213E"/>
    <w:rsid w:val="002C0ED3"/>
    <w:rsid w:val="002D0451"/>
    <w:rsid w:val="002E105D"/>
    <w:rsid w:val="002F2CB6"/>
    <w:rsid w:val="002F4B62"/>
    <w:rsid w:val="003007D7"/>
    <w:rsid w:val="003021D9"/>
    <w:rsid w:val="00302465"/>
    <w:rsid w:val="0031453C"/>
    <w:rsid w:val="003315E1"/>
    <w:rsid w:val="00335919"/>
    <w:rsid w:val="00340105"/>
    <w:rsid w:val="00342970"/>
    <w:rsid w:val="00343104"/>
    <w:rsid w:val="00361680"/>
    <w:rsid w:val="00370F14"/>
    <w:rsid w:val="00372430"/>
    <w:rsid w:val="00374A01"/>
    <w:rsid w:val="00381DC6"/>
    <w:rsid w:val="003845AE"/>
    <w:rsid w:val="0038705D"/>
    <w:rsid w:val="00394DB5"/>
    <w:rsid w:val="003A0449"/>
    <w:rsid w:val="003B1702"/>
    <w:rsid w:val="003B3BFD"/>
    <w:rsid w:val="003B63D8"/>
    <w:rsid w:val="003B64DA"/>
    <w:rsid w:val="003C1E3C"/>
    <w:rsid w:val="003D28D2"/>
    <w:rsid w:val="003D2DDB"/>
    <w:rsid w:val="004045BC"/>
    <w:rsid w:val="00415FB1"/>
    <w:rsid w:val="00420BFC"/>
    <w:rsid w:val="00426120"/>
    <w:rsid w:val="00430A02"/>
    <w:rsid w:val="00432999"/>
    <w:rsid w:val="00433131"/>
    <w:rsid w:val="004335BB"/>
    <w:rsid w:val="004351B9"/>
    <w:rsid w:val="00446A9F"/>
    <w:rsid w:val="00452F9A"/>
    <w:rsid w:val="00452FAC"/>
    <w:rsid w:val="0045714A"/>
    <w:rsid w:val="0046208F"/>
    <w:rsid w:val="00466414"/>
    <w:rsid w:val="004664A5"/>
    <w:rsid w:val="00471B49"/>
    <w:rsid w:val="00473B28"/>
    <w:rsid w:val="00476353"/>
    <w:rsid w:val="004822D8"/>
    <w:rsid w:val="00487EA8"/>
    <w:rsid w:val="00491034"/>
    <w:rsid w:val="0049636E"/>
    <w:rsid w:val="00496BA0"/>
    <w:rsid w:val="004B481D"/>
    <w:rsid w:val="004C3870"/>
    <w:rsid w:val="004C52E7"/>
    <w:rsid w:val="004C6BA7"/>
    <w:rsid w:val="004C7420"/>
    <w:rsid w:val="004E1620"/>
    <w:rsid w:val="004E2D4C"/>
    <w:rsid w:val="004E39AE"/>
    <w:rsid w:val="004E559C"/>
    <w:rsid w:val="004F5107"/>
    <w:rsid w:val="00502835"/>
    <w:rsid w:val="005074A6"/>
    <w:rsid w:val="005101AE"/>
    <w:rsid w:val="00512677"/>
    <w:rsid w:val="00515323"/>
    <w:rsid w:val="00524FE2"/>
    <w:rsid w:val="00527E89"/>
    <w:rsid w:val="005317A2"/>
    <w:rsid w:val="00536272"/>
    <w:rsid w:val="00537DD8"/>
    <w:rsid w:val="0054291D"/>
    <w:rsid w:val="0054498A"/>
    <w:rsid w:val="005478D1"/>
    <w:rsid w:val="0055130E"/>
    <w:rsid w:val="00552A31"/>
    <w:rsid w:val="0055422B"/>
    <w:rsid w:val="00561965"/>
    <w:rsid w:val="00581D87"/>
    <w:rsid w:val="00586B88"/>
    <w:rsid w:val="005925FB"/>
    <w:rsid w:val="00597DB5"/>
    <w:rsid w:val="005A5CDA"/>
    <w:rsid w:val="005A6F9D"/>
    <w:rsid w:val="005B20D5"/>
    <w:rsid w:val="005B4031"/>
    <w:rsid w:val="005C3D26"/>
    <w:rsid w:val="005C50A2"/>
    <w:rsid w:val="005C6676"/>
    <w:rsid w:val="005D0E41"/>
    <w:rsid w:val="005D19B4"/>
    <w:rsid w:val="005E6577"/>
    <w:rsid w:val="006068FA"/>
    <w:rsid w:val="00606C18"/>
    <w:rsid w:val="00606E6B"/>
    <w:rsid w:val="006076B6"/>
    <w:rsid w:val="00612B7B"/>
    <w:rsid w:val="00617A7A"/>
    <w:rsid w:val="00626793"/>
    <w:rsid w:val="00632310"/>
    <w:rsid w:val="00647BEB"/>
    <w:rsid w:val="0065733C"/>
    <w:rsid w:val="00661F7D"/>
    <w:rsid w:val="00675E61"/>
    <w:rsid w:val="00685789"/>
    <w:rsid w:val="00687EDE"/>
    <w:rsid w:val="0069741C"/>
    <w:rsid w:val="006B37F8"/>
    <w:rsid w:val="006B3DF9"/>
    <w:rsid w:val="006B75C6"/>
    <w:rsid w:val="006C0A81"/>
    <w:rsid w:val="006C3381"/>
    <w:rsid w:val="006D2BF8"/>
    <w:rsid w:val="006D3D9E"/>
    <w:rsid w:val="006D6260"/>
    <w:rsid w:val="006D64A2"/>
    <w:rsid w:val="006E7C94"/>
    <w:rsid w:val="00703006"/>
    <w:rsid w:val="00704B86"/>
    <w:rsid w:val="00712BCE"/>
    <w:rsid w:val="00721C87"/>
    <w:rsid w:val="00722240"/>
    <w:rsid w:val="00724761"/>
    <w:rsid w:val="00725989"/>
    <w:rsid w:val="007349AC"/>
    <w:rsid w:val="00734F7C"/>
    <w:rsid w:val="00734FBC"/>
    <w:rsid w:val="00737431"/>
    <w:rsid w:val="00747F7B"/>
    <w:rsid w:val="0075195F"/>
    <w:rsid w:val="00754845"/>
    <w:rsid w:val="00755BE4"/>
    <w:rsid w:val="00764AB2"/>
    <w:rsid w:val="00765368"/>
    <w:rsid w:val="00776887"/>
    <w:rsid w:val="00783C04"/>
    <w:rsid w:val="007841E6"/>
    <w:rsid w:val="00785449"/>
    <w:rsid w:val="0079179C"/>
    <w:rsid w:val="007923D0"/>
    <w:rsid w:val="00793EF9"/>
    <w:rsid w:val="007B27FB"/>
    <w:rsid w:val="007B29E0"/>
    <w:rsid w:val="007B4C65"/>
    <w:rsid w:val="007B6F30"/>
    <w:rsid w:val="007C43B4"/>
    <w:rsid w:val="007C5C5A"/>
    <w:rsid w:val="007D3AC0"/>
    <w:rsid w:val="007E2D4B"/>
    <w:rsid w:val="00805C17"/>
    <w:rsid w:val="00810434"/>
    <w:rsid w:val="0081069F"/>
    <w:rsid w:val="00810A03"/>
    <w:rsid w:val="0081422C"/>
    <w:rsid w:val="008318C4"/>
    <w:rsid w:val="00840543"/>
    <w:rsid w:val="00846693"/>
    <w:rsid w:val="008525E4"/>
    <w:rsid w:val="008536A2"/>
    <w:rsid w:val="00862E61"/>
    <w:rsid w:val="00881080"/>
    <w:rsid w:val="008823DF"/>
    <w:rsid w:val="00884A2A"/>
    <w:rsid w:val="00897AF6"/>
    <w:rsid w:val="008A229E"/>
    <w:rsid w:val="008B2DA3"/>
    <w:rsid w:val="008B51E9"/>
    <w:rsid w:val="008C0070"/>
    <w:rsid w:val="008C0B2E"/>
    <w:rsid w:val="008C1E4E"/>
    <w:rsid w:val="008C54BC"/>
    <w:rsid w:val="008D1DF3"/>
    <w:rsid w:val="008D260A"/>
    <w:rsid w:val="008E3F42"/>
    <w:rsid w:val="008E4BB9"/>
    <w:rsid w:val="008E5669"/>
    <w:rsid w:val="008F041F"/>
    <w:rsid w:val="0091045A"/>
    <w:rsid w:val="00925ACC"/>
    <w:rsid w:val="00933B34"/>
    <w:rsid w:val="00933EE4"/>
    <w:rsid w:val="009420B7"/>
    <w:rsid w:val="00946E98"/>
    <w:rsid w:val="00957713"/>
    <w:rsid w:val="009604FF"/>
    <w:rsid w:val="00960987"/>
    <w:rsid w:val="00961739"/>
    <w:rsid w:val="0096279D"/>
    <w:rsid w:val="00975296"/>
    <w:rsid w:val="00975593"/>
    <w:rsid w:val="0098039A"/>
    <w:rsid w:val="00986833"/>
    <w:rsid w:val="00986D4B"/>
    <w:rsid w:val="00990A9D"/>
    <w:rsid w:val="009A23D6"/>
    <w:rsid w:val="009A25D2"/>
    <w:rsid w:val="009A56AD"/>
    <w:rsid w:val="009A6827"/>
    <w:rsid w:val="009A6A86"/>
    <w:rsid w:val="009A6C6F"/>
    <w:rsid w:val="009C4B49"/>
    <w:rsid w:val="009C5C9A"/>
    <w:rsid w:val="009D075C"/>
    <w:rsid w:val="009D7258"/>
    <w:rsid w:val="009E4375"/>
    <w:rsid w:val="009E7667"/>
    <w:rsid w:val="009F1241"/>
    <w:rsid w:val="009F45A0"/>
    <w:rsid w:val="00A041F6"/>
    <w:rsid w:val="00A051C6"/>
    <w:rsid w:val="00A07EE8"/>
    <w:rsid w:val="00A13C4E"/>
    <w:rsid w:val="00A17528"/>
    <w:rsid w:val="00A21C54"/>
    <w:rsid w:val="00A221D9"/>
    <w:rsid w:val="00A23891"/>
    <w:rsid w:val="00A37121"/>
    <w:rsid w:val="00A42370"/>
    <w:rsid w:val="00A43111"/>
    <w:rsid w:val="00A43CBF"/>
    <w:rsid w:val="00A5290E"/>
    <w:rsid w:val="00A575CA"/>
    <w:rsid w:val="00A61CD2"/>
    <w:rsid w:val="00A63B34"/>
    <w:rsid w:val="00A65634"/>
    <w:rsid w:val="00A65F72"/>
    <w:rsid w:val="00A70F27"/>
    <w:rsid w:val="00A753FA"/>
    <w:rsid w:val="00A82962"/>
    <w:rsid w:val="00A85F3E"/>
    <w:rsid w:val="00A900E9"/>
    <w:rsid w:val="00A90A8C"/>
    <w:rsid w:val="00A90CFA"/>
    <w:rsid w:val="00AA6083"/>
    <w:rsid w:val="00AD488B"/>
    <w:rsid w:val="00AE3BFF"/>
    <w:rsid w:val="00AF0204"/>
    <w:rsid w:val="00AF1C61"/>
    <w:rsid w:val="00AF48D4"/>
    <w:rsid w:val="00B00985"/>
    <w:rsid w:val="00B02ABC"/>
    <w:rsid w:val="00B053E9"/>
    <w:rsid w:val="00B05FFA"/>
    <w:rsid w:val="00B232DC"/>
    <w:rsid w:val="00B314C4"/>
    <w:rsid w:val="00B33EBF"/>
    <w:rsid w:val="00B341BE"/>
    <w:rsid w:val="00B61136"/>
    <w:rsid w:val="00B637B4"/>
    <w:rsid w:val="00B73035"/>
    <w:rsid w:val="00B739FB"/>
    <w:rsid w:val="00B74430"/>
    <w:rsid w:val="00B818CE"/>
    <w:rsid w:val="00B855C9"/>
    <w:rsid w:val="00B90248"/>
    <w:rsid w:val="00B971BD"/>
    <w:rsid w:val="00B975A6"/>
    <w:rsid w:val="00BC3A42"/>
    <w:rsid w:val="00BC4054"/>
    <w:rsid w:val="00BC7892"/>
    <w:rsid w:val="00BC79C3"/>
    <w:rsid w:val="00BD1632"/>
    <w:rsid w:val="00BD1CCC"/>
    <w:rsid w:val="00BD24C0"/>
    <w:rsid w:val="00BD5682"/>
    <w:rsid w:val="00BE1025"/>
    <w:rsid w:val="00BE3691"/>
    <w:rsid w:val="00BE43EE"/>
    <w:rsid w:val="00BE74C5"/>
    <w:rsid w:val="00BF2ED4"/>
    <w:rsid w:val="00BF31E7"/>
    <w:rsid w:val="00BF359E"/>
    <w:rsid w:val="00C021DC"/>
    <w:rsid w:val="00C047F1"/>
    <w:rsid w:val="00C04C1E"/>
    <w:rsid w:val="00C102E5"/>
    <w:rsid w:val="00C105FD"/>
    <w:rsid w:val="00C140DB"/>
    <w:rsid w:val="00C14B72"/>
    <w:rsid w:val="00C22C5D"/>
    <w:rsid w:val="00C25232"/>
    <w:rsid w:val="00C32C50"/>
    <w:rsid w:val="00C46EA6"/>
    <w:rsid w:val="00C54A18"/>
    <w:rsid w:val="00C57A32"/>
    <w:rsid w:val="00C630BB"/>
    <w:rsid w:val="00C632CD"/>
    <w:rsid w:val="00C75550"/>
    <w:rsid w:val="00C759D7"/>
    <w:rsid w:val="00C8394D"/>
    <w:rsid w:val="00C97107"/>
    <w:rsid w:val="00CA0AB2"/>
    <w:rsid w:val="00CA1694"/>
    <w:rsid w:val="00CA2CC2"/>
    <w:rsid w:val="00CB510F"/>
    <w:rsid w:val="00CC0921"/>
    <w:rsid w:val="00CD2AA4"/>
    <w:rsid w:val="00CD42E0"/>
    <w:rsid w:val="00CD4695"/>
    <w:rsid w:val="00CD5C00"/>
    <w:rsid w:val="00CD6979"/>
    <w:rsid w:val="00CE3407"/>
    <w:rsid w:val="00CF0163"/>
    <w:rsid w:val="00D31CFF"/>
    <w:rsid w:val="00D344C7"/>
    <w:rsid w:val="00D46E74"/>
    <w:rsid w:val="00D54D3D"/>
    <w:rsid w:val="00D60499"/>
    <w:rsid w:val="00D628AA"/>
    <w:rsid w:val="00D65765"/>
    <w:rsid w:val="00D700A2"/>
    <w:rsid w:val="00D71FB0"/>
    <w:rsid w:val="00D8073A"/>
    <w:rsid w:val="00D85763"/>
    <w:rsid w:val="00D858D3"/>
    <w:rsid w:val="00D96A9D"/>
    <w:rsid w:val="00DA0389"/>
    <w:rsid w:val="00DA61FA"/>
    <w:rsid w:val="00DA69AD"/>
    <w:rsid w:val="00DA7679"/>
    <w:rsid w:val="00DC3E3E"/>
    <w:rsid w:val="00DD50C4"/>
    <w:rsid w:val="00DE38D0"/>
    <w:rsid w:val="00DE65C8"/>
    <w:rsid w:val="00DE7BB2"/>
    <w:rsid w:val="00DF242C"/>
    <w:rsid w:val="00E12A0C"/>
    <w:rsid w:val="00E20F44"/>
    <w:rsid w:val="00E25CD4"/>
    <w:rsid w:val="00E3052C"/>
    <w:rsid w:val="00E33678"/>
    <w:rsid w:val="00E34363"/>
    <w:rsid w:val="00E44A96"/>
    <w:rsid w:val="00E47F7C"/>
    <w:rsid w:val="00E53331"/>
    <w:rsid w:val="00E5381D"/>
    <w:rsid w:val="00E61468"/>
    <w:rsid w:val="00E6307C"/>
    <w:rsid w:val="00E65450"/>
    <w:rsid w:val="00E66FB7"/>
    <w:rsid w:val="00E67348"/>
    <w:rsid w:val="00E7763B"/>
    <w:rsid w:val="00E91002"/>
    <w:rsid w:val="00E96377"/>
    <w:rsid w:val="00EA24BB"/>
    <w:rsid w:val="00EA476D"/>
    <w:rsid w:val="00EB1759"/>
    <w:rsid w:val="00EB646A"/>
    <w:rsid w:val="00EC6C8D"/>
    <w:rsid w:val="00EC7657"/>
    <w:rsid w:val="00ED0559"/>
    <w:rsid w:val="00ED2208"/>
    <w:rsid w:val="00ED2D38"/>
    <w:rsid w:val="00ED67DF"/>
    <w:rsid w:val="00EE75C5"/>
    <w:rsid w:val="00EF197C"/>
    <w:rsid w:val="00EF20A7"/>
    <w:rsid w:val="00EF61C4"/>
    <w:rsid w:val="00F12660"/>
    <w:rsid w:val="00F135CE"/>
    <w:rsid w:val="00F1492D"/>
    <w:rsid w:val="00F17239"/>
    <w:rsid w:val="00F2177F"/>
    <w:rsid w:val="00F25581"/>
    <w:rsid w:val="00F35ABF"/>
    <w:rsid w:val="00F360AA"/>
    <w:rsid w:val="00F43A1A"/>
    <w:rsid w:val="00F46C2A"/>
    <w:rsid w:val="00F51514"/>
    <w:rsid w:val="00F548F5"/>
    <w:rsid w:val="00F6466A"/>
    <w:rsid w:val="00F70AAB"/>
    <w:rsid w:val="00F71304"/>
    <w:rsid w:val="00F72CA3"/>
    <w:rsid w:val="00F735DC"/>
    <w:rsid w:val="00F73C76"/>
    <w:rsid w:val="00F7724B"/>
    <w:rsid w:val="00F813ED"/>
    <w:rsid w:val="00F95722"/>
    <w:rsid w:val="00F975FC"/>
    <w:rsid w:val="00F978C0"/>
    <w:rsid w:val="00F978F0"/>
    <w:rsid w:val="00FE4051"/>
    <w:rsid w:val="00FE4EEE"/>
    <w:rsid w:val="00FE57F7"/>
    <w:rsid w:val="00FF0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207F"/>
  <w15:chartTrackingRefBased/>
  <w15:docId w15:val="{CF56B2FE-DD56-4EBC-9CED-1FB1667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5C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75E61"/>
    <w:pPr>
      <w:keepNext/>
      <w:keepLines/>
      <w:spacing w:before="240"/>
      <w:jc w:val="center"/>
      <w:outlineLvl w:val="0"/>
    </w:pPr>
    <w:rPr>
      <w:rFonts w:eastAsiaTheme="majorEastAsia" w:cstheme="majorBidi"/>
      <w:b/>
      <w:sz w:val="28"/>
      <w:szCs w:val="32"/>
      <w:lang w:val="sv-SE" w:eastAsia="sv-SE"/>
    </w:rPr>
  </w:style>
  <w:style w:type="paragraph" w:styleId="Heading2">
    <w:name w:val="heading 2"/>
    <w:basedOn w:val="Normal"/>
    <w:next w:val="Normal"/>
    <w:link w:val="Heading2Char"/>
    <w:uiPriority w:val="9"/>
    <w:unhideWhenUsed/>
    <w:qFormat/>
    <w:rsid w:val="00675E61"/>
    <w:pPr>
      <w:keepNext/>
      <w:keepLines/>
      <w:spacing w:before="160" w:after="12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24FE2"/>
    <w:pPr>
      <w:keepNext/>
      <w:keepLines/>
      <w:spacing w:before="160" w:after="120"/>
      <w:outlineLvl w:val="2"/>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79C"/>
    <w:pPr>
      <w:spacing w:before="100" w:beforeAutospacing="1" w:after="100" w:afterAutospacing="1"/>
    </w:pPr>
  </w:style>
  <w:style w:type="character" w:customStyle="1" w:styleId="Heading1Char">
    <w:name w:val="Heading 1 Char"/>
    <w:basedOn w:val="DefaultParagraphFont"/>
    <w:link w:val="Heading1"/>
    <w:uiPriority w:val="9"/>
    <w:rsid w:val="00675E61"/>
    <w:rPr>
      <w:rFonts w:ascii="Times New Roman" w:eastAsiaTheme="majorEastAsia" w:hAnsi="Times New Roman" w:cstheme="majorBidi"/>
      <w:b/>
      <w:sz w:val="28"/>
      <w:szCs w:val="32"/>
      <w:lang w:val="sv-SE" w:eastAsia="sv-SE"/>
    </w:rPr>
  </w:style>
  <w:style w:type="paragraph" w:styleId="ListParagraph">
    <w:name w:val="List Paragraph"/>
    <w:basedOn w:val="Normal"/>
    <w:link w:val="ListParagraphChar"/>
    <w:uiPriority w:val="34"/>
    <w:qFormat/>
    <w:rsid w:val="000A577B"/>
    <w:pPr>
      <w:ind w:left="720"/>
      <w:contextualSpacing/>
    </w:pPr>
    <w:rPr>
      <w:lang w:val="sv-SE" w:eastAsia="sv-SE"/>
    </w:rPr>
  </w:style>
  <w:style w:type="character" w:customStyle="1" w:styleId="ListParagraphChar">
    <w:name w:val="List Paragraph Char"/>
    <w:basedOn w:val="DefaultParagraphFont"/>
    <w:link w:val="ListParagraph"/>
    <w:uiPriority w:val="34"/>
    <w:rsid w:val="000A577B"/>
    <w:rPr>
      <w:rFonts w:ascii="Times New Roman" w:eastAsia="Times New Roman" w:hAnsi="Times New Roman" w:cs="Times New Roman"/>
      <w:sz w:val="24"/>
      <w:szCs w:val="24"/>
      <w:lang w:val="sv-SE" w:eastAsia="sv-SE"/>
    </w:rPr>
  </w:style>
  <w:style w:type="paragraph" w:customStyle="1" w:styleId="naislab">
    <w:name w:val="naislab"/>
    <w:basedOn w:val="Normal"/>
    <w:rsid w:val="00F70AAB"/>
    <w:pPr>
      <w:spacing w:before="100" w:beforeAutospacing="1" w:after="100" w:afterAutospacing="1"/>
    </w:pPr>
  </w:style>
  <w:style w:type="character" w:customStyle="1" w:styleId="Heading2Char">
    <w:name w:val="Heading 2 Char"/>
    <w:basedOn w:val="DefaultParagraphFont"/>
    <w:link w:val="Heading2"/>
    <w:uiPriority w:val="9"/>
    <w:rsid w:val="00675E61"/>
    <w:rPr>
      <w:rFonts w:ascii="Times New Roman" w:eastAsiaTheme="majorEastAsia" w:hAnsi="Times New Roman" w:cstheme="majorBidi"/>
      <w:b/>
      <w:sz w:val="26"/>
      <w:szCs w:val="26"/>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946E98"/>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46E98"/>
    <w:pPr>
      <w:spacing w:after="160" w:line="240" w:lineRule="exact"/>
      <w:ind w:firstLine="720"/>
      <w:jc w:val="both"/>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B73035"/>
    <w:rPr>
      <w:rFonts w:eastAsiaTheme="minorHAnsi"/>
      <w:sz w:val="18"/>
      <w:szCs w:val="18"/>
      <w:lang w:eastAsia="en-US"/>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B73035"/>
    <w:rPr>
      <w:rFonts w:ascii="Times New Roman" w:hAnsi="Times New Roman" w:cs="Times New Roman"/>
      <w:sz w:val="18"/>
      <w:szCs w:val="18"/>
    </w:rPr>
  </w:style>
  <w:style w:type="paragraph" w:customStyle="1" w:styleId="paragraph">
    <w:name w:val="paragraph"/>
    <w:basedOn w:val="Normal"/>
    <w:rsid w:val="00B73035"/>
    <w:pPr>
      <w:spacing w:before="100" w:beforeAutospacing="1" w:after="100" w:afterAutospacing="1"/>
    </w:pPr>
  </w:style>
  <w:style w:type="character" w:customStyle="1" w:styleId="italic">
    <w:name w:val="italic"/>
    <w:rsid w:val="009A56AD"/>
    <w:rPr>
      <w:rFonts w:cs="Times New Roman"/>
    </w:rPr>
  </w:style>
  <w:style w:type="character" w:styleId="Hyperlink">
    <w:name w:val="Hyperlink"/>
    <w:uiPriority w:val="99"/>
    <w:unhideWhenUsed/>
    <w:rsid w:val="005101AE"/>
    <w:rPr>
      <w:color w:val="0000FF"/>
      <w:u w:val="single"/>
    </w:rPr>
  </w:style>
  <w:style w:type="character" w:customStyle="1" w:styleId="Heading3Char">
    <w:name w:val="Heading 3 Char"/>
    <w:basedOn w:val="DefaultParagraphFont"/>
    <w:link w:val="Heading3"/>
    <w:uiPriority w:val="9"/>
    <w:rsid w:val="00524FE2"/>
    <w:rPr>
      <w:rFonts w:ascii="Times New Roman" w:eastAsiaTheme="majorEastAsia" w:hAnsi="Times New Roman" w:cstheme="majorBidi"/>
      <w:b/>
      <w:sz w:val="24"/>
      <w:szCs w:val="24"/>
      <w:u w:val="single"/>
      <w:lang w:eastAsia="lv-LV"/>
    </w:rPr>
  </w:style>
  <w:style w:type="paragraph" w:customStyle="1" w:styleId="tv213">
    <w:name w:val="tv213"/>
    <w:basedOn w:val="Normal"/>
    <w:rsid w:val="002F2CB6"/>
    <w:pPr>
      <w:spacing w:before="100" w:beforeAutospacing="1" w:after="100" w:afterAutospacing="1"/>
    </w:pPr>
  </w:style>
  <w:style w:type="paragraph" w:customStyle="1" w:styleId="CM4">
    <w:name w:val="CM4"/>
    <w:basedOn w:val="Normal"/>
    <w:next w:val="Normal"/>
    <w:rsid w:val="00012F65"/>
    <w:pPr>
      <w:autoSpaceDE w:val="0"/>
      <w:autoSpaceDN w:val="0"/>
      <w:adjustRightInd w:val="0"/>
    </w:pPr>
    <w:rPr>
      <w:rFonts w:ascii="EUAlbertina" w:hAnsi="EUAlbertina"/>
      <w:lang w:bidi="lv-LV"/>
    </w:rPr>
  </w:style>
  <w:style w:type="paragraph" w:styleId="BalloonText">
    <w:name w:val="Balloon Text"/>
    <w:basedOn w:val="Normal"/>
    <w:link w:val="BalloonTextChar"/>
    <w:uiPriority w:val="99"/>
    <w:semiHidden/>
    <w:unhideWhenUsed/>
    <w:rsid w:val="00DE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8D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755B4"/>
    <w:rPr>
      <w:sz w:val="16"/>
      <w:szCs w:val="16"/>
    </w:rPr>
  </w:style>
  <w:style w:type="paragraph" w:styleId="CommentText">
    <w:name w:val="annotation text"/>
    <w:basedOn w:val="Normal"/>
    <w:link w:val="CommentTextChar"/>
    <w:uiPriority w:val="99"/>
    <w:unhideWhenUsed/>
    <w:rsid w:val="000755B4"/>
    <w:rPr>
      <w:sz w:val="20"/>
      <w:szCs w:val="20"/>
    </w:rPr>
  </w:style>
  <w:style w:type="character" w:customStyle="1" w:styleId="CommentTextChar">
    <w:name w:val="Comment Text Char"/>
    <w:basedOn w:val="DefaultParagraphFont"/>
    <w:link w:val="CommentText"/>
    <w:uiPriority w:val="99"/>
    <w:rsid w:val="000755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55B4"/>
    <w:rPr>
      <w:b/>
      <w:bCs/>
    </w:rPr>
  </w:style>
  <w:style w:type="character" w:customStyle="1" w:styleId="CommentSubjectChar">
    <w:name w:val="Comment Subject Char"/>
    <w:basedOn w:val="CommentTextChar"/>
    <w:link w:val="CommentSubject"/>
    <w:uiPriority w:val="99"/>
    <w:semiHidden/>
    <w:rsid w:val="000755B4"/>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CD5C00"/>
    <w:rPr>
      <w:color w:val="808080"/>
      <w:shd w:val="clear" w:color="auto" w:fill="E6E6E6"/>
    </w:rPr>
  </w:style>
  <w:style w:type="paragraph" w:styleId="Header">
    <w:name w:val="header"/>
    <w:basedOn w:val="Normal"/>
    <w:link w:val="HeaderChar"/>
    <w:uiPriority w:val="99"/>
    <w:unhideWhenUsed/>
    <w:rsid w:val="003315E1"/>
    <w:pPr>
      <w:tabs>
        <w:tab w:val="center" w:pos="4513"/>
        <w:tab w:val="right" w:pos="9026"/>
      </w:tabs>
    </w:pPr>
  </w:style>
  <w:style w:type="character" w:customStyle="1" w:styleId="HeaderChar">
    <w:name w:val="Header Char"/>
    <w:basedOn w:val="DefaultParagraphFont"/>
    <w:link w:val="Header"/>
    <w:uiPriority w:val="99"/>
    <w:rsid w:val="003315E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315E1"/>
    <w:pPr>
      <w:tabs>
        <w:tab w:val="center" w:pos="4513"/>
        <w:tab w:val="right" w:pos="9026"/>
      </w:tabs>
    </w:pPr>
  </w:style>
  <w:style w:type="character" w:customStyle="1" w:styleId="FooterChar">
    <w:name w:val="Footer Char"/>
    <w:basedOn w:val="DefaultParagraphFont"/>
    <w:link w:val="Footer"/>
    <w:uiPriority w:val="99"/>
    <w:rsid w:val="003315E1"/>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62381"/>
    <w:rPr>
      <w:color w:val="954F72" w:themeColor="followedHyperlink"/>
      <w:u w:val="single"/>
    </w:rPr>
  </w:style>
  <w:style w:type="paragraph" w:customStyle="1" w:styleId="doc-ti">
    <w:name w:val="doc-ti"/>
    <w:basedOn w:val="Normal"/>
    <w:rsid w:val="00C630BB"/>
    <w:pPr>
      <w:spacing w:before="100" w:beforeAutospacing="1" w:after="100" w:afterAutospacing="1"/>
    </w:pPr>
  </w:style>
  <w:style w:type="paragraph" w:customStyle="1" w:styleId="Normal1">
    <w:name w:val="Normal1"/>
    <w:basedOn w:val="Normal"/>
    <w:rsid w:val="00C630BB"/>
    <w:pPr>
      <w:spacing w:before="100" w:beforeAutospacing="1" w:after="100" w:afterAutospacing="1"/>
    </w:pPr>
  </w:style>
  <w:style w:type="character" w:customStyle="1" w:styleId="super">
    <w:name w:val="super"/>
    <w:basedOn w:val="DefaultParagraphFont"/>
    <w:rsid w:val="00C630BB"/>
  </w:style>
  <w:style w:type="paragraph" w:customStyle="1" w:styleId="note">
    <w:name w:val="note"/>
    <w:basedOn w:val="Normal"/>
    <w:rsid w:val="00C630BB"/>
    <w:pPr>
      <w:spacing w:before="100" w:beforeAutospacing="1" w:after="100" w:afterAutospacing="1"/>
    </w:pPr>
  </w:style>
  <w:style w:type="paragraph" w:customStyle="1" w:styleId="norm">
    <w:name w:val="norm"/>
    <w:basedOn w:val="Normal"/>
    <w:rsid w:val="00C630BB"/>
    <w:pPr>
      <w:spacing w:before="100" w:beforeAutospacing="1" w:after="100" w:afterAutospacing="1"/>
    </w:pPr>
  </w:style>
  <w:style w:type="table" w:styleId="TableGrid">
    <w:name w:val="Table Grid"/>
    <w:basedOn w:val="TableNormal"/>
    <w:uiPriority w:val="39"/>
    <w:rsid w:val="00C6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205">
      <w:bodyDiv w:val="1"/>
      <w:marLeft w:val="0"/>
      <w:marRight w:val="0"/>
      <w:marTop w:val="0"/>
      <w:marBottom w:val="0"/>
      <w:divBdr>
        <w:top w:val="none" w:sz="0" w:space="0" w:color="auto"/>
        <w:left w:val="none" w:sz="0" w:space="0" w:color="auto"/>
        <w:bottom w:val="none" w:sz="0" w:space="0" w:color="auto"/>
        <w:right w:val="none" w:sz="0" w:space="0" w:color="auto"/>
      </w:divBdr>
    </w:div>
    <w:div w:id="127357600">
      <w:bodyDiv w:val="1"/>
      <w:marLeft w:val="0"/>
      <w:marRight w:val="0"/>
      <w:marTop w:val="0"/>
      <w:marBottom w:val="0"/>
      <w:divBdr>
        <w:top w:val="none" w:sz="0" w:space="0" w:color="auto"/>
        <w:left w:val="none" w:sz="0" w:space="0" w:color="auto"/>
        <w:bottom w:val="none" w:sz="0" w:space="0" w:color="auto"/>
        <w:right w:val="none" w:sz="0" w:space="0" w:color="auto"/>
      </w:divBdr>
    </w:div>
    <w:div w:id="205683413">
      <w:bodyDiv w:val="1"/>
      <w:marLeft w:val="0"/>
      <w:marRight w:val="0"/>
      <w:marTop w:val="0"/>
      <w:marBottom w:val="0"/>
      <w:divBdr>
        <w:top w:val="none" w:sz="0" w:space="0" w:color="auto"/>
        <w:left w:val="none" w:sz="0" w:space="0" w:color="auto"/>
        <w:bottom w:val="none" w:sz="0" w:space="0" w:color="auto"/>
        <w:right w:val="none" w:sz="0" w:space="0" w:color="auto"/>
      </w:divBdr>
    </w:div>
    <w:div w:id="239214267">
      <w:bodyDiv w:val="1"/>
      <w:marLeft w:val="0"/>
      <w:marRight w:val="0"/>
      <w:marTop w:val="0"/>
      <w:marBottom w:val="0"/>
      <w:divBdr>
        <w:top w:val="none" w:sz="0" w:space="0" w:color="auto"/>
        <w:left w:val="none" w:sz="0" w:space="0" w:color="auto"/>
        <w:bottom w:val="none" w:sz="0" w:space="0" w:color="auto"/>
        <w:right w:val="none" w:sz="0" w:space="0" w:color="auto"/>
      </w:divBdr>
    </w:div>
    <w:div w:id="327946920">
      <w:bodyDiv w:val="1"/>
      <w:marLeft w:val="0"/>
      <w:marRight w:val="0"/>
      <w:marTop w:val="0"/>
      <w:marBottom w:val="0"/>
      <w:divBdr>
        <w:top w:val="none" w:sz="0" w:space="0" w:color="auto"/>
        <w:left w:val="none" w:sz="0" w:space="0" w:color="auto"/>
        <w:bottom w:val="none" w:sz="0" w:space="0" w:color="auto"/>
        <w:right w:val="none" w:sz="0" w:space="0" w:color="auto"/>
      </w:divBdr>
      <w:divsChild>
        <w:div w:id="1451630067">
          <w:marLeft w:val="0"/>
          <w:marRight w:val="0"/>
          <w:marTop w:val="0"/>
          <w:marBottom w:val="0"/>
          <w:divBdr>
            <w:top w:val="none" w:sz="0" w:space="0" w:color="auto"/>
            <w:left w:val="none" w:sz="0" w:space="0" w:color="auto"/>
            <w:bottom w:val="none" w:sz="0" w:space="0" w:color="auto"/>
            <w:right w:val="none" w:sz="0" w:space="0" w:color="auto"/>
          </w:divBdr>
        </w:div>
      </w:divsChild>
    </w:div>
    <w:div w:id="487982401">
      <w:bodyDiv w:val="1"/>
      <w:marLeft w:val="0"/>
      <w:marRight w:val="0"/>
      <w:marTop w:val="0"/>
      <w:marBottom w:val="0"/>
      <w:divBdr>
        <w:top w:val="none" w:sz="0" w:space="0" w:color="auto"/>
        <w:left w:val="none" w:sz="0" w:space="0" w:color="auto"/>
        <w:bottom w:val="none" w:sz="0" w:space="0" w:color="auto"/>
        <w:right w:val="none" w:sz="0" w:space="0" w:color="auto"/>
      </w:divBdr>
    </w:div>
    <w:div w:id="580600898">
      <w:bodyDiv w:val="1"/>
      <w:marLeft w:val="0"/>
      <w:marRight w:val="0"/>
      <w:marTop w:val="0"/>
      <w:marBottom w:val="0"/>
      <w:divBdr>
        <w:top w:val="none" w:sz="0" w:space="0" w:color="auto"/>
        <w:left w:val="none" w:sz="0" w:space="0" w:color="auto"/>
        <w:bottom w:val="none" w:sz="0" w:space="0" w:color="auto"/>
        <w:right w:val="none" w:sz="0" w:space="0" w:color="auto"/>
      </w:divBdr>
    </w:div>
    <w:div w:id="651327510">
      <w:bodyDiv w:val="1"/>
      <w:marLeft w:val="0"/>
      <w:marRight w:val="0"/>
      <w:marTop w:val="0"/>
      <w:marBottom w:val="0"/>
      <w:divBdr>
        <w:top w:val="none" w:sz="0" w:space="0" w:color="auto"/>
        <w:left w:val="none" w:sz="0" w:space="0" w:color="auto"/>
        <w:bottom w:val="none" w:sz="0" w:space="0" w:color="auto"/>
        <w:right w:val="none" w:sz="0" w:space="0" w:color="auto"/>
      </w:divBdr>
    </w:div>
    <w:div w:id="683048583">
      <w:bodyDiv w:val="1"/>
      <w:marLeft w:val="0"/>
      <w:marRight w:val="0"/>
      <w:marTop w:val="0"/>
      <w:marBottom w:val="0"/>
      <w:divBdr>
        <w:top w:val="none" w:sz="0" w:space="0" w:color="auto"/>
        <w:left w:val="none" w:sz="0" w:space="0" w:color="auto"/>
        <w:bottom w:val="none" w:sz="0" w:space="0" w:color="auto"/>
        <w:right w:val="none" w:sz="0" w:space="0" w:color="auto"/>
      </w:divBdr>
    </w:div>
    <w:div w:id="718673353">
      <w:bodyDiv w:val="1"/>
      <w:marLeft w:val="0"/>
      <w:marRight w:val="0"/>
      <w:marTop w:val="0"/>
      <w:marBottom w:val="0"/>
      <w:divBdr>
        <w:top w:val="none" w:sz="0" w:space="0" w:color="auto"/>
        <w:left w:val="none" w:sz="0" w:space="0" w:color="auto"/>
        <w:bottom w:val="none" w:sz="0" w:space="0" w:color="auto"/>
        <w:right w:val="none" w:sz="0" w:space="0" w:color="auto"/>
      </w:divBdr>
    </w:div>
    <w:div w:id="796143186">
      <w:bodyDiv w:val="1"/>
      <w:marLeft w:val="0"/>
      <w:marRight w:val="0"/>
      <w:marTop w:val="0"/>
      <w:marBottom w:val="0"/>
      <w:divBdr>
        <w:top w:val="none" w:sz="0" w:space="0" w:color="auto"/>
        <w:left w:val="none" w:sz="0" w:space="0" w:color="auto"/>
        <w:bottom w:val="none" w:sz="0" w:space="0" w:color="auto"/>
        <w:right w:val="none" w:sz="0" w:space="0" w:color="auto"/>
      </w:divBdr>
    </w:div>
    <w:div w:id="801846799">
      <w:bodyDiv w:val="1"/>
      <w:marLeft w:val="0"/>
      <w:marRight w:val="0"/>
      <w:marTop w:val="0"/>
      <w:marBottom w:val="0"/>
      <w:divBdr>
        <w:top w:val="none" w:sz="0" w:space="0" w:color="auto"/>
        <w:left w:val="none" w:sz="0" w:space="0" w:color="auto"/>
        <w:bottom w:val="none" w:sz="0" w:space="0" w:color="auto"/>
        <w:right w:val="none" w:sz="0" w:space="0" w:color="auto"/>
      </w:divBdr>
    </w:div>
    <w:div w:id="839125368">
      <w:bodyDiv w:val="1"/>
      <w:marLeft w:val="0"/>
      <w:marRight w:val="0"/>
      <w:marTop w:val="0"/>
      <w:marBottom w:val="0"/>
      <w:divBdr>
        <w:top w:val="none" w:sz="0" w:space="0" w:color="auto"/>
        <w:left w:val="none" w:sz="0" w:space="0" w:color="auto"/>
        <w:bottom w:val="none" w:sz="0" w:space="0" w:color="auto"/>
        <w:right w:val="none" w:sz="0" w:space="0" w:color="auto"/>
      </w:divBdr>
    </w:div>
    <w:div w:id="968439420">
      <w:bodyDiv w:val="1"/>
      <w:marLeft w:val="0"/>
      <w:marRight w:val="0"/>
      <w:marTop w:val="0"/>
      <w:marBottom w:val="0"/>
      <w:divBdr>
        <w:top w:val="none" w:sz="0" w:space="0" w:color="auto"/>
        <w:left w:val="none" w:sz="0" w:space="0" w:color="auto"/>
        <w:bottom w:val="none" w:sz="0" w:space="0" w:color="auto"/>
        <w:right w:val="none" w:sz="0" w:space="0" w:color="auto"/>
      </w:divBdr>
    </w:div>
    <w:div w:id="1112244098">
      <w:bodyDiv w:val="1"/>
      <w:marLeft w:val="0"/>
      <w:marRight w:val="0"/>
      <w:marTop w:val="0"/>
      <w:marBottom w:val="0"/>
      <w:divBdr>
        <w:top w:val="none" w:sz="0" w:space="0" w:color="auto"/>
        <w:left w:val="none" w:sz="0" w:space="0" w:color="auto"/>
        <w:bottom w:val="none" w:sz="0" w:space="0" w:color="auto"/>
        <w:right w:val="none" w:sz="0" w:space="0" w:color="auto"/>
      </w:divBdr>
    </w:div>
    <w:div w:id="1183280583">
      <w:bodyDiv w:val="1"/>
      <w:marLeft w:val="0"/>
      <w:marRight w:val="0"/>
      <w:marTop w:val="0"/>
      <w:marBottom w:val="0"/>
      <w:divBdr>
        <w:top w:val="none" w:sz="0" w:space="0" w:color="auto"/>
        <w:left w:val="none" w:sz="0" w:space="0" w:color="auto"/>
        <w:bottom w:val="none" w:sz="0" w:space="0" w:color="auto"/>
        <w:right w:val="none" w:sz="0" w:space="0" w:color="auto"/>
      </w:divBdr>
    </w:div>
    <w:div w:id="1247495130">
      <w:bodyDiv w:val="1"/>
      <w:marLeft w:val="0"/>
      <w:marRight w:val="0"/>
      <w:marTop w:val="0"/>
      <w:marBottom w:val="0"/>
      <w:divBdr>
        <w:top w:val="none" w:sz="0" w:space="0" w:color="auto"/>
        <w:left w:val="none" w:sz="0" w:space="0" w:color="auto"/>
        <w:bottom w:val="none" w:sz="0" w:space="0" w:color="auto"/>
        <w:right w:val="none" w:sz="0" w:space="0" w:color="auto"/>
      </w:divBdr>
    </w:div>
    <w:div w:id="1436629896">
      <w:bodyDiv w:val="1"/>
      <w:marLeft w:val="0"/>
      <w:marRight w:val="0"/>
      <w:marTop w:val="0"/>
      <w:marBottom w:val="0"/>
      <w:divBdr>
        <w:top w:val="none" w:sz="0" w:space="0" w:color="auto"/>
        <w:left w:val="none" w:sz="0" w:space="0" w:color="auto"/>
        <w:bottom w:val="none" w:sz="0" w:space="0" w:color="auto"/>
        <w:right w:val="none" w:sz="0" w:space="0" w:color="auto"/>
      </w:divBdr>
    </w:div>
    <w:div w:id="1438912543">
      <w:bodyDiv w:val="1"/>
      <w:marLeft w:val="0"/>
      <w:marRight w:val="0"/>
      <w:marTop w:val="0"/>
      <w:marBottom w:val="0"/>
      <w:divBdr>
        <w:top w:val="none" w:sz="0" w:space="0" w:color="auto"/>
        <w:left w:val="none" w:sz="0" w:space="0" w:color="auto"/>
        <w:bottom w:val="none" w:sz="0" w:space="0" w:color="auto"/>
        <w:right w:val="none" w:sz="0" w:space="0" w:color="auto"/>
      </w:divBdr>
    </w:div>
    <w:div w:id="1507943056">
      <w:bodyDiv w:val="1"/>
      <w:marLeft w:val="0"/>
      <w:marRight w:val="0"/>
      <w:marTop w:val="0"/>
      <w:marBottom w:val="0"/>
      <w:divBdr>
        <w:top w:val="none" w:sz="0" w:space="0" w:color="auto"/>
        <w:left w:val="none" w:sz="0" w:space="0" w:color="auto"/>
        <w:bottom w:val="none" w:sz="0" w:space="0" w:color="auto"/>
        <w:right w:val="none" w:sz="0" w:space="0" w:color="auto"/>
      </w:divBdr>
    </w:div>
    <w:div w:id="1526863414">
      <w:bodyDiv w:val="1"/>
      <w:marLeft w:val="0"/>
      <w:marRight w:val="0"/>
      <w:marTop w:val="0"/>
      <w:marBottom w:val="0"/>
      <w:divBdr>
        <w:top w:val="none" w:sz="0" w:space="0" w:color="auto"/>
        <w:left w:val="none" w:sz="0" w:space="0" w:color="auto"/>
        <w:bottom w:val="none" w:sz="0" w:space="0" w:color="auto"/>
        <w:right w:val="none" w:sz="0" w:space="0" w:color="auto"/>
      </w:divBdr>
    </w:div>
    <w:div w:id="1538617393">
      <w:bodyDiv w:val="1"/>
      <w:marLeft w:val="0"/>
      <w:marRight w:val="0"/>
      <w:marTop w:val="0"/>
      <w:marBottom w:val="0"/>
      <w:divBdr>
        <w:top w:val="none" w:sz="0" w:space="0" w:color="auto"/>
        <w:left w:val="none" w:sz="0" w:space="0" w:color="auto"/>
        <w:bottom w:val="none" w:sz="0" w:space="0" w:color="auto"/>
        <w:right w:val="none" w:sz="0" w:space="0" w:color="auto"/>
      </w:divBdr>
    </w:div>
    <w:div w:id="1592011579">
      <w:bodyDiv w:val="1"/>
      <w:marLeft w:val="0"/>
      <w:marRight w:val="0"/>
      <w:marTop w:val="0"/>
      <w:marBottom w:val="0"/>
      <w:divBdr>
        <w:top w:val="none" w:sz="0" w:space="0" w:color="auto"/>
        <w:left w:val="none" w:sz="0" w:space="0" w:color="auto"/>
        <w:bottom w:val="none" w:sz="0" w:space="0" w:color="auto"/>
        <w:right w:val="none" w:sz="0" w:space="0" w:color="auto"/>
      </w:divBdr>
    </w:div>
    <w:div w:id="1784614167">
      <w:bodyDiv w:val="1"/>
      <w:marLeft w:val="0"/>
      <w:marRight w:val="0"/>
      <w:marTop w:val="0"/>
      <w:marBottom w:val="0"/>
      <w:divBdr>
        <w:top w:val="none" w:sz="0" w:space="0" w:color="auto"/>
        <w:left w:val="none" w:sz="0" w:space="0" w:color="auto"/>
        <w:bottom w:val="none" w:sz="0" w:space="0" w:color="auto"/>
        <w:right w:val="none" w:sz="0" w:space="0" w:color="auto"/>
      </w:divBdr>
    </w:div>
    <w:div w:id="2003464074">
      <w:bodyDiv w:val="1"/>
      <w:marLeft w:val="0"/>
      <w:marRight w:val="0"/>
      <w:marTop w:val="0"/>
      <w:marBottom w:val="0"/>
      <w:divBdr>
        <w:top w:val="none" w:sz="0" w:space="0" w:color="auto"/>
        <w:left w:val="none" w:sz="0" w:space="0" w:color="auto"/>
        <w:bottom w:val="none" w:sz="0" w:space="0" w:color="auto"/>
        <w:right w:val="none" w:sz="0" w:space="0" w:color="auto"/>
      </w:divBdr>
    </w:div>
    <w:div w:id="20386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Mezale@e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iba.Logina@em.gov.lv" TargetMode="External"/><Relationship Id="rId4" Type="http://schemas.openxmlformats.org/officeDocument/2006/relationships/settings" Target="settings.xml"/><Relationship Id="rId9" Type="http://schemas.openxmlformats.org/officeDocument/2006/relationships/hyperlink" Target="mailto:Mikus.Ramanis@e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2015L1513" TargetMode="External"/><Relationship Id="rId13" Type="http://schemas.openxmlformats.org/officeDocument/2006/relationships/hyperlink" Target="https://www.preem.com/in-english/investors/corral/q3-2018-in-short/" TargetMode="External"/><Relationship Id="rId3" Type="http://schemas.openxmlformats.org/officeDocument/2006/relationships/hyperlink" Target="https://likumi.lv/doc.php?id=104828" TargetMode="External"/><Relationship Id="rId7" Type="http://schemas.openxmlformats.org/officeDocument/2006/relationships/hyperlink" Target="https://likumi.lv/doc.php?id=233225" TargetMode="External"/><Relationship Id="rId12" Type="http://schemas.openxmlformats.org/officeDocument/2006/relationships/hyperlink" Target="https://www.total.com/sites/default/files/atoms/files/annexes-plan-raffinage-mede-en.pdf" TargetMode="External"/><Relationship Id="rId17" Type="http://schemas.openxmlformats.org/officeDocument/2006/relationships/hyperlink" Target="https://ec.europa.eu/latvia/news/t%C4%ABra-ener%C4%A3ija-visiem-eiropas-iedz%C4%ABvot%C4%81jiem-%E2%80%94-eiropas-izaugsmes-potenci%C4%81la-realiz%C4%93%C5%A1ana-0_lv" TargetMode="External"/><Relationship Id="rId2" Type="http://schemas.openxmlformats.org/officeDocument/2006/relationships/hyperlink" Target="https://likumi.lv/ta/id/292398-par-konceptualo-zinojumu-par-atjaunojamo-energoresursu-izmantosanu-transporta-sektora" TargetMode="External"/><Relationship Id="rId16" Type="http://schemas.openxmlformats.org/officeDocument/2006/relationships/hyperlink" Target="http://www.etipbioenergy.eu/?option=com_content&amp;view=article&amp;id=273" TargetMode="External"/><Relationship Id="rId1" Type="http://schemas.openxmlformats.org/officeDocument/2006/relationships/hyperlink" Target="https://likumi.lv/ta/id/292398-par-konceptualo-zinojumu-par-atjaunojamo-energoresursu-izmantosanu-transporta-sektora" TargetMode="External"/><Relationship Id="rId6" Type="http://schemas.openxmlformats.org/officeDocument/2006/relationships/hyperlink" Target="https://eur-lex.europa.eu/legal-content/LV/TXT/?uri=CELEX%3A31998L0070" TargetMode="External"/><Relationship Id="rId11" Type="http://schemas.openxmlformats.org/officeDocument/2006/relationships/hyperlink" Target="https://www.argusmedia.com/en/news/1811780-viewpoint-duties-to-support-eu-biodiesel-production" TargetMode="External"/><Relationship Id="rId5" Type="http://schemas.openxmlformats.org/officeDocument/2006/relationships/hyperlink" Target="https://likumi.lv/ta/id/296656-grozijumi-ministru-kabineta-2000-gada-26-septembra-noteikumos-nr-332-noteikumi-par-benzina-un-dizeldegvielas-atbilstibas-novert" TargetMode="External"/><Relationship Id="rId15" Type="http://schemas.openxmlformats.org/officeDocument/2006/relationships/hyperlink" Target="https://www.epure.org/media/1763/180905-def-data-epure-statistics-2017-designed-version.pdf" TargetMode="External"/><Relationship Id="rId10" Type="http://schemas.openxmlformats.org/officeDocument/2006/relationships/hyperlink" Target="http://www.acea.be/uploads/publications/130329_%28revised%29_ALL_ACEA_SAAB_JAMA_E10_COMPATIBILITY.pdf" TargetMode="External"/><Relationship Id="rId4" Type="http://schemas.openxmlformats.org/officeDocument/2006/relationships/hyperlink" Target="https://eur-lex.europa.eu/legal-content/LV/TXT/PDF/?uri=CELEX:32009L0028&amp;from=LV" TargetMode="External"/><Relationship Id="rId9" Type="http://schemas.openxmlformats.org/officeDocument/2006/relationships/hyperlink" Target="https://www.who.int/ipcs/assessment/public_health/IARC_mono105.pdf" TargetMode="External"/><Relationship Id="rId14" Type="http://schemas.openxmlformats.org/officeDocument/2006/relationships/hyperlink" Target="https://www.eni.com/en_IT/innovation/technological-platforms/bio-refine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BA90-A9E1-47CE-B97E-D839122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29417</Words>
  <Characters>16769</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Mežale</dc:creator>
  <cp:keywords/>
  <dc:description/>
  <cp:lastModifiedBy>Haralds Skarbnieks</cp:lastModifiedBy>
  <cp:revision>13</cp:revision>
  <cp:lastPrinted>2019-02-01T10:26:00Z</cp:lastPrinted>
  <dcterms:created xsi:type="dcterms:W3CDTF">2019-01-17T06:24:00Z</dcterms:created>
  <dcterms:modified xsi:type="dcterms:W3CDTF">2019-02-01T11:29:00Z</dcterms:modified>
</cp:coreProperties>
</file>