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A6" w:rsidRPr="000B55A9"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r w:rsidRPr="000B55A9">
        <w:rPr>
          <w:rFonts w:ascii="Times New Roman" w:eastAsia="Times New Roman" w:hAnsi="Times New Roman" w:cs="Times New Roman"/>
          <w:b/>
          <w:bCs/>
          <w:sz w:val="24"/>
          <w:szCs w:val="24"/>
          <w:lang w:eastAsia="lv-LV"/>
        </w:rPr>
        <w:t xml:space="preserve"> </w:t>
      </w:r>
      <w:r w:rsidR="00E41115" w:rsidRPr="000B55A9">
        <w:rPr>
          <w:rFonts w:ascii="Times New Roman" w:eastAsia="Times New Roman" w:hAnsi="Times New Roman" w:cs="Times New Roman"/>
          <w:b/>
          <w:bCs/>
          <w:sz w:val="26"/>
          <w:szCs w:val="26"/>
          <w:lang w:eastAsia="lv-LV"/>
        </w:rPr>
        <w:t>Likumprojekta „Grozījumi likumā „Par akcīzes nodokli””</w:t>
      </w:r>
      <w:r w:rsidR="00543AA6" w:rsidRPr="000B55A9">
        <w:rPr>
          <w:rFonts w:ascii="Times New Roman" w:eastAsia="Times New Roman" w:hAnsi="Times New Roman" w:cs="Times New Roman"/>
          <w:b/>
          <w:bCs/>
          <w:sz w:val="26"/>
          <w:szCs w:val="26"/>
          <w:lang w:eastAsia="lv-LV"/>
        </w:rPr>
        <w:t xml:space="preserve"> sākotnējās ietekmes novērtējuma ziņojums</w:t>
      </w:r>
      <w:r w:rsidR="00543AA6" w:rsidRPr="000B55A9">
        <w:rPr>
          <w:rFonts w:ascii="Times New Roman" w:eastAsia="Times New Roman" w:hAnsi="Times New Roman" w:cs="Times New Roman"/>
          <w:b/>
          <w:bCs/>
          <w:sz w:val="26"/>
          <w:szCs w:val="26"/>
          <w:lang w:eastAsia="lv-LV"/>
        </w:rPr>
        <w:br/>
        <w:t>(anotācija)</w:t>
      </w:r>
    </w:p>
    <w:p w:rsidR="00E660F2" w:rsidRPr="000B55A9"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7"/>
        <w:gridCol w:w="5564"/>
      </w:tblGrid>
      <w:tr w:rsidR="00543AA6" w:rsidRPr="000B55A9"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Tiesību akta projekta anotācijas kopsavilkums</w:t>
            </w:r>
          </w:p>
        </w:tc>
      </w:tr>
      <w:tr w:rsidR="0058711A" w:rsidRPr="000B55A9" w:rsidTr="002A4683">
        <w:tc>
          <w:tcPr>
            <w:tcW w:w="1943" w:type="pct"/>
            <w:tcBorders>
              <w:top w:val="outset" w:sz="6" w:space="0" w:color="414142"/>
              <w:left w:val="outset" w:sz="6" w:space="0" w:color="414142"/>
              <w:bottom w:val="outset" w:sz="6" w:space="0" w:color="414142"/>
              <w:right w:val="outset" w:sz="6" w:space="0" w:color="414142"/>
            </w:tcBorders>
            <w:hideMark/>
          </w:tcPr>
          <w:p w:rsidR="0058711A" w:rsidRPr="000B55A9" w:rsidRDefault="0058711A" w:rsidP="0069728C">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Mērķis, risinājums un projekta spēkā stāšanās laiks (500 zīmes bez atstarpēm)</w:t>
            </w:r>
          </w:p>
        </w:tc>
        <w:tc>
          <w:tcPr>
            <w:tcW w:w="3057" w:type="pct"/>
            <w:tcBorders>
              <w:top w:val="outset" w:sz="6" w:space="0" w:color="414142"/>
              <w:left w:val="outset" w:sz="6" w:space="0" w:color="414142"/>
              <w:bottom w:val="outset" w:sz="6" w:space="0" w:color="414142"/>
              <w:right w:val="outset" w:sz="6" w:space="0" w:color="414142"/>
            </w:tcBorders>
            <w:hideMark/>
          </w:tcPr>
          <w:p w:rsidR="00660F15" w:rsidRDefault="0058711A" w:rsidP="00396C03">
            <w:pPr>
              <w:spacing w:after="0" w:line="240" w:lineRule="auto"/>
              <w:jc w:val="both"/>
              <w:rPr>
                <w:rFonts w:ascii="Times New Roman" w:eastAsia="Times New Roman" w:hAnsi="Times New Roman" w:cs="Times New Roman"/>
                <w:bCs/>
                <w:sz w:val="24"/>
                <w:szCs w:val="24"/>
                <w:lang w:eastAsia="lv-LV"/>
              </w:rPr>
            </w:pPr>
            <w:r w:rsidRPr="00396C03">
              <w:rPr>
                <w:rFonts w:ascii="Times New Roman" w:eastAsia="Times New Roman" w:hAnsi="Times New Roman" w:cs="Times New Roman"/>
                <w:sz w:val="24"/>
                <w:szCs w:val="24"/>
                <w:lang w:eastAsia="lv-LV"/>
              </w:rPr>
              <w:t xml:space="preserve">Likumprojekts </w:t>
            </w:r>
            <w:r w:rsidR="00B81C92">
              <w:rPr>
                <w:rFonts w:ascii="Times New Roman" w:eastAsia="Times New Roman" w:hAnsi="Times New Roman" w:cs="Times New Roman"/>
                <w:bCs/>
                <w:sz w:val="24"/>
                <w:szCs w:val="24"/>
                <w:lang w:eastAsia="lv-LV"/>
              </w:rPr>
              <w:t>“</w:t>
            </w:r>
            <w:r w:rsidRPr="00396C03">
              <w:rPr>
                <w:rFonts w:ascii="Times New Roman" w:eastAsia="Times New Roman" w:hAnsi="Times New Roman" w:cs="Times New Roman"/>
                <w:bCs/>
                <w:sz w:val="24"/>
                <w:szCs w:val="24"/>
                <w:lang w:eastAsia="lv-LV"/>
              </w:rPr>
              <w:t>Grozījumi likumā „Par akcīzes nodokli”” (turpmāk – likumprojekts)</w:t>
            </w:r>
            <w:r w:rsidR="00396C03" w:rsidRPr="00396C03">
              <w:rPr>
                <w:rFonts w:ascii="Times New Roman" w:eastAsia="Times New Roman" w:hAnsi="Times New Roman" w:cs="Times New Roman"/>
                <w:bCs/>
                <w:sz w:val="24"/>
                <w:szCs w:val="24"/>
                <w:lang w:eastAsia="lv-LV"/>
              </w:rPr>
              <w:t xml:space="preserve"> </w:t>
            </w:r>
            <w:r w:rsidR="0098223B" w:rsidRPr="00396C03">
              <w:rPr>
                <w:rFonts w:ascii="Times New Roman" w:hAnsi="Times New Roman" w:cs="Times New Roman"/>
                <w:sz w:val="24"/>
                <w:szCs w:val="24"/>
              </w:rPr>
              <w:t xml:space="preserve">atbilstoši </w:t>
            </w:r>
            <w:r w:rsidR="00BA75C2" w:rsidRPr="00396C03">
              <w:rPr>
                <w:rFonts w:ascii="Times New Roman" w:hAnsi="Times New Roman" w:cs="Times New Roman"/>
                <w:sz w:val="24"/>
                <w:szCs w:val="24"/>
              </w:rPr>
              <w:t>Ministru kabineta 2018.</w:t>
            </w:r>
            <w:r w:rsidR="00396C03">
              <w:rPr>
                <w:rFonts w:ascii="Times New Roman" w:hAnsi="Times New Roman" w:cs="Times New Roman"/>
                <w:sz w:val="24"/>
                <w:szCs w:val="24"/>
              </w:rPr>
              <w:t>gada 13.novembra sēdē izskatīt</w:t>
            </w:r>
            <w:r w:rsidR="00BA75C2" w:rsidRPr="00396C03">
              <w:rPr>
                <w:rFonts w:ascii="Times New Roman" w:hAnsi="Times New Roman" w:cs="Times New Roman"/>
                <w:sz w:val="24"/>
                <w:szCs w:val="24"/>
              </w:rPr>
              <w:t xml:space="preserve">ā informatīvajā ziņojumā “Par risinājumu no akcīzes nodokļa atbrīvotās dīzeļdegvielas pieejamības uzlabošanai </w:t>
            </w:r>
            <w:r w:rsidR="00525CC7">
              <w:rPr>
                <w:rFonts w:ascii="Times New Roman" w:hAnsi="Times New Roman" w:cs="Times New Roman"/>
                <w:sz w:val="24"/>
                <w:szCs w:val="24"/>
              </w:rPr>
              <w:t xml:space="preserve">ārpus ostu teritorijām tās izmantošanai </w:t>
            </w:r>
            <w:r w:rsidR="00BA75C2" w:rsidRPr="00396C03">
              <w:rPr>
                <w:rFonts w:ascii="Times New Roman" w:hAnsi="Times New Roman" w:cs="Times New Roman"/>
                <w:sz w:val="24"/>
                <w:szCs w:val="24"/>
              </w:rPr>
              <w:t xml:space="preserve">zvejas kuģos piekrastes ūdeņos un iekšējos ūdeņos” ietvertajam risinājumam </w:t>
            </w:r>
            <w:r w:rsidR="00396C03" w:rsidRPr="00396C03">
              <w:rPr>
                <w:rFonts w:ascii="Times New Roman" w:eastAsia="Times New Roman" w:hAnsi="Times New Roman" w:cs="Times New Roman"/>
                <w:bCs/>
                <w:sz w:val="24"/>
                <w:szCs w:val="24"/>
                <w:lang w:eastAsia="lv-LV"/>
              </w:rPr>
              <w:t>paredz</w:t>
            </w:r>
            <w:r w:rsidR="00396C03">
              <w:t xml:space="preserve"> </w:t>
            </w:r>
            <w:r w:rsidR="00396C03" w:rsidRPr="00396C03">
              <w:rPr>
                <w:rFonts w:ascii="Times New Roman" w:eastAsia="Times New Roman" w:hAnsi="Times New Roman" w:cs="Times New Roman"/>
                <w:bCs/>
                <w:sz w:val="24"/>
                <w:szCs w:val="24"/>
                <w:lang w:eastAsia="lv-LV"/>
              </w:rPr>
              <w:t>dīzeļdegvielai, kuru izmanto kā degvielu kuģos zvejai iekšējos ūdeņos un zvejai piekrastes ūdeņos, piemērot samazinātu akcīzes nodokļa likmi atbilstoši likuma 14.panta 2.</w:t>
            </w:r>
            <w:r w:rsidR="00396C03" w:rsidRPr="00396C03">
              <w:rPr>
                <w:rFonts w:ascii="Times New Roman" w:eastAsia="Times New Roman" w:hAnsi="Times New Roman" w:cs="Times New Roman"/>
                <w:bCs/>
                <w:sz w:val="24"/>
                <w:szCs w:val="24"/>
                <w:vertAlign w:val="superscript"/>
                <w:lang w:eastAsia="lv-LV"/>
              </w:rPr>
              <w:t>2</w:t>
            </w:r>
            <w:r w:rsidR="00396C03" w:rsidRPr="00396C03">
              <w:rPr>
                <w:rFonts w:ascii="Times New Roman" w:eastAsia="Times New Roman" w:hAnsi="Times New Roman" w:cs="Times New Roman"/>
                <w:bCs/>
                <w:sz w:val="24"/>
                <w:szCs w:val="24"/>
                <w:lang w:eastAsia="lv-LV"/>
              </w:rPr>
              <w:t xml:space="preserve"> daļā noteiktajam apmēram, vienlaikus paredzot akcīzes nodokļa atmaksu par dīzeļdegvielu, kuru izmanto zvejai piekrastes ūdeņos.</w:t>
            </w:r>
          </w:p>
          <w:p w:rsidR="007078A7" w:rsidRDefault="00A97BB2" w:rsidP="007078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paredz noteikt minimālo akcīzes nodokļa likmi dabasgāzei, kuru izmanto</w:t>
            </w:r>
            <w:r>
              <w:t xml:space="preserve"> </w:t>
            </w:r>
            <w:r w:rsidRPr="00A97BB2">
              <w:rPr>
                <w:rFonts w:ascii="Times New Roman" w:eastAsia="Times New Roman" w:hAnsi="Times New Roman" w:cs="Times New Roman"/>
                <w:bCs/>
                <w:sz w:val="24"/>
                <w:szCs w:val="24"/>
                <w:lang w:eastAsia="lv-LV"/>
              </w:rPr>
              <w:t>lauksaimniecībā izmantojamās zemes segto platību (siltumnīcu) siltumapgādei un rūpniecisko mājputnu novietņu (kūts) un inkubatoru siltumapgādei</w:t>
            </w:r>
            <w:r w:rsidR="007078A7">
              <w:rPr>
                <w:rFonts w:ascii="Times New Roman" w:eastAsia="Times New Roman" w:hAnsi="Times New Roman" w:cs="Times New Roman"/>
                <w:bCs/>
                <w:sz w:val="24"/>
                <w:szCs w:val="24"/>
                <w:lang w:eastAsia="lv-LV"/>
              </w:rPr>
              <w:t xml:space="preserve"> ar </w:t>
            </w:r>
            <w:r w:rsidR="006A4199">
              <w:rPr>
                <w:rFonts w:ascii="Times New Roman" w:eastAsia="Times New Roman" w:hAnsi="Times New Roman" w:cs="Times New Roman"/>
                <w:bCs/>
                <w:sz w:val="24"/>
                <w:szCs w:val="24"/>
                <w:lang w:eastAsia="lv-LV"/>
              </w:rPr>
              <w:t>2019.gada 1.jūlij</w:t>
            </w:r>
            <w:r w:rsidR="007078A7">
              <w:rPr>
                <w:rFonts w:ascii="Times New Roman" w:eastAsia="Times New Roman" w:hAnsi="Times New Roman" w:cs="Times New Roman"/>
                <w:bCs/>
                <w:sz w:val="24"/>
                <w:szCs w:val="24"/>
                <w:lang w:eastAsia="lv-LV"/>
              </w:rPr>
              <w:t>u</w:t>
            </w:r>
            <w:r w:rsidR="006A4199">
              <w:rPr>
                <w:rFonts w:ascii="Times New Roman" w:eastAsia="Times New Roman" w:hAnsi="Times New Roman" w:cs="Times New Roman"/>
                <w:bCs/>
                <w:sz w:val="24"/>
                <w:szCs w:val="24"/>
                <w:lang w:eastAsia="lv-LV"/>
              </w:rPr>
              <w:t>.</w:t>
            </w:r>
            <w:r w:rsidR="007078A7" w:rsidRPr="000B55A9">
              <w:rPr>
                <w:rFonts w:ascii="Times New Roman" w:eastAsia="Times New Roman" w:hAnsi="Times New Roman" w:cs="Times New Roman"/>
                <w:sz w:val="24"/>
                <w:szCs w:val="24"/>
                <w:lang w:eastAsia="lv-LV"/>
              </w:rPr>
              <w:t xml:space="preserve"> </w:t>
            </w:r>
          </w:p>
          <w:p w:rsidR="0068595F" w:rsidRPr="007078A7" w:rsidRDefault="007078A7" w:rsidP="007078A7">
            <w:pPr>
              <w:spacing w:after="0" w:line="240" w:lineRule="auto"/>
              <w:jc w:val="both"/>
              <w:rPr>
                <w:rFonts w:ascii="Times New Roman" w:eastAsia="Times New Roman" w:hAnsi="Times New Roman" w:cs="Times New Roman"/>
                <w:bCs/>
                <w:sz w:val="24"/>
                <w:szCs w:val="24"/>
                <w:lang w:eastAsia="lv-LV"/>
              </w:rPr>
            </w:pPr>
            <w:r w:rsidRPr="000B55A9">
              <w:rPr>
                <w:rFonts w:ascii="Times New Roman" w:eastAsia="Times New Roman" w:hAnsi="Times New Roman" w:cs="Times New Roman"/>
                <w:sz w:val="24"/>
                <w:szCs w:val="24"/>
                <w:lang w:eastAsia="lv-LV"/>
              </w:rPr>
              <w:t>Likums stājas spēkā</w:t>
            </w:r>
            <w:r>
              <w:rPr>
                <w:rFonts w:ascii="Times New Roman" w:eastAsia="Times New Roman" w:hAnsi="Times New Roman" w:cs="Times New Roman"/>
                <w:sz w:val="24"/>
                <w:szCs w:val="24"/>
                <w:lang w:eastAsia="lv-LV"/>
              </w:rPr>
              <w:t xml:space="preserve"> pēc tā izsludināšanas.</w:t>
            </w:r>
          </w:p>
        </w:tc>
      </w:tr>
    </w:tbl>
    <w:p w:rsidR="0058711A" w:rsidRPr="000B55A9" w:rsidRDefault="0058711A"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5"/>
        <w:gridCol w:w="2912"/>
        <w:gridCol w:w="5637"/>
      </w:tblGrid>
      <w:tr w:rsidR="00543AA6" w:rsidRPr="000B55A9"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I. Tiesību akta projekta izstrādes nepieciešamība</w:t>
            </w:r>
          </w:p>
        </w:tc>
      </w:tr>
      <w:tr w:rsidR="00543AA6" w:rsidRPr="000B55A9" w:rsidTr="002A4683">
        <w:tc>
          <w:tcPr>
            <w:tcW w:w="341"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1.</w:t>
            </w:r>
          </w:p>
        </w:tc>
        <w:tc>
          <w:tcPr>
            <w:tcW w:w="1587" w:type="pct"/>
            <w:tcBorders>
              <w:top w:val="outset" w:sz="6" w:space="0" w:color="414142"/>
              <w:left w:val="outset" w:sz="6" w:space="0" w:color="414142"/>
              <w:bottom w:val="outset" w:sz="6" w:space="0" w:color="414142"/>
              <w:right w:val="outset" w:sz="6" w:space="0" w:color="414142"/>
            </w:tcBorders>
            <w:hideMark/>
          </w:tcPr>
          <w:p w:rsidR="00174314"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Pamatojums</w:t>
            </w: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174314" w:rsidRPr="00174314" w:rsidRDefault="00174314" w:rsidP="00174314">
            <w:pPr>
              <w:rPr>
                <w:rFonts w:ascii="Times New Roman" w:eastAsia="Times New Roman" w:hAnsi="Times New Roman" w:cs="Times New Roman"/>
                <w:sz w:val="24"/>
                <w:szCs w:val="24"/>
                <w:lang w:eastAsia="lv-LV"/>
              </w:rPr>
            </w:pPr>
          </w:p>
          <w:p w:rsidR="00543AA6" w:rsidRPr="00174314" w:rsidRDefault="00543AA6" w:rsidP="00174314">
            <w:pPr>
              <w:ind w:firstLine="720"/>
              <w:rPr>
                <w:rFonts w:ascii="Times New Roman" w:eastAsia="Times New Roman" w:hAnsi="Times New Roman" w:cs="Times New Roman"/>
                <w:sz w:val="24"/>
                <w:szCs w:val="24"/>
                <w:lang w:eastAsia="lv-LV"/>
              </w:rPr>
            </w:pPr>
          </w:p>
        </w:tc>
        <w:tc>
          <w:tcPr>
            <w:tcW w:w="3073" w:type="pct"/>
            <w:tcBorders>
              <w:top w:val="outset" w:sz="6" w:space="0" w:color="414142"/>
              <w:left w:val="outset" w:sz="6" w:space="0" w:color="414142"/>
              <w:bottom w:val="outset" w:sz="6" w:space="0" w:color="414142"/>
              <w:right w:val="outset" w:sz="6" w:space="0" w:color="414142"/>
            </w:tcBorders>
            <w:hideMark/>
          </w:tcPr>
          <w:p w:rsidR="0014533F" w:rsidRDefault="00563C06" w:rsidP="007604A0">
            <w:pPr>
              <w:spacing w:after="0" w:line="240" w:lineRule="auto"/>
              <w:ind w:firstLine="390"/>
              <w:jc w:val="both"/>
              <w:rPr>
                <w:rFonts w:ascii="Times New Roman" w:hAnsi="Times New Roman" w:cs="Times New Roman"/>
                <w:sz w:val="24"/>
                <w:szCs w:val="24"/>
              </w:rPr>
            </w:pPr>
            <w:r w:rsidRPr="000B55A9">
              <w:rPr>
                <w:rFonts w:ascii="Times New Roman" w:eastAsia="Times New Roman" w:hAnsi="Times New Roman" w:cs="Times New Roman"/>
                <w:sz w:val="24"/>
                <w:szCs w:val="24"/>
                <w:lang w:eastAsia="lv-LV"/>
              </w:rPr>
              <w:t>Ministru kabineta 201</w:t>
            </w:r>
            <w:r w:rsidR="0094289C">
              <w:rPr>
                <w:rFonts w:ascii="Times New Roman" w:eastAsia="Times New Roman" w:hAnsi="Times New Roman" w:cs="Times New Roman"/>
                <w:sz w:val="24"/>
                <w:szCs w:val="24"/>
                <w:lang w:eastAsia="lv-LV"/>
              </w:rPr>
              <w:t>8</w:t>
            </w:r>
            <w:r w:rsidRPr="000B55A9">
              <w:rPr>
                <w:rFonts w:ascii="Times New Roman" w:eastAsia="Times New Roman" w:hAnsi="Times New Roman" w:cs="Times New Roman"/>
                <w:sz w:val="24"/>
                <w:szCs w:val="24"/>
                <w:lang w:eastAsia="lv-LV"/>
              </w:rPr>
              <w:t xml:space="preserve">.gada </w:t>
            </w:r>
            <w:r w:rsidR="0094289C">
              <w:rPr>
                <w:rFonts w:ascii="Times New Roman" w:eastAsia="Times New Roman" w:hAnsi="Times New Roman" w:cs="Times New Roman"/>
                <w:sz w:val="24"/>
                <w:szCs w:val="24"/>
                <w:lang w:eastAsia="lv-LV"/>
              </w:rPr>
              <w:t>13.novembr</w:t>
            </w:r>
            <w:r w:rsidR="00020D8F" w:rsidRPr="000B55A9">
              <w:rPr>
                <w:rFonts w:ascii="Times New Roman" w:eastAsia="Times New Roman" w:hAnsi="Times New Roman" w:cs="Times New Roman"/>
                <w:sz w:val="24"/>
                <w:szCs w:val="24"/>
                <w:lang w:eastAsia="lv-LV"/>
              </w:rPr>
              <w:t>a</w:t>
            </w:r>
            <w:r w:rsidR="0094289C">
              <w:rPr>
                <w:rFonts w:ascii="Times New Roman" w:eastAsia="Times New Roman" w:hAnsi="Times New Roman" w:cs="Times New Roman"/>
                <w:sz w:val="24"/>
                <w:szCs w:val="24"/>
                <w:lang w:eastAsia="lv-LV"/>
              </w:rPr>
              <w:t xml:space="preserve"> sēdē</w:t>
            </w:r>
            <w:r w:rsidR="00020D8F" w:rsidRPr="000B55A9">
              <w:rPr>
                <w:rFonts w:ascii="Times New Roman" w:eastAsia="Times New Roman" w:hAnsi="Times New Roman" w:cs="Times New Roman"/>
                <w:sz w:val="24"/>
                <w:szCs w:val="24"/>
                <w:lang w:eastAsia="lv-LV"/>
              </w:rPr>
              <w:t xml:space="preserve"> </w:t>
            </w:r>
            <w:r w:rsidR="0014533F">
              <w:rPr>
                <w:rFonts w:ascii="Times New Roman" w:eastAsia="Times New Roman" w:hAnsi="Times New Roman" w:cs="Times New Roman"/>
                <w:sz w:val="24"/>
                <w:szCs w:val="24"/>
                <w:lang w:eastAsia="lv-LV"/>
              </w:rPr>
              <w:t>izskatītajā</w:t>
            </w:r>
            <w:r w:rsidR="0094289C">
              <w:rPr>
                <w:rFonts w:ascii="Times New Roman" w:eastAsia="Times New Roman" w:hAnsi="Times New Roman" w:cs="Times New Roman"/>
                <w:sz w:val="24"/>
                <w:szCs w:val="24"/>
                <w:lang w:eastAsia="lv-LV"/>
              </w:rPr>
              <w:t xml:space="preserve"> informatīvajā</w:t>
            </w:r>
            <w:r w:rsidR="007604A0" w:rsidRPr="000B55A9">
              <w:rPr>
                <w:rFonts w:ascii="Times New Roman" w:eastAsia="Times New Roman" w:hAnsi="Times New Roman" w:cs="Times New Roman"/>
                <w:sz w:val="24"/>
                <w:szCs w:val="24"/>
                <w:lang w:eastAsia="lv-LV"/>
              </w:rPr>
              <w:t xml:space="preserve"> ziņojum</w:t>
            </w:r>
            <w:r w:rsidR="0094289C">
              <w:rPr>
                <w:rFonts w:ascii="Times New Roman" w:eastAsia="Times New Roman" w:hAnsi="Times New Roman" w:cs="Times New Roman"/>
                <w:sz w:val="24"/>
                <w:szCs w:val="24"/>
                <w:lang w:eastAsia="lv-LV"/>
              </w:rPr>
              <w:t>ā</w:t>
            </w:r>
            <w:r w:rsidR="007604A0" w:rsidRPr="000B55A9">
              <w:rPr>
                <w:rFonts w:ascii="Times New Roman" w:eastAsia="Times New Roman" w:hAnsi="Times New Roman" w:cs="Times New Roman"/>
                <w:sz w:val="24"/>
                <w:szCs w:val="24"/>
                <w:lang w:eastAsia="lv-LV"/>
              </w:rPr>
              <w:t xml:space="preserve"> “Par </w:t>
            </w:r>
            <w:r w:rsidR="0094289C">
              <w:rPr>
                <w:rFonts w:ascii="Times New Roman" w:eastAsia="Times New Roman" w:hAnsi="Times New Roman" w:cs="Times New Roman"/>
                <w:sz w:val="24"/>
                <w:szCs w:val="24"/>
                <w:lang w:eastAsia="lv-LV"/>
              </w:rPr>
              <w:t>risinājumu no akcīzes nodokļa atbrīvotās dīzeļdegvielas pieejamības uzlabošanai</w:t>
            </w:r>
            <w:r w:rsidR="000B05F9">
              <w:rPr>
                <w:rFonts w:ascii="Times New Roman" w:hAnsi="Times New Roman" w:cs="Times New Roman"/>
                <w:sz w:val="24"/>
                <w:szCs w:val="24"/>
              </w:rPr>
              <w:t xml:space="preserve"> ārpus ostu teritorijām tās izmantošanai</w:t>
            </w:r>
            <w:r w:rsidR="0094289C">
              <w:rPr>
                <w:rFonts w:ascii="Times New Roman" w:eastAsia="Times New Roman" w:hAnsi="Times New Roman" w:cs="Times New Roman"/>
                <w:sz w:val="24"/>
                <w:szCs w:val="24"/>
                <w:lang w:eastAsia="lv-LV"/>
              </w:rPr>
              <w:t xml:space="preserve"> zvejas kuģos piekrastes ūdeņos un </w:t>
            </w:r>
            <w:r w:rsidR="0014533F">
              <w:rPr>
                <w:rFonts w:ascii="Times New Roman" w:eastAsia="Times New Roman" w:hAnsi="Times New Roman" w:cs="Times New Roman"/>
                <w:sz w:val="24"/>
                <w:szCs w:val="24"/>
                <w:lang w:eastAsia="lv-LV"/>
              </w:rPr>
              <w:t>iekšējos</w:t>
            </w:r>
            <w:r w:rsidR="0094289C">
              <w:rPr>
                <w:rFonts w:ascii="Times New Roman" w:eastAsia="Times New Roman" w:hAnsi="Times New Roman" w:cs="Times New Roman"/>
                <w:sz w:val="24"/>
                <w:szCs w:val="24"/>
                <w:lang w:eastAsia="lv-LV"/>
              </w:rPr>
              <w:t xml:space="preserve"> ūdeņos”</w:t>
            </w:r>
            <w:r w:rsidR="007604A0" w:rsidRPr="000B55A9">
              <w:rPr>
                <w:rFonts w:ascii="Times New Roman" w:eastAsia="Times New Roman" w:hAnsi="Times New Roman" w:cs="Times New Roman"/>
                <w:sz w:val="24"/>
                <w:szCs w:val="24"/>
                <w:lang w:eastAsia="lv-LV"/>
              </w:rPr>
              <w:t xml:space="preserve"> (prot.</w:t>
            </w:r>
            <w:r w:rsidR="00FB334F" w:rsidRPr="000B55A9">
              <w:rPr>
                <w:rFonts w:ascii="Times New Roman" w:eastAsia="Times New Roman" w:hAnsi="Times New Roman" w:cs="Times New Roman"/>
                <w:sz w:val="24"/>
                <w:szCs w:val="24"/>
                <w:lang w:eastAsia="lv-LV"/>
              </w:rPr>
              <w:t xml:space="preserve"> </w:t>
            </w:r>
            <w:r w:rsidR="007604A0" w:rsidRPr="000B55A9">
              <w:rPr>
                <w:rFonts w:ascii="Times New Roman" w:eastAsia="Times New Roman" w:hAnsi="Times New Roman" w:cs="Times New Roman"/>
                <w:sz w:val="24"/>
                <w:szCs w:val="24"/>
                <w:lang w:eastAsia="lv-LV"/>
              </w:rPr>
              <w:t>Nr.</w:t>
            </w:r>
            <w:r w:rsidR="0014533F">
              <w:rPr>
                <w:rFonts w:ascii="Times New Roman" w:eastAsia="Times New Roman" w:hAnsi="Times New Roman" w:cs="Times New Roman"/>
                <w:sz w:val="24"/>
                <w:szCs w:val="24"/>
                <w:lang w:eastAsia="lv-LV"/>
              </w:rPr>
              <w:t>52</w:t>
            </w:r>
            <w:r w:rsidR="00D22D4A" w:rsidRPr="000B55A9">
              <w:rPr>
                <w:rFonts w:ascii="Times New Roman" w:eastAsia="Times New Roman" w:hAnsi="Times New Roman" w:cs="Times New Roman"/>
                <w:sz w:val="24"/>
                <w:szCs w:val="24"/>
                <w:lang w:eastAsia="lv-LV"/>
              </w:rPr>
              <w:t xml:space="preserve"> </w:t>
            </w:r>
            <w:r w:rsidR="007604A0" w:rsidRPr="000B55A9">
              <w:rPr>
                <w:rFonts w:ascii="Times New Roman" w:eastAsia="Times New Roman" w:hAnsi="Times New Roman" w:cs="Times New Roman"/>
                <w:sz w:val="24"/>
                <w:szCs w:val="24"/>
                <w:lang w:eastAsia="lv-LV"/>
              </w:rPr>
              <w:t>4</w:t>
            </w:r>
            <w:r w:rsidR="0014533F">
              <w:rPr>
                <w:rFonts w:ascii="Times New Roman" w:eastAsia="Times New Roman" w:hAnsi="Times New Roman" w:cs="Times New Roman"/>
                <w:sz w:val="24"/>
                <w:szCs w:val="24"/>
                <w:lang w:eastAsia="lv-LV"/>
              </w:rPr>
              <w:t>9</w:t>
            </w:r>
            <w:r w:rsidR="007604A0" w:rsidRPr="000B55A9">
              <w:rPr>
                <w:rFonts w:ascii="Times New Roman" w:eastAsia="Times New Roman" w:hAnsi="Times New Roman" w:cs="Times New Roman"/>
                <w:sz w:val="24"/>
                <w:szCs w:val="24"/>
                <w:lang w:eastAsia="lv-LV"/>
              </w:rPr>
              <w:t xml:space="preserve">.§) </w:t>
            </w:r>
            <w:r w:rsidR="0014533F">
              <w:rPr>
                <w:rFonts w:ascii="Times New Roman" w:eastAsia="Times New Roman" w:hAnsi="Times New Roman" w:cs="Times New Roman"/>
                <w:sz w:val="24"/>
                <w:szCs w:val="24"/>
                <w:lang w:eastAsia="lv-LV"/>
              </w:rPr>
              <w:t>ietvertais risinājums</w:t>
            </w:r>
            <w:r w:rsidR="007604A0" w:rsidRPr="000B55A9">
              <w:rPr>
                <w:rFonts w:ascii="Times New Roman" w:eastAsia="Times New Roman" w:hAnsi="Times New Roman" w:cs="Times New Roman"/>
                <w:sz w:val="24"/>
                <w:szCs w:val="24"/>
                <w:lang w:eastAsia="lv-LV"/>
              </w:rPr>
              <w:t xml:space="preserve"> nosaka</w:t>
            </w:r>
            <w:r w:rsidR="0014533F">
              <w:rPr>
                <w:rFonts w:ascii="Times New Roman" w:eastAsia="Times New Roman" w:hAnsi="Times New Roman" w:cs="Times New Roman"/>
                <w:sz w:val="24"/>
                <w:szCs w:val="24"/>
                <w:lang w:eastAsia="lv-LV"/>
              </w:rPr>
              <w:t>:</w:t>
            </w:r>
            <w:r w:rsidR="00225C49" w:rsidRPr="000B55A9">
              <w:rPr>
                <w:rFonts w:ascii="Times New Roman" w:hAnsi="Times New Roman" w:cs="Times New Roman"/>
                <w:sz w:val="24"/>
                <w:szCs w:val="24"/>
              </w:rPr>
              <w:t xml:space="preserve"> </w:t>
            </w:r>
          </w:p>
          <w:p w:rsidR="0014533F" w:rsidRPr="0014533F" w:rsidRDefault="001B779F" w:rsidP="0014533F">
            <w:pPr>
              <w:spacing w:after="0" w:line="240" w:lineRule="auto"/>
              <w:ind w:firstLine="390"/>
              <w:jc w:val="both"/>
              <w:rPr>
                <w:rFonts w:ascii="Times New Roman" w:hAnsi="Times New Roman" w:cs="Times New Roman"/>
                <w:sz w:val="24"/>
                <w:szCs w:val="24"/>
              </w:rPr>
            </w:pPr>
            <w:r>
              <w:rPr>
                <w:rFonts w:ascii="Times New Roman" w:hAnsi="Times New Roman" w:cs="Times New Roman"/>
                <w:sz w:val="24"/>
                <w:szCs w:val="24"/>
              </w:rPr>
              <w:t>1)</w:t>
            </w:r>
            <w:r w:rsidR="0014533F" w:rsidRPr="0014533F">
              <w:rPr>
                <w:rFonts w:ascii="Times New Roman" w:hAnsi="Times New Roman" w:cs="Times New Roman"/>
                <w:sz w:val="24"/>
                <w:szCs w:val="24"/>
              </w:rPr>
              <w:t xml:space="preserve"> tiem piekrastes zvejniekiem, kuri jau šobrīd ostu teritorijās iegādājas no akcīzes nodokļa atbrīvotu dīzeļdegvielu izmantošanai zvejas kuģos piekrastes ūdeņos, tiek saglabāta esošā normatīvajos aktos noteiktā kārtība;</w:t>
            </w:r>
          </w:p>
          <w:p w:rsidR="0014533F" w:rsidRDefault="0014533F" w:rsidP="0014533F">
            <w:pPr>
              <w:spacing w:after="0" w:line="240" w:lineRule="auto"/>
              <w:ind w:firstLine="390"/>
              <w:jc w:val="both"/>
              <w:rPr>
                <w:rFonts w:ascii="Times New Roman" w:hAnsi="Times New Roman" w:cs="Times New Roman"/>
                <w:sz w:val="24"/>
                <w:szCs w:val="24"/>
              </w:rPr>
            </w:pPr>
            <w:r>
              <w:rPr>
                <w:rFonts w:ascii="Times New Roman" w:hAnsi="Times New Roman" w:cs="Times New Roman"/>
                <w:sz w:val="24"/>
                <w:szCs w:val="24"/>
              </w:rPr>
              <w:t xml:space="preserve"> </w:t>
            </w:r>
            <w:r w:rsidR="001B779F">
              <w:rPr>
                <w:rFonts w:ascii="Times New Roman" w:hAnsi="Times New Roman" w:cs="Times New Roman"/>
                <w:sz w:val="24"/>
                <w:szCs w:val="24"/>
              </w:rPr>
              <w:t>2)</w:t>
            </w:r>
            <w:r w:rsidRPr="0014533F">
              <w:rPr>
                <w:rFonts w:ascii="Times New Roman" w:hAnsi="Times New Roman" w:cs="Times New Roman"/>
                <w:sz w:val="24"/>
                <w:szCs w:val="24"/>
              </w:rPr>
              <w:t xml:space="preserve"> tiem piekrastes un iekšējo ūdeņu zvejniekiem, kuri nevar rast iespēju ostu teritorijās iegādāties no akcīzes nodokļa atbrīvotu dīzeļdegvielu izmantošanai zvejas kuģos, jāparedz samazinātas akcīzes nodokļa likmes piemērošana marķētai dīzeļdegvielai izmantošanai zvejas kuģos piekrastes un iekšējos ūdeņos, vienlaikus ieviešot akcīzes nodokļa atmaksu piekrastes ūdeņu zvejniekiem par to zvejas kuģos izmantoto marķēto dīzeļdegvielu ar samazinātu akcīzes nodokļa likmi.</w:t>
            </w:r>
          </w:p>
          <w:p w:rsidR="002D20CA" w:rsidRDefault="00562090" w:rsidP="009E047A">
            <w:pPr>
              <w:spacing w:after="0" w:line="240" w:lineRule="auto"/>
              <w:ind w:firstLine="390"/>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14533F" w:rsidRPr="0014533F">
              <w:rPr>
                <w:rFonts w:ascii="Times New Roman" w:hAnsi="Times New Roman" w:cs="Times New Roman"/>
                <w:sz w:val="24"/>
                <w:szCs w:val="24"/>
              </w:rPr>
              <w:t xml:space="preserve">Finanšu ministrijai </w:t>
            </w:r>
            <w:r>
              <w:rPr>
                <w:rFonts w:ascii="Times New Roman" w:hAnsi="Times New Roman" w:cs="Times New Roman"/>
                <w:sz w:val="24"/>
                <w:szCs w:val="24"/>
              </w:rPr>
              <w:t xml:space="preserve">ir uzdots </w:t>
            </w:r>
            <w:r w:rsidR="0014533F" w:rsidRPr="0014533F">
              <w:rPr>
                <w:rFonts w:ascii="Times New Roman" w:hAnsi="Times New Roman" w:cs="Times New Roman"/>
                <w:sz w:val="24"/>
                <w:szCs w:val="24"/>
              </w:rPr>
              <w:t>līdz 2018.gada 1.decembrim sagatavot un finanšu ministram iesniegt izskatīšanai Minis</w:t>
            </w:r>
            <w:r w:rsidR="000F3B4C">
              <w:rPr>
                <w:rFonts w:ascii="Times New Roman" w:hAnsi="Times New Roman" w:cs="Times New Roman"/>
                <w:sz w:val="24"/>
                <w:szCs w:val="24"/>
              </w:rPr>
              <w:t>tru kabinetā grozījumus likumā “Par akcīzes nodokli”</w:t>
            </w:r>
            <w:r w:rsidR="0014533F" w:rsidRPr="0014533F">
              <w:rPr>
                <w:rFonts w:ascii="Times New Roman" w:hAnsi="Times New Roman" w:cs="Times New Roman"/>
                <w:sz w:val="24"/>
                <w:szCs w:val="24"/>
              </w:rPr>
              <w:t xml:space="preserve">, kas paredz dīzeļdegvielai, kuru izmanto kuģos zvejai iekšējos ūdeņos un piekrastes ūdeņos, piemērot samazinātu akcīzes nodokļa likmi atbilstoši likuma 14.panta </w:t>
            </w:r>
            <w:r w:rsidR="009E047A">
              <w:rPr>
                <w:rFonts w:ascii="Times New Roman" w:hAnsi="Times New Roman" w:cs="Times New Roman"/>
                <w:sz w:val="24"/>
                <w:szCs w:val="24"/>
              </w:rPr>
              <w:t>2.</w:t>
            </w:r>
            <w:r w:rsidR="009E047A" w:rsidRPr="009E047A">
              <w:rPr>
                <w:rFonts w:ascii="Times New Roman" w:hAnsi="Times New Roman" w:cs="Times New Roman"/>
                <w:sz w:val="24"/>
                <w:szCs w:val="24"/>
                <w:vertAlign w:val="superscript"/>
              </w:rPr>
              <w:t>2</w:t>
            </w:r>
            <w:r w:rsidR="0014533F" w:rsidRPr="0014533F">
              <w:rPr>
                <w:rFonts w:ascii="Times New Roman" w:hAnsi="Times New Roman" w:cs="Times New Roman"/>
                <w:sz w:val="24"/>
                <w:szCs w:val="24"/>
              </w:rPr>
              <w:t xml:space="preserve"> daļā noteiktajam apmēram, vienlaikus paredzot akcīzes nodokļa atmaksu par dīzeļdegvielu, kuru izmanto zvejai piekrastes ūdeņos</w:t>
            </w:r>
            <w:r w:rsidR="009E047A">
              <w:rPr>
                <w:rFonts w:ascii="Times New Roman" w:hAnsi="Times New Roman" w:cs="Times New Roman"/>
                <w:sz w:val="24"/>
                <w:szCs w:val="24"/>
              </w:rPr>
              <w:t>.</w:t>
            </w:r>
          </w:p>
          <w:p w:rsidR="00E9207F" w:rsidRDefault="00E9207F" w:rsidP="00955055">
            <w:pPr>
              <w:tabs>
                <w:tab w:val="left" w:pos="250"/>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 xml:space="preserve">Saskaņā ar Nodokļu politikas pamatnostādņu 2018.-2021.gadam  1.6.18.uzdevumu izvērtēt spēkā esošo akcīzes nodokļa atbrīvojumu un atvieglojumu nepieciešamību un pamatotību naftas produktiem un dabasgāzei un </w:t>
            </w:r>
            <w:r w:rsidR="00E93E06">
              <w:rPr>
                <w:rFonts w:ascii="Times New Roman" w:hAnsi="Times New Roman" w:cs="Times New Roman"/>
                <w:sz w:val="24"/>
                <w:szCs w:val="24"/>
              </w:rPr>
              <w:t xml:space="preserve">to, ka </w:t>
            </w:r>
            <w:r w:rsidR="00E702D3">
              <w:rPr>
                <w:rFonts w:ascii="Times New Roman" w:hAnsi="Times New Roman" w:cs="Times New Roman"/>
                <w:sz w:val="24"/>
                <w:szCs w:val="24"/>
              </w:rPr>
              <w:t xml:space="preserve">atbilstoši </w:t>
            </w:r>
            <w:r w:rsidR="00E702D3" w:rsidRPr="00E702D3">
              <w:rPr>
                <w:rFonts w:ascii="Times New Roman" w:hAnsi="Times New Roman" w:cs="Times New Roman"/>
                <w:sz w:val="24"/>
                <w:szCs w:val="24"/>
              </w:rPr>
              <w:t>K</w:t>
            </w:r>
            <w:r w:rsidR="00E702D3">
              <w:rPr>
                <w:rFonts w:ascii="Times New Roman" w:hAnsi="Times New Roman" w:cs="Times New Roman"/>
                <w:sz w:val="24"/>
                <w:szCs w:val="24"/>
              </w:rPr>
              <w:t>omisijas 2014.</w:t>
            </w:r>
            <w:r w:rsidR="00E702D3" w:rsidRPr="00E702D3">
              <w:rPr>
                <w:rFonts w:ascii="Times New Roman" w:hAnsi="Times New Roman" w:cs="Times New Roman"/>
                <w:sz w:val="24"/>
                <w:szCs w:val="24"/>
              </w:rPr>
              <w:t>gada 17.</w:t>
            </w:r>
            <w:r w:rsidR="00E702D3">
              <w:rPr>
                <w:rFonts w:ascii="Times New Roman" w:hAnsi="Times New Roman" w:cs="Times New Roman"/>
                <w:sz w:val="24"/>
                <w:szCs w:val="24"/>
              </w:rPr>
              <w:t>jūnija</w:t>
            </w:r>
            <w:r w:rsidR="00E702D3" w:rsidRPr="00E702D3">
              <w:rPr>
                <w:rFonts w:ascii="Times New Roman" w:hAnsi="Times New Roman" w:cs="Times New Roman"/>
                <w:sz w:val="24"/>
                <w:szCs w:val="24"/>
              </w:rPr>
              <w:t xml:space="preserve"> </w:t>
            </w:r>
            <w:r w:rsidR="00E702D3">
              <w:rPr>
                <w:rFonts w:ascii="Times New Roman" w:hAnsi="Times New Roman" w:cs="Times New Roman"/>
                <w:sz w:val="24"/>
                <w:szCs w:val="24"/>
              </w:rPr>
              <w:t>Regul</w:t>
            </w:r>
            <w:r w:rsidR="00784D9C">
              <w:rPr>
                <w:rFonts w:ascii="Times New Roman" w:hAnsi="Times New Roman" w:cs="Times New Roman"/>
                <w:sz w:val="24"/>
                <w:szCs w:val="24"/>
              </w:rPr>
              <w:t>as</w:t>
            </w:r>
            <w:r w:rsidR="00E702D3">
              <w:rPr>
                <w:rFonts w:ascii="Times New Roman" w:hAnsi="Times New Roman" w:cs="Times New Roman"/>
                <w:sz w:val="24"/>
                <w:szCs w:val="24"/>
              </w:rPr>
              <w:t xml:space="preserve"> Nr.651/2014/ES, </w:t>
            </w:r>
            <w:r w:rsidR="00E702D3" w:rsidRPr="00E702D3">
              <w:rPr>
                <w:rFonts w:ascii="Times New Roman" w:hAnsi="Times New Roman" w:cs="Times New Roman"/>
                <w:sz w:val="24"/>
                <w:szCs w:val="24"/>
              </w:rPr>
              <w:t>ar ko noteiktas atbalsta kategorijas atzīst par saderīgām ar iekšējo tirgu, piemērojot Līguma 107. un</w:t>
            </w:r>
            <w:r w:rsidR="00E702D3">
              <w:rPr>
                <w:rFonts w:ascii="Times New Roman" w:hAnsi="Times New Roman" w:cs="Times New Roman"/>
                <w:sz w:val="24"/>
                <w:szCs w:val="24"/>
              </w:rPr>
              <w:t xml:space="preserve"> 108.</w:t>
            </w:r>
            <w:r w:rsidR="00E702D3" w:rsidRPr="00E702D3">
              <w:rPr>
                <w:rFonts w:ascii="Times New Roman" w:hAnsi="Times New Roman" w:cs="Times New Roman"/>
                <w:sz w:val="24"/>
                <w:szCs w:val="24"/>
              </w:rPr>
              <w:t>pantu</w:t>
            </w:r>
            <w:r w:rsidR="00EF37CC">
              <w:rPr>
                <w:rFonts w:ascii="Times New Roman" w:hAnsi="Times New Roman" w:cs="Times New Roman"/>
                <w:sz w:val="24"/>
                <w:szCs w:val="24"/>
              </w:rPr>
              <w:t xml:space="preserve"> (turpmāk – Regula 651/2014)</w:t>
            </w:r>
            <w:r w:rsidR="00C14EEE">
              <w:rPr>
                <w:rFonts w:ascii="Times New Roman" w:hAnsi="Times New Roman" w:cs="Times New Roman"/>
                <w:sz w:val="24"/>
                <w:szCs w:val="24"/>
              </w:rPr>
              <w:t>,</w:t>
            </w:r>
            <w:r w:rsidR="00784D9C">
              <w:rPr>
                <w:rFonts w:ascii="Times New Roman" w:hAnsi="Times New Roman" w:cs="Times New Roman"/>
                <w:sz w:val="24"/>
                <w:szCs w:val="24"/>
              </w:rPr>
              <w:t xml:space="preserve"> 44.pantam</w:t>
            </w:r>
            <w:r w:rsidR="00E702D3">
              <w:rPr>
                <w:rFonts w:ascii="Times New Roman" w:hAnsi="Times New Roman" w:cs="Times New Roman"/>
                <w:sz w:val="24"/>
                <w:szCs w:val="24"/>
              </w:rPr>
              <w:t xml:space="preserve"> </w:t>
            </w:r>
            <w:r w:rsidR="00537BC4">
              <w:rPr>
                <w:rFonts w:ascii="Times New Roman" w:hAnsi="Times New Roman" w:cs="Times New Roman"/>
                <w:sz w:val="24"/>
                <w:szCs w:val="24"/>
              </w:rPr>
              <w:t>nav iespējams piemērot pilnīgu atbrīvojumu</w:t>
            </w:r>
            <w:r w:rsidR="00E702D3">
              <w:rPr>
                <w:rFonts w:ascii="Times New Roman" w:hAnsi="Times New Roman" w:cs="Times New Roman"/>
                <w:sz w:val="24"/>
                <w:szCs w:val="24"/>
              </w:rPr>
              <w:t xml:space="preserve"> dabasgāzei, kuru izmanto: </w:t>
            </w:r>
          </w:p>
          <w:p w:rsidR="00E702D3" w:rsidRPr="00E702D3" w:rsidRDefault="00E702D3" w:rsidP="00E702D3">
            <w:pPr>
              <w:spacing w:after="0" w:line="240" w:lineRule="auto"/>
              <w:ind w:firstLine="390"/>
              <w:jc w:val="both"/>
              <w:rPr>
                <w:rFonts w:ascii="Times New Roman" w:hAnsi="Times New Roman" w:cs="Times New Roman"/>
                <w:sz w:val="24"/>
                <w:szCs w:val="24"/>
              </w:rPr>
            </w:pPr>
            <w:r w:rsidRPr="00E702D3">
              <w:rPr>
                <w:rFonts w:ascii="Times New Roman" w:hAnsi="Times New Roman" w:cs="Times New Roman"/>
                <w:sz w:val="24"/>
                <w:szCs w:val="24"/>
              </w:rPr>
              <w:t>1) lauksaimniecībā izmantojamās zemes segto platību (siltumnīcu) siltumapgādei;</w:t>
            </w:r>
          </w:p>
          <w:p w:rsidR="00E702D3" w:rsidRPr="000B55A9" w:rsidRDefault="00E702D3" w:rsidP="00E702D3">
            <w:pPr>
              <w:spacing w:after="0" w:line="240" w:lineRule="auto"/>
              <w:ind w:firstLine="390"/>
              <w:jc w:val="both"/>
              <w:rPr>
                <w:rFonts w:ascii="Times New Roman" w:hAnsi="Times New Roman" w:cs="Times New Roman"/>
                <w:sz w:val="24"/>
                <w:szCs w:val="24"/>
              </w:rPr>
            </w:pPr>
            <w:r w:rsidRPr="00E702D3">
              <w:rPr>
                <w:rFonts w:ascii="Times New Roman" w:hAnsi="Times New Roman" w:cs="Times New Roman"/>
                <w:sz w:val="24"/>
                <w:szCs w:val="24"/>
              </w:rPr>
              <w:lastRenderedPageBreak/>
              <w:t>2) rūpniecisko mājputnu novietņu (kūts) un inkubatoru siltumapgādei.</w:t>
            </w:r>
          </w:p>
        </w:tc>
      </w:tr>
      <w:tr w:rsidR="0038587F" w:rsidRPr="000B55A9" w:rsidTr="002A4683">
        <w:tc>
          <w:tcPr>
            <w:tcW w:w="341" w:type="pct"/>
            <w:tcBorders>
              <w:top w:val="outset" w:sz="6" w:space="0" w:color="414142"/>
              <w:left w:val="outset" w:sz="6" w:space="0" w:color="414142"/>
              <w:bottom w:val="outset" w:sz="6" w:space="0" w:color="414142"/>
              <w:right w:val="outset" w:sz="6" w:space="0" w:color="414142"/>
            </w:tcBorders>
            <w:hideMark/>
          </w:tcPr>
          <w:p w:rsidR="009F2884" w:rsidRPr="000B55A9"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lastRenderedPageBreak/>
              <w:t>2.</w:t>
            </w:r>
          </w:p>
          <w:p w:rsidR="009F2884" w:rsidRPr="000B55A9" w:rsidRDefault="009F2884" w:rsidP="009F2884">
            <w:pPr>
              <w:rPr>
                <w:rFonts w:ascii="Times New Roman" w:eastAsia="Times New Roman" w:hAnsi="Times New Roman" w:cs="Times New Roman"/>
                <w:sz w:val="24"/>
                <w:szCs w:val="24"/>
                <w:lang w:eastAsia="lv-LV"/>
              </w:rPr>
            </w:pPr>
          </w:p>
          <w:p w:rsidR="009F2884" w:rsidRPr="000B55A9" w:rsidRDefault="009F2884" w:rsidP="009F2884">
            <w:pPr>
              <w:rPr>
                <w:rFonts w:ascii="Times New Roman" w:eastAsia="Times New Roman" w:hAnsi="Times New Roman" w:cs="Times New Roman"/>
                <w:sz w:val="24"/>
                <w:szCs w:val="24"/>
                <w:lang w:eastAsia="lv-LV"/>
              </w:rPr>
            </w:pPr>
          </w:p>
          <w:p w:rsidR="009F2884" w:rsidRPr="000B55A9" w:rsidRDefault="009F2884" w:rsidP="009F2884">
            <w:pPr>
              <w:rPr>
                <w:rFonts w:ascii="Times New Roman" w:eastAsia="Times New Roman" w:hAnsi="Times New Roman" w:cs="Times New Roman"/>
                <w:sz w:val="24"/>
                <w:szCs w:val="24"/>
                <w:lang w:eastAsia="lv-LV"/>
              </w:rPr>
            </w:pPr>
          </w:p>
          <w:p w:rsidR="009F2884" w:rsidRPr="000B55A9" w:rsidRDefault="009F2884" w:rsidP="009F2884">
            <w:pPr>
              <w:rPr>
                <w:rFonts w:ascii="Times New Roman" w:eastAsia="Times New Roman" w:hAnsi="Times New Roman" w:cs="Times New Roman"/>
                <w:sz w:val="24"/>
                <w:szCs w:val="24"/>
                <w:lang w:eastAsia="lv-LV"/>
              </w:rPr>
            </w:pPr>
          </w:p>
          <w:p w:rsidR="009F2884" w:rsidRPr="000B55A9" w:rsidRDefault="009F2884" w:rsidP="009F2884">
            <w:pPr>
              <w:rPr>
                <w:rFonts w:ascii="Times New Roman" w:eastAsia="Times New Roman" w:hAnsi="Times New Roman" w:cs="Times New Roman"/>
                <w:sz w:val="24"/>
                <w:szCs w:val="24"/>
                <w:lang w:eastAsia="lv-LV"/>
              </w:rPr>
            </w:pPr>
          </w:p>
          <w:p w:rsidR="009F2884" w:rsidRPr="000B55A9" w:rsidRDefault="009F2884" w:rsidP="009F2884">
            <w:pPr>
              <w:rPr>
                <w:rFonts w:ascii="Times New Roman" w:eastAsia="Times New Roman" w:hAnsi="Times New Roman" w:cs="Times New Roman"/>
                <w:sz w:val="24"/>
                <w:szCs w:val="24"/>
                <w:lang w:eastAsia="lv-LV"/>
              </w:rPr>
            </w:pPr>
          </w:p>
          <w:p w:rsidR="009F2884" w:rsidRPr="000B55A9" w:rsidRDefault="009F2884" w:rsidP="009F2884">
            <w:pPr>
              <w:rPr>
                <w:rFonts w:ascii="Times New Roman" w:eastAsia="Times New Roman" w:hAnsi="Times New Roman" w:cs="Times New Roman"/>
                <w:sz w:val="24"/>
                <w:szCs w:val="24"/>
                <w:lang w:eastAsia="lv-LV"/>
              </w:rPr>
            </w:pPr>
          </w:p>
          <w:p w:rsidR="0038587F" w:rsidRPr="000B55A9" w:rsidRDefault="0038587F" w:rsidP="009F2884">
            <w:pPr>
              <w:rPr>
                <w:rFonts w:ascii="Times New Roman" w:eastAsia="Times New Roman" w:hAnsi="Times New Roman" w:cs="Times New Roman"/>
                <w:sz w:val="24"/>
                <w:szCs w:val="24"/>
                <w:lang w:eastAsia="lv-LV"/>
              </w:rPr>
            </w:pPr>
          </w:p>
        </w:tc>
        <w:tc>
          <w:tcPr>
            <w:tcW w:w="1587" w:type="pct"/>
            <w:tcBorders>
              <w:top w:val="outset" w:sz="6" w:space="0" w:color="414142"/>
              <w:left w:val="outset" w:sz="6" w:space="0" w:color="414142"/>
              <w:bottom w:val="outset" w:sz="6" w:space="0" w:color="414142"/>
              <w:right w:val="outset" w:sz="6" w:space="0" w:color="414142"/>
            </w:tcBorders>
            <w:hideMark/>
          </w:tcPr>
          <w:p w:rsidR="002F71AE" w:rsidRPr="009E047A" w:rsidRDefault="0038587F" w:rsidP="0038587F">
            <w:pPr>
              <w:spacing w:after="0" w:line="240" w:lineRule="auto"/>
              <w:jc w:val="both"/>
              <w:rPr>
                <w:rFonts w:ascii="Times New Roman" w:eastAsia="Times New Roman" w:hAnsi="Times New Roman" w:cs="Times New Roman"/>
                <w:sz w:val="24"/>
                <w:szCs w:val="24"/>
                <w:lang w:eastAsia="lv-LV"/>
              </w:rPr>
            </w:pPr>
            <w:r w:rsidRPr="009E04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F71AE" w:rsidRPr="009E047A" w:rsidRDefault="002F71AE" w:rsidP="002F71AE">
            <w:pPr>
              <w:rPr>
                <w:rFonts w:ascii="Times New Roman" w:eastAsia="Times New Roman" w:hAnsi="Times New Roman" w:cs="Times New Roman"/>
                <w:sz w:val="24"/>
                <w:szCs w:val="24"/>
                <w:lang w:eastAsia="lv-LV"/>
              </w:rPr>
            </w:pPr>
          </w:p>
          <w:p w:rsidR="002F71AE" w:rsidRPr="009E047A" w:rsidRDefault="002F71AE" w:rsidP="002F71AE">
            <w:pPr>
              <w:rPr>
                <w:rFonts w:ascii="Times New Roman" w:eastAsia="Times New Roman" w:hAnsi="Times New Roman" w:cs="Times New Roman"/>
                <w:sz w:val="24"/>
                <w:szCs w:val="24"/>
                <w:lang w:eastAsia="lv-LV"/>
              </w:rPr>
            </w:pPr>
          </w:p>
          <w:p w:rsidR="002F71AE" w:rsidRPr="009E047A" w:rsidRDefault="002F71AE" w:rsidP="002F71AE">
            <w:pPr>
              <w:rPr>
                <w:rFonts w:ascii="Times New Roman" w:eastAsia="Times New Roman" w:hAnsi="Times New Roman" w:cs="Times New Roman"/>
                <w:sz w:val="24"/>
                <w:szCs w:val="24"/>
                <w:lang w:eastAsia="lv-LV"/>
              </w:rPr>
            </w:pPr>
          </w:p>
          <w:p w:rsidR="002F71AE" w:rsidRPr="009E047A" w:rsidRDefault="002F71AE" w:rsidP="002F71AE">
            <w:pPr>
              <w:rPr>
                <w:rFonts w:ascii="Times New Roman" w:eastAsia="Times New Roman" w:hAnsi="Times New Roman" w:cs="Times New Roman"/>
                <w:sz w:val="24"/>
                <w:szCs w:val="24"/>
                <w:lang w:eastAsia="lv-LV"/>
              </w:rPr>
            </w:pPr>
          </w:p>
          <w:p w:rsidR="002F71AE" w:rsidRPr="009E047A" w:rsidRDefault="002F71AE" w:rsidP="002F71AE">
            <w:pPr>
              <w:rPr>
                <w:rFonts w:ascii="Times New Roman" w:eastAsia="Times New Roman" w:hAnsi="Times New Roman" w:cs="Times New Roman"/>
                <w:sz w:val="24"/>
                <w:szCs w:val="24"/>
                <w:lang w:eastAsia="lv-LV"/>
              </w:rPr>
            </w:pPr>
          </w:p>
          <w:p w:rsidR="002F71AE" w:rsidRPr="009E047A" w:rsidRDefault="002F71AE" w:rsidP="002F71AE">
            <w:pPr>
              <w:rPr>
                <w:rFonts w:ascii="Times New Roman" w:eastAsia="Times New Roman" w:hAnsi="Times New Roman" w:cs="Times New Roman"/>
                <w:sz w:val="24"/>
                <w:szCs w:val="24"/>
                <w:lang w:eastAsia="lv-LV"/>
              </w:rPr>
            </w:pPr>
          </w:p>
          <w:p w:rsidR="002A4683" w:rsidRDefault="002A4683" w:rsidP="002F71AE">
            <w:pPr>
              <w:ind w:firstLine="720"/>
              <w:rPr>
                <w:rFonts w:ascii="Times New Roman" w:eastAsia="Times New Roman" w:hAnsi="Times New Roman" w:cs="Times New Roman"/>
                <w:sz w:val="24"/>
                <w:szCs w:val="24"/>
                <w:lang w:eastAsia="lv-LV"/>
              </w:rPr>
            </w:pPr>
          </w:p>
          <w:p w:rsidR="002A4683" w:rsidRPr="002A4683" w:rsidRDefault="002A4683" w:rsidP="002A4683">
            <w:pPr>
              <w:rPr>
                <w:rFonts w:ascii="Times New Roman" w:eastAsia="Times New Roman" w:hAnsi="Times New Roman" w:cs="Times New Roman"/>
                <w:sz w:val="24"/>
                <w:szCs w:val="24"/>
                <w:lang w:eastAsia="lv-LV"/>
              </w:rPr>
            </w:pPr>
          </w:p>
          <w:p w:rsidR="002A4683" w:rsidRPr="002A4683" w:rsidRDefault="002A4683" w:rsidP="002A4683">
            <w:pPr>
              <w:rPr>
                <w:rFonts w:ascii="Times New Roman" w:eastAsia="Times New Roman" w:hAnsi="Times New Roman" w:cs="Times New Roman"/>
                <w:sz w:val="24"/>
                <w:szCs w:val="24"/>
                <w:lang w:eastAsia="lv-LV"/>
              </w:rPr>
            </w:pPr>
          </w:p>
          <w:p w:rsidR="002A4683" w:rsidRPr="002A4683" w:rsidRDefault="002A4683" w:rsidP="002A4683">
            <w:pPr>
              <w:rPr>
                <w:rFonts w:ascii="Times New Roman" w:eastAsia="Times New Roman" w:hAnsi="Times New Roman" w:cs="Times New Roman"/>
                <w:sz w:val="24"/>
                <w:szCs w:val="24"/>
                <w:lang w:eastAsia="lv-LV"/>
              </w:rPr>
            </w:pPr>
          </w:p>
          <w:p w:rsidR="002A4683" w:rsidRPr="002A4683" w:rsidRDefault="002A4683" w:rsidP="002A4683">
            <w:pPr>
              <w:rPr>
                <w:rFonts w:ascii="Times New Roman" w:eastAsia="Times New Roman" w:hAnsi="Times New Roman" w:cs="Times New Roman"/>
                <w:sz w:val="24"/>
                <w:szCs w:val="24"/>
                <w:lang w:eastAsia="lv-LV"/>
              </w:rPr>
            </w:pPr>
          </w:p>
          <w:p w:rsidR="002A4683" w:rsidRPr="002A4683" w:rsidRDefault="002A4683" w:rsidP="002A4683">
            <w:pPr>
              <w:rPr>
                <w:rFonts w:ascii="Times New Roman" w:eastAsia="Times New Roman" w:hAnsi="Times New Roman" w:cs="Times New Roman"/>
                <w:sz w:val="24"/>
                <w:szCs w:val="24"/>
                <w:lang w:eastAsia="lv-LV"/>
              </w:rPr>
            </w:pPr>
          </w:p>
          <w:p w:rsidR="0038587F" w:rsidRPr="002A4683" w:rsidRDefault="002A4683" w:rsidP="002A4683">
            <w:pPr>
              <w:tabs>
                <w:tab w:val="left" w:pos="9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73" w:type="pct"/>
            <w:tcBorders>
              <w:top w:val="outset" w:sz="6" w:space="0" w:color="414142"/>
              <w:left w:val="outset" w:sz="6" w:space="0" w:color="414142"/>
              <w:bottom w:val="outset" w:sz="6" w:space="0" w:color="414142"/>
              <w:right w:val="outset" w:sz="6" w:space="0" w:color="414142"/>
            </w:tcBorders>
          </w:tcPr>
          <w:p w:rsidR="00E702D3" w:rsidRDefault="009E047A" w:rsidP="00E702D3">
            <w:pPr>
              <w:tabs>
                <w:tab w:val="left" w:pos="250"/>
              </w:tabs>
              <w:spacing w:after="0" w:line="240" w:lineRule="auto"/>
              <w:ind w:firstLine="386"/>
              <w:jc w:val="both"/>
              <w:rPr>
                <w:rFonts w:ascii="Times New Roman" w:hAnsi="Times New Roman" w:cs="Times New Roman"/>
                <w:sz w:val="24"/>
                <w:szCs w:val="24"/>
              </w:rPr>
            </w:pPr>
            <w:r w:rsidRPr="009E047A">
              <w:rPr>
                <w:rFonts w:ascii="Times New Roman" w:hAnsi="Times New Roman" w:cs="Times New Roman"/>
                <w:sz w:val="24"/>
                <w:szCs w:val="24"/>
              </w:rPr>
              <w:t>Likuma “Par akcīzes nodokli” (turpmāk – likums)</w:t>
            </w:r>
            <w:r w:rsidR="00E702D3">
              <w:rPr>
                <w:rFonts w:ascii="Times New Roman" w:hAnsi="Times New Roman" w:cs="Times New Roman"/>
                <w:sz w:val="24"/>
                <w:szCs w:val="24"/>
              </w:rPr>
              <w:t xml:space="preserve"> 6.</w:t>
            </w:r>
            <w:r w:rsidR="00E702D3" w:rsidRPr="00E702D3">
              <w:rPr>
                <w:rFonts w:ascii="Times New Roman" w:hAnsi="Times New Roman" w:cs="Times New Roman"/>
                <w:sz w:val="24"/>
                <w:szCs w:val="24"/>
                <w:vertAlign w:val="superscript"/>
              </w:rPr>
              <w:t>1</w:t>
            </w:r>
            <w:r w:rsidR="00E702D3">
              <w:rPr>
                <w:rFonts w:ascii="Times New Roman" w:hAnsi="Times New Roman" w:cs="Times New Roman"/>
                <w:sz w:val="24"/>
                <w:szCs w:val="24"/>
                <w:vertAlign w:val="superscript"/>
              </w:rPr>
              <w:t xml:space="preserve"> </w:t>
            </w:r>
            <w:r w:rsidR="00E702D3">
              <w:rPr>
                <w:rFonts w:ascii="Times New Roman" w:hAnsi="Times New Roman" w:cs="Times New Roman"/>
                <w:sz w:val="24"/>
                <w:szCs w:val="24"/>
              </w:rPr>
              <w:t xml:space="preserve">panta </w:t>
            </w:r>
            <w:r w:rsidR="006518A7">
              <w:rPr>
                <w:rFonts w:ascii="Times New Roman" w:hAnsi="Times New Roman" w:cs="Times New Roman"/>
                <w:sz w:val="24"/>
                <w:szCs w:val="24"/>
              </w:rPr>
              <w:t xml:space="preserve">trešā daļa </w:t>
            </w:r>
            <w:r w:rsidR="00E702D3">
              <w:rPr>
                <w:rFonts w:ascii="Times New Roman" w:hAnsi="Times New Roman" w:cs="Times New Roman"/>
                <w:sz w:val="24"/>
                <w:szCs w:val="24"/>
              </w:rPr>
              <w:t xml:space="preserve">paredz, ka ar akcīzes nodokli neapliek dabasgāzi, kuru attiecīgi izmanto </w:t>
            </w:r>
            <w:r w:rsidR="00E702D3" w:rsidRPr="00E702D3">
              <w:rPr>
                <w:rFonts w:ascii="Times New Roman" w:hAnsi="Times New Roman" w:cs="Times New Roman"/>
                <w:sz w:val="24"/>
                <w:szCs w:val="24"/>
              </w:rPr>
              <w:t>lauksaimniecībā izmantojamās zemes segto plat</w:t>
            </w:r>
            <w:r w:rsidR="00E702D3">
              <w:rPr>
                <w:rFonts w:ascii="Times New Roman" w:hAnsi="Times New Roman" w:cs="Times New Roman"/>
                <w:sz w:val="24"/>
                <w:szCs w:val="24"/>
              </w:rPr>
              <w:t xml:space="preserve">ību (siltumnīcu) siltumapgādei un </w:t>
            </w:r>
            <w:r w:rsidR="00E702D3" w:rsidRPr="00E702D3">
              <w:rPr>
                <w:rFonts w:ascii="Times New Roman" w:hAnsi="Times New Roman" w:cs="Times New Roman"/>
                <w:sz w:val="24"/>
                <w:szCs w:val="24"/>
              </w:rPr>
              <w:t>rūpniecisko mājputnu novietņu (kūts) un inkubatoru siltumapgādei.</w:t>
            </w:r>
          </w:p>
          <w:p w:rsidR="00EF37CC" w:rsidRDefault="00EF37CC" w:rsidP="00E702D3">
            <w:pPr>
              <w:tabs>
                <w:tab w:val="left" w:pos="250"/>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Ievērojot Regulas 651/2014 tiešu piemērošanu</w:t>
            </w:r>
            <w:r w:rsidR="000F3B4C">
              <w:rPr>
                <w:rFonts w:ascii="Times New Roman" w:hAnsi="Times New Roman" w:cs="Times New Roman"/>
                <w:sz w:val="24"/>
                <w:szCs w:val="24"/>
              </w:rPr>
              <w:t>,</w:t>
            </w:r>
            <w:r>
              <w:rPr>
                <w:rFonts w:ascii="Times New Roman" w:hAnsi="Times New Roman" w:cs="Times New Roman"/>
                <w:sz w:val="24"/>
                <w:szCs w:val="24"/>
              </w:rPr>
              <w:t xml:space="preserve"> ir nepieciešams dabasgāzei, kuru šobrīd ar akcīzes nodokļa atbrīvojumu izmanto  gan </w:t>
            </w:r>
            <w:r w:rsidR="00832B4C" w:rsidRPr="00832B4C">
              <w:rPr>
                <w:rFonts w:ascii="Times New Roman" w:hAnsi="Times New Roman" w:cs="Times New Roman"/>
                <w:sz w:val="24"/>
                <w:szCs w:val="24"/>
              </w:rPr>
              <w:t xml:space="preserve">lauksaimniecībā izmantojamās zemes </w:t>
            </w:r>
            <w:r w:rsidRPr="00EF37CC">
              <w:rPr>
                <w:rFonts w:ascii="Times New Roman" w:hAnsi="Times New Roman" w:cs="Times New Roman"/>
                <w:sz w:val="24"/>
                <w:szCs w:val="24"/>
              </w:rPr>
              <w:t>segto platīb</w:t>
            </w:r>
            <w:r>
              <w:rPr>
                <w:rFonts w:ascii="Times New Roman" w:hAnsi="Times New Roman" w:cs="Times New Roman"/>
                <w:sz w:val="24"/>
                <w:szCs w:val="24"/>
              </w:rPr>
              <w:t xml:space="preserve">u (siltumnīcu) siltumapgādei, gan </w:t>
            </w:r>
            <w:r w:rsidRPr="00EF37CC">
              <w:rPr>
                <w:rFonts w:ascii="Times New Roman" w:hAnsi="Times New Roman" w:cs="Times New Roman"/>
                <w:sz w:val="24"/>
                <w:szCs w:val="24"/>
              </w:rPr>
              <w:t>rūpniecisko mājputnu novietņu (kūts) un inkubatoru siltumapgādei</w:t>
            </w:r>
            <w:r>
              <w:rPr>
                <w:rFonts w:ascii="Times New Roman" w:hAnsi="Times New Roman" w:cs="Times New Roman"/>
                <w:sz w:val="24"/>
                <w:szCs w:val="24"/>
              </w:rPr>
              <w:t xml:space="preserve">, noteikt minimālo nodokļa likmi saskaņā ar Padomes 2003.gada 27.oktobra Direktīvu 2003/96/EK, kas pārkārto Kopienas noteikumus par nodokļu uzlikšanu </w:t>
            </w:r>
            <w:proofErr w:type="spellStart"/>
            <w:r>
              <w:rPr>
                <w:rFonts w:ascii="Times New Roman" w:hAnsi="Times New Roman" w:cs="Times New Roman"/>
                <w:sz w:val="24"/>
                <w:szCs w:val="24"/>
              </w:rPr>
              <w:t>energoproduktiem</w:t>
            </w:r>
            <w:proofErr w:type="spellEnd"/>
            <w:r>
              <w:rPr>
                <w:rFonts w:ascii="Times New Roman" w:hAnsi="Times New Roman" w:cs="Times New Roman"/>
                <w:sz w:val="24"/>
                <w:szCs w:val="24"/>
              </w:rPr>
              <w:t xml:space="preserve"> un elektroenerģijai</w:t>
            </w:r>
            <w:r w:rsidRPr="00EF37CC">
              <w:rPr>
                <w:rFonts w:ascii="Times New Roman" w:hAnsi="Times New Roman" w:cs="Times New Roman"/>
                <w:sz w:val="24"/>
                <w:szCs w:val="24"/>
              </w:rPr>
              <w:t>.</w:t>
            </w:r>
            <w:r w:rsidR="009E047A" w:rsidRPr="009E047A">
              <w:rPr>
                <w:rFonts w:ascii="Times New Roman" w:hAnsi="Times New Roman" w:cs="Times New Roman"/>
                <w:sz w:val="24"/>
                <w:szCs w:val="24"/>
              </w:rPr>
              <w:t xml:space="preserve"> </w:t>
            </w:r>
          </w:p>
          <w:p w:rsidR="00EF37CC" w:rsidRDefault="00EF37CC" w:rsidP="00E702D3">
            <w:pPr>
              <w:tabs>
                <w:tab w:val="left" w:pos="250"/>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Līdz ar to likumprojekts paredz no</w:t>
            </w:r>
            <w:r w:rsidR="0034258F">
              <w:rPr>
                <w:rFonts w:ascii="Times New Roman" w:hAnsi="Times New Roman" w:cs="Times New Roman"/>
                <w:sz w:val="24"/>
                <w:szCs w:val="24"/>
              </w:rPr>
              <w:t xml:space="preserve"> likuma</w:t>
            </w:r>
            <w:r>
              <w:rPr>
                <w:rFonts w:ascii="Times New Roman" w:hAnsi="Times New Roman" w:cs="Times New Roman"/>
                <w:sz w:val="24"/>
                <w:szCs w:val="24"/>
              </w:rPr>
              <w:t xml:space="preserve"> 6.</w:t>
            </w:r>
            <w:r w:rsidRPr="00EF37CC">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panta </w:t>
            </w:r>
            <w:r w:rsidR="000670D5">
              <w:rPr>
                <w:rFonts w:ascii="Times New Roman" w:hAnsi="Times New Roman" w:cs="Times New Roman"/>
                <w:sz w:val="24"/>
                <w:szCs w:val="24"/>
              </w:rPr>
              <w:t xml:space="preserve">izslēgt </w:t>
            </w:r>
            <w:r w:rsidR="006518A7">
              <w:rPr>
                <w:rFonts w:ascii="Times New Roman" w:hAnsi="Times New Roman" w:cs="Times New Roman"/>
                <w:sz w:val="24"/>
                <w:szCs w:val="24"/>
              </w:rPr>
              <w:t>trešo daļu</w:t>
            </w:r>
            <w:r>
              <w:rPr>
                <w:rFonts w:ascii="Times New Roman" w:hAnsi="Times New Roman" w:cs="Times New Roman"/>
                <w:sz w:val="24"/>
                <w:szCs w:val="24"/>
              </w:rPr>
              <w:t xml:space="preserve"> un </w:t>
            </w:r>
            <w:r w:rsidR="0034258F">
              <w:rPr>
                <w:rFonts w:ascii="Times New Roman" w:hAnsi="Times New Roman" w:cs="Times New Roman"/>
                <w:sz w:val="24"/>
                <w:szCs w:val="24"/>
              </w:rPr>
              <w:t>minētajiem dabasgāzes izmantošanas mērķiem saskaņā ar likuma 15.</w:t>
            </w:r>
            <w:r w:rsidR="0034258F" w:rsidRPr="0034258F">
              <w:rPr>
                <w:rFonts w:ascii="Times New Roman" w:hAnsi="Times New Roman" w:cs="Times New Roman"/>
                <w:sz w:val="24"/>
                <w:szCs w:val="24"/>
                <w:vertAlign w:val="superscript"/>
              </w:rPr>
              <w:t>1</w:t>
            </w:r>
            <w:r w:rsidR="0034258F">
              <w:rPr>
                <w:rFonts w:ascii="Times New Roman" w:hAnsi="Times New Roman" w:cs="Times New Roman"/>
                <w:sz w:val="24"/>
                <w:szCs w:val="24"/>
              </w:rPr>
              <w:t xml:space="preserve"> panta pirmās daļas 3.punktu noteikt</w:t>
            </w:r>
            <w:r>
              <w:rPr>
                <w:rFonts w:ascii="Times New Roman" w:hAnsi="Times New Roman" w:cs="Times New Roman"/>
                <w:sz w:val="24"/>
                <w:szCs w:val="24"/>
              </w:rPr>
              <w:t xml:space="preserve"> </w:t>
            </w:r>
            <w:r w:rsidR="0034258F">
              <w:rPr>
                <w:rFonts w:ascii="Times New Roman" w:hAnsi="Times New Roman" w:cs="Times New Roman"/>
                <w:sz w:val="24"/>
                <w:szCs w:val="24"/>
              </w:rPr>
              <w:t xml:space="preserve">minimālo akcīzes nodokļa likmi – 0,55 </w:t>
            </w:r>
            <w:proofErr w:type="spellStart"/>
            <w:r w:rsidR="0034258F" w:rsidRPr="0034258F">
              <w:rPr>
                <w:rFonts w:ascii="Times New Roman" w:hAnsi="Times New Roman" w:cs="Times New Roman"/>
                <w:i/>
                <w:sz w:val="24"/>
                <w:szCs w:val="24"/>
              </w:rPr>
              <w:t>euro</w:t>
            </w:r>
            <w:proofErr w:type="spellEnd"/>
            <w:r w:rsidR="0034258F">
              <w:rPr>
                <w:rFonts w:ascii="Times New Roman" w:hAnsi="Times New Roman" w:cs="Times New Roman"/>
                <w:sz w:val="24"/>
                <w:szCs w:val="24"/>
              </w:rPr>
              <w:t xml:space="preserve"> par 1 </w:t>
            </w:r>
            <w:proofErr w:type="spellStart"/>
            <w:r w:rsidR="0034258F">
              <w:rPr>
                <w:rFonts w:ascii="Times New Roman" w:hAnsi="Times New Roman" w:cs="Times New Roman"/>
                <w:sz w:val="24"/>
                <w:szCs w:val="24"/>
              </w:rPr>
              <w:t>MWh</w:t>
            </w:r>
            <w:proofErr w:type="spellEnd"/>
            <w:r w:rsidR="0034258F">
              <w:rPr>
                <w:rFonts w:ascii="Times New Roman" w:hAnsi="Times New Roman" w:cs="Times New Roman"/>
                <w:sz w:val="24"/>
                <w:szCs w:val="24"/>
              </w:rPr>
              <w:t>.</w:t>
            </w:r>
          </w:p>
          <w:p w:rsidR="009E047A" w:rsidRPr="009E047A" w:rsidRDefault="00E702D3" w:rsidP="00E702D3">
            <w:pPr>
              <w:tabs>
                <w:tab w:val="left" w:pos="250"/>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 xml:space="preserve">Likuma </w:t>
            </w:r>
            <w:r w:rsidR="009E047A" w:rsidRPr="009E047A">
              <w:rPr>
                <w:rFonts w:ascii="Times New Roman" w:hAnsi="Times New Roman" w:cs="Times New Roman"/>
                <w:sz w:val="24"/>
                <w:szCs w:val="24"/>
              </w:rPr>
              <w:t>18.panta pirmās daļas 3.punktā ir noteikts, ka Ministru kabineta noteiktajā kārtībā  no akcīzes nodokļa ir atbrīvoti naftas produkti, kuru</w:t>
            </w:r>
            <w:r w:rsidR="00176609">
              <w:rPr>
                <w:rFonts w:ascii="Times New Roman" w:hAnsi="Times New Roman" w:cs="Times New Roman"/>
                <w:sz w:val="24"/>
                <w:szCs w:val="24"/>
              </w:rPr>
              <w:t>s</w:t>
            </w:r>
            <w:r w:rsidR="009E047A" w:rsidRPr="009E047A">
              <w:rPr>
                <w:rFonts w:ascii="Times New Roman" w:hAnsi="Times New Roman" w:cs="Times New Roman"/>
                <w:sz w:val="24"/>
                <w:szCs w:val="24"/>
              </w:rPr>
              <w:t xml:space="preserve"> saskaņā ar šā panta trešās daļas nosacījumiem piegādā un izmanto kuģi, kuri netiek izmantoti privātai atpūtai un izklaidei. Savukārt uz minētā likuma deleģējuma pamata izdoto Ministru kabineta 2007.gada 31.jūlija noteikumu Nr.525 “Kārtība, kādā atsevišķiem naftas produktiem piemēro samazinātu akcīzes nodokļa likmi vai atbrīvojumu no akcīzes nodokļa”  VI nodaļa “Naftas produkti, kurus piegādā un izman</w:t>
            </w:r>
            <w:r w:rsidR="00176609">
              <w:rPr>
                <w:rFonts w:ascii="Times New Roman" w:hAnsi="Times New Roman" w:cs="Times New Roman"/>
                <w:sz w:val="24"/>
                <w:szCs w:val="24"/>
              </w:rPr>
              <w:t>to kuģos un gaisa kuģos” paredz</w:t>
            </w:r>
            <w:r w:rsidR="009E047A" w:rsidRPr="009E047A">
              <w:rPr>
                <w:rFonts w:ascii="Times New Roman" w:hAnsi="Times New Roman" w:cs="Times New Roman"/>
                <w:sz w:val="24"/>
                <w:szCs w:val="24"/>
              </w:rPr>
              <w:t xml:space="preserve">, ka zvejniekiem ir tiesības iegādāties no akcīzes nodokļa atbrīvotu iezīmētu (marķētu) dīzeļdegvielu (turpmāk – </w:t>
            </w:r>
            <w:proofErr w:type="spellStart"/>
            <w:r w:rsidR="009E047A" w:rsidRPr="009E047A">
              <w:rPr>
                <w:rFonts w:ascii="Times New Roman" w:hAnsi="Times New Roman" w:cs="Times New Roman"/>
                <w:sz w:val="24"/>
                <w:szCs w:val="24"/>
              </w:rPr>
              <w:t>bezakcīzes</w:t>
            </w:r>
            <w:proofErr w:type="spellEnd"/>
            <w:r w:rsidR="009E047A" w:rsidRPr="009E047A">
              <w:rPr>
                <w:rFonts w:ascii="Times New Roman" w:hAnsi="Times New Roman" w:cs="Times New Roman"/>
                <w:sz w:val="24"/>
                <w:szCs w:val="24"/>
              </w:rPr>
              <w:t xml:space="preserve"> dīzeļdegviela).</w:t>
            </w:r>
          </w:p>
          <w:p w:rsidR="006C30F5" w:rsidRDefault="009E047A" w:rsidP="00E350C9">
            <w:pPr>
              <w:tabs>
                <w:tab w:val="left" w:pos="250"/>
              </w:tabs>
              <w:spacing w:after="0" w:line="240" w:lineRule="auto"/>
              <w:ind w:firstLine="386"/>
              <w:jc w:val="both"/>
              <w:rPr>
                <w:rFonts w:ascii="Times New Roman" w:hAnsi="Times New Roman" w:cs="Times New Roman"/>
                <w:sz w:val="24"/>
                <w:szCs w:val="24"/>
              </w:rPr>
            </w:pPr>
            <w:r w:rsidRPr="009E047A">
              <w:rPr>
                <w:rFonts w:ascii="Times New Roman" w:hAnsi="Times New Roman" w:cs="Times New Roman"/>
                <w:sz w:val="24"/>
                <w:szCs w:val="24"/>
              </w:rPr>
              <w:t xml:space="preserve">Taču piekrastes un iekšējo ūdeņu </w:t>
            </w:r>
            <w:r>
              <w:rPr>
                <w:rFonts w:ascii="Times New Roman" w:hAnsi="Times New Roman" w:cs="Times New Roman"/>
                <w:sz w:val="24"/>
                <w:szCs w:val="24"/>
              </w:rPr>
              <w:t>zvejas kuģu</w:t>
            </w:r>
            <w:r w:rsidRPr="009E047A">
              <w:rPr>
                <w:rFonts w:ascii="Times New Roman" w:hAnsi="Times New Roman" w:cs="Times New Roman"/>
                <w:sz w:val="24"/>
                <w:szCs w:val="24"/>
              </w:rPr>
              <w:t xml:space="preserve"> parametru un specifikas dēļ (zvejas kuģa kopējais garums un augstums, degvielas tvertnes apjoms u.c. tehniskie raksturojumi), sakarā ar ostās noteikto zvejas kuģu uzpildīšanās kārtību, kā arī zvejnieku  teritoriālā izvietojuma dēļ (zvejo visas piekrastes garumā, kā arī iekšzemē), zvejnieki savas saimnieciskās darbības nodrošināšanai ir spiesti iegādāties dīzeļdegvielu ar pilnu akcīzes nodokļa likmi, jo tiem pienākošos </w:t>
            </w:r>
            <w:proofErr w:type="spellStart"/>
            <w:r w:rsidRPr="009E047A">
              <w:rPr>
                <w:rFonts w:ascii="Times New Roman" w:hAnsi="Times New Roman" w:cs="Times New Roman"/>
                <w:sz w:val="24"/>
                <w:szCs w:val="24"/>
              </w:rPr>
              <w:t>bezakcīzes</w:t>
            </w:r>
            <w:proofErr w:type="spellEnd"/>
            <w:r w:rsidRPr="009E047A">
              <w:rPr>
                <w:rFonts w:ascii="Times New Roman" w:hAnsi="Times New Roman" w:cs="Times New Roman"/>
                <w:sz w:val="24"/>
                <w:szCs w:val="24"/>
              </w:rPr>
              <w:t xml:space="preserve"> dīzeļdegvielu ir iespējams iegādāties vienīgi tam speciāli paredzētās vietās ostu teritorijās. Tas zvejniekiem neļauj īstenot likumā paredzētās tiesības, kā arī pasliktina šo zvejnieku konkurētspēju attiecībā pret tiem zvejas kuģu īpašniekiem, kuri zvejo tuvu ostu teritorijām, kurās atrodas degvielas </w:t>
            </w:r>
            <w:proofErr w:type="spellStart"/>
            <w:r w:rsidRPr="009E047A">
              <w:rPr>
                <w:rFonts w:ascii="Times New Roman" w:hAnsi="Times New Roman" w:cs="Times New Roman"/>
                <w:sz w:val="24"/>
                <w:szCs w:val="24"/>
              </w:rPr>
              <w:t>uzpildes</w:t>
            </w:r>
            <w:proofErr w:type="spellEnd"/>
            <w:r w:rsidRPr="009E047A">
              <w:rPr>
                <w:rFonts w:ascii="Times New Roman" w:hAnsi="Times New Roman" w:cs="Times New Roman"/>
                <w:sz w:val="24"/>
                <w:szCs w:val="24"/>
              </w:rPr>
              <w:t xml:space="preserve"> vietas, kas speciāli paredzētas kuģu </w:t>
            </w:r>
            <w:proofErr w:type="spellStart"/>
            <w:r w:rsidRPr="009E047A">
              <w:rPr>
                <w:rFonts w:ascii="Times New Roman" w:hAnsi="Times New Roman" w:cs="Times New Roman"/>
                <w:sz w:val="24"/>
                <w:szCs w:val="24"/>
              </w:rPr>
              <w:t>uzpildei</w:t>
            </w:r>
            <w:proofErr w:type="spellEnd"/>
            <w:r w:rsidRPr="009E047A">
              <w:rPr>
                <w:rFonts w:ascii="Times New Roman" w:hAnsi="Times New Roman" w:cs="Times New Roman"/>
                <w:sz w:val="24"/>
                <w:szCs w:val="24"/>
              </w:rPr>
              <w:t>.</w:t>
            </w:r>
          </w:p>
          <w:p w:rsidR="001B779F" w:rsidRDefault="001B779F" w:rsidP="00E350C9">
            <w:pPr>
              <w:tabs>
                <w:tab w:val="left" w:pos="250"/>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Līdz ar to likumprojekts paredz:</w:t>
            </w:r>
          </w:p>
          <w:p w:rsidR="001B779F" w:rsidRDefault="001B779F" w:rsidP="00E350C9">
            <w:pPr>
              <w:pStyle w:val="ListParagraph"/>
              <w:numPr>
                <w:ilvl w:val="0"/>
                <w:numId w:val="13"/>
              </w:numPr>
              <w:tabs>
                <w:tab w:val="left" w:pos="250"/>
              </w:tabs>
              <w:ind w:left="-37" w:firstLine="423"/>
              <w:jc w:val="both"/>
            </w:pPr>
            <w:r>
              <w:t>saglabāt pilnīgu atbrīvojumu no akcīzes nodokļa tādai dīzeļdegvielai, ko izmanto zvejniecībā, izņemot zveju iekšējos ūde</w:t>
            </w:r>
            <w:r w:rsidR="00BA75C2">
              <w:t>ņos;</w:t>
            </w:r>
          </w:p>
          <w:p w:rsidR="00BA75C2" w:rsidRDefault="00BA75C2" w:rsidP="00E350C9">
            <w:pPr>
              <w:pStyle w:val="ListParagraph"/>
              <w:numPr>
                <w:ilvl w:val="0"/>
                <w:numId w:val="13"/>
              </w:numPr>
              <w:tabs>
                <w:tab w:val="left" w:pos="250"/>
              </w:tabs>
              <w:ind w:left="-37" w:firstLine="423"/>
              <w:jc w:val="both"/>
            </w:pPr>
            <w:r>
              <w:t>dīzeļdegvielai, ko izmanto zvejai iekšējos ūdeņos, piemērot akcīzes nodok</w:t>
            </w:r>
            <w:r w:rsidR="00ED4118">
              <w:t>ļa</w:t>
            </w:r>
            <w:r>
              <w:t xml:space="preserve"> likmi atbilstoši likuma 14.panta 2.</w:t>
            </w:r>
            <w:r w:rsidRPr="00BA75C2">
              <w:rPr>
                <w:vertAlign w:val="superscript"/>
              </w:rPr>
              <w:t>2</w:t>
            </w:r>
            <w:r>
              <w:t xml:space="preserve"> daļā noteiktajam apmēram;</w:t>
            </w:r>
          </w:p>
          <w:p w:rsidR="00BA75C2" w:rsidRDefault="00BA75C2" w:rsidP="007754B7">
            <w:pPr>
              <w:pStyle w:val="ListParagraph"/>
              <w:numPr>
                <w:ilvl w:val="0"/>
                <w:numId w:val="13"/>
              </w:numPr>
              <w:tabs>
                <w:tab w:val="left" w:pos="250"/>
              </w:tabs>
              <w:ind w:left="-37" w:firstLine="423"/>
              <w:jc w:val="both"/>
            </w:pPr>
            <w:r>
              <w:t xml:space="preserve">papildināt </w:t>
            </w:r>
            <w:r w:rsidR="00CB23AC">
              <w:t xml:space="preserve">likumu </w:t>
            </w:r>
            <w:r>
              <w:t>ar jaunu 6.</w:t>
            </w:r>
            <w:r w:rsidRPr="00BA75C2">
              <w:rPr>
                <w:vertAlign w:val="superscript"/>
              </w:rPr>
              <w:t>4</w:t>
            </w:r>
            <w:r>
              <w:t xml:space="preserve"> daļu, kas </w:t>
            </w:r>
            <w:r w:rsidR="00702F0C">
              <w:t>paredzēs</w:t>
            </w:r>
            <w:r w:rsidR="007754B7">
              <w:t xml:space="preserve"> </w:t>
            </w:r>
            <w:r>
              <w:t>likuma 14.panta 2.</w:t>
            </w:r>
            <w:r w:rsidRPr="007754B7">
              <w:rPr>
                <w:vertAlign w:val="superscript"/>
              </w:rPr>
              <w:t>2</w:t>
            </w:r>
            <w:r>
              <w:t xml:space="preserve"> daļā noteikto nodokļa likmi piemēro</w:t>
            </w:r>
            <w:r w:rsidR="00912785">
              <w:t xml:space="preserve">t dīzeļdegvielai (gāzeļļai), </w:t>
            </w:r>
            <w:r w:rsidR="00912785" w:rsidRPr="00794898">
              <w:t>tai skaitā</w:t>
            </w:r>
            <w:r w:rsidR="00912785">
              <w:t xml:space="preserve"> </w:t>
            </w:r>
            <w:r>
              <w:t xml:space="preserve">dīzeļdegvielai (gāzeļļai), kurai ir pievienota no rapšu sēklu eļļas iegūta biodīzeļdegviela, vai </w:t>
            </w:r>
            <w:proofErr w:type="spellStart"/>
            <w:r>
              <w:t>parafinizēta</w:t>
            </w:r>
            <w:proofErr w:type="spellEnd"/>
            <w:r>
              <w:t xml:space="preserve"> dīzeļdegviela, kas iegūta no biomasas, ja attiecīgie produkti ir iezīmēti (marķēti) saskaņā ar šā likuma 28.pantu un ja tos izmanto:</w:t>
            </w:r>
          </w:p>
          <w:p w:rsidR="00BA75C2" w:rsidRDefault="00BA75C2" w:rsidP="00E350C9">
            <w:pPr>
              <w:pStyle w:val="ListParagraph"/>
              <w:tabs>
                <w:tab w:val="left" w:pos="250"/>
              </w:tabs>
              <w:ind w:left="386"/>
              <w:jc w:val="both"/>
            </w:pPr>
            <w:r>
              <w:t>a) kuģos zvejniecībai iekšējos ūdeņos;</w:t>
            </w:r>
          </w:p>
          <w:p w:rsidR="00BA75C2" w:rsidRDefault="00BA75C2" w:rsidP="00702F0C">
            <w:pPr>
              <w:pStyle w:val="ListParagraph"/>
              <w:tabs>
                <w:tab w:val="left" w:pos="676"/>
              </w:tabs>
              <w:ind w:left="0" w:firstLine="386"/>
              <w:jc w:val="both"/>
            </w:pPr>
            <w:r>
              <w:t>b) kuģos zvejniecībai piekrastes ūdeņos, ja tā nav iegādāta saskaņā ar šā likuma 18.panta pirmās daļas 3.punktā noteikto akcīzes nodokļa atbrīvojumu.</w:t>
            </w:r>
          </w:p>
          <w:p w:rsidR="00BA75C2" w:rsidRPr="00794898" w:rsidRDefault="007754B7" w:rsidP="000C26F8">
            <w:pPr>
              <w:pStyle w:val="ListParagraph"/>
              <w:tabs>
                <w:tab w:val="left" w:pos="534"/>
              </w:tabs>
              <w:ind w:left="0" w:firstLine="386"/>
              <w:jc w:val="both"/>
            </w:pPr>
            <w:r w:rsidRPr="00794898">
              <w:t>4)</w:t>
            </w:r>
            <w:r w:rsidRPr="00794898">
              <w:tab/>
              <w:t>papildināt likumu ar jaunu 6.</w:t>
            </w:r>
            <w:r w:rsidRPr="00794898">
              <w:rPr>
                <w:vertAlign w:val="superscript"/>
              </w:rPr>
              <w:t>5</w:t>
            </w:r>
            <w:r w:rsidRPr="00794898">
              <w:t xml:space="preserve"> daļu, kas paredzēs deleģējumu Ministru kabinetam</w:t>
            </w:r>
            <w:r w:rsidR="00912785" w:rsidRPr="00794898">
              <w:t xml:space="preserve"> noteikt kārtību</w:t>
            </w:r>
            <w:r w:rsidRPr="00794898">
              <w:t>, kādā izmantošanai kuģos zvejniecībā iekšējos ūdeņos un piekrastes ūdeņos piemēro likuma 14.panta 2.</w:t>
            </w:r>
            <w:r w:rsidRPr="00794898">
              <w:rPr>
                <w:vertAlign w:val="superscript"/>
              </w:rPr>
              <w:t>2</w:t>
            </w:r>
            <w:r w:rsidRPr="00794898">
              <w:t xml:space="preserve"> daļā noteikto likmi dīzeļdegvielai, tās gada patēriņa limitu</w:t>
            </w:r>
            <w:r w:rsidR="000C26F8" w:rsidRPr="00794898">
              <w:t>s kalendārajam gadam, tās</w:t>
            </w:r>
            <w:r w:rsidRPr="00794898">
              <w:t xml:space="preserve"> piešķiršan</w:t>
            </w:r>
            <w:r w:rsidR="000C26F8" w:rsidRPr="00794898">
              <w:t>as</w:t>
            </w:r>
            <w:r w:rsidR="00736FE7" w:rsidRPr="00794898">
              <w:t>, iegādes</w:t>
            </w:r>
            <w:r w:rsidRPr="00794898">
              <w:t xml:space="preserve"> un administrēšan</w:t>
            </w:r>
            <w:r w:rsidR="000C26F8" w:rsidRPr="00794898">
              <w:t xml:space="preserve">as kārtību, kā arī kārtību, kādā atmaksā akcīzes nodokli par dīzeļdegvielu, kura izmantota kuģos </w:t>
            </w:r>
            <w:r w:rsidR="000C26F8" w:rsidRPr="00794898">
              <w:lastRenderedPageBreak/>
              <w:t>zvejniecībai piekrastes ūdeņos</w:t>
            </w:r>
            <w:r w:rsidRPr="00794898">
              <w:t xml:space="preserve">. Ministru kabineta deleģējumā noteiktā administrēšanas kārtība sevī arī ietver kārtību, kādā personas var pieteikties akcīzes nodokļa samazinātās likmes saņemšanai, kārtību kādā tiks izvērtēta to atbilstība akcīzes nodokļa samazinātās likmes piešķiršanai, kārtību kādā katrai personai tiks noteikts dīzeļdegvielas gada patēriņa limits, uzraudzības un kontroles kārtību, </w:t>
            </w:r>
            <w:r w:rsidR="000C26F8" w:rsidRPr="00794898">
              <w:t xml:space="preserve">administrēšanā iesaistīto institūciju pienākumus, </w:t>
            </w:r>
            <w:r w:rsidRPr="00794898">
              <w:t>kā arī informācijas apmaiņas kārtību starp administrēšanā iesaistītajām institūcijām.</w:t>
            </w:r>
          </w:p>
        </w:tc>
      </w:tr>
      <w:tr w:rsidR="0038587F" w:rsidRPr="000B55A9" w:rsidTr="002A4683">
        <w:tc>
          <w:tcPr>
            <w:tcW w:w="341" w:type="pct"/>
            <w:tcBorders>
              <w:top w:val="outset" w:sz="6" w:space="0" w:color="414142"/>
              <w:left w:val="outset" w:sz="6" w:space="0" w:color="414142"/>
              <w:bottom w:val="outset" w:sz="6" w:space="0" w:color="414142"/>
              <w:right w:val="outset" w:sz="6" w:space="0" w:color="414142"/>
            </w:tcBorders>
            <w:hideMark/>
          </w:tcPr>
          <w:p w:rsidR="0038587F" w:rsidRPr="000B55A9"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lastRenderedPageBreak/>
              <w:t>3.</w:t>
            </w:r>
          </w:p>
        </w:tc>
        <w:tc>
          <w:tcPr>
            <w:tcW w:w="1587" w:type="pct"/>
            <w:tcBorders>
              <w:top w:val="outset" w:sz="6" w:space="0" w:color="414142"/>
              <w:left w:val="outset" w:sz="6" w:space="0" w:color="414142"/>
              <w:bottom w:val="outset" w:sz="6" w:space="0" w:color="414142"/>
              <w:right w:val="outset" w:sz="6" w:space="0" w:color="414142"/>
            </w:tcBorders>
            <w:hideMark/>
          </w:tcPr>
          <w:p w:rsidR="0038587F" w:rsidRPr="000B55A9" w:rsidRDefault="0038587F" w:rsidP="0038587F">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Projekta izstrādē iesaistītās institūcijas un publiskas personas kapitālsabiedrības</w:t>
            </w:r>
          </w:p>
        </w:tc>
        <w:tc>
          <w:tcPr>
            <w:tcW w:w="3073" w:type="pct"/>
            <w:tcBorders>
              <w:top w:val="outset" w:sz="6" w:space="0" w:color="414142"/>
              <w:left w:val="outset" w:sz="6" w:space="0" w:color="414142"/>
              <w:bottom w:val="outset" w:sz="6" w:space="0" w:color="414142"/>
              <w:right w:val="outset" w:sz="6" w:space="0" w:color="414142"/>
            </w:tcBorders>
            <w:hideMark/>
          </w:tcPr>
          <w:p w:rsidR="0038587F" w:rsidRPr="000B55A9" w:rsidRDefault="005C5F58" w:rsidP="00755236">
            <w:pPr>
              <w:pStyle w:val="CommentText"/>
              <w:jc w:val="both"/>
              <w:rPr>
                <w:sz w:val="24"/>
                <w:szCs w:val="24"/>
              </w:rPr>
            </w:pPr>
            <w:r w:rsidRPr="000B55A9">
              <w:rPr>
                <w:sz w:val="24"/>
                <w:szCs w:val="24"/>
              </w:rPr>
              <w:t>Finanšu ministrija</w:t>
            </w:r>
            <w:r w:rsidR="00BA75C2">
              <w:rPr>
                <w:sz w:val="24"/>
                <w:szCs w:val="24"/>
              </w:rPr>
              <w:t>, Zemkopības ministrija, Lauku atbalsta dienests</w:t>
            </w:r>
            <w:r w:rsidR="00314D44" w:rsidRPr="000B55A9">
              <w:rPr>
                <w:sz w:val="24"/>
                <w:szCs w:val="24"/>
              </w:rPr>
              <w:t xml:space="preserve"> un </w:t>
            </w:r>
            <w:r w:rsidR="00DB24C6" w:rsidRPr="000B55A9">
              <w:rPr>
                <w:sz w:val="24"/>
                <w:szCs w:val="24"/>
              </w:rPr>
              <w:t>Valsts ieņēmumu dienests</w:t>
            </w:r>
            <w:r w:rsidR="0066605C" w:rsidRPr="000B55A9">
              <w:rPr>
                <w:sz w:val="24"/>
                <w:szCs w:val="24"/>
              </w:rPr>
              <w:t>.</w:t>
            </w:r>
          </w:p>
        </w:tc>
      </w:tr>
      <w:tr w:rsidR="00341B12" w:rsidRPr="000B55A9" w:rsidTr="002A4683">
        <w:tc>
          <w:tcPr>
            <w:tcW w:w="341" w:type="pct"/>
            <w:tcBorders>
              <w:top w:val="outset" w:sz="6" w:space="0" w:color="414142"/>
              <w:left w:val="outset" w:sz="6" w:space="0" w:color="414142"/>
              <w:bottom w:val="outset" w:sz="6" w:space="0" w:color="414142"/>
              <w:right w:val="outset" w:sz="6" w:space="0" w:color="414142"/>
            </w:tcBorders>
            <w:hideMark/>
          </w:tcPr>
          <w:p w:rsidR="0038587F" w:rsidRPr="000B55A9"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rsidR="0038587F" w:rsidRPr="000B55A9" w:rsidRDefault="0038587F" w:rsidP="0038587F">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3073" w:type="pct"/>
            <w:tcBorders>
              <w:top w:val="outset" w:sz="6" w:space="0" w:color="414142"/>
              <w:left w:val="outset" w:sz="6" w:space="0" w:color="414142"/>
              <w:bottom w:val="outset" w:sz="6" w:space="0" w:color="414142"/>
              <w:right w:val="outset" w:sz="6" w:space="0" w:color="414142"/>
            </w:tcBorders>
            <w:hideMark/>
          </w:tcPr>
          <w:p w:rsidR="0038587F" w:rsidRPr="000B55A9" w:rsidRDefault="00CE5C10" w:rsidP="00947ACC">
            <w:pPr>
              <w:pStyle w:val="CommentText"/>
              <w:ind w:firstLine="13"/>
              <w:jc w:val="both"/>
              <w:rPr>
                <w:sz w:val="24"/>
                <w:szCs w:val="24"/>
              </w:rPr>
            </w:pPr>
            <w:r w:rsidRPr="000B55A9">
              <w:rPr>
                <w:sz w:val="24"/>
                <w:szCs w:val="24"/>
              </w:rPr>
              <w:t>Nav.</w:t>
            </w:r>
          </w:p>
        </w:tc>
      </w:tr>
    </w:tbl>
    <w:p w:rsidR="00543AA6" w:rsidRPr="000B55A9"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55A9"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55A9" w:rsidTr="000A2CD9">
        <w:tc>
          <w:tcPr>
            <w:tcW w:w="341" w:type="pct"/>
            <w:tcBorders>
              <w:top w:val="outset" w:sz="6" w:space="0" w:color="414142"/>
              <w:left w:val="outset" w:sz="6" w:space="0" w:color="414142"/>
              <w:bottom w:val="outset" w:sz="6" w:space="0" w:color="414142"/>
              <w:right w:val="single" w:sz="4" w:space="0" w:color="auto"/>
            </w:tcBorders>
            <w:hideMark/>
          </w:tcPr>
          <w:p w:rsidR="00117DB1" w:rsidRPr="000B55A9"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B55A9">
              <w:rPr>
                <w:rFonts w:ascii="Times New Roman" w:eastAsia="Times New Roman" w:hAnsi="Times New Roman" w:cs="Times New Roman"/>
                <w:color w:val="414142"/>
                <w:sz w:val="24"/>
                <w:szCs w:val="24"/>
                <w:lang w:eastAsia="lv-LV"/>
              </w:rPr>
              <w:t>1.</w:t>
            </w:r>
          </w:p>
        </w:tc>
        <w:tc>
          <w:tcPr>
            <w:tcW w:w="1665" w:type="pct"/>
            <w:tcBorders>
              <w:top w:val="single" w:sz="4" w:space="0" w:color="auto"/>
              <w:left w:val="single" w:sz="4" w:space="0" w:color="auto"/>
              <w:bottom w:val="single" w:sz="4" w:space="0" w:color="auto"/>
              <w:right w:val="single" w:sz="4" w:space="0" w:color="auto"/>
            </w:tcBorders>
            <w:hideMark/>
          </w:tcPr>
          <w:p w:rsidR="00117DB1" w:rsidRPr="000B55A9" w:rsidRDefault="00117DB1" w:rsidP="00117DB1">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 xml:space="preserve">Sabiedrības </w:t>
            </w:r>
            <w:proofErr w:type="spellStart"/>
            <w:r w:rsidRPr="000B55A9">
              <w:rPr>
                <w:rFonts w:ascii="Times New Roman" w:eastAsia="Times New Roman" w:hAnsi="Times New Roman" w:cs="Times New Roman"/>
                <w:sz w:val="24"/>
                <w:szCs w:val="24"/>
                <w:lang w:eastAsia="lv-LV"/>
              </w:rPr>
              <w:t>mērķgrupas</w:t>
            </w:r>
            <w:proofErr w:type="spellEnd"/>
            <w:r w:rsidRPr="000B55A9">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single" w:sz="4" w:space="0" w:color="auto"/>
              <w:bottom w:val="outset" w:sz="6" w:space="0" w:color="414142"/>
              <w:right w:val="outset" w:sz="6" w:space="0" w:color="414142"/>
            </w:tcBorders>
            <w:hideMark/>
          </w:tcPr>
          <w:p w:rsidR="0034258F" w:rsidRDefault="0034258F" w:rsidP="00F96D99">
            <w:pPr>
              <w:spacing w:after="0" w:line="240" w:lineRule="auto"/>
              <w:ind w:right="113" w:firstLine="396"/>
              <w:jc w:val="both"/>
              <w:rPr>
                <w:rFonts w:ascii="Times New Roman" w:eastAsia="Times New Roman" w:hAnsi="Times New Roman" w:cs="Times New Roman"/>
                <w:sz w:val="24"/>
                <w:szCs w:val="24"/>
                <w:lang w:eastAsia="lv-LV"/>
              </w:rPr>
            </w:pPr>
            <w:r w:rsidRPr="0034258F">
              <w:rPr>
                <w:rFonts w:ascii="Times New Roman" w:eastAsia="Times New Roman" w:hAnsi="Times New Roman" w:cs="Times New Roman"/>
                <w:sz w:val="24"/>
                <w:szCs w:val="24"/>
                <w:lang w:eastAsia="lv-LV"/>
              </w:rPr>
              <w:t>Likumprojekta pieņemšana attiecas uz personām</w:t>
            </w:r>
            <w:r>
              <w:rPr>
                <w:rFonts w:ascii="Times New Roman" w:eastAsia="Times New Roman" w:hAnsi="Times New Roman" w:cs="Times New Roman"/>
                <w:sz w:val="24"/>
                <w:szCs w:val="24"/>
                <w:lang w:eastAsia="lv-LV"/>
              </w:rPr>
              <w:t xml:space="preserve">, kas dabasgāzi izmanto </w:t>
            </w:r>
            <w:r w:rsidR="00832B4C" w:rsidRPr="00832B4C">
              <w:rPr>
                <w:rFonts w:ascii="Times New Roman" w:eastAsia="Times New Roman" w:hAnsi="Times New Roman" w:cs="Times New Roman"/>
                <w:sz w:val="24"/>
                <w:szCs w:val="24"/>
                <w:lang w:eastAsia="lv-LV"/>
              </w:rPr>
              <w:t xml:space="preserve">lauksaimniecībā izmantojamās zemes </w:t>
            </w:r>
            <w:r w:rsidRPr="0034258F">
              <w:rPr>
                <w:rFonts w:ascii="Times New Roman" w:eastAsia="Times New Roman" w:hAnsi="Times New Roman" w:cs="Times New Roman"/>
                <w:sz w:val="24"/>
                <w:szCs w:val="24"/>
                <w:lang w:eastAsia="lv-LV"/>
              </w:rPr>
              <w:t>segto pla</w:t>
            </w:r>
            <w:r>
              <w:rPr>
                <w:rFonts w:ascii="Times New Roman" w:eastAsia="Times New Roman" w:hAnsi="Times New Roman" w:cs="Times New Roman"/>
                <w:sz w:val="24"/>
                <w:szCs w:val="24"/>
                <w:lang w:eastAsia="lv-LV"/>
              </w:rPr>
              <w:t>tību (siltumnīcu) siltumapgādei vai</w:t>
            </w:r>
            <w:r w:rsidRPr="0034258F">
              <w:rPr>
                <w:rFonts w:ascii="Times New Roman" w:eastAsia="Times New Roman" w:hAnsi="Times New Roman" w:cs="Times New Roman"/>
                <w:sz w:val="24"/>
                <w:szCs w:val="24"/>
                <w:lang w:eastAsia="lv-LV"/>
              </w:rPr>
              <w:t xml:space="preserve"> rūpniecisko mājputnu novietņu (kū</w:t>
            </w:r>
            <w:r>
              <w:rPr>
                <w:rFonts w:ascii="Times New Roman" w:eastAsia="Times New Roman" w:hAnsi="Times New Roman" w:cs="Times New Roman"/>
                <w:sz w:val="24"/>
                <w:szCs w:val="24"/>
                <w:lang w:eastAsia="lv-LV"/>
              </w:rPr>
              <w:t>ts) un inkubatoru siltumapgādei.</w:t>
            </w:r>
          </w:p>
          <w:p w:rsidR="0034258F" w:rsidRDefault="0034258F" w:rsidP="00F96D99">
            <w:pPr>
              <w:spacing w:after="0" w:line="240" w:lineRule="auto"/>
              <w:ind w:right="113"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attiecas uz komersantiem, kas dabasgāzi piegādā gala</w:t>
            </w:r>
            <w:r w:rsidR="00832B4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ietotājiem</w:t>
            </w:r>
            <w:r w:rsidR="00832B4C">
              <w:rPr>
                <w:rFonts w:ascii="Times New Roman" w:eastAsia="Times New Roman" w:hAnsi="Times New Roman" w:cs="Times New Roman"/>
                <w:sz w:val="24"/>
                <w:szCs w:val="24"/>
                <w:lang w:eastAsia="lv-LV"/>
              </w:rPr>
              <w:t>, kuri dabasgāzi izmanto</w:t>
            </w:r>
            <w:r w:rsidR="00832B4C">
              <w:t xml:space="preserve"> </w:t>
            </w:r>
            <w:r w:rsidR="00832B4C" w:rsidRPr="00832B4C">
              <w:rPr>
                <w:rFonts w:ascii="Times New Roman" w:eastAsia="Times New Roman" w:hAnsi="Times New Roman" w:cs="Times New Roman"/>
                <w:sz w:val="24"/>
                <w:szCs w:val="24"/>
                <w:lang w:eastAsia="lv-LV"/>
              </w:rPr>
              <w:t>lauksaimniecībā izmantojamās zemes segto platību (siltumnīcu) siltumapgādei</w:t>
            </w:r>
            <w:r w:rsidR="00E15BA2">
              <w:rPr>
                <w:rFonts w:ascii="Times New Roman" w:eastAsia="Times New Roman" w:hAnsi="Times New Roman" w:cs="Times New Roman"/>
                <w:sz w:val="24"/>
                <w:szCs w:val="24"/>
                <w:lang w:eastAsia="lv-LV"/>
              </w:rPr>
              <w:t xml:space="preserve"> kā arī</w:t>
            </w:r>
            <w:r w:rsidR="00176609">
              <w:rPr>
                <w:rFonts w:ascii="Times New Roman" w:eastAsia="Times New Roman" w:hAnsi="Times New Roman" w:cs="Times New Roman"/>
                <w:sz w:val="24"/>
                <w:szCs w:val="24"/>
                <w:lang w:eastAsia="lv-LV"/>
              </w:rPr>
              <w:t xml:space="preserve"> </w:t>
            </w:r>
            <w:r w:rsidR="00832B4C" w:rsidRPr="00832B4C">
              <w:rPr>
                <w:rFonts w:ascii="Times New Roman" w:eastAsia="Times New Roman" w:hAnsi="Times New Roman" w:cs="Times New Roman"/>
                <w:sz w:val="24"/>
                <w:szCs w:val="24"/>
                <w:lang w:eastAsia="lv-LV"/>
              </w:rPr>
              <w:t>rūpniecisko mājputnu novietņu (kū</w:t>
            </w:r>
            <w:r w:rsidR="00832B4C">
              <w:rPr>
                <w:rFonts w:ascii="Times New Roman" w:eastAsia="Times New Roman" w:hAnsi="Times New Roman" w:cs="Times New Roman"/>
                <w:sz w:val="24"/>
                <w:szCs w:val="24"/>
                <w:lang w:eastAsia="lv-LV"/>
              </w:rPr>
              <w:t>ts) un inkubatoru siltumapgādei.</w:t>
            </w:r>
          </w:p>
          <w:p w:rsidR="00F96D99" w:rsidRPr="000B55A9" w:rsidRDefault="00F96D99" w:rsidP="00F96D99">
            <w:pPr>
              <w:spacing w:after="0" w:line="240" w:lineRule="auto"/>
              <w:ind w:right="113" w:firstLine="396"/>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 xml:space="preserve">Likumprojekta pieņemšana attiecas uz personām, kas atbilstoši </w:t>
            </w:r>
            <w:r w:rsidR="00660F15">
              <w:rPr>
                <w:rFonts w:ascii="Times New Roman" w:eastAsia="Times New Roman" w:hAnsi="Times New Roman" w:cs="Times New Roman"/>
                <w:sz w:val="24"/>
                <w:szCs w:val="24"/>
                <w:lang w:eastAsia="lv-LV"/>
              </w:rPr>
              <w:t>normatīvajiem aktiem par licencētu komercdarbību zvejniecībā, ir saņēmusi licences un nodarbojas ar zvejniecību piekrastes ūdeņos un iekšējos ūdeņos</w:t>
            </w:r>
            <w:r w:rsidRPr="000B55A9">
              <w:rPr>
                <w:rFonts w:ascii="Times New Roman" w:eastAsia="Times New Roman" w:hAnsi="Times New Roman" w:cs="Times New Roman"/>
                <w:sz w:val="24"/>
                <w:szCs w:val="24"/>
                <w:lang w:eastAsia="lv-LV"/>
              </w:rPr>
              <w:t>.</w:t>
            </w:r>
          </w:p>
          <w:p w:rsidR="00117DB1" w:rsidRPr="000B55A9" w:rsidRDefault="00755236" w:rsidP="00DB24C6">
            <w:pPr>
              <w:spacing w:after="0" w:line="240" w:lineRule="auto"/>
              <w:ind w:right="119" w:firstLine="392"/>
              <w:jc w:val="both"/>
              <w:rPr>
                <w:rFonts w:ascii="Times New Roman" w:hAnsi="Times New Roman" w:cs="Times New Roman"/>
                <w:sz w:val="24"/>
                <w:szCs w:val="24"/>
              </w:rPr>
            </w:pPr>
            <w:r w:rsidRPr="000B55A9">
              <w:rPr>
                <w:rFonts w:ascii="Times New Roman" w:eastAsia="Times New Roman" w:hAnsi="Times New Roman" w:cs="Times New Roman"/>
                <w:sz w:val="24"/>
                <w:szCs w:val="24"/>
                <w:lang w:eastAsia="lv-LV"/>
              </w:rPr>
              <w:t>L</w:t>
            </w:r>
            <w:r w:rsidR="00A1411D" w:rsidRPr="000B55A9">
              <w:rPr>
                <w:rFonts w:ascii="Times New Roman" w:eastAsia="Times New Roman" w:hAnsi="Times New Roman" w:cs="Times New Roman"/>
                <w:sz w:val="24"/>
                <w:szCs w:val="24"/>
                <w:lang w:eastAsia="lv-LV"/>
              </w:rPr>
              <w:t>ikump</w:t>
            </w:r>
            <w:r w:rsidR="00947ACC" w:rsidRPr="000B55A9">
              <w:rPr>
                <w:rFonts w:ascii="Times New Roman" w:eastAsia="Times New Roman" w:hAnsi="Times New Roman" w:cs="Times New Roman"/>
                <w:sz w:val="24"/>
                <w:szCs w:val="24"/>
                <w:lang w:eastAsia="lv-LV"/>
              </w:rPr>
              <w:t>rojekts attiecas uz komersantiem, kas veic darbības ar naftas produktiem.</w:t>
            </w:r>
          </w:p>
        </w:tc>
      </w:tr>
      <w:tr w:rsidR="00543AA6" w:rsidRPr="000B55A9" w:rsidTr="00F909CA">
        <w:tc>
          <w:tcPr>
            <w:tcW w:w="341"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rsidR="009B0004"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Tiesiskā regulējuma ietekme uz tautsaimniecību un administratīvo slogu</w:t>
            </w:r>
          </w:p>
          <w:p w:rsidR="009B0004" w:rsidRPr="000B55A9" w:rsidRDefault="009B0004" w:rsidP="009B0004">
            <w:pPr>
              <w:rPr>
                <w:rFonts w:ascii="Times New Roman" w:eastAsia="Times New Roman" w:hAnsi="Times New Roman" w:cs="Times New Roman"/>
                <w:sz w:val="24"/>
                <w:szCs w:val="24"/>
                <w:lang w:eastAsia="lv-LV"/>
              </w:rPr>
            </w:pPr>
          </w:p>
          <w:p w:rsidR="00543AA6" w:rsidRPr="000B55A9"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rsidR="00832B4C" w:rsidRDefault="00832B4C" w:rsidP="00176609">
            <w:pPr>
              <w:spacing w:after="0" w:line="240" w:lineRule="auto"/>
              <w:ind w:firstLine="392"/>
              <w:jc w:val="both"/>
              <w:rPr>
                <w:rFonts w:ascii="Times New Roman" w:hAnsi="Times New Roman" w:cs="Times New Roman"/>
                <w:sz w:val="24"/>
              </w:rPr>
            </w:pPr>
            <w:r>
              <w:rPr>
                <w:rFonts w:ascii="Times New Roman" w:hAnsi="Times New Roman" w:cs="Times New Roman"/>
                <w:sz w:val="24"/>
              </w:rPr>
              <w:t>Likumprojekts paredz noteikt minimālo nodokļa likmi dabasgāz</w:t>
            </w:r>
            <w:r w:rsidR="00E15BA2">
              <w:rPr>
                <w:rFonts w:ascii="Times New Roman" w:hAnsi="Times New Roman" w:cs="Times New Roman"/>
                <w:sz w:val="24"/>
              </w:rPr>
              <w:t>ei</w:t>
            </w:r>
            <w:r>
              <w:rPr>
                <w:rFonts w:ascii="Times New Roman" w:hAnsi="Times New Roman" w:cs="Times New Roman"/>
                <w:sz w:val="24"/>
              </w:rPr>
              <w:t>, kuru izmanto</w:t>
            </w:r>
            <w:r>
              <w:t xml:space="preserve"> </w:t>
            </w:r>
            <w:r w:rsidRPr="00832B4C">
              <w:rPr>
                <w:rFonts w:ascii="Times New Roman" w:hAnsi="Times New Roman" w:cs="Times New Roman"/>
                <w:sz w:val="24"/>
              </w:rPr>
              <w:t xml:space="preserve">lauksaimniecībā izmantojamās zemes segto platību (siltumnīcu) siltumapgādei, </w:t>
            </w:r>
            <w:r w:rsidR="00E15BA2">
              <w:rPr>
                <w:rFonts w:ascii="Times New Roman" w:hAnsi="Times New Roman" w:cs="Times New Roman"/>
                <w:sz w:val="24"/>
              </w:rPr>
              <w:t>kā arī</w:t>
            </w:r>
            <w:r w:rsidRPr="00832B4C">
              <w:rPr>
                <w:rFonts w:ascii="Times New Roman" w:hAnsi="Times New Roman" w:cs="Times New Roman"/>
                <w:sz w:val="24"/>
              </w:rPr>
              <w:t xml:space="preserve"> rūpniecisko mājputnu novietņu (kū</w:t>
            </w:r>
            <w:r>
              <w:rPr>
                <w:rFonts w:ascii="Times New Roman" w:hAnsi="Times New Roman" w:cs="Times New Roman"/>
                <w:sz w:val="24"/>
              </w:rPr>
              <w:t>ts) un inkubatoru siltumapgādei, atbilstoši likuma 15.</w:t>
            </w:r>
            <w:r w:rsidRPr="00784D9C">
              <w:rPr>
                <w:rFonts w:ascii="Times New Roman" w:hAnsi="Times New Roman" w:cs="Times New Roman"/>
                <w:sz w:val="24"/>
                <w:vertAlign w:val="superscript"/>
              </w:rPr>
              <w:t>1</w:t>
            </w:r>
            <w:r>
              <w:rPr>
                <w:rFonts w:ascii="Times New Roman" w:hAnsi="Times New Roman" w:cs="Times New Roman"/>
                <w:sz w:val="24"/>
              </w:rPr>
              <w:t xml:space="preserve"> panta pirmās daļas 3.punktam.</w:t>
            </w:r>
          </w:p>
          <w:p w:rsidR="000B00F2" w:rsidRPr="000B55A9" w:rsidRDefault="005C150F" w:rsidP="00176609">
            <w:pPr>
              <w:spacing w:line="240" w:lineRule="auto"/>
              <w:ind w:firstLine="392"/>
              <w:jc w:val="both"/>
            </w:pPr>
            <w:r w:rsidRPr="002B3881">
              <w:rPr>
                <w:rFonts w:ascii="Times New Roman" w:hAnsi="Times New Roman" w:cs="Times New Roman"/>
                <w:sz w:val="24"/>
              </w:rPr>
              <w:t>Likumprojekt</w:t>
            </w:r>
            <w:r w:rsidR="00657D2C" w:rsidRPr="002B3881">
              <w:rPr>
                <w:rFonts w:ascii="Times New Roman" w:hAnsi="Times New Roman" w:cs="Times New Roman"/>
                <w:sz w:val="24"/>
              </w:rPr>
              <w:t xml:space="preserve">s </w:t>
            </w:r>
            <w:r w:rsidR="00DB24C6" w:rsidRPr="002B3881">
              <w:rPr>
                <w:rFonts w:ascii="Times New Roman" w:hAnsi="Times New Roman" w:cs="Times New Roman"/>
                <w:sz w:val="24"/>
              </w:rPr>
              <w:t>paredz</w:t>
            </w:r>
            <w:r w:rsidR="00DB24C6" w:rsidRPr="002B3881">
              <w:rPr>
                <w:sz w:val="24"/>
              </w:rPr>
              <w:t xml:space="preserve"> </w:t>
            </w:r>
            <w:r w:rsidR="002B3881" w:rsidRPr="002B3881">
              <w:rPr>
                <w:rFonts w:ascii="Times New Roman" w:eastAsia="Times New Roman" w:hAnsi="Times New Roman" w:cs="Times New Roman"/>
                <w:sz w:val="24"/>
                <w:szCs w:val="24"/>
                <w:lang w:eastAsia="lv-LV"/>
              </w:rPr>
              <w:t>vienota</w:t>
            </w:r>
            <w:r w:rsidR="002B3881">
              <w:rPr>
                <w:rFonts w:ascii="Times New Roman" w:eastAsia="Times New Roman" w:hAnsi="Times New Roman" w:cs="Times New Roman"/>
                <w:sz w:val="24"/>
                <w:szCs w:val="24"/>
                <w:lang w:eastAsia="lv-LV"/>
              </w:rPr>
              <w:t>s</w:t>
            </w:r>
            <w:r w:rsidR="002B3881" w:rsidRPr="002B3881">
              <w:rPr>
                <w:rFonts w:ascii="Times New Roman" w:eastAsia="Times New Roman" w:hAnsi="Times New Roman" w:cs="Times New Roman"/>
                <w:sz w:val="24"/>
                <w:szCs w:val="24"/>
                <w:lang w:eastAsia="lv-LV"/>
              </w:rPr>
              <w:t xml:space="preserve"> pieeja</w:t>
            </w:r>
            <w:r w:rsidR="002B3881">
              <w:rPr>
                <w:rFonts w:ascii="Times New Roman" w:eastAsia="Times New Roman" w:hAnsi="Times New Roman" w:cs="Times New Roman"/>
                <w:sz w:val="24"/>
                <w:szCs w:val="24"/>
                <w:lang w:eastAsia="lv-LV"/>
              </w:rPr>
              <w:t xml:space="preserve">s nodrošināšanu dīzeļdegvielas iegādē </w:t>
            </w:r>
            <w:r w:rsidR="002B3881" w:rsidRPr="002B3881">
              <w:rPr>
                <w:rFonts w:ascii="Times New Roman" w:eastAsia="Times New Roman" w:hAnsi="Times New Roman" w:cs="Times New Roman"/>
                <w:sz w:val="24"/>
                <w:szCs w:val="24"/>
                <w:lang w:eastAsia="lv-LV"/>
              </w:rPr>
              <w:t xml:space="preserve">attiecībā uz zvejniekiem: gan uz tiem, kuri darbojas ostu teritorijās un izmanto </w:t>
            </w:r>
            <w:proofErr w:type="spellStart"/>
            <w:r w:rsidR="002B3881" w:rsidRPr="002B3881">
              <w:rPr>
                <w:rFonts w:ascii="Times New Roman" w:eastAsia="Times New Roman" w:hAnsi="Times New Roman" w:cs="Times New Roman"/>
                <w:sz w:val="24"/>
                <w:szCs w:val="24"/>
                <w:lang w:eastAsia="lv-LV"/>
              </w:rPr>
              <w:t>bezakcīzes</w:t>
            </w:r>
            <w:proofErr w:type="spellEnd"/>
            <w:r w:rsidR="002B3881" w:rsidRPr="002B3881">
              <w:rPr>
                <w:rFonts w:ascii="Times New Roman" w:eastAsia="Times New Roman" w:hAnsi="Times New Roman" w:cs="Times New Roman"/>
                <w:sz w:val="24"/>
                <w:szCs w:val="24"/>
                <w:lang w:eastAsia="lv-LV"/>
              </w:rPr>
              <w:t xml:space="preserve"> degvielu, gan uz tiem, kuri atrodas attālu no ostu teritorijām un varēs iegādāties marķētu dīzeļdegvielu ar samazinātu akcīzes nodokļa likmi, kurai tiktu paredzēta samazinātās akcīzes nodokļa likmes atmaksa. Savukārt zvejniekiem zvejai iekšējos ūdeņos izmantotajai dīzeļdegvielai tiktu piemērota samazinātā akcīzes nodokļa likme, kāda ir noteikta likuma 14.panta 2.</w:t>
            </w:r>
            <w:r w:rsidR="002B3881" w:rsidRPr="002B3881">
              <w:rPr>
                <w:rFonts w:ascii="Times New Roman" w:eastAsia="Times New Roman" w:hAnsi="Times New Roman" w:cs="Times New Roman"/>
                <w:sz w:val="24"/>
                <w:szCs w:val="24"/>
                <w:vertAlign w:val="superscript"/>
                <w:lang w:eastAsia="lv-LV"/>
              </w:rPr>
              <w:t>2</w:t>
            </w:r>
            <w:r w:rsidR="002B3881" w:rsidRPr="002B3881">
              <w:rPr>
                <w:rFonts w:ascii="Times New Roman" w:eastAsia="Times New Roman" w:hAnsi="Times New Roman" w:cs="Times New Roman"/>
                <w:sz w:val="24"/>
                <w:szCs w:val="24"/>
                <w:lang w:eastAsia="lv-LV"/>
              </w:rPr>
              <w:t xml:space="preserve"> daļā.</w:t>
            </w:r>
          </w:p>
        </w:tc>
      </w:tr>
      <w:tr w:rsidR="00543AA6" w:rsidRPr="000B55A9" w:rsidTr="00F909CA">
        <w:tc>
          <w:tcPr>
            <w:tcW w:w="341"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rsidR="00543AA6" w:rsidRPr="000B55A9" w:rsidRDefault="008057B9" w:rsidP="008057B9">
            <w:pPr>
              <w:spacing w:after="0" w:line="240" w:lineRule="auto"/>
              <w:ind w:right="119"/>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543AA6" w:rsidRPr="000B55A9" w:rsidTr="00F909CA">
        <w:tc>
          <w:tcPr>
            <w:tcW w:w="341"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rsidR="00543AA6" w:rsidRPr="000B55A9" w:rsidRDefault="0069728C"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543AA6" w:rsidRPr="000B55A9" w:rsidTr="00F909CA">
        <w:tc>
          <w:tcPr>
            <w:tcW w:w="341"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rsidR="00543AA6" w:rsidRPr="000B55A9" w:rsidRDefault="008515AE"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Nav.</w:t>
            </w:r>
          </w:p>
        </w:tc>
      </w:tr>
    </w:tbl>
    <w:p w:rsidR="00543AA6" w:rsidRPr="000B55A9" w:rsidRDefault="00543AA6" w:rsidP="00543AA6">
      <w:pPr>
        <w:spacing w:after="0" w:line="240" w:lineRule="auto"/>
        <w:rPr>
          <w:rFonts w:ascii="Times New Roman" w:eastAsia="Times New Roman" w:hAnsi="Times New Roman" w:cs="Times New Roman"/>
          <w:sz w:val="24"/>
          <w:szCs w:val="24"/>
          <w:lang w:eastAsia="lv-LV"/>
        </w:rPr>
      </w:pPr>
    </w:p>
    <w:tbl>
      <w:tblPr>
        <w:tblStyle w:val="TableGrid"/>
        <w:tblW w:w="5143" w:type="pct"/>
        <w:tblLayout w:type="fixed"/>
        <w:tblLook w:val="04A0" w:firstRow="1" w:lastRow="0" w:firstColumn="1" w:lastColumn="0" w:noHBand="0" w:noVBand="1"/>
      </w:tblPr>
      <w:tblGrid>
        <w:gridCol w:w="1696"/>
        <w:gridCol w:w="1276"/>
        <w:gridCol w:w="992"/>
        <w:gridCol w:w="1276"/>
        <w:gridCol w:w="1134"/>
        <w:gridCol w:w="992"/>
        <w:gridCol w:w="993"/>
        <w:gridCol w:w="1008"/>
      </w:tblGrid>
      <w:tr w:rsidR="005F0E61" w:rsidRPr="000B55A9" w:rsidTr="0069728C">
        <w:trPr>
          <w:trHeight w:val="267"/>
        </w:trPr>
        <w:tc>
          <w:tcPr>
            <w:tcW w:w="9367" w:type="dxa"/>
            <w:gridSpan w:val="8"/>
            <w:hideMark/>
          </w:tcPr>
          <w:p w:rsidR="005F0E61" w:rsidRPr="000B55A9" w:rsidRDefault="005F0E61" w:rsidP="0069728C">
            <w:pPr>
              <w:rPr>
                <w:rFonts w:eastAsia="Times New Roman" w:cs="Times New Roman"/>
                <w:b/>
                <w:bCs/>
                <w:iCs/>
                <w:sz w:val="24"/>
                <w:szCs w:val="24"/>
                <w:lang w:eastAsia="lv-LV"/>
              </w:rPr>
            </w:pPr>
            <w:r w:rsidRPr="000B55A9">
              <w:rPr>
                <w:rFonts w:eastAsia="Times New Roman" w:cs="Times New Roman"/>
                <w:b/>
                <w:bCs/>
                <w:iCs/>
                <w:sz w:val="24"/>
                <w:szCs w:val="24"/>
                <w:lang w:eastAsia="lv-LV"/>
              </w:rPr>
              <w:t>III. Tiesību akta projekta ietekme uz valsts budžetu un pašvaldību budžetiem</w:t>
            </w:r>
          </w:p>
        </w:tc>
      </w:tr>
      <w:tr w:rsidR="005F0E61" w:rsidRPr="000B55A9" w:rsidTr="00B379F2">
        <w:trPr>
          <w:trHeight w:val="252"/>
        </w:trPr>
        <w:tc>
          <w:tcPr>
            <w:tcW w:w="1696" w:type="dxa"/>
            <w:vMerge w:val="restart"/>
          </w:tcPr>
          <w:p w:rsidR="005F0E61" w:rsidRPr="000B55A9" w:rsidRDefault="005F0E61" w:rsidP="0069728C">
            <w:pPr>
              <w:rPr>
                <w:rFonts w:eastAsia="Times New Roman" w:cs="Times New Roman"/>
                <w:bCs/>
                <w:iCs/>
                <w:sz w:val="24"/>
                <w:szCs w:val="24"/>
                <w:lang w:eastAsia="lv-LV"/>
              </w:rPr>
            </w:pPr>
            <w:r w:rsidRPr="000B55A9">
              <w:rPr>
                <w:rFonts w:eastAsia="Times New Roman" w:cs="Times New Roman"/>
                <w:bCs/>
                <w:iCs/>
                <w:sz w:val="24"/>
                <w:szCs w:val="24"/>
                <w:lang w:eastAsia="lv-LV"/>
              </w:rPr>
              <w:t>Rādītāji</w:t>
            </w:r>
          </w:p>
        </w:tc>
        <w:tc>
          <w:tcPr>
            <w:tcW w:w="2268" w:type="dxa"/>
            <w:gridSpan w:val="2"/>
            <w:vMerge w:val="restart"/>
            <w:hideMark/>
          </w:tcPr>
          <w:p w:rsidR="005F0E61" w:rsidRPr="000B55A9" w:rsidRDefault="005F0E61" w:rsidP="0069728C">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201</w:t>
            </w:r>
            <w:r w:rsidR="001A4420">
              <w:rPr>
                <w:rFonts w:eastAsia="Times New Roman" w:cs="Times New Roman"/>
                <w:b/>
                <w:bCs/>
                <w:iCs/>
                <w:sz w:val="24"/>
                <w:szCs w:val="24"/>
                <w:lang w:eastAsia="lv-LV"/>
              </w:rPr>
              <w:t>9</w:t>
            </w:r>
          </w:p>
        </w:tc>
        <w:tc>
          <w:tcPr>
            <w:tcW w:w="5403" w:type="dxa"/>
            <w:gridSpan w:val="5"/>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Turpmākie trīs gadi (</w:t>
            </w:r>
            <w:proofErr w:type="spellStart"/>
            <w:r w:rsidRPr="000B55A9">
              <w:rPr>
                <w:rFonts w:eastAsia="Times New Roman" w:cs="Times New Roman"/>
                <w:i/>
                <w:iCs/>
                <w:sz w:val="24"/>
                <w:szCs w:val="24"/>
                <w:lang w:eastAsia="lv-LV"/>
              </w:rPr>
              <w:t>euro</w:t>
            </w:r>
            <w:proofErr w:type="spellEnd"/>
            <w:r w:rsidRPr="000B55A9">
              <w:rPr>
                <w:rFonts w:eastAsia="Times New Roman" w:cs="Times New Roman"/>
                <w:iCs/>
                <w:sz w:val="24"/>
                <w:szCs w:val="24"/>
                <w:lang w:eastAsia="lv-LV"/>
              </w:rPr>
              <w:t>)</w:t>
            </w:r>
          </w:p>
        </w:tc>
      </w:tr>
      <w:tr w:rsidR="005F0E61" w:rsidRPr="000B55A9" w:rsidTr="00B379F2">
        <w:trPr>
          <w:trHeight w:val="282"/>
        </w:trPr>
        <w:tc>
          <w:tcPr>
            <w:tcW w:w="1696" w:type="dxa"/>
            <w:vMerge/>
            <w:hideMark/>
          </w:tcPr>
          <w:p w:rsidR="005F0E61" w:rsidRPr="000B55A9" w:rsidRDefault="005F0E61" w:rsidP="0069728C">
            <w:pPr>
              <w:rPr>
                <w:rFonts w:eastAsia="Times New Roman" w:cs="Times New Roman"/>
                <w:bCs/>
                <w:iCs/>
                <w:sz w:val="24"/>
                <w:szCs w:val="24"/>
                <w:lang w:eastAsia="lv-LV"/>
              </w:rPr>
            </w:pPr>
          </w:p>
        </w:tc>
        <w:tc>
          <w:tcPr>
            <w:tcW w:w="2268" w:type="dxa"/>
            <w:gridSpan w:val="2"/>
            <w:vMerge/>
            <w:hideMark/>
          </w:tcPr>
          <w:p w:rsidR="005F0E61" w:rsidRPr="000B55A9" w:rsidRDefault="005F0E61" w:rsidP="0069728C">
            <w:pPr>
              <w:rPr>
                <w:rFonts w:eastAsia="Times New Roman" w:cs="Times New Roman"/>
                <w:bCs/>
                <w:iCs/>
                <w:sz w:val="24"/>
                <w:szCs w:val="24"/>
                <w:lang w:eastAsia="lv-LV"/>
              </w:rPr>
            </w:pPr>
          </w:p>
        </w:tc>
        <w:tc>
          <w:tcPr>
            <w:tcW w:w="2410" w:type="dxa"/>
            <w:gridSpan w:val="2"/>
            <w:hideMark/>
          </w:tcPr>
          <w:p w:rsidR="005F0E61" w:rsidRPr="000B55A9" w:rsidRDefault="005F0E61" w:rsidP="001A4420">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w:t>
            </w:r>
            <w:r w:rsidR="001A4420">
              <w:rPr>
                <w:rFonts w:eastAsia="Times New Roman" w:cs="Times New Roman"/>
                <w:b/>
                <w:bCs/>
                <w:iCs/>
                <w:sz w:val="24"/>
                <w:szCs w:val="24"/>
                <w:lang w:eastAsia="lv-LV"/>
              </w:rPr>
              <w:t>20</w:t>
            </w:r>
          </w:p>
        </w:tc>
        <w:tc>
          <w:tcPr>
            <w:tcW w:w="1985" w:type="dxa"/>
            <w:gridSpan w:val="2"/>
            <w:hideMark/>
          </w:tcPr>
          <w:p w:rsidR="005F0E61" w:rsidRPr="000B55A9" w:rsidRDefault="005F0E61" w:rsidP="0069728C">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202</w:t>
            </w:r>
            <w:r w:rsidR="001A4420">
              <w:rPr>
                <w:rFonts w:eastAsia="Times New Roman" w:cs="Times New Roman"/>
                <w:b/>
                <w:bCs/>
                <w:iCs/>
                <w:sz w:val="24"/>
                <w:szCs w:val="24"/>
                <w:lang w:eastAsia="lv-LV"/>
              </w:rPr>
              <w:t>1</w:t>
            </w:r>
          </w:p>
        </w:tc>
        <w:tc>
          <w:tcPr>
            <w:tcW w:w="1008" w:type="dxa"/>
            <w:hideMark/>
          </w:tcPr>
          <w:p w:rsidR="005F0E61" w:rsidRPr="000B55A9" w:rsidRDefault="005F0E61" w:rsidP="001A4420">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202</w:t>
            </w:r>
            <w:r w:rsidR="001A4420">
              <w:rPr>
                <w:rFonts w:eastAsia="Times New Roman" w:cs="Times New Roman"/>
                <w:b/>
                <w:bCs/>
                <w:iCs/>
                <w:sz w:val="24"/>
                <w:szCs w:val="24"/>
                <w:lang w:eastAsia="lv-LV"/>
              </w:rPr>
              <w:t>2</w:t>
            </w:r>
          </w:p>
        </w:tc>
      </w:tr>
      <w:tr w:rsidR="005F0E61" w:rsidRPr="000B55A9" w:rsidTr="00B379F2">
        <w:trPr>
          <w:trHeight w:val="2363"/>
        </w:trPr>
        <w:tc>
          <w:tcPr>
            <w:tcW w:w="1696" w:type="dxa"/>
            <w:vMerge/>
            <w:hideMark/>
          </w:tcPr>
          <w:p w:rsidR="005F0E61" w:rsidRPr="000B55A9" w:rsidRDefault="005F0E61" w:rsidP="0069728C">
            <w:pPr>
              <w:rPr>
                <w:rFonts w:eastAsia="Times New Roman" w:cs="Times New Roman"/>
                <w:b/>
                <w:bCs/>
                <w:iCs/>
                <w:sz w:val="24"/>
                <w:szCs w:val="24"/>
                <w:lang w:eastAsia="lv-LV"/>
              </w:rPr>
            </w:pPr>
          </w:p>
        </w:tc>
        <w:tc>
          <w:tcPr>
            <w:tcW w:w="1276" w:type="dxa"/>
            <w:hideMark/>
          </w:tcPr>
          <w:p w:rsidR="005F0E61" w:rsidRPr="000B55A9" w:rsidRDefault="005F0E61" w:rsidP="003B0056">
            <w:pPr>
              <w:rPr>
                <w:rFonts w:eastAsia="Times New Roman" w:cs="Times New Roman"/>
                <w:iCs/>
                <w:sz w:val="24"/>
                <w:szCs w:val="24"/>
                <w:lang w:eastAsia="lv-LV"/>
              </w:rPr>
            </w:pPr>
            <w:r w:rsidRPr="000B55A9">
              <w:rPr>
                <w:rFonts w:eastAsia="Times New Roman" w:cs="Times New Roman"/>
                <w:iCs/>
                <w:sz w:val="24"/>
                <w:szCs w:val="24"/>
                <w:lang w:eastAsia="lv-LV"/>
              </w:rPr>
              <w:t>saskaņā ar valsts budžetu kārtējam gadam</w:t>
            </w:r>
          </w:p>
        </w:tc>
        <w:tc>
          <w:tcPr>
            <w:tcW w:w="992" w:type="dxa"/>
            <w:hideMark/>
          </w:tcPr>
          <w:p w:rsidR="005F0E61" w:rsidRPr="000B55A9" w:rsidRDefault="003B0056" w:rsidP="0069728C">
            <w:pPr>
              <w:rPr>
                <w:rFonts w:eastAsia="Times New Roman" w:cs="Times New Roman"/>
                <w:iCs/>
                <w:sz w:val="24"/>
                <w:szCs w:val="24"/>
                <w:lang w:eastAsia="lv-LV"/>
              </w:rPr>
            </w:pPr>
            <w:proofErr w:type="spellStart"/>
            <w:r w:rsidRPr="000B55A9">
              <w:rPr>
                <w:rFonts w:eastAsia="Times New Roman" w:cs="Times New Roman"/>
                <w:iCs/>
                <w:sz w:val="24"/>
                <w:szCs w:val="24"/>
                <w:lang w:eastAsia="lv-LV"/>
              </w:rPr>
              <w:t>I</w:t>
            </w:r>
            <w:r w:rsidR="005F0E61" w:rsidRPr="000B55A9">
              <w:rPr>
                <w:rFonts w:eastAsia="Times New Roman" w:cs="Times New Roman"/>
                <w:iCs/>
                <w:sz w:val="24"/>
                <w:szCs w:val="24"/>
                <w:lang w:eastAsia="lv-LV"/>
              </w:rPr>
              <w:t>zmai</w:t>
            </w:r>
            <w:r>
              <w:rPr>
                <w:rFonts w:eastAsia="Times New Roman" w:cs="Times New Roman"/>
                <w:iCs/>
                <w:sz w:val="24"/>
                <w:szCs w:val="24"/>
                <w:lang w:eastAsia="lv-LV"/>
              </w:rPr>
              <w:t>-</w:t>
            </w:r>
            <w:r w:rsidR="005F0E61" w:rsidRPr="000B55A9">
              <w:rPr>
                <w:rFonts w:eastAsia="Times New Roman" w:cs="Times New Roman"/>
                <w:iCs/>
                <w:sz w:val="24"/>
                <w:szCs w:val="24"/>
                <w:lang w:eastAsia="lv-LV"/>
              </w:rPr>
              <w:t>ņas</w:t>
            </w:r>
            <w:proofErr w:type="spellEnd"/>
            <w:r w:rsidR="005F0E61" w:rsidRPr="000B55A9">
              <w:rPr>
                <w:rFonts w:eastAsia="Times New Roman" w:cs="Times New Roman"/>
                <w:iCs/>
                <w:sz w:val="24"/>
                <w:szCs w:val="24"/>
                <w:lang w:eastAsia="lv-LV"/>
              </w:rPr>
              <w:t xml:space="preserve"> kārtējā gadā, salīdzi-</w:t>
            </w:r>
            <w:proofErr w:type="spellStart"/>
            <w:r w:rsidR="005F0E61" w:rsidRPr="000B55A9">
              <w:rPr>
                <w:rFonts w:eastAsia="Times New Roman" w:cs="Times New Roman"/>
                <w:iCs/>
                <w:sz w:val="24"/>
                <w:szCs w:val="24"/>
                <w:lang w:eastAsia="lv-LV"/>
              </w:rPr>
              <w:t>not</w:t>
            </w:r>
            <w:proofErr w:type="spellEnd"/>
            <w:r w:rsidR="005F0E61" w:rsidRPr="000B55A9">
              <w:rPr>
                <w:rFonts w:eastAsia="Times New Roman" w:cs="Times New Roman"/>
                <w:iCs/>
                <w:sz w:val="24"/>
                <w:szCs w:val="24"/>
                <w:lang w:eastAsia="lv-LV"/>
              </w:rPr>
              <w:t xml:space="preserve"> ar valsts budžetu kārtējam gadam</w:t>
            </w:r>
          </w:p>
        </w:tc>
        <w:tc>
          <w:tcPr>
            <w:tcW w:w="1276"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saskaņā ar vidēja termiņa budžeta ietvaru</w:t>
            </w:r>
            <w:r w:rsidR="004A2A10">
              <w:rPr>
                <w:rFonts w:eastAsia="Times New Roman" w:cs="Times New Roman"/>
                <w:iCs/>
                <w:sz w:val="24"/>
                <w:szCs w:val="24"/>
                <w:lang w:eastAsia="lv-LV"/>
              </w:rPr>
              <w:t xml:space="preserve"> 2018.-2020.</w:t>
            </w:r>
            <w:r w:rsidR="004A2A10" w:rsidRPr="000B55A9">
              <w:rPr>
                <w:rFonts w:eastAsia="Times New Roman" w:cs="Times New Roman"/>
                <w:iCs/>
                <w:sz w:val="24"/>
                <w:szCs w:val="24"/>
                <w:lang w:eastAsia="lv-LV"/>
              </w:rPr>
              <w:t>g.</w:t>
            </w:r>
          </w:p>
        </w:tc>
        <w:tc>
          <w:tcPr>
            <w:tcW w:w="1134" w:type="dxa"/>
            <w:hideMark/>
          </w:tcPr>
          <w:p w:rsidR="005F0E61" w:rsidRPr="000B55A9" w:rsidRDefault="005F0E61" w:rsidP="00B106B0">
            <w:pPr>
              <w:rPr>
                <w:rFonts w:eastAsia="Times New Roman" w:cs="Times New Roman"/>
                <w:iCs/>
                <w:sz w:val="24"/>
                <w:szCs w:val="24"/>
                <w:lang w:eastAsia="lv-LV"/>
              </w:rPr>
            </w:pPr>
            <w:r w:rsidRPr="000B55A9">
              <w:rPr>
                <w:rFonts w:eastAsia="Times New Roman" w:cs="Times New Roman"/>
                <w:iCs/>
                <w:sz w:val="24"/>
                <w:szCs w:val="24"/>
                <w:lang w:eastAsia="lv-LV"/>
              </w:rPr>
              <w:t>izmaiņas, salīdzi</w:t>
            </w:r>
            <w:r w:rsidR="003B0056">
              <w:rPr>
                <w:rFonts w:eastAsia="Times New Roman" w:cs="Times New Roman"/>
                <w:iCs/>
                <w:sz w:val="24"/>
                <w:szCs w:val="24"/>
                <w:lang w:eastAsia="lv-LV"/>
              </w:rPr>
              <w:t>-</w:t>
            </w:r>
            <w:proofErr w:type="spellStart"/>
            <w:r w:rsidRPr="000B55A9">
              <w:rPr>
                <w:rFonts w:eastAsia="Times New Roman" w:cs="Times New Roman"/>
                <w:iCs/>
                <w:sz w:val="24"/>
                <w:szCs w:val="24"/>
                <w:lang w:eastAsia="lv-LV"/>
              </w:rPr>
              <w:t>not</w:t>
            </w:r>
            <w:proofErr w:type="spellEnd"/>
            <w:r w:rsidRPr="000B55A9">
              <w:rPr>
                <w:rFonts w:eastAsia="Times New Roman" w:cs="Times New Roman"/>
                <w:iCs/>
                <w:sz w:val="24"/>
                <w:szCs w:val="24"/>
                <w:lang w:eastAsia="lv-LV"/>
              </w:rPr>
              <w:t xml:space="preserve"> ar vidēja termiņa budžeta ietvaru</w:t>
            </w:r>
            <w:r w:rsidR="008B4598">
              <w:rPr>
                <w:rFonts w:eastAsia="Times New Roman" w:cs="Times New Roman"/>
                <w:iCs/>
                <w:sz w:val="24"/>
                <w:szCs w:val="24"/>
                <w:lang w:eastAsia="lv-LV"/>
              </w:rPr>
              <w:t xml:space="preserve"> 2018.-2020.</w:t>
            </w:r>
            <w:r w:rsidR="008B4598" w:rsidRPr="000B55A9">
              <w:rPr>
                <w:rFonts w:eastAsia="Times New Roman" w:cs="Times New Roman"/>
                <w:iCs/>
                <w:sz w:val="24"/>
                <w:szCs w:val="24"/>
                <w:lang w:eastAsia="lv-LV"/>
              </w:rPr>
              <w:t>g.</w:t>
            </w:r>
            <w:r w:rsidRPr="000B55A9">
              <w:rPr>
                <w:rFonts w:eastAsia="Times New Roman" w:cs="Times New Roman"/>
                <w:iCs/>
                <w:sz w:val="24"/>
                <w:szCs w:val="24"/>
                <w:lang w:eastAsia="lv-LV"/>
              </w:rPr>
              <w:t xml:space="preserve"> </w:t>
            </w:r>
          </w:p>
        </w:tc>
        <w:tc>
          <w:tcPr>
            <w:tcW w:w="992" w:type="dxa"/>
            <w:hideMark/>
          </w:tcPr>
          <w:p w:rsidR="005F0E61"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saskaņā ar vidēja termiņa budžeta ietvaru</w:t>
            </w:r>
          </w:p>
          <w:p w:rsidR="004A2A10" w:rsidRPr="000B55A9" w:rsidRDefault="004A2A10" w:rsidP="0069728C">
            <w:pPr>
              <w:rPr>
                <w:rFonts w:eastAsia="Times New Roman" w:cs="Times New Roman"/>
                <w:iCs/>
                <w:sz w:val="24"/>
                <w:szCs w:val="24"/>
                <w:lang w:eastAsia="lv-LV"/>
              </w:rPr>
            </w:pPr>
            <w:r>
              <w:rPr>
                <w:rFonts w:eastAsia="Times New Roman" w:cs="Times New Roman"/>
                <w:iCs/>
                <w:sz w:val="24"/>
                <w:szCs w:val="24"/>
                <w:lang w:eastAsia="lv-LV"/>
              </w:rPr>
              <w:t>2018.-2020.</w:t>
            </w:r>
            <w:r w:rsidRPr="000B55A9">
              <w:rPr>
                <w:rFonts w:eastAsia="Times New Roman" w:cs="Times New Roman"/>
                <w:iCs/>
                <w:sz w:val="24"/>
                <w:szCs w:val="24"/>
                <w:lang w:eastAsia="lv-LV"/>
              </w:rPr>
              <w:t>g.</w:t>
            </w:r>
          </w:p>
        </w:tc>
        <w:tc>
          <w:tcPr>
            <w:tcW w:w="993" w:type="dxa"/>
            <w:hideMark/>
          </w:tcPr>
          <w:p w:rsidR="005F0E61" w:rsidRPr="000B55A9" w:rsidRDefault="003B0056" w:rsidP="0069728C">
            <w:pPr>
              <w:rPr>
                <w:rFonts w:eastAsia="Times New Roman" w:cs="Times New Roman"/>
                <w:iCs/>
                <w:sz w:val="24"/>
                <w:szCs w:val="24"/>
                <w:lang w:eastAsia="lv-LV"/>
              </w:rPr>
            </w:pPr>
            <w:proofErr w:type="spellStart"/>
            <w:r w:rsidRPr="000B55A9">
              <w:rPr>
                <w:rFonts w:eastAsia="Times New Roman" w:cs="Times New Roman"/>
                <w:iCs/>
                <w:sz w:val="24"/>
                <w:szCs w:val="24"/>
                <w:lang w:eastAsia="lv-LV"/>
              </w:rPr>
              <w:t>I</w:t>
            </w:r>
            <w:r w:rsidR="005F0E61" w:rsidRPr="000B55A9">
              <w:rPr>
                <w:rFonts w:eastAsia="Times New Roman" w:cs="Times New Roman"/>
                <w:iCs/>
                <w:sz w:val="24"/>
                <w:szCs w:val="24"/>
                <w:lang w:eastAsia="lv-LV"/>
              </w:rPr>
              <w:t>zmai</w:t>
            </w:r>
            <w:r>
              <w:rPr>
                <w:rFonts w:eastAsia="Times New Roman" w:cs="Times New Roman"/>
                <w:iCs/>
                <w:sz w:val="24"/>
                <w:szCs w:val="24"/>
                <w:lang w:eastAsia="lv-LV"/>
              </w:rPr>
              <w:t>-</w:t>
            </w:r>
            <w:r w:rsidR="005F0E61" w:rsidRPr="000B55A9">
              <w:rPr>
                <w:rFonts w:eastAsia="Times New Roman" w:cs="Times New Roman"/>
                <w:iCs/>
                <w:sz w:val="24"/>
                <w:szCs w:val="24"/>
                <w:lang w:eastAsia="lv-LV"/>
              </w:rPr>
              <w:t>ņas</w:t>
            </w:r>
            <w:proofErr w:type="spellEnd"/>
            <w:r w:rsidR="005F0E61" w:rsidRPr="000B55A9">
              <w:rPr>
                <w:rFonts w:eastAsia="Times New Roman" w:cs="Times New Roman"/>
                <w:iCs/>
                <w:sz w:val="24"/>
                <w:szCs w:val="24"/>
                <w:lang w:eastAsia="lv-LV"/>
              </w:rPr>
              <w:t>, salīdzi</w:t>
            </w:r>
            <w:r>
              <w:rPr>
                <w:rFonts w:eastAsia="Times New Roman" w:cs="Times New Roman"/>
                <w:iCs/>
                <w:sz w:val="24"/>
                <w:szCs w:val="24"/>
                <w:lang w:eastAsia="lv-LV"/>
              </w:rPr>
              <w:t>-</w:t>
            </w:r>
            <w:proofErr w:type="spellStart"/>
            <w:r w:rsidR="005F0E61" w:rsidRPr="000B55A9">
              <w:rPr>
                <w:rFonts w:eastAsia="Times New Roman" w:cs="Times New Roman"/>
                <w:iCs/>
                <w:sz w:val="24"/>
                <w:szCs w:val="24"/>
                <w:lang w:eastAsia="lv-LV"/>
              </w:rPr>
              <w:t>not</w:t>
            </w:r>
            <w:proofErr w:type="spellEnd"/>
            <w:r w:rsidR="005F0E61" w:rsidRPr="000B55A9">
              <w:rPr>
                <w:rFonts w:eastAsia="Times New Roman" w:cs="Times New Roman"/>
                <w:iCs/>
                <w:sz w:val="24"/>
                <w:szCs w:val="24"/>
                <w:lang w:eastAsia="lv-LV"/>
              </w:rPr>
              <w:t xml:space="preserve"> ar vidēja termiņa budžeta ietvaru </w:t>
            </w:r>
          </w:p>
          <w:p w:rsidR="005F0E61" w:rsidRPr="000B55A9" w:rsidRDefault="008B4598" w:rsidP="0069728C">
            <w:pPr>
              <w:rPr>
                <w:rFonts w:eastAsia="Times New Roman" w:cs="Times New Roman"/>
                <w:iCs/>
                <w:sz w:val="24"/>
                <w:szCs w:val="24"/>
                <w:lang w:eastAsia="lv-LV"/>
              </w:rPr>
            </w:pPr>
            <w:r>
              <w:rPr>
                <w:rFonts w:eastAsia="Times New Roman" w:cs="Times New Roman"/>
                <w:iCs/>
                <w:sz w:val="24"/>
                <w:szCs w:val="24"/>
                <w:lang w:eastAsia="lv-LV"/>
              </w:rPr>
              <w:t>2018.-2020.</w:t>
            </w:r>
            <w:r w:rsidRPr="000B55A9">
              <w:rPr>
                <w:rFonts w:eastAsia="Times New Roman" w:cs="Times New Roman"/>
                <w:iCs/>
                <w:sz w:val="24"/>
                <w:szCs w:val="24"/>
                <w:lang w:eastAsia="lv-LV"/>
              </w:rPr>
              <w:t>g.</w:t>
            </w:r>
          </w:p>
        </w:tc>
        <w:tc>
          <w:tcPr>
            <w:tcW w:w="1008" w:type="dxa"/>
            <w:hideMark/>
          </w:tcPr>
          <w:p w:rsidR="005F0E61" w:rsidRPr="000B55A9" w:rsidRDefault="003B0056" w:rsidP="0069728C">
            <w:pPr>
              <w:rPr>
                <w:rFonts w:eastAsia="Times New Roman" w:cs="Times New Roman"/>
                <w:iCs/>
                <w:sz w:val="24"/>
                <w:szCs w:val="24"/>
                <w:lang w:eastAsia="lv-LV"/>
              </w:rPr>
            </w:pPr>
            <w:proofErr w:type="spellStart"/>
            <w:r w:rsidRPr="000B55A9">
              <w:rPr>
                <w:rFonts w:eastAsia="Times New Roman" w:cs="Times New Roman"/>
                <w:iCs/>
                <w:sz w:val="24"/>
                <w:szCs w:val="24"/>
                <w:lang w:eastAsia="lv-LV"/>
              </w:rPr>
              <w:t>I</w:t>
            </w:r>
            <w:r w:rsidR="005F0E61" w:rsidRPr="000B55A9">
              <w:rPr>
                <w:rFonts w:eastAsia="Times New Roman" w:cs="Times New Roman"/>
                <w:iCs/>
                <w:sz w:val="24"/>
                <w:szCs w:val="24"/>
                <w:lang w:eastAsia="lv-LV"/>
              </w:rPr>
              <w:t>zmai</w:t>
            </w:r>
            <w:r>
              <w:rPr>
                <w:rFonts w:eastAsia="Times New Roman" w:cs="Times New Roman"/>
                <w:iCs/>
                <w:sz w:val="24"/>
                <w:szCs w:val="24"/>
                <w:lang w:eastAsia="lv-LV"/>
              </w:rPr>
              <w:t>-</w:t>
            </w:r>
            <w:r w:rsidR="005F0E61" w:rsidRPr="000B55A9">
              <w:rPr>
                <w:rFonts w:eastAsia="Times New Roman" w:cs="Times New Roman"/>
                <w:iCs/>
                <w:sz w:val="24"/>
                <w:szCs w:val="24"/>
                <w:lang w:eastAsia="lv-LV"/>
              </w:rPr>
              <w:t>ņas</w:t>
            </w:r>
            <w:proofErr w:type="spellEnd"/>
            <w:r w:rsidR="005F0E61" w:rsidRPr="000B55A9">
              <w:rPr>
                <w:rFonts w:eastAsia="Times New Roman" w:cs="Times New Roman"/>
                <w:iCs/>
                <w:sz w:val="24"/>
                <w:szCs w:val="24"/>
                <w:lang w:eastAsia="lv-LV"/>
              </w:rPr>
              <w:t>, salīdzi</w:t>
            </w:r>
            <w:r>
              <w:rPr>
                <w:rFonts w:eastAsia="Times New Roman" w:cs="Times New Roman"/>
                <w:iCs/>
                <w:sz w:val="24"/>
                <w:szCs w:val="24"/>
                <w:lang w:eastAsia="lv-LV"/>
              </w:rPr>
              <w:t>-</w:t>
            </w:r>
            <w:proofErr w:type="spellStart"/>
            <w:r w:rsidR="005F0E61" w:rsidRPr="000B55A9">
              <w:rPr>
                <w:rFonts w:eastAsia="Times New Roman" w:cs="Times New Roman"/>
                <w:iCs/>
                <w:sz w:val="24"/>
                <w:szCs w:val="24"/>
                <w:lang w:eastAsia="lv-LV"/>
              </w:rPr>
              <w:t>not</w:t>
            </w:r>
            <w:proofErr w:type="spellEnd"/>
            <w:r w:rsidR="005F0E61" w:rsidRPr="000B55A9">
              <w:rPr>
                <w:rFonts w:eastAsia="Times New Roman" w:cs="Times New Roman"/>
                <w:iCs/>
                <w:sz w:val="24"/>
                <w:szCs w:val="24"/>
                <w:lang w:eastAsia="lv-LV"/>
              </w:rPr>
              <w:t xml:space="preserve"> ar vidēja termiņa budžeta ietvaru </w:t>
            </w:r>
            <w:r w:rsidR="005F0E61" w:rsidRPr="000B55A9">
              <w:rPr>
                <w:rFonts w:eastAsia="Times New Roman" w:cs="Times New Roman"/>
                <w:iCs/>
                <w:sz w:val="24"/>
                <w:szCs w:val="24"/>
                <w:lang w:eastAsia="lv-LV"/>
              </w:rPr>
              <w:br/>
            </w:r>
            <w:r w:rsidR="008B4598">
              <w:rPr>
                <w:rFonts w:eastAsia="Times New Roman" w:cs="Times New Roman"/>
                <w:iCs/>
                <w:sz w:val="24"/>
                <w:szCs w:val="24"/>
                <w:lang w:eastAsia="lv-LV"/>
              </w:rPr>
              <w:t>2018.-2020.</w:t>
            </w:r>
            <w:r w:rsidR="008B4598" w:rsidRPr="000B55A9">
              <w:rPr>
                <w:rFonts w:eastAsia="Times New Roman" w:cs="Times New Roman"/>
                <w:iCs/>
                <w:sz w:val="24"/>
                <w:szCs w:val="24"/>
                <w:lang w:eastAsia="lv-LV"/>
              </w:rPr>
              <w:t>g.</w:t>
            </w:r>
          </w:p>
        </w:tc>
      </w:tr>
      <w:tr w:rsidR="005F0E61" w:rsidRPr="000B55A9" w:rsidTr="00B379F2">
        <w:trPr>
          <w:trHeight w:val="252"/>
        </w:trPr>
        <w:tc>
          <w:tcPr>
            <w:tcW w:w="1696"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1</w:t>
            </w:r>
          </w:p>
        </w:tc>
        <w:tc>
          <w:tcPr>
            <w:tcW w:w="1276"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2</w:t>
            </w:r>
          </w:p>
        </w:tc>
        <w:tc>
          <w:tcPr>
            <w:tcW w:w="992"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3</w:t>
            </w:r>
          </w:p>
        </w:tc>
        <w:tc>
          <w:tcPr>
            <w:tcW w:w="1276"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4</w:t>
            </w:r>
          </w:p>
        </w:tc>
        <w:tc>
          <w:tcPr>
            <w:tcW w:w="1134"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5</w:t>
            </w:r>
          </w:p>
        </w:tc>
        <w:tc>
          <w:tcPr>
            <w:tcW w:w="992"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6</w:t>
            </w:r>
          </w:p>
        </w:tc>
        <w:tc>
          <w:tcPr>
            <w:tcW w:w="993"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7</w:t>
            </w:r>
          </w:p>
        </w:tc>
        <w:tc>
          <w:tcPr>
            <w:tcW w:w="1008" w:type="dxa"/>
            <w:hideMark/>
          </w:tcPr>
          <w:p w:rsidR="005F0E61" w:rsidRPr="000B55A9" w:rsidRDefault="005F0E61" w:rsidP="0069728C">
            <w:pPr>
              <w:rPr>
                <w:rFonts w:eastAsia="Times New Roman" w:cs="Times New Roman"/>
                <w:iCs/>
                <w:sz w:val="24"/>
                <w:szCs w:val="24"/>
                <w:lang w:eastAsia="lv-LV"/>
              </w:rPr>
            </w:pPr>
            <w:r w:rsidRPr="000B55A9">
              <w:rPr>
                <w:rFonts w:eastAsia="Times New Roman" w:cs="Times New Roman"/>
                <w:iCs/>
                <w:sz w:val="24"/>
                <w:szCs w:val="24"/>
                <w:lang w:eastAsia="lv-LV"/>
              </w:rPr>
              <w:t>8</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b/>
                <w:iCs/>
                <w:sz w:val="24"/>
                <w:szCs w:val="24"/>
                <w:lang w:eastAsia="lv-LV"/>
              </w:rPr>
            </w:pPr>
            <w:r w:rsidRPr="000B55A9">
              <w:rPr>
                <w:rFonts w:eastAsia="Times New Roman" w:cs="Times New Roman"/>
                <w:b/>
                <w:iCs/>
                <w:sz w:val="24"/>
                <w:szCs w:val="24"/>
                <w:lang w:eastAsia="lv-LV"/>
              </w:rPr>
              <w:t>1. Budžeta ieņēmumi</w:t>
            </w:r>
          </w:p>
        </w:tc>
        <w:tc>
          <w:tcPr>
            <w:tcW w:w="1276" w:type="dxa"/>
            <w:hideMark/>
          </w:tcPr>
          <w:p w:rsidR="004A2A10" w:rsidRPr="00176609" w:rsidRDefault="004A2A10" w:rsidP="004A2A10">
            <w:pPr>
              <w:rPr>
                <w:rFonts w:eastAsia="Times New Roman" w:cs="Times New Roman"/>
                <w:b/>
                <w:iCs/>
                <w:sz w:val="20"/>
                <w:szCs w:val="24"/>
                <w:lang w:eastAsia="lv-LV"/>
              </w:rPr>
            </w:pPr>
            <w:r w:rsidRPr="00176609">
              <w:rPr>
                <w:rFonts w:cs="Times New Roman"/>
                <w:b/>
                <w:sz w:val="20"/>
                <w:szCs w:val="24"/>
              </w:rPr>
              <w:t>3 727 931 276</w:t>
            </w:r>
          </w:p>
        </w:tc>
        <w:tc>
          <w:tcPr>
            <w:tcW w:w="992" w:type="dxa"/>
            <w:hideMark/>
          </w:tcPr>
          <w:p w:rsidR="004A2A10" w:rsidRPr="00176609" w:rsidRDefault="004A2A10" w:rsidP="004A2A10">
            <w:pPr>
              <w:rPr>
                <w:rFonts w:eastAsia="Times New Roman" w:cs="Times New Roman"/>
                <w:b/>
                <w:iCs/>
                <w:sz w:val="20"/>
                <w:szCs w:val="24"/>
                <w:lang w:eastAsia="lv-LV"/>
              </w:rPr>
            </w:pPr>
            <w:r w:rsidRPr="00176609">
              <w:rPr>
                <w:rFonts w:eastAsia="Times New Roman" w:cs="Times New Roman"/>
                <w:b/>
                <w:iCs/>
                <w:sz w:val="20"/>
                <w:szCs w:val="24"/>
                <w:lang w:eastAsia="lv-LV"/>
              </w:rPr>
              <w:t>+49 100</w:t>
            </w:r>
          </w:p>
        </w:tc>
        <w:tc>
          <w:tcPr>
            <w:tcW w:w="1276" w:type="dxa"/>
          </w:tcPr>
          <w:p w:rsidR="004A2A10" w:rsidRPr="00176609" w:rsidRDefault="004A2A10" w:rsidP="004A2A10">
            <w:pPr>
              <w:rPr>
                <w:rFonts w:eastAsia="Times New Roman" w:cs="Times New Roman"/>
                <w:b/>
                <w:iCs/>
                <w:sz w:val="20"/>
                <w:szCs w:val="24"/>
                <w:lang w:eastAsia="lv-LV"/>
              </w:rPr>
            </w:pPr>
            <w:r w:rsidRPr="00176609">
              <w:rPr>
                <w:rFonts w:cs="Times New Roman"/>
                <w:b/>
                <w:sz w:val="20"/>
                <w:szCs w:val="24"/>
              </w:rPr>
              <w:t>4 019 044 276</w:t>
            </w:r>
          </w:p>
        </w:tc>
        <w:tc>
          <w:tcPr>
            <w:tcW w:w="1134" w:type="dxa"/>
          </w:tcPr>
          <w:p w:rsidR="004A2A10" w:rsidRPr="00176609" w:rsidRDefault="004A2A10" w:rsidP="004A2A10">
            <w:pPr>
              <w:rPr>
                <w:rFonts w:eastAsia="Times New Roman" w:cs="Times New Roman"/>
                <w:b/>
                <w:iCs/>
                <w:sz w:val="20"/>
                <w:szCs w:val="24"/>
                <w:lang w:eastAsia="lv-LV"/>
              </w:rPr>
            </w:pPr>
            <w:r w:rsidRPr="00176609">
              <w:rPr>
                <w:rFonts w:eastAsia="Times New Roman" w:cs="Times New Roman"/>
                <w:b/>
                <w:iCs/>
                <w:sz w:val="20"/>
                <w:szCs w:val="24"/>
                <w:lang w:eastAsia="lv-LV"/>
              </w:rPr>
              <w:t xml:space="preserve">+117 </w:t>
            </w:r>
            <w:r w:rsidR="00B106B0" w:rsidRPr="00176609">
              <w:rPr>
                <w:rFonts w:eastAsia="Times New Roman" w:cs="Times New Roman"/>
                <w:b/>
                <w:iCs/>
                <w:sz w:val="20"/>
                <w:szCs w:val="24"/>
                <w:lang w:eastAsia="lv-LV"/>
              </w:rPr>
              <w:t>8</w:t>
            </w:r>
            <w:r w:rsidRPr="00176609">
              <w:rPr>
                <w:rFonts w:eastAsia="Times New Roman" w:cs="Times New Roman"/>
                <w:b/>
                <w:iCs/>
                <w:sz w:val="20"/>
                <w:szCs w:val="24"/>
                <w:lang w:eastAsia="lv-LV"/>
              </w:rPr>
              <w:t xml:space="preserve">00 </w:t>
            </w:r>
          </w:p>
          <w:p w:rsidR="004A2A10" w:rsidRPr="00176609" w:rsidRDefault="004A2A10" w:rsidP="004A2A10">
            <w:pPr>
              <w:rPr>
                <w:rFonts w:eastAsia="Times New Roman" w:cs="Times New Roman"/>
                <w:b/>
                <w:iCs/>
                <w:sz w:val="20"/>
                <w:szCs w:val="24"/>
                <w:lang w:eastAsia="lv-LV"/>
              </w:rPr>
            </w:pPr>
          </w:p>
        </w:tc>
        <w:tc>
          <w:tcPr>
            <w:tcW w:w="992" w:type="dxa"/>
          </w:tcPr>
          <w:p w:rsidR="004A2A10" w:rsidRPr="00176609" w:rsidRDefault="004A2A10" w:rsidP="004A2A10">
            <w:pPr>
              <w:rPr>
                <w:rFonts w:eastAsia="Times New Roman" w:cs="Times New Roman"/>
                <w:b/>
                <w:iCs/>
                <w:sz w:val="20"/>
                <w:szCs w:val="24"/>
                <w:lang w:eastAsia="lv-LV"/>
              </w:rPr>
            </w:pPr>
            <w:r w:rsidRPr="00176609">
              <w:rPr>
                <w:rFonts w:cs="Times New Roman"/>
                <w:b/>
                <w:sz w:val="20"/>
                <w:szCs w:val="24"/>
              </w:rPr>
              <w:t>x</w:t>
            </w:r>
          </w:p>
        </w:tc>
        <w:tc>
          <w:tcPr>
            <w:tcW w:w="993" w:type="dxa"/>
          </w:tcPr>
          <w:p w:rsidR="004A2A10" w:rsidRPr="00176609" w:rsidRDefault="004A2A10" w:rsidP="004A2A10">
            <w:pPr>
              <w:rPr>
                <w:rFonts w:eastAsia="Times New Roman" w:cs="Times New Roman"/>
                <w:b/>
                <w:iCs/>
                <w:sz w:val="20"/>
                <w:szCs w:val="24"/>
                <w:highlight w:val="yellow"/>
                <w:lang w:eastAsia="lv-LV"/>
              </w:rPr>
            </w:pPr>
            <w:r w:rsidRPr="00176609">
              <w:rPr>
                <w:rFonts w:eastAsia="Times New Roman" w:cs="Times New Roman"/>
                <w:b/>
                <w:iCs/>
                <w:sz w:val="20"/>
                <w:szCs w:val="24"/>
                <w:lang w:eastAsia="lv-LV"/>
              </w:rPr>
              <w:t>+117 800</w:t>
            </w:r>
          </w:p>
        </w:tc>
        <w:tc>
          <w:tcPr>
            <w:tcW w:w="1008" w:type="dxa"/>
          </w:tcPr>
          <w:p w:rsidR="004A2A10" w:rsidRPr="00176609" w:rsidRDefault="004A2A10" w:rsidP="004A2A10">
            <w:pPr>
              <w:rPr>
                <w:rFonts w:eastAsia="Times New Roman" w:cs="Times New Roman"/>
                <w:b/>
                <w:iCs/>
                <w:sz w:val="20"/>
                <w:szCs w:val="24"/>
                <w:highlight w:val="yellow"/>
                <w:lang w:eastAsia="lv-LV"/>
              </w:rPr>
            </w:pPr>
            <w:r w:rsidRPr="00176609">
              <w:rPr>
                <w:rFonts w:eastAsia="Times New Roman" w:cs="Times New Roman"/>
                <w:b/>
                <w:iCs/>
                <w:sz w:val="20"/>
                <w:szCs w:val="24"/>
                <w:lang w:eastAsia="lv-LV"/>
              </w:rPr>
              <w:t>+117 800</w:t>
            </w:r>
          </w:p>
        </w:tc>
      </w:tr>
      <w:tr w:rsidR="004A2A10" w:rsidRPr="000B55A9" w:rsidTr="00B379F2">
        <w:trPr>
          <w:trHeight w:val="1828"/>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1.1. valsts pamatbudžets, tai skaitā ieņēmumi no maksas pakalpojumiem un citi pašu ieņēmumi, t.sk.,</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cs="Times New Roman"/>
                <w:sz w:val="20"/>
                <w:szCs w:val="24"/>
              </w:rPr>
              <w:t>3 727 931 276</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+49 100</w:t>
            </w:r>
          </w:p>
        </w:tc>
        <w:tc>
          <w:tcPr>
            <w:tcW w:w="1276" w:type="dxa"/>
          </w:tcPr>
          <w:p w:rsidR="004A2A10" w:rsidRPr="00176609" w:rsidRDefault="004A2A10" w:rsidP="004A2A10">
            <w:pPr>
              <w:rPr>
                <w:rFonts w:eastAsia="Times New Roman" w:cs="Times New Roman"/>
                <w:iCs/>
                <w:sz w:val="20"/>
                <w:szCs w:val="24"/>
                <w:lang w:eastAsia="lv-LV"/>
              </w:rPr>
            </w:pPr>
            <w:r w:rsidRPr="00176609">
              <w:rPr>
                <w:rFonts w:cs="Times New Roman"/>
                <w:sz w:val="20"/>
                <w:szCs w:val="24"/>
              </w:rPr>
              <w:t>4 019 044 276</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 xml:space="preserve">+117 </w:t>
            </w:r>
            <w:r w:rsidR="00B106B0" w:rsidRPr="00176609">
              <w:rPr>
                <w:rFonts w:eastAsia="Times New Roman" w:cs="Times New Roman"/>
                <w:iCs/>
                <w:sz w:val="20"/>
                <w:szCs w:val="24"/>
                <w:lang w:eastAsia="lv-LV"/>
              </w:rPr>
              <w:t>8</w:t>
            </w:r>
            <w:r w:rsidRPr="00176609">
              <w:rPr>
                <w:rFonts w:eastAsia="Times New Roman" w:cs="Times New Roman"/>
                <w:iCs/>
                <w:sz w:val="20"/>
                <w:szCs w:val="24"/>
                <w:lang w:eastAsia="lv-LV"/>
              </w:rPr>
              <w:t xml:space="preserve">00 </w:t>
            </w:r>
          </w:p>
          <w:p w:rsidR="004A2A10" w:rsidRPr="00176609" w:rsidRDefault="004A2A10" w:rsidP="004A2A10">
            <w:pPr>
              <w:rPr>
                <w:rFonts w:eastAsia="Times New Roman" w:cs="Times New Roman"/>
                <w:iCs/>
                <w:sz w:val="20"/>
                <w:szCs w:val="24"/>
                <w:lang w:eastAsia="lv-LV"/>
              </w:rPr>
            </w:pPr>
          </w:p>
        </w:tc>
        <w:tc>
          <w:tcPr>
            <w:tcW w:w="992" w:type="dxa"/>
          </w:tcPr>
          <w:p w:rsidR="004A2A10" w:rsidRPr="00176609" w:rsidRDefault="004A2A10" w:rsidP="004A2A10">
            <w:pPr>
              <w:rPr>
                <w:rFonts w:eastAsia="Times New Roman" w:cs="Times New Roman"/>
                <w:iCs/>
                <w:sz w:val="20"/>
                <w:szCs w:val="24"/>
                <w:lang w:eastAsia="lv-LV"/>
              </w:rPr>
            </w:pPr>
            <w:r w:rsidRPr="00176609">
              <w:rPr>
                <w:rFonts w:cs="Times New Roman"/>
                <w:sz w:val="20"/>
                <w:szCs w:val="24"/>
              </w:rPr>
              <w:t>x</w:t>
            </w:r>
          </w:p>
        </w:tc>
        <w:tc>
          <w:tcPr>
            <w:tcW w:w="993" w:type="dxa"/>
          </w:tcPr>
          <w:p w:rsidR="004A2A10" w:rsidRPr="00176609" w:rsidRDefault="004A2A10" w:rsidP="004A2A10">
            <w:pPr>
              <w:rPr>
                <w:rFonts w:eastAsia="Times New Roman" w:cs="Times New Roman"/>
                <w:iCs/>
                <w:sz w:val="20"/>
                <w:szCs w:val="24"/>
                <w:highlight w:val="yellow"/>
                <w:lang w:eastAsia="lv-LV"/>
              </w:rPr>
            </w:pPr>
            <w:r w:rsidRPr="00176609">
              <w:rPr>
                <w:rFonts w:eastAsia="Times New Roman" w:cs="Times New Roman"/>
                <w:iCs/>
                <w:sz w:val="20"/>
                <w:szCs w:val="24"/>
                <w:lang w:eastAsia="lv-LV"/>
              </w:rPr>
              <w:t>+117 800</w:t>
            </w:r>
          </w:p>
        </w:tc>
        <w:tc>
          <w:tcPr>
            <w:tcW w:w="1008" w:type="dxa"/>
          </w:tcPr>
          <w:p w:rsidR="004A2A10" w:rsidRPr="00176609" w:rsidRDefault="004A2A10" w:rsidP="004A2A10">
            <w:pPr>
              <w:rPr>
                <w:rFonts w:eastAsia="Times New Roman" w:cs="Times New Roman"/>
                <w:iCs/>
                <w:sz w:val="20"/>
                <w:szCs w:val="24"/>
                <w:highlight w:val="yellow"/>
                <w:lang w:eastAsia="lv-LV"/>
              </w:rPr>
            </w:pPr>
            <w:r w:rsidRPr="00176609">
              <w:rPr>
                <w:rFonts w:eastAsia="Times New Roman" w:cs="Times New Roman"/>
                <w:iCs/>
                <w:sz w:val="20"/>
                <w:szCs w:val="24"/>
                <w:lang w:eastAsia="lv-LV"/>
              </w:rPr>
              <w:t>+117 800</w:t>
            </w:r>
          </w:p>
        </w:tc>
      </w:tr>
      <w:tr w:rsidR="004A2A10" w:rsidRPr="000B55A9" w:rsidTr="00B379F2">
        <w:trPr>
          <w:trHeight w:val="1048"/>
        </w:trPr>
        <w:tc>
          <w:tcPr>
            <w:tcW w:w="1696" w:type="dxa"/>
          </w:tcPr>
          <w:p w:rsidR="004A2A10" w:rsidRPr="000B55A9" w:rsidRDefault="004A2A10" w:rsidP="004A2A10">
            <w:pPr>
              <w:rPr>
                <w:rFonts w:eastAsia="Times New Roman" w:cs="Times New Roman"/>
                <w:iCs/>
                <w:sz w:val="24"/>
                <w:szCs w:val="24"/>
                <w:lang w:eastAsia="lv-LV"/>
              </w:rPr>
            </w:pPr>
            <w:r>
              <w:rPr>
                <w:rFonts w:eastAsia="Times New Roman" w:cs="Times New Roman"/>
                <w:iCs/>
                <w:sz w:val="24"/>
                <w:szCs w:val="24"/>
                <w:lang w:eastAsia="lv-LV"/>
              </w:rPr>
              <w:t>no akcīzes nodokļa</w:t>
            </w:r>
          </w:p>
        </w:tc>
        <w:tc>
          <w:tcPr>
            <w:tcW w:w="1276" w:type="dxa"/>
          </w:tcPr>
          <w:p w:rsidR="004A2A10" w:rsidRPr="00176609" w:rsidRDefault="004A2A10" w:rsidP="004A2A10">
            <w:pPr>
              <w:rPr>
                <w:rFonts w:eastAsia="Times New Roman" w:cs="Times New Roman"/>
                <w:iCs/>
                <w:sz w:val="20"/>
                <w:szCs w:val="24"/>
                <w:lang w:eastAsia="lv-LV"/>
              </w:rPr>
            </w:pPr>
            <w:r w:rsidRPr="00176609">
              <w:rPr>
                <w:rFonts w:cs="Times New Roman"/>
                <w:sz w:val="20"/>
                <w:szCs w:val="24"/>
              </w:rPr>
              <w:t>1</w:t>
            </w:r>
            <w:r w:rsidR="00B106B0" w:rsidRPr="00176609">
              <w:rPr>
                <w:rFonts w:cs="Times New Roman"/>
                <w:sz w:val="20"/>
                <w:szCs w:val="24"/>
              </w:rPr>
              <w:t> </w:t>
            </w:r>
            <w:r w:rsidRPr="00176609">
              <w:rPr>
                <w:rFonts w:cs="Times New Roman"/>
                <w:sz w:val="20"/>
                <w:szCs w:val="24"/>
              </w:rPr>
              <w:t>098</w:t>
            </w:r>
            <w:r w:rsidR="00B106B0" w:rsidRPr="00176609">
              <w:rPr>
                <w:rFonts w:cs="Times New Roman"/>
                <w:sz w:val="20"/>
                <w:szCs w:val="24"/>
              </w:rPr>
              <w:t> </w:t>
            </w:r>
            <w:r w:rsidRPr="00176609">
              <w:rPr>
                <w:rFonts w:cs="Times New Roman"/>
                <w:sz w:val="20"/>
                <w:szCs w:val="24"/>
              </w:rPr>
              <w:t>621 000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+40 600</w:t>
            </w:r>
          </w:p>
        </w:tc>
        <w:tc>
          <w:tcPr>
            <w:tcW w:w="1276" w:type="dxa"/>
          </w:tcPr>
          <w:p w:rsidR="004A2A10" w:rsidRPr="00176609" w:rsidRDefault="004A2A10" w:rsidP="004A2A10">
            <w:pPr>
              <w:rPr>
                <w:rFonts w:cs="Times New Roman"/>
                <w:sz w:val="20"/>
                <w:szCs w:val="24"/>
              </w:rPr>
            </w:pPr>
            <w:r w:rsidRPr="00176609">
              <w:rPr>
                <w:rFonts w:cs="Times New Roman"/>
                <w:sz w:val="20"/>
                <w:szCs w:val="24"/>
              </w:rPr>
              <w:t>1 195 524 000</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+97 400</w:t>
            </w:r>
          </w:p>
        </w:tc>
        <w:tc>
          <w:tcPr>
            <w:tcW w:w="992" w:type="dxa"/>
          </w:tcPr>
          <w:p w:rsidR="004A2A10" w:rsidRPr="00176609" w:rsidRDefault="004A2A10" w:rsidP="004A2A10">
            <w:pPr>
              <w:rPr>
                <w:rFonts w:cs="Times New Roman"/>
                <w:sz w:val="20"/>
                <w:szCs w:val="24"/>
              </w:rPr>
            </w:pPr>
            <w:r w:rsidRPr="00176609">
              <w:rPr>
                <w:rFonts w:cs="Times New Roman"/>
                <w:sz w:val="20"/>
                <w:szCs w:val="24"/>
              </w:rPr>
              <w:t>x</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+97 400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+97 400</w:t>
            </w:r>
          </w:p>
        </w:tc>
      </w:tr>
      <w:tr w:rsidR="004A2A10" w:rsidRPr="000B55A9" w:rsidTr="00B379F2">
        <w:trPr>
          <w:trHeight w:val="992"/>
        </w:trPr>
        <w:tc>
          <w:tcPr>
            <w:tcW w:w="1696" w:type="dxa"/>
          </w:tcPr>
          <w:p w:rsidR="004A2A10" w:rsidRDefault="004A2A10" w:rsidP="004A2A10">
            <w:pPr>
              <w:rPr>
                <w:rFonts w:eastAsia="Times New Roman" w:cs="Times New Roman"/>
                <w:iCs/>
                <w:sz w:val="24"/>
                <w:szCs w:val="24"/>
                <w:lang w:eastAsia="lv-LV"/>
              </w:rPr>
            </w:pPr>
            <w:r>
              <w:rPr>
                <w:rFonts w:eastAsia="Times New Roman" w:cs="Times New Roman"/>
                <w:iCs/>
                <w:sz w:val="24"/>
                <w:szCs w:val="24"/>
                <w:lang w:eastAsia="lv-LV"/>
              </w:rPr>
              <w:t>no pievienotās vērtības nodokļa</w:t>
            </w:r>
          </w:p>
        </w:tc>
        <w:tc>
          <w:tcPr>
            <w:tcW w:w="1276" w:type="dxa"/>
          </w:tcPr>
          <w:p w:rsidR="004A2A10" w:rsidRPr="00176609" w:rsidRDefault="004A2A10" w:rsidP="004A2A10">
            <w:pPr>
              <w:rPr>
                <w:rFonts w:eastAsia="Times New Roman" w:cs="Times New Roman"/>
                <w:iCs/>
                <w:sz w:val="20"/>
                <w:szCs w:val="24"/>
                <w:lang w:eastAsia="lv-LV"/>
              </w:rPr>
            </w:pPr>
            <w:r w:rsidRPr="00176609">
              <w:rPr>
                <w:rFonts w:cs="Times New Roman"/>
                <w:sz w:val="20"/>
                <w:szCs w:val="24"/>
              </w:rPr>
              <w:t>2 629 310 276</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+8 500</w:t>
            </w:r>
          </w:p>
        </w:tc>
        <w:tc>
          <w:tcPr>
            <w:tcW w:w="1276" w:type="dxa"/>
          </w:tcPr>
          <w:p w:rsidR="004A2A10" w:rsidRPr="00176609" w:rsidRDefault="004A2A10" w:rsidP="004A2A10">
            <w:pPr>
              <w:rPr>
                <w:rFonts w:cs="Times New Roman"/>
                <w:sz w:val="20"/>
                <w:szCs w:val="24"/>
              </w:rPr>
            </w:pPr>
            <w:r w:rsidRPr="00176609">
              <w:rPr>
                <w:rFonts w:cs="Times New Roman"/>
                <w:sz w:val="20"/>
                <w:szCs w:val="24"/>
              </w:rPr>
              <w:t>2</w:t>
            </w:r>
            <w:r w:rsidR="00B106B0" w:rsidRPr="00176609">
              <w:rPr>
                <w:rFonts w:cs="Times New Roman"/>
                <w:sz w:val="20"/>
                <w:szCs w:val="24"/>
              </w:rPr>
              <w:t xml:space="preserve"> </w:t>
            </w:r>
            <w:r w:rsidRPr="00176609">
              <w:rPr>
                <w:rFonts w:cs="Times New Roman"/>
                <w:sz w:val="20"/>
                <w:szCs w:val="24"/>
              </w:rPr>
              <w:t>8</w:t>
            </w:r>
            <w:r w:rsidR="00B106B0" w:rsidRPr="00176609">
              <w:rPr>
                <w:rFonts w:cs="Times New Roman"/>
                <w:sz w:val="20"/>
                <w:szCs w:val="24"/>
              </w:rPr>
              <w:t>2</w:t>
            </w:r>
            <w:r w:rsidRPr="00176609">
              <w:rPr>
                <w:rFonts w:cs="Times New Roman"/>
                <w:sz w:val="20"/>
                <w:szCs w:val="24"/>
              </w:rPr>
              <w:t>3 520 276</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+ 20 400</w:t>
            </w:r>
          </w:p>
        </w:tc>
        <w:tc>
          <w:tcPr>
            <w:tcW w:w="992" w:type="dxa"/>
          </w:tcPr>
          <w:p w:rsidR="004A2A10" w:rsidRPr="00176609" w:rsidRDefault="004A2A10" w:rsidP="004A2A10">
            <w:pPr>
              <w:rPr>
                <w:rFonts w:cs="Times New Roman"/>
                <w:sz w:val="20"/>
                <w:szCs w:val="24"/>
              </w:rPr>
            </w:pPr>
            <w:r w:rsidRPr="00176609">
              <w:rPr>
                <w:rFonts w:cs="Times New Roman"/>
                <w:sz w:val="20"/>
                <w:szCs w:val="24"/>
              </w:rPr>
              <w:t>x</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+20 400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+20 400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1.2. valsts speciālais budžets</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1.3. pašvaldību budžets, t.sk.,</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b/>
                <w:iCs/>
                <w:sz w:val="24"/>
                <w:szCs w:val="24"/>
                <w:lang w:eastAsia="lv-LV"/>
              </w:rPr>
            </w:pPr>
            <w:r w:rsidRPr="000B55A9">
              <w:rPr>
                <w:rFonts w:eastAsia="Times New Roman" w:cs="Times New Roman"/>
                <w:b/>
                <w:iCs/>
                <w:sz w:val="24"/>
                <w:szCs w:val="24"/>
                <w:lang w:eastAsia="lv-LV"/>
              </w:rPr>
              <w:t>2. Budžeta izdevumi</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2.1. valsts pamatbudžets</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2.2. valsts speciālais budžets</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2.3. pašvaldību budžets</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B106B0" w:rsidRPr="000B55A9" w:rsidTr="00B379F2">
        <w:trPr>
          <w:trHeight w:val="520"/>
        </w:trPr>
        <w:tc>
          <w:tcPr>
            <w:tcW w:w="1696" w:type="dxa"/>
            <w:hideMark/>
          </w:tcPr>
          <w:p w:rsidR="00B106B0" w:rsidRPr="000B55A9" w:rsidRDefault="00B106B0" w:rsidP="00B106B0">
            <w:pPr>
              <w:rPr>
                <w:rFonts w:eastAsia="Times New Roman" w:cs="Times New Roman"/>
                <w:b/>
                <w:iCs/>
                <w:sz w:val="24"/>
                <w:szCs w:val="24"/>
                <w:lang w:eastAsia="lv-LV"/>
              </w:rPr>
            </w:pPr>
            <w:r w:rsidRPr="000B55A9">
              <w:rPr>
                <w:rFonts w:eastAsia="Times New Roman" w:cs="Times New Roman"/>
                <w:b/>
                <w:iCs/>
                <w:sz w:val="24"/>
                <w:szCs w:val="24"/>
                <w:lang w:eastAsia="lv-LV"/>
              </w:rPr>
              <w:t>3. Finansiālā ietekme</w:t>
            </w:r>
          </w:p>
        </w:tc>
        <w:tc>
          <w:tcPr>
            <w:tcW w:w="1276" w:type="dxa"/>
            <w:hideMark/>
          </w:tcPr>
          <w:p w:rsidR="00B106B0" w:rsidRPr="00176609" w:rsidRDefault="00B106B0" w:rsidP="00B106B0">
            <w:pPr>
              <w:rPr>
                <w:rFonts w:eastAsia="Times New Roman" w:cs="Times New Roman"/>
                <w:b/>
                <w:iCs/>
                <w:sz w:val="20"/>
                <w:szCs w:val="24"/>
                <w:lang w:eastAsia="lv-LV"/>
              </w:rPr>
            </w:pPr>
            <w:r w:rsidRPr="00176609">
              <w:rPr>
                <w:rFonts w:eastAsia="Times New Roman" w:cs="Times New Roman"/>
                <w:b/>
                <w:iCs/>
                <w:sz w:val="20"/>
                <w:szCs w:val="24"/>
                <w:lang w:eastAsia="lv-LV"/>
              </w:rPr>
              <w:t>0</w:t>
            </w:r>
          </w:p>
        </w:tc>
        <w:tc>
          <w:tcPr>
            <w:tcW w:w="992" w:type="dxa"/>
            <w:hideMark/>
          </w:tcPr>
          <w:p w:rsidR="00B106B0" w:rsidRPr="00176609" w:rsidRDefault="00B106B0" w:rsidP="00B106B0">
            <w:pPr>
              <w:rPr>
                <w:rFonts w:eastAsia="Times New Roman" w:cs="Times New Roman"/>
                <w:b/>
                <w:iCs/>
                <w:sz w:val="20"/>
                <w:szCs w:val="24"/>
                <w:lang w:eastAsia="lv-LV"/>
              </w:rPr>
            </w:pPr>
            <w:r w:rsidRPr="00176609">
              <w:rPr>
                <w:rFonts w:eastAsia="Times New Roman" w:cs="Times New Roman"/>
                <w:b/>
                <w:iCs/>
                <w:sz w:val="20"/>
                <w:szCs w:val="24"/>
                <w:lang w:eastAsia="lv-LV"/>
              </w:rPr>
              <w:t>+49 100</w:t>
            </w:r>
          </w:p>
        </w:tc>
        <w:tc>
          <w:tcPr>
            <w:tcW w:w="1276" w:type="dxa"/>
            <w:hideMark/>
          </w:tcPr>
          <w:p w:rsidR="00B106B0" w:rsidRPr="00176609" w:rsidRDefault="00B106B0" w:rsidP="00B106B0">
            <w:pPr>
              <w:rPr>
                <w:rFonts w:eastAsia="Times New Roman" w:cs="Times New Roman"/>
                <w:b/>
                <w:iCs/>
                <w:sz w:val="20"/>
                <w:szCs w:val="24"/>
                <w:lang w:eastAsia="lv-LV"/>
              </w:rPr>
            </w:pPr>
            <w:r w:rsidRPr="00176609">
              <w:rPr>
                <w:rFonts w:eastAsia="Times New Roman" w:cs="Times New Roman"/>
                <w:b/>
                <w:iCs/>
                <w:sz w:val="20"/>
                <w:szCs w:val="24"/>
                <w:lang w:eastAsia="lv-LV"/>
              </w:rPr>
              <w:t>0</w:t>
            </w:r>
          </w:p>
        </w:tc>
        <w:tc>
          <w:tcPr>
            <w:tcW w:w="1134" w:type="dxa"/>
          </w:tcPr>
          <w:p w:rsidR="00B106B0" w:rsidRPr="00176609" w:rsidRDefault="00B106B0" w:rsidP="00B106B0">
            <w:pPr>
              <w:rPr>
                <w:rFonts w:eastAsia="Times New Roman" w:cs="Times New Roman"/>
                <w:b/>
                <w:iCs/>
                <w:sz w:val="20"/>
                <w:szCs w:val="24"/>
                <w:lang w:eastAsia="lv-LV"/>
              </w:rPr>
            </w:pPr>
            <w:r w:rsidRPr="00176609">
              <w:rPr>
                <w:rFonts w:eastAsia="Times New Roman" w:cs="Times New Roman"/>
                <w:b/>
                <w:iCs/>
                <w:sz w:val="20"/>
                <w:szCs w:val="24"/>
                <w:lang w:eastAsia="lv-LV"/>
              </w:rPr>
              <w:t>+117 800</w:t>
            </w:r>
          </w:p>
        </w:tc>
        <w:tc>
          <w:tcPr>
            <w:tcW w:w="992" w:type="dxa"/>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B106B0" w:rsidRPr="00176609" w:rsidRDefault="00B106B0" w:rsidP="00B106B0">
            <w:pPr>
              <w:rPr>
                <w:rFonts w:eastAsia="Times New Roman" w:cs="Times New Roman"/>
                <w:iCs/>
                <w:sz w:val="20"/>
                <w:szCs w:val="24"/>
                <w:lang w:eastAsia="lv-LV"/>
              </w:rPr>
            </w:pPr>
            <w:r w:rsidRPr="00176609">
              <w:rPr>
                <w:rFonts w:eastAsia="Times New Roman" w:cs="Times New Roman"/>
                <w:b/>
                <w:iCs/>
                <w:sz w:val="20"/>
                <w:szCs w:val="24"/>
                <w:lang w:eastAsia="lv-LV"/>
              </w:rPr>
              <w:t>+117 800</w:t>
            </w:r>
          </w:p>
        </w:tc>
        <w:tc>
          <w:tcPr>
            <w:tcW w:w="1008" w:type="dxa"/>
          </w:tcPr>
          <w:p w:rsidR="00B106B0" w:rsidRPr="00176609" w:rsidRDefault="00B106B0" w:rsidP="00B106B0">
            <w:pPr>
              <w:rPr>
                <w:rFonts w:eastAsia="Times New Roman" w:cs="Times New Roman"/>
                <w:iCs/>
                <w:sz w:val="20"/>
                <w:szCs w:val="24"/>
                <w:lang w:eastAsia="lv-LV"/>
              </w:rPr>
            </w:pPr>
            <w:r w:rsidRPr="00176609">
              <w:rPr>
                <w:rFonts w:eastAsia="Times New Roman" w:cs="Times New Roman"/>
                <w:b/>
                <w:iCs/>
                <w:sz w:val="20"/>
                <w:szCs w:val="24"/>
                <w:lang w:eastAsia="lv-LV"/>
              </w:rPr>
              <w:t>+117 800</w:t>
            </w:r>
          </w:p>
        </w:tc>
      </w:tr>
      <w:tr w:rsidR="00B106B0" w:rsidRPr="000B55A9" w:rsidTr="00B379F2">
        <w:trPr>
          <w:trHeight w:val="520"/>
        </w:trPr>
        <w:tc>
          <w:tcPr>
            <w:tcW w:w="1696" w:type="dxa"/>
            <w:hideMark/>
          </w:tcPr>
          <w:p w:rsidR="00B106B0" w:rsidRPr="000B55A9" w:rsidRDefault="00B106B0" w:rsidP="00B106B0">
            <w:pPr>
              <w:rPr>
                <w:rFonts w:eastAsia="Times New Roman" w:cs="Times New Roman"/>
                <w:iCs/>
                <w:sz w:val="24"/>
                <w:szCs w:val="24"/>
                <w:lang w:eastAsia="lv-LV"/>
              </w:rPr>
            </w:pPr>
            <w:r w:rsidRPr="000B55A9">
              <w:rPr>
                <w:rFonts w:eastAsia="Times New Roman" w:cs="Times New Roman"/>
                <w:iCs/>
                <w:sz w:val="24"/>
                <w:szCs w:val="24"/>
                <w:lang w:eastAsia="lv-LV"/>
              </w:rPr>
              <w:t>3.1. valsts pamatbudžets</w:t>
            </w:r>
          </w:p>
        </w:tc>
        <w:tc>
          <w:tcPr>
            <w:tcW w:w="1276" w:type="dxa"/>
            <w:hideMark/>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+49 100</w:t>
            </w:r>
          </w:p>
        </w:tc>
        <w:tc>
          <w:tcPr>
            <w:tcW w:w="1276" w:type="dxa"/>
            <w:hideMark/>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+117 800</w:t>
            </w:r>
          </w:p>
        </w:tc>
        <w:tc>
          <w:tcPr>
            <w:tcW w:w="992" w:type="dxa"/>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+117 800</w:t>
            </w:r>
          </w:p>
        </w:tc>
        <w:tc>
          <w:tcPr>
            <w:tcW w:w="1008" w:type="dxa"/>
          </w:tcPr>
          <w:p w:rsidR="00B106B0" w:rsidRPr="00176609" w:rsidRDefault="00B106B0" w:rsidP="00B106B0">
            <w:pPr>
              <w:rPr>
                <w:rFonts w:eastAsia="Times New Roman" w:cs="Times New Roman"/>
                <w:iCs/>
                <w:sz w:val="20"/>
                <w:szCs w:val="24"/>
                <w:lang w:eastAsia="lv-LV"/>
              </w:rPr>
            </w:pPr>
            <w:r w:rsidRPr="00176609">
              <w:rPr>
                <w:rFonts w:eastAsia="Times New Roman" w:cs="Times New Roman"/>
                <w:iCs/>
                <w:sz w:val="20"/>
                <w:szCs w:val="24"/>
                <w:lang w:eastAsia="lv-LV"/>
              </w:rPr>
              <w:t>+117 800</w:t>
            </w:r>
          </w:p>
        </w:tc>
      </w:tr>
      <w:tr w:rsidR="004A2A10" w:rsidRPr="000B55A9" w:rsidTr="00B379F2">
        <w:trPr>
          <w:trHeight w:val="505"/>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3.2. speciālais budžets</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3.3. pašvaldību budžets</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4. Finanšu līdzekļi papildu izdevumu finansēšanai (kompensējošu izdevumu samazinājumu norāda ar "+" zīmi)</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hideMark/>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134"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5. Precizēta finansiālā ietekme</w:t>
            </w:r>
          </w:p>
        </w:tc>
        <w:tc>
          <w:tcPr>
            <w:tcW w:w="1276" w:type="dxa"/>
            <w:vMerge w:val="restart"/>
            <w:hideMark/>
          </w:tcPr>
          <w:p w:rsidR="004A2A10" w:rsidRPr="00176609" w:rsidRDefault="004A2A10" w:rsidP="004A2A10">
            <w:pPr>
              <w:rPr>
                <w:rFonts w:eastAsia="Times New Roman" w:cs="Times New Roman"/>
                <w:iCs/>
                <w:sz w:val="20"/>
                <w:szCs w:val="24"/>
                <w:lang w:eastAsia="lv-LV"/>
              </w:rPr>
            </w:pPr>
          </w:p>
        </w:tc>
        <w:tc>
          <w:tcPr>
            <w:tcW w:w="992" w:type="dxa"/>
            <w:hideMark/>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vMerge w:val="restart"/>
            <w:hideMark/>
          </w:tcPr>
          <w:p w:rsidR="004A2A10" w:rsidRPr="00176609" w:rsidRDefault="004A2A10" w:rsidP="004A2A10">
            <w:pPr>
              <w:jc w:val="center"/>
              <w:rPr>
                <w:rFonts w:eastAsia="Times New Roman" w:cs="Times New Roman"/>
                <w:iCs/>
                <w:sz w:val="20"/>
                <w:szCs w:val="24"/>
                <w:lang w:eastAsia="lv-LV"/>
              </w:rPr>
            </w:pPr>
          </w:p>
        </w:tc>
        <w:tc>
          <w:tcPr>
            <w:tcW w:w="1134" w:type="dxa"/>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vMerge w:val="restart"/>
          </w:tcPr>
          <w:p w:rsidR="004A2A10" w:rsidRPr="00176609" w:rsidRDefault="004A2A10" w:rsidP="004A2A10">
            <w:pPr>
              <w:rPr>
                <w:rFonts w:eastAsia="Times New Roman" w:cs="Times New Roman"/>
                <w:iCs/>
                <w:sz w:val="20"/>
                <w:szCs w:val="24"/>
                <w:lang w:eastAsia="lv-LV"/>
              </w:rPr>
            </w:pP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lastRenderedPageBreak/>
              <w:t>5.1. valsts pamatbudžets</w:t>
            </w:r>
          </w:p>
        </w:tc>
        <w:tc>
          <w:tcPr>
            <w:tcW w:w="1276" w:type="dxa"/>
            <w:vMerge/>
            <w:hideMark/>
          </w:tcPr>
          <w:p w:rsidR="004A2A10" w:rsidRPr="00176609" w:rsidRDefault="004A2A10" w:rsidP="004A2A10">
            <w:pPr>
              <w:rPr>
                <w:rFonts w:eastAsia="Times New Roman" w:cs="Times New Roman"/>
                <w:iCs/>
                <w:sz w:val="20"/>
                <w:szCs w:val="24"/>
                <w:lang w:eastAsia="lv-LV"/>
              </w:rPr>
            </w:pPr>
          </w:p>
        </w:tc>
        <w:tc>
          <w:tcPr>
            <w:tcW w:w="992" w:type="dxa"/>
            <w:hideMark/>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vMerge/>
            <w:hideMark/>
          </w:tcPr>
          <w:p w:rsidR="004A2A10" w:rsidRPr="00176609" w:rsidRDefault="004A2A10" w:rsidP="004A2A10">
            <w:pPr>
              <w:jc w:val="center"/>
              <w:rPr>
                <w:rFonts w:eastAsia="Times New Roman" w:cs="Times New Roman"/>
                <w:iCs/>
                <w:sz w:val="20"/>
                <w:szCs w:val="24"/>
                <w:lang w:eastAsia="lv-LV"/>
              </w:rPr>
            </w:pPr>
          </w:p>
        </w:tc>
        <w:tc>
          <w:tcPr>
            <w:tcW w:w="1134" w:type="dxa"/>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vMerge/>
          </w:tcPr>
          <w:p w:rsidR="004A2A10" w:rsidRPr="00176609" w:rsidRDefault="004A2A10" w:rsidP="004A2A10">
            <w:pPr>
              <w:rPr>
                <w:rFonts w:eastAsia="Times New Roman" w:cs="Times New Roman"/>
                <w:iCs/>
                <w:sz w:val="20"/>
                <w:szCs w:val="24"/>
                <w:lang w:eastAsia="lv-LV"/>
              </w:rPr>
            </w:pP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5.2. speciālais budžets</w:t>
            </w:r>
          </w:p>
        </w:tc>
        <w:tc>
          <w:tcPr>
            <w:tcW w:w="1276" w:type="dxa"/>
            <w:vMerge/>
            <w:hideMark/>
          </w:tcPr>
          <w:p w:rsidR="004A2A10" w:rsidRPr="00176609" w:rsidRDefault="004A2A10" w:rsidP="004A2A10">
            <w:pPr>
              <w:rPr>
                <w:rFonts w:eastAsia="Times New Roman" w:cs="Times New Roman"/>
                <w:iCs/>
                <w:sz w:val="20"/>
                <w:szCs w:val="24"/>
                <w:lang w:eastAsia="lv-LV"/>
              </w:rPr>
            </w:pPr>
          </w:p>
        </w:tc>
        <w:tc>
          <w:tcPr>
            <w:tcW w:w="992" w:type="dxa"/>
            <w:hideMark/>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vMerge/>
            <w:hideMark/>
          </w:tcPr>
          <w:p w:rsidR="004A2A10" w:rsidRPr="00176609" w:rsidRDefault="004A2A10" w:rsidP="004A2A10">
            <w:pPr>
              <w:jc w:val="center"/>
              <w:rPr>
                <w:rFonts w:eastAsia="Times New Roman" w:cs="Times New Roman"/>
                <w:iCs/>
                <w:sz w:val="20"/>
                <w:szCs w:val="24"/>
                <w:lang w:eastAsia="lv-LV"/>
              </w:rPr>
            </w:pPr>
          </w:p>
        </w:tc>
        <w:tc>
          <w:tcPr>
            <w:tcW w:w="1134" w:type="dxa"/>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vMerge/>
          </w:tcPr>
          <w:p w:rsidR="004A2A10" w:rsidRPr="00176609" w:rsidRDefault="004A2A10" w:rsidP="004A2A10">
            <w:pPr>
              <w:rPr>
                <w:rFonts w:eastAsia="Times New Roman" w:cs="Times New Roman"/>
                <w:iCs/>
                <w:sz w:val="20"/>
                <w:szCs w:val="24"/>
                <w:lang w:eastAsia="lv-LV"/>
              </w:rPr>
            </w:pP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B379F2">
        <w:trPr>
          <w:trHeight w:val="5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5.3. pašvaldību budžets</w:t>
            </w:r>
          </w:p>
        </w:tc>
        <w:tc>
          <w:tcPr>
            <w:tcW w:w="1276" w:type="dxa"/>
            <w:vMerge/>
            <w:hideMark/>
          </w:tcPr>
          <w:p w:rsidR="004A2A10" w:rsidRPr="00176609" w:rsidRDefault="004A2A10" w:rsidP="004A2A10">
            <w:pPr>
              <w:rPr>
                <w:rFonts w:eastAsia="Times New Roman" w:cs="Times New Roman"/>
                <w:iCs/>
                <w:sz w:val="20"/>
                <w:szCs w:val="24"/>
                <w:lang w:eastAsia="lv-LV"/>
              </w:rPr>
            </w:pPr>
          </w:p>
        </w:tc>
        <w:tc>
          <w:tcPr>
            <w:tcW w:w="992" w:type="dxa"/>
            <w:hideMark/>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276" w:type="dxa"/>
            <w:vMerge/>
            <w:hideMark/>
          </w:tcPr>
          <w:p w:rsidR="004A2A10" w:rsidRPr="00176609" w:rsidRDefault="004A2A10" w:rsidP="004A2A10">
            <w:pPr>
              <w:jc w:val="center"/>
              <w:rPr>
                <w:rFonts w:eastAsia="Times New Roman" w:cs="Times New Roman"/>
                <w:iCs/>
                <w:sz w:val="20"/>
                <w:szCs w:val="24"/>
                <w:lang w:eastAsia="lv-LV"/>
              </w:rPr>
            </w:pPr>
          </w:p>
        </w:tc>
        <w:tc>
          <w:tcPr>
            <w:tcW w:w="1134" w:type="dxa"/>
          </w:tcPr>
          <w:p w:rsidR="004A2A10" w:rsidRPr="00176609" w:rsidRDefault="004A2A10" w:rsidP="004A2A10">
            <w:pPr>
              <w:jc w:val="cente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992" w:type="dxa"/>
            <w:vMerge/>
          </w:tcPr>
          <w:p w:rsidR="004A2A10" w:rsidRPr="00176609" w:rsidRDefault="004A2A10" w:rsidP="004A2A10">
            <w:pPr>
              <w:rPr>
                <w:rFonts w:eastAsia="Times New Roman" w:cs="Times New Roman"/>
                <w:iCs/>
                <w:sz w:val="20"/>
                <w:szCs w:val="24"/>
                <w:lang w:eastAsia="lv-LV"/>
              </w:rPr>
            </w:pPr>
          </w:p>
        </w:tc>
        <w:tc>
          <w:tcPr>
            <w:tcW w:w="993"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c>
          <w:tcPr>
            <w:tcW w:w="1008" w:type="dxa"/>
          </w:tcPr>
          <w:p w:rsidR="004A2A10" w:rsidRPr="00176609" w:rsidRDefault="004A2A10" w:rsidP="004A2A10">
            <w:pPr>
              <w:rPr>
                <w:rFonts w:eastAsia="Times New Roman" w:cs="Times New Roman"/>
                <w:iCs/>
                <w:sz w:val="20"/>
                <w:szCs w:val="24"/>
                <w:lang w:eastAsia="lv-LV"/>
              </w:rPr>
            </w:pPr>
            <w:r w:rsidRPr="00176609">
              <w:rPr>
                <w:rFonts w:eastAsia="Times New Roman" w:cs="Times New Roman"/>
                <w:iCs/>
                <w:sz w:val="20"/>
                <w:szCs w:val="24"/>
                <w:lang w:eastAsia="lv-LV"/>
              </w:rPr>
              <w:t>0</w:t>
            </w:r>
          </w:p>
        </w:tc>
      </w:tr>
      <w:tr w:rsidR="004A2A10" w:rsidRPr="000B55A9" w:rsidTr="0069728C">
        <w:trPr>
          <w:trHeight w:val="272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7671" w:type="dxa"/>
            <w:gridSpan w:val="7"/>
            <w:vMerge w:val="restart"/>
          </w:tcPr>
          <w:p w:rsidR="004A2A10" w:rsidRPr="0048306B" w:rsidRDefault="004A2A10" w:rsidP="004A2A10">
            <w:pPr>
              <w:jc w:val="both"/>
              <w:rPr>
                <w:rFonts w:eastAsia="Times New Roman" w:cs="Times New Roman"/>
                <w:iCs/>
                <w:sz w:val="24"/>
                <w:szCs w:val="24"/>
                <w:u w:val="single"/>
                <w:lang w:eastAsia="lv-LV"/>
              </w:rPr>
            </w:pPr>
            <w:r w:rsidRPr="0048306B">
              <w:rPr>
                <w:rFonts w:eastAsia="Times New Roman" w:cs="Times New Roman"/>
                <w:iCs/>
                <w:sz w:val="24"/>
                <w:szCs w:val="24"/>
                <w:u w:val="single"/>
                <w:lang w:eastAsia="lv-LV"/>
              </w:rPr>
              <w:t>Akcīzes nodokļa atbrīvojumu atcelšan</w:t>
            </w:r>
            <w:r>
              <w:rPr>
                <w:rFonts w:eastAsia="Times New Roman" w:cs="Times New Roman"/>
                <w:iCs/>
                <w:sz w:val="24"/>
                <w:szCs w:val="24"/>
                <w:u w:val="single"/>
                <w:lang w:eastAsia="lv-LV"/>
              </w:rPr>
              <w:t>a</w:t>
            </w:r>
            <w:r w:rsidRPr="0048306B">
              <w:rPr>
                <w:rFonts w:eastAsia="Times New Roman" w:cs="Times New Roman"/>
                <w:iCs/>
                <w:sz w:val="24"/>
                <w:szCs w:val="24"/>
                <w:u w:val="single"/>
                <w:lang w:eastAsia="lv-LV"/>
              </w:rPr>
              <w:t xml:space="preserve"> dabasgāzei, k</w:t>
            </w:r>
            <w:r>
              <w:rPr>
                <w:rFonts w:eastAsia="Times New Roman" w:cs="Times New Roman"/>
                <w:iCs/>
                <w:sz w:val="24"/>
                <w:szCs w:val="24"/>
                <w:u w:val="single"/>
                <w:lang w:eastAsia="lv-LV"/>
              </w:rPr>
              <w:t>o</w:t>
            </w:r>
            <w:r w:rsidRPr="0048306B">
              <w:rPr>
                <w:rFonts w:eastAsia="Times New Roman" w:cs="Times New Roman"/>
                <w:iCs/>
                <w:sz w:val="24"/>
                <w:szCs w:val="24"/>
                <w:u w:val="single"/>
                <w:lang w:eastAsia="lv-LV"/>
              </w:rPr>
              <w:t xml:space="preserve"> izmanto lauksaimniecībā izmantojamās zemes segto platību (siltumnīcu) siltumapgādei un rūpniecisko mājputnu novietņu (kūts) un inkubatoru siltumapgādei  </w:t>
            </w:r>
          </w:p>
          <w:p w:rsidR="004A2A10" w:rsidRDefault="004A2A10" w:rsidP="004A2A10">
            <w:pPr>
              <w:jc w:val="both"/>
              <w:rPr>
                <w:rFonts w:eastAsia="Times New Roman" w:cs="Times New Roman"/>
                <w:iCs/>
                <w:sz w:val="24"/>
                <w:szCs w:val="24"/>
                <w:lang w:eastAsia="lv-LV"/>
              </w:rPr>
            </w:pPr>
          </w:p>
          <w:p w:rsidR="004A2A10" w:rsidRPr="000A4A84" w:rsidRDefault="004A2A10" w:rsidP="004A2A10">
            <w:pPr>
              <w:jc w:val="both"/>
              <w:rPr>
                <w:rFonts w:eastAsia="Times New Roman" w:cs="Times New Roman"/>
                <w:sz w:val="18"/>
                <w:szCs w:val="24"/>
                <w:lang w:eastAsia="lv-LV"/>
              </w:rPr>
            </w:pPr>
            <w:r w:rsidRPr="00CE1CA6">
              <w:rPr>
                <w:rFonts w:eastAsia="Times New Roman" w:cs="Times New Roman"/>
                <w:iCs/>
                <w:sz w:val="24"/>
                <w:szCs w:val="24"/>
                <w:lang w:eastAsia="lv-LV"/>
              </w:rPr>
              <w:t xml:space="preserve">Saskaņā ar Valsts ieņēmumu dienesta sniegto informāciju </w:t>
            </w:r>
            <w:r w:rsidRPr="000A4A84">
              <w:rPr>
                <w:rFonts w:eastAsia="Times New Roman" w:cs="Times New Roman"/>
                <w:iCs/>
                <w:sz w:val="24"/>
                <w:szCs w:val="24"/>
                <w:lang w:eastAsia="lv-LV"/>
              </w:rPr>
              <w:t>dabasgāze, ko izmanto lauksaimniecībā izmantojamās zemes segto platību (siltumnīcu) siltumapgādei un rūpniecisko mājputnu novietņu (kūts) un inkubatoru siltumapgādei, 2016.-2018.gadā nodota patēriņam šādā apmērā:</w:t>
            </w:r>
          </w:p>
          <w:tbl>
            <w:tblPr>
              <w:tblW w:w="7160" w:type="dxa"/>
              <w:tblLayout w:type="fixed"/>
              <w:tblLook w:val="04A0" w:firstRow="1" w:lastRow="0" w:firstColumn="1" w:lastColumn="0" w:noHBand="0" w:noVBand="1"/>
            </w:tblPr>
            <w:tblGrid>
              <w:gridCol w:w="3899"/>
              <w:gridCol w:w="1134"/>
              <w:gridCol w:w="993"/>
              <w:gridCol w:w="1134"/>
            </w:tblGrid>
            <w:tr w:rsidR="004A2A10" w:rsidRPr="00CE1CA6" w:rsidTr="0048306B">
              <w:trPr>
                <w:trHeight w:val="549"/>
              </w:trPr>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A10" w:rsidRPr="000A4A84" w:rsidRDefault="004A2A10" w:rsidP="004A2A10">
                  <w:pPr>
                    <w:spacing w:after="0" w:line="240" w:lineRule="auto"/>
                    <w:rPr>
                      <w:rFonts w:ascii="Times New Roman" w:eastAsia="Times New Roman" w:hAnsi="Times New Roman" w:cs="Times New Roman"/>
                      <w:sz w:val="20"/>
                      <w:szCs w:val="24"/>
                      <w:lang w:eastAsia="lv-LV"/>
                    </w:rPr>
                  </w:pPr>
                  <w:r w:rsidRPr="000A4A84">
                    <w:rPr>
                      <w:rFonts w:ascii="Times New Roman" w:eastAsia="Times New Roman" w:hAnsi="Times New Roman" w:cs="Times New Roman"/>
                      <w:sz w:val="20"/>
                      <w:szCs w:val="24"/>
                      <w:lang w:eastAsia="lv-LV"/>
                    </w:rPr>
                    <w:t xml:space="preserve">Dabasgāze, </w:t>
                  </w:r>
                  <w:proofErr w:type="spellStart"/>
                  <w:r w:rsidRPr="000A4A84">
                    <w:rPr>
                      <w:rFonts w:ascii="Times New Roman" w:eastAsia="Times New Roman" w:hAnsi="Times New Roman" w:cs="Times New Roman"/>
                      <w:sz w:val="20"/>
                      <w:szCs w:val="24"/>
                      <w:lang w:eastAsia="lv-LV"/>
                    </w:rPr>
                    <w:t>MWh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A10" w:rsidRPr="000A4A84" w:rsidRDefault="004A2A10" w:rsidP="004A2A10">
                  <w:pPr>
                    <w:spacing w:after="0" w:line="240" w:lineRule="auto"/>
                    <w:jc w:val="center"/>
                    <w:rPr>
                      <w:rFonts w:ascii="Times New Roman" w:eastAsia="Times New Roman" w:hAnsi="Times New Roman" w:cs="Times New Roman"/>
                      <w:color w:val="000000"/>
                      <w:sz w:val="20"/>
                      <w:lang w:eastAsia="lv-LV"/>
                    </w:rPr>
                  </w:pPr>
                  <w:r w:rsidRPr="000A4A84">
                    <w:rPr>
                      <w:rFonts w:ascii="Times New Roman" w:eastAsia="Times New Roman" w:hAnsi="Times New Roman" w:cs="Times New Roman"/>
                      <w:color w:val="000000"/>
                      <w:sz w:val="20"/>
                      <w:lang w:eastAsia="lv-LV"/>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A10" w:rsidRPr="000A4A84" w:rsidRDefault="004A2A10" w:rsidP="004A2A10">
                  <w:pPr>
                    <w:spacing w:after="0" w:line="240" w:lineRule="auto"/>
                    <w:jc w:val="center"/>
                    <w:rPr>
                      <w:rFonts w:ascii="Times New Roman" w:eastAsia="Times New Roman" w:hAnsi="Times New Roman" w:cs="Times New Roman"/>
                      <w:color w:val="000000"/>
                      <w:sz w:val="20"/>
                      <w:lang w:eastAsia="lv-LV"/>
                    </w:rPr>
                  </w:pPr>
                  <w:r w:rsidRPr="000A4A84">
                    <w:rPr>
                      <w:rFonts w:ascii="Times New Roman" w:eastAsia="Times New Roman" w:hAnsi="Times New Roman" w:cs="Times New Roman"/>
                      <w:color w:val="000000"/>
                      <w:sz w:val="20"/>
                      <w:lang w:eastAsia="lv-LV"/>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A2A10" w:rsidRPr="000A4A84" w:rsidRDefault="004A2A10" w:rsidP="004A2A10">
                  <w:pPr>
                    <w:spacing w:after="0" w:line="240" w:lineRule="auto"/>
                    <w:jc w:val="center"/>
                    <w:rPr>
                      <w:rFonts w:ascii="Times New Roman" w:eastAsia="Times New Roman" w:hAnsi="Times New Roman" w:cs="Times New Roman"/>
                      <w:iCs/>
                      <w:color w:val="000000"/>
                      <w:sz w:val="20"/>
                      <w:lang w:eastAsia="lv-LV"/>
                    </w:rPr>
                  </w:pPr>
                  <w:r w:rsidRPr="000A4A84">
                    <w:rPr>
                      <w:rFonts w:ascii="Times New Roman" w:eastAsia="Times New Roman" w:hAnsi="Times New Roman" w:cs="Times New Roman"/>
                      <w:iCs/>
                      <w:color w:val="000000"/>
                      <w:sz w:val="20"/>
                      <w:lang w:eastAsia="lv-LV"/>
                    </w:rPr>
                    <w:t>2018</w:t>
                  </w:r>
                  <w:r>
                    <w:rPr>
                      <w:rFonts w:ascii="Times New Roman" w:eastAsia="Times New Roman" w:hAnsi="Times New Roman" w:cs="Times New Roman"/>
                      <w:iCs/>
                      <w:color w:val="000000"/>
                      <w:sz w:val="20"/>
                      <w:lang w:eastAsia="lv-LV"/>
                    </w:rPr>
                    <w:t xml:space="preserve">.gada </w:t>
                  </w:r>
                </w:p>
                <w:p w:rsidR="004A2A10" w:rsidRPr="000A4A84" w:rsidRDefault="004A2A10" w:rsidP="004A2A10">
                  <w:pPr>
                    <w:spacing w:after="0" w:line="240" w:lineRule="auto"/>
                    <w:jc w:val="center"/>
                    <w:rPr>
                      <w:rFonts w:ascii="Times New Roman" w:eastAsia="Times New Roman" w:hAnsi="Times New Roman" w:cs="Times New Roman"/>
                      <w:iCs/>
                      <w:color w:val="000000"/>
                      <w:sz w:val="20"/>
                      <w:lang w:eastAsia="lv-LV"/>
                    </w:rPr>
                  </w:pPr>
                  <w:r w:rsidRPr="000A4A84">
                    <w:rPr>
                      <w:rFonts w:ascii="Times New Roman" w:eastAsia="Times New Roman" w:hAnsi="Times New Roman" w:cs="Times New Roman"/>
                      <w:iCs/>
                      <w:color w:val="000000"/>
                      <w:sz w:val="20"/>
                      <w:lang w:eastAsia="lv-LV"/>
                    </w:rPr>
                    <w:t>9 mēnešos</w:t>
                  </w:r>
                </w:p>
              </w:tc>
            </w:tr>
            <w:tr w:rsidR="004A2A10" w:rsidRPr="00CE1CA6" w:rsidTr="0048306B">
              <w:trPr>
                <w:trHeight w:val="499"/>
              </w:trPr>
              <w:tc>
                <w:tcPr>
                  <w:tcW w:w="3899" w:type="dxa"/>
                  <w:tcBorders>
                    <w:top w:val="nil"/>
                    <w:left w:val="single" w:sz="4" w:space="0" w:color="auto"/>
                    <w:bottom w:val="single" w:sz="4" w:space="0" w:color="auto"/>
                    <w:right w:val="single" w:sz="4" w:space="0" w:color="auto"/>
                  </w:tcBorders>
                  <w:shd w:val="clear" w:color="auto" w:fill="auto"/>
                  <w:hideMark/>
                </w:tcPr>
                <w:p w:rsidR="004A2A10" w:rsidRPr="000A4A84" w:rsidRDefault="004A2A10" w:rsidP="004A2A10">
                  <w:pPr>
                    <w:spacing w:after="0" w:line="240" w:lineRule="auto"/>
                    <w:rPr>
                      <w:rFonts w:ascii="Times New Roman" w:eastAsia="Times New Roman" w:hAnsi="Times New Roman" w:cs="Times New Roman"/>
                      <w:sz w:val="20"/>
                      <w:szCs w:val="24"/>
                      <w:lang w:eastAsia="lv-LV"/>
                    </w:rPr>
                  </w:pPr>
                  <w:r w:rsidRPr="000A4A84">
                    <w:rPr>
                      <w:rFonts w:ascii="Times New Roman" w:eastAsia="Times New Roman" w:hAnsi="Times New Roman" w:cs="Times New Roman"/>
                      <w:sz w:val="20"/>
                      <w:szCs w:val="24"/>
                      <w:lang w:eastAsia="lv-LV"/>
                    </w:rPr>
                    <w:t>daudzums, kas izmantots lauksaimniecībā izmantojamo zemes segto platību (siltumnīcu) siltumapgādei</w:t>
                  </w:r>
                </w:p>
              </w:tc>
              <w:tc>
                <w:tcPr>
                  <w:tcW w:w="1134" w:type="dxa"/>
                  <w:tcBorders>
                    <w:top w:val="nil"/>
                    <w:left w:val="nil"/>
                    <w:bottom w:val="single" w:sz="4" w:space="0" w:color="auto"/>
                    <w:right w:val="single" w:sz="4" w:space="0" w:color="auto"/>
                  </w:tcBorders>
                  <w:shd w:val="clear" w:color="auto" w:fill="auto"/>
                  <w:noWrap/>
                  <w:vAlign w:val="center"/>
                  <w:hideMark/>
                </w:tcPr>
                <w:p w:rsidR="004A2A10" w:rsidRPr="000A4A84" w:rsidRDefault="004A2A10" w:rsidP="004A2A10">
                  <w:pPr>
                    <w:spacing w:after="0" w:line="240" w:lineRule="auto"/>
                    <w:jc w:val="center"/>
                    <w:rPr>
                      <w:rFonts w:ascii="Times New Roman" w:eastAsia="Times New Roman" w:hAnsi="Times New Roman" w:cs="Times New Roman"/>
                      <w:bCs/>
                      <w:color w:val="000000"/>
                      <w:sz w:val="20"/>
                      <w:lang w:eastAsia="lv-LV"/>
                    </w:rPr>
                  </w:pPr>
                  <w:r w:rsidRPr="000A4A84">
                    <w:rPr>
                      <w:rFonts w:ascii="Times New Roman" w:eastAsia="Times New Roman" w:hAnsi="Times New Roman" w:cs="Times New Roman"/>
                      <w:bCs/>
                      <w:color w:val="000000"/>
                      <w:sz w:val="20"/>
                      <w:lang w:eastAsia="lv-LV"/>
                    </w:rPr>
                    <w:t>164 055</w:t>
                  </w:r>
                </w:p>
              </w:tc>
              <w:tc>
                <w:tcPr>
                  <w:tcW w:w="993" w:type="dxa"/>
                  <w:tcBorders>
                    <w:top w:val="nil"/>
                    <w:left w:val="nil"/>
                    <w:bottom w:val="single" w:sz="4" w:space="0" w:color="auto"/>
                    <w:right w:val="single" w:sz="4" w:space="0" w:color="auto"/>
                  </w:tcBorders>
                  <w:shd w:val="clear" w:color="auto" w:fill="auto"/>
                  <w:noWrap/>
                  <w:vAlign w:val="center"/>
                  <w:hideMark/>
                </w:tcPr>
                <w:p w:rsidR="004A2A10" w:rsidRPr="000A4A84" w:rsidRDefault="004A2A10" w:rsidP="004A2A10">
                  <w:pPr>
                    <w:spacing w:after="0" w:line="240" w:lineRule="auto"/>
                    <w:jc w:val="center"/>
                    <w:rPr>
                      <w:rFonts w:ascii="Times New Roman" w:eastAsia="Times New Roman" w:hAnsi="Times New Roman" w:cs="Times New Roman"/>
                      <w:bCs/>
                      <w:color w:val="000000"/>
                      <w:sz w:val="20"/>
                      <w:lang w:eastAsia="lv-LV"/>
                    </w:rPr>
                  </w:pPr>
                  <w:r w:rsidRPr="000A4A84">
                    <w:rPr>
                      <w:rFonts w:ascii="Times New Roman" w:eastAsia="Times New Roman" w:hAnsi="Times New Roman" w:cs="Times New Roman"/>
                      <w:bCs/>
                      <w:color w:val="000000"/>
                      <w:sz w:val="20"/>
                      <w:lang w:eastAsia="lv-LV"/>
                    </w:rPr>
                    <w:t>160 547</w:t>
                  </w:r>
                </w:p>
              </w:tc>
              <w:tc>
                <w:tcPr>
                  <w:tcW w:w="1134" w:type="dxa"/>
                  <w:tcBorders>
                    <w:top w:val="single" w:sz="4" w:space="0" w:color="auto"/>
                    <w:left w:val="nil"/>
                    <w:bottom w:val="single" w:sz="4" w:space="0" w:color="auto"/>
                    <w:right w:val="single" w:sz="4" w:space="0" w:color="auto"/>
                  </w:tcBorders>
                  <w:vAlign w:val="center"/>
                </w:tcPr>
                <w:p w:rsidR="004A2A10" w:rsidRPr="000A4A84" w:rsidRDefault="004A2A10" w:rsidP="004A2A10">
                  <w:pPr>
                    <w:spacing w:after="0" w:line="240" w:lineRule="auto"/>
                    <w:jc w:val="center"/>
                    <w:rPr>
                      <w:rFonts w:ascii="Times New Roman" w:eastAsia="Times New Roman" w:hAnsi="Times New Roman" w:cs="Times New Roman"/>
                      <w:bCs/>
                      <w:color w:val="000000"/>
                      <w:sz w:val="20"/>
                      <w:lang w:eastAsia="lv-LV"/>
                    </w:rPr>
                  </w:pPr>
                  <w:r w:rsidRPr="000A4A84">
                    <w:rPr>
                      <w:rFonts w:ascii="Times New Roman" w:eastAsia="Times New Roman" w:hAnsi="Times New Roman" w:cs="Times New Roman"/>
                      <w:bCs/>
                      <w:color w:val="000000"/>
                      <w:sz w:val="20"/>
                      <w:lang w:eastAsia="lv-LV"/>
                    </w:rPr>
                    <w:t>102 008</w:t>
                  </w:r>
                </w:p>
              </w:tc>
            </w:tr>
            <w:tr w:rsidR="004A2A10" w:rsidRPr="00CE1CA6" w:rsidTr="0048306B">
              <w:trPr>
                <w:trHeight w:val="499"/>
              </w:trPr>
              <w:tc>
                <w:tcPr>
                  <w:tcW w:w="3899" w:type="dxa"/>
                  <w:tcBorders>
                    <w:top w:val="nil"/>
                    <w:left w:val="single" w:sz="4" w:space="0" w:color="auto"/>
                    <w:bottom w:val="single" w:sz="4" w:space="0" w:color="auto"/>
                    <w:right w:val="single" w:sz="4" w:space="0" w:color="auto"/>
                  </w:tcBorders>
                  <w:shd w:val="clear" w:color="auto" w:fill="auto"/>
                  <w:hideMark/>
                </w:tcPr>
                <w:p w:rsidR="004A2A10" w:rsidRPr="000A4A84" w:rsidRDefault="004A2A10" w:rsidP="004A2A10">
                  <w:pPr>
                    <w:spacing w:after="0" w:line="240" w:lineRule="auto"/>
                    <w:rPr>
                      <w:rFonts w:ascii="Times New Roman" w:eastAsia="Times New Roman" w:hAnsi="Times New Roman" w:cs="Times New Roman"/>
                      <w:sz w:val="20"/>
                      <w:szCs w:val="24"/>
                      <w:lang w:eastAsia="lv-LV"/>
                    </w:rPr>
                  </w:pPr>
                  <w:r w:rsidRPr="000A4A84">
                    <w:rPr>
                      <w:rFonts w:ascii="Times New Roman" w:eastAsia="Times New Roman" w:hAnsi="Times New Roman" w:cs="Times New Roman"/>
                      <w:sz w:val="20"/>
                      <w:szCs w:val="24"/>
                      <w:lang w:eastAsia="lv-LV"/>
                    </w:rPr>
                    <w:t>daudzums, kas izmantots rūpniecisko mājputnu novietņu (kūts) un inkubatoru siltumapgādei</w:t>
                  </w:r>
                </w:p>
              </w:tc>
              <w:tc>
                <w:tcPr>
                  <w:tcW w:w="1134" w:type="dxa"/>
                  <w:tcBorders>
                    <w:top w:val="nil"/>
                    <w:left w:val="nil"/>
                    <w:bottom w:val="single" w:sz="4" w:space="0" w:color="auto"/>
                    <w:right w:val="single" w:sz="4" w:space="0" w:color="auto"/>
                  </w:tcBorders>
                  <w:shd w:val="clear" w:color="auto" w:fill="auto"/>
                  <w:noWrap/>
                  <w:vAlign w:val="center"/>
                  <w:hideMark/>
                </w:tcPr>
                <w:p w:rsidR="004A2A10" w:rsidRPr="000A4A84" w:rsidRDefault="004A2A10" w:rsidP="004A2A10">
                  <w:pPr>
                    <w:spacing w:after="0" w:line="240" w:lineRule="auto"/>
                    <w:jc w:val="center"/>
                    <w:rPr>
                      <w:rFonts w:ascii="Times New Roman" w:eastAsia="Times New Roman" w:hAnsi="Times New Roman" w:cs="Times New Roman"/>
                      <w:bCs/>
                      <w:color w:val="000000"/>
                      <w:sz w:val="20"/>
                      <w:lang w:eastAsia="lv-LV"/>
                    </w:rPr>
                  </w:pPr>
                  <w:r w:rsidRPr="000A4A84">
                    <w:rPr>
                      <w:rFonts w:ascii="Times New Roman" w:eastAsia="Times New Roman" w:hAnsi="Times New Roman" w:cs="Times New Roman"/>
                      <w:bCs/>
                      <w:color w:val="000000"/>
                      <w:sz w:val="20"/>
                      <w:lang w:eastAsia="lv-LV"/>
                    </w:rPr>
                    <w:t>17 568</w:t>
                  </w:r>
                </w:p>
              </w:tc>
              <w:tc>
                <w:tcPr>
                  <w:tcW w:w="993" w:type="dxa"/>
                  <w:tcBorders>
                    <w:top w:val="nil"/>
                    <w:left w:val="nil"/>
                    <w:bottom w:val="single" w:sz="4" w:space="0" w:color="auto"/>
                    <w:right w:val="single" w:sz="4" w:space="0" w:color="auto"/>
                  </w:tcBorders>
                  <w:shd w:val="clear" w:color="auto" w:fill="auto"/>
                  <w:noWrap/>
                  <w:vAlign w:val="center"/>
                  <w:hideMark/>
                </w:tcPr>
                <w:p w:rsidR="004A2A10" w:rsidRPr="000A4A84" w:rsidRDefault="004A2A10" w:rsidP="004A2A10">
                  <w:pPr>
                    <w:spacing w:after="0" w:line="240" w:lineRule="auto"/>
                    <w:jc w:val="center"/>
                    <w:rPr>
                      <w:rFonts w:ascii="Times New Roman" w:eastAsia="Times New Roman" w:hAnsi="Times New Roman" w:cs="Times New Roman"/>
                      <w:bCs/>
                      <w:color w:val="000000"/>
                      <w:sz w:val="20"/>
                      <w:lang w:eastAsia="lv-LV"/>
                    </w:rPr>
                  </w:pPr>
                  <w:r w:rsidRPr="000A4A84">
                    <w:rPr>
                      <w:rFonts w:ascii="Times New Roman" w:eastAsia="Times New Roman" w:hAnsi="Times New Roman" w:cs="Times New Roman"/>
                      <w:bCs/>
                      <w:color w:val="000000"/>
                      <w:sz w:val="20"/>
                      <w:lang w:eastAsia="lv-LV"/>
                    </w:rPr>
                    <w:t>25 959</w:t>
                  </w:r>
                </w:p>
              </w:tc>
              <w:tc>
                <w:tcPr>
                  <w:tcW w:w="1134" w:type="dxa"/>
                  <w:tcBorders>
                    <w:top w:val="single" w:sz="4" w:space="0" w:color="auto"/>
                    <w:left w:val="nil"/>
                    <w:bottom w:val="single" w:sz="4" w:space="0" w:color="auto"/>
                    <w:right w:val="single" w:sz="4" w:space="0" w:color="auto"/>
                  </w:tcBorders>
                  <w:vAlign w:val="center"/>
                </w:tcPr>
                <w:p w:rsidR="004A2A10" w:rsidRPr="000A4A84" w:rsidRDefault="004A2A10" w:rsidP="004A2A10">
                  <w:pPr>
                    <w:spacing w:after="0" w:line="240" w:lineRule="auto"/>
                    <w:jc w:val="center"/>
                    <w:rPr>
                      <w:rFonts w:ascii="Times New Roman" w:eastAsia="Times New Roman" w:hAnsi="Times New Roman" w:cs="Times New Roman"/>
                      <w:bCs/>
                      <w:color w:val="000000"/>
                      <w:sz w:val="20"/>
                      <w:lang w:eastAsia="lv-LV"/>
                    </w:rPr>
                  </w:pPr>
                  <w:r w:rsidRPr="000A4A84">
                    <w:rPr>
                      <w:rFonts w:ascii="Times New Roman" w:eastAsia="Times New Roman" w:hAnsi="Times New Roman" w:cs="Times New Roman"/>
                      <w:bCs/>
                      <w:color w:val="000000"/>
                      <w:sz w:val="20"/>
                      <w:lang w:eastAsia="lv-LV"/>
                    </w:rPr>
                    <w:t>30 635</w:t>
                  </w:r>
                </w:p>
              </w:tc>
            </w:tr>
          </w:tbl>
          <w:p w:rsidR="004A2A10" w:rsidRPr="000A4A84" w:rsidRDefault="004A2A10" w:rsidP="004A2A10">
            <w:pPr>
              <w:jc w:val="both"/>
              <w:rPr>
                <w:rFonts w:eastAsia="Times New Roman" w:cs="Times New Roman"/>
                <w:iCs/>
                <w:sz w:val="24"/>
                <w:szCs w:val="24"/>
                <w:lang w:eastAsia="lv-LV"/>
              </w:rPr>
            </w:pPr>
            <w:r w:rsidRPr="00CE1CA6">
              <w:rPr>
                <w:rFonts w:eastAsia="Times New Roman" w:cs="Times New Roman"/>
                <w:iCs/>
                <w:sz w:val="24"/>
                <w:szCs w:val="24"/>
                <w:lang w:eastAsia="lv-LV"/>
              </w:rPr>
              <w:t xml:space="preserve">Ņemot vērā to, ka dabasgāzes, </w:t>
            </w:r>
            <w:r w:rsidRPr="000A4A84">
              <w:rPr>
                <w:rFonts w:eastAsia="Times New Roman" w:cs="Times New Roman"/>
                <w:iCs/>
                <w:sz w:val="24"/>
                <w:szCs w:val="24"/>
                <w:lang w:eastAsia="lv-LV"/>
              </w:rPr>
              <w:t>ko izmanto lauksaimniecībā izmantojamās zemes segto platību (siltumnīcu) siltumapgādei</w:t>
            </w:r>
            <w:r>
              <w:rPr>
                <w:rFonts w:eastAsia="Times New Roman" w:cs="Times New Roman"/>
                <w:iCs/>
                <w:sz w:val="24"/>
                <w:szCs w:val="24"/>
                <w:lang w:eastAsia="lv-LV"/>
              </w:rPr>
              <w:t>,</w:t>
            </w:r>
            <w:r w:rsidRPr="000A4A84">
              <w:rPr>
                <w:rFonts w:eastAsia="Times New Roman" w:cs="Times New Roman"/>
                <w:iCs/>
                <w:sz w:val="24"/>
                <w:szCs w:val="24"/>
                <w:lang w:eastAsia="lv-LV"/>
              </w:rPr>
              <w:t xml:space="preserve"> </w:t>
            </w:r>
            <w:r>
              <w:rPr>
                <w:rFonts w:eastAsia="Times New Roman" w:cs="Times New Roman"/>
                <w:iCs/>
                <w:sz w:val="24"/>
                <w:szCs w:val="24"/>
                <w:lang w:eastAsia="lv-LV"/>
              </w:rPr>
              <w:t xml:space="preserve">patēriņš </w:t>
            </w:r>
            <w:r w:rsidRPr="000A4A84">
              <w:rPr>
                <w:rFonts w:eastAsia="Times New Roman" w:cs="Times New Roman"/>
                <w:iCs/>
                <w:sz w:val="24"/>
                <w:szCs w:val="24"/>
                <w:lang w:eastAsia="lv-LV"/>
              </w:rPr>
              <w:t xml:space="preserve">katru gadu samazinās, prognozēts, ka 2018.gadā tas būs 136,0 tūkst. </w:t>
            </w:r>
            <w:proofErr w:type="spellStart"/>
            <w:r w:rsidRPr="000A4A84">
              <w:rPr>
                <w:rFonts w:eastAsia="Times New Roman" w:cs="Times New Roman"/>
                <w:iCs/>
                <w:sz w:val="24"/>
                <w:szCs w:val="24"/>
                <w:lang w:eastAsia="lv-LV"/>
              </w:rPr>
              <w:t>MWh</w:t>
            </w:r>
            <w:proofErr w:type="spellEnd"/>
            <w:r w:rsidRPr="000A4A84">
              <w:rPr>
                <w:rFonts w:eastAsia="Times New Roman" w:cs="Times New Roman"/>
                <w:iCs/>
                <w:sz w:val="24"/>
                <w:szCs w:val="24"/>
                <w:lang w:eastAsia="lv-LV"/>
              </w:rPr>
              <w:t>. Savukārt dabasgāzes, ko izmanto rūpniecisko mājputnu novietņu (kūts) un inkubatoru siltumapgādei, patēriņ</w:t>
            </w:r>
            <w:r>
              <w:rPr>
                <w:rFonts w:eastAsia="Times New Roman" w:cs="Times New Roman"/>
                <w:iCs/>
                <w:sz w:val="24"/>
                <w:szCs w:val="24"/>
                <w:lang w:eastAsia="lv-LV"/>
              </w:rPr>
              <w:t xml:space="preserve">am ir tendence </w:t>
            </w:r>
            <w:r w:rsidRPr="000A4A84">
              <w:rPr>
                <w:rFonts w:eastAsia="Times New Roman" w:cs="Times New Roman"/>
                <w:iCs/>
                <w:sz w:val="24"/>
                <w:szCs w:val="24"/>
                <w:lang w:eastAsia="lv-LV"/>
              </w:rPr>
              <w:t>palielinā</w:t>
            </w:r>
            <w:r>
              <w:rPr>
                <w:rFonts w:eastAsia="Times New Roman" w:cs="Times New Roman"/>
                <w:iCs/>
                <w:sz w:val="24"/>
                <w:szCs w:val="24"/>
                <w:lang w:eastAsia="lv-LV"/>
              </w:rPr>
              <w:t>ties</w:t>
            </w:r>
            <w:r w:rsidRPr="000A4A84">
              <w:rPr>
                <w:rFonts w:eastAsia="Times New Roman" w:cs="Times New Roman"/>
                <w:iCs/>
                <w:sz w:val="24"/>
                <w:szCs w:val="24"/>
                <w:lang w:eastAsia="lv-LV"/>
              </w:rPr>
              <w:t xml:space="preserve"> un prognozēts, ka 2018.gadā tas būs 41,0</w:t>
            </w:r>
            <w:r>
              <w:rPr>
                <w:rFonts w:eastAsia="Times New Roman" w:cs="Times New Roman"/>
                <w:iCs/>
                <w:sz w:val="24"/>
                <w:szCs w:val="24"/>
                <w:lang w:eastAsia="lv-LV"/>
              </w:rPr>
              <w:t> </w:t>
            </w:r>
            <w:r w:rsidRPr="000A4A84">
              <w:rPr>
                <w:rFonts w:eastAsia="Times New Roman" w:cs="Times New Roman"/>
                <w:iCs/>
                <w:sz w:val="24"/>
                <w:szCs w:val="24"/>
                <w:lang w:eastAsia="lv-LV"/>
              </w:rPr>
              <w:t xml:space="preserve">tūkst. </w:t>
            </w:r>
            <w:proofErr w:type="spellStart"/>
            <w:r w:rsidRPr="000A4A84">
              <w:rPr>
                <w:rFonts w:eastAsia="Times New Roman" w:cs="Times New Roman"/>
                <w:iCs/>
                <w:sz w:val="24"/>
                <w:szCs w:val="24"/>
                <w:lang w:eastAsia="lv-LV"/>
              </w:rPr>
              <w:t>MWh</w:t>
            </w:r>
            <w:proofErr w:type="spellEnd"/>
            <w:r w:rsidRPr="000A4A84">
              <w:rPr>
                <w:rFonts w:eastAsia="Times New Roman" w:cs="Times New Roman"/>
                <w:iCs/>
                <w:sz w:val="24"/>
                <w:szCs w:val="24"/>
                <w:lang w:eastAsia="lv-LV"/>
              </w:rPr>
              <w:t xml:space="preserve">. </w:t>
            </w:r>
          </w:p>
          <w:p w:rsidR="004A2A10" w:rsidRPr="00557705" w:rsidRDefault="004A2A10" w:rsidP="004A2A10">
            <w:pPr>
              <w:jc w:val="both"/>
              <w:rPr>
                <w:rFonts w:eastAsia="Times New Roman" w:cs="Times New Roman"/>
                <w:iCs/>
                <w:sz w:val="24"/>
                <w:szCs w:val="24"/>
                <w:lang w:eastAsia="lv-LV"/>
              </w:rPr>
            </w:pPr>
            <w:r w:rsidRPr="000A4A84">
              <w:rPr>
                <w:rFonts w:eastAsia="Times New Roman" w:cs="Times New Roman"/>
                <w:iCs/>
                <w:sz w:val="24"/>
                <w:szCs w:val="24"/>
                <w:lang w:eastAsia="lv-LV"/>
              </w:rPr>
              <w:t>Prognozējot, ka dabasgāzes, ko izmanto lauksaimniecībā izmantojamās zemes segto platību (siltumnīcu) siltumapgādei un rūpniecisko mājputnu novietņu (kūts) un inkubatoru siltumapgādei, patēriņš turpmākajos gados saglabāsies 2018.gada līmenī, fiskālā ietekme no akcīzes nodokļa atbrīvojuma atcelšanas minētajiem dabasgāzes izmantošanas veidiem radīs papildus ieņēmumus valsts budžetā 2019.gadā 49,1 tūkst. </w:t>
            </w:r>
            <w:proofErr w:type="spellStart"/>
            <w:r w:rsidRPr="000A4A84">
              <w:rPr>
                <w:rFonts w:eastAsia="Times New Roman" w:cs="Times New Roman"/>
                <w:bCs/>
                <w:i/>
                <w:iCs/>
                <w:sz w:val="24"/>
                <w:szCs w:val="24"/>
                <w:lang w:eastAsia="lv-LV"/>
              </w:rPr>
              <w:t>euro</w:t>
            </w:r>
            <w:proofErr w:type="spellEnd"/>
            <w:r w:rsidRPr="000A4A84">
              <w:rPr>
                <w:rFonts w:eastAsia="Times New Roman" w:cs="Times New Roman"/>
                <w:iCs/>
                <w:sz w:val="24"/>
                <w:szCs w:val="24"/>
                <w:lang w:eastAsia="lv-LV"/>
              </w:rPr>
              <w:t xml:space="preserve"> apmērā, t.sk. no akcīzes nodokļa 40,6</w:t>
            </w:r>
            <w:r>
              <w:rPr>
                <w:rFonts w:eastAsia="Times New Roman" w:cs="Times New Roman"/>
                <w:iCs/>
                <w:sz w:val="24"/>
                <w:szCs w:val="24"/>
                <w:lang w:eastAsia="lv-LV"/>
              </w:rPr>
              <w:t> </w:t>
            </w:r>
            <w:r w:rsidRPr="000A4A84">
              <w:rPr>
                <w:rFonts w:eastAsia="Times New Roman" w:cs="Times New Roman"/>
                <w:iCs/>
                <w:sz w:val="24"/>
                <w:szCs w:val="24"/>
                <w:lang w:eastAsia="lv-LV"/>
              </w:rPr>
              <w:t>tūkst.</w:t>
            </w:r>
            <w:r>
              <w:rPr>
                <w:rFonts w:eastAsia="Times New Roman" w:cs="Times New Roman"/>
                <w:iCs/>
                <w:sz w:val="24"/>
                <w:szCs w:val="24"/>
                <w:lang w:eastAsia="lv-LV"/>
              </w:rPr>
              <w:t> </w:t>
            </w:r>
            <w:proofErr w:type="spellStart"/>
            <w:r w:rsidRPr="000A4A84">
              <w:rPr>
                <w:rFonts w:eastAsia="Times New Roman" w:cs="Times New Roman"/>
                <w:bCs/>
                <w:i/>
                <w:iCs/>
                <w:sz w:val="24"/>
                <w:szCs w:val="24"/>
                <w:lang w:eastAsia="lv-LV"/>
              </w:rPr>
              <w:t>euro</w:t>
            </w:r>
            <w:proofErr w:type="spellEnd"/>
            <w:r w:rsidRPr="000A4A84">
              <w:rPr>
                <w:rFonts w:eastAsia="Times New Roman" w:cs="Times New Roman"/>
                <w:iCs/>
                <w:sz w:val="24"/>
                <w:szCs w:val="24"/>
                <w:lang w:eastAsia="lv-LV"/>
              </w:rPr>
              <w:t>, no pievienotās vērtības nodokļa 8,5</w:t>
            </w:r>
            <w:r w:rsidRPr="000A4A84">
              <w:rPr>
                <w:sz w:val="24"/>
                <w:szCs w:val="24"/>
              </w:rPr>
              <w:t xml:space="preserve"> tūkst. </w:t>
            </w:r>
            <w:proofErr w:type="spellStart"/>
            <w:r w:rsidRPr="000A4A84">
              <w:rPr>
                <w:rFonts w:eastAsia="Times New Roman" w:cs="Times New Roman"/>
                <w:bCs/>
                <w:i/>
                <w:sz w:val="24"/>
                <w:szCs w:val="24"/>
              </w:rPr>
              <w:t>euro</w:t>
            </w:r>
            <w:proofErr w:type="spellEnd"/>
            <w:r w:rsidRPr="000A4A84">
              <w:rPr>
                <w:sz w:val="24"/>
                <w:szCs w:val="24"/>
              </w:rPr>
              <w:t>, 2020.</w:t>
            </w:r>
            <w:r w:rsidR="00B106B0">
              <w:rPr>
                <w:sz w:val="24"/>
                <w:szCs w:val="24"/>
              </w:rPr>
              <w:t>gadā</w:t>
            </w:r>
            <w:r w:rsidRPr="000A4A84">
              <w:rPr>
                <w:sz w:val="24"/>
                <w:szCs w:val="24"/>
              </w:rPr>
              <w:t xml:space="preserve"> un </w:t>
            </w:r>
            <w:r w:rsidR="00B106B0">
              <w:rPr>
                <w:sz w:val="24"/>
                <w:szCs w:val="24"/>
              </w:rPr>
              <w:t>turpmāk</w:t>
            </w:r>
            <w:r w:rsidRPr="00CE1CA6">
              <w:rPr>
                <w:sz w:val="24"/>
                <w:szCs w:val="24"/>
              </w:rPr>
              <w:t xml:space="preserve"> </w:t>
            </w:r>
            <w:r w:rsidRPr="000A4A84">
              <w:rPr>
                <w:sz w:val="24"/>
                <w:szCs w:val="24"/>
              </w:rPr>
              <w:t>117,8 tūkst. </w:t>
            </w:r>
            <w:proofErr w:type="spellStart"/>
            <w:r w:rsidRPr="00CE1CA6">
              <w:rPr>
                <w:rFonts w:eastAsia="Times New Roman" w:cs="Times New Roman"/>
                <w:bCs/>
                <w:i/>
                <w:sz w:val="24"/>
                <w:szCs w:val="24"/>
              </w:rPr>
              <w:t>euro</w:t>
            </w:r>
            <w:proofErr w:type="spellEnd"/>
            <w:r>
              <w:rPr>
                <w:rFonts w:eastAsia="Times New Roman" w:cs="Times New Roman"/>
                <w:bCs/>
                <w:i/>
                <w:sz w:val="24"/>
                <w:szCs w:val="24"/>
              </w:rPr>
              <w:t> </w:t>
            </w:r>
            <w:r>
              <w:rPr>
                <w:rFonts w:eastAsia="Times New Roman" w:cs="Times New Roman"/>
                <w:bCs/>
                <w:sz w:val="24"/>
                <w:szCs w:val="24"/>
              </w:rPr>
              <w:t>apmērā</w:t>
            </w:r>
            <w:r w:rsidRPr="000A4A84">
              <w:rPr>
                <w:sz w:val="24"/>
                <w:szCs w:val="24"/>
              </w:rPr>
              <w:t xml:space="preserve">, </w:t>
            </w:r>
            <w:r w:rsidRPr="00CE1CA6">
              <w:rPr>
                <w:rFonts w:eastAsia="Times New Roman" w:cs="Times New Roman"/>
                <w:iCs/>
                <w:sz w:val="24"/>
                <w:szCs w:val="24"/>
                <w:lang w:eastAsia="lv-LV"/>
              </w:rPr>
              <w:t xml:space="preserve">t.sk. no akcīzes nodokļa </w:t>
            </w:r>
            <w:r w:rsidRPr="000A4A84">
              <w:rPr>
                <w:rFonts w:eastAsia="Times New Roman" w:cs="Times New Roman"/>
                <w:iCs/>
                <w:sz w:val="24"/>
                <w:szCs w:val="24"/>
                <w:lang w:eastAsia="lv-LV"/>
              </w:rPr>
              <w:t xml:space="preserve">97,4 tūkst. </w:t>
            </w:r>
            <w:proofErr w:type="spellStart"/>
            <w:r w:rsidRPr="000A4A84">
              <w:rPr>
                <w:rFonts w:eastAsia="Times New Roman" w:cs="Times New Roman"/>
                <w:bCs/>
                <w:i/>
                <w:iCs/>
                <w:sz w:val="24"/>
                <w:szCs w:val="24"/>
                <w:lang w:eastAsia="lv-LV"/>
              </w:rPr>
              <w:t>euro</w:t>
            </w:r>
            <w:proofErr w:type="spellEnd"/>
            <w:r>
              <w:rPr>
                <w:rFonts w:eastAsia="Times New Roman" w:cs="Times New Roman"/>
                <w:bCs/>
                <w:i/>
                <w:iCs/>
                <w:sz w:val="24"/>
                <w:szCs w:val="24"/>
                <w:lang w:eastAsia="lv-LV"/>
              </w:rPr>
              <w:t xml:space="preserve"> </w:t>
            </w:r>
            <w:r w:rsidRPr="000A4A84">
              <w:rPr>
                <w:rFonts w:eastAsia="Times New Roman" w:cs="Times New Roman"/>
                <w:bCs/>
                <w:iCs/>
                <w:sz w:val="24"/>
                <w:szCs w:val="24"/>
                <w:lang w:eastAsia="lv-LV"/>
              </w:rPr>
              <w:t>un</w:t>
            </w:r>
            <w:r w:rsidRPr="000A4A84">
              <w:rPr>
                <w:rFonts w:eastAsia="Times New Roman" w:cs="Times New Roman"/>
                <w:iCs/>
                <w:sz w:val="24"/>
                <w:szCs w:val="24"/>
                <w:lang w:eastAsia="lv-LV"/>
              </w:rPr>
              <w:t xml:space="preserve"> no pievienotās vērtības nodokļa 20,4</w:t>
            </w:r>
            <w:r w:rsidRPr="000A4A84">
              <w:rPr>
                <w:sz w:val="24"/>
                <w:szCs w:val="24"/>
              </w:rPr>
              <w:t xml:space="preserve"> tūkst. </w:t>
            </w:r>
            <w:proofErr w:type="spellStart"/>
            <w:r w:rsidRPr="000A4A84">
              <w:rPr>
                <w:rFonts w:eastAsia="Times New Roman" w:cs="Times New Roman"/>
                <w:bCs/>
                <w:i/>
                <w:sz w:val="24"/>
                <w:szCs w:val="24"/>
              </w:rPr>
              <w:t>euro</w:t>
            </w:r>
            <w:proofErr w:type="spellEnd"/>
            <w:r w:rsidRPr="000A4A84">
              <w:rPr>
                <w:rFonts w:eastAsia="Times New Roman" w:cs="Times New Roman"/>
                <w:bCs/>
                <w:i/>
                <w:sz w:val="24"/>
                <w:szCs w:val="24"/>
              </w:rPr>
              <w:t>.</w:t>
            </w:r>
            <w:r>
              <w:rPr>
                <w:rFonts w:eastAsia="Times New Roman" w:cs="Times New Roman"/>
                <w:bCs/>
                <w:i/>
                <w:sz w:val="24"/>
                <w:szCs w:val="24"/>
              </w:rPr>
              <w:t xml:space="preserve"> </w:t>
            </w:r>
            <w:r>
              <w:rPr>
                <w:rFonts w:eastAsia="Times New Roman" w:cs="Times New Roman"/>
                <w:bCs/>
                <w:sz w:val="24"/>
                <w:szCs w:val="24"/>
              </w:rPr>
              <w:t xml:space="preserve">Aprēķinos ņemta vērā akcīzes nodokļa maksāšanas kārtība un izmaiņu spēkā stāšanās datums. </w:t>
            </w:r>
          </w:p>
          <w:p w:rsidR="004A2A10" w:rsidRPr="000B55A9" w:rsidRDefault="004A2A10" w:rsidP="004A2A10">
            <w:pPr>
              <w:jc w:val="both"/>
              <w:rPr>
                <w:rFonts w:eastAsia="Times New Roman" w:cs="Times New Roman"/>
                <w:iCs/>
                <w:sz w:val="24"/>
                <w:szCs w:val="24"/>
                <w:lang w:eastAsia="lv-LV"/>
              </w:rPr>
            </w:pPr>
          </w:p>
        </w:tc>
      </w:tr>
      <w:tr w:rsidR="004A2A10" w:rsidRPr="000B55A9" w:rsidTr="0069728C">
        <w:trPr>
          <w:trHeight w:val="817"/>
        </w:trPr>
        <w:tc>
          <w:tcPr>
            <w:tcW w:w="1696" w:type="dxa"/>
            <w:hideMark/>
          </w:tcPr>
          <w:p w:rsidR="004A2A10"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6.1. detalizēts ieņēmumu aprēķins</w:t>
            </w:r>
          </w:p>
          <w:p w:rsidR="004A2A10" w:rsidRPr="00955055" w:rsidRDefault="004A2A10" w:rsidP="004A2A10">
            <w:pPr>
              <w:tabs>
                <w:tab w:val="left" w:pos="1320"/>
              </w:tabs>
              <w:rPr>
                <w:rFonts w:eastAsia="Times New Roman" w:cs="Times New Roman"/>
                <w:sz w:val="24"/>
                <w:szCs w:val="24"/>
                <w:lang w:eastAsia="lv-LV"/>
              </w:rPr>
            </w:pPr>
            <w:r>
              <w:rPr>
                <w:rFonts w:eastAsia="Times New Roman" w:cs="Times New Roman"/>
                <w:sz w:val="24"/>
                <w:szCs w:val="24"/>
                <w:lang w:eastAsia="lv-LV"/>
              </w:rPr>
              <w:tab/>
            </w:r>
          </w:p>
        </w:tc>
        <w:tc>
          <w:tcPr>
            <w:tcW w:w="7671" w:type="dxa"/>
            <w:gridSpan w:val="7"/>
            <w:vMerge/>
          </w:tcPr>
          <w:p w:rsidR="004A2A10" w:rsidRPr="000B55A9" w:rsidRDefault="004A2A10" w:rsidP="004A2A10">
            <w:pPr>
              <w:rPr>
                <w:rFonts w:eastAsia="Times New Roman" w:cs="Times New Roman"/>
                <w:iCs/>
                <w:sz w:val="24"/>
                <w:szCs w:val="24"/>
                <w:lang w:eastAsia="lv-LV"/>
              </w:rPr>
            </w:pPr>
          </w:p>
        </w:tc>
      </w:tr>
      <w:tr w:rsidR="004A2A10" w:rsidRPr="000B55A9" w:rsidTr="0069728C">
        <w:trPr>
          <w:trHeight w:val="550"/>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6.2. detalizēts izdevumu aprēķins</w:t>
            </w:r>
          </w:p>
        </w:tc>
        <w:tc>
          <w:tcPr>
            <w:tcW w:w="7671" w:type="dxa"/>
            <w:gridSpan w:val="7"/>
            <w:vMerge/>
          </w:tcPr>
          <w:p w:rsidR="004A2A10" w:rsidRPr="000B55A9" w:rsidRDefault="004A2A10" w:rsidP="004A2A10">
            <w:pPr>
              <w:rPr>
                <w:rFonts w:eastAsia="Times New Roman" w:cs="Times New Roman"/>
                <w:iCs/>
                <w:sz w:val="24"/>
                <w:szCs w:val="24"/>
                <w:lang w:eastAsia="lv-LV"/>
              </w:rPr>
            </w:pPr>
          </w:p>
        </w:tc>
      </w:tr>
      <w:tr w:rsidR="004A2A10" w:rsidRPr="000B55A9" w:rsidTr="0069728C">
        <w:trPr>
          <w:trHeight w:val="535"/>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7. Amata vietu skaita izmaiņas</w:t>
            </w:r>
          </w:p>
        </w:tc>
        <w:tc>
          <w:tcPr>
            <w:tcW w:w="7671" w:type="dxa"/>
            <w:gridSpan w:val="7"/>
          </w:tcPr>
          <w:p w:rsidR="004A2A10" w:rsidRPr="000B55A9" w:rsidRDefault="004A2A10" w:rsidP="004A2A10">
            <w:pPr>
              <w:jc w:val="both"/>
              <w:rPr>
                <w:rFonts w:eastAsia="Times New Roman" w:cs="Times New Roman"/>
                <w:iCs/>
                <w:sz w:val="24"/>
                <w:szCs w:val="24"/>
                <w:lang w:eastAsia="lv-LV"/>
              </w:rPr>
            </w:pPr>
            <w:r w:rsidRPr="000B55A9">
              <w:rPr>
                <w:rFonts w:eastAsia="Times New Roman" w:cs="Times New Roman"/>
                <w:iCs/>
                <w:sz w:val="24"/>
                <w:szCs w:val="24"/>
                <w:lang w:eastAsia="lv-LV"/>
              </w:rPr>
              <w:t>Nav.</w:t>
            </w:r>
          </w:p>
        </w:tc>
      </w:tr>
      <w:tr w:rsidR="004A2A10" w:rsidRPr="000B55A9" w:rsidTr="0069728C">
        <w:trPr>
          <w:trHeight w:val="267"/>
        </w:trPr>
        <w:tc>
          <w:tcPr>
            <w:tcW w:w="1696" w:type="dxa"/>
            <w:hideMark/>
          </w:tcPr>
          <w:p w:rsidR="004A2A10" w:rsidRPr="000B55A9" w:rsidRDefault="004A2A10" w:rsidP="004A2A10">
            <w:pPr>
              <w:rPr>
                <w:rFonts w:eastAsia="Times New Roman" w:cs="Times New Roman"/>
                <w:iCs/>
                <w:sz w:val="24"/>
                <w:szCs w:val="24"/>
                <w:lang w:eastAsia="lv-LV"/>
              </w:rPr>
            </w:pPr>
            <w:r w:rsidRPr="000B55A9">
              <w:rPr>
                <w:rFonts w:eastAsia="Times New Roman" w:cs="Times New Roman"/>
                <w:iCs/>
                <w:sz w:val="24"/>
                <w:szCs w:val="24"/>
                <w:lang w:eastAsia="lv-LV"/>
              </w:rPr>
              <w:t>8. Cita informācija</w:t>
            </w:r>
          </w:p>
        </w:tc>
        <w:tc>
          <w:tcPr>
            <w:tcW w:w="7671" w:type="dxa"/>
            <w:gridSpan w:val="7"/>
          </w:tcPr>
          <w:p w:rsidR="004A2A10" w:rsidRPr="00E350C9" w:rsidRDefault="004A2A10" w:rsidP="004A2A10">
            <w:pPr>
              <w:jc w:val="both"/>
              <w:rPr>
                <w:sz w:val="24"/>
              </w:rPr>
            </w:pPr>
            <w:r w:rsidRPr="00CA1825">
              <w:rPr>
                <w:sz w:val="24"/>
              </w:rPr>
              <w:t xml:space="preserve">Pašlaik zvejniekiem zvejai iekšējos ūdeņos nav iespējas iegādāties </w:t>
            </w:r>
            <w:proofErr w:type="spellStart"/>
            <w:r w:rsidRPr="00CA1825">
              <w:rPr>
                <w:sz w:val="24"/>
              </w:rPr>
              <w:t>bezakcīzes</w:t>
            </w:r>
            <w:proofErr w:type="spellEnd"/>
            <w:r w:rsidRPr="00CA1825">
              <w:rPr>
                <w:sz w:val="24"/>
              </w:rPr>
              <w:t xml:space="preserve"> dīzeļdegvielu un tie iegādājās dīzeļdegvielu, kurai piemērota akcīzes nodokļa </w:t>
            </w:r>
            <w:proofErr w:type="spellStart"/>
            <w:r w:rsidRPr="00CA1825">
              <w:rPr>
                <w:sz w:val="24"/>
              </w:rPr>
              <w:t>standartlikme</w:t>
            </w:r>
            <w:proofErr w:type="spellEnd"/>
            <w:r w:rsidRPr="00CA1825">
              <w:rPr>
                <w:sz w:val="24"/>
              </w:rPr>
              <w:t xml:space="preserve">. Nosakot samazināto akcīzes nodokļa likmi, </w:t>
            </w:r>
            <w:r w:rsidRPr="00CA1825">
              <w:rPr>
                <w:bCs/>
                <w:sz w:val="24"/>
              </w:rPr>
              <w:t>radīsies negatīva fiskālā ietekme, kas</w:t>
            </w:r>
            <w:r w:rsidRPr="00CA1825">
              <w:rPr>
                <w:sz w:val="24"/>
              </w:rPr>
              <w:t xml:space="preserve">, ņemot vērā nelielo patērētās dīzeļdegvielas apjomu, </w:t>
            </w:r>
            <w:r w:rsidRPr="00CA1825">
              <w:rPr>
                <w:bCs/>
                <w:sz w:val="24"/>
              </w:rPr>
              <w:t>vērtējama kā nebūtiska</w:t>
            </w:r>
            <w:r w:rsidRPr="00CA1825">
              <w:rPr>
                <w:sz w:val="24"/>
              </w:rPr>
              <w:t xml:space="preserve">. Savukārt fiskālā ietekme no akcīzes nodokļa atmaksas par dīzeļdegvielu, kuru izmanto kā degvielu zvejas kuģos piekrastes ūdeņos, vērtējama kā neitrāla, jo arī pašlaik minētā dīzeļdegviela ir atbrīvota no akcīzes nodokļa. Ņemot vērā iepriekš minēto, kopējā likumprojekta ietekme uz valsts budžetu vērtējama kā nebūtiska. </w:t>
            </w:r>
          </w:p>
        </w:tc>
      </w:tr>
    </w:tbl>
    <w:p w:rsidR="00100490" w:rsidRPr="000B55A9" w:rsidRDefault="00100490" w:rsidP="00543AA6">
      <w:pPr>
        <w:spacing w:after="0" w:line="240" w:lineRule="auto"/>
        <w:rPr>
          <w:rFonts w:ascii="Times New Roman" w:eastAsia="Times New Roman" w:hAnsi="Times New Roman" w:cs="Times New Roman"/>
          <w:sz w:val="24"/>
          <w:szCs w:val="24"/>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4"/>
        <w:gridCol w:w="5392"/>
      </w:tblGrid>
      <w:tr w:rsidR="00543AA6" w:rsidRPr="000B55A9"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B55A9">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0B55A9"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100490" w:rsidRPr="000B55A9" w:rsidRDefault="00100490" w:rsidP="0069728C">
            <w:pPr>
              <w:pStyle w:val="naiskr"/>
            </w:pPr>
            <w:r w:rsidRPr="000B55A9">
              <w:t>1.</w:t>
            </w:r>
          </w:p>
        </w:tc>
        <w:tc>
          <w:tcPr>
            <w:tcW w:w="1847" w:type="pct"/>
          </w:tcPr>
          <w:p w:rsidR="00100490" w:rsidRPr="000B55A9" w:rsidRDefault="00100490" w:rsidP="0069728C">
            <w:pPr>
              <w:pStyle w:val="naiskr"/>
            </w:pPr>
            <w:r w:rsidRPr="000B55A9">
              <w:rPr>
                <w:iCs/>
              </w:rPr>
              <w:t>Saistītie tiesību aktu projekti</w:t>
            </w:r>
          </w:p>
        </w:tc>
        <w:tc>
          <w:tcPr>
            <w:tcW w:w="2926" w:type="pct"/>
          </w:tcPr>
          <w:p w:rsidR="00832B4C" w:rsidRDefault="00277C7E" w:rsidP="00AF2A53">
            <w:pPr>
              <w:pStyle w:val="ListParagraph"/>
              <w:ind w:left="0" w:firstLine="360"/>
              <w:jc w:val="both"/>
            </w:pPr>
            <w:r w:rsidRPr="000B55A9">
              <w:t>Saistībā ar likump</w:t>
            </w:r>
            <w:r w:rsidR="002B3881">
              <w:t xml:space="preserve">rojekta virzību ir nepieciešams </w:t>
            </w:r>
            <w:r w:rsidRPr="000B55A9">
              <w:t>s</w:t>
            </w:r>
            <w:r w:rsidR="00D77A92" w:rsidRPr="000B55A9">
              <w:t>agatavot</w:t>
            </w:r>
            <w:r w:rsidR="00832B4C">
              <w:t>:</w:t>
            </w:r>
          </w:p>
          <w:p w:rsidR="00832B4C" w:rsidRDefault="00784D9C" w:rsidP="00B34189">
            <w:pPr>
              <w:pStyle w:val="ListParagraph"/>
              <w:numPr>
                <w:ilvl w:val="0"/>
                <w:numId w:val="14"/>
              </w:numPr>
              <w:ind w:left="0" w:firstLine="360"/>
              <w:jc w:val="both"/>
            </w:pPr>
            <w:r>
              <w:t>g</w:t>
            </w:r>
            <w:r w:rsidR="00832B4C">
              <w:t xml:space="preserve">rozījumus Ministru kabineta 2017.gada 4.aprīļa noteikumos Nr.199 “Noteikumi par dabasgāzes apriti un akcīzes nodokļa piemērošanas kārtību”. </w:t>
            </w:r>
            <w:r w:rsidR="00B34189" w:rsidRPr="00B34189">
              <w:t xml:space="preserve">Grozījumiem likumā un attiecīgajiem </w:t>
            </w:r>
            <w:r w:rsidR="00B34189">
              <w:t xml:space="preserve">grozījumiem </w:t>
            </w:r>
            <w:r w:rsidR="00B34189" w:rsidRPr="00B34189">
              <w:t>Ministru kabineta noteikum</w:t>
            </w:r>
            <w:r w:rsidR="00B34189">
              <w:t>os</w:t>
            </w:r>
            <w:r w:rsidR="00B34189" w:rsidRPr="00B34189">
              <w:t xml:space="preserve"> ir jāstājas spēkā vienā datumā, t.i. 2019.gada 1.</w:t>
            </w:r>
            <w:r w:rsidR="00B34189">
              <w:t>jūlijs</w:t>
            </w:r>
            <w:r w:rsidR="00B34189" w:rsidRPr="00B34189">
              <w:t>.</w:t>
            </w:r>
            <w:r w:rsidR="00B34189">
              <w:t xml:space="preserve"> </w:t>
            </w:r>
            <w:r w:rsidR="00832B4C" w:rsidRPr="000B55A9">
              <w:t>Par Ministru kabineta noteikumu projekta izstrādi ir atbildīg</w:t>
            </w:r>
            <w:r w:rsidR="00832B4C">
              <w:t>a</w:t>
            </w:r>
            <w:r w:rsidR="00832B4C" w:rsidRPr="000B55A9">
              <w:t xml:space="preserve"> </w:t>
            </w:r>
            <w:r w:rsidR="00832B4C">
              <w:t>Finanšu ministrija;</w:t>
            </w:r>
          </w:p>
          <w:p w:rsidR="00832B4C" w:rsidRDefault="00784D9C" w:rsidP="00784D9C">
            <w:pPr>
              <w:pStyle w:val="ListParagraph"/>
              <w:numPr>
                <w:ilvl w:val="0"/>
                <w:numId w:val="14"/>
              </w:numPr>
              <w:ind w:left="0" w:firstLine="360"/>
              <w:jc w:val="both"/>
            </w:pPr>
            <w:r w:rsidRPr="00784D9C">
              <w:t>grozījumus Ministru kabineta 2010.gada 30.marta noteikumos Nr.300 “Noteikumi par akcīzes nodokļa deklarācijas veidlapām un to aizpildīšanas kārtību”, precizējot naftas produktu akcīzes nodokļa deklarāciju ar atbilstošiem naftas produktu veidiem. Par Ministru kabineta noteikumu projekta izstrādi ir atbildīgs Valsts ieņēmumu dienests;</w:t>
            </w:r>
          </w:p>
          <w:p w:rsidR="005912C7" w:rsidRPr="000B55A9" w:rsidRDefault="00D77A92" w:rsidP="00CC7A83">
            <w:pPr>
              <w:pStyle w:val="ListParagraph"/>
              <w:numPr>
                <w:ilvl w:val="0"/>
                <w:numId w:val="14"/>
              </w:numPr>
              <w:ind w:left="0" w:firstLine="360"/>
              <w:jc w:val="both"/>
            </w:pPr>
            <w:r w:rsidRPr="000B55A9">
              <w:t xml:space="preserve"> </w:t>
            </w:r>
            <w:r w:rsidR="002B3881">
              <w:t>jaunus</w:t>
            </w:r>
            <w:r w:rsidRPr="000B55A9">
              <w:t xml:space="preserve"> Ministru kabineta noteikum</w:t>
            </w:r>
            <w:r w:rsidR="002B3881">
              <w:t>u</w:t>
            </w:r>
            <w:r w:rsidRPr="000B55A9">
              <w:t>s</w:t>
            </w:r>
            <w:r w:rsidR="00AF2A53">
              <w:t xml:space="preserve"> saistībā ar likuma 18.panta papildināšanu ar 6.</w:t>
            </w:r>
            <w:r w:rsidR="00AF2A53" w:rsidRPr="00AF2A53">
              <w:rPr>
                <w:vertAlign w:val="superscript"/>
              </w:rPr>
              <w:t>4</w:t>
            </w:r>
            <w:r w:rsidR="00AF2A53">
              <w:t xml:space="preserve"> daļu.</w:t>
            </w:r>
            <w:r w:rsidRPr="000B55A9">
              <w:t xml:space="preserve"> </w:t>
            </w:r>
            <w:r w:rsidR="00AF2A53">
              <w:t xml:space="preserve">Grozījumiem likumā un attiecīgajiem Ministru kabineta noteikumiem ir jāstājas spēkā vienā datumā, t.i. 2019.gada </w:t>
            </w:r>
            <w:r w:rsidR="00AF2A53">
              <w:lastRenderedPageBreak/>
              <w:t>1.</w:t>
            </w:r>
            <w:r w:rsidR="00CC7A83">
              <w:t>jūlij</w:t>
            </w:r>
            <w:r w:rsidR="00AF2A53">
              <w:t xml:space="preserve">s. </w:t>
            </w:r>
            <w:r w:rsidRPr="000B55A9">
              <w:t>Par Ministru kabineta noteikumu projekta izstrādi ir atbildīg</w:t>
            </w:r>
            <w:r w:rsidR="002B3881">
              <w:t>a</w:t>
            </w:r>
            <w:r w:rsidRPr="000B55A9">
              <w:t xml:space="preserve"> </w:t>
            </w:r>
            <w:r w:rsidR="002B3881">
              <w:t>Zemkopības ministrija</w:t>
            </w:r>
            <w:r w:rsidR="00AF2A53">
              <w:t>.</w:t>
            </w:r>
          </w:p>
        </w:tc>
      </w:tr>
      <w:tr w:rsidR="00100490" w:rsidRPr="000B55A9"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100490" w:rsidRPr="000B55A9" w:rsidRDefault="00100490" w:rsidP="0069728C">
            <w:pPr>
              <w:snapToGrid w:val="0"/>
              <w:rPr>
                <w:rFonts w:ascii="Times New Roman" w:hAnsi="Times New Roman" w:cs="Times New Roman"/>
                <w:color w:val="000000"/>
                <w:sz w:val="24"/>
                <w:szCs w:val="24"/>
              </w:rPr>
            </w:pPr>
            <w:r w:rsidRPr="000B55A9">
              <w:rPr>
                <w:rFonts w:ascii="Times New Roman" w:hAnsi="Times New Roman" w:cs="Times New Roman"/>
                <w:color w:val="000000"/>
                <w:sz w:val="24"/>
                <w:szCs w:val="24"/>
              </w:rPr>
              <w:lastRenderedPageBreak/>
              <w:t>2.</w:t>
            </w:r>
          </w:p>
        </w:tc>
        <w:tc>
          <w:tcPr>
            <w:tcW w:w="1847" w:type="pct"/>
          </w:tcPr>
          <w:p w:rsidR="00100490" w:rsidRPr="000B55A9" w:rsidRDefault="00100490" w:rsidP="0069728C">
            <w:pPr>
              <w:snapToGrid w:val="0"/>
              <w:rPr>
                <w:rFonts w:ascii="Times New Roman" w:hAnsi="Times New Roman" w:cs="Times New Roman"/>
                <w:color w:val="000000"/>
                <w:sz w:val="24"/>
                <w:szCs w:val="24"/>
              </w:rPr>
            </w:pPr>
            <w:r w:rsidRPr="000B55A9">
              <w:rPr>
                <w:rFonts w:ascii="Times New Roman" w:eastAsia="Times New Roman" w:hAnsi="Times New Roman" w:cs="Times New Roman"/>
                <w:iCs/>
                <w:sz w:val="24"/>
                <w:szCs w:val="24"/>
                <w:lang w:eastAsia="lv-LV"/>
              </w:rPr>
              <w:t>Atbildīgā institūcija</w:t>
            </w:r>
          </w:p>
        </w:tc>
        <w:tc>
          <w:tcPr>
            <w:tcW w:w="2926" w:type="pct"/>
          </w:tcPr>
          <w:p w:rsidR="00EB7EA5" w:rsidRPr="000B55A9" w:rsidRDefault="002B3881" w:rsidP="00EB7EA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Zemkopības ministrija un </w:t>
            </w:r>
            <w:r w:rsidR="00EB7EA5" w:rsidRPr="000B55A9">
              <w:rPr>
                <w:rFonts w:ascii="Times New Roman" w:hAnsi="Times New Roman" w:cs="Times New Roman"/>
                <w:color w:val="000000"/>
                <w:sz w:val="24"/>
                <w:szCs w:val="24"/>
              </w:rPr>
              <w:t>Finanšu ministrija</w:t>
            </w:r>
            <w:r w:rsidR="0071341A" w:rsidRPr="000B55A9">
              <w:rPr>
                <w:rFonts w:ascii="Times New Roman" w:hAnsi="Times New Roman" w:cs="Times New Roman"/>
                <w:color w:val="000000"/>
                <w:sz w:val="24"/>
                <w:szCs w:val="24"/>
              </w:rPr>
              <w:t>.</w:t>
            </w:r>
          </w:p>
        </w:tc>
      </w:tr>
      <w:tr w:rsidR="00100490" w:rsidRPr="000B55A9"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100490" w:rsidRPr="000B55A9" w:rsidRDefault="00100490" w:rsidP="0069728C">
            <w:pPr>
              <w:snapToGrid w:val="0"/>
              <w:rPr>
                <w:rFonts w:ascii="Times New Roman" w:hAnsi="Times New Roman" w:cs="Times New Roman"/>
                <w:color w:val="000000"/>
                <w:sz w:val="24"/>
                <w:szCs w:val="24"/>
              </w:rPr>
            </w:pPr>
            <w:r w:rsidRPr="000B55A9">
              <w:rPr>
                <w:rFonts w:ascii="Times New Roman" w:hAnsi="Times New Roman" w:cs="Times New Roman"/>
                <w:color w:val="000000"/>
                <w:sz w:val="24"/>
                <w:szCs w:val="24"/>
              </w:rPr>
              <w:t>3.</w:t>
            </w:r>
          </w:p>
        </w:tc>
        <w:tc>
          <w:tcPr>
            <w:tcW w:w="1847" w:type="pct"/>
          </w:tcPr>
          <w:p w:rsidR="00100490" w:rsidRPr="000B55A9" w:rsidRDefault="00100490" w:rsidP="0069728C">
            <w:pPr>
              <w:snapToGrid w:val="0"/>
              <w:rPr>
                <w:rFonts w:ascii="Times New Roman" w:hAnsi="Times New Roman" w:cs="Times New Roman"/>
                <w:color w:val="000000"/>
                <w:sz w:val="24"/>
                <w:szCs w:val="24"/>
              </w:rPr>
            </w:pPr>
            <w:r w:rsidRPr="000B55A9">
              <w:rPr>
                <w:rFonts w:ascii="Times New Roman" w:hAnsi="Times New Roman" w:cs="Times New Roman"/>
                <w:sz w:val="24"/>
                <w:szCs w:val="24"/>
              </w:rPr>
              <w:t>Cita informācija</w:t>
            </w:r>
          </w:p>
        </w:tc>
        <w:tc>
          <w:tcPr>
            <w:tcW w:w="2926" w:type="pct"/>
          </w:tcPr>
          <w:p w:rsidR="00100490" w:rsidRPr="000B55A9" w:rsidRDefault="00100490" w:rsidP="0069728C">
            <w:pPr>
              <w:ind w:right="112"/>
              <w:jc w:val="both"/>
              <w:rPr>
                <w:rFonts w:ascii="Times New Roman" w:hAnsi="Times New Roman" w:cs="Times New Roman"/>
                <w:sz w:val="24"/>
                <w:szCs w:val="24"/>
              </w:rPr>
            </w:pPr>
            <w:r w:rsidRPr="000B55A9">
              <w:rPr>
                <w:rFonts w:ascii="Times New Roman" w:hAnsi="Times New Roman" w:cs="Times New Roman"/>
                <w:sz w:val="24"/>
                <w:szCs w:val="24"/>
              </w:rPr>
              <w:t>Nav</w:t>
            </w:r>
            <w:r w:rsidR="0071341A" w:rsidRPr="000B55A9">
              <w:rPr>
                <w:rFonts w:ascii="Times New Roman" w:hAnsi="Times New Roman" w:cs="Times New Roman"/>
                <w:sz w:val="24"/>
                <w:szCs w:val="24"/>
              </w:rPr>
              <w:t>.</w:t>
            </w:r>
          </w:p>
        </w:tc>
      </w:tr>
    </w:tbl>
    <w:p w:rsidR="00100490" w:rsidRDefault="00100490" w:rsidP="00543AA6">
      <w:pPr>
        <w:spacing w:after="0" w:line="240" w:lineRule="auto"/>
        <w:rPr>
          <w:rFonts w:ascii="Times New Roman" w:eastAsia="Times New Roman" w:hAnsi="Times New Roman" w:cs="Times New Roman"/>
          <w:sz w:val="24"/>
          <w:szCs w:val="24"/>
          <w:lang w:eastAsia="lv-LV"/>
        </w:rPr>
      </w:pPr>
    </w:p>
    <w:tbl>
      <w:tblPr>
        <w:tblW w:w="504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428"/>
        <w:gridCol w:w="2023"/>
        <w:gridCol w:w="1370"/>
        <w:gridCol w:w="1107"/>
        <w:gridCol w:w="1700"/>
        <w:gridCol w:w="2552"/>
      </w:tblGrid>
      <w:tr w:rsidR="00784D9C" w:rsidRPr="00784D9C" w:rsidTr="00453DC2">
        <w:tc>
          <w:tcPr>
            <w:tcW w:w="5000" w:type="pct"/>
            <w:gridSpan w:val="6"/>
          </w:tcPr>
          <w:p w:rsidR="00784D9C" w:rsidRPr="00784D9C" w:rsidRDefault="00784D9C" w:rsidP="00CA1F3D">
            <w:pPr>
              <w:spacing w:after="0" w:line="240" w:lineRule="auto"/>
              <w:jc w:val="center"/>
              <w:rPr>
                <w:rFonts w:ascii="Times New Roman" w:eastAsia="Times New Roman" w:hAnsi="Times New Roman" w:cs="Times New Roman"/>
                <w:b/>
                <w:sz w:val="24"/>
                <w:szCs w:val="24"/>
                <w:lang w:eastAsia="lv-LV"/>
              </w:rPr>
            </w:pPr>
            <w:r w:rsidRPr="00784D9C">
              <w:rPr>
                <w:rFonts w:ascii="Times New Roman" w:eastAsia="Times New Roman" w:hAnsi="Times New Roman" w:cs="Times New Roman"/>
                <w:b/>
                <w:sz w:val="24"/>
                <w:szCs w:val="24"/>
                <w:lang w:eastAsia="lv-LV"/>
              </w:rPr>
              <w:t>V. Tiesību akta projekta atbilstība Latvijas Republikas starptautiskajām saistībām</w:t>
            </w:r>
          </w:p>
        </w:tc>
      </w:tr>
      <w:tr w:rsidR="00784D9C" w:rsidRPr="00784D9C" w:rsidTr="00453DC2">
        <w:tc>
          <w:tcPr>
            <w:tcW w:w="233" w:type="pct"/>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1.</w:t>
            </w:r>
          </w:p>
        </w:tc>
        <w:tc>
          <w:tcPr>
            <w:tcW w:w="1848" w:type="pct"/>
            <w:gridSpan w:val="2"/>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Saistības pret Eiropas Savienību</w:t>
            </w:r>
          </w:p>
        </w:tc>
        <w:tc>
          <w:tcPr>
            <w:tcW w:w="2919" w:type="pct"/>
            <w:gridSpan w:val="3"/>
          </w:tcPr>
          <w:p w:rsidR="00784D9C" w:rsidRDefault="00453DC2" w:rsidP="00784D9C">
            <w:pPr>
              <w:spacing w:after="0" w:line="240" w:lineRule="auto"/>
              <w:jc w:val="both"/>
              <w:rPr>
                <w:rFonts w:ascii="Times New Roman" w:eastAsia="Times New Roman" w:hAnsi="Times New Roman" w:cs="Times New Roman"/>
                <w:sz w:val="24"/>
                <w:szCs w:val="24"/>
                <w:lang w:eastAsia="lv-LV"/>
              </w:rPr>
            </w:pPr>
            <w:r w:rsidRPr="00453DC2">
              <w:rPr>
                <w:rFonts w:ascii="Times New Roman" w:eastAsia="Times New Roman" w:hAnsi="Times New Roman" w:cs="Times New Roman"/>
                <w:sz w:val="24"/>
                <w:szCs w:val="24"/>
                <w:lang w:eastAsia="lv-LV"/>
              </w:rPr>
              <w:t>Padomes 2003.gada 27.oktobra Direktīva</w:t>
            </w:r>
            <w:r>
              <w:rPr>
                <w:rFonts w:ascii="Times New Roman" w:eastAsia="Times New Roman" w:hAnsi="Times New Roman" w:cs="Times New Roman"/>
                <w:sz w:val="24"/>
                <w:szCs w:val="24"/>
                <w:lang w:eastAsia="lv-LV"/>
              </w:rPr>
              <w:t>s</w:t>
            </w:r>
            <w:r w:rsidRPr="00453DC2">
              <w:rPr>
                <w:rFonts w:ascii="Times New Roman" w:eastAsia="Times New Roman" w:hAnsi="Times New Roman" w:cs="Times New Roman"/>
                <w:sz w:val="24"/>
                <w:szCs w:val="24"/>
                <w:lang w:eastAsia="lv-LV"/>
              </w:rPr>
              <w:t xml:space="preserve"> 2003/96/EK, kas pārkārto Kopienas noteikumus par nodokļu uzlikšanu </w:t>
            </w:r>
            <w:proofErr w:type="spellStart"/>
            <w:r w:rsidRPr="00453DC2">
              <w:rPr>
                <w:rFonts w:ascii="Times New Roman" w:eastAsia="Times New Roman" w:hAnsi="Times New Roman" w:cs="Times New Roman"/>
                <w:sz w:val="24"/>
                <w:szCs w:val="24"/>
                <w:lang w:eastAsia="lv-LV"/>
              </w:rPr>
              <w:t>energoproduktiem</w:t>
            </w:r>
            <w:proofErr w:type="spellEnd"/>
            <w:r w:rsidRPr="00453DC2">
              <w:rPr>
                <w:rFonts w:ascii="Times New Roman" w:eastAsia="Times New Roman" w:hAnsi="Times New Roman" w:cs="Times New Roman"/>
                <w:sz w:val="24"/>
                <w:szCs w:val="24"/>
                <w:lang w:eastAsia="lv-LV"/>
              </w:rPr>
              <w:t xml:space="preserve"> un elektroenerģijai</w:t>
            </w:r>
            <w:r>
              <w:rPr>
                <w:rFonts w:ascii="Times New Roman" w:eastAsia="Times New Roman" w:hAnsi="Times New Roman" w:cs="Times New Roman"/>
                <w:sz w:val="24"/>
                <w:szCs w:val="24"/>
                <w:lang w:eastAsia="lv-LV"/>
              </w:rPr>
              <w:t>,</w:t>
            </w:r>
            <w:r w:rsidRPr="00453DC2">
              <w:rPr>
                <w:rFonts w:ascii="Times New Roman" w:eastAsia="Times New Roman" w:hAnsi="Times New Roman" w:cs="Times New Roman"/>
                <w:sz w:val="24"/>
                <w:szCs w:val="24"/>
                <w:lang w:eastAsia="lv-LV"/>
              </w:rPr>
              <w:t xml:space="preserve"> </w:t>
            </w:r>
            <w:r w:rsidR="00784D9C" w:rsidRPr="00784D9C">
              <w:rPr>
                <w:rFonts w:ascii="Times New Roman" w:eastAsia="Times New Roman" w:hAnsi="Times New Roman" w:cs="Times New Roman"/>
                <w:sz w:val="24"/>
                <w:szCs w:val="24"/>
                <w:lang w:eastAsia="lv-LV"/>
              </w:rPr>
              <w:t>9.panta 1.punkts nosaka, ka no 2004.gada 1.janvāra kurināmajam piemērojamos minimālos nodokļu līmeņus nosaka tā, kā norādīts I pielikuma C tabulā.</w:t>
            </w:r>
          </w:p>
          <w:p w:rsidR="00EF50B5" w:rsidRPr="00784D9C" w:rsidRDefault="00EF50B5" w:rsidP="00784D9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Parlamenta un Padomes 2006.gada 20.</w:t>
            </w:r>
            <w:r w:rsidR="00CC7A83">
              <w:rPr>
                <w:rFonts w:ascii="Times New Roman" w:eastAsia="Times New Roman" w:hAnsi="Times New Roman" w:cs="Times New Roman"/>
                <w:sz w:val="24"/>
                <w:szCs w:val="24"/>
                <w:lang w:eastAsia="lv-LV"/>
              </w:rPr>
              <w:t>decembra Regulas  Nr.</w:t>
            </w:r>
            <w:r w:rsidRPr="00EF50B5">
              <w:rPr>
                <w:rFonts w:ascii="Times New Roman" w:eastAsia="Times New Roman" w:hAnsi="Times New Roman" w:cs="Times New Roman"/>
                <w:sz w:val="24"/>
                <w:szCs w:val="24"/>
                <w:lang w:eastAsia="lv-LV"/>
              </w:rPr>
              <w:t>1893/2006</w:t>
            </w:r>
            <w:r w:rsidR="00CC7A83">
              <w:rPr>
                <w:rFonts w:ascii="Times New Roman" w:eastAsia="Times New Roman" w:hAnsi="Times New Roman" w:cs="Times New Roman"/>
                <w:sz w:val="24"/>
                <w:szCs w:val="24"/>
                <w:lang w:eastAsia="lv-LV"/>
              </w:rPr>
              <w:t>/EK</w:t>
            </w:r>
            <w:r w:rsidRPr="00EF50B5">
              <w:rPr>
                <w:rFonts w:ascii="Times New Roman" w:eastAsia="Times New Roman" w:hAnsi="Times New Roman" w:cs="Times New Roman"/>
                <w:sz w:val="24"/>
                <w:szCs w:val="24"/>
                <w:lang w:eastAsia="lv-LV"/>
              </w:rPr>
              <w:t xml:space="preserve">, ar ko izveido NACE 2. </w:t>
            </w:r>
            <w:proofErr w:type="spellStart"/>
            <w:r w:rsidRPr="00EF50B5">
              <w:rPr>
                <w:rFonts w:ascii="Times New Roman" w:eastAsia="Times New Roman" w:hAnsi="Times New Roman" w:cs="Times New Roman"/>
                <w:sz w:val="24"/>
                <w:szCs w:val="24"/>
                <w:lang w:eastAsia="lv-LV"/>
              </w:rPr>
              <w:t>red</w:t>
            </w:r>
            <w:proofErr w:type="spellEnd"/>
            <w:r w:rsidRPr="00EF50B5">
              <w:rPr>
                <w:rFonts w:ascii="Times New Roman" w:eastAsia="Times New Roman" w:hAnsi="Times New Roman" w:cs="Times New Roman"/>
                <w:sz w:val="24"/>
                <w:szCs w:val="24"/>
                <w:lang w:eastAsia="lv-LV"/>
              </w:rPr>
              <w:t>. saimniecisko darbību statistisko klasifikāciju, kā arī groza Padomes Regulu (EEK) Nr. 3037/90 un dažas EK regulas par īpašām statistikas jomām</w:t>
            </w:r>
            <w:r>
              <w:rPr>
                <w:rFonts w:ascii="Times New Roman" w:eastAsia="Times New Roman" w:hAnsi="Times New Roman" w:cs="Times New Roman"/>
                <w:sz w:val="24"/>
                <w:szCs w:val="24"/>
                <w:lang w:eastAsia="lv-LV"/>
              </w:rPr>
              <w:t>.</w:t>
            </w:r>
          </w:p>
        </w:tc>
      </w:tr>
      <w:tr w:rsidR="00784D9C" w:rsidRPr="00784D9C" w:rsidTr="00453DC2">
        <w:tc>
          <w:tcPr>
            <w:tcW w:w="233" w:type="pct"/>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2.</w:t>
            </w:r>
          </w:p>
        </w:tc>
        <w:tc>
          <w:tcPr>
            <w:tcW w:w="1848" w:type="pct"/>
            <w:gridSpan w:val="2"/>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Citas starptautiskās saistības</w:t>
            </w:r>
          </w:p>
        </w:tc>
        <w:tc>
          <w:tcPr>
            <w:tcW w:w="2919" w:type="pct"/>
            <w:gridSpan w:val="3"/>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Projekts šo jomu neskar.</w:t>
            </w:r>
          </w:p>
        </w:tc>
      </w:tr>
      <w:tr w:rsidR="00784D9C" w:rsidRPr="00784D9C" w:rsidTr="00453DC2">
        <w:tc>
          <w:tcPr>
            <w:tcW w:w="233" w:type="pct"/>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3.</w:t>
            </w:r>
          </w:p>
        </w:tc>
        <w:tc>
          <w:tcPr>
            <w:tcW w:w="1848" w:type="pct"/>
            <w:gridSpan w:val="2"/>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Cita informācija</w:t>
            </w:r>
          </w:p>
        </w:tc>
        <w:tc>
          <w:tcPr>
            <w:tcW w:w="2919" w:type="pct"/>
            <w:gridSpan w:val="3"/>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 xml:space="preserve">Nav. </w:t>
            </w:r>
          </w:p>
        </w:tc>
      </w:tr>
      <w:tr w:rsidR="00784D9C"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5000" w:type="pct"/>
            <w:gridSpan w:val="6"/>
            <w:tcBorders>
              <w:top w:val="single" w:sz="2" w:space="0" w:color="auto"/>
              <w:bottom w:val="nil"/>
            </w:tcBorders>
            <w:vAlign w:val="center"/>
            <w:hideMark/>
          </w:tcPr>
          <w:p w:rsidR="00784D9C" w:rsidRPr="00784D9C" w:rsidRDefault="00784D9C" w:rsidP="00EF50B5">
            <w:pPr>
              <w:spacing w:after="0" w:line="240" w:lineRule="auto"/>
              <w:jc w:val="center"/>
              <w:rPr>
                <w:rFonts w:ascii="Times New Roman" w:eastAsia="Times New Roman" w:hAnsi="Times New Roman" w:cs="Times New Roman"/>
                <w:b/>
                <w:bCs/>
                <w:sz w:val="24"/>
                <w:szCs w:val="24"/>
                <w:lang w:eastAsia="lv-LV"/>
              </w:rPr>
            </w:pPr>
            <w:r w:rsidRPr="00784D9C">
              <w:rPr>
                <w:rFonts w:ascii="Times New Roman" w:eastAsia="Times New Roman" w:hAnsi="Times New Roman" w:cs="Times New Roman"/>
                <w:b/>
                <w:bCs/>
                <w:sz w:val="24"/>
                <w:szCs w:val="24"/>
                <w:lang w:eastAsia="lv-LV"/>
              </w:rPr>
              <w:t>1.tabula</w:t>
            </w:r>
            <w:r w:rsidRPr="00784D9C">
              <w:rPr>
                <w:rFonts w:ascii="Times New Roman" w:eastAsia="Times New Roman" w:hAnsi="Times New Roman" w:cs="Times New Roman"/>
                <w:b/>
                <w:bCs/>
                <w:sz w:val="24"/>
                <w:szCs w:val="24"/>
                <w:lang w:eastAsia="lv-LV"/>
              </w:rPr>
              <w:br/>
              <w:t>Tiesību akta projekta atbilstība ES tiesību aktiem</w:t>
            </w:r>
          </w:p>
        </w:tc>
      </w:tr>
      <w:tr w:rsidR="00784D9C"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single" w:sz="2" w:space="0" w:color="auto"/>
              <w:right w:val="nil"/>
            </w:tcBorders>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Attiecīgā ES tiesību akta datums, numurs un nosaukums</w:t>
            </w:r>
          </w:p>
        </w:tc>
        <w:tc>
          <w:tcPr>
            <w:tcW w:w="3665" w:type="pct"/>
            <w:gridSpan w:val="4"/>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 xml:space="preserve">Padomes 2003.gada 27.oktobra Direktīva 2003/96/EK, kas pārkārto Kopienas noteikumus par nodokļu uzlikšanu </w:t>
            </w:r>
            <w:proofErr w:type="spellStart"/>
            <w:r w:rsidRPr="00784D9C">
              <w:rPr>
                <w:rFonts w:ascii="Times New Roman" w:eastAsia="Times New Roman" w:hAnsi="Times New Roman" w:cs="Times New Roman"/>
                <w:sz w:val="24"/>
                <w:szCs w:val="24"/>
                <w:lang w:eastAsia="lv-LV"/>
              </w:rPr>
              <w:t>energoproduktiem</w:t>
            </w:r>
            <w:proofErr w:type="spellEnd"/>
            <w:r w:rsidRPr="00784D9C">
              <w:rPr>
                <w:rFonts w:ascii="Times New Roman" w:eastAsia="Times New Roman" w:hAnsi="Times New Roman" w:cs="Times New Roman"/>
                <w:sz w:val="24"/>
                <w:szCs w:val="24"/>
                <w:lang w:eastAsia="lv-LV"/>
              </w:rPr>
              <w:t xml:space="preserve"> un elektroenerģijai</w:t>
            </w:r>
            <w:r w:rsidR="00453DC2">
              <w:rPr>
                <w:rFonts w:ascii="Times New Roman" w:eastAsia="Times New Roman" w:hAnsi="Times New Roman" w:cs="Times New Roman"/>
                <w:sz w:val="24"/>
                <w:szCs w:val="24"/>
                <w:lang w:eastAsia="lv-LV"/>
              </w:rPr>
              <w:t xml:space="preserve"> (turpmāk – Direktīva 2003/96/EK)</w:t>
            </w:r>
          </w:p>
        </w:tc>
      </w:tr>
      <w:tr w:rsidR="00784D9C"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nil"/>
              <w:bottom w:val="single" w:sz="2" w:space="0" w:color="auto"/>
              <w:right w:val="nil"/>
            </w:tcBorders>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A</w:t>
            </w:r>
          </w:p>
        </w:tc>
        <w:tc>
          <w:tcPr>
            <w:tcW w:w="1349" w:type="pct"/>
            <w:gridSpan w:val="2"/>
            <w:tcBorders>
              <w:top w:val="nil"/>
              <w:bottom w:val="single" w:sz="2" w:space="0" w:color="auto"/>
              <w:right w:val="nil"/>
            </w:tcBorders>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B</w:t>
            </w:r>
          </w:p>
        </w:tc>
        <w:tc>
          <w:tcPr>
            <w:tcW w:w="926" w:type="pct"/>
            <w:tcBorders>
              <w:top w:val="nil"/>
              <w:bottom w:val="single" w:sz="2" w:space="0" w:color="auto"/>
              <w:right w:val="nil"/>
            </w:tcBorders>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C</w:t>
            </w:r>
          </w:p>
        </w:tc>
        <w:tc>
          <w:tcPr>
            <w:tcW w:w="1390" w:type="pct"/>
            <w:tcBorders>
              <w:top w:val="nil"/>
              <w:bottom w:val="single" w:sz="2" w:space="0" w:color="auto"/>
            </w:tcBorders>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D</w:t>
            </w:r>
          </w:p>
        </w:tc>
      </w:tr>
      <w:tr w:rsidR="00784D9C"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rHeight w:val="723"/>
          <w:tblCellSpacing w:w="15" w:type="dxa"/>
        </w:trPr>
        <w:tc>
          <w:tcPr>
            <w:tcW w:w="1335" w:type="pct"/>
            <w:gridSpan w:val="2"/>
            <w:tcBorders>
              <w:top w:val="single" w:sz="4" w:space="0" w:color="auto"/>
              <w:left w:val="single" w:sz="4" w:space="0" w:color="auto"/>
              <w:bottom w:val="single" w:sz="4" w:space="0" w:color="auto"/>
              <w:right w:val="single" w:sz="4" w:space="0" w:color="auto"/>
            </w:tcBorders>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bCs/>
                <w:sz w:val="24"/>
                <w:szCs w:val="24"/>
                <w:lang w:eastAsia="lv-LV"/>
              </w:rPr>
              <w:t>Direktīvas 2003/96/EK 9.panta 1.punkts un I pielikuma C tabula</w:t>
            </w:r>
          </w:p>
        </w:tc>
        <w:tc>
          <w:tcPr>
            <w:tcW w:w="1349" w:type="pct"/>
            <w:gridSpan w:val="2"/>
            <w:tcBorders>
              <w:top w:val="single" w:sz="4" w:space="0" w:color="auto"/>
              <w:left w:val="single" w:sz="4" w:space="0" w:color="auto"/>
              <w:bottom w:val="single" w:sz="4" w:space="0" w:color="auto"/>
              <w:right w:val="single" w:sz="4" w:space="0" w:color="auto"/>
            </w:tcBorders>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Likumprojekta 1.panta pirmā daļa</w:t>
            </w:r>
            <w:r w:rsidR="00616C4C">
              <w:rPr>
                <w:rFonts w:ascii="Times New Roman" w:eastAsia="Times New Roman" w:hAnsi="Times New Roman" w:cs="Times New Roman"/>
                <w:sz w:val="24"/>
                <w:szCs w:val="24"/>
                <w:lang w:eastAsia="lv-LV"/>
              </w:rPr>
              <w:t xml:space="preserve"> un 3.pants</w:t>
            </w:r>
          </w:p>
        </w:tc>
        <w:tc>
          <w:tcPr>
            <w:tcW w:w="926" w:type="pct"/>
            <w:tcBorders>
              <w:top w:val="single" w:sz="4" w:space="0" w:color="auto"/>
              <w:left w:val="single" w:sz="4" w:space="0" w:color="auto"/>
              <w:bottom w:val="single" w:sz="4" w:space="0" w:color="auto"/>
              <w:right w:val="single" w:sz="4" w:space="0" w:color="auto"/>
            </w:tcBorders>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Ieviests pilnībā</w:t>
            </w:r>
          </w:p>
          <w:p w:rsidR="00784D9C" w:rsidRPr="00784D9C" w:rsidRDefault="00784D9C" w:rsidP="00784D9C">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single" w:sz="4" w:space="0" w:color="auto"/>
              <w:bottom w:val="single" w:sz="4" w:space="0" w:color="auto"/>
              <w:right w:val="single" w:sz="4" w:space="0" w:color="auto"/>
            </w:tcBorders>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Likumprojekts neparedz stingrākas prasības</w:t>
            </w:r>
          </w:p>
        </w:tc>
      </w:tr>
      <w:tr w:rsidR="00784D9C"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single" w:sz="2" w:space="0" w:color="auto"/>
              <w:right w:val="nil"/>
            </w:tcBorders>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Kādēļ?</w:t>
            </w:r>
          </w:p>
        </w:tc>
        <w:tc>
          <w:tcPr>
            <w:tcW w:w="3665" w:type="pct"/>
            <w:gridSpan w:val="4"/>
            <w:tcBorders>
              <w:top w:val="single" w:sz="2" w:space="0" w:color="auto"/>
              <w:bottom w:val="nil"/>
            </w:tcBorders>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Projekts šo jomu neskar.</w:t>
            </w:r>
          </w:p>
        </w:tc>
      </w:tr>
      <w:tr w:rsidR="00784D9C"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nil"/>
              <w:right w:val="nil"/>
            </w:tcBorders>
            <w:vAlign w:val="center"/>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5" w:type="pct"/>
            <w:gridSpan w:val="4"/>
            <w:tcBorders>
              <w:top w:val="single" w:sz="2" w:space="0" w:color="auto"/>
              <w:bottom w:val="nil"/>
            </w:tcBorders>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Projekts šo jomu neskar.</w:t>
            </w:r>
          </w:p>
        </w:tc>
      </w:tr>
      <w:tr w:rsidR="00EF50B5"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single" w:sz="2" w:space="0" w:color="auto"/>
              <w:right w:val="nil"/>
            </w:tcBorders>
            <w:vAlign w:val="center"/>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Attiecīgā ES tiesību akta datums, numurs un nosaukums</w:t>
            </w:r>
          </w:p>
        </w:tc>
        <w:tc>
          <w:tcPr>
            <w:tcW w:w="3665" w:type="pct"/>
            <w:gridSpan w:val="4"/>
            <w:vAlign w:val="center"/>
            <w:hideMark/>
          </w:tcPr>
          <w:p w:rsidR="00EF50B5" w:rsidRPr="00784D9C" w:rsidRDefault="00EF50B5" w:rsidP="00EF50B5">
            <w:pPr>
              <w:spacing w:after="0" w:line="240" w:lineRule="auto"/>
              <w:jc w:val="both"/>
              <w:rPr>
                <w:rFonts w:ascii="Times New Roman" w:eastAsia="Times New Roman" w:hAnsi="Times New Roman" w:cs="Times New Roman"/>
                <w:sz w:val="24"/>
                <w:szCs w:val="24"/>
                <w:lang w:eastAsia="lv-LV"/>
              </w:rPr>
            </w:pPr>
            <w:r w:rsidRPr="00EF50B5">
              <w:rPr>
                <w:rFonts w:ascii="Times New Roman" w:eastAsia="Times New Roman" w:hAnsi="Times New Roman" w:cs="Times New Roman"/>
                <w:sz w:val="24"/>
                <w:szCs w:val="24"/>
                <w:lang w:eastAsia="lv-LV"/>
              </w:rPr>
              <w:t>Eiropas Parlamenta un Padomes 20</w:t>
            </w:r>
            <w:r>
              <w:rPr>
                <w:rFonts w:ascii="Times New Roman" w:eastAsia="Times New Roman" w:hAnsi="Times New Roman" w:cs="Times New Roman"/>
                <w:sz w:val="24"/>
                <w:szCs w:val="24"/>
                <w:lang w:eastAsia="lv-LV"/>
              </w:rPr>
              <w:t xml:space="preserve">06.gada 20.decembra Regulas </w:t>
            </w:r>
            <w:r w:rsidRPr="00EF50B5">
              <w:rPr>
                <w:rFonts w:ascii="Times New Roman" w:eastAsia="Times New Roman" w:hAnsi="Times New Roman" w:cs="Times New Roman"/>
                <w:sz w:val="24"/>
                <w:szCs w:val="24"/>
                <w:lang w:eastAsia="lv-LV"/>
              </w:rPr>
              <w:t xml:space="preserve"> Nr. 1893/2006</w:t>
            </w:r>
            <w:r>
              <w:rPr>
                <w:rFonts w:ascii="Times New Roman" w:eastAsia="Times New Roman" w:hAnsi="Times New Roman" w:cs="Times New Roman"/>
                <w:sz w:val="24"/>
                <w:szCs w:val="24"/>
                <w:lang w:eastAsia="lv-LV"/>
              </w:rPr>
              <w:t>/EK</w:t>
            </w:r>
            <w:r w:rsidRPr="00EF50B5">
              <w:rPr>
                <w:rFonts w:ascii="Times New Roman" w:eastAsia="Times New Roman" w:hAnsi="Times New Roman" w:cs="Times New Roman"/>
                <w:sz w:val="24"/>
                <w:szCs w:val="24"/>
                <w:lang w:eastAsia="lv-LV"/>
              </w:rPr>
              <w:t xml:space="preserve">, ar ko izveido NACE 2. </w:t>
            </w:r>
            <w:proofErr w:type="spellStart"/>
            <w:r w:rsidRPr="00EF50B5">
              <w:rPr>
                <w:rFonts w:ascii="Times New Roman" w:eastAsia="Times New Roman" w:hAnsi="Times New Roman" w:cs="Times New Roman"/>
                <w:sz w:val="24"/>
                <w:szCs w:val="24"/>
                <w:lang w:eastAsia="lv-LV"/>
              </w:rPr>
              <w:t>red</w:t>
            </w:r>
            <w:proofErr w:type="spellEnd"/>
            <w:r w:rsidRPr="00EF50B5">
              <w:rPr>
                <w:rFonts w:ascii="Times New Roman" w:eastAsia="Times New Roman" w:hAnsi="Times New Roman" w:cs="Times New Roman"/>
                <w:sz w:val="24"/>
                <w:szCs w:val="24"/>
                <w:lang w:eastAsia="lv-LV"/>
              </w:rPr>
              <w:t>. saimniecisko darbību statistisko klasifikāciju, kā arī groza Padomes Regulu (EEK) Nr. 3037/90 un dažas EK regul</w:t>
            </w:r>
            <w:r>
              <w:rPr>
                <w:rFonts w:ascii="Times New Roman" w:eastAsia="Times New Roman" w:hAnsi="Times New Roman" w:cs="Times New Roman"/>
                <w:sz w:val="24"/>
                <w:szCs w:val="24"/>
                <w:lang w:eastAsia="lv-LV"/>
              </w:rPr>
              <w:t>as par īpašām statistikas jomām (turpmāk – Regula 1863/2006</w:t>
            </w:r>
            <w:r w:rsidR="00CC7A83">
              <w:rPr>
                <w:rFonts w:ascii="Times New Roman" w:eastAsia="Times New Roman" w:hAnsi="Times New Roman" w:cs="Times New Roman"/>
                <w:sz w:val="24"/>
                <w:szCs w:val="24"/>
                <w:lang w:eastAsia="lv-LV"/>
              </w:rPr>
              <w:t>/EK</w:t>
            </w:r>
            <w:r>
              <w:rPr>
                <w:rFonts w:ascii="Times New Roman" w:eastAsia="Times New Roman" w:hAnsi="Times New Roman" w:cs="Times New Roman"/>
                <w:sz w:val="24"/>
                <w:szCs w:val="24"/>
                <w:lang w:eastAsia="lv-LV"/>
              </w:rPr>
              <w:t>)</w:t>
            </w:r>
          </w:p>
        </w:tc>
      </w:tr>
      <w:tr w:rsidR="00EF50B5"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nil"/>
              <w:bottom w:val="single" w:sz="2" w:space="0" w:color="auto"/>
              <w:right w:val="nil"/>
            </w:tcBorders>
            <w:vAlign w:val="center"/>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A</w:t>
            </w:r>
          </w:p>
        </w:tc>
        <w:tc>
          <w:tcPr>
            <w:tcW w:w="1349" w:type="pct"/>
            <w:gridSpan w:val="2"/>
            <w:tcBorders>
              <w:top w:val="nil"/>
              <w:bottom w:val="single" w:sz="2" w:space="0" w:color="auto"/>
              <w:right w:val="nil"/>
            </w:tcBorders>
            <w:vAlign w:val="center"/>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B</w:t>
            </w:r>
          </w:p>
        </w:tc>
        <w:tc>
          <w:tcPr>
            <w:tcW w:w="926" w:type="pct"/>
            <w:tcBorders>
              <w:top w:val="nil"/>
              <w:bottom w:val="single" w:sz="2" w:space="0" w:color="auto"/>
              <w:right w:val="nil"/>
            </w:tcBorders>
            <w:vAlign w:val="center"/>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C</w:t>
            </w:r>
          </w:p>
        </w:tc>
        <w:tc>
          <w:tcPr>
            <w:tcW w:w="1390" w:type="pct"/>
            <w:tcBorders>
              <w:top w:val="nil"/>
              <w:bottom w:val="single" w:sz="2" w:space="0" w:color="auto"/>
            </w:tcBorders>
            <w:vAlign w:val="center"/>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D</w:t>
            </w:r>
          </w:p>
        </w:tc>
      </w:tr>
      <w:tr w:rsidR="00EF50B5"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rHeight w:val="723"/>
          <w:tblCellSpacing w:w="15" w:type="dxa"/>
        </w:trPr>
        <w:tc>
          <w:tcPr>
            <w:tcW w:w="1335" w:type="pct"/>
            <w:gridSpan w:val="2"/>
            <w:tcBorders>
              <w:top w:val="single" w:sz="4" w:space="0" w:color="auto"/>
              <w:left w:val="single" w:sz="4" w:space="0" w:color="auto"/>
              <w:bottom w:val="single" w:sz="4" w:space="0" w:color="auto"/>
              <w:right w:val="single" w:sz="4" w:space="0" w:color="auto"/>
            </w:tcBorders>
            <w:hideMark/>
          </w:tcPr>
          <w:p w:rsidR="00EF50B5" w:rsidRPr="00784D9C" w:rsidRDefault="00EF50B5" w:rsidP="00EF50B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Regulas</w:t>
            </w:r>
            <w:r w:rsidRPr="00784D9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1863/2006/EK</w:t>
            </w:r>
            <w:r w:rsidRPr="00784D9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 pielikums</w:t>
            </w:r>
          </w:p>
        </w:tc>
        <w:tc>
          <w:tcPr>
            <w:tcW w:w="1349" w:type="pct"/>
            <w:gridSpan w:val="2"/>
            <w:tcBorders>
              <w:top w:val="single" w:sz="4" w:space="0" w:color="auto"/>
              <w:left w:val="single" w:sz="4" w:space="0" w:color="auto"/>
              <w:bottom w:val="single" w:sz="4" w:space="0" w:color="auto"/>
              <w:right w:val="single" w:sz="4" w:space="0" w:color="auto"/>
            </w:tcBorders>
            <w:hideMark/>
          </w:tcPr>
          <w:p w:rsidR="00EF50B5" w:rsidRPr="00784D9C" w:rsidRDefault="00EF50B5" w:rsidP="00CC7A83">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 xml:space="preserve">Likumprojekta </w:t>
            </w:r>
            <w:r w:rsidR="00CC7A83">
              <w:rPr>
                <w:rFonts w:ascii="Times New Roman" w:eastAsia="Times New Roman" w:hAnsi="Times New Roman" w:cs="Times New Roman"/>
                <w:sz w:val="24"/>
                <w:szCs w:val="24"/>
                <w:lang w:eastAsia="lv-LV"/>
              </w:rPr>
              <w:t>3</w:t>
            </w:r>
            <w:r w:rsidRPr="00784D9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s</w:t>
            </w:r>
            <w:r w:rsidRPr="00784D9C">
              <w:rPr>
                <w:rFonts w:ascii="Times New Roman" w:eastAsia="Times New Roman" w:hAnsi="Times New Roman" w:cs="Times New Roman"/>
                <w:sz w:val="24"/>
                <w:szCs w:val="24"/>
                <w:lang w:eastAsia="lv-LV"/>
              </w:rPr>
              <w:t xml:space="preserve"> </w:t>
            </w:r>
          </w:p>
        </w:tc>
        <w:tc>
          <w:tcPr>
            <w:tcW w:w="926" w:type="pct"/>
            <w:tcBorders>
              <w:top w:val="single" w:sz="4" w:space="0" w:color="auto"/>
              <w:left w:val="single" w:sz="4" w:space="0" w:color="auto"/>
              <w:bottom w:val="single" w:sz="4" w:space="0" w:color="auto"/>
              <w:right w:val="single" w:sz="4" w:space="0" w:color="auto"/>
            </w:tcBorders>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Ieviests pilnībā</w:t>
            </w:r>
          </w:p>
          <w:p w:rsidR="00EF50B5" w:rsidRPr="00784D9C" w:rsidRDefault="00EF50B5" w:rsidP="00DC4F8A">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single" w:sz="4" w:space="0" w:color="auto"/>
              <w:bottom w:val="single" w:sz="4" w:space="0" w:color="auto"/>
              <w:right w:val="single" w:sz="4" w:space="0" w:color="auto"/>
            </w:tcBorders>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Likumprojekts neparedz stingrākas prasības</w:t>
            </w:r>
          </w:p>
        </w:tc>
      </w:tr>
      <w:tr w:rsidR="00EF50B5"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single" w:sz="2" w:space="0" w:color="auto"/>
              <w:right w:val="nil"/>
            </w:tcBorders>
            <w:vAlign w:val="center"/>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lastRenderedPageBreak/>
              <w:t>Kādēļ?</w:t>
            </w:r>
          </w:p>
        </w:tc>
        <w:tc>
          <w:tcPr>
            <w:tcW w:w="3665" w:type="pct"/>
            <w:gridSpan w:val="4"/>
            <w:tcBorders>
              <w:top w:val="single" w:sz="2" w:space="0" w:color="auto"/>
              <w:bottom w:val="nil"/>
            </w:tcBorders>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lastRenderedPageBreak/>
              <w:t>Projekts šo jomu neskar.</w:t>
            </w:r>
          </w:p>
        </w:tc>
      </w:tr>
      <w:tr w:rsidR="00EF50B5"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nil"/>
              <w:right w:val="nil"/>
            </w:tcBorders>
            <w:vAlign w:val="center"/>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5" w:type="pct"/>
            <w:gridSpan w:val="4"/>
            <w:tcBorders>
              <w:top w:val="single" w:sz="2" w:space="0" w:color="auto"/>
              <w:bottom w:val="nil"/>
            </w:tcBorders>
            <w:hideMark/>
          </w:tcPr>
          <w:p w:rsidR="00EF50B5" w:rsidRPr="00784D9C" w:rsidRDefault="00EF50B5" w:rsidP="00DC4F8A">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Projekts šo jomu neskar.</w:t>
            </w:r>
          </w:p>
        </w:tc>
      </w:tr>
      <w:tr w:rsidR="00784D9C" w:rsidRPr="00784D9C" w:rsidTr="00453DC2">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Cita informācija</w:t>
            </w:r>
          </w:p>
        </w:tc>
        <w:tc>
          <w:tcPr>
            <w:tcW w:w="3665" w:type="pct"/>
            <w:gridSpan w:val="4"/>
            <w:hideMark/>
          </w:tcPr>
          <w:p w:rsidR="00784D9C" w:rsidRPr="00784D9C" w:rsidRDefault="00784D9C" w:rsidP="00784D9C">
            <w:pPr>
              <w:spacing w:after="0" w:line="240" w:lineRule="auto"/>
              <w:rPr>
                <w:rFonts w:ascii="Times New Roman" w:eastAsia="Times New Roman" w:hAnsi="Times New Roman" w:cs="Times New Roman"/>
                <w:sz w:val="24"/>
                <w:szCs w:val="24"/>
                <w:lang w:eastAsia="lv-LV"/>
              </w:rPr>
            </w:pPr>
            <w:r w:rsidRPr="00784D9C">
              <w:rPr>
                <w:rFonts w:ascii="Times New Roman" w:eastAsia="Times New Roman" w:hAnsi="Times New Roman" w:cs="Times New Roman"/>
                <w:sz w:val="24"/>
                <w:szCs w:val="24"/>
                <w:lang w:eastAsia="lv-LV"/>
              </w:rPr>
              <w:t>Nav</w:t>
            </w:r>
          </w:p>
        </w:tc>
      </w:tr>
    </w:tbl>
    <w:p w:rsidR="00543AA6" w:rsidRDefault="00543AA6" w:rsidP="00543AA6">
      <w:pPr>
        <w:spacing w:after="0" w:line="240" w:lineRule="auto"/>
        <w:rPr>
          <w:rFonts w:ascii="Times New Roman" w:eastAsia="Times New Roman" w:hAnsi="Times New Roman" w:cs="Times New Roman"/>
          <w:sz w:val="24"/>
          <w:szCs w:val="24"/>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585"/>
        <w:gridCol w:w="6087"/>
      </w:tblGrid>
      <w:tr w:rsidR="009612B1" w:rsidRPr="000B55A9" w:rsidTr="008F45D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612B1" w:rsidRPr="000B55A9" w:rsidRDefault="009612B1" w:rsidP="008F45D7">
            <w:pPr>
              <w:spacing w:after="0"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VI. Sabiedrības līdzdalība un komunikācijas aktivitātes</w:t>
            </w:r>
          </w:p>
        </w:tc>
      </w:tr>
      <w:tr w:rsidR="009612B1" w:rsidRPr="000B55A9" w:rsidTr="008F45D7">
        <w:trPr>
          <w:trHeight w:val="1165"/>
        </w:trPr>
        <w:tc>
          <w:tcPr>
            <w:tcW w:w="294" w:type="pct"/>
            <w:tcBorders>
              <w:top w:val="single" w:sz="4" w:space="0" w:color="auto"/>
              <w:left w:val="outset" w:sz="6" w:space="0" w:color="414142"/>
              <w:bottom w:val="outset" w:sz="6" w:space="0" w:color="414142"/>
              <w:right w:val="outset" w:sz="6" w:space="0" w:color="414142"/>
            </w:tcBorders>
            <w:hideMark/>
          </w:tcPr>
          <w:p w:rsidR="009612B1" w:rsidRPr="000B55A9" w:rsidRDefault="009612B1" w:rsidP="008F45D7">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1.</w:t>
            </w:r>
          </w:p>
        </w:tc>
        <w:tc>
          <w:tcPr>
            <w:tcW w:w="1403" w:type="pct"/>
            <w:tcBorders>
              <w:top w:val="single" w:sz="4" w:space="0" w:color="auto"/>
              <w:left w:val="outset" w:sz="6" w:space="0" w:color="414142"/>
              <w:bottom w:val="outset" w:sz="6" w:space="0" w:color="414142"/>
              <w:right w:val="outset" w:sz="6" w:space="0" w:color="414142"/>
            </w:tcBorders>
            <w:hideMark/>
          </w:tcPr>
          <w:p w:rsidR="009612B1" w:rsidRPr="000B55A9" w:rsidRDefault="009612B1" w:rsidP="008F45D7">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Plānotās sabiedrības līdzdalības un komunikācijas aktivitātes saistībā ar projektu</w:t>
            </w:r>
          </w:p>
        </w:tc>
        <w:tc>
          <w:tcPr>
            <w:tcW w:w="3304" w:type="pct"/>
            <w:tcBorders>
              <w:top w:val="single" w:sz="4" w:space="0" w:color="auto"/>
              <w:left w:val="outset" w:sz="6" w:space="0" w:color="414142"/>
              <w:bottom w:val="outset" w:sz="6" w:space="0" w:color="414142"/>
              <w:right w:val="outset" w:sz="6" w:space="0" w:color="414142"/>
            </w:tcBorders>
            <w:hideMark/>
          </w:tcPr>
          <w:p w:rsidR="009612B1" w:rsidRPr="000B55A9" w:rsidRDefault="009612B1" w:rsidP="008F45D7">
            <w:pPr>
              <w:tabs>
                <w:tab w:val="left" w:pos="3997"/>
              </w:tabs>
              <w:spacing w:after="0" w:line="240" w:lineRule="auto"/>
              <w:ind w:right="111"/>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 xml:space="preserve">Informācija par likumprojekta izstrādi ir publicēta Finanšu ministrijas tīmekļvietnē sadaļā </w:t>
            </w:r>
            <w:r w:rsidRPr="000B55A9">
              <w:rPr>
                <w:rFonts w:ascii="Times New Roman" w:hAnsi="Times New Roman" w:cs="Times New Roman"/>
                <w:iCs/>
                <w:sz w:val="24"/>
                <w:szCs w:val="24"/>
              </w:rPr>
              <w:t>“Sabiedrības līdzdalība” – “Tiesību aktu projekti” – “Nodokļu politika”. L</w:t>
            </w:r>
            <w:r w:rsidRPr="000B55A9">
              <w:rPr>
                <w:rFonts w:ascii="Times New Roman" w:hAnsi="Times New Roman" w:cs="Times New Roman"/>
                <w:iCs/>
                <w:spacing w:val="-2"/>
                <w:sz w:val="24"/>
                <w:szCs w:val="24"/>
              </w:rPr>
              <w:t xml:space="preserve">īdz ar to sabiedrības pārstāvji varēja līdzdarboties likumprojekta izstrādē, </w:t>
            </w:r>
            <w:proofErr w:type="spellStart"/>
            <w:r w:rsidRPr="000B55A9">
              <w:rPr>
                <w:rFonts w:ascii="Times New Roman" w:hAnsi="Times New Roman" w:cs="Times New Roman"/>
                <w:iCs/>
                <w:spacing w:val="-2"/>
                <w:sz w:val="24"/>
                <w:szCs w:val="24"/>
              </w:rPr>
              <w:t>rakstveidā</w:t>
            </w:r>
            <w:proofErr w:type="spellEnd"/>
            <w:r w:rsidRPr="000B55A9">
              <w:rPr>
                <w:rFonts w:ascii="Times New Roman" w:hAnsi="Times New Roman" w:cs="Times New Roman"/>
                <w:iCs/>
                <w:spacing w:val="-2"/>
                <w:sz w:val="24"/>
                <w:szCs w:val="24"/>
              </w:rPr>
              <w:t xml:space="preserve"> sniedzot viedokļus par projektu</w:t>
            </w:r>
            <w:r w:rsidRPr="000B55A9">
              <w:rPr>
                <w:i/>
                <w:iCs/>
                <w:spacing w:val="-2"/>
                <w:sz w:val="24"/>
                <w:szCs w:val="24"/>
              </w:rPr>
              <w:t>.</w:t>
            </w:r>
          </w:p>
          <w:p w:rsidR="009612B1" w:rsidRPr="000B55A9" w:rsidRDefault="009612B1" w:rsidP="008F45D7">
            <w:pPr>
              <w:tabs>
                <w:tab w:val="left" w:pos="3997"/>
              </w:tabs>
              <w:spacing w:after="0" w:line="240" w:lineRule="auto"/>
              <w:ind w:right="111"/>
              <w:jc w:val="both"/>
              <w:rPr>
                <w:rFonts w:ascii="Times New Roman" w:eastAsia="Times New Roman" w:hAnsi="Times New Roman" w:cs="Times New Roman"/>
                <w:sz w:val="24"/>
                <w:szCs w:val="24"/>
                <w:lang w:eastAsia="lv-LV"/>
              </w:rPr>
            </w:pPr>
          </w:p>
        </w:tc>
      </w:tr>
      <w:tr w:rsidR="009612B1" w:rsidRPr="000B55A9" w:rsidTr="008F45D7">
        <w:tc>
          <w:tcPr>
            <w:tcW w:w="294"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2.</w:t>
            </w:r>
          </w:p>
        </w:tc>
        <w:tc>
          <w:tcPr>
            <w:tcW w:w="1403"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Sabiedrības līdzdalība projekta izstrādē</w:t>
            </w:r>
          </w:p>
        </w:tc>
        <w:tc>
          <w:tcPr>
            <w:tcW w:w="3304"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pStyle w:val="NormalWeb"/>
              <w:spacing w:line="252" w:lineRule="auto"/>
              <w:jc w:val="both"/>
              <w:rPr>
                <w:rFonts w:ascii="Calibri" w:hAnsi="Calibri" w:cs="Calibri"/>
              </w:rPr>
            </w:pPr>
            <w:r w:rsidRPr="000B55A9">
              <w:rPr>
                <w:iCs/>
                <w:spacing w:val="-2"/>
              </w:rPr>
              <w:t xml:space="preserve">Sabiedrības pārstāvji varēja līdzdarboties likumprojekta izstrādē, </w:t>
            </w:r>
            <w:proofErr w:type="spellStart"/>
            <w:r w:rsidRPr="000B55A9">
              <w:rPr>
                <w:iCs/>
                <w:spacing w:val="-2"/>
              </w:rPr>
              <w:t>rakstveidā</w:t>
            </w:r>
            <w:proofErr w:type="spellEnd"/>
            <w:r w:rsidRPr="000B55A9">
              <w:rPr>
                <w:iCs/>
                <w:spacing w:val="-2"/>
              </w:rPr>
              <w:t xml:space="preserve"> sniedzot viedokļus par likumprojektu, kas </w:t>
            </w:r>
            <w:r>
              <w:rPr>
                <w:iCs/>
              </w:rPr>
              <w:t xml:space="preserve">2018.gada 30.novembrī </w:t>
            </w:r>
            <w:r w:rsidRPr="000B55A9">
              <w:rPr>
                <w:iCs/>
              </w:rPr>
              <w:t>publicēts Finanšu ministrijas tīmekļvietnē sadaļā “Sabiedrības līdzdalība” – “Tiesību aktu projekti” – “Nodokļu politika”, adrese:</w:t>
            </w:r>
          </w:p>
          <w:p w:rsidR="009612B1" w:rsidRPr="00527862" w:rsidRDefault="009612B1" w:rsidP="008F45D7">
            <w:pPr>
              <w:tabs>
                <w:tab w:val="left" w:pos="3997"/>
              </w:tabs>
              <w:spacing w:after="0" w:line="240" w:lineRule="auto"/>
              <w:ind w:right="111"/>
              <w:jc w:val="both"/>
              <w:rPr>
                <w:rFonts w:ascii="Times New Roman" w:eastAsia="Times New Roman" w:hAnsi="Times New Roman" w:cs="Times New Roman"/>
                <w:color w:val="1F4E79" w:themeColor="accent5" w:themeShade="80"/>
                <w:sz w:val="24"/>
                <w:szCs w:val="24"/>
                <w:u w:val="single"/>
                <w:lang w:eastAsia="lv-LV"/>
              </w:rPr>
            </w:pPr>
            <w:r w:rsidRPr="00527862">
              <w:rPr>
                <w:rFonts w:ascii="Times New Roman" w:eastAsia="Times New Roman" w:hAnsi="Times New Roman" w:cs="Times New Roman"/>
                <w:color w:val="1F4E79" w:themeColor="accent5" w:themeShade="80"/>
                <w:sz w:val="24"/>
                <w:szCs w:val="24"/>
                <w:u w:val="single"/>
                <w:lang w:eastAsia="lv-LV"/>
              </w:rPr>
              <w:t>http://www.fm.gov.lv/lv/sabiedribas_lidzdaliba/tiesibu_aktu_</w:t>
            </w:r>
          </w:p>
          <w:p w:rsidR="009612B1" w:rsidRPr="000B55A9" w:rsidRDefault="009612B1" w:rsidP="008F45D7">
            <w:pPr>
              <w:tabs>
                <w:tab w:val="left" w:pos="3997"/>
              </w:tabs>
              <w:spacing w:after="0" w:line="240" w:lineRule="auto"/>
              <w:ind w:right="111"/>
              <w:jc w:val="both"/>
              <w:rPr>
                <w:rFonts w:ascii="Times New Roman" w:hAnsi="Times New Roman" w:cs="Times New Roman"/>
                <w:sz w:val="24"/>
                <w:szCs w:val="24"/>
              </w:rPr>
            </w:pPr>
            <w:r w:rsidRPr="00527862">
              <w:rPr>
                <w:rFonts w:ascii="Times New Roman" w:eastAsia="Times New Roman" w:hAnsi="Times New Roman" w:cs="Times New Roman"/>
                <w:color w:val="1F4E79" w:themeColor="accent5" w:themeShade="80"/>
                <w:sz w:val="24"/>
                <w:szCs w:val="24"/>
                <w:u w:val="single"/>
                <w:lang w:eastAsia="lv-LV"/>
              </w:rPr>
              <w:t>projekti/nodoklu_politika#project528</w:t>
            </w:r>
            <w:r w:rsidRPr="00527862">
              <w:rPr>
                <w:rFonts w:ascii="Times New Roman" w:eastAsia="Times New Roman" w:hAnsi="Times New Roman" w:cs="Times New Roman"/>
                <w:color w:val="1F4E79" w:themeColor="accent5" w:themeShade="80"/>
                <w:sz w:val="24"/>
                <w:szCs w:val="24"/>
                <w:lang w:eastAsia="lv-LV"/>
              </w:rPr>
              <w:t xml:space="preserve"> .</w:t>
            </w:r>
          </w:p>
          <w:p w:rsidR="009612B1" w:rsidRPr="000B55A9" w:rsidRDefault="009612B1" w:rsidP="008F45D7">
            <w:pPr>
              <w:tabs>
                <w:tab w:val="left" w:pos="3997"/>
              </w:tabs>
              <w:spacing w:after="0" w:line="240" w:lineRule="auto"/>
              <w:ind w:right="111"/>
              <w:jc w:val="both"/>
              <w:rPr>
                <w:rFonts w:ascii="Times New Roman" w:eastAsia="Times New Roman" w:hAnsi="Times New Roman" w:cs="Times New Roman"/>
                <w:color w:val="1F4E79" w:themeColor="accent5" w:themeShade="80"/>
                <w:sz w:val="24"/>
                <w:szCs w:val="24"/>
                <w:lang w:eastAsia="lv-LV"/>
              </w:rPr>
            </w:pPr>
          </w:p>
        </w:tc>
      </w:tr>
      <w:tr w:rsidR="009612B1" w:rsidRPr="000B55A9" w:rsidTr="008F45D7">
        <w:tc>
          <w:tcPr>
            <w:tcW w:w="294"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3.</w:t>
            </w:r>
          </w:p>
        </w:tc>
        <w:tc>
          <w:tcPr>
            <w:tcW w:w="1403"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Sabiedrības līdzdalības rezultāti</w:t>
            </w:r>
          </w:p>
        </w:tc>
        <w:tc>
          <w:tcPr>
            <w:tcW w:w="3304" w:type="pct"/>
            <w:tcBorders>
              <w:top w:val="outset" w:sz="6" w:space="0" w:color="414142"/>
              <w:left w:val="outset" w:sz="6" w:space="0" w:color="414142"/>
              <w:bottom w:val="outset" w:sz="6" w:space="0" w:color="414142"/>
              <w:right w:val="outset" w:sz="6" w:space="0" w:color="414142"/>
            </w:tcBorders>
          </w:tcPr>
          <w:p w:rsidR="009612B1" w:rsidRPr="000B55A9" w:rsidRDefault="009612B1" w:rsidP="008F45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612B1" w:rsidRPr="000B55A9" w:rsidTr="008F45D7">
        <w:tc>
          <w:tcPr>
            <w:tcW w:w="294"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4.</w:t>
            </w:r>
          </w:p>
        </w:tc>
        <w:tc>
          <w:tcPr>
            <w:tcW w:w="1403"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3304" w:type="pct"/>
            <w:tcBorders>
              <w:top w:val="outset" w:sz="6" w:space="0" w:color="414142"/>
              <w:left w:val="outset" w:sz="6" w:space="0" w:color="414142"/>
              <w:bottom w:val="outset" w:sz="6" w:space="0" w:color="414142"/>
              <w:right w:val="outset" w:sz="6" w:space="0" w:color="414142"/>
            </w:tcBorders>
            <w:hideMark/>
          </w:tcPr>
          <w:p w:rsidR="009612B1" w:rsidRPr="000B55A9" w:rsidRDefault="009612B1" w:rsidP="008F45D7">
            <w:pPr>
              <w:jc w:val="both"/>
              <w:rPr>
                <w:rFonts w:ascii="Times New Roman" w:hAnsi="Times New Roman" w:cs="Times New Roman"/>
                <w:sz w:val="24"/>
                <w:szCs w:val="24"/>
              </w:rPr>
            </w:pPr>
            <w:r w:rsidRPr="000B55A9">
              <w:rPr>
                <w:rFonts w:ascii="Times New Roman" w:hAnsi="Times New Roman" w:cs="Times New Roman"/>
                <w:sz w:val="24"/>
                <w:szCs w:val="24"/>
              </w:rPr>
              <w:t xml:space="preserve">Nav. </w:t>
            </w:r>
          </w:p>
        </w:tc>
      </w:tr>
    </w:tbl>
    <w:p w:rsidR="009612B1" w:rsidRPr="000B55A9" w:rsidRDefault="009612B1" w:rsidP="00543AA6">
      <w:pPr>
        <w:spacing w:after="0" w:line="240" w:lineRule="auto"/>
        <w:rPr>
          <w:rFonts w:ascii="Times New Roman" w:eastAsia="Times New Roman" w:hAnsi="Times New Roman" w:cs="Times New Roman"/>
          <w:sz w:val="24"/>
          <w:szCs w:val="24"/>
          <w:lang w:eastAsia="lv-LV"/>
        </w:rPr>
      </w:pPr>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5"/>
        <w:gridCol w:w="5587"/>
      </w:tblGrid>
      <w:tr w:rsidR="00993C84" w:rsidRPr="000B55A9" w:rsidTr="005E105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0B55A9" w:rsidTr="005E1055">
        <w:tc>
          <w:tcPr>
            <w:tcW w:w="318"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Projekta izpildē iesaistītās institūcijas</w:t>
            </w:r>
          </w:p>
        </w:tc>
        <w:tc>
          <w:tcPr>
            <w:tcW w:w="3034" w:type="pct"/>
            <w:tcBorders>
              <w:top w:val="outset" w:sz="6" w:space="0" w:color="414142"/>
              <w:left w:val="outset" w:sz="6" w:space="0" w:color="414142"/>
              <w:bottom w:val="outset" w:sz="6" w:space="0" w:color="414142"/>
              <w:right w:val="outset" w:sz="6" w:space="0" w:color="414142"/>
            </w:tcBorders>
            <w:hideMark/>
          </w:tcPr>
          <w:p w:rsidR="00543AA6" w:rsidRPr="000B55A9" w:rsidRDefault="00A97BB2" w:rsidP="003D0556">
            <w:pPr>
              <w:spacing w:after="0" w:line="240" w:lineRule="auto"/>
              <w:rPr>
                <w:sz w:val="24"/>
                <w:szCs w:val="24"/>
              </w:rPr>
            </w:pPr>
            <w:r>
              <w:rPr>
                <w:rFonts w:ascii="Times New Roman" w:eastAsia="Times New Roman" w:hAnsi="Times New Roman" w:cs="Times New Roman"/>
                <w:sz w:val="24"/>
                <w:szCs w:val="24"/>
                <w:lang w:eastAsia="lv-LV"/>
              </w:rPr>
              <w:t xml:space="preserve">Zemkopības ministrija, </w:t>
            </w:r>
            <w:r w:rsidR="00CB23AC">
              <w:rPr>
                <w:rFonts w:ascii="Times New Roman" w:eastAsia="Times New Roman" w:hAnsi="Times New Roman" w:cs="Times New Roman"/>
                <w:sz w:val="24"/>
                <w:szCs w:val="24"/>
                <w:lang w:eastAsia="lv-LV"/>
              </w:rPr>
              <w:t xml:space="preserve">Lauku atbalsta dienests un </w:t>
            </w:r>
            <w:r w:rsidR="00D77A92" w:rsidRPr="000B55A9">
              <w:rPr>
                <w:rFonts w:ascii="Times New Roman" w:eastAsia="Times New Roman" w:hAnsi="Times New Roman" w:cs="Times New Roman"/>
                <w:sz w:val="24"/>
                <w:szCs w:val="24"/>
                <w:lang w:eastAsia="lv-LV"/>
              </w:rPr>
              <w:t>Valsts ieņēmumu dien</w:t>
            </w:r>
            <w:r w:rsidR="003D0556" w:rsidRPr="000B55A9">
              <w:rPr>
                <w:rFonts w:ascii="Times New Roman" w:eastAsia="Times New Roman" w:hAnsi="Times New Roman" w:cs="Times New Roman"/>
                <w:sz w:val="24"/>
                <w:szCs w:val="24"/>
                <w:lang w:eastAsia="lv-LV"/>
              </w:rPr>
              <w:t>e</w:t>
            </w:r>
            <w:r w:rsidR="00D77A92" w:rsidRPr="000B55A9">
              <w:rPr>
                <w:rFonts w:ascii="Times New Roman" w:eastAsia="Times New Roman" w:hAnsi="Times New Roman" w:cs="Times New Roman"/>
                <w:sz w:val="24"/>
                <w:szCs w:val="24"/>
                <w:lang w:eastAsia="lv-LV"/>
              </w:rPr>
              <w:t>sts.</w:t>
            </w:r>
          </w:p>
        </w:tc>
      </w:tr>
      <w:tr w:rsidR="00993C84" w:rsidRPr="000B55A9" w:rsidTr="005E1055">
        <w:tc>
          <w:tcPr>
            <w:tcW w:w="318"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2.</w:t>
            </w:r>
          </w:p>
        </w:tc>
        <w:tc>
          <w:tcPr>
            <w:tcW w:w="1648"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Projekta izpildes ietekme uz pārvaldes funkcijām un institucionālo struktūru.</w:t>
            </w:r>
            <w:r w:rsidRPr="000B55A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4" w:type="pct"/>
            <w:tcBorders>
              <w:top w:val="outset" w:sz="6" w:space="0" w:color="414142"/>
              <w:left w:val="outset" w:sz="6" w:space="0" w:color="414142"/>
              <w:bottom w:val="outset" w:sz="6" w:space="0" w:color="414142"/>
              <w:right w:val="outset" w:sz="6" w:space="0" w:color="414142"/>
            </w:tcBorders>
            <w:hideMark/>
          </w:tcPr>
          <w:p w:rsidR="00543AA6" w:rsidRPr="000B55A9" w:rsidRDefault="00993C84"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993C84" w:rsidRPr="000B55A9" w:rsidTr="005E1055">
        <w:tc>
          <w:tcPr>
            <w:tcW w:w="318"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rsidR="00543AA6" w:rsidRPr="000B55A9" w:rsidRDefault="00543AA6"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rsidR="00543AA6" w:rsidRPr="000B55A9" w:rsidRDefault="00993C84"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Nav</w:t>
            </w:r>
            <w:r w:rsidR="001E55A0" w:rsidRPr="000B55A9">
              <w:rPr>
                <w:rFonts w:ascii="Times New Roman" w:eastAsia="Times New Roman" w:hAnsi="Times New Roman" w:cs="Times New Roman"/>
                <w:sz w:val="24"/>
                <w:szCs w:val="24"/>
                <w:lang w:eastAsia="lv-LV"/>
              </w:rPr>
              <w:t>.</w:t>
            </w:r>
          </w:p>
        </w:tc>
      </w:tr>
    </w:tbl>
    <w:p w:rsidR="000B5181" w:rsidRPr="000B55A9" w:rsidRDefault="000B5181" w:rsidP="001E55A0">
      <w:pPr>
        <w:spacing w:after="0" w:line="240" w:lineRule="auto"/>
        <w:rPr>
          <w:rFonts w:ascii="Times New Roman" w:eastAsia="Times New Roman" w:hAnsi="Times New Roman" w:cs="Times New Roman"/>
          <w:bCs/>
          <w:iCs/>
          <w:kern w:val="1"/>
          <w:sz w:val="24"/>
          <w:szCs w:val="24"/>
          <w:lang w:eastAsia="ar-SA"/>
        </w:rPr>
      </w:pPr>
    </w:p>
    <w:p w:rsidR="000B5181" w:rsidRDefault="000B5181" w:rsidP="001E55A0">
      <w:pPr>
        <w:spacing w:after="0" w:line="240" w:lineRule="auto"/>
        <w:rPr>
          <w:rFonts w:ascii="Times New Roman" w:eastAsia="Times New Roman" w:hAnsi="Times New Roman" w:cs="Times New Roman"/>
          <w:bCs/>
          <w:iCs/>
          <w:kern w:val="1"/>
          <w:sz w:val="24"/>
          <w:szCs w:val="24"/>
          <w:lang w:eastAsia="ar-SA"/>
        </w:rPr>
      </w:pPr>
    </w:p>
    <w:p w:rsidR="00CC7A83" w:rsidRPr="000B55A9" w:rsidRDefault="00CC7A83" w:rsidP="001E55A0">
      <w:pPr>
        <w:spacing w:after="0" w:line="240" w:lineRule="auto"/>
        <w:rPr>
          <w:rFonts w:ascii="Times New Roman" w:eastAsia="Times New Roman" w:hAnsi="Times New Roman" w:cs="Times New Roman"/>
          <w:bCs/>
          <w:iCs/>
          <w:kern w:val="1"/>
          <w:sz w:val="24"/>
          <w:szCs w:val="24"/>
          <w:lang w:eastAsia="ar-SA"/>
        </w:rPr>
      </w:pPr>
    </w:p>
    <w:p w:rsidR="000B55A9" w:rsidRPr="009612B1" w:rsidRDefault="001E55A0" w:rsidP="001E55A0">
      <w:pPr>
        <w:spacing w:after="0" w:line="240" w:lineRule="auto"/>
        <w:rPr>
          <w:rFonts w:ascii="Times New Roman" w:eastAsia="Times New Roman" w:hAnsi="Times New Roman" w:cs="Times New Roman"/>
          <w:bCs/>
          <w:iCs/>
          <w:kern w:val="1"/>
          <w:sz w:val="26"/>
          <w:szCs w:val="26"/>
          <w:lang w:eastAsia="ar-SA"/>
        </w:rPr>
      </w:pPr>
      <w:r w:rsidRPr="000B55A9">
        <w:rPr>
          <w:rFonts w:ascii="Times New Roman" w:eastAsia="Times New Roman" w:hAnsi="Times New Roman" w:cs="Times New Roman"/>
          <w:bCs/>
          <w:iCs/>
          <w:kern w:val="1"/>
          <w:sz w:val="26"/>
          <w:szCs w:val="26"/>
          <w:lang w:eastAsia="ar-SA"/>
        </w:rPr>
        <w:t>Finanšu ministr</w:t>
      </w:r>
      <w:r w:rsidR="00CC7A83">
        <w:rPr>
          <w:rFonts w:ascii="Times New Roman" w:eastAsia="Times New Roman" w:hAnsi="Times New Roman" w:cs="Times New Roman"/>
          <w:bCs/>
          <w:iCs/>
          <w:kern w:val="1"/>
          <w:sz w:val="26"/>
          <w:szCs w:val="26"/>
          <w:lang w:eastAsia="ar-SA"/>
        </w:rPr>
        <w:t>s</w:t>
      </w:r>
      <w:r w:rsidRPr="000B55A9">
        <w:rPr>
          <w:rFonts w:ascii="Times New Roman" w:eastAsia="Times New Roman" w:hAnsi="Times New Roman" w:cs="Times New Roman"/>
          <w:bCs/>
          <w:iCs/>
          <w:kern w:val="1"/>
          <w:sz w:val="26"/>
          <w:szCs w:val="26"/>
          <w:lang w:eastAsia="ar-SA"/>
        </w:rPr>
        <w:tab/>
        <w:t xml:space="preserve">                                                                     </w:t>
      </w:r>
      <w:r w:rsidR="00CC7A83">
        <w:rPr>
          <w:rFonts w:ascii="Times New Roman" w:eastAsia="Times New Roman" w:hAnsi="Times New Roman" w:cs="Times New Roman"/>
          <w:bCs/>
          <w:iCs/>
          <w:kern w:val="1"/>
          <w:sz w:val="26"/>
          <w:szCs w:val="26"/>
          <w:lang w:eastAsia="ar-SA"/>
        </w:rPr>
        <w:tab/>
      </w:r>
      <w:r w:rsidRPr="000B55A9">
        <w:rPr>
          <w:rFonts w:ascii="Times New Roman" w:eastAsia="Times New Roman" w:hAnsi="Times New Roman" w:cs="Times New Roman"/>
          <w:bCs/>
          <w:iCs/>
          <w:kern w:val="1"/>
          <w:sz w:val="26"/>
          <w:szCs w:val="26"/>
          <w:lang w:eastAsia="ar-SA"/>
        </w:rPr>
        <w:t xml:space="preserve"> </w:t>
      </w:r>
      <w:r w:rsidR="00CC7A83">
        <w:rPr>
          <w:rFonts w:ascii="Times New Roman" w:eastAsia="Times New Roman" w:hAnsi="Times New Roman" w:cs="Times New Roman"/>
          <w:bCs/>
          <w:iCs/>
          <w:kern w:val="1"/>
          <w:sz w:val="26"/>
          <w:szCs w:val="26"/>
          <w:lang w:eastAsia="ar-SA"/>
        </w:rPr>
        <w:t>J</w:t>
      </w:r>
      <w:r w:rsidRPr="000B55A9">
        <w:rPr>
          <w:rFonts w:ascii="Times New Roman" w:eastAsia="Times New Roman" w:hAnsi="Times New Roman" w:cs="Times New Roman"/>
          <w:bCs/>
          <w:iCs/>
          <w:kern w:val="1"/>
          <w:sz w:val="26"/>
          <w:szCs w:val="26"/>
          <w:lang w:eastAsia="ar-SA"/>
        </w:rPr>
        <w:t>. Rei</w:t>
      </w:r>
      <w:r w:rsidR="00CC7A83">
        <w:rPr>
          <w:rFonts w:ascii="Times New Roman" w:eastAsia="Times New Roman" w:hAnsi="Times New Roman" w:cs="Times New Roman"/>
          <w:bCs/>
          <w:iCs/>
          <w:kern w:val="1"/>
          <w:sz w:val="26"/>
          <w:szCs w:val="26"/>
          <w:lang w:eastAsia="ar-SA"/>
        </w:rPr>
        <w:t>rs</w:t>
      </w:r>
    </w:p>
    <w:p w:rsidR="000B55A9" w:rsidRPr="000B55A9" w:rsidRDefault="000B55A9" w:rsidP="001E55A0">
      <w:pPr>
        <w:spacing w:after="0" w:line="240" w:lineRule="auto"/>
        <w:rPr>
          <w:rFonts w:ascii="Times New Roman" w:eastAsia="Times New Roman" w:hAnsi="Times New Roman" w:cs="Times New Roman"/>
          <w:bCs/>
          <w:iCs/>
          <w:kern w:val="1"/>
          <w:sz w:val="24"/>
          <w:szCs w:val="24"/>
          <w:lang w:eastAsia="ar-SA"/>
        </w:rPr>
      </w:pPr>
    </w:p>
    <w:p w:rsidR="001657A2" w:rsidRDefault="001657A2" w:rsidP="001E55A0">
      <w:pPr>
        <w:spacing w:after="0" w:line="240" w:lineRule="auto"/>
        <w:rPr>
          <w:rFonts w:ascii="Times New Roman" w:eastAsia="Times New Roman" w:hAnsi="Times New Roman" w:cs="Times New Roman"/>
          <w:bCs/>
          <w:iCs/>
          <w:kern w:val="1"/>
          <w:sz w:val="20"/>
          <w:szCs w:val="24"/>
          <w:lang w:eastAsia="ar-SA"/>
        </w:rPr>
      </w:pPr>
    </w:p>
    <w:p w:rsidR="00CC7A83" w:rsidRDefault="00CC7A83" w:rsidP="001E55A0">
      <w:pPr>
        <w:spacing w:after="0" w:line="240" w:lineRule="auto"/>
        <w:rPr>
          <w:rFonts w:ascii="Times New Roman" w:eastAsia="Times New Roman" w:hAnsi="Times New Roman" w:cs="Times New Roman"/>
          <w:bCs/>
          <w:iCs/>
          <w:kern w:val="1"/>
          <w:sz w:val="20"/>
          <w:szCs w:val="24"/>
          <w:lang w:eastAsia="ar-SA"/>
        </w:rPr>
      </w:pPr>
    </w:p>
    <w:p w:rsidR="00CC7A83" w:rsidRDefault="00CC7A83" w:rsidP="001E55A0">
      <w:pPr>
        <w:spacing w:after="0" w:line="240" w:lineRule="auto"/>
        <w:rPr>
          <w:rFonts w:ascii="Times New Roman" w:eastAsia="Times New Roman" w:hAnsi="Times New Roman" w:cs="Times New Roman"/>
          <w:bCs/>
          <w:iCs/>
          <w:kern w:val="1"/>
          <w:sz w:val="20"/>
          <w:szCs w:val="24"/>
          <w:lang w:eastAsia="ar-SA"/>
        </w:rPr>
      </w:pPr>
    </w:p>
    <w:p w:rsidR="00CC7A83" w:rsidRPr="000B55A9" w:rsidRDefault="00CC7A83" w:rsidP="001E55A0">
      <w:pPr>
        <w:spacing w:after="0" w:line="240" w:lineRule="auto"/>
        <w:rPr>
          <w:rFonts w:ascii="Times New Roman" w:eastAsia="Times New Roman" w:hAnsi="Times New Roman" w:cs="Times New Roman"/>
          <w:bCs/>
          <w:iCs/>
          <w:kern w:val="1"/>
          <w:sz w:val="20"/>
          <w:szCs w:val="24"/>
          <w:lang w:eastAsia="ar-SA"/>
        </w:rPr>
      </w:pPr>
    </w:p>
    <w:p w:rsidR="001E55A0" w:rsidRPr="000B55A9" w:rsidRDefault="006E1B67" w:rsidP="001E55A0">
      <w:pPr>
        <w:spacing w:after="0" w:line="240" w:lineRule="auto"/>
        <w:rPr>
          <w:rFonts w:ascii="Times New Roman" w:eastAsia="Times New Roman" w:hAnsi="Times New Roman" w:cs="Times New Roman"/>
          <w:bCs/>
          <w:iCs/>
          <w:kern w:val="1"/>
          <w:sz w:val="20"/>
          <w:szCs w:val="24"/>
          <w:lang w:eastAsia="ar-SA"/>
        </w:rPr>
      </w:pPr>
      <w:r w:rsidRPr="000B55A9">
        <w:rPr>
          <w:rFonts w:ascii="Times New Roman" w:eastAsia="Times New Roman" w:hAnsi="Times New Roman" w:cs="Times New Roman"/>
          <w:bCs/>
          <w:iCs/>
          <w:kern w:val="1"/>
          <w:sz w:val="20"/>
          <w:szCs w:val="24"/>
          <w:lang w:eastAsia="ar-SA"/>
        </w:rPr>
        <w:t>Lukss, 67083846</w:t>
      </w:r>
    </w:p>
    <w:p w:rsidR="001E55A0" w:rsidRPr="000B55A9" w:rsidRDefault="00872D60" w:rsidP="001E55A0">
      <w:pPr>
        <w:spacing w:after="0" w:line="240" w:lineRule="auto"/>
        <w:rPr>
          <w:rFonts w:ascii="Times New Roman" w:hAnsi="Times New Roman" w:cs="Times New Roman"/>
          <w:sz w:val="20"/>
          <w:szCs w:val="24"/>
        </w:rPr>
      </w:pPr>
      <w:hyperlink r:id="rId8" w:history="1">
        <w:r w:rsidR="006E1B67" w:rsidRPr="000B55A9">
          <w:rPr>
            <w:rStyle w:val="Hyperlink"/>
            <w:rFonts w:ascii="Times New Roman" w:eastAsia="Times New Roman" w:hAnsi="Times New Roman" w:cs="Times New Roman"/>
            <w:bCs/>
            <w:iCs/>
            <w:kern w:val="1"/>
            <w:sz w:val="20"/>
            <w:szCs w:val="24"/>
            <w:lang w:eastAsia="ar-SA"/>
          </w:rPr>
          <w:t>Juris.Lukss@fm.gov.lv</w:t>
        </w:r>
      </w:hyperlink>
      <w:r w:rsidR="001E55A0" w:rsidRPr="000B55A9">
        <w:rPr>
          <w:rFonts w:ascii="Times New Roman" w:eastAsia="Times New Roman" w:hAnsi="Times New Roman" w:cs="Times New Roman"/>
          <w:bCs/>
          <w:iCs/>
          <w:kern w:val="1"/>
          <w:sz w:val="20"/>
          <w:szCs w:val="24"/>
          <w:lang w:eastAsia="ar-SA"/>
        </w:rPr>
        <w:t xml:space="preserve"> </w:t>
      </w:r>
    </w:p>
    <w:sectPr w:rsidR="001E55A0" w:rsidRPr="000B55A9" w:rsidSect="00FF6FDC">
      <w:headerReference w:type="even" r:id="rId9"/>
      <w:headerReference w:type="default" r:id="rId10"/>
      <w:footerReference w:type="even" r:id="rId11"/>
      <w:footerReference w:type="default" r:id="rId12"/>
      <w:headerReference w:type="first" r:id="rId13"/>
      <w:footerReference w:type="first" r:id="rId14"/>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9B" w:rsidRDefault="00524C9B" w:rsidP="0038587F">
      <w:pPr>
        <w:spacing w:after="0" w:line="240" w:lineRule="auto"/>
      </w:pPr>
      <w:r>
        <w:separator/>
      </w:r>
    </w:p>
  </w:endnote>
  <w:endnote w:type="continuationSeparator" w:id="0">
    <w:p w:rsidR="00524C9B" w:rsidRDefault="00524C9B"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60" w:rsidRDefault="0087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9C" w:rsidRPr="001E55A0" w:rsidRDefault="0094289C"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A860BD">
      <w:rPr>
        <w:rFonts w:ascii="Times New Roman" w:hAnsi="Times New Roman" w:cs="Times New Roman"/>
        <w:noProof/>
        <w:sz w:val="20"/>
        <w:szCs w:val="20"/>
      </w:rPr>
      <w:t>FMAnot_140219_zvej_dg_AN.docx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rsidR="0094289C" w:rsidRPr="001E55A0" w:rsidRDefault="0094289C" w:rsidP="001E5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9C" w:rsidRPr="001E55A0" w:rsidRDefault="0094289C"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A860BD">
      <w:rPr>
        <w:rFonts w:ascii="Times New Roman" w:hAnsi="Times New Roman" w:cs="Times New Roman"/>
        <w:noProof/>
        <w:sz w:val="20"/>
        <w:szCs w:val="20"/>
      </w:rPr>
      <w:t>FMAnot_140219_zvej_dg_AN.docx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rsidR="0094289C" w:rsidRPr="001E55A0" w:rsidRDefault="0094289C" w:rsidP="00A37C16">
    <w:pPr>
      <w:pStyle w:val="Footer"/>
    </w:pPr>
  </w:p>
  <w:p w:rsidR="0094289C" w:rsidRDefault="0094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9B" w:rsidRDefault="00524C9B" w:rsidP="0038587F">
      <w:pPr>
        <w:spacing w:after="0" w:line="240" w:lineRule="auto"/>
      </w:pPr>
      <w:r>
        <w:separator/>
      </w:r>
    </w:p>
  </w:footnote>
  <w:footnote w:type="continuationSeparator" w:id="0">
    <w:p w:rsidR="00524C9B" w:rsidRDefault="00524C9B"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60" w:rsidRDefault="00872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rsidR="0094289C" w:rsidRPr="00872D60" w:rsidRDefault="0094289C">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872D60">
          <w:rPr>
            <w:rFonts w:ascii="Times New Roman" w:hAnsi="Times New Roman" w:cs="Times New Roman"/>
            <w:noProof/>
            <w:sz w:val="24"/>
          </w:rPr>
          <w:t>3</w:t>
        </w:r>
        <w:r w:rsidRPr="00872D60">
          <w:rPr>
            <w:rFonts w:ascii="Times New Roman" w:hAnsi="Times New Roman" w:cs="Times New Roman"/>
            <w:noProof/>
            <w:sz w:val="24"/>
          </w:rPr>
          <w:fldChar w:fldCharType="end"/>
        </w:r>
      </w:p>
      <w:bookmarkStart w:id="0" w:name="_GoBack" w:displacedByCustomXml="next"/>
      <w:bookmarkEnd w:id="0" w:displacedByCustomXml="next"/>
    </w:sdtContent>
  </w:sdt>
  <w:p w:rsidR="0094289C" w:rsidRDefault="00942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60" w:rsidRDefault="0087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9D2DFA"/>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9"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0"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1"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12"/>
  </w:num>
  <w:num w:numId="6">
    <w:abstractNumId w:val="4"/>
  </w:num>
  <w:num w:numId="7">
    <w:abstractNumId w:val="13"/>
  </w:num>
  <w:num w:numId="8">
    <w:abstractNumId w:val="11"/>
  </w:num>
  <w:num w:numId="9">
    <w:abstractNumId w:val="3"/>
  </w:num>
  <w:num w:numId="10">
    <w:abstractNumId w:val="5"/>
  </w:num>
  <w:num w:numId="11">
    <w:abstractNumId w:val="6"/>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91A"/>
    <w:rsid w:val="00001B2F"/>
    <w:rsid w:val="00007226"/>
    <w:rsid w:val="00010538"/>
    <w:rsid w:val="000140C9"/>
    <w:rsid w:val="0001650F"/>
    <w:rsid w:val="00020D8F"/>
    <w:rsid w:val="000237E7"/>
    <w:rsid w:val="00024BA6"/>
    <w:rsid w:val="0002779D"/>
    <w:rsid w:val="000320E8"/>
    <w:rsid w:val="0004450E"/>
    <w:rsid w:val="000477A9"/>
    <w:rsid w:val="0005206D"/>
    <w:rsid w:val="0005435B"/>
    <w:rsid w:val="000545F8"/>
    <w:rsid w:val="00063BB2"/>
    <w:rsid w:val="000670D5"/>
    <w:rsid w:val="00070A7B"/>
    <w:rsid w:val="0008771D"/>
    <w:rsid w:val="0009400F"/>
    <w:rsid w:val="00095DCA"/>
    <w:rsid w:val="000A2CD9"/>
    <w:rsid w:val="000B00F2"/>
    <w:rsid w:val="000B05F9"/>
    <w:rsid w:val="000B5181"/>
    <w:rsid w:val="000B55A9"/>
    <w:rsid w:val="000C26F8"/>
    <w:rsid w:val="000D799C"/>
    <w:rsid w:val="000E14FF"/>
    <w:rsid w:val="000F3B4C"/>
    <w:rsid w:val="00100490"/>
    <w:rsid w:val="00116BE4"/>
    <w:rsid w:val="00117DB1"/>
    <w:rsid w:val="00127BE3"/>
    <w:rsid w:val="001312E0"/>
    <w:rsid w:val="00136FBC"/>
    <w:rsid w:val="0014533F"/>
    <w:rsid w:val="001512D9"/>
    <w:rsid w:val="00161F62"/>
    <w:rsid w:val="001657A2"/>
    <w:rsid w:val="001720AB"/>
    <w:rsid w:val="00174314"/>
    <w:rsid w:val="00176609"/>
    <w:rsid w:val="00180147"/>
    <w:rsid w:val="001A27A2"/>
    <w:rsid w:val="001A3612"/>
    <w:rsid w:val="001A4420"/>
    <w:rsid w:val="001B4F32"/>
    <w:rsid w:val="001B779F"/>
    <w:rsid w:val="001D0219"/>
    <w:rsid w:val="001E1E5E"/>
    <w:rsid w:val="001E55A0"/>
    <w:rsid w:val="001E6E39"/>
    <w:rsid w:val="00211310"/>
    <w:rsid w:val="00215D2F"/>
    <w:rsid w:val="00225A7E"/>
    <w:rsid w:val="00225B81"/>
    <w:rsid w:val="00225C49"/>
    <w:rsid w:val="00233623"/>
    <w:rsid w:val="00237C32"/>
    <w:rsid w:val="002402A8"/>
    <w:rsid w:val="00242A6B"/>
    <w:rsid w:val="00256F65"/>
    <w:rsid w:val="002613F1"/>
    <w:rsid w:val="00277C7E"/>
    <w:rsid w:val="002838CB"/>
    <w:rsid w:val="00284ABA"/>
    <w:rsid w:val="002953DF"/>
    <w:rsid w:val="002A2C2B"/>
    <w:rsid w:val="002A4683"/>
    <w:rsid w:val="002B0D50"/>
    <w:rsid w:val="002B32AC"/>
    <w:rsid w:val="002B3881"/>
    <w:rsid w:val="002C3789"/>
    <w:rsid w:val="002C3EC3"/>
    <w:rsid w:val="002C4DFB"/>
    <w:rsid w:val="002C565C"/>
    <w:rsid w:val="002D20CA"/>
    <w:rsid w:val="002D7BDE"/>
    <w:rsid w:val="002E1E5A"/>
    <w:rsid w:val="002E7FA9"/>
    <w:rsid w:val="002F71AE"/>
    <w:rsid w:val="003008DF"/>
    <w:rsid w:val="00303060"/>
    <w:rsid w:val="003041AE"/>
    <w:rsid w:val="00304B5F"/>
    <w:rsid w:val="00305748"/>
    <w:rsid w:val="00314D44"/>
    <w:rsid w:val="0032034C"/>
    <w:rsid w:val="00324CC7"/>
    <w:rsid w:val="003375C0"/>
    <w:rsid w:val="00341B12"/>
    <w:rsid w:val="0034258F"/>
    <w:rsid w:val="00347C04"/>
    <w:rsid w:val="00352677"/>
    <w:rsid w:val="00352EC9"/>
    <w:rsid w:val="0036308E"/>
    <w:rsid w:val="00363135"/>
    <w:rsid w:val="00371E07"/>
    <w:rsid w:val="0038587F"/>
    <w:rsid w:val="00390AD2"/>
    <w:rsid w:val="00393CF5"/>
    <w:rsid w:val="00393FB2"/>
    <w:rsid w:val="00396C03"/>
    <w:rsid w:val="003A0E22"/>
    <w:rsid w:val="003A4187"/>
    <w:rsid w:val="003A4AFD"/>
    <w:rsid w:val="003A6BA5"/>
    <w:rsid w:val="003B0056"/>
    <w:rsid w:val="003C05D3"/>
    <w:rsid w:val="003C08D4"/>
    <w:rsid w:val="003C3D2D"/>
    <w:rsid w:val="003D0556"/>
    <w:rsid w:val="003D1658"/>
    <w:rsid w:val="003D3672"/>
    <w:rsid w:val="003D6685"/>
    <w:rsid w:val="003E45C9"/>
    <w:rsid w:val="003E6607"/>
    <w:rsid w:val="003F2F71"/>
    <w:rsid w:val="003F351D"/>
    <w:rsid w:val="003F6220"/>
    <w:rsid w:val="00400E7B"/>
    <w:rsid w:val="00401CF8"/>
    <w:rsid w:val="0040747B"/>
    <w:rsid w:val="0041039E"/>
    <w:rsid w:val="00431A76"/>
    <w:rsid w:val="00445F17"/>
    <w:rsid w:val="00446E4E"/>
    <w:rsid w:val="004475CF"/>
    <w:rsid w:val="00451550"/>
    <w:rsid w:val="00453DC2"/>
    <w:rsid w:val="004563DC"/>
    <w:rsid w:val="00464FEF"/>
    <w:rsid w:val="0046788D"/>
    <w:rsid w:val="004A2A10"/>
    <w:rsid w:val="004A6A56"/>
    <w:rsid w:val="004B0C47"/>
    <w:rsid w:val="004C7E1B"/>
    <w:rsid w:val="004D074C"/>
    <w:rsid w:val="004D21D1"/>
    <w:rsid w:val="004E5B07"/>
    <w:rsid w:val="004F291F"/>
    <w:rsid w:val="004F5EB0"/>
    <w:rsid w:val="005116C7"/>
    <w:rsid w:val="00513672"/>
    <w:rsid w:val="005163EE"/>
    <w:rsid w:val="00517530"/>
    <w:rsid w:val="00524C9B"/>
    <w:rsid w:val="00525CC7"/>
    <w:rsid w:val="00527862"/>
    <w:rsid w:val="005300BA"/>
    <w:rsid w:val="00537006"/>
    <w:rsid w:val="00537BC4"/>
    <w:rsid w:val="00543AA6"/>
    <w:rsid w:val="00557C67"/>
    <w:rsid w:val="00561F10"/>
    <w:rsid w:val="00562090"/>
    <w:rsid w:val="00563C06"/>
    <w:rsid w:val="00567C60"/>
    <w:rsid w:val="0057055B"/>
    <w:rsid w:val="00573CC8"/>
    <w:rsid w:val="0058402A"/>
    <w:rsid w:val="00586D65"/>
    <w:rsid w:val="0058711A"/>
    <w:rsid w:val="005912C7"/>
    <w:rsid w:val="005937D6"/>
    <w:rsid w:val="005B593F"/>
    <w:rsid w:val="005C150F"/>
    <w:rsid w:val="005C5F58"/>
    <w:rsid w:val="005D2B4D"/>
    <w:rsid w:val="005D3204"/>
    <w:rsid w:val="005E1055"/>
    <w:rsid w:val="005E4584"/>
    <w:rsid w:val="005F0E61"/>
    <w:rsid w:val="00610887"/>
    <w:rsid w:val="006138E5"/>
    <w:rsid w:val="00616C4C"/>
    <w:rsid w:val="00621683"/>
    <w:rsid w:val="00623952"/>
    <w:rsid w:val="00624CE4"/>
    <w:rsid w:val="00632934"/>
    <w:rsid w:val="00643667"/>
    <w:rsid w:val="0064583A"/>
    <w:rsid w:val="006518A7"/>
    <w:rsid w:val="00657D2C"/>
    <w:rsid w:val="00660F15"/>
    <w:rsid w:val="0066605C"/>
    <w:rsid w:val="006668C5"/>
    <w:rsid w:val="00672615"/>
    <w:rsid w:val="006735BC"/>
    <w:rsid w:val="00674F38"/>
    <w:rsid w:val="0068595F"/>
    <w:rsid w:val="00686D17"/>
    <w:rsid w:val="0069728C"/>
    <w:rsid w:val="006A4199"/>
    <w:rsid w:val="006B5174"/>
    <w:rsid w:val="006B76B2"/>
    <w:rsid w:val="006C30F5"/>
    <w:rsid w:val="006D167B"/>
    <w:rsid w:val="006E1B67"/>
    <w:rsid w:val="006E2A7B"/>
    <w:rsid w:val="006F4A5C"/>
    <w:rsid w:val="006F6B68"/>
    <w:rsid w:val="0070135C"/>
    <w:rsid w:val="007014BA"/>
    <w:rsid w:val="00702141"/>
    <w:rsid w:val="00702F0C"/>
    <w:rsid w:val="007053D9"/>
    <w:rsid w:val="007078A7"/>
    <w:rsid w:val="00710D5F"/>
    <w:rsid w:val="0071341A"/>
    <w:rsid w:val="00717D3B"/>
    <w:rsid w:val="007240FB"/>
    <w:rsid w:val="00732F5D"/>
    <w:rsid w:val="00736FE7"/>
    <w:rsid w:val="00755236"/>
    <w:rsid w:val="007604A0"/>
    <w:rsid w:val="0076511A"/>
    <w:rsid w:val="007754B7"/>
    <w:rsid w:val="00784D9C"/>
    <w:rsid w:val="00786D90"/>
    <w:rsid w:val="007928E4"/>
    <w:rsid w:val="00794898"/>
    <w:rsid w:val="007A01E4"/>
    <w:rsid w:val="007A3D50"/>
    <w:rsid w:val="007A7D0B"/>
    <w:rsid w:val="007B2595"/>
    <w:rsid w:val="007B2D66"/>
    <w:rsid w:val="007B530F"/>
    <w:rsid w:val="007B56A4"/>
    <w:rsid w:val="007B7F60"/>
    <w:rsid w:val="007D4327"/>
    <w:rsid w:val="007F3757"/>
    <w:rsid w:val="007F595B"/>
    <w:rsid w:val="008057B9"/>
    <w:rsid w:val="00805BBF"/>
    <w:rsid w:val="00807B3D"/>
    <w:rsid w:val="00817716"/>
    <w:rsid w:val="00821295"/>
    <w:rsid w:val="008214E5"/>
    <w:rsid w:val="00827E4A"/>
    <w:rsid w:val="00832B4C"/>
    <w:rsid w:val="0083388E"/>
    <w:rsid w:val="00833A87"/>
    <w:rsid w:val="008515AE"/>
    <w:rsid w:val="00855843"/>
    <w:rsid w:val="00862955"/>
    <w:rsid w:val="00872D60"/>
    <w:rsid w:val="00877666"/>
    <w:rsid w:val="008860AD"/>
    <w:rsid w:val="008A262A"/>
    <w:rsid w:val="008A5134"/>
    <w:rsid w:val="008B4598"/>
    <w:rsid w:val="008B50F9"/>
    <w:rsid w:val="008C6BFF"/>
    <w:rsid w:val="008D1AC7"/>
    <w:rsid w:val="008E1547"/>
    <w:rsid w:val="008E2326"/>
    <w:rsid w:val="008F4435"/>
    <w:rsid w:val="00907D19"/>
    <w:rsid w:val="00912785"/>
    <w:rsid w:val="0091656F"/>
    <w:rsid w:val="0094289C"/>
    <w:rsid w:val="00947ACC"/>
    <w:rsid w:val="00953904"/>
    <w:rsid w:val="00955055"/>
    <w:rsid w:val="009612B1"/>
    <w:rsid w:val="00963194"/>
    <w:rsid w:val="00972692"/>
    <w:rsid w:val="0098223B"/>
    <w:rsid w:val="009849F4"/>
    <w:rsid w:val="00987E75"/>
    <w:rsid w:val="00993C84"/>
    <w:rsid w:val="009B0004"/>
    <w:rsid w:val="009C0391"/>
    <w:rsid w:val="009C32C5"/>
    <w:rsid w:val="009C5E94"/>
    <w:rsid w:val="009D39D6"/>
    <w:rsid w:val="009E047A"/>
    <w:rsid w:val="009F2884"/>
    <w:rsid w:val="009F7F07"/>
    <w:rsid w:val="00A1411D"/>
    <w:rsid w:val="00A15EBA"/>
    <w:rsid w:val="00A2560B"/>
    <w:rsid w:val="00A2637F"/>
    <w:rsid w:val="00A27364"/>
    <w:rsid w:val="00A27B82"/>
    <w:rsid w:val="00A31DD8"/>
    <w:rsid w:val="00A32CAE"/>
    <w:rsid w:val="00A33AA4"/>
    <w:rsid w:val="00A37C16"/>
    <w:rsid w:val="00A425AD"/>
    <w:rsid w:val="00A42BAF"/>
    <w:rsid w:val="00A43ED4"/>
    <w:rsid w:val="00A549AF"/>
    <w:rsid w:val="00A67D53"/>
    <w:rsid w:val="00A811E8"/>
    <w:rsid w:val="00A81909"/>
    <w:rsid w:val="00A85636"/>
    <w:rsid w:val="00A860BD"/>
    <w:rsid w:val="00A97BB2"/>
    <w:rsid w:val="00AB34A8"/>
    <w:rsid w:val="00AB4BB9"/>
    <w:rsid w:val="00AB5399"/>
    <w:rsid w:val="00AC1E02"/>
    <w:rsid w:val="00AC43F0"/>
    <w:rsid w:val="00AC5DDC"/>
    <w:rsid w:val="00AE33FC"/>
    <w:rsid w:val="00AF2A53"/>
    <w:rsid w:val="00AF751C"/>
    <w:rsid w:val="00B01F22"/>
    <w:rsid w:val="00B0349E"/>
    <w:rsid w:val="00B106B0"/>
    <w:rsid w:val="00B22306"/>
    <w:rsid w:val="00B25D7D"/>
    <w:rsid w:val="00B31534"/>
    <w:rsid w:val="00B34189"/>
    <w:rsid w:val="00B341E2"/>
    <w:rsid w:val="00B379F2"/>
    <w:rsid w:val="00B45963"/>
    <w:rsid w:val="00B574D6"/>
    <w:rsid w:val="00B6231A"/>
    <w:rsid w:val="00B81C92"/>
    <w:rsid w:val="00B90037"/>
    <w:rsid w:val="00B9547A"/>
    <w:rsid w:val="00BA72D4"/>
    <w:rsid w:val="00BA75C2"/>
    <w:rsid w:val="00BB39A3"/>
    <w:rsid w:val="00BD5725"/>
    <w:rsid w:val="00BE1F4B"/>
    <w:rsid w:val="00BE2E6F"/>
    <w:rsid w:val="00BE4F58"/>
    <w:rsid w:val="00BF55EB"/>
    <w:rsid w:val="00C13E2D"/>
    <w:rsid w:val="00C14EEE"/>
    <w:rsid w:val="00C1772F"/>
    <w:rsid w:val="00C23854"/>
    <w:rsid w:val="00C268CF"/>
    <w:rsid w:val="00C30D53"/>
    <w:rsid w:val="00C4797A"/>
    <w:rsid w:val="00C51A1B"/>
    <w:rsid w:val="00C54B44"/>
    <w:rsid w:val="00C63A62"/>
    <w:rsid w:val="00C72854"/>
    <w:rsid w:val="00CA04F2"/>
    <w:rsid w:val="00CA1825"/>
    <w:rsid w:val="00CA1F3D"/>
    <w:rsid w:val="00CA5D27"/>
    <w:rsid w:val="00CA7897"/>
    <w:rsid w:val="00CB23AC"/>
    <w:rsid w:val="00CB5CB9"/>
    <w:rsid w:val="00CC00FF"/>
    <w:rsid w:val="00CC28CF"/>
    <w:rsid w:val="00CC5843"/>
    <w:rsid w:val="00CC7A83"/>
    <w:rsid w:val="00CE5C10"/>
    <w:rsid w:val="00CE7434"/>
    <w:rsid w:val="00CF0378"/>
    <w:rsid w:val="00CF25EF"/>
    <w:rsid w:val="00D02A5B"/>
    <w:rsid w:val="00D124BE"/>
    <w:rsid w:val="00D16290"/>
    <w:rsid w:val="00D17B64"/>
    <w:rsid w:val="00D22106"/>
    <w:rsid w:val="00D22A85"/>
    <w:rsid w:val="00D22D4A"/>
    <w:rsid w:val="00D31B8B"/>
    <w:rsid w:val="00D32D93"/>
    <w:rsid w:val="00D3310E"/>
    <w:rsid w:val="00D35A7B"/>
    <w:rsid w:val="00D4403B"/>
    <w:rsid w:val="00D5130B"/>
    <w:rsid w:val="00D51CC0"/>
    <w:rsid w:val="00D61F55"/>
    <w:rsid w:val="00D66185"/>
    <w:rsid w:val="00D77A92"/>
    <w:rsid w:val="00D92D55"/>
    <w:rsid w:val="00D974A2"/>
    <w:rsid w:val="00DA7BF3"/>
    <w:rsid w:val="00DB24C6"/>
    <w:rsid w:val="00DB5811"/>
    <w:rsid w:val="00DC2B43"/>
    <w:rsid w:val="00DC7C13"/>
    <w:rsid w:val="00DF3CAE"/>
    <w:rsid w:val="00DF52B2"/>
    <w:rsid w:val="00DF69DF"/>
    <w:rsid w:val="00DF6C43"/>
    <w:rsid w:val="00DF7313"/>
    <w:rsid w:val="00E031B1"/>
    <w:rsid w:val="00E1456F"/>
    <w:rsid w:val="00E14E5A"/>
    <w:rsid w:val="00E15BA2"/>
    <w:rsid w:val="00E24B3B"/>
    <w:rsid w:val="00E32350"/>
    <w:rsid w:val="00E3235B"/>
    <w:rsid w:val="00E350C9"/>
    <w:rsid w:val="00E41115"/>
    <w:rsid w:val="00E55A00"/>
    <w:rsid w:val="00E660F2"/>
    <w:rsid w:val="00E702D3"/>
    <w:rsid w:val="00E729F4"/>
    <w:rsid w:val="00E72CAE"/>
    <w:rsid w:val="00E9207F"/>
    <w:rsid w:val="00E93E06"/>
    <w:rsid w:val="00E94F42"/>
    <w:rsid w:val="00EA39F0"/>
    <w:rsid w:val="00EB5073"/>
    <w:rsid w:val="00EB7EA5"/>
    <w:rsid w:val="00EC3364"/>
    <w:rsid w:val="00ED38F0"/>
    <w:rsid w:val="00ED4118"/>
    <w:rsid w:val="00EF37CC"/>
    <w:rsid w:val="00EF4861"/>
    <w:rsid w:val="00EF50B5"/>
    <w:rsid w:val="00F000C8"/>
    <w:rsid w:val="00F024A9"/>
    <w:rsid w:val="00F04C98"/>
    <w:rsid w:val="00F11AFB"/>
    <w:rsid w:val="00F2265E"/>
    <w:rsid w:val="00F24D9B"/>
    <w:rsid w:val="00F32E4D"/>
    <w:rsid w:val="00F35440"/>
    <w:rsid w:val="00F53AA3"/>
    <w:rsid w:val="00F57B0E"/>
    <w:rsid w:val="00F63D4F"/>
    <w:rsid w:val="00F76F11"/>
    <w:rsid w:val="00F771A3"/>
    <w:rsid w:val="00F83D6D"/>
    <w:rsid w:val="00F909CA"/>
    <w:rsid w:val="00F94094"/>
    <w:rsid w:val="00F96D99"/>
    <w:rsid w:val="00F97077"/>
    <w:rsid w:val="00FA72BF"/>
    <w:rsid w:val="00FB2FBA"/>
    <w:rsid w:val="00FB334F"/>
    <w:rsid w:val="00FC1EEA"/>
    <w:rsid w:val="00FC3377"/>
    <w:rsid w:val="00FD5AAC"/>
    <w:rsid w:val="00FD7606"/>
    <w:rsid w:val="00FE1361"/>
    <w:rsid w:val="00FE40C2"/>
    <w:rsid w:val="00FE5EE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ukss@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D552-5436-4F3D-9F22-04B7D5B9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12817</Words>
  <Characters>7306</Characters>
  <Application>Microsoft Office Word</Application>
  <DocSecurity>4</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juris.lukss@fm.gov.lv</dc:creator>
  <cp:keywords/>
  <dc:description>Juris.Lukss@fm.gov.lv
Tālr. 67083846</dc:description>
  <cp:lastModifiedBy>Juris Lukss</cp:lastModifiedBy>
  <cp:revision>2</cp:revision>
  <cp:lastPrinted>2018-12-12T10:12:00Z</cp:lastPrinted>
  <dcterms:created xsi:type="dcterms:W3CDTF">2019-02-19T09:29:00Z</dcterms:created>
  <dcterms:modified xsi:type="dcterms:W3CDTF">2019-02-19T09:29:00Z</dcterms:modified>
</cp:coreProperties>
</file>