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B410" w14:textId="77777777" w:rsidR="00B2548D" w:rsidRDefault="00B2548D">
      <w:pPr>
        <w:rPr>
          <w:sz w:val="28"/>
          <w:lang w:val="lv-LV"/>
        </w:rPr>
      </w:pPr>
      <w:bookmarkStart w:id="0" w:name="_GoBack"/>
      <w:bookmarkEnd w:id="0"/>
    </w:p>
    <w:p w14:paraId="550AAFC0" w14:textId="77777777" w:rsidR="00B07296" w:rsidRDefault="00B07296">
      <w:pPr>
        <w:rPr>
          <w:sz w:val="28"/>
          <w:lang w:val="lv-LV"/>
        </w:rPr>
      </w:pPr>
    </w:p>
    <w:p w14:paraId="16054A7E" w14:textId="77777777" w:rsidR="00B07296" w:rsidRDefault="00B07296">
      <w:pPr>
        <w:rPr>
          <w:sz w:val="28"/>
          <w:lang w:val="lv-LV"/>
        </w:rPr>
      </w:pPr>
    </w:p>
    <w:p w14:paraId="64079345" w14:textId="77777777" w:rsidR="00B07296" w:rsidRPr="00114170" w:rsidRDefault="00B07296" w:rsidP="0068262E">
      <w:pPr>
        <w:rPr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B07296" w:rsidRPr="00B07296" w14:paraId="02620DF5" w14:textId="77777777" w:rsidTr="00AB1B7D">
        <w:trPr>
          <w:cantSplit/>
        </w:trPr>
        <w:tc>
          <w:tcPr>
            <w:tcW w:w="3544" w:type="dxa"/>
            <w:hideMark/>
          </w:tcPr>
          <w:p w14:paraId="11A9B38F" w14:textId="77777777" w:rsidR="00B07296" w:rsidRPr="00B07296" w:rsidRDefault="00B07296" w:rsidP="009021FB">
            <w:pPr>
              <w:ind w:left="-76" w:firstLine="76"/>
              <w:rPr>
                <w:sz w:val="28"/>
              </w:rPr>
            </w:pPr>
            <w:r w:rsidRPr="00B07296">
              <w:rPr>
                <w:sz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365A213C" w14:textId="77777777" w:rsidR="00B07296" w:rsidRPr="00B07296" w:rsidRDefault="00B07296" w:rsidP="009021FB">
            <w:pPr>
              <w:rPr>
                <w:sz w:val="28"/>
              </w:rPr>
            </w:pPr>
            <w:r w:rsidRPr="00B07296">
              <w:rPr>
                <w:sz w:val="28"/>
              </w:rPr>
              <w:t>Nr.</w:t>
            </w:r>
          </w:p>
        </w:tc>
        <w:tc>
          <w:tcPr>
            <w:tcW w:w="4142" w:type="dxa"/>
            <w:hideMark/>
          </w:tcPr>
          <w:p w14:paraId="3AB9BBAF" w14:textId="77777777" w:rsidR="00B07296" w:rsidRPr="00B07296" w:rsidRDefault="00B07296" w:rsidP="00AB1B7D">
            <w:pPr>
              <w:ind w:firstLine="428"/>
              <w:jc w:val="center"/>
              <w:rPr>
                <w:sz w:val="28"/>
              </w:rPr>
            </w:pPr>
            <w:r w:rsidRPr="00B07296">
              <w:rPr>
                <w:sz w:val="28"/>
              </w:rPr>
              <w:t xml:space="preserve">2019. gada </w:t>
            </w:r>
          </w:p>
        </w:tc>
      </w:tr>
    </w:tbl>
    <w:p w14:paraId="06BE1A44" w14:textId="77777777" w:rsidR="00B07296" w:rsidRPr="00B07296" w:rsidRDefault="00B07296" w:rsidP="009021FB">
      <w:pPr>
        <w:rPr>
          <w:sz w:val="28"/>
          <w:lang w:val="de-DE"/>
        </w:rPr>
      </w:pPr>
    </w:p>
    <w:p w14:paraId="46026744" w14:textId="77777777" w:rsidR="00B07296" w:rsidRPr="00B07296" w:rsidRDefault="00B07296" w:rsidP="0068262E">
      <w:pPr>
        <w:jc w:val="center"/>
        <w:rPr>
          <w:sz w:val="28"/>
        </w:rPr>
      </w:pPr>
      <w:r w:rsidRPr="00B07296">
        <w:rPr>
          <w:b/>
          <w:bCs/>
          <w:sz w:val="28"/>
        </w:rPr>
        <w:t>. §</w:t>
      </w:r>
    </w:p>
    <w:p w14:paraId="65406DE3" w14:textId="77777777" w:rsidR="00B07296" w:rsidRDefault="00B07296">
      <w:pPr>
        <w:rPr>
          <w:sz w:val="28"/>
          <w:lang w:val="lv-LV"/>
        </w:rPr>
      </w:pPr>
    </w:p>
    <w:p w14:paraId="73C49858" w14:textId="4035D21A" w:rsidR="006B5810" w:rsidRDefault="006B5810" w:rsidP="00B07296">
      <w:pPr>
        <w:ind w:firstLine="709"/>
        <w:jc w:val="center"/>
        <w:rPr>
          <w:b/>
          <w:sz w:val="28"/>
          <w:lang w:val="lv-LV"/>
        </w:rPr>
      </w:pPr>
      <w:r w:rsidRPr="006B5810">
        <w:rPr>
          <w:b/>
          <w:sz w:val="28"/>
          <w:lang w:val="lv-LV"/>
        </w:rPr>
        <w:t xml:space="preserve">Likumprojekts "Par </w:t>
      </w:r>
      <w:r w:rsidR="007B4340" w:rsidRPr="006B5810">
        <w:rPr>
          <w:b/>
          <w:sz w:val="28"/>
          <w:lang w:val="lv-LV"/>
        </w:rPr>
        <w:t xml:space="preserve">Daudzpusējo </w:t>
      </w:r>
      <w:r w:rsidRPr="006B5810">
        <w:rPr>
          <w:b/>
          <w:sz w:val="28"/>
          <w:lang w:val="lv-LV"/>
        </w:rPr>
        <w:t>konvenciju nodokļu bāzes samazināšanas un peļņas novirzīšanas novēršanas pasākumu ieviešanai attiecībā uz nodokļu konvencijām"</w:t>
      </w:r>
    </w:p>
    <w:p w14:paraId="581563F9" w14:textId="77777777" w:rsidR="00B2548D" w:rsidRPr="00A25341" w:rsidRDefault="006B5810" w:rsidP="00B07296">
      <w:pPr>
        <w:ind w:firstLine="709"/>
        <w:jc w:val="both"/>
        <w:rPr>
          <w:lang w:val="lv-LV"/>
        </w:rPr>
      </w:pPr>
      <w:r>
        <w:rPr>
          <w:b/>
          <w:bCs/>
          <w:lang w:val="lv-LV"/>
        </w:rPr>
        <w:t>TA-1018 (2017)</w:t>
      </w:r>
    </w:p>
    <w:p w14:paraId="47A938F9" w14:textId="081DC39C" w:rsidR="00B2548D" w:rsidRPr="005B7124" w:rsidRDefault="00C95100">
      <w:pPr>
        <w:pStyle w:val="BodyText"/>
        <w:rPr>
          <w:b w:val="0"/>
          <w:sz w:val="24"/>
        </w:rPr>
      </w:pPr>
      <w:r w:rsidRPr="005B7124">
        <w:rPr>
          <w:b w:val="0"/>
          <w:sz w:val="24"/>
        </w:rPr>
        <w:t>_______________________________________________________</w:t>
      </w:r>
      <w:r w:rsidR="005B7124">
        <w:rPr>
          <w:b w:val="0"/>
          <w:sz w:val="24"/>
        </w:rPr>
        <w:t>___</w:t>
      </w:r>
    </w:p>
    <w:p w14:paraId="41FB896A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69D382FE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72554228" w14:textId="77777777" w:rsidR="00C85626" w:rsidRPr="006B5810" w:rsidRDefault="00C85626" w:rsidP="00C85626">
      <w:pPr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</w:t>
      </w:r>
      <w:r w:rsidRPr="006B5810">
        <w:rPr>
          <w:bCs/>
          <w:sz w:val="28"/>
          <w:szCs w:val="28"/>
          <w:lang w:val="lv-LV"/>
        </w:rPr>
        <w:t>. Atbalstīt iesniegto likumprojektu.</w:t>
      </w:r>
    </w:p>
    <w:p w14:paraId="4BD7EA59" w14:textId="77777777" w:rsidR="00C85626" w:rsidRPr="006B5810" w:rsidRDefault="00B3472C" w:rsidP="00C85626">
      <w:pPr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</w:t>
      </w:r>
      <w:r w:rsidR="00C85626" w:rsidRPr="006B5810">
        <w:rPr>
          <w:bCs/>
          <w:sz w:val="28"/>
          <w:szCs w:val="28"/>
          <w:lang w:val="lv-LV"/>
        </w:rPr>
        <w:t>. Valsts kancelejai sagatavot Konvenciju un likumprojektu iesniegšanai Saeimā.</w:t>
      </w:r>
    </w:p>
    <w:p w14:paraId="35462EE0" w14:textId="704CD495" w:rsidR="000E0DAB" w:rsidRPr="000E0DAB" w:rsidRDefault="00440DD0" w:rsidP="000E0DAB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3.</w:t>
      </w:r>
      <w:r w:rsidR="00840AB9">
        <w:rPr>
          <w:rStyle w:val="spelle"/>
          <w:sz w:val="28"/>
          <w:szCs w:val="28"/>
          <w:lang w:val="lv-LV"/>
        </w:rPr>
        <w:t xml:space="preserve"> </w:t>
      </w:r>
      <w:r w:rsidR="000E0DAB">
        <w:rPr>
          <w:rStyle w:val="spelle"/>
          <w:sz w:val="28"/>
          <w:szCs w:val="28"/>
          <w:lang w:val="lv-LV"/>
        </w:rPr>
        <w:t xml:space="preserve">Atzīt par </w:t>
      </w:r>
      <w:r w:rsidR="00B3472C">
        <w:rPr>
          <w:rStyle w:val="spelle"/>
          <w:sz w:val="28"/>
          <w:szCs w:val="28"/>
          <w:lang w:val="lv-LV"/>
        </w:rPr>
        <w:t xml:space="preserve">spēku </w:t>
      </w:r>
      <w:r w:rsidR="000E0DAB">
        <w:rPr>
          <w:rStyle w:val="spelle"/>
          <w:sz w:val="28"/>
          <w:szCs w:val="28"/>
          <w:lang w:val="lv-LV"/>
        </w:rPr>
        <w:t>zaudēju</w:t>
      </w:r>
      <w:r w:rsidR="00A92E5F">
        <w:rPr>
          <w:rStyle w:val="spelle"/>
          <w:sz w:val="28"/>
          <w:szCs w:val="28"/>
          <w:lang w:val="lv-LV"/>
        </w:rPr>
        <w:t>š</w:t>
      </w:r>
      <w:r w:rsidR="00B3472C">
        <w:rPr>
          <w:rStyle w:val="spelle"/>
          <w:sz w:val="28"/>
          <w:szCs w:val="28"/>
          <w:lang w:val="lv-LV"/>
        </w:rPr>
        <w:t>u</w:t>
      </w:r>
      <w:r w:rsidR="000E0DAB">
        <w:rPr>
          <w:rStyle w:val="spelle"/>
          <w:sz w:val="28"/>
          <w:szCs w:val="28"/>
          <w:lang w:val="lv-LV"/>
        </w:rPr>
        <w:t xml:space="preserve"> Ministru kabineta </w:t>
      </w:r>
      <w:r w:rsidR="000E0DAB" w:rsidRPr="000E0DAB">
        <w:rPr>
          <w:sz w:val="28"/>
          <w:szCs w:val="28"/>
          <w:lang w:val="lv-LV"/>
        </w:rPr>
        <w:t>2017.</w:t>
      </w:r>
      <w:r w:rsidR="00B07296">
        <w:rPr>
          <w:sz w:val="28"/>
          <w:szCs w:val="28"/>
          <w:lang w:val="lv-LV"/>
        </w:rPr>
        <w:t> </w:t>
      </w:r>
      <w:r w:rsidR="000E0DAB" w:rsidRPr="000E0DAB">
        <w:rPr>
          <w:sz w:val="28"/>
          <w:szCs w:val="28"/>
          <w:lang w:val="lv-LV"/>
        </w:rPr>
        <w:t>gada</w:t>
      </w:r>
      <w:r w:rsidR="000E0DAB">
        <w:rPr>
          <w:sz w:val="28"/>
          <w:szCs w:val="28"/>
          <w:lang w:val="lv-LV"/>
        </w:rPr>
        <w:t xml:space="preserve"> 23.</w:t>
      </w:r>
      <w:r w:rsidR="00B07296">
        <w:rPr>
          <w:sz w:val="28"/>
          <w:szCs w:val="28"/>
          <w:lang w:val="lv-LV"/>
        </w:rPr>
        <w:t> </w:t>
      </w:r>
      <w:r w:rsidR="000E0DAB">
        <w:rPr>
          <w:sz w:val="28"/>
          <w:szCs w:val="28"/>
          <w:lang w:val="lv-LV"/>
        </w:rPr>
        <w:t>maija sēdes protokollēmuma</w:t>
      </w:r>
      <w:r w:rsidR="000E0DAB" w:rsidRPr="000E0DAB">
        <w:rPr>
          <w:sz w:val="28"/>
          <w:szCs w:val="28"/>
          <w:lang w:val="lv-LV"/>
        </w:rPr>
        <w:t xml:space="preserve"> (prot.</w:t>
      </w:r>
      <w:r w:rsidR="00840AB9">
        <w:rPr>
          <w:sz w:val="28"/>
          <w:szCs w:val="28"/>
          <w:lang w:val="lv-LV"/>
        </w:rPr>
        <w:t> </w:t>
      </w:r>
      <w:r w:rsidR="000E0DAB" w:rsidRPr="000E0DAB">
        <w:rPr>
          <w:sz w:val="28"/>
          <w:szCs w:val="28"/>
          <w:lang w:val="lv-LV"/>
        </w:rPr>
        <w:t>Nr.</w:t>
      </w:r>
      <w:r w:rsidR="00B07296">
        <w:rPr>
          <w:sz w:val="28"/>
          <w:szCs w:val="28"/>
          <w:lang w:val="lv-LV"/>
        </w:rPr>
        <w:t> </w:t>
      </w:r>
      <w:r w:rsidR="000E0DAB" w:rsidRPr="000E0DAB">
        <w:rPr>
          <w:sz w:val="28"/>
          <w:szCs w:val="28"/>
          <w:lang w:val="lv-LV"/>
        </w:rPr>
        <w:t>27 25</w:t>
      </w:r>
      <w:r w:rsidR="00B07296">
        <w:rPr>
          <w:sz w:val="28"/>
          <w:szCs w:val="28"/>
          <w:lang w:val="lv-LV"/>
        </w:rPr>
        <w:t>. </w:t>
      </w:r>
      <w:r w:rsidR="000E0DAB" w:rsidRPr="000E0DAB">
        <w:rPr>
          <w:sz w:val="28"/>
          <w:szCs w:val="28"/>
          <w:lang w:val="lv-LV"/>
        </w:rPr>
        <w:t>§) "Likumprojekts "Par Daudzpusējo konvenciju nodokļu bāzes samazināšanas un peļņas novirzīšanas novēršanas pasākumu ieviešanai attiecībā uz nodokļu konvencijām""</w:t>
      </w:r>
      <w:r w:rsidR="004E150C">
        <w:rPr>
          <w:sz w:val="28"/>
          <w:szCs w:val="28"/>
          <w:lang w:val="lv-LV"/>
        </w:rPr>
        <w:t xml:space="preserve"> 3</w:t>
      </w:r>
      <w:r w:rsidR="000E0DAB">
        <w:rPr>
          <w:sz w:val="28"/>
          <w:szCs w:val="28"/>
          <w:lang w:val="lv-LV"/>
        </w:rPr>
        <w:t xml:space="preserve">. un </w:t>
      </w:r>
      <w:r w:rsidR="004E150C">
        <w:rPr>
          <w:sz w:val="28"/>
          <w:szCs w:val="28"/>
          <w:lang w:val="lv-LV"/>
        </w:rPr>
        <w:t>5. punktu</w:t>
      </w:r>
      <w:r w:rsidR="000E0DAB">
        <w:rPr>
          <w:sz w:val="28"/>
          <w:szCs w:val="28"/>
          <w:lang w:val="lv-LV"/>
        </w:rPr>
        <w:t>.</w:t>
      </w:r>
    </w:p>
    <w:p w14:paraId="60811958" w14:textId="77777777" w:rsidR="000D50BC" w:rsidRPr="00B07296" w:rsidRDefault="000D50BC" w:rsidP="00BB278B">
      <w:pPr>
        <w:ind w:firstLine="709"/>
        <w:jc w:val="both"/>
        <w:rPr>
          <w:rStyle w:val="spelle"/>
          <w:sz w:val="28"/>
          <w:lang w:val="lv-LV"/>
        </w:rPr>
      </w:pPr>
    </w:p>
    <w:p w14:paraId="53B63A3B" w14:textId="77777777" w:rsidR="00B07296" w:rsidRPr="00B07296" w:rsidRDefault="00B07296" w:rsidP="00BB278B">
      <w:pPr>
        <w:ind w:firstLine="709"/>
        <w:jc w:val="both"/>
        <w:rPr>
          <w:rStyle w:val="spelle"/>
          <w:sz w:val="28"/>
          <w:lang w:val="lv-LV"/>
        </w:rPr>
      </w:pPr>
    </w:p>
    <w:p w14:paraId="10E4CD8A" w14:textId="77777777" w:rsidR="00B07296" w:rsidRPr="00B07296" w:rsidRDefault="00B07296" w:rsidP="00BB278B">
      <w:pPr>
        <w:ind w:firstLine="709"/>
        <w:jc w:val="both"/>
        <w:rPr>
          <w:rStyle w:val="spelle"/>
          <w:sz w:val="28"/>
          <w:lang w:val="lv-LV"/>
        </w:rPr>
      </w:pPr>
    </w:p>
    <w:p w14:paraId="34ADF463" w14:textId="77777777" w:rsidR="00B07296" w:rsidRPr="00AE16D1" w:rsidRDefault="00B07296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108537DC" w14:textId="77777777" w:rsidR="00B2548D" w:rsidRDefault="00B2548D" w:rsidP="00BB278B">
      <w:pPr>
        <w:pStyle w:val="BodyText"/>
        <w:ind w:firstLine="709"/>
        <w:jc w:val="both"/>
        <w:rPr>
          <w:b w:val="0"/>
        </w:rPr>
      </w:pPr>
    </w:p>
    <w:p w14:paraId="61BCA7BF" w14:textId="77777777" w:rsidR="00B07296" w:rsidRDefault="00B07296" w:rsidP="00BB278B">
      <w:pPr>
        <w:pStyle w:val="BodyText"/>
        <w:ind w:firstLine="709"/>
        <w:jc w:val="both"/>
        <w:rPr>
          <w:b w:val="0"/>
        </w:rPr>
      </w:pPr>
    </w:p>
    <w:p w14:paraId="1D7C2667" w14:textId="77777777" w:rsidR="00B07296" w:rsidRPr="00A25341" w:rsidRDefault="00B07296" w:rsidP="00BB278B">
      <w:pPr>
        <w:pStyle w:val="BodyText"/>
        <w:ind w:firstLine="709"/>
        <w:jc w:val="both"/>
        <w:rPr>
          <w:b w:val="0"/>
        </w:rPr>
      </w:pPr>
    </w:p>
    <w:p w14:paraId="3ED9F2FE" w14:textId="4FBCFF9C" w:rsidR="00B07296" w:rsidRPr="00B07296" w:rsidRDefault="00B07296" w:rsidP="00B07296">
      <w:pPr>
        <w:tabs>
          <w:tab w:val="left" w:pos="6521"/>
        </w:tabs>
        <w:ind w:firstLine="709"/>
        <w:jc w:val="both"/>
        <w:rPr>
          <w:rFonts w:eastAsia="Calibri"/>
          <w:sz w:val="28"/>
          <w:lang w:val="de-DE"/>
        </w:rPr>
      </w:pPr>
      <w:r w:rsidRPr="00B07296">
        <w:rPr>
          <w:rFonts w:eastAsia="Calibri"/>
          <w:sz w:val="28"/>
          <w:lang w:val="de-DE"/>
        </w:rPr>
        <w:t xml:space="preserve">Valsts kancelejas direktors </w:t>
      </w:r>
      <w:r w:rsidRPr="00B07296">
        <w:rPr>
          <w:rFonts w:eastAsia="Calibri"/>
          <w:sz w:val="28"/>
          <w:lang w:val="de-DE"/>
        </w:rPr>
        <w:tab/>
        <w:t>J</w:t>
      </w:r>
      <w:r w:rsidR="007B4340">
        <w:rPr>
          <w:rFonts w:eastAsia="Calibri"/>
          <w:sz w:val="28"/>
          <w:lang w:val="de-DE"/>
        </w:rPr>
        <w:t>.</w:t>
      </w:r>
      <w:r w:rsidRPr="00B07296">
        <w:rPr>
          <w:rFonts w:eastAsia="Calibri"/>
          <w:sz w:val="28"/>
          <w:lang w:val="de-DE"/>
        </w:rPr>
        <w:t xml:space="preserve"> Citskovskis</w:t>
      </w:r>
    </w:p>
    <w:sectPr w:rsidR="00B07296" w:rsidRPr="00B07296" w:rsidSect="00B07296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2159" w14:textId="77777777" w:rsidR="00753F84" w:rsidRDefault="00753F84">
      <w:r>
        <w:separator/>
      </w:r>
    </w:p>
  </w:endnote>
  <w:endnote w:type="continuationSeparator" w:id="0">
    <w:p w14:paraId="2012D431" w14:textId="77777777" w:rsidR="00753F84" w:rsidRDefault="0075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8087" w14:textId="77777777" w:rsidR="004D0C20" w:rsidRPr="00B07296" w:rsidRDefault="00B07296" w:rsidP="004D0C20">
    <w:pPr>
      <w:pStyle w:val="Footer"/>
      <w:rPr>
        <w:sz w:val="16"/>
        <w:szCs w:val="16"/>
      </w:rPr>
    </w:pPr>
    <w:r w:rsidRPr="00B07296">
      <w:rPr>
        <w:sz w:val="16"/>
        <w:szCs w:val="16"/>
      </w:rPr>
      <w:t>1018z7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6E7D" w14:textId="77777777" w:rsidR="00753F84" w:rsidRDefault="00753F84">
      <w:r>
        <w:separator/>
      </w:r>
    </w:p>
  </w:footnote>
  <w:footnote w:type="continuationSeparator" w:id="0">
    <w:p w14:paraId="7480CAF3" w14:textId="77777777" w:rsidR="00753F84" w:rsidRDefault="0075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7FCD" w14:textId="77777777" w:rsidR="00B07296" w:rsidRPr="009A2305" w:rsidRDefault="00B07296">
    <w:pPr>
      <w:pStyle w:val="Header"/>
    </w:pPr>
  </w:p>
  <w:p w14:paraId="2049AD4C" w14:textId="77777777" w:rsidR="00B07296" w:rsidRPr="00B07296" w:rsidRDefault="00B07296">
    <w:pPr>
      <w:pStyle w:val="Header"/>
      <w:pBdr>
        <w:bottom w:val="single" w:sz="4" w:space="1" w:color="auto"/>
      </w:pBdr>
      <w:jc w:val="center"/>
      <w:rPr>
        <w:sz w:val="28"/>
      </w:rPr>
    </w:pPr>
    <w:r w:rsidRPr="00B07296">
      <w:rPr>
        <w:b/>
        <w:bCs/>
        <w:sz w:val="28"/>
      </w:rPr>
      <w:t>MINISTRU KABINETA SĒDES PROTOKOLLĒMUMS</w:t>
    </w:r>
  </w:p>
  <w:p w14:paraId="4589FD92" w14:textId="77777777" w:rsidR="00B07296" w:rsidRDefault="00B07296">
    <w:pPr>
      <w:pStyle w:val="Header"/>
    </w:pPr>
  </w:p>
  <w:p w14:paraId="59D1B662" w14:textId="77777777" w:rsidR="00B07296" w:rsidRPr="00B07296" w:rsidRDefault="00B07296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072A40"/>
    <w:rsid w:val="000A2D38"/>
    <w:rsid w:val="000D50BC"/>
    <w:rsid w:val="000E0DAB"/>
    <w:rsid w:val="00114D1B"/>
    <w:rsid w:val="0012614C"/>
    <w:rsid w:val="00135B2C"/>
    <w:rsid w:val="00180EE6"/>
    <w:rsid w:val="001923D4"/>
    <w:rsid w:val="00195100"/>
    <w:rsid w:val="001B2613"/>
    <w:rsid w:val="0022727E"/>
    <w:rsid w:val="00235ED7"/>
    <w:rsid w:val="00277AE6"/>
    <w:rsid w:val="00290082"/>
    <w:rsid w:val="00295868"/>
    <w:rsid w:val="002A5862"/>
    <w:rsid w:val="002D0812"/>
    <w:rsid w:val="00334554"/>
    <w:rsid w:val="00344EE6"/>
    <w:rsid w:val="003667C8"/>
    <w:rsid w:val="003D1FEA"/>
    <w:rsid w:val="00440DD0"/>
    <w:rsid w:val="004A0294"/>
    <w:rsid w:val="004D0C20"/>
    <w:rsid w:val="004E0FE4"/>
    <w:rsid w:val="004E150C"/>
    <w:rsid w:val="0053207E"/>
    <w:rsid w:val="0054499C"/>
    <w:rsid w:val="005A1877"/>
    <w:rsid w:val="005A2639"/>
    <w:rsid w:val="005B70FE"/>
    <w:rsid w:val="005B7124"/>
    <w:rsid w:val="0063318A"/>
    <w:rsid w:val="00654C66"/>
    <w:rsid w:val="006963A9"/>
    <w:rsid w:val="006B5810"/>
    <w:rsid w:val="00753F84"/>
    <w:rsid w:val="00775C1F"/>
    <w:rsid w:val="007B4340"/>
    <w:rsid w:val="007F3D21"/>
    <w:rsid w:val="00840AB9"/>
    <w:rsid w:val="00861DFF"/>
    <w:rsid w:val="008A63DA"/>
    <w:rsid w:val="008B7493"/>
    <w:rsid w:val="008D2293"/>
    <w:rsid w:val="008F65F8"/>
    <w:rsid w:val="00904DFD"/>
    <w:rsid w:val="009C2D2E"/>
    <w:rsid w:val="009C6B7F"/>
    <w:rsid w:val="009C6BF1"/>
    <w:rsid w:val="00A25341"/>
    <w:rsid w:val="00A92E5F"/>
    <w:rsid w:val="00A94E01"/>
    <w:rsid w:val="00AB5731"/>
    <w:rsid w:val="00B07296"/>
    <w:rsid w:val="00B2548D"/>
    <w:rsid w:val="00B3472C"/>
    <w:rsid w:val="00BA70D1"/>
    <w:rsid w:val="00BB278B"/>
    <w:rsid w:val="00BE71A3"/>
    <w:rsid w:val="00C201D0"/>
    <w:rsid w:val="00C85626"/>
    <w:rsid w:val="00C95100"/>
    <w:rsid w:val="00CC56C7"/>
    <w:rsid w:val="00CC7CD9"/>
    <w:rsid w:val="00CF6620"/>
    <w:rsid w:val="00D44656"/>
    <w:rsid w:val="00D55B5C"/>
    <w:rsid w:val="00E1465E"/>
    <w:rsid w:val="00E3242B"/>
    <w:rsid w:val="00E61D65"/>
    <w:rsid w:val="00F15919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28CB5A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"Par Daudzpusējo konvenciju nodokļu bāzes samazināšanas un peļņas novirzīšanas novēršanas pasākumu ieviešanai attiecībā uz nodokļu konvencijām" projekts</vt:lpstr>
    </vt:vector>
  </TitlesOfParts>
  <Company>Finanšu ministrija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"Par Daudzpusējo konvenciju nodokļu bāzes samazināšanas un peļņas novirzīšanas novēršanas pasākumu ieviešanai attiecībā uz nodokļu konvencijām" projekts</dc:title>
  <dc:subject>Protokollēmuma projekts</dc:subject>
  <dc:creator>Sanda Cāne</dc:creator>
  <cp:keywords/>
  <dc:description>67095518, sanda.cane@fm.gov.lv</dc:description>
  <cp:lastModifiedBy>Sandra Rocena</cp:lastModifiedBy>
  <cp:revision>9</cp:revision>
  <cp:lastPrinted>2019-03-11T08:37:00Z</cp:lastPrinted>
  <dcterms:created xsi:type="dcterms:W3CDTF">2019-03-06T10:52:00Z</dcterms:created>
  <dcterms:modified xsi:type="dcterms:W3CDTF">2019-03-11T10:11:00Z</dcterms:modified>
</cp:coreProperties>
</file>